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1D12" w14:textId="77777777" w:rsidR="006F3C5D" w:rsidRPr="00377DF2" w:rsidRDefault="006F3C5D" w:rsidP="006F3C5D">
      <w:pPr>
        <w:rPr>
          <w:rFonts w:cstheme="minorHAnsi"/>
          <w:b/>
          <w:bCs/>
          <w:sz w:val="20"/>
          <w:szCs w:val="20"/>
        </w:rPr>
      </w:pPr>
      <w:r w:rsidRPr="00377DF2">
        <w:rPr>
          <w:rFonts w:cstheme="minorHAnsi"/>
          <w:b/>
          <w:bCs/>
          <w:sz w:val="20"/>
          <w:szCs w:val="20"/>
        </w:rPr>
        <w:t>MEMORANDUM</w:t>
      </w:r>
    </w:p>
    <w:p w14:paraId="3F3609EA" w14:textId="77777777" w:rsidR="006F3C5D" w:rsidRPr="00377DF2" w:rsidRDefault="006F3C5D" w:rsidP="006F3C5D">
      <w:pPr>
        <w:rPr>
          <w:rFonts w:cstheme="minorHAnsi"/>
          <w:b/>
          <w:bCs/>
          <w:sz w:val="20"/>
          <w:szCs w:val="20"/>
        </w:rPr>
      </w:pPr>
    </w:p>
    <w:p w14:paraId="17272FB3" w14:textId="0ACE259B" w:rsidR="006F3C5D" w:rsidRPr="00377DF2" w:rsidRDefault="006F3C5D" w:rsidP="006F3C5D">
      <w:pPr>
        <w:ind w:left="720" w:hanging="720"/>
        <w:rPr>
          <w:rFonts w:cstheme="minorHAnsi"/>
          <w:sz w:val="20"/>
          <w:szCs w:val="20"/>
        </w:rPr>
      </w:pPr>
      <w:r w:rsidRPr="00377DF2">
        <w:rPr>
          <w:rFonts w:cstheme="minorHAnsi"/>
          <w:sz w:val="20"/>
          <w:szCs w:val="20"/>
        </w:rPr>
        <w:t>TO:</w:t>
      </w:r>
      <w:r w:rsidRPr="00377DF2">
        <w:rPr>
          <w:rFonts w:cstheme="minorHAnsi"/>
          <w:sz w:val="20"/>
          <w:szCs w:val="20"/>
        </w:rPr>
        <w:tab/>
      </w:r>
      <w:r w:rsidR="00262E7F" w:rsidRPr="00262E7F">
        <w:rPr>
          <w:rFonts w:cstheme="minorHAnsi"/>
          <w:sz w:val="20"/>
          <w:szCs w:val="20"/>
        </w:rPr>
        <w:t>Property and Casualty Insurance (C) Committee</w:t>
      </w:r>
    </w:p>
    <w:p w14:paraId="555DA9C3" w14:textId="77777777" w:rsidR="006F3C5D" w:rsidRPr="00377DF2" w:rsidRDefault="006F3C5D" w:rsidP="006F3C5D">
      <w:pPr>
        <w:ind w:left="720" w:hanging="720"/>
        <w:rPr>
          <w:rFonts w:cstheme="minorHAnsi"/>
          <w:sz w:val="20"/>
          <w:szCs w:val="20"/>
        </w:rPr>
      </w:pPr>
    </w:p>
    <w:p w14:paraId="05467F7A" w14:textId="06B27F7B" w:rsidR="006F3C5D" w:rsidRPr="00377DF2" w:rsidRDefault="006F3C5D" w:rsidP="006F3C5D">
      <w:pPr>
        <w:ind w:left="720" w:hanging="720"/>
        <w:rPr>
          <w:rFonts w:cstheme="minorHAnsi"/>
          <w:sz w:val="20"/>
          <w:szCs w:val="20"/>
        </w:rPr>
      </w:pPr>
      <w:r w:rsidRPr="00377DF2">
        <w:rPr>
          <w:rFonts w:cstheme="minorHAnsi"/>
          <w:sz w:val="20"/>
          <w:szCs w:val="20"/>
        </w:rPr>
        <w:t>FROM:</w:t>
      </w:r>
      <w:r w:rsidRPr="00377DF2">
        <w:rPr>
          <w:rFonts w:cstheme="minorHAnsi"/>
          <w:sz w:val="20"/>
          <w:szCs w:val="20"/>
        </w:rPr>
        <w:tab/>
      </w:r>
      <w:r w:rsidR="00860254" w:rsidRPr="00860254">
        <w:rPr>
          <w:rFonts w:cstheme="minorHAnsi"/>
          <w:sz w:val="20"/>
          <w:szCs w:val="20"/>
        </w:rPr>
        <w:t>NAIC Staff</w:t>
      </w:r>
    </w:p>
    <w:p w14:paraId="7C95126E" w14:textId="77777777" w:rsidR="006F3C5D" w:rsidRPr="00377DF2" w:rsidRDefault="006F3C5D" w:rsidP="006F3C5D">
      <w:pPr>
        <w:ind w:left="720" w:hanging="720"/>
        <w:rPr>
          <w:rFonts w:cstheme="minorHAnsi"/>
          <w:sz w:val="20"/>
          <w:szCs w:val="20"/>
        </w:rPr>
      </w:pPr>
    </w:p>
    <w:p w14:paraId="7DF0FF1E" w14:textId="0716F35E" w:rsidR="006F3C5D" w:rsidRPr="00377DF2" w:rsidRDefault="006F3C5D" w:rsidP="006F3C5D">
      <w:pPr>
        <w:ind w:left="720" w:hanging="720"/>
        <w:rPr>
          <w:rFonts w:cstheme="minorHAnsi"/>
          <w:sz w:val="20"/>
          <w:szCs w:val="20"/>
        </w:rPr>
      </w:pPr>
      <w:r w:rsidRPr="00377DF2">
        <w:rPr>
          <w:rFonts w:cstheme="minorHAnsi"/>
          <w:sz w:val="20"/>
          <w:szCs w:val="20"/>
        </w:rPr>
        <w:t>DATE:</w:t>
      </w:r>
      <w:r w:rsidRPr="00377DF2">
        <w:rPr>
          <w:rFonts w:cstheme="minorHAnsi"/>
          <w:sz w:val="20"/>
          <w:szCs w:val="20"/>
        </w:rPr>
        <w:tab/>
      </w:r>
      <w:r w:rsidR="00955B25" w:rsidRPr="00955B25">
        <w:rPr>
          <w:rFonts w:cstheme="minorHAnsi"/>
          <w:sz w:val="20"/>
          <w:szCs w:val="20"/>
        </w:rPr>
        <w:t>Oct</w:t>
      </w:r>
      <w:r w:rsidR="00130520">
        <w:rPr>
          <w:rFonts w:cstheme="minorHAnsi"/>
          <w:sz w:val="20"/>
          <w:szCs w:val="20"/>
        </w:rPr>
        <w:t>.</w:t>
      </w:r>
      <w:r w:rsidR="00955B25" w:rsidRPr="00955B25">
        <w:rPr>
          <w:rFonts w:cstheme="minorHAnsi"/>
          <w:sz w:val="20"/>
          <w:szCs w:val="20"/>
        </w:rPr>
        <w:t xml:space="preserve"> </w:t>
      </w:r>
      <w:r w:rsidR="00FB4C7F">
        <w:rPr>
          <w:rFonts w:cstheme="minorHAnsi"/>
          <w:sz w:val="20"/>
          <w:szCs w:val="20"/>
        </w:rPr>
        <w:t>20</w:t>
      </w:r>
      <w:r w:rsidR="00955B25" w:rsidRPr="00955B25">
        <w:rPr>
          <w:rFonts w:cstheme="minorHAnsi"/>
          <w:sz w:val="20"/>
          <w:szCs w:val="20"/>
        </w:rPr>
        <w:t>, 2021</w:t>
      </w:r>
    </w:p>
    <w:p w14:paraId="2178172A" w14:textId="77777777" w:rsidR="006F3C5D" w:rsidRPr="00377DF2" w:rsidRDefault="006F3C5D" w:rsidP="006F3C5D">
      <w:pPr>
        <w:ind w:left="720" w:hanging="720"/>
        <w:rPr>
          <w:rFonts w:cstheme="minorHAnsi"/>
          <w:sz w:val="20"/>
          <w:szCs w:val="20"/>
        </w:rPr>
      </w:pPr>
    </w:p>
    <w:p w14:paraId="171D6414" w14:textId="0303C1F8" w:rsidR="006F3C5D" w:rsidRDefault="006F3C5D" w:rsidP="00DA391F">
      <w:pPr>
        <w:pBdr>
          <w:bottom w:val="single" w:sz="12" w:space="1" w:color="auto"/>
        </w:pBdr>
        <w:ind w:left="720" w:hanging="720"/>
        <w:rPr>
          <w:rFonts w:cstheme="minorHAnsi"/>
          <w:sz w:val="20"/>
          <w:szCs w:val="20"/>
        </w:rPr>
      </w:pPr>
      <w:r w:rsidRPr="00377DF2">
        <w:rPr>
          <w:rFonts w:cstheme="minorHAnsi"/>
          <w:sz w:val="20"/>
          <w:szCs w:val="20"/>
        </w:rPr>
        <w:t>RE:</w:t>
      </w:r>
      <w:r w:rsidRPr="00377DF2">
        <w:rPr>
          <w:rFonts w:cstheme="minorHAnsi"/>
          <w:sz w:val="20"/>
          <w:szCs w:val="20"/>
        </w:rPr>
        <w:tab/>
      </w:r>
      <w:r w:rsidR="00DA391F" w:rsidRPr="00DA391F">
        <w:rPr>
          <w:rFonts w:cstheme="minorHAnsi"/>
          <w:sz w:val="20"/>
          <w:szCs w:val="20"/>
        </w:rPr>
        <w:t xml:space="preserve">Report on the Cybersecurity Insurance </w:t>
      </w:r>
      <w:r w:rsidR="00FB4C7F">
        <w:rPr>
          <w:rFonts w:cstheme="minorHAnsi"/>
          <w:sz w:val="20"/>
          <w:szCs w:val="20"/>
        </w:rPr>
        <w:t xml:space="preserve">Market </w:t>
      </w:r>
    </w:p>
    <w:p w14:paraId="5D95011F" w14:textId="77777777" w:rsidR="006F3C5D" w:rsidRDefault="006F3C5D" w:rsidP="006F3C5D">
      <w:pPr>
        <w:pBdr>
          <w:bottom w:val="single" w:sz="12" w:space="1" w:color="auto"/>
        </w:pBdr>
        <w:ind w:left="720" w:hanging="720"/>
        <w:rPr>
          <w:rFonts w:cstheme="minorHAnsi"/>
          <w:sz w:val="20"/>
          <w:szCs w:val="20"/>
        </w:rPr>
      </w:pPr>
    </w:p>
    <w:p w14:paraId="3858E265" w14:textId="77777777" w:rsidR="006F3C5D" w:rsidRPr="00377DF2" w:rsidRDefault="006F3C5D" w:rsidP="006F3C5D">
      <w:pPr>
        <w:rPr>
          <w:rFonts w:cstheme="minorHAnsi"/>
          <w:b/>
          <w:bCs/>
          <w:sz w:val="20"/>
          <w:szCs w:val="20"/>
        </w:rPr>
      </w:pPr>
    </w:p>
    <w:p w14:paraId="419AC68E" w14:textId="77777777" w:rsidR="00D17CCA" w:rsidRPr="00D17CCA" w:rsidRDefault="00D17CCA" w:rsidP="00E023F8">
      <w:pPr>
        <w:spacing w:after="120"/>
        <w:jc w:val="both"/>
        <w:rPr>
          <w:rFonts w:cstheme="minorHAnsi"/>
          <w:sz w:val="20"/>
          <w:szCs w:val="20"/>
        </w:rPr>
      </w:pPr>
      <w:r w:rsidRPr="00D17CCA">
        <w:rPr>
          <w:rFonts w:cstheme="minorHAnsi"/>
          <w:sz w:val="20"/>
          <w:szCs w:val="20"/>
        </w:rPr>
        <w:t>The purpose of this report is to provide an understanding of the U.S. cybersecurity insurance market, which encompasses insurers domiciled in the U.S., as well as alien surplus lines insurers that write cybersecurity coverage.</w:t>
      </w:r>
    </w:p>
    <w:p w14:paraId="69C00EC0" w14:textId="77777777" w:rsidR="00D17CCA" w:rsidRPr="00D17CCA" w:rsidRDefault="00D17CCA" w:rsidP="00D17CCA">
      <w:pPr>
        <w:spacing w:after="120"/>
        <w:rPr>
          <w:rFonts w:cstheme="minorHAnsi"/>
          <w:b/>
          <w:sz w:val="20"/>
          <w:szCs w:val="20"/>
        </w:rPr>
      </w:pPr>
      <w:r w:rsidRPr="00D17CCA">
        <w:rPr>
          <w:rFonts w:cstheme="minorHAnsi"/>
          <w:b/>
          <w:sz w:val="20"/>
          <w:szCs w:val="20"/>
        </w:rPr>
        <w:t>Overview</w:t>
      </w:r>
    </w:p>
    <w:p w14:paraId="0802BB70" w14:textId="77777777" w:rsidR="00D17CCA" w:rsidRPr="00D17CCA" w:rsidRDefault="00D17CCA" w:rsidP="00D17CCA">
      <w:pPr>
        <w:spacing w:before="120" w:after="120"/>
        <w:jc w:val="both"/>
        <w:rPr>
          <w:rFonts w:cstheme="minorHAnsi"/>
          <w:sz w:val="20"/>
          <w:szCs w:val="20"/>
        </w:rPr>
      </w:pPr>
      <w:bookmarkStart w:id="0" w:name="_Hlk19004676"/>
      <w:r w:rsidRPr="00D17CCA">
        <w:rPr>
          <w:rFonts w:cstheme="minorHAnsi"/>
          <w:sz w:val="20"/>
          <w:szCs w:val="20"/>
        </w:rPr>
        <w:t>Cybersecurity protection continues to be crucial to the effective and efficient operation of U.S. businesses. Insurers face cybersecurity risks in their daily operations, as do all firms in the financial sector. The reasons the financial services sector is susceptible to cyberthreats are multifaceted. Financial firms receive, maintain, and store substantial amounts of personally identifiable information (PII); however, insurers, in many cases, receive personal health information in addition to personal financial information from both policyholders and claimants. In both cases, recent legislation is potentially expanding the definition of PII, adding to the risk associated with a cybersecurity event.</w:t>
      </w:r>
    </w:p>
    <w:bookmarkEnd w:id="0"/>
    <w:p w14:paraId="6BDD6970" w14:textId="2ECF30BF" w:rsidR="00D17CCA" w:rsidRPr="00D17CCA" w:rsidRDefault="00D17CCA" w:rsidP="00D17CCA">
      <w:pPr>
        <w:spacing w:after="120"/>
        <w:jc w:val="both"/>
        <w:rPr>
          <w:rFonts w:cstheme="minorHAnsi"/>
          <w:sz w:val="20"/>
          <w:szCs w:val="20"/>
        </w:rPr>
      </w:pPr>
      <w:r w:rsidRPr="00D17CCA">
        <w:rPr>
          <w:rFonts w:cstheme="minorHAnsi"/>
          <w:sz w:val="20"/>
          <w:szCs w:val="20"/>
        </w:rPr>
        <w:t>Health care breaches continue to grow each year.</w:t>
      </w:r>
      <w:r w:rsidRPr="00D17CCA">
        <w:rPr>
          <w:rStyle w:val="FootnoteReference"/>
          <w:rFonts w:cstheme="minorHAnsi"/>
          <w:sz w:val="20"/>
          <w:szCs w:val="20"/>
        </w:rPr>
        <w:footnoteReference w:id="2"/>
      </w:r>
      <w:r w:rsidRPr="00D17CCA">
        <w:rPr>
          <w:rFonts w:cstheme="minorHAnsi"/>
          <w:sz w:val="20"/>
          <w:szCs w:val="20"/>
        </w:rPr>
        <w:t xml:space="preserve"> Health</w:t>
      </w:r>
      <w:r w:rsidR="00F80B47">
        <w:rPr>
          <w:rFonts w:cstheme="minorHAnsi"/>
          <w:sz w:val="20"/>
          <w:szCs w:val="20"/>
        </w:rPr>
        <w:t xml:space="preserve"> </w:t>
      </w:r>
      <w:r w:rsidRPr="00D17CCA">
        <w:rPr>
          <w:rFonts w:cstheme="minorHAnsi"/>
          <w:sz w:val="20"/>
          <w:szCs w:val="20"/>
        </w:rPr>
        <w:t>care breaches grew by approximately 55% during 2020,</w:t>
      </w:r>
      <w:r w:rsidRPr="00D17CCA">
        <w:rPr>
          <w:rStyle w:val="FootnoteReference"/>
          <w:rFonts w:cstheme="minorHAnsi"/>
          <w:sz w:val="20"/>
          <w:szCs w:val="20"/>
        </w:rPr>
        <w:footnoteReference w:id="3"/>
      </w:r>
      <w:r w:rsidRPr="00D17CCA">
        <w:rPr>
          <w:rFonts w:cstheme="minorHAnsi"/>
          <w:sz w:val="20"/>
          <w:szCs w:val="20"/>
        </w:rPr>
        <w:t xml:space="preserve"> and the number of health</w:t>
      </w:r>
      <w:r w:rsidR="00F80B47">
        <w:rPr>
          <w:rFonts w:cstheme="minorHAnsi"/>
          <w:sz w:val="20"/>
          <w:szCs w:val="20"/>
        </w:rPr>
        <w:t xml:space="preserve"> </w:t>
      </w:r>
      <w:r w:rsidRPr="00D17CCA">
        <w:rPr>
          <w:rFonts w:cstheme="minorHAnsi"/>
          <w:sz w:val="20"/>
          <w:szCs w:val="20"/>
        </w:rPr>
        <w:t>care breaches continues to rise in 2021</w:t>
      </w:r>
      <w:r w:rsidR="008F23E5">
        <w:rPr>
          <w:rFonts w:cstheme="minorHAnsi"/>
          <w:sz w:val="20"/>
          <w:szCs w:val="20"/>
        </w:rPr>
        <w:t>.</w:t>
      </w:r>
      <w:r w:rsidRPr="00D17CCA">
        <w:rPr>
          <w:rStyle w:val="FootnoteReference"/>
          <w:rFonts w:cstheme="minorHAnsi"/>
          <w:sz w:val="20"/>
          <w:szCs w:val="20"/>
        </w:rPr>
        <w:footnoteReference w:id="4"/>
      </w:r>
      <w:r w:rsidRPr="00D17CCA">
        <w:rPr>
          <w:rFonts w:cstheme="minorHAnsi"/>
          <w:sz w:val="20"/>
          <w:szCs w:val="20"/>
        </w:rPr>
        <w:t xml:space="preserve"> The increased value of personal health information is due to health information containing more PII than financial records.</w:t>
      </w:r>
    </w:p>
    <w:p w14:paraId="2822DEE8" w14:textId="15588D00" w:rsidR="00D17CCA" w:rsidRPr="00D17CCA" w:rsidRDefault="00D17CCA" w:rsidP="00D17CCA">
      <w:pPr>
        <w:spacing w:after="120"/>
        <w:jc w:val="both"/>
        <w:rPr>
          <w:rFonts w:cstheme="minorHAnsi"/>
          <w:sz w:val="20"/>
          <w:szCs w:val="20"/>
        </w:rPr>
      </w:pPr>
      <w:r w:rsidRPr="00D17CCA">
        <w:rPr>
          <w:rFonts w:cstheme="minorHAnsi"/>
          <w:sz w:val="20"/>
          <w:szCs w:val="20"/>
        </w:rPr>
        <w:t xml:space="preserve">The NAIC collects data from insurers writing cybersecurity insurance each year through the Property/Casualty Annual Statement Cybersecurity and Identity Theft Supplement (Cyber Supplement). This report focuses on the </w:t>
      </w:r>
      <w:r w:rsidR="00600112">
        <w:rPr>
          <w:rFonts w:cstheme="minorHAnsi"/>
          <w:sz w:val="20"/>
          <w:szCs w:val="20"/>
        </w:rPr>
        <w:t>cy</w:t>
      </w:r>
      <w:r w:rsidR="000D70E7">
        <w:rPr>
          <w:rFonts w:cstheme="minorHAnsi"/>
          <w:sz w:val="20"/>
          <w:szCs w:val="20"/>
        </w:rPr>
        <w:t xml:space="preserve">ber </w:t>
      </w:r>
      <w:r w:rsidR="00600112">
        <w:rPr>
          <w:rFonts w:cstheme="minorHAnsi"/>
          <w:sz w:val="20"/>
          <w:szCs w:val="20"/>
        </w:rPr>
        <w:t>insurance</w:t>
      </w:r>
      <w:r w:rsidRPr="00D17CCA">
        <w:rPr>
          <w:rFonts w:cstheme="minorHAnsi"/>
          <w:sz w:val="20"/>
          <w:szCs w:val="20"/>
        </w:rPr>
        <w:t xml:space="preserve"> market by presenting data found within the Cyber Supplement</w:t>
      </w:r>
      <w:r w:rsidR="00F673B8">
        <w:rPr>
          <w:rFonts w:cstheme="minorHAnsi"/>
          <w:sz w:val="20"/>
          <w:szCs w:val="20"/>
        </w:rPr>
        <w:t>,</w:t>
      </w:r>
      <w:r w:rsidRPr="00D17CCA">
        <w:rPr>
          <w:rFonts w:cstheme="minorHAnsi"/>
          <w:sz w:val="20"/>
          <w:szCs w:val="20"/>
        </w:rPr>
        <w:t xml:space="preserve"> as well as alien surplus lines data collected through the NAIC’s International Insurance Department. This year, </w:t>
      </w:r>
      <w:r w:rsidRPr="00D17CCA">
        <w:rPr>
          <w:rFonts w:cstheme="minorHAnsi"/>
          <w:color w:val="000000" w:themeColor="text1"/>
          <w:sz w:val="20"/>
          <w:szCs w:val="20"/>
        </w:rPr>
        <w:t xml:space="preserve">141 </w:t>
      </w:r>
      <w:r w:rsidRPr="00D17CCA">
        <w:rPr>
          <w:rFonts w:cstheme="minorHAnsi"/>
          <w:sz w:val="20"/>
          <w:szCs w:val="20"/>
        </w:rPr>
        <w:t xml:space="preserve">insurer </w:t>
      </w:r>
      <w:r w:rsidRPr="00D17CCA">
        <w:rPr>
          <w:rFonts w:cstheme="minorHAnsi"/>
          <w:color w:val="000000" w:themeColor="text1"/>
          <w:sz w:val="20"/>
          <w:szCs w:val="20"/>
        </w:rPr>
        <w:t xml:space="preserve">groups </w:t>
      </w:r>
      <w:r w:rsidRPr="00D17CCA">
        <w:rPr>
          <w:rFonts w:cstheme="minorHAnsi"/>
          <w:sz w:val="20"/>
          <w:szCs w:val="20"/>
        </w:rPr>
        <w:t xml:space="preserve">submitted the data on the </w:t>
      </w:r>
      <w:r w:rsidR="00825213">
        <w:rPr>
          <w:rFonts w:cstheme="minorHAnsi"/>
          <w:sz w:val="20"/>
          <w:szCs w:val="20"/>
        </w:rPr>
        <w:t xml:space="preserve">Cyber </w:t>
      </w:r>
      <w:r w:rsidRPr="00D17CCA">
        <w:rPr>
          <w:rFonts w:cstheme="minorHAnsi"/>
          <w:sz w:val="20"/>
          <w:szCs w:val="20"/>
        </w:rPr>
        <w:t>Supplement for the</w:t>
      </w:r>
      <w:r w:rsidR="00825213">
        <w:rPr>
          <w:rFonts w:cstheme="minorHAnsi"/>
          <w:sz w:val="20"/>
          <w:szCs w:val="20"/>
        </w:rPr>
        <w:t xml:space="preserve"> 2020</w:t>
      </w:r>
      <w:r w:rsidRPr="00D17CCA">
        <w:rPr>
          <w:rFonts w:cstheme="minorHAnsi"/>
          <w:sz w:val="20"/>
          <w:szCs w:val="20"/>
        </w:rPr>
        <w:t xml:space="preserve"> calendar year.</w:t>
      </w:r>
    </w:p>
    <w:p w14:paraId="5CCE2F70" w14:textId="1BC793DC" w:rsidR="00D17CCA" w:rsidRPr="00D17CCA" w:rsidRDefault="00D17CCA" w:rsidP="00D17CCA">
      <w:pPr>
        <w:spacing w:after="120"/>
        <w:jc w:val="both"/>
        <w:rPr>
          <w:sz w:val="20"/>
          <w:szCs w:val="20"/>
        </w:rPr>
      </w:pPr>
      <w:r w:rsidRPr="00D17CCA">
        <w:rPr>
          <w:sz w:val="20"/>
          <w:szCs w:val="20"/>
        </w:rPr>
        <w:t>The 2020 data show a cybersecurity insurance market, including both U.S. domiciled insurers and alien surplus lines insurers writing business in the U.S., of roughly $</w:t>
      </w:r>
      <w:r w:rsidRPr="00D17CCA">
        <w:rPr>
          <w:color w:val="000000" w:themeColor="text1"/>
          <w:sz w:val="20"/>
          <w:szCs w:val="20"/>
        </w:rPr>
        <w:t>4.1 </w:t>
      </w:r>
      <w:r w:rsidRPr="00D17CCA">
        <w:rPr>
          <w:sz w:val="20"/>
          <w:szCs w:val="20"/>
        </w:rPr>
        <w:t xml:space="preserve">billion in direct written premiums, </w:t>
      </w:r>
      <w:r w:rsidRPr="00D17CCA">
        <w:rPr>
          <w:color w:val="000000" w:themeColor="text1"/>
          <w:sz w:val="20"/>
          <w:szCs w:val="20"/>
        </w:rPr>
        <w:t xml:space="preserve">reflecting an increase of 29.1% </w:t>
      </w:r>
      <w:r w:rsidRPr="00D17CCA">
        <w:rPr>
          <w:sz w:val="20"/>
          <w:szCs w:val="20"/>
        </w:rPr>
        <w:t>from the prior year.</w:t>
      </w:r>
      <w:r w:rsidRPr="00D17CCA">
        <w:rPr>
          <w:rStyle w:val="FootnoteReference"/>
          <w:sz w:val="20"/>
          <w:szCs w:val="20"/>
        </w:rPr>
        <w:footnoteReference w:id="5"/>
      </w:r>
      <w:r w:rsidRPr="00D17CCA">
        <w:rPr>
          <w:sz w:val="20"/>
          <w:szCs w:val="20"/>
        </w:rPr>
        <w:t xml:space="preserve"> Insurers writing standalone cybersecurity insurance products reported approximately </w:t>
      </w:r>
      <w:r w:rsidRPr="00D17CCA">
        <w:rPr>
          <w:color w:val="000000" w:themeColor="text1"/>
          <w:sz w:val="20"/>
          <w:szCs w:val="20"/>
        </w:rPr>
        <w:t xml:space="preserve">$2.58 billion in direct written premiums, and those writing </w:t>
      </w:r>
      <w:r w:rsidRPr="00D17CCA">
        <w:rPr>
          <w:color w:val="000000" w:themeColor="text1"/>
          <w:sz w:val="20"/>
          <w:szCs w:val="20"/>
        </w:rPr>
        <w:lastRenderedPageBreak/>
        <w:t>cybersecurity insurance as part of a package policy reported roughly $</w:t>
      </w:r>
      <w:r w:rsidRPr="007F1AFF">
        <w:rPr>
          <w:color w:val="000000" w:themeColor="text1"/>
          <w:sz w:val="20"/>
          <w:szCs w:val="20"/>
        </w:rPr>
        <w:t>1.</w:t>
      </w:r>
      <w:r w:rsidRPr="00D17CCA">
        <w:rPr>
          <w:color w:val="000000" w:themeColor="text1"/>
          <w:sz w:val="20"/>
          <w:szCs w:val="20"/>
        </w:rPr>
        <w:t xml:space="preserve">49 billion </w:t>
      </w:r>
      <w:r w:rsidRPr="00D17CCA">
        <w:rPr>
          <w:sz w:val="20"/>
          <w:szCs w:val="20"/>
        </w:rPr>
        <w:t>in direct written premium.</w:t>
      </w:r>
      <w:r w:rsidRPr="00D17CCA">
        <w:rPr>
          <w:rStyle w:val="FootnoteReference"/>
          <w:sz w:val="20"/>
          <w:szCs w:val="20"/>
        </w:rPr>
        <w:footnoteReference w:id="6"/>
      </w:r>
    </w:p>
    <w:p w14:paraId="6CFECEA0" w14:textId="77777777" w:rsidR="00D17CCA" w:rsidRPr="00D17CCA" w:rsidRDefault="00D17CCA" w:rsidP="00D17CCA">
      <w:pPr>
        <w:spacing w:after="120"/>
        <w:jc w:val="both"/>
        <w:rPr>
          <w:rFonts w:cstheme="minorHAnsi"/>
          <w:b/>
          <w:sz w:val="20"/>
          <w:szCs w:val="20"/>
        </w:rPr>
      </w:pPr>
      <w:r w:rsidRPr="00D17CCA">
        <w:rPr>
          <w:rFonts w:cstheme="minorHAnsi"/>
          <w:b/>
          <w:sz w:val="20"/>
          <w:szCs w:val="20"/>
        </w:rPr>
        <w:t>Cybersecurity Insurance Coverage</w:t>
      </w:r>
    </w:p>
    <w:p w14:paraId="0649C265" w14:textId="710B3341" w:rsidR="00D17CCA" w:rsidRPr="00D17CCA" w:rsidRDefault="00D17CCA" w:rsidP="00D17CCA">
      <w:pPr>
        <w:spacing w:after="120"/>
        <w:jc w:val="both"/>
        <w:rPr>
          <w:rFonts w:cstheme="minorHAnsi"/>
          <w:sz w:val="20"/>
          <w:szCs w:val="20"/>
        </w:rPr>
      </w:pPr>
      <w:r w:rsidRPr="00D17CCA">
        <w:rPr>
          <w:rFonts w:cstheme="minorHAnsi"/>
          <w:sz w:val="20"/>
          <w:szCs w:val="20"/>
        </w:rPr>
        <w:t xml:space="preserve">The </w:t>
      </w:r>
      <w:r w:rsidR="00150837">
        <w:rPr>
          <w:rFonts w:cstheme="minorHAnsi"/>
          <w:sz w:val="20"/>
          <w:szCs w:val="20"/>
        </w:rPr>
        <w:t xml:space="preserve">Cyber </w:t>
      </w:r>
      <w:r w:rsidRPr="00D17CCA">
        <w:rPr>
          <w:rFonts w:cstheme="minorHAnsi"/>
          <w:sz w:val="20"/>
          <w:szCs w:val="20"/>
        </w:rPr>
        <w:t>Supplement requires U.S. domiciled insurers to report the following information on standalone cybersecurity insurance policies and coverage sold as part of a package policy:</w:t>
      </w:r>
    </w:p>
    <w:p w14:paraId="56B35051" w14:textId="77777777" w:rsidR="00D17CCA" w:rsidRPr="00D17CCA" w:rsidRDefault="00D17CCA" w:rsidP="00D17CCA">
      <w:pPr>
        <w:pStyle w:val="ListParagraph"/>
        <w:numPr>
          <w:ilvl w:val="0"/>
          <w:numId w:val="1"/>
        </w:numPr>
        <w:spacing w:after="0" w:line="240" w:lineRule="auto"/>
        <w:contextualSpacing w:val="0"/>
        <w:jc w:val="both"/>
        <w:rPr>
          <w:rFonts w:cstheme="minorHAnsi"/>
          <w:sz w:val="20"/>
          <w:szCs w:val="20"/>
        </w:rPr>
      </w:pPr>
      <w:r w:rsidRPr="00D17CCA">
        <w:rPr>
          <w:rFonts w:cstheme="minorHAnsi"/>
          <w:sz w:val="20"/>
          <w:szCs w:val="20"/>
        </w:rPr>
        <w:t>Number of claims reported (first-party and third-party).</w:t>
      </w:r>
    </w:p>
    <w:p w14:paraId="381D1309" w14:textId="77777777" w:rsidR="00D17CCA" w:rsidRPr="00D17CCA" w:rsidRDefault="00D17CCA" w:rsidP="00D17CCA">
      <w:pPr>
        <w:pStyle w:val="ListParagraph"/>
        <w:numPr>
          <w:ilvl w:val="0"/>
          <w:numId w:val="1"/>
        </w:numPr>
        <w:spacing w:after="0" w:line="240" w:lineRule="auto"/>
        <w:contextualSpacing w:val="0"/>
        <w:jc w:val="both"/>
        <w:rPr>
          <w:rFonts w:cstheme="minorHAnsi"/>
          <w:sz w:val="20"/>
          <w:szCs w:val="20"/>
        </w:rPr>
      </w:pPr>
      <w:r w:rsidRPr="00D17CCA">
        <w:rPr>
          <w:rFonts w:cstheme="minorHAnsi"/>
          <w:sz w:val="20"/>
          <w:szCs w:val="20"/>
        </w:rPr>
        <w:t>Direct premiums written and earned.</w:t>
      </w:r>
    </w:p>
    <w:p w14:paraId="4E70116B" w14:textId="77777777" w:rsidR="00D17CCA" w:rsidRPr="00D17CCA" w:rsidRDefault="00D17CCA" w:rsidP="00D17CCA">
      <w:pPr>
        <w:pStyle w:val="ListParagraph"/>
        <w:numPr>
          <w:ilvl w:val="0"/>
          <w:numId w:val="1"/>
        </w:numPr>
        <w:spacing w:after="0" w:line="240" w:lineRule="auto"/>
        <w:contextualSpacing w:val="0"/>
        <w:jc w:val="both"/>
        <w:rPr>
          <w:rFonts w:cstheme="minorHAnsi"/>
          <w:sz w:val="20"/>
          <w:szCs w:val="20"/>
        </w:rPr>
      </w:pPr>
      <w:r w:rsidRPr="00D17CCA">
        <w:rPr>
          <w:rFonts w:cstheme="minorHAnsi"/>
          <w:sz w:val="20"/>
          <w:szCs w:val="20"/>
        </w:rPr>
        <w:t>Direct losses paid and incurred.</w:t>
      </w:r>
    </w:p>
    <w:p w14:paraId="3C5904D9" w14:textId="77777777" w:rsidR="00D17CCA" w:rsidRPr="00D17CCA" w:rsidRDefault="00D17CCA" w:rsidP="00D17CCA">
      <w:pPr>
        <w:pStyle w:val="ListParagraph"/>
        <w:numPr>
          <w:ilvl w:val="0"/>
          <w:numId w:val="1"/>
        </w:numPr>
        <w:spacing w:after="0" w:line="240" w:lineRule="auto"/>
        <w:contextualSpacing w:val="0"/>
        <w:jc w:val="both"/>
        <w:rPr>
          <w:rFonts w:cstheme="minorHAnsi"/>
          <w:sz w:val="20"/>
          <w:szCs w:val="20"/>
        </w:rPr>
      </w:pPr>
      <w:r w:rsidRPr="00D17CCA">
        <w:rPr>
          <w:rFonts w:cstheme="minorHAnsi"/>
          <w:sz w:val="20"/>
          <w:szCs w:val="20"/>
        </w:rPr>
        <w:t>Adjusting and other expenses paid and incurred.</w:t>
      </w:r>
    </w:p>
    <w:p w14:paraId="3E1BBD8B" w14:textId="77777777" w:rsidR="00D17CCA" w:rsidRPr="00D17CCA" w:rsidRDefault="00D17CCA" w:rsidP="00D17CCA">
      <w:pPr>
        <w:pStyle w:val="ListParagraph"/>
        <w:numPr>
          <w:ilvl w:val="0"/>
          <w:numId w:val="1"/>
        </w:numPr>
        <w:spacing w:after="0" w:line="240" w:lineRule="auto"/>
        <w:contextualSpacing w:val="0"/>
        <w:jc w:val="both"/>
        <w:rPr>
          <w:rFonts w:cstheme="minorHAnsi"/>
          <w:sz w:val="20"/>
          <w:szCs w:val="20"/>
        </w:rPr>
      </w:pPr>
      <w:r w:rsidRPr="00D17CCA">
        <w:rPr>
          <w:rFonts w:cstheme="minorHAnsi"/>
          <w:sz w:val="20"/>
          <w:szCs w:val="20"/>
        </w:rPr>
        <w:t>Defense and cost containment expenses paid and incurred.</w:t>
      </w:r>
    </w:p>
    <w:p w14:paraId="494346A0" w14:textId="55BA3C59" w:rsidR="00D17CCA" w:rsidRPr="00D17CCA" w:rsidRDefault="00D17CCA" w:rsidP="00D17CCA">
      <w:pPr>
        <w:pStyle w:val="ListParagraph"/>
        <w:numPr>
          <w:ilvl w:val="0"/>
          <w:numId w:val="1"/>
        </w:numPr>
        <w:spacing w:after="120" w:line="240" w:lineRule="auto"/>
        <w:contextualSpacing w:val="0"/>
        <w:jc w:val="both"/>
        <w:rPr>
          <w:rFonts w:cstheme="minorHAnsi"/>
          <w:sz w:val="20"/>
          <w:szCs w:val="20"/>
        </w:rPr>
      </w:pPr>
      <w:r w:rsidRPr="00D17CCA">
        <w:rPr>
          <w:rFonts w:cstheme="minorHAnsi"/>
          <w:sz w:val="20"/>
          <w:szCs w:val="20"/>
        </w:rPr>
        <w:t>Number of policies in</w:t>
      </w:r>
      <w:r w:rsidR="00051B2E">
        <w:rPr>
          <w:rFonts w:cstheme="minorHAnsi"/>
          <w:sz w:val="20"/>
          <w:szCs w:val="20"/>
        </w:rPr>
        <w:t xml:space="preserve"> </w:t>
      </w:r>
      <w:r w:rsidRPr="00D17CCA">
        <w:rPr>
          <w:rFonts w:cstheme="minorHAnsi"/>
          <w:sz w:val="20"/>
          <w:szCs w:val="20"/>
        </w:rPr>
        <w:t>force (claims made and occurrence).</w:t>
      </w:r>
    </w:p>
    <w:p w14:paraId="34F94CC1" w14:textId="77777777" w:rsidR="00D17CCA" w:rsidRPr="00D17CCA" w:rsidRDefault="00D17CCA" w:rsidP="00D17CCA">
      <w:pPr>
        <w:spacing w:before="120" w:after="120"/>
        <w:jc w:val="both"/>
        <w:rPr>
          <w:rFonts w:cstheme="minorHAnsi"/>
          <w:b/>
          <w:sz w:val="20"/>
          <w:szCs w:val="20"/>
        </w:rPr>
      </w:pPr>
      <w:r w:rsidRPr="00D17CCA">
        <w:rPr>
          <w:rFonts w:cstheme="minorHAnsi"/>
          <w:b/>
          <w:sz w:val="20"/>
          <w:szCs w:val="20"/>
        </w:rPr>
        <w:t>Total Market – U.S. Domiciled Insurers</w:t>
      </w:r>
    </w:p>
    <w:p w14:paraId="5B025FC7" w14:textId="77777777" w:rsidR="00D17CCA" w:rsidRPr="00D17CCA" w:rsidRDefault="00D17CCA" w:rsidP="00BD58DC">
      <w:pPr>
        <w:spacing w:before="120" w:after="120"/>
        <w:jc w:val="both"/>
        <w:rPr>
          <w:rFonts w:cstheme="minorHAnsi"/>
          <w:sz w:val="20"/>
          <w:szCs w:val="20"/>
        </w:rPr>
      </w:pPr>
      <w:r w:rsidRPr="00D17CCA">
        <w:rPr>
          <w:rFonts w:cstheme="minorHAnsi"/>
          <w:sz w:val="20"/>
          <w:szCs w:val="20"/>
        </w:rPr>
        <w:t xml:space="preserve">U.S. domiciled insurers writing cyber coverage reported $2.75 billion in direct written premium in 2020. Direct earned premiums reported were </w:t>
      </w:r>
      <w:r w:rsidRPr="00D17CCA">
        <w:rPr>
          <w:rFonts w:cstheme="minorHAnsi"/>
          <w:color w:val="000000" w:themeColor="text1"/>
          <w:sz w:val="20"/>
          <w:szCs w:val="20"/>
        </w:rPr>
        <w:t xml:space="preserve">$2.43 </w:t>
      </w:r>
      <w:r w:rsidRPr="00D17CCA">
        <w:rPr>
          <w:rFonts w:cstheme="minorHAnsi"/>
          <w:sz w:val="20"/>
          <w:szCs w:val="20"/>
        </w:rPr>
        <w:t xml:space="preserve">billion. Direct written premiums for the 2020 data year increased by </w:t>
      </w:r>
      <w:r w:rsidRPr="00D17CCA">
        <w:rPr>
          <w:rFonts w:cstheme="minorHAnsi"/>
          <w:color w:val="000000" w:themeColor="text1"/>
          <w:sz w:val="20"/>
          <w:szCs w:val="20"/>
        </w:rPr>
        <w:t>21.7</w:t>
      </w:r>
      <w:r w:rsidRPr="00D17CCA">
        <w:rPr>
          <w:rFonts w:cstheme="minorHAnsi"/>
          <w:sz w:val="20"/>
          <w:szCs w:val="20"/>
        </w:rPr>
        <w:t>% from the 2019 data year.</w:t>
      </w:r>
    </w:p>
    <w:p w14:paraId="05214311" w14:textId="77777777" w:rsidR="00D17CCA" w:rsidRPr="00665022" w:rsidRDefault="00D17CCA" w:rsidP="00BD58DC">
      <w:pPr>
        <w:spacing w:before="120" w:after="360"/>
        <w:jc w:val="center"/>
        <w:rPr>
          <w:rFonts w:cstheme="minorHAnsi"/>
          <w:bCs/>
          <w:szCs w:val="20"/>
        </w:rPr>
      </w:pPr>
      <w:r w:rsidRPr="00665022">
        <w:rPr>
          <w:rFonts w:cstheme="minorHAnsi"/>
          <w:noProof/>
          <w:color w:val="2B579A"/>
          <w:shd w:val="clear" w:color="auto" w:fill="E6E6E6"/>
        </w:rPr>
        <w:drawing>
          <wp:inline distT="0" distB="0" distL="0" distR="0" wp14:anchorId="68169A9F" wp14:editId="77A000BE">
            <wp:extent cx="4218420" cy="3252083"/>
            <wp:effectExtent l="0" t="0" r="0" b="5715"/>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270923" cy="3292559"/>
                    </a:xfrm>
                    <a:prstGeom prst="rect">
                      <a:avLst/>
                    </a:prstGeom>
                  </pic:spPr>
                </pic:pic>
              </a:graphicData>
            </a:graphic>
          </wp:inline>
        </w:drawing>
      </w:r>
    </w:p>
    <w:p w14:paraId="7602C3F7" w14:textId="2B448DE0" w:rsidR="007D3D2F" w:rsidRPr="007D3D2F" w:rsidRDefault="007D3D2F" w:rsidP="007D3D2F">
      <w:pPr>
        <w:spacing w:after="120"/>
        <w:jc w:val="both"/>
        <w:rPr>
          <w:rFonts w:ascii="Calibri" w:eastAsia="Times New Roman" w:hAnsi="Calibri" w:cs="Calibri"/>
          <w:color w:val="000000"/>
          <w:sz w:val="20"/>
          <w:szCs w:val="20"/>
        </w:rPr>
      </w:pPr>
      <w:r w:rsidRPr="007D3D2F">
        <w:rPr>
          <w:rFonts w:ascii="Calibri" w:eastAsia="Times New Roman" w:hAnsi="Calibri" w:cs="Calibri"/>
          <w:color w:val="000000"/>
          <w:sz w:val="20"/>
          <w:szCs w:val="20"/>
        </w:rPr>
        <w:lastRenderedPageBreak/>
        <w:t>To provide perspective, total U.S. domiciled insurers cyber direct written premiums of $2.75 billion account for only 0.38% of $727 billion</w:t>
      </w:r>
      <w:r w:rsidRPr="007D3D2F">
        <w:rPr>
          <w:rFonts w:ascii="Calibri" w:eastAsia="Times New Roman" w:hAnsi="Calibri" w:cs="Calibri"/>
          <w:color w:val="000000"/>
          <w:sz w:val="20"/>
          <w:szCs w:val="20"/>
          <w:vertAlign w:val="superscript"/>
        </w:rPr>
        <w:footnoteReference w:id="7"/>
      </w:r>
      <w:r w:rsidRPr="007D3D2F">
        <w:rPr>
          <w:rFonts w:ascii="Calibri" w:eastAsia="Times New Roman" w:hAnsi="Calibri" w:cs="Calibri"/>
          <w:color w:val="000000"/>
          <w:sz w:val="20"/>
          <w:szCs w:val="20"/>
        </w:rPr>
        <w:t xml:space="preserve"> property/casualty (P/C) direct written premium in the U.S.</w:t>
      </w:r>
    </w:p>
    <w:p w14:paraId="6324E366" w14:textId="74FF3373" w:rsidR="007D3D2F" w:rsidRPr="007D3D2F" w:rsidRDefault="007D3D2F" w:rsidP="00DF1A52">
      <w:pPr>
        <w:spacing w:before="120" w:after="120"/>
        <w:jc w:val="both"/>
        <w:rPr>
          <w:rFonts w:ascii="Calibri" w:eastAsia="Times New Roman" w:hAnsi="Calibri" w:cs="Calibri"/>
          <w:sz w:val="20"/>
          <w:szCs w:val="20"/>
        </w:rPr>
      </w:pPr>
      <w:r w:rsidRPr="007D3D2F">
        <w:rPr>
          <w:rFonts w:ascii="Calibri" w:eastAsia="Times New Roman" w:hAnsi="Calibri" w:cs="Calibri"/>
          <w:sz w:val="20"/>
          <w:szCs w:val="20"/>
        </w:rPr>
        <w:t xml:space="preserve">During the 2020 calendar year, U.S. domiciled insurers reported a total of a little over four million policies in force. Policies in force increased by 21.3% from 2019 to 2020, approximately the same percentage increase insurers saw in premium growth. Average policy cost rose by </w:t>
      </w:r>
      <w:r w:rsidR="00CF6C6B">
        <w:rPr>
          <w:rFonts w:ascii="Calibri" w:eastAsia="Times New Roman" w:hAnsi="Calibri" w:cs="Calibri"/>
          <w:sz w:val="20"/>
          <w:szCs w:val="20"/>
        </w:rPr>
        <w:t>0</w:t>
      </w:r>
      <w:r w:rsidRPr="007D3D2F">
        <w:rPr>
          <w:rFonts w:ascii="Calibri" w:eastAsia="Times New Roman" w:hAnsi="Calibri" w:cs="Calibri"/>
          <w:sz w:val="20"/>
          <w:szCs w:val="20"/>
        </w:rPr>
        <w:t>.38%. Policy prices have risen in 2021, and this will likely be reflected in the 2021 data to be reported next year.</w:t>
      </w:r>
    </w:p>
    <w:p w14:paraId="1934A5E3" w14:textId="77777777" w:rsidR="007D3D2F" w:rsidRPr="007D3D2F" w:rsidRDefault="007D3D2F" w:rsidP="00567D68">
      <w:pPr>
        <w:spacing w:before="120" w:after="120"/>
        <w:jc w:val="center"/>
        <w:rPr>
          <w:rFonts w:ascii="Times New Roman" w:eastAsia="Times New Roman" w:hAnsi="Times New Roman" w:cs="Calibri"/>
          <w:bCs/>
          <w:szCs w:val="20"/>
        </w:rPr>
      </w:pPr>
      <w:r w:rsidRPr="007D3D2F">
        <w:rPr>
          <w:rFonts w:ascii="Times New Roman" w:eastAsia="Times New Roman" w:hAnsi="Times New Roman" w:cs="Calibri"/>
          <w:noProof/>
          <w:color w:val="2B579A"/>
          <w:shd w:val="clear" w:color="auto" w:fill="E6E6E6"/>
        </w:rPr>
        <w:drawing>
          <wp:inline distT="0" distB="0" distL="0" distR="0" wp14:anchorId="13CCA32D" wp14:editId="2B975022">
            <wp:extent cx="4325350" cy="3283888"/>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4354140" cy="3305746"/>
                    </a:xfrm>
                    <a:prstGeom prst="rect">
                      <a:avLst/>
                    </a:prstGeom>
                  </pic:spPr>
                </pic:pic>
              </a:graphicData>
            </a:graphic>
          </wp:inline>
        </w:drawing>
      </w:r>
    </w:p>
    <w:p w14:paraId="5F14CC8F" w14:textId="77777777" w:rsidR="00F53489" w:rsidRPr="00085B4C" w:rsidRDefault="00F53489" w:rsidP="00F53489">
      <w:pPr>
        <w:spacing w:before="120" w:after="120"/>
        <w:jc w:val="both"/>
        <w:rPr>
          <w:rFonts w:eastAsia="Times New Roman" w:cstheme="minorHAnsi"/>
          <w:sz w:val="20"/>
          <w:szCs w:val="20"/>
        </w:rPr>
      </w:pPr>
      <w:r w:rsidRPr="00085B4C">
        <w:rPr>
          <w:rFonts w:eastAsia="Times New Roman" w:cstheme="minorHAnsi"/>
          <w:b/>
          <w:bCs/>
          <w:sz w:val="20"/>
          <w:szCs w:val="20"/>
        </w:rPr>
        <w:t>Loss Ratios</w:t>
      </w:r>
    </w:p>
    <w:p w14:paraId="3BF86C2E" w14:textId="33F2F68B" w:rsidR="00F53489" w:rsidRPr="00F53489" w:rsidRDefault="00F53489" w:rsidP="00F53489">
      <w:pPr>
        <w:spacing w:before="120" w:after="120"/>
        <w:jc w:val="both"/>
        <w:rPr>
          <w:rFonts w:ascii="Calibri" w:eastAsia="Times New Roman" w:hAnsi="Calibri" w:cs="Calibri"/>
          <w:noProof/>
          <w:sz w:val="20"/>
          <w:szCs w:val="20"/>
        </w:rPr>
      </w:pPr>
      <w:r w:rsidRPr="00F53489">
        <w:rPr>
          <w:rFonts w:ascii="Calibri" w:eastAsia="Times New Roman" w:hAnsi="Calibri" w:cs="Calibri"/>
          <w:sz w:val="20"/>
          <w:szCs w:val="20"/>
        </w:rPr>
        <w:t xml:space="preserve">The top 20 groups in the </w:t>
      </w:r>
      <w:r w:rsidR="00600112">
        <w:rPr>
          <w:rFonts w:ascii="Calibri" w:eastAsia="Times New Roman" w:hAnsi="Calibri" w:cs="Calibri"/>
          <w:sz w:val="20"/>
          <w:szCs w:val="20"/>
        </w:rPr>
        <w:t>cyber insurance</w:t>
      </w:r>
      <w:r w:rsidRPr="00F53489">
        <w:rPr>
          <w:rFonts w:ascii="Calibri" w:eastAsia="Times New Roman" w:hAnsi="Calibri" w:cs="Calibri"/>
          <w:sz w:val="20"/>
          <w:szCs w:val="20"/>
        </w:rPr>
        <w:t xml:space="preserve"> market reported direct loss ratios in the range of 24.6% to 114.1%. The figure below depicts the average loss ratios over the past four years. The loss ratio for 2020 for the top 20 groups averaged 66.9%, up from 44.6% in 2019.</w:t>
      </w:r>
      <w:r w:rsidRPr="00F53489">
        <w:rPr>
          <w:rFonts w:ascii="Calibri" w:eastAsia="Times New Roman" w:hAnsi="Calibri" w:cs="Calibri"/>
          <w:noProof/>
          <w:sz w:val="20"/>
          <w:szCs w:val="20"/>
        </w:rPr>
        <w:t xml:space="preserve"> </w:t>
      </w:r>
    </w:p>
    <w:p w14:paraId="445AFF92" w14:textId="6F0E673E" w:rsidR="00F53489" w:rsidRPr="00F53489" w:rsidRDefault="00F53489" w:rsidP="00F53489">
      <w:pPr>
        <w:spacing w:after="360"/>
        <w:jc w:val="both"/>
        <w:rPr>
          <w:rFonts w:ascii="Calibri" w:eastAsia="Times New Roman" w:hAnsi="Calibri" w:cs="Calibri"/>
          <w:sz w:val="20"/>
          <w:szCs w:val="20"/>
        </w:rPr>
      </w:pPr>
      <w:r w:rsidRPr="00F53489">
        <w:rPr>
          <w:rFonts w:ascii="Calibri" w:eastAsia="Times New Roman" w:hAnsi="Calibri" w:cs="Calibri"/>
          <w:sz w:val="20"/>
          <w:szCs w:val="20"/>
        </w:rPr>
        <w:t>Exhibit 1 presents the loss ratios for these insurer groups. It is important to note that the cybersecurity insurance market is still developing. Therefore, an element of catastrophe exposure continues to exist. The cyber market continues to be a developing market</w:t>
      </w:r>
      <w:r w:rsidR="00167A9A">
        <w:rPr>
          <w:rFonts w:ascii="Calibri" w:eastAsia="Times New Roman" w:hAnsi="Calibri" w:cs="Calibri"/>
          <w:sz w:val="20"/>
          <w:szCs w:val="20"/>
        </w:rPr>
        <w:t>;</w:t>
      </w:r>
      <w:r w:rsidRPr="00F53489">
        <w:rPr>
          <w:rFonts w:ascii="Calibri" w:eastAsia="Times New Roman" w:hAnsi="Calibri" w:cs="Calibri"/>
          <w:sz w:val="20"/>
          <w:szCs w:val="20"/>
        </w:rPr>
        <w:t xml:space="preserve"> as a result</w:t>
      </w:r>
      <w:r w:rsidR="00167A9A">
        <w:rPr>
          <w:rFonts w:ascii="Calibri" w:eastAsia="Times New Roman" w:hAnsi="Calibri" w:cs="Calibri"/>
          <w:sz w:val="20"/>
          <w:szCs w:val="20"/>
        </w:rPr>
        <w:t>,</w:t>
      </w:r>
      <w:r w:rsidRPr="00F53489">
        <w:rPr>
          <w:rFonts w:ascii="Calibri" w:eastAsia="Times New Roman" w:hAnsi="Calibri" w:cs="Calibri"/>
          <w:sz w:val="20"/>
          <w:szCs w:val="20"/>
        </w:rPr>
        <w:t xml:space="preserve"> the wide range of loss ratios is not unanticipated. </w:t>
      </w:r>
    </w:p>
    <w:p w14:paraId="720B5C3A" w14:textId="77777777" w:rsidR="00F53489" w:rsidRPr="00F53489" w:rsidRDefault="00F53489" w:rsidP="00811E2C">
      <w:pPr>
        <w:spacing w:before="120" w:after="120"/>
        <w:jc w:val="center"/>
        <w:rPr>
          <w:rFonts w:ascii="Times New Roman" w:eastAsia="Times New Roman" w:hAnsi="Times New Roman" w:cs="Times New Roman"/>
        </w:rPr>
      </w:pPr>
      <w:r w:rsidRPr="00F53489">
        <w:rPr>
          <w:rFonts w:ascii="Times New Roman" w:eastAsia="Times New Roman" w:hAnsi="Times New Roman" w:cs="Times New Roman"/>
          <w:noProof/>
        </w:rPr>
        <w:lastRenderedPageBreak/>
        <w:drawing>
          <wp:inline distT="0" distB="0" distL="0" distR="0" wp14:anchorId="38DE1542" wp14:editId="7E7DC3F0">
            <wp:extent cx="4333461" cy="3118975"/>
            <wp:effectExtent l="0" t="0" r="0" b="5715"/>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65699" cy="3214152"/>
                    </a:xfrm>
                    <a:prstGeom prst="rect">
                      <a:avLst/>
                    </a:prstGeom>
                  </pic:spPr>
                </pic:pic>
              </a:graphicData>
            </a:graphic>
          </wp:inline>
        </w:drawing>
      </w:r>
    </w:p>
    <w:p w14:paraId="468BD5FA" w14:textId="0AE8FCAE" w:rsidR="00920C26" w:rsidRPr="00811E2C" w:rsidRDefault="00920C26" w:rsidP="00811E2C">
      <w:pPr>
        <w:spacing w:before="120" w:after="120"/>
        <w:rPr>
          <w:rFonts w:cstheme="minorHAnsi"/>
          <w:sz w:val="20"/>
          <w:szCs w:val="20"/>
        </w:rPr>
      </w:pPr>
      <w:r w:rsidRPr="00811E2C">
        <w:rPr>
          <w:rFonts w:cstheme="minorHAnsi"/>
          <w:sz w:val="20"/>
          <w:szCs w:val="20"/>
        </w:rPr>
        <w:t xml:space="preserve">The top 20 U.S. groups writing standalone and package </w:t>
      </w:r>
      <w:r w:rsidR="00600112">
        <w:rPr>
          <w:rFonts w:cstheme="minorHAnsi"/>
          <w:sz w:val="20"/>
          <w:szCs w:val="20"/>
        </w:rPr>
        <w:t>cyber insurance</w:t>
      </w:r>
      <w:r w:rsidRPr="00811E2C">
        <w:rPr>
          <w:rFonts w:cstheme="minorHAnsi"/>
          <w:sz w:val="20"/>
          <w:szCs w:val="20"/>
        </w:rPr>
        <w:t xml:space="preserve"> combined are listed in the table below.</w:t>
      </w:r>
    </w:p>
    <w:tbl>
      <w:tblPr>
        <w:tblW w:w="8023" w:type="dxa"/>
        <w:tblInd w:w="-10" w:type="dxa"/>
        <w:tblLook w:val="04A0" w:firstRow="1" w:lastRow="0" w:firstColumn="1" w:lastColumn="0" w:noHBand="0" w:noVBand="1"/>
      </w:tblPr>
      <w:tblGrid>
        <w:gridCol w:w="792"/>
        <w:gridCol w:w="792"/>
        <w:gridCol w:w="2546"/>
        <w:gridCol w:w="1544"/>
        <w:gridCol w:w="1154"/>
        <w:gridCol w:w="1195"/>
      </w:tblGrid>
      <w:tr w:rsidR="005669A3" w14:paraId="1EDE3A97" w14:textId="77777777" w:rsidTr="00AB5FB5">
        <w:trPr>
          <w:trHeight w:val="432"/>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9CAE36" w14:textId="77777777" w:rsidR="00920C26" w:rsidRPr="002468C2" w:rsidRDefault="00920C26" w:rsidP="009E7CDA">
            <w:pPr>
              <w:jc w:val="center"/>
              <w:rPr>
                <w:rFonts w:ascii="Calibri" w:hAnsi="Calibri" w:cs="Calibri"/>
                <w:b/>
                <w:bCs/>
                <w:color w:val="000000"/>
                <w:sz w:val="18"/>
                <w:szCs w:val="18"/>
              </w:rPr>
            </w:pPr>
            <w:r w:rsidRPr="002468C2">
              <w:rPr>
                <w:rFonts w:ascii="Calibri" w:hAnsi="Calibri" w:cstheme="minorHAnsi"/>
                <w:b/>
                <w:bCs/>
                <w:color w:val="000000"/>
                <w:sz w:val="18"/>
                <w:szCs w:val="18"/>
              </w:rPr>
              <w:t>2020 RANK</w:t>
            </w:r>
          </w:p>
        </w:tc>
        <w:tc>
          <w:tcPr>
            <w:tcW w:w="792" w:type="dxa"/>
            <w:tcBorders>
              <w:top w:val="single" w:sz="8" w:space="0" w:color="auto"/>
              <w:left w:val="nil"/>
              <w:bottom w:val="single" w:sz="8" w:space="0" w:color="auto"/>
              <w:right w:val="single" w:sz="8" w:space="0" w:color="auto"/>
            </w:tcBorders>
            <w:shd w:val="clear" w:color="auto" w:fill="auto"/>
            <w:vAlign w:val="center"/>
            <w:hideMark/>
          </w:tcPr>
          <w:p w14:paraId="7ED43803" w14:textId="77777777" w:rsidR="00920C26" w:rsidRPr="002468C2" w:rsidRDefault="00920C26" w:rsidP="009E7CDA">
            <w:pPr>
              <w:jc w:val="center"/>
              <w:rPr>
                <w:rFonts w:ascii="Calibri" w:hAnsi="Calibri" w:cs="Calibri"/>
                <w:b/>
                <w:bCs/>
                <w:color w:val="000000"/>
                <w:sz w:val="18"/>
                <w:szCs w:val="18"/>
              </w:rPr>
            </w:pPr>
            <w:r w:rsidRPr="002468C2">
              <w:rPr>
                <w:rFonts w:ascii="Calibri" w:hAnsi="Calibri" w:cstheme="minorHAnsi"/>
                <w:b/>
                <w:bCs/>
                <w:color w:val="000000"/>
                <w:sz w:val="18"/>
                <w:szCs w:val="18"/>
              </w:rPr>
              <w:t>2019 RANK</w:t>
            </w:r>
          </w:p>
        </w:tc>
        <w:tc>
          <w:tcPr>
            <w:tcW w:w="2546" w:type="dxa"/>
            <w:tcBorders>
              <w:top w:val="single" w:sz="8" w:space="0" w:color="auto"/>
              <w:left w:val="nil"/>
              <w:bottom w:val="single" w:sz="8" w:space="0" w:color="auto"/>
              <w:right w:val="single" w:sz="8" w:space="0" w:color="auto"/>
            </w:tcBorders>
            <w:shd w:val="clear" w:color="auto" w:fill="auto"/>
            <w:vAlign w:val="center"/>
            <w:hideMark/>
          </w:tcPr>
          <w:p w14:paraId="2E75C899" w14:textId="77777777" w:rsidR="00920C26" w:rsidRPr="002468C2" w:rsidRDefault="00920C26" w:rsidP="009E7CDA">
            <w:pPr>
              <w:rPr>
                <w:rFonts w:ascii="Calibri" w:hAnsi="Calibri" w:cs="Calibri"/>
                <w:b/>
                <w:bCs/>
                <w:color w:val="000000"/>
                <w:sz w:val="18"/>
                <w:szCs w:val="18"/>
              </w:rPr>
            </w:pPr>
            <w:r w:rsidRPr="002468C2">
              <w:rPr>
                <w:rFonts w:ascii="Calibri" w:hAnsi="Calibri" w:cstheme="minorHAnsi"/>
                <w:b/>
                <w:bCs/>
                <w:color w:val="000000"/>
                <w:sz w:val="18"/>
                <w:szCs w:val="18"/>
              </w:rPr>
              <w:t>GROUP NAME</w:t>
            </w:r>
          </w:p>
        </w:tc>
        <w:tc>
          <w:tcPr>
            <w:tcW w:w="1544" w:type="dxa"/>
            <w:tcBorders>
              <w:top w:val="single" w:sz="8" w:space="0" w:color="auto"/>
              <w:left w:val="nil"/>
              <w:bottom w:val="single" w:sz="8" w:space="0" w:color="auto"/>
              <w:right w:val="single" w:sz="8" w:space="0" w:color="auto"/>
            </w:tcBorders>
            <w:shd w:val="clear" w:color="auto" w:fill="auto"/>
            <w:vAlign w:val="center"/>
            <w:hideMark/>
          </w:tcPr>
          <w:p w14:paraId="779D52A5" w14:textId="77777777" w:rsidR="00920C26" w:rsidRPr="002468C2" w:rsidRDefault="00920C26" w:rsidP="009E7CDA">
            <w:pPr>
              <w:jc w:val="center"/>
              <w:rPr>
                <w:rFonts w:ascii="Calibri" w:hAnsi="Calibri" w:cs="Calibri"/>
                <w:b/>
                <w:bCs/>
                <w:color w:val="000000"/>
                <w:sz w:val="18"/>
                <w:szCs w:val="18"/>
              </w:rPr>
            </w:pPr>
            <w:r w:rsidRPr="002468C2">
              <w:rPr>
                <w:rFonts w:ascii="Calibri" w:hAnsi="Calibri" w:cstheme="minorHAnsi"/>
                <w:b/>
                <w:bCs/>
                <w:color w:val="000000"/>
                <w:sz w:val="18"/>
                <w:szCs w:val="18"/>
              </w:rPr>
              <w:t>DIRECT WRITTEN PREMIUM</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69788591" w14:textId="77777777" w:rsidR="00920C26" w:rsidRPr="002468C2" w:rsidRDefault="00920C26" w:rsidP="009E7CDA">
            <w:pPr>
              <w:jc w:val="center"/>
              <w:rPr>
                <w:rFonts w:ascii="Calibri" w:hAnsi="Calibri" w:cs="Calibri"/>
                <w:b/>
                <w:bCs/>
                <w:color w:val="000000"/>
                <w:sz w:val="18"/>
                <w:szCs w:val="18"/>
              </w:rPr>
            </w:pPr>
            <w:r w:rsidRPr="002468C2">
              <w:rPr>
                <w:rFonts w:ascii="Calibri" w:hAnsi="Calibri" w:cstheme="minorHAnsi"/>
                <w:b/>
                <w:bCs/>
                <w:color w:val="000000"/>
                <w:sz w:val="18"/>
                <w:szCs w:val="18"/>
              </w:rPr>
              <w:t>LOSS RATIO W/DCC</w:t>
            </w:r>
          </w:p>
        </w:tc>
        <w:tc>
          <w:tcPr>
            <w:tcW w:w="1195" w:type="dxa"/>
            <w:tcBorders>
              <w:top w:val="single" w:sz="8" w:space="0" w:color="auto"/>
              <w:left w:val="nil"/>
              <w:bottom w:val="single" w:sz="8" w:space="0" w:color="auto"/>
              <w:right w:val="single" w:sz="8" w:space="0" w:color="auto"/>
            </w:tcBorders>
            <w:shd w:val="clear" w:color="auto" w:fill="auto"/>
            <w:vAlign w:val="center"/>
            <w:hideMark/>
          </w:tcPr>
          <w:p w14:paraId="4FA8EECE" w14:textId="77777777" w:rsidR="00920C26" w:rsidRPr="002468C2" w:rsidRDefault="00920C26" w:rsidP="009E7CDA">
            <w:pPr>
              <w:jc w:val="center"/>
              <w:rPr>
                <w:rFonts w:ascii="Calibri" w:hAnsi="Calibri" w:cs="Calibri"/>
                <w:b/>
                <w:bCs/>
                <w:color w:val="000000"/>
                <w:sz w:val="18"/>
                <w:szCs w:val="18"/>
              </w:rPr>
            </w:pPr>
            <w:r w:rsidRPr="002468C2">
              <w:rPr>
                <w:rFonts w:ascii="Calibri" w:hAnsi="Calibri" w:cstheme="minorHAnsi"/>
                <w:b/>
                <w:bCs/>
                <w:color w:val="000000"/>
                <w:sz w:val="18"/>
                <w:szCs w:val="18"/>
              </w:rPr>
              <w:t>MARKET SHARE</w:t>
            </w:r>
          </w:p>
        </w:tc>
      </w:tr>
      <w:tr w:rsidR="005669A3" w14:paraId="1CCDCB60"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4E7A7FF5"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w:t>
            </w:r>
          </w:p>
        </w:tc>
        <w:tc>
          <w:tcPr>
            <w:tcW w:w="792" w:type="dxa"/>
            <w:tcBorders>
              <w:top w:val="nil"/>
              <w:left w:val="nil"/>
              <w:bottom w:val="single" w:sz="8" w:space="0" w:color="auto"/>
              <w:right w:val="single" w:sz="8" w:space="0" w:color="auto"/>
            </w:tcBorders>
            <w:shd w:val="clear" w:color="auto" w:fill="auto"/>
            <w:vAlign w:val="center"/>
            <w:hideMark/>
          </w:tcPr>
          <w:p w14:paraId="4C8BB052"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w:t>
            </w:r>
          </w:p>
        </w:tc>
        <w:tc>
          <w:tcPr>
            <w:tcW w:w="2546" w:type="dxa"/>
            <w:tcBorders>
              <w:top w:val="nil"/>
              <w:left w:val="nil"/>
              <w:bottom w:val="single" w:sz="8" w:space="0" w:color="auto"/>
              <w:right w:val="single" w:sz="8" w:space="0" w:color="auto"/>
            </w:tcBorders>
            <w:shd w:val="clear" w:color="auto" w:fill="auto"/>
            <w:vAlign w:val="center"/>
            <w:hideMark/>
          </w:tcPr>
          <w:p w14:paraId="25F81D39"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CHUBB LTD GRP</w:t>
            </w:r>
          </w:p>
        </w:tc>
        <w:tc>
          <w:tcPr>
            <w:tcW w:w="1544" w:type="dxa"/>
            <w:tcBorders>
              <w:top w:val="nil"/>
              <w:left w:val="nil"/>
              <w:bottom w:val="single" w:sz="8" w:space="0" w:color="auto"/>
              <w:right w:val="single" w:sz="8" w:space="0" w:color="auto"/>
            </w:tcBorders>
            <w:shd w:val="clear" w:color="auto" w:fill="auto"/>
            <w:vAlign w:val="center"/>
            <w:hideMark/>
          </w:tcPr>
          <w:p w14:paraId="3A85C89B"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 xml:space="preserve">$404,144,104 </w:t>
            </w:r>
          </w:p>
        </w:tc>
        <w:tc>
          <w:tcPr>
            <w:tcW w:w="1154" w:type="dxa"/>
            <w:tcBorders>
              <w:top w:val="nil"/>
              <w:left w:val="nil"/>
              <w:bottom w:val="single" w:sz="8" w:space="0" w:color="auto"/>
              <w:right w:val="single" w:sz="8" w:space="0" w:color="auto"/>
            </w:tcBorders>
            <w:shd w:val="clear" w:color="auto" w:fill="auto"/>
            <w:vAlign w:val="center"/>
            <w:hideMark/>
          </w:tcPr>
          <w:p w14:paraId="396DC54A" w14:textId="2089C70A"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61%</w:t>
            </w:r>
          </w:p>
        </w:tc>
        <w:tc>
          <w:tcPr>
            <w:tcW w:w="1195" w:type="dxa"/>
            <w:tcBorders>
              <w:top w:val="nil"/>
              <w:left w:val="nil"/>
              <w:bottom w:val="single" w:sz="8" w:space="0" w:color="auto"/>
              <w:right w:val="single" w:sz="8" w:space="0" w:color="auto"/>
            </w:tcBorders>
            <w:shd w:val="clear" w:color="auto" w:fill="auto"/>
            <w:vAlign w:val="center"/>
            <w:hideMark/>
          </w:tcPr>
          <w:p w14:paraId="43367FB3"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14.7%</w:t>
            </w:r>
          </w:p>
        </w:tc>
      </w:tr>
      <w:tr w:rsidR="005669A3" w14:paraId="1F4B353C"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1DFFD115"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2</w:t>
            </w:r>
          </w:p>
        </w:tc>
        <w:tc>
          <w:tcPr>
            <w:tcW w:w="792" w:type="dxa"/>
            <w:tcBorders>
              <w:top w:val="nil"/>
              <w:left w:val="nil"/>
              <w:bottom w:val="single" w:sz="8" w:space="0" w:color="auto"/>
              <w:right w:val="single" w:sz="8" w:space="0" w:color="auto"/>
            </w:tcBorders>
            <w:shd w:val="clear" w:color="auto" w:fill="auto"/>
            <w:vAlign w:val="center"/>
            <w:hideMark/>
          </w:tcPr>
          <w:p w14:paraId="7A04D6BC"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2</w:t>
            </w:r>
          </w:p>
        </w:tc>
        <w:tc>
          <w:tcPr>
            <w:tcW w:w="2546" w:type="dxa"/>
            <w:tcBorders>
              <w:top w:val="nil"/>
              <w:left w:val="nil"/>
              <w:bottom w:val="single" w:sz="8" w:space="0" w:color="auto"/>
              <w:right w:val="single" w:sz="8" w:space="0" w:color="auto"/>
            </w:tcBorders>
            <w:shd w:val="clear" w:color="auto" w:fill="auto"/>
            <w:vAlign w:val="center"/>
            <w:hideMark/>
          </w:tcPr>
          <w:p w14:paraId="26AEEEC6"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AXA INS GRP</w:t>
            </w:r>
          </w:p>
        </w:tc>
        <w:tc>
          <w:tcPr>
            <w:tcW w:w="1544" w:type="dxa"/>
            <w:tcBorders>
              <w:top w:val="nil"/>
              <w:left w:val="nil"/>
              <w:bottom w:val="single" w:sz="8" w:space="0" w:color="auto"/>
              <w:right w:val="single" w:sz="8" w:space="0" w:color="auto"/>
            </w:tcBorders>
            <w:shd w:val="clear" w:color="auto" w:fill="auto"/>
            <w:vAlign w:val="center"/>
            <w:hideMark/>
          </w:tcPr>
          <w:p w14:paraId="200ADACD"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293,025,192</w:t>
            </w:r>
          </w:p>
        </w:tc>
        <w:tc>
          <w:tcPr>
            <w:tcW w:w="1154" w:type="dxa"/>
            <w:tcBorders>
              <w:top w:val="nil"/>
              <w:left w:val="nil"/>
              <w:bottom w:val="single" w:sz="8" w:space="0" w:color="auto"/>
              <w:right w:val="single" w:sz="8" w:space="0" w:color="auto"/>
            </w:tcBorders>
            <w:shd w:val="clear" w:color="auto" w:fill="auto"/>
            <w:vAlign w:val="center"/>
            <w:hideMark/>
          </w:tcPr>
          <w:p w14:paraId="5B78BF24"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98.2%</w:t>
            </w:r>
          </w:p>
        </w:tc>
        <w:tc>
          <w:tcPr>
            <w:tcW w:w="1195" w:type="dxa"/>
            <w:tcBorders>
              <w:top w:val="nil"/>
              <w:left w:val="nil"/>
              <w:bottom w:val="single" w:sz="8" w:space="0" w:color="auto"/>
              <w:right w:val="single" w:sz="8" w:space="0" w:color="auto"/>
            </w:tcBorders>
            <w:shd w:val="clear" w:color="auto" w:fill="auto"/>
            <w:vAlign w:val="center"/>
            <w:hideMark/>
          </w:tcPr>
          <w:p w14:paraId="4249ABA8"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10.6%</w:t>
            </w:r>
          </w:p>
        </w:tc>
      </w:tr>
      <w:tr w:rsidR="005669A3" w14:paraId="5DD792EF"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2345F32D"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3</w:t>
            </w:r>
          </w:p>
        </w:tc>
        <w:tc>
          <w:tcPr>
            <w:tcW w:w="792" w:type="dxa"/>
            <w:tcBorders>
              <w:top w:val="nil"/>
              <w:left w:val="nil"/>
              <w:bottom w:val="single" w:sz="8" w:space="0" w:color="auto"/>
              <w:right w:val="single" w:sz="8" w:space="0" w:color="auto"/>
            </w:tcBorders>
            <w:shd w:val="clear" w:color="auto" w:fill="auto"/>
            <w:vAlign w:val="center"/>
            <w:hideMark/>
          </w:tcPr>
          <w:p w14:paraId="4D8EB78D"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3</w:t>
            </w:r>
          </w:p>
        </w:tc>
        <w:tc>
          <w:tcPr>
            <w:tcW w:w="2546" w:type="dxa"/>
            <w:tcBorders>
              <w:top w:val="nil"/>
              <w:left w:val="nil"/>
              <w:bottom w:val="single" w:sz="8" w:space="0" w:color="auto"/>
              <w:right w:val="single" w:sz="8" w:space="0" w:color="auto"/>
            </w:tcBorders>
            <w:shd w:val="clear" w:color="auto" w:fill="auto"/>
            <w:vAlign w:val="center"/>
            <w:hideMark/>
          </w:tcPr>
          <w:p w14:paraId="77246A85"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AMERICAN INTRNL GRP</w:t>
            </w:r>
          </w:p>
        </w:tc>
        <w:tc>
          <w:tcPr>
            <w:tcW w:w="1544" w:type="dxa"/>
            <w:tcBorders>
              <w:top w:val="nil"/>
              <w:left w:val="nil"/>
              <w:bottom w:val="single" w:sz="8" w:space="0" w:color="auto"/>
              <w:right w:val="single" w:sz="8" w:space="0" w:color="auto"/>
            </w:tcBorders>
            <w:shd w:val="clear" w:color="auto" w:fill="auto"/>
            <w:vAlign w:val="center"/>
            <w:hideMark/>
          </w:tcPr>
          <w:p w14:paraId="4B176966"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228,424,711</w:t>
            </w:r>
          </w:p>
        </w:tc>
        <w:tc>
          <w:tcPr>
            <w:tcW w:w="1154" w:type="dxa"/>
            <w:tcBorders>
              <w:top w:val="nil"/>
              <w:left w:val="nil"/>
              <w:bottom w:val="single" w:sz="8" w:space="0" w:color="auto"/>
              <w:right w:val="single" w:sz="8" w:space="0" w:color="auto"/>
            </w:tcBorders>
            <w:shd w:val="clear" w:color="auto" w:fill="auto"/>
            <w:vAlign w:val="center"/>
            <w:hideMark/>
          </w:tcPr>
          <w:p w14:paraId="5C335C46"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100.6%</w:t>
            </w:r>
          </w:p>
        </w:tc>
        <w:tc>
          <w:tcPr>
            <w:tcW w:w="1195" w:type="dxa"/>
            <w:tcBorders>
              <w:top w:val="nil"/>
              <w:left w:val="nil"/>
              <w:bottom w:val="single" w:sz="8" w:space="0" w:color="auto"/>
              <w:right w:val="single" w:sz="8" w:space="0" w:color="auto"/>
            </w:tcBorders>
            <w:shd w:val="clear" w:color="auto" w:fill="auto"/>
            <w:vAlign w:val="center"/>
            <w:hideMark/>
          </w:tcPr>
          <w:p w14:paraId="3967CAB0"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8.3%</w:t>
            </w:r>
          </w:p>
        </w:tc>
      </w:tr>
      <w:tr w:rsidR="005669A3" w14:paraId="459708F3"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322CC23A"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4</w:t>
            </w:r>
          </w:p>
        </w:tc>
        <w:tc>
          <w:tcPr>
            <w:tcW w:w="792" w:type="dxa"/>
            <w:tcBorders>
              <w:top w:val="nil"/>
              <w:left w:val="nil"/>
              <w:bottom w:val="single" w:sz="8" w:space="0" w:color="auto"/>
              <w:right w:val="single" w:sz="8" w:space="0" w:color="auto"/>
            </w:tcBorders>
            <w:shd w:val="clear" w:color="auto" w:fill="auto"/>
            <w:vAlign w:val="center"/>
            <w:hideMark/>
          </w:tcPr>
          <w:p w14:paraId="7A23F805"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4</w:t>
            </w:r>
          </w:p>
        </w:tc>
        <w:tc>
          <w:tcPr>
            <w:tcW w:w="2546" w:type="dxa"/>
            <w:tcBorders>
              <w:top w:val="nil"/>
              <w:left w:val="nil"/>
              <w:bottom w:val="single" w:sz="8" w:space="0" w:color="auto"/>
              <w:right w:val="single" w:sz="8" w:space="0" w:color="auto"/>
            </w:tcBorders>
            <w:shd w:val="clear" w:color="auto" w:fill="auto"/>
            <w:vAlign w:val="center"/>
            <w:hideMark/>
          </w:tcPr>
          <w:p w14:paraId="50EEC68F"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ST PAUL TRAVELERS GRP</w:t>
            </w:r>
          </w:p>
        </w:tc>
        <w:tc>
          <w:tcPr>
            <w:tcW w:w="1544" w:type="dxa"/>
            <w:tcBorders>
              <w:top w:val="nil"/>
              <w:left w:val="nil"/>
              <w:bottom w:val="single" w:sz="8" w:space="0" w:color="auto"/>
              <w:right w:val="single" w:sz="8" w:space="0" w:color="auto"/>
            </w:tcBorders>
            <w:shd w:val="clear" w:color="auto" w:fill="auto"/>
            <w:vAlign w:val="center"/>
            <w:hideMark/>
          </w:tcPr>
          <w:p w14:paraId="734447C5"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206,817,208</w:t>
            </w:r>
          </w:p>
        </w:tc>
        <w:tc>
          <w:tcPr>
            <w:tcW w:w="1154" w:type="dxa"/>
            <w:tcBorders>
              <w:top w:val="nil"/>
              <w:left w:val="nil"/>
              <w:bottom w:val="single" w:sz="8" w:space="0" w:color="auto"/>
              <w:right w:val="single" w:sz="8" w:space="0" w:color="auto"/>
            </w:tcBorders>
            <w:shd w:val="clear" w:color="auto" w:fill="auto"/>
            <w:vAlign w:val="center"/>
            <w:hideMark/>
          </w:tcPr>
          <w:p w14:paraId="1D823905"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85.5%</w:t>
            </w:r>
          </w:p>
        </w:tc>
        <w:tc>
          <w:tcPr>
            <w:tcW w:w="1195" w:type="dxa"/>
            <w:tcBorders>
              <w:top w:val="nil"/>
              <w:left w:val="nil"/>
              <w:bottom w:val="single" w:sz="8" w:space="0" w:color="auto"/>
              <w:right w:val="single" w:sz="8" w:space="0" w:color="auto"/>
            </w:tcBorders>
            <w:shd w:val="clear" w:color="auto" w:fill="auto"/>
            <w:vAlign w:val="center"/>
            <w:hideMark/>
          </w:tcPr>
          <w:p w14:paraId="27D23063"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7.5%</w:t>
            </w:r>
          </w:p>
        </w:tc>
      </w:tr>
      <w:tr w:rsidR="005669A3" w14:paraId="2CC5A609"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4E3F3AF4"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5</w:t>
            </w:r>
          </w:p>
        </w:tc>
        <w:tc>
          <w:tcPr>
            <w:tcW w:w="792" w:type="dxa"/>
            <w:tcBorders>
              <w:top w:val="nil"/>
              <w:left w:val="nil"/>
              <w:bottom w:val="single" w:sz="8" w:space="0" w:color="auto"/>
              <w:right w:val="single" w:sz="8" w:space="0" w:color="auto"/>
            </w:tcBorders>
            <w:shd w:val="clear" w:color="auto" w:fill="auto"/>
            <w:vAlign w:val="center"/>
            <w:hideMark/>
          </w:tcPr>
          <w:p w14:paraId="6AC572F6"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5</w:t>
            </w:r>
          </w:p>
        </w:tc>
        <w:tc>
          <w:tcPr>
            <w:tcW w:w="2546" w:type="dxa"/>
            <w:tcBorders>
              <w:top w:val="nil"/>
              <w:left w:val="nil"/>
              <w:bottom w:val="single" w:sz="8" w:space="0" w:color="auto"/>
              <w:right w:val="single" w:sz="8" w:space="0" w:color="auto"/>
            </w:tcBorders>
            <w:shd w:val="clear" w:color="auto" w:fill="auto"/>
            <w:vAlign w:val="center"/>
            <w:hideMark/>
          </w:tcPr>
          <w:p w14:paraId="33D83CC8"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BEAZLEY GRP</w:t>
            </w:r>
          </w:p>
        </w:tc>
        <w:tc>
          <w:tcPr>
            <w:tcW w:w="1544" w:type="dxa"/>
            <w:tcBorders>
              <w:top w:val="nil"/>
              <w:left w:val="nil"/>
              <w:bottom w:val="single" w:sz="8" w:space="0" w:color="auto"/>
              <w:right w:val="single" w:sz="8" w:space="0" w:color="auto"/>
            </w:tcBorders>
            <w:shd w:val="clear" w:color="auto" w:fill="auto"/>
            <w:vAlign w:val="center"/>
            <w:hideMark/>
          </w:tcPr>
          <w:p w14:paraId="09A0906A"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177,746,192</w:t>
            </w:r>
          </w:p>
        </w:tc>
        <w:tc>
          <w:tcPr>
            <w:tcW w:w="1154" w:type="dxa"/>
            <w:tcBorders>
              <w:top w:val="nil"/>
              <w:left w:val="nil"/>
              <w:bottom w:val="single" w:sz="8" w:space="0" w:color="auto"/>
              <w:right w:val="single" w:sz="8" w:space="0" w:color="auto"/>
            </w:tcBorders>
            <w:shd w:val="clear" w:color="auto" w:fill="auto"/>
            <w:vAlign w:val="center"/>
            <w:hideMark/>
          </w:tcPr>
          <w:p w14:paraId="6FD0D81F"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47.9%</w:t>
            </w:r>
          </w:p>
        </w:tc>
        <w:tc>
          <w:tcPr>
            <w:tcW w:w="1195" w:type="dxa"/>
            <w:tcBorders>
              <w:top w:val="nil"/>
              <w:left w:val="nil"/>
              <w:bottom w:val="single" w:sz="8" w:space="0" w:color="auto"/>
              <w:right w:val="single" w:sz="8" w:space="0" w:color="auto"/>
            </w:tcBorders>
            <w:shd w:val="clear" w:color="auto" w:fill="auto"/>
            <w:vAlign w:val="center"/>
            <w:hideMark/>
          </w:tcPr>
          <w:p w14:paraId="39FFFE25"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6.5%</w:t>
            </w:r>
          </w:p>
        </w:tc>
      </w:tr>
      <w:tr w:rsidR="005669A3" w14:paraId="3251CA1A"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357F83E2"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6</w:t>
            </w:r>
          </w:p>
        </w:tc>
        <w:tc>
          <w:tcPr>
            <w:tcW w:w="792" w:type="dxa"/>
            <w:tcBorders>
              <w:top w:val="nil"/>
              <w:left w:val="nil"/>
              <w:bottom w:val="single" w:sz="8" w:space="0" w:color="auto"/>
              <w:right w:val="single" w:sz="8" w:space="0" w:color="auto"/>
            </w:tcBorders>
            <w:shd w:val="clear" w:color="auto" w:fill="auto"/>
            <w:vAlign w:val="center"/>
            <w:hideMark/>
          </w:tcPr>
          <w:p w14:paraId="77F33C0E"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6</w:t>
            </w:r>
          </w:p>
        </w:tc>
        <w:tc>
          <w:tcPr>
            <w:tcW w:w="2546" w:type="dxa"/>
            <w:tcBorders>
              <w:top w:val="nil"/>
              <w:left w:val="nil"/>
              <w:bottom w:val="single" w:sz="8" w:space="0" w:color="auto"/>
              <w:right w:val="single" w:sz="8" w:space="0" w:color="auto"/>
            </w:tcBorders>
            <w:shd w:val="clear" w:color="auto" w:fill="auto"/>
            <w:vAlign w:val="center"/>
            <w:hideMark/>
          </w:tcPr>
          <w:p w14:paraId="4953E5D0"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AXIS CAPITAL GRP</w:t>
            </w:r>
          </w:p>
        </w:tc>
        <w:tc>
          <w:tcPr>
            <w:tcW w:w="1544" w:type="dxa"/>
            <w:tcBorders>
              <w:top w:val="nil"/>
              <w:left w:val="nil"/>
              <w:bottom w:val="single" w:sz="8" w:space="0" w:color="auto"/>
              <w:right w:val="single" w:sz="8" w:space="0" w:color="auto"/>
            </w:tcBorders>
            <w:shd w:val="clear" w:color="auto" w:fill="auto"/>
            <w:vAlign w:val="center"/>
            <w:hideMark/>
          </w:tcPr>
          <w:p w14:paraId="32A438CD"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133,549,784</w:t>
            </w:r>
          </w:p>
        </w:tc>
        <w:tc>
          <w:tcPr>
            <w:tcW w:w="1154" w:type="dxa"/>
            <w:tcBorders>
              <w:top w:val="nil"/>
              <w:left w:val="nil"/>
              <w:bottom w:val="single" w:sz="8" w:space="0" w:color="auto"/>
              <w:right w:val="single" w:sz="8" w:space="0" w:color="auto"/>
            </w:tcBorders>
            <w:shd w:val="clear" w:color="auto" w:fill="auto"/>
            <w:vAlign w:val="center"/>
            <w:hideMark/>
          </w:tcPr>
          <w:p w14:paraId="6123DAF3"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46.2%</w:t>
            </w:r>
          </w:p>
        </w:tc>
        <w:tc>
          <w:tcPr>
            <w:tcW w:w="1195" w:type="dxa"/>
            <w:tcBorders>
              <w:top w:val="nil"/>
              <w:left w:val="nil"/>
              <w:bottom w:val="single" w:sz="8" w:space="0" w:color="auto"/>
              <w:right w:val="single" w:sz="8" w:space="0" w:color="auto"/>
            </w:tcBorders>
            <w:shd w:val="clear" w:color="auto" w:fill="auto"/>
            <w:vAlign w:val="center"/>
            <w:hideMark/>
          </w:tcPr>
          <w:p w14:paraId="37938B3F"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4.8%</w:t>
            </w:r>
          </w:p>
        </w:tc>
      </w:tr>
      <w:tr w:rsidR="005669A3" w14:paraId="56348047"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06C31599"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7</w:t>
            </w:r>
          </w:p>
        </w:tc>
        <w:tc>
          <w:tcPr>
            <w:tcW w:w="792" w:type="dxa"/>
            <w:tcBorders>
              <w:top w:val="nil"/>
              <w:left w:val="nil"/>
              <w:bottom w:val="single" w:sz="8" w:space="0" w:color="auto"/>
              <w:right w:val="single" w:sz="8" w:space="0" w:color="auto"/>
            </w:tcBorders>
            <w:shd w:val="clear" w:color="auto" w:fill="auto"/>
            <w:vAlign w:val="center"/>
            <w:hideMark/>
          </w:tcPr>
          <w:p w14:paraId="0520535F"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7</w:t>
            </w:r>
          </w:p>
        </w:tc>
        <w:tc>
          <w:tcPr>
            <w:tcW w:w="2546" w:type="dxa"/>
            <w:tcBorders>
              <w:top w:val="nil"/>
              <w:left w:val="nil"/>
              <w:bottom w:val="single" w:sz="8" w:space="0" w:color="auto"/>
              <w:right w:val="single" w:sz="8" w:space="0" w:color="auto"/>
            </w:tcBorders>
            <w:shd w:val="clear" w:color="auto" w:fill="auto"/>
            <w:vAlign w:val="center"/>
            <w:hideMark/>
          </w:tcPr>
          <w:p w14:paraId="442B0D3F"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CNA INS GRP</w:t>
            </w:r>
          </w:p>
        </w:tc>
        <w:tc>
          <w:tcPr>
            <w:tcW w:w="1544" w:type="dxa"/>
            <w:tcBorders>
              <w:top w:val="nil"/>
              <w:left w:val="nil"/>
              <w:bottom w:val="single" w:sz="8" w:space="0" w:color="auto"/>
              <w:right w:val="single" w:sz="8" w:space="0" w:color="auto"/>
            </w:tcBorders>
            <w:shd w:val="clear" w:color="auto" w:fill="auto"/>
            <w:vAlign w:val="center"/>
            <w:hideMark/>
          </w:tcPr>
          <w:p w14:paraId="42A80A65"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119,612,168</w:t>
            </w:r>
          </w:p>
        </w:tc>
        <w:tc>
          <w:tcPr>
            <w:tcW w:w="1154" w:type="dxa"/>
            <w:tcBorders>
              <w:top w:val="nil"/>
              <w:left w:val="nil"/>
              <w:bottom w:val="single" w:sz="8" w:space="0" w:color="auto"/>
              <w:right w:val="single" w:sz="8" w:space="0" w:color="auto"/>
            </w:tcBorders>
            <w:shd w:val="clear" w:color="auto" w:fill="auto"/>
            <w:vAlign w:val="center"/>
            <w:hideMark/>
          </w:tcPr>
          <w:p w14:paraId="43A39CBB"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105.7%</w:t>
            </w:r>
          </w:p>
        </w:tc>
        <w:tc>
          <w:tcPr>
            <w:tcW w:w="1195" w:type="dxa"/>
            <w:tcBorders>
              <w:top w:val="nil"/>
              <w:left w:val="nil"/>
              <w:bottom w:val="single" w:sz="8" w:space="0" w:color="auto"/>
              <w:right w:val="single" w:sz="8" w:space="0" w:color="auto"/>
            </w:tcBorders>
            <w:shd w:val="clear" w:color="auto" w:fill="auto"/>
            <w:vAlign w:val="center"/>
            <w:hideMark/>
          </w:tcPr>
          <w:p w14:paraId="76C09C2E"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4.3%</w:t>
            </w:r>
          </w:p>
        </w:tc>
      </w:tr>
      <w:tr w:rsidR="005669A3" w14:paraId="7777F1C5"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372A0F77"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8</w:t>
            </w:r>
          </w:p>
        </w:tc>
        <w:tc>
          <w:tcPr>
            <w:tcW w:w="792" w:type="dxa"/>
            <w:tcBorders>
              <w:top w:val="nil"/>
              <w:left w:val="nil"/>
              <w:bottom w:val="single" w:sz="8" w:space="0" w:color="auto"/>
              <w:right w:val="single" w:sz="8" w:space="0" w:color="auto"/>
            </w:tcBorders>
            <w:shd w:val="clear" w:color="auto" w:fill="auto"/>
            <w:vAlign w:val="center"/>
            <w:hideMark/>
          </w:tcPr>
          <w:p w14:paraId="63A022BE"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10</w:t>
            </w:r>
          </w:p>
        </w:tc>
        <w:tc>
          <w:tcPr>
            <w:tcW w:w="2546" w:type="dxa"/>
            <w:tcBorders>
              <w:top w:val="nil"/>
              <w:left w:val="nil"/>
              <w:bottom w:val="single" w:sz="8" w:space="0" w:color="auto"/>
              <w:right w:val="single" w:sz="8" w:space="0" w:color="auto"/>
            </w:tcBorders>
            <w:shd w:val="clear" w:color="auto" w:fill="auto"/>
            <w:vAlign w:val="center"/>
            <w:hideMark/>
          </w:tcPr>
          <w:p w14:paraId="1161BD0D"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FAIRFAX FINANCIAL</w:t>
            </w:r>
          </w:p>
        </w:tc>
        <w:tc>
          <w:tcPr>
            <w:tcW w:w="1544" w:type="dxa"/>
            <w:tcBorders>
              <w:top w:val="nil"/>
              <w:left w:val="nil"/>
              <w:bottom w:val="single" w:sz="8" w:space="0" w:color="auto"/>
              <w:right w:val="single" w:sz="8" w:space="0" w:color="auto"/>
            </w:tcBorders>
            <w:shd w:val="clear" w:color="auto" w:fill="auto"/>
            <w:vAlign w:val="center"/>
            <w:hideMark/>
          </w:tcPr>
          <w:p w14:paraId="6D9E5005"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108,687,558</w:t>
            </w:r>
          </w:p>
        </w:tc>
        <w:tc>
          <w:tcPr>
            <w:tcW w:w="1154" w:type="dxa"/>
            <w:tcBorders>
              <w:top w:val="nil"/>
              <w:left w:val="nil"/>
              <w:bottom w:val="single" w:sz="8" w:space="0" w:color="auto"/>
              <w:right w:val="single" w:sz="8" w:space="0" w:color="auto"/>
            </w:tcBorders>
            <w:shd w:val="clear" w:color="auto" w:fill="auto"/>
            <w:vAlign w:val="center"/>
            <w:hideMark/>
          </w:tcPr>
          <w:p w14:paraId="6D70C7C6"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55.7%</w:t>
            </w:r>
          </w:p>
        </w:tc>
        <w:tc>
          <w:tcPr>
            <w:tcW w:w="1195" w:type="dxa"/>
            <w:tcBorders>
              <w:top w:val="nil"/>
              <w:left w:val="nil"/>
              <w:bottom w:val="single" w:sz="8" w:space="0" w:color="auto"/>
              <w:right w:val="single" w:sz="8" w:space="0" w:color="auto"/>
            </w:tcBorders>
            <w:shd w:val="clear" w:color="auto" w:fill="auto"/>
            <w:vAlign w:val="center"/>
            <w:hideMark/>
          </w:tcPr>
          <w:p w14:paraId="1AACEFCB"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3.9%</w:t>
            </w:r>
          </w:p>
        </w:tc>
      </w:tr>
      <w:tr w:rsidR="005669A3" w14:paraId="2C46F5C4"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4F830727"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9</w:t>
            </w:r>
          </w:p>
        </w:tc>
        <w:tc>
          <w:tcPr>
            <w:tcW w:w="792" w:type="dxa"/>
            <w:tcBorders>
              <w:top w:val="nil"/>
              <w:left w:val="nil"/>
              <w:bottom w:val="single" w:sz="8" w:space="0" w:color="auto"/>
              <w:right w:val="single" w:sz="8" w:space="0" w:color="auto"/>
            </w:tcBorders>
            <w:shd w:val="clear" w:color="auto" w:fill="auto"/>
            <w:vAlign w:val="center"/>
            <w:hideMark/>
          </w:tcPr>
          <w:p w14:paraId="70B65548"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11</w:t>
            </w:r>
          </w:p>
        </w:tc>
        <w:tc>
          <w:tcPr>
            <w:tcW w:w="2546" w:type="dxa"/>
            <w:tcBorders>
              <w:top w:val="nil"/>
              <w:left w:val="nil"/>
              <w:bottom w:val="single" w:sz="8" w:space="0" w:color="auto"/>
              <w:right w:val="single" w:sz="8" w:space="0" w:color="auto"/>
            </w:tcBorders>
            <w:shd w:val="clear" w:color="auto" w:fill="auto"/>
            <w:vAlign w:val="center"/>
            <w:hideMark/>
          </w:tcPr>
          <w:p w14:paraId="1DF29D80"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HARTFORD FIRE 7 CAS GRP</w:t>
            </w:r>
          </w:p>
        </w:tc>
        <w:tc>
          <w:tcPr>
            <w:tcW w:w="1544" w:type="dxa"/>
            <w:tcBorders>
              <w:top w:val="nil"/>
              <w:left w:val="nil"/>
              <w:bottom w:val="single" w:sz="8" w:space="0" w:color="auto"/>
              <w:right w:val="single" w:sz="8" w:space="0" w:color="auto"/>
            </w:tcBorders>
            <w:shd w:val="clear" w:color="auto" w:fill="auto"/>
            <w:vAlign w:val="center"/>
            <w:hideMark/>
          </w:tcPr>
          <w:p w14:paraId="7F90F22A"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102,864,503</w:t>
            </w:r>
          </w:p>
        </w:tc>
        <w:tc>
          <w:tcPr>
            <w:tcW w:w="1154" w:type="dxa"/>
            <w:tcBorders>
              <w:top w:val="nil"/>
              <w:left w:val="nil"/>
              <w:bottom w:val="single" w:sz="8" w:space="0" w:color="auto"/>
              <w:right w:val="single" w:sz="8" w:space="0" w:color="auto"/>
            </w:tcBorders>
            <w:shd w:val="clear" w:color="auto" w:fill="auto"/>
            <w:vAlign w:val="center"/>
            <w:hideMark/>
          </w:tcPr>
          <w:p w14:paraId="76A73E13"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25.4%</w:t>
            </w:r>
          </w:p>
        </w:tc>
        <w:tc>
          <w:tcPr>
            <w:tcW w:w="1195" w:type="dxa"/>
            <w:tcBorders>
              <w:top w:val="nil"/>
              <w:left w:val="nil"/>
              <w:bottom w:val="single" w:sz="8" w:space="0" w:color="auto"/>
              <w:right w:val="single" w:sz="8" w:space="0" w:color="auto"/>
            </w:tcBorders>
            <w:shd w:val="clear" w:color="auto" w:fill="auto"/>
            <w:vAlign w:val="center"/>
            <w:hideMark/>
          </w:tcPr>
          <w:p w14:paraId="090552D2"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3.7%</w:t>
            </w:r>
          </w:p>
        </w:tc>
      </w:tr>
      <w:tr w:rsidR="005669A3" w14:paraId="2799D27C"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394F31E0"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10</w:t>
            </w:r>
          </w:p>
        </w:tc>
        <w:tc>
          <w:tcPr>
            <w:tcW w:w="792" w:type="dxa"/>
            <w:tcBorders>
              <w:top w:val="nil"/>
              <w:left w:val="nil"/>
              <w:bottom w:val="single" w:sz="8" w:space="0" w:color="auto"/>
              <w:right w:val="single" w:sz="8" w:space="0" w:color="auto"/>
            </w:tcBorders>
            <w:shd w:val="clear" w:color="auto" w:fill="auto"/>
            <w:vAlign w:val="center"/>
            <w:hideMark/>
          </w:tcPr>
          <w:p w14:paraId="2E3937C4"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 8</w:t>
            </w:r>
          </w:p>
        </w:tc>
        <w:tc>
          <w:tcPr>
            <w:tcW w:w="2546" w:type="dxa"/>
            <w:tcBorders>
              <w:top w:val="nil"/>
              <w:left w:val="nil"/>
              <w:bottom w:val="single" w:sz="8" w:space="0" w:color="auto"/>
              <w:right w:val="single" w:sz="8" w:space="0" w:color="auto"/>
            </w:tcBorders>
            <w:shd w:val="clear" w:color="auto" w:fill="auto"/>
            <w:vAlign w:val="center"/>
            <w:hideMark/>
          </w:tcPr>
          <w:p w14:paraId="641D286D"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BCS INS GRP</w:t>
            </w:r>
          </w:p>
        </w:tc>
        <w:tc>
          <w:tcPr>
            <w:tcW w:w="1544" w:type="dxa"/>
            <w:tcBorders>
              <w:top w:val="nil"/>
              <w:left w:val="nil"/>
              <w:bottom w:val="single" w:sz="8" w:space="0" w:color="auto"/>
              <w:right w:val="single" w:sz="8" w:space="0" w:color="auto"/>
            </w:tcBorders>
            <w:shd w:val="clear" w:color="auto" w:fill="auto"/>
            <w:vAlign w:val="center"/>
            <w:hideMark/>
          </w:tcPr>
          <w:p w14:paraId="4DA4CFB7"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86,582,699</w:t>
            </w:r>
          </w:p>
        </w:tc>
        <w:tc>
          <w:tcPr>
            <w:tcW w:w="1154" w:type="dxa"/>
            <w:tcBorders>
              <w:top w:val="nil"/>
              <w:left w:val="nil"/>
              <w:bottom w:val="single" w:sz="8" w:space="0" w:color="auto"/>
              <w:right w:val="single" w:sz="8" w:space="0" w:color="auto"/>
            </w:tcBorders>
            <w:shd w:val="clear" w:color="auto" w:fill="auto"/>
            <w:vAlign w:val="center"/>
            <w:hideMark/>
          </w:tcPr>
          <w:p w14:paraId="46C16B75"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59.1%</w:t>
            </w:r>
          </w:p>
        </w:tc>
        <w:tc>
          <w:tcPr>
            <w:tcW w:w="1195" w:type="dxa"/>
            <w:tcBorders>
              <w:top w:val="nil"/>
              <w:left w:val="nil"/>
              <w:bottom w:val="single" w:sz="8" w:space="0" w:color="auto"/>
              <w:right w:val="single" w:sz="8" w:space="0" w:color="auto"/>
            </w:tcBorders>
            <w:shd w:val="clear" w:color="auto" w:fill="auto"/>
            <w:vAlign w:val="center"/>
            <w:hideMark/>
          </w:tcPr>
          <w:p w14:paraId="05444864"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3.1%</w:t>
            </w:r>
          </w:p>
        </w:tc>
      </w:tr>
      <w:tr w:rsidR="005669A3" w14:paraId="2A1ACDF8"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532CB4B0"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11</w:t>
            </w:r>
          </w:p>
        </w:tc>
        <w:tc>
          <w:tcPr>
            <w:tcW w:w="792" w:type="dxa"/>
            <w:tcBorders>
              <w:top w:val="nil"/>
              <w:left w:val="nil"/>
              <w:bottom w:val="single" w:sz="8" w:space="0" w:color="auto"/>
              <w:right w:val="single" w:sz="8" w:space="0" w:color="auto"/>
            </w:tcBorders>
            <w:shd w:val="clear" w:color="auto" w:fill="auto"/>
            <w:vAlign w:val="center"/>
            <w:hideMark/>
          </w:tcPr>
          <w:p w14:paraId="751CB560"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 14</w:t>
            </w:r>
          </w:p>
        </w:tc>
        <w:tc>
          <w:tcPr>
            <w:tcW w:w="2546" w:type="dxa"/>
            <w:tcBorders>
              <w:top w:val="nil"/>
              <w:left w:val="nil"/>
              <w:bottom w:val="single" w:sz="8" w:space="0" w:color="auto"/>
              <w:right w:val="single" w:sz="8" w:space="0" w:color="auto"/>
            </w:tcBorders>
            <w:shd w:val="clear" w:color="auto" w:fill="auto"/>
            <w:vAlign w:val="center"/>
            <w:hideMark/>
          </w:tcPr>
          <w:p w14:paraId="6967243A"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TOKIO MARINE HOLDINGS INC GRP</w:t>
            </w:r>
          </w:p>
        </w:tc>
        <w:tc>
          <w:tcPr>
            <w:tcW w:w="1544" w:type="dxa"/>
            <w:tcBorders>
              <w:top w:val="nil"/>
              <w:left w:val="nil"/>
              <w:bottom w:val="single" w:sz="8" w:space="0" w:color="auto"/>
              <w:right w:val="single" w:sz="8" w:space="0" w:color="auto"/>
            </w:tcBorders>
            <w:shd w:val="clear" w:color="auto" w:fill="auto"/>
            <w:vAlign w:val="center"/>
            <w:hideMark/>
          </w:tcPr>
          <w:p w14:paraId="34E5A4C1"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78,160,355</w:t>
            </w:r>
          </w:p>
        </w:tc>
        <w:tc>
          <w:tcPr>
            <w:tcW w:w="1154" w:type="dxa"/>
            <w:tcBorders>
              <w:top w:val="nil"/>
              <w:left w:val="nil"/>
              <w:bottom w:val="single" w:sz="8" w:space="0" w:color="auto"/>
              <w:right w:val="single" w:sz="8" w:space="0" w:color="auto"/>
            </w:tcBorders>
            <w:shd w:val="clear" w:color="auto" w:fill="auto"/>
            <w:vAlign w:val="center"/>
            <w:hideMark/>
          </w:tcPr>
          <w:p w14:paraId="68EE583A"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51.1%</w:t>
            </w:r>
          </w:p>
        </w:tc>
        <w:tc>
          <w:tcPr>
            <w:tcW w:w="1195" w:type="dxa"/>
            <w:tcBorders>
              <w:top w:val="nil"/>
              <w:left w:val="nil"/>
              <w:bottom w:val="single" w:sz="8" w:space="0" w:color="auto"/>
              <w:right w:val="single" w:sz="8" w:space="0" w:color="auto"/>
            </w:tcBorders>
            <w:shd w:val="clear" w:color="auto" w:fill="auto"/>
            <w:vAlign w:val="center"/>
            <w:hideMark/>
          </w:tcPr>
          <w:p w14:paraId="1ABB9A4A"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2.8%</w:t>
            </w:r>
          </w:p>
        </w:tc>
      </w:tr>
      <w:tr w:rsidR="005669A3" w14:paraId="5FA5C1E1"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615C68B3"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12</w:t>
            </w:r>
          </w:p>
        </w:tc>
        <w:tc>
          <w:tcPr>
            <w:tcW w:w="792" w:type="dxa"/>
            <w:tcBorders>
              <w:top w:val="nil"/>
              <w:left w:val="nil"/>
              <w:bottom w:val="single" w:sz="8" w:space="0" w:color="auto"/>
              <w:right w:val="single" w:sz="8" w:space="0" w:color="auto"/>
            </w:tcBorders>
            <w:shd w:val="clear" w:color="auto" w:fill="auto"/>
            <w:vAlign w:val="center"/>
            <w:hideMark/>
          </w:tcPr>
          <w:p w14:paraId="3129916A"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12 </w:t>
            </w:r>
          </w:p>
        </w:tc>
        <w:tc>
          <w:tcPr>
            <w:tcW w:w="2546" w:type="dxa"/>
            <w:tcBorders>
              <w:top w:val="nil"/>
              <w:left w:val="nil"/>
              <w:bottom w:val="single" w:sz="8" w:space="0" w:color="auto"/>
              <w:right w:val="single" w:sz="8" w:space="0" w:color="auto"/>
            </w:tcBorders>
            <w:shd w:val="clear" w:color="auto" w:fill="auto"/>
            <w:vAlign w:val="center"/>
            <w:hideMark/>
          </w:tcPr>
          <w:p w14:paraId="22BC690D"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SOMPO GRP</w:t>
            </w:r>
          </w:p>
        </w:tc>
        <w:tc>
          <w:tcPr>
            <w:tcW w:w="1544" w:type="dxa"/>
            <w:tcBorders>
              <w:top w:val="nil"/>
              <w:left w:val="nil"/>
              <w:bottom w:val="single" w:sz="8" w:space="0" w:color="auto"/>
              <w:right w:val="single" w:sz="8" w:space="0" w:color="auto"/>
            </w:tcBorders>
            <w:shd w:val="clear" w:color="auto" w:fill="auto"/>
            <w:vAlign w:val="center"/>
            <w:hideMark/>
          </w:tcPr>
          <w:p w14:paraId="3116CD86"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72,588,641</w:t>
            </w:r>
          </w:p>
        </w:tc>
        <w:tc>
          <w:tcPr>
            <w:tcW w:w="1154" w:type="dxa"/>
            <w:tcBorders>
              <w:top w:val="nil"/>
              <w:left w:val="nil"/>
              <w:bottom w:val="single" w:sz="8" w:space="0" w:color="auto"/>
              <w:right w:val="single" w:sz="8" w:space="0" w:color="auto"/>
            </w:tcBorders>
            <w:shd w:val="clear" w:color="auto" w:fill="auto"/>
            <w:vAlign w:val="center"/>
            <w:hideMark/>
          </w:tcPr>
          <w:p w14:paraId="52D75130"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114.1%</w:t>
            </w:r>
          </w:p>
        </w:tc>
        <w:tc>
          <w:tcPr>
            <w:tcW w:w="1195" w:type="dxa"/>
            <w:tcBorders>
              <w:top w:val="nil"/>
              <w:left w:val="nil"/>
              <w:bottom w:val="single" w:sz="8" w:space="0" w:color="auto"/>
              <w:right w:val="single" w:sz="8" w:space="0" w:color="auto"/>
            </w:tcBorders>
            <w:shd w:val="clear" w:color="auto" w:fill="auto"/>
            <w:vAlign w:val="center"/>
            <w:hideMark/>
          </w:tcPr>
          <w:p w14:paraId="29529187"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2.6%</w:t>
            </w:r>
          </w:p>
        </w:tc>
      </w:tr>
      <w:tr w:rsidR="005669A3" w14:paraId="02FEAA51"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750BCCC5"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13</w:t>
            </w:r>
          </w:p>
        </w:tc>
        <w:tc>
          <w:tcPr>
            <w:tcW w:w="792" w:type="dxa"/>
            <w:tcBorders>
              <w:top w:val="nil"/>
              <w:left w:val="nil"/>
              <w:bottom w:val="single" w:sz="8" w:space="0" w:color="auto"/>
              <w:right w:val="single" w:sz="8" w:space="0" w:color="auto"/>
            </w:tcBorders>
            <w:shd w:val="clear" w:color="auto" w:fill="auto"/>
            <w:vAlign w:val="center"/>
            <w:hideMark/>
          </w:tcPr>
          <w:p w14:paraId="60BBA151"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 13</w:t>
            </w:r>
          </w:p>
        </w:tc>
        <w:tc>
          <w:tcPr>
            <w:tcW w:w="2546" w:type="dxa"/>
            <w:tcBorders>
              <w:top w:val="nil"/>
              <w:left w:val="nil"/>
              <w:bottom w:val="single" w:sz="8" w:space="0" w:color="auto"/>
              <w:right w:val="single" w:sz="8" w:space="0" w:color="auto"/>
            </w:tcBorders>
            <w:shd w:val="clear" w:color="auto" w:fill="auto"/>
            <w:vAlign w:val="center"/>
            <w:hideMark/>
          </w:tcPr>
          <w:p w14:paraId="19289518"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ZURICH INS GRP</w:t>
            </w:r>
          </w:p>
        </w:tc>
        <w:tc>
          <w:tcPr>
            <w:tcW w:w="1544" w:type="dxa"/>
            <w:tcBorders>
              <w:top w:val="nil"/>
              <w:left w:val="nil"/>
              <w:bottom w:val="single" w:sz="8" w:space="0" w:color="auto"/>
              <w:right w:val="single" w:sz="8" w:space="0" w:color="auto"/>
            </w:tcBorders>
            <w:shd w:val="clear" w:color="auto" w:fill="auto"/>
            <w:vAlign w:val="center"/>
            <w:hideMark/>
          </w:tcPr>
          <w:p w14:paraId="44EC6614"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64,430,818</w:t>
            </w:r>
          </w:p>
        </w:tc>
        <w:tc>
          <w:tcPr>
            <w:tcW w:w="1154" w:type="dxa"/>
            <w:tcBorders>
              <w:top w:val="nil"/>
              <w:left w:val="nil"/>
              <w:bottom w:val="single" w:sz="8" w:space="0" w:color="auto"/>
              <w:right w:val="single" w:sz="8" w:space="0" w:color="auto"/>
            </w:tcBorders>
            <w:shd w:val="clear" w:color="auto" w:fill="auto"/>
            <w:vAlign w:val="center"/>
            <w:hideMark/>
          </w:tcPr>
          <w:p w14:paraId="3C14D51F"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40.4%</w:t>
            </w:r>
          </w:p>
        </w:tc>
        <w:tc>
          <w:tcPr>
            <w:tcW w:w="1195" w:type="dxa"/>
            <w:tcBorders>
              <w:top w:val="nil"/>
              <w:left w:val="nil"/>
              <w:bottom w:val="single" w:sz="8" w:space="0" w:color="auto"/>
              <w:right w:val="single" w:sz="8" w:space="0" w:color="auto"/>
            </w:tcBorders>
            <w:shd w:val="clear" w:color="auto" w:fill="auto"/>
            <w:vAlign w:val="center"/>
            <w:hideMark/>
          </w:tcPr>
          <w:p w14:paraId="0640E786"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2.3%</w:t>
            </w:r>
          </w:p>
        </w:tc>
      </w:tr>
      <w:tr w:rsidR="005669A3" w14:paraId="07C6C932"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7ED8A676"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14</w:t>
            </w:r>
          </w:p>
        </w:tc>
        <w:tc>
          <w:tcPr>
            <w:tcW w:w="792" w:type="dxa"/>
            <w:tcBorders>
              <w:top w:val="nil"/>
              <w:left w:val="nil"/>
              <w:bottom w:val="single" w:sz="8" w:space="0" w:color="auto"/>
              <w:right w:val="single" w:sz="8" w:space="0" w:color="auto"/>
            </w:tcBorders>
            <w:shd w:val="clear" w:color="auto" w:fill="auto"/>
            <w:vAlign w:val="center"/>
            <w:hideMark/>
          </w:tcPr>
          <w:p w14:paraId="5876F02F"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 9</w:t>
            </w:r>
          </w:p>
        </w:tc>
        <w:tc>
          <w:tcPr>
            <w:tcW w:w="2546" w:type="dxa"/>
            <w:tcBorders>
              <w:top w:val="nil"/>
              <w:left w:val="nil"/>
              <w:bottom w:val="single" w:sz="8" w:space="0" w:color="auto"/>
              <w:right w:val="single" w:sz="8" w:space="0" w:color="auto"/>
            </w:tcBorders>
            <w:shd w:val="clear" w:color="auto" w:fill="auto"/>
            <w:vAlign w:val="center"/>
            <w:hideMark/>
          </w:tcPr>
          <w:p w14:paraId="65E91A75"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LIBERTY MUT GRP</w:t>
            </w:r>
          </w:p>
        </w:tc>
        <w:tc>
          <w:tcPr>
            <w:tcW w:w="1544" w:type="dxa"/>
            <w:tcBorders>
              <w:top w:val="nil"/>
              <w:left w:val="nil"/>
              <w:bottom w:val="single" w:sz="8" w:space="0" w:color="auto"/>
              <w:right w:val="single" w:sz="8" w:space="0" w:color="auto"/>
            </w:tcBorders>
            <w:shd w:val="clear" w:color="auto" w:fill="auto"/>
            <w:vAlign w:val="center"/>
            <w:hideMark/>
          </w:tcPr>
          <w:p w14:paraId="3AA8DD1C"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41,856,727</w:t>
            </w:r>
          </w:p>
        </w:tc>
        <w:tc>
          <w:tcPr>
            <w:tcW w:w="1154" w:type="dxa"/>
            <w:tcBorders>
              <w:top w:val="nil"/>
              <w:left w:val="nil"/>
              <w:bottom w:val="single" w:sz="8" w:space="0" w:color="auto"/>
              <w:right w:val="single" w:sz="8" w:space="0" w:color="auto"/>
            </w:tcBorders>
            <w:shd w:val="clear" w:color="auto" w:fill="auto"/>
            <w:vAlign w:val="center"/>
            <w:hideMark/>
          </w:tcPr>
          <w:p w14:paraId="7B375682" w14:textId="52BCAEC8"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30%</w:t>
            </w:r>
          </w:p>
        </w:tc>
        <w:tc>
          <w:tcPr>
            <w:tcW w:w="1195" w:type="dxa"/>
            <w:tcBorders>
              <w:top w:val="nil"/>
              <w:left w:val="nil"/>
              <w:bottom w:val="single" w:sz="8" w:space="0" w:color="auto"/>
              <w:right w:val="single" w:sz="8" w:space="0" w:color="auto"/>
            </w:tcBorders>
            <w:shd w:val="clear" w:color="auto" w:fill="auto"/>
            <w:vAlign w:val="center"/>
            <w:hideMark/>
          </w:tcPr>
          <w:p w14:paraId="14FEA32E"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1.5%</w:t>
            </w:r>
          </w:p>
        </w:tc>
      </w:tr>
      <w:tr w:rsidR="005669A3" w14:paraId="30E9C9DE"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70214074"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15</w:t>
            </w:r>
          </w:p>
        </w:tc>
        <w:tc>
          <w:tcPr>
            <w:tcW w:w="792" w:type="dxa"/>
            <w:tcBorders>
              <w:top w:val="nil"/>
              <w:left w:val="nil"/>
              <w:bottom w:val="single" w:sz="8" w:space="0" w:color="auto"/>
              <w:right w:val="single" w:sz="8" w:space="0" w:color="auto"/>
            </w:tcBorders>
            <w:shd w:val="clear" w:color="auto" w:fill="auto"/>
            <w:vAlign w:val="center"/>
            <w:hideMark/>
          </w:tcPr>
          <w:p w14:paraId="46B2924F"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 18</w:t>
            </w:r>
          </w:p>
        </w:tc>
        <w:tc>
          <w:tcPr>
            <w:tcW w:w="2546" w:type="dxa"/>
            <w:tcBorders>
              <w:top w:val="nil"/>
              <w:left w:val="nil"/>
              <w:bottom w:val="single" w:sz="8" w:space="0" w:color="auto"/>
              <w:right w:val="single" w:sz="8" w:space="0" w:color="auto"/>
            </w:tcBorders>
            <w:shd w:val="clear" w:color="auto" w:fill="auto"/>
            <w:vAlign w:val="center"/>
            <w:hideMark/>
          </w:tcPr>
          <w:p w14:paraId="4BA3B764"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APOLLO GLOBAL MGMT GRP</w:t>
            </w:r>
          </w:p>
        </w:tc>
        <w:tc>
          <w:tcPr>
            <w:tcW w:w="1544" w:type="dxa"/>
            <w:tcBorders>
              <w:top w:val="nil"/>
              <w:left w:val="nil"/>
              <w:bottom w:val="single" w:sz="8" w:space="0" w:color="auto"/>
              <w:right w:val="single" w:sz="8" w:space="0" w:color="auto"/>
            </w:tcBorders>
            <w:shd w:val="clear" w:color="auto" w:fill="auto"/>
            <w:vAlign w:val="center"/>
            <w:hideMark/>
          </w:tcPr>
          <w:p w14:paraId="62BF573C"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39,338,993</w:t>
            </w:r>
          </w:p>
        </w:tc>
        <w:tc>
          <w:tcPr>
            <w:tcW w:w="1154" w:type="dxa"/>
            <w:tcBorders>
              <w:top w:val="nil"/>
              <w:left w:val="nil"/>
              <w:bottom w:val="single" w:sz="8" w:space="0" w:color="auto"/>
              <w:right w:val="single" w:sz="8" w:space="0" w:color="auto"/>
            </w:tcBorders>
            <w:shd w:val="clear" w:color="auto" w:fill="auto"/>
            <w:vAlign w:val="center"/>
            <w:hideMark/>
          </w:tcPr>
          <w:p w14:paraId="618285D1"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29.6%</w:t>
            </w:r>
          </w:p>
        </w:tc>
        <w:tc>
          <w:tcPr>
            <w:tcW w:w="1195" w:type="dxa"/>
            <w:tcBorders>
              <w:top w:val="nil"/>
              <w:left w:val="nil"/>
              <w:bottom w:val="single" w:sz="8" w:space="0" w:color="auto"/>
              <w:right w:val="single" w:sz="8" w:space="0" w:color="auto"/>
            </w:tcBorders>
            <w:shd w:val="clear" w:color="auto" w:fill="auto"/>
            <w:vAlign w:val="center"/>
            <w:hideMark/>
          </w:tcPr>
          <w:p w14:paraId="675487C7"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1.4%</w:t>
            </w:r>
          </w:p>
        </w:tc>
      </w:tr>
      <w:tr w:rsidR="005669A3" w14:paraId="4CEE8FF8"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13F204B2"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16</w:t>
            </w:r>
          </w:p>
        </w:tc>
        <w:tc>
          <w:tcPr>
            <w:tcW w:w="792" w:type="dxa"/>
            <w:tcBorders>
              <w:top w:val="nil"/>
              <w:left w:val="nil"/>
              <w:bottom w:val="single" w:sz="8" w:space="0" w:color="auto"/>
              <w:right w:val="single" w:sz="8" w:space="0" w:color="auto"/>
            </w:tcBorders>
            <w:shd w:val="clear" w:color="auto" w:fill="auto"/>
            <w:vAlign w:val="center"/>
            <w:hideMark/>
          </w:tcPr>
          <w:p w14:paraId="46AAD93C"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 15</w:t>
            </w:r>
          </w:p>
        </w:tc>
        <w:tc>
          <w:tcPr>
            <w:tcW w:w="2546" w:type="dxa"/>
            <w:tcBorders>
              <w:top w:val="nil"/>
              <w:left w:val="nil"/>
              <w:bottom w:val="single" w:sz="8" w:space="0" w:color="auto"/>
              <w:right w:val="single" w:sz="8" w:space="0" w:color="auto"/>
            </w:tcBorders>
            <w:shd w:val="clear" w:color="auto" w:fill="auto"/>
            <w:vAlign w:val="center"/>
            <w:hideMark/>
          </w:tcPr>
          <w:p w14:paraId="235CB1F5"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BERKSHIRE HATHAWAY</w:t>
            </w:r>
          </w:p>
        </w:tc>
        <w:tc>
          <w:tcPr>
            <w:tcW w:w="1544" w:type="dxa"/>
            <w:tcBorders>
              <w:top w:val="nil"/>
              <w:left w:val="nil"/>
              <w:bottom w:val="single" w:sz="8" w:space="0" w:color="auto"/>
              <w:right w:val="single" w:sz="8" w:space="0" w:color="auto"/>
            </w:tcBorders>
            <w:shd w:val="clear" w:color="auto" w:fill="auto"/>
            <w:vAlign w:val="center"/>
            <w:hideMark/>
          </w:tcPr>
          <w:p w14:paraId="3623D1B5"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37,366,878</w:t>
            </w:r>
          </w:p>
        </w:tc>
        <w:tc>
          <w:tcPr>
            <w:tcW w:w="1154" w:type="dxa"/>
            <w:tcBorders>
              <w:top w:val="nil"/>
              <w:left w:val="nil"/>
              <w:bottom w:val="single" w:sz="8" w:space="0" w:color="auto"/>
              <w:right w:val="single" w:sz="8" w:space="0" w:color="auto"/>
            </w:tcBorders>
            <w:shd w:val="clear" w:color="auto" w:fill="auto"/>
            <w:vAlign w:val="center"/>
            <w:hideMark/>
          </w:tcPr>
          <w:p w14:paraId="1730CE18"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25.8%</w:t>
            </w:r>
          </w:p>
        </w:tc>
        <w:tc>
          <w:tcPr>
            <w:tcW w:w="1195" w:type="dxa"/>
            <w:tcBorders>
              <w:top w:val="nil"/>
              <w:left w:val="nil"/>
              <w:bottom w:val="single" w:sz="8" w:space="0" w:color="auto"/>
              <w:right w:val="single" w:sz="8" w:space="0" w:color="auto"/>
            </w:tcBorders>
            <w:shd w:val="clear" w:color="auto" w:fill="auto"/>
            <w:vAlign w:val="center"/>
            <w:hideMark/>
          </w:tcPr>
          <w:p w14:paraId="465F312E"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1.4%</w:t>
            </w:r>
          </w:p>
        </w:tc>
      </w:tr>
      <w:tr w:rsidR="005669A3" w14:paraId="6EAEFD6F"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77160A43"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17</w:t>
            </w:r>
          </w:p>
        </w:tc>
        <w:tc>
          <w:tcPr>
            <w:tcW w:w="792" w:type="dxa"/>
            <w:tcBorders>
              <w:top w:val="nil"/>
              <w:left w:val="nil"/>
              <w:bottom w:val="single" w:sz="8" w:space="0" w:color="auto"/>
              <w:right w:val="single" w:sz="8" w:space="0" w:color="auto"/>
            </w:tcBorders>
            <w:shd w:val="clear" w:color="auto" w:fill="auto"/>
            <w:vAlign w:val="center"/>
            <w:hideMark/>
          </w:tcPr>
          <w:p w14:paraId="23949F22"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 19</w:t>
            </w:r>
          </w:p>
        </w:tc>
        <w:tc>
          <w:tcPr>
            <w:tcW w:w="2546" w:type="dxa"/>
            <w:tcBorders>
              <w:top w:val="nil"/>
              <w:left w:val="nil"/>
              <w:bottom w:val="single" w:sz="8" w:space="0" w:color="auto"/>
              <w:right w:val="single" w:sz="8" w:space="0" w:color="auto"/>
            </w:tcBorders>
            <w:shd w:val="clear" w:color="auto" w:fill="auto"/>
            <w:vAlign w:val="center"/>
            <w:hideMark/>
          </w:tcPr>
          <w:p w14:paraId="17A99952"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MARKEL CORP GRP</w:t>
            </w:r>
          </w:p>
        </w:tc>
        <w:tc>
          <w:tcPr>
            <w:tcW w:w="1544" w:type="dxa"/>
            <w:tcBorders>
              <w:top w:val="nil"/>
              <w:left w:val="nil"/>
              <w:bottom w:val="single" w:sz="8" w:space="0" w:color="auto"/>
              <w:right w:val="single" w:sz="8" w:space="0" w:color="auto"/>
            </w:tcBorders>
            <w:shd w:val="clear" w:color="auto" w:fill="auto"/>
            <w:vAlign w:val="center"/>
            <w:hideMark/>
          </w:tcPr>
          <w:p w14:paraId="606B9A95"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29,736,405</w:t>
            </w:r>
          </w:p>
        </w:tc>
        <w:tc>
          <w:tcPr>
            <w:tcW w:w="1154" w:type="dxa"/>
            <w:tcBorders>
              <w:top w:val="nil"/>
              <w:left w:val="nil"/>
              <w:bottom w:val="single" w:sz="8" w:space="0" w:color="auto"/>
              <w:right w:val="single" w:sz="8" w:space="0" w:color="auto"/>
            </w:tcBorders>
            <w:shd w:val="clear" w:color="auto" w:fill="auto"/>
            <w:vAlign w:val="center"/>
            <w:hideMark/>
          </w:tcPr>
          <w:p w14:paraId="1B161E06" w14:textId="2B8A0F04"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38%</w:t>
            </w:r>
          </w:p>
        </w:tc>
        <w:tc>
          <w:tcPr>
            <w:tcW w:w="1195" w:type="dxa"/>
            <w:tcBorders>
              <w:top w:val="nil"/>
              <w:left w:val="nil"/>
              <w:bottom w:val="single" w:sz="8" w:space="0" w:color="auto"/>
              <w:right w:val="single" w:sz="8" w:space="0" w:color="auto"/>
            </w:tcBorders>
            <w:shd w:val="clear" w:color="auto" w:fill="auto"/>
            <w:vAlign w:val="center"/>
            <w:hideMark/>
          </w:tcPr>
          <w:p w14:paraId="3A8A8221"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1.1%</w:t>
            </w:r>
          </w:p>
        </w:tc>
      </w:tr>
      <w:tr w:rsidR="005669A3" w14:paraId="0908F23A"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4A3D762C"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18</w:t>
            </w:r>
          </w:p>
        </w:tc>
        <w:tc>
          <w:tcPr>
            <w:tcW w:w="792" w:type="dxa"/>
            <w:tcBorders>
              <w:top w:val="nil"/>
              <w:left w:val="nil"/>
              <w:bottom w:val="single" w:sz="8" w:space="0" w:color="auto"/>
              <w:right w:val="single" w:sz="8" w:space="0" w:color="auto"/>
            </w:tcBorders>
            <w:shd w:val="clear" w:color="auto" w:fill="auto"/>
            <w:vAlign w:val="center"/>
            <w:hideMark/>
          </w:tcPr>
          <w:p w14:paraId="32EB50B9"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 28</w:t>
            </w:r>
          </w:p>
        </w:tc>
        <w:tc>
          <w:tcPr>
            <w:tcW w:w="2546" w:type="dxa"/>
            <w:tcBorders>
              <w:top w:val="nil"/>
              <w:left w:val="nil"/>
              <w:bottom w:val="single" w:sz="8" w:space="0" w:color="auto"/>
              <w:right w:val="single" w:sz="8" w:space="0" w:color="auto"/>
            </w:tcBorders>
            <w:shd w:val="clear" w:color="auto" w:fill="auto"/>
            <w:vAlign w:val="center"/>
            <w:hideMark/>
          </w:tcPr>
          <w:p w14:paraId="0884A1C7"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EVEREST REIN HOL INC</w:t>
            </w:r>
          </w:p>
        </w:tc>
        <w:tc>
          <w:tcPr>
            <w:tcW w:w="1544" w:type="dxa"/>
            <w:tcBorders>
              <w:top w:val="nil"/>
              <w:left w:val="nil"/>
              <w:bottom w:val="single" w:sz="8" w:space="0" w:color="auto"/>
              <w:right w:val="single" w:sz="8" w:space="0" w:color="auto"/>
            </w:tcBorders>
            <w:shd w:val="clear" w:color="auto" w:fill="auto"/>
            <w:vAlign w:val="center"/>
            <w:hideMark/>
          </w:tcPr>
          <w:p w14:paraId="633EF73A"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28,173,404</w:t>
            </w:r>
          </w:p>
        </w:tc>
        <w:tc>
          <w:tcPr>
            <w:tcW w:w="1154" w:type="dxa"/>
            <w:tcBorders>
              <w:top w:val="nil"/>
              <w:left w:val="nil"/>
              <w:bottom w:val="single" w:sz="8" w:space="0" w:color="auto"/>
              <w:right w:val="single" w:sz="8" w:space="0" w:color="auto"/>
            </w:tcBorders>
            <w:shd w:val="clear" w:color="auto" w:fill="auto"/>
            <w:vAlign w:val="center"/>
            <w:hideMark/>
          </w:tcPr>
          <w:p w14:paraId="019F6529" w14:textId="6A6ED68E"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48%</w:t>
            </w:r>
          </w:p>
        </w:tc>
        <w:tc>
          <w:tcPr>
            <w:tcW w:w="1195" w:type="dxa"/>
            <w:tcBorders>
              <w:top w:val="nil"/>
              <w:left w:val="nil"/>
              <w:bottom w:val="single" w:sz="8" w:space="0" w:color="auto"/>
              <w:right w:val="single" w:sz="8" w:space="0" w:color="auto"/>
            </w:tcBorders>
            <w:shd w:val="clear" w:color="auto" w:fill="auto"/>
            <w:vAlign w:val="center"/>
            <w:hideMark/>
          </w:tcPr>
          <w:p w14:paraId="5AF87763" w14:textId="3929F814"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w:t>
            </w:r>
          </w:p>
        </w:tc>
      </w:tr>
      <w:tr w:rsidR="005669A3" w14:paraId="5397B953"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3741512B"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19</w:t>
            </w:r>
          </w:p>
        </w:tc>
        <w:tc>
          <w:tcPr>
            <w:tcW w:w="792" w:type="dxa"/>
            <w:tcBorders>
              <w:top w:val="nil"/>
              <w:left w:val="nil"/>
              <w:bottom w:val="single" w:sz="8" w:space="0" w:color="auto"/>
              <w:right w:val="single" w:sz="8" w:space="0" w:color="auto"/>
            </w:tcBorders>
            <w:shd w:val="clear" w:color="auto" w:fill="auto"/>
            <w:vAlign w:val="center"/>
            <w:hideMark/>
          </w:tcPr>
          <w:p w14:paraId="5FD3BE01"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 17</w:t>
            </w:r>
          </w:p>
        </w:tc>
        <w:tc>
          <w:tcPr>
            <w:tcW w:w="2546" w:type="dxa"/>
            <w:tcBorders>
              <w:top w:val="nil"/>
              <w:left w:val="nil"/>
              <w:bottom w:val="single" w:sz="8" w:space="0" w:color="auto"/>
              <w:right w:val="single" w:sz="8" w:space="0" w:color="auto"/>
            </w:tcBorders>
            <w:shd w:val="clear" w:color="auto" w:fill="auto"/>
            <w:vAlign w:val="center"/>
            <w:hideMark/>
          </w:tcPr>
          <w:p w14:paraId="592D0EF8"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CINCINATTI FNCL GRP</w:t>
            </w:r>
          </w:p>
        </w:tc>
        <w:tc>
          <w:tcPr>
            <w:tcW w:w="1544" w:type="dxa"/>
            <w:tcBorders>
              <w:top w:val="nil"/>
              <w:left w:val="nil"/>
              <w:bottom w:val="single" w:sz="8" w:space="0" w:color="auto"/>
              <w:right w:val="single" w:sz="8" w:space="0" w:color="auto"/>
            </w:tcBorders>
            <w:shd w:val="clear" w:color="auto" w:fill="auto"/>
            <w:vAlign w:val="center"/>
            <w:hideMark/>
          </w:tcPr>
          <w:p w14:paraId="30A41B6F"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24,888,476</w:t>
            </w:r>
          </w:p>
        </w:tc>
        <w:tc>
          <w:tcPr>
            <w:tcW w:w="1154" w:type="dxa"/>
            <w:tcBorders>
              <w:top w:val="nil"/>
              <w:left w:val="nil"/>
              <w:bottom w:val="single" w:sz="8" w:space="0" w:color="auto"/>
              <w:right w:val="single" w:sz="8" w:space="0" w:color="auto"/>
            </w:tcBorders>
            <w:shd w:val="clear" w:color="auto" w:fill="auto"/>
            <w:vAlign w:val="center"/>
            <w:hideMark/>
          </w:tcPr>
          <w:p w14:paraId="22BD34E9"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24.6%</w:t>
            </w:r>
          </w:p>
        </w:tc>
        <w:tc>
          <w:tcPr>
            <w:tcW w:w="1195" w:type="dxa"/>
            <w:tcBorders>
              <w:top w:val="nil"/>
              <w:left w:val="nil"/>
              <w:bottom w:val="single" w:sz="8" w:space="0" w:color="auto"/>
              <w:right w:val="single" w:sz="8" w:space="0" w:color="auto"/>
            </w:tcBorders>
            <w:shd w:val="clear" w:color="auto" w:fill="auto"/>
            <w:vAlign w:val="center"/>
            <w:hideMark/>
          </w:tcPr>
          <w:p w14:paraId="4FA3A257"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0.9%</w:t>
            </w:r>
          </w:p>
        </w:tc>
      </w:tr>
      <w:tr w:rsidR="005669A3" w14:paraId="70BC6DB9" w14:textId="77777777" w:rsidTr="00AB5FB5">
        <w:trPr>
          <w:trHeight w:hRule="exact" w:val="230"/>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7EAD7732"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20</w:t>
            </w:r>
          </w:p>
        </w:tc>
        <w:tc>
          <w:tcPr>
            <w:tcW w:w="792" w:type="dxa"/>
            <w:tcBorders>
              <w:top w:val="nil"/>
              <w:left w:val="nil"/>
              <w:bottom w:val="single" w:sz="8" w:space="0" w:color="auto"/>
              <w:right w:val="single" w:sz="8" w:space="0" w:color="auto"/>
            </w:tcBorders>
            <w:shd w:val="clear" w:color="auto" w:fill="auto"/>
            <w:vAlign w:val="center"/>
            <w:hideMark/>
          </w:tcPr>
          <w:p w14:paraId="5FC2B565"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 25</w:t>
            </w:r>
          </w:p>
        </w:tc>
        <w:tc>
          <w:tcPr>
            <w:tcW w:w="2546" w:type="dxa"/>
            <w:tcBorders>
              <w:top w:val="nil"/>
              <w:left w:val="nil"/>
              <w:bottom w:val="single" w:sz="8" w:space="0" w:color="auto"/>
              <w:right w:val="single" w:sz="8" w:space="0" w:color="auto"/>
            </w:tcBorders>
            <w:shd w:val="clear" w:color="auto" w:fill="auto"/>
            <w:vAlign w:val="center"/>
            <w:hideMark/>
          </w:tcPr>
          <w:p w14:paraId="4BB5C3D3" w14:textId="77777777" w:rsidR="00920C26" w:rsidRPr="002468C2" w:rsidRDefault="00920C26" w:rsidP="009E7CDA">
            <w:pPr>
              <w:rPr>
                <w:rFonts w:ascii="Calibri" w:hAnsi="Calibri" w:cs="Calibri"/>
                <w:color w:val="000000"/>
                <w:sz w:val="18"/>
                <w:szCs w:val="18"/>
              </w:rPr>
            </w:pPr>
            <w:r w:rsidRPr="002468C2">
              <w:rPr>
                <w:rFonts w:ascii="Calibri" w:hAnsi="Calibri" w:cstheme="minorHAnsi"/>
                <w:color w:val="000000"/>
                <w:sz w:val="18"/>
                <w:szCs w:val="18"/>
              </w:rPr>
              <w:t>SWISS RE GRP</w:t>
            </w:r>
          </w:p>
        </w:tc>
        <w:tc>
          <w:tcPr>
            <w:tcW w:w="1544" w:type="dxa"/>
            <w:tcBorders>
              <w:top w:val="nil"/>
              <w:left w:val="nil"/>
              <w:bottom w:val="single" w:sz="8" w:space="0" w:color="auto"/>
              <w:right w:val="single" w:sz="8" w:space="0" w:color="auto"/>
            </w:tcBorders>
            <w:shd w:val="clear" w:color="auto" w:fill="auto"/>
            <w:vAlign w:val="center"/>
            <w:hideMark/>
          </w:tcPr>
          <w:p w14:paraId="17265138" w14:textId="77777777" w:rsidR="00920C26" w:rsidRPr="002468C2" w:rsidRDefault="00920C26" w:rsidP="009E7CDA">
            <w:pPr>
              <w:jc w:val="right"/>
              <w:rPr>
                <w:rFonts w:ascii="Calibri" w:hAnsi="Calibri" w:cs="Calibri"/>
                <w:color w:val="000000"/>
                <w:sz w:val="18"/>
                <w:szCs w:val="18"/>
              </w:rPr>
            </w:pPr>
            <w:r w:rsidRPr="002468C2">
              <w:rPr>
                <w:rFonts w:ascii="Calibri" w:hAnsi="Calibri" w:cstheme="minorHAnsi"/>
                <w:color w:val="000000"/>
                <w:sz w:val="18"/>
                <w:szCs w:val="18"/>
              </w:rPr>
              <w:t>23,654,519</w:t>
            </w:r>
          </w:p>
        </w:tc>
        <w:tc>
          <w:tcPr>
            <w:tcW w:w="1154" w:type="dxa"/>
            <w:tcBorders>
              <w:top w:val="nil"/>
              <w:left w:val="nil"/>
              <w:bottom w:val="single" w:sz="8" w:space="0" w:color="auto"/>
              <w:right w:val="single" w:sz="8" w:space="0" w:color="auto"/>
            </w:tcBorders>
            <w:shd w:val="clear" w:color="auto" w:fill="auto"/>
            <w:vAlign w:val="center"/>
            <w:hideMark/>
          </w:tcPr>
          <w:p w14:paraId="34068379"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42.6%</w:t>
            </w:r>
          </w:p>
        </w:tc>
        <w:tc>
          <w:tcPr>
            <w:tcW w:w="1195" w:type="dxa"/>
            <w:tcBorders>
              <w:top w:val="nil"/>
              <w:left w:val="nil"/>
              <w:bottom w:val="single" w:sz="8" w:space="0" w:color="auto"/>
              <w:right w:val="single" w:sz="8" w:space="0" w:color="auto"/>
            </w:tcBorders>
            <w:shd w:val="clear" w:color="auto" w:fill="auto"/>
            <w:vAlign w:val="center"/>
            <w:hideMark/>
          </w:tcPr>
          <w:p w14:paraId="78EE8049" w14:textId="77777777" w:rsidR="00920C26" w:rsidRPr="002468C2" w:rsidRDefault="00920C26" w:rsidP="009E7CDA">
            <w:pPr>
              <w:jc w:val="center"/>
              <w:rPr>
                <w:rFonts w:ascii="Calibri" w:hAnsi="Calibri" w:cs="Calibri"/>
                <w:color w:val="000000"/>
                <w:sz w:val="18"/>
                <w:szCs w:val="18"/>
              </w:rPr>
            </w:pPr>
            <w:r w:rsidRPr="002468C2">
              <w:rPr>
                <w:rFonts w:ascii="Calibri" w:hAnsi="Calibri" w:cstheme="minorHAnsi"/>
                <w:color w:val="000000"/>
                <w:sz w:val="18"/>
                <w:szCs w:val="18"/>
              </w:rPr>
              <w:t>0.9%</w:t>
            </w:r>
          </w:p>
        </w:tc>
      </w:tr>
    </w:tbl>
    <w:p w14:paraId="750AF772" w14:textId="27324BF2" w:rsidR="00920C26" w:rsidRPr="00D63619" w:rsidRDefault="00920C26" w:rsidP="00762946">
      <w:pPr>
        <w:spacing w:after="120"/>
        <w:jc w:val="both"/>
        <w:rPr>
          <w:sz w:val="20"/>
          <w:szCs w:val="20"/>
        </w:rPr>
      </w:pPr>
      <w:r w:rsidRPr="00D63619">
        <w:rPr>
          <w:sz w:val="20"/>
          <w:szCs w:val="20"/>
        </w:rPr>
        <w:lastRenderedPageBreak/>
        <w:t xml:space="preserve">During 2020, the top </w:t>
      </w:r>
      <w:r w:rsidR="00F47468">
        <w:rPr>
          <w:sz w:val="20"/>
          <w:szCs w:val="20"/>
        </w:rPr>
        <w:t>10</w:t>
      </w:r>
      <w:r w:rsidRPr="00D63619">
        <w:rPr>
          <w:sz w:val="20"/>
          <w:szCs w:val="20"/>
        </w:rPr>
        <w:t xml:space="preserve"> U.S. groups wrote almost 68% of the </w:t>
      </w:r>
      <w:r w:rsidR="00600112">
        <w:rPr>
          <w:sz w:val="20"/>
          <w:szCs w:val="20"/>
        </w:rPr>
        <w:t>cyber insurance</w:t>
      </w:r>
      <w:r w:rsidRPr="00D63619">
        <w:rPr>
          <w:sz w:val="20"/>
          <w:szCs w:val="20"/>
        </w:rPr>
        <w:t xml:space="preserve"> market, with written premiums totaling approximately $1.86 billion.</w:t>
      </w:r>
      <w:r w:rsidR="00E91E07">
        <w:rPr>
          <w:sz w:val="20"/>
          <w:szCs w:val="20"/>
        </w:rPr>
        <w:t xml:space="preserve"> This market share percentage varied little from 2019.</w:t>
      </w:r>
    </w:p>
    <w:p w14:paraId="40C3B8DD" w14:textId="053D5A17" w:rsidR="00920C26" w:rsidRPr="00D63619" w:rsidRDefault="00920C26" w:rsidP="00920C26">
      <w:pPr>
        <w:spacing w:after="120"/>
        <w:rPr>
          <w:rFonts w:cstheme="minorHAnsi"/>
          <w:b/>
          <w:sz w:val="20"/>
          <w:szCs w:val="20"/>
        </w:rPr>
      </w:pPr>
      <w:r w:rsidRPr="00D63619">
        <w:rPr>
          <w:rFonts w:cstheme="minorHAnsi"/>
          <w:b/>
          <w:sz w:val="20"/>
          <w:szCs w:val="20"/>
        </w:rPr>
        <w:t xml:space="preserve">Standalone Policies </w:t>
      </w:r>
      <w:r w:rsidR="00D960C6">
        <w:rPr>
          <w:rFonts w:cstheme="minorHAnsi"/>
          <w:b/>
          <w:sz w:val="20"/>
          <w:szCs w:val="20"/>
        </w:rPr>
        <w:t>Versu</w:t>
      </w:r>
      <w:r w:rsidRPr="00D63619">
        <w:rPr>
          <w:rFonts w:cstheme="minorHAnsi"/>
          <w:b/>
          <w:sz w:val="20"/>
          <w:szCs w:val="20"/>
        </w:rPr>
        <w:t>s Package Policies – U.S. Domiciled Insurers</w:t>
      </w:r>
    </w:p>
    <w:p w14:paraId="2F97D838" w14:textId="7A100362" w:rsidR="00920C26" w:rsidRPr="00D63619" w:rsidRDefault="00920C26" w:rsidP="00920C26">
      <w:pPr>
        <w:spacing w:after="120"/>
        <w:jc w:val="both"/>
        <w:rPr>
          <w:rFonts w:cstheme="minorHAnsi"/>
          <w:sz w:val="20"/>
          <w:szCs w:val="20"/>
        </w:rPr>
      </w:pPr>
      <w:r w:rsidRPr="00D63619">
        <w:rPr>
          <w:rFonts w:cstheme="minorHAnsi"/>
          <w:sz w:val="20"/>
          <w:szCs w:val="20"/>
        </w:rPr>
        <w:t xml:space="preserve">During 2020, insurers writing standalone cyber coverage reported </w:t>
      </w:r>
      <w:r w:rsidRPr="00D63619">
        <w:rPr>
          <w:rFonts w:cstheme="minorHAnsi"/>
          <w:color w:val="000000" w:themeColor="text1"/>
          <w:sz w:val="20"/>
          <w:szCs w:val="20"/>
        </w:rPr>
        <w:t xml:space="preserve">$1.62 </w:t>
      </w:r>
      <w:r w:rsidRPr="00D63619">
        <w:rPr>
          <w:rFonts w:cstheme="minorHAnsi"/>
          <w:sz w:val="20"/>
          <w:szCs w:val="20"/>
        </w:rPr>
        <w:t>billion in direct written premiums and $</w:t>
      </w:r>
      <w:r w:rsidRPr="00D63619">
        <w:rPr>
          <w:rFonts w:cstheme="minorHAnsi"/>
          <w:color w:val="000000" w:themeColor="text1"/>
          <w:sz w:val="20"/>
          <w:szCs w:val="20"/>
        </w:rPr>
        <w:t xml:space="preserve">1.42 </w:t>
      </w:r>
      <w:r w:rsidRPr="00D63619">
        <w:rPr>
          <w:rFonts w:cstheme="minorHAnsi"/>
          <w:sz w:val="20"/>
          <w:szCs w:val="20"/>
        </w:rPr>
        <w:t xml:space="preserve">billion in direct earned premium. The standalone cybersecurity insurance direct written premiums for </w:t>
      </w:r>
      <w:r w:rsidRPr="00D63619">
        <w:rPr>
          <w:rFonts w:cstheme="minorHAnsi"/>
          <w:color w:val="000000" w:themeColor="text1"/>
          <w:sz w:val="20"/>
          <w:szCs w:val="20"/>
        </w:rPr>
        <w:t xml:space="preserve">2020 </w:t>
      </w:r>
      <w:r w:rsidRPr="00D63619">
        <w:rPr>
          <w:rFonts w:cstheme="minorHAnsi"/>
          <w:sz w:val="20"/>
          <w:szCs w:val="20"/>
        </w:rPr>
        <w:t xml:space="preserve">increased by </w:t>
      </w:r>
      <w:r w:rsidRPr="00D63619">
        <w:rPr>
          <w:rFonts w:cstheme="minorHAnsi"/>
          <w:color w:val="000000" w:themeColor="text1"/>
          <w:sz w:val="20"/>
          <w:szCs w:val="20"/>
        </w:rPr>
        <w:t>28.1</w:t>
      </w:r>
      <w:r w:rsidRPr="00D63619">
        <w:rPr>
          <w:rFonts w:cstheme="minorHAnsi"/>
          <w:sz w:val="20"/>
          <w:szCs w:val="20"/>
        </w:rPr>
        <w:t>% from the prior year</w:t>
      </w:r>
      <w:r w:rsidR="00B109CF">
        <w:rPr>
          <w:rFonts w:cstheme="minorHAnsi"/>
          <w:sz w:val="20"/>
          <w:szCs w:val="20"/>
        </w:rPr>
        <w:t>,</w:t>
      </w:r>
      <w:r w:rsidRPr="00D63619">
        <w:rPr>
          <w:rFonts w:cstheme="minorHAnsi"/>
          <w:sz w:val="20"/>
          <w:szCs w:val="20"/>
        </w:rPr>
        <w:t xml:space="preserve"> and the total number of standalone policies reported in 2020 increased by 22% from the number written in 2019.</w:t>
      </w:r>
    </w:p>
    <w:p w14:paraId="6F4E9F54" w14:textId="77777777" w:rsidR="00920C26" w:rsidRPr="00D63619" w:rsidRDefault="00920C26" w:rsidP="00920C26">
      <w:pPr>
        <w:spacing w:after="120"/>
        <w:jc w:val="both"/>
        <w:rPr>
          <w:rFonts w:cstheme="minorHAnsi"/>
          <w:sz w:val="20"/>
          <w:szCs w:val="20"/>
        </w:rPr>
      </w:pPr>
      <w:r w:rsidRPr="00D63619">
        <w:rPr>
          <w:rFonts w:cstheme="minorHAnsi"/>
          <w:sz w:val="20"/>
          <w:szCs w:val="20"/>
        </w:rPr>
        <w:t>The reported direct written premiums for cybersecurity package policies totaled $1.14 billion, which is an increase of 13.6% from the prior year. The NAIC did not estimate missing premium this year, as the insurers not reporting direct written premium had very few claims and are not significant enough to include.</w:t>
      </w:r>
    </w:p>
    <w:p w14:paraId="0CB76703" w14:textId="77777777" w:rsidR="00E5569F" w:rsidRPr="00E5569F" w:rsidRDefault="00E5569F" w:rsidP="00E5569F">
      <w:pPr>
        <w:spacing w:after="120"/>
        <w:jc w:val="both"/>
        <w:rPr>
          <w:rFonts w:ascii="Calibri" w:eastAsia="Times New Roman" w:hAnsi="Calibri" w:cs="Calibri"/>
          <w:b/>
          <w:sz w:val="20"/>
          <w:szCs w:val="20"/>
        </w:rPr>
      </w:pPr>
      <w:r w:rsidRPr="00E5569F">
        <w:rPr>
          <w:rFonts w:ascii="Calibri" w:eastAsia="Times New Roman" w:hAnsi="Calibri" w:cs="Calibri"/>
          <w:b/>
          <w:sz w:val="20"/>
          <w:szCs w:val="20"/>
        </w:rPr>
        <w:t>Alien Surplus Lines Insurers Writing Business in the U.S.</w:t>
      </w:r>
    </w:p>
    <w:p w14:paraId="72F79BC1" w14:textId="32D9615C" w:rsidR="00E5569F" w:rsidRPr="00E5569F" w:rsidRDefault="00E5569F" w:rsidP="00E5569F">
      <w:pPr>
        <w:spacing w:after="120"/>
        <w:jc w:val="both"/>
        <w:rPr>
          <w:rFonts w:ascii="Calibri" w:eastAsia="Times New Roman" w:hAnsi="Calibri" w:cs="Calibri"/>
          <w:sz w:val="20"/>
          <w:szCs w:val="20"/>
        </w:rPr>
      </w:pPr>
      <w:r w:rsidRPr="00E5569F">
        <w:rPr>
          <w:rFonts w:ascii="Calibri" w:eastAsia="Times New Roman" w:hAnsi="Calibri" w:cs="Calibri"/>
          <w:sz w:val="20"/>
          <w:szCs w:val="20"/>
        </w:rPr>
        <w:t xml:space="preserve">The NAIC receives cybersecurity data filed by alien surplus lines insurers via the NAIC’s International Insurance Department. Alien insurers wrote $961.2 million in cybersecurity standalone package policies in 2020, a 7.9% increase from </w:t>
      </w:r>
      <w:r w:rsidR="00E63E0A">
        <w:rPr>
          <w:rFonts w:ascii="Calibri" w:eastAsia="Times New Roman" w:hAnsi="Calibri" w:cs="Calibri"/>
          <w:sz w:val="20"/>
          <w:szCs w:val="20"/>
        </w:rPr>
        <w:t>the prior</w:t>
      </w:r>
      <w:r w:rsidRPr="00E5569F">
        <w:rPr>
          <w:rFonts w:ascii="Calibri" w:eastAsia="Times New Roman" w:hAnsi="Calibri" w:cs="Calibri"/>
          <w:sz w:val="20"/>
          <w:szCs w:val="20"/>
        </w:rPr>
        <w:t xml:space="preserve"> year.</w:t>
      </w:r>
      <w:r w:rsidRPr="00E5569F">
        <w:rPr>
          <w:rFonts w:ascii="Calibri" w:eastAsia="Times New Roman" w:hAnsi="Calibri" w:cs="Calibri"/>
          <w:sz w:val="20"/>
          <w:szCs w:val="20"/>
          <w:vertAlign w:val="superscript"/>
        </w:rPr>
        <w:footnoteReference w:id="8"/>
      </w:r>
    </w:p>
    <w:p w14:paraId="201F27C3" w14:textId="73074CD1" w:rsidR="00E5569F" w:rsidRPr="00E5569F" w:rsidRDefault="00E5569F" w:rsidP="00E5569F">
      <w:pPr>
        <w:spacing w:after="120"/>
        <w:jc w:val="both"/>
        <w:rPr>
          <w:rFonts w:ascii="Calibri" w:eastAsia="Times New Roman" w:hAnsi="Calibri" w:cs="Calibri"/>
          <w:sz w:val="20"/>
          <w:szCs w:val="20"/>
        </w:rPr>
      </w:pPr>
      <w:r w:rsidRPr="00E5569F">
        <w:rPr>
          <w:rFonts w:ascii="Calibri" w:eastAsia="Times New Roman" w:hAnsi="Calibri" w:cs="Calibri"/>
          <w:sz w:val="20"/>
          <w:szCs w:val="20"/>
        </w:rPr>
        <w:t>Alien surplus lines insurers wrote $350.1 million in direct premiums for cybersecurity package policies, a 71.4% increase from last year. The total written premium for both policy types was $1.3 billion, indicating a total premium increase of 19.8%.</w:t>
      </w:r>
    </w:p>
    <w:p w14:paraId="66452600" w14:textId="77777777" w:rsidR="00E5569F" w:rsidRPr="00E5569F" w:rsidRDefault="00E5569F" w:rsidP="00E5569F">
      <w:pPr>
        <w:spacing w:before="120" w:after="120"/>
        <w:jc w:val="both"/>
        <w:rPr>
          <w:rFonts w:ascii="Calibri" w:eastAsia="Times New Roman" w:hAnsi="Calibri" w:cs="Calibri"/>
          <w:b/>
          <w:sz w:val="20"/>
          <w:szCs w:val="20"/>
        </w:rPr>
      </w:pPr>
      <w:r w:rsidRPr="00E5569F">
        <w:rPr>
          <w:rFonts w:ascii="Calibri" w:eastAsia="Times New Roman" w:hAnsi="Calibri" w:cs="Calibri"/>
          <w:b/>
          <w:sz w:val="20"/>
          <w:szCs w:val="20"/>
        </w:rPr>
        <w:t>Identity Theft Coverage – U.S. Domiciled Insurers Only</w:t>
      </w:r>
    </w:p>
    <w:p w14:paraId="05CFB6C1" w14:textId="5D39582C" w:rsidR="00E5569F" w:rsidRPr="00E5569F" w:rsidRDefault="00E5569F" w:rsidP="00E5569F">
      <w:pPr>
        <w:spacing w:after="120"/>
        <w:jc w:val="both"/>
        <w:rPr>
          <w:rFonts w:ascii="Calibri" w:eastAsia="Times New Roman" w:hAnsi="Calibri" w:cs="Calibri"/>
          <w:sz w:val="20"/>
          <w:szCs w:val="20"/>
        </w:rPr>
      </w:pPr>
      <w:r w:rsidRPr="00E5569F">
        <w:rPr>
          <w:rFonts w:ascii="Calibri" w:eastAsia="Times New Roman" w:hAnsi="Calibri" w:cs="Calibri"/>
          <w:sz w:val="20"/>
          <w:szCs w:val="20"/>
        </w:rPr>
        <w:t>From a market perspective, the 2020 data continues to indicate that U.S. insurers’ most common product related to cybersecurity is in the form of identity theft coverage. Insurers wrote approximately 20.3 million policies, both standalone and package policies, up roughly 4% from the prior year. Currently, some homeowners policies include this coverage for no extra charge.</w:t>
      </w:r>
    </w:p>
    <w:p w14:paraId="0CA2BB0B" w14:textId="77777777" w:rsidR="00E5569F" w:rsidRPr="00E5569F" w:rsidRDefault="00E5569F" w:rsidP="00E5569F">
      <w:pPr>
        <w:spacing w:after="120"/>
        <w:jc w:val="both"/>
        <w:rPr>
          <w:rFonts w:ascii="Calibri" w:eastAsia="Times New Roman" w:hAnsi="Calibri" w:cs="Calibri"/>
          <w:color w:val="FF0000"/>
          <w:sz w:val="20"/>
          <w:szCs w:val="20"/>
        </w:rPr>
      </w:pPr>
      <w:r w:rsidRPr="00E5569F">
        <w:rPr>
          <w:rFonts w:ascii="Calibri" w:eastAsia="Times New Roman" w:hAnsi="Calibri" w:cs="Calibri"/>
          <w:sz w:val="20"/>
          <w:szCs w:val="20"/>
        </w:rPr>
        <w:t>Standalone identity theft policies represented a little over $</w:t>
      </w:r>
      <w:r w:rsidRPr="00E5569F">
        <w:rPr>
          <w:rFonts w:ascii="Calibri" w:eastAsia="Times New Roman" w:hAnsi="Calibri" w:cs="Calibri"/>
          <w:color w:val="000000"/>
          <w:sz w:val="20"/>
          <w:szCs w:val="20"/>
        </w:rPr>
        <w:t xml:space="preserve">7 </w:t>
      </w:r>
      <w:r w:rsidRPr="00E5569F">
        <w:rPr>
          <w:rFonts w:ascii="Calibri" w:eastAsia="Times New Roman" w:hAnsi="Calibri" w:cs="Calibri"/>
          <w:sz w:val="20"/>
          <w:szCs w:val="20"/>
        </w:rPr>
        <w:t>million in direct written premium, and the number of policies decreased by 3.1% from the number of policies in force in the previous year. Package policies represented $</w:t>
      </w:r>
      <w:r w:rsidRPr="00E5569F">
        <w:rPr>
          <w:rFonts w:ascii="Calibri" w:eastAsia="Times New Roman" w:hAnsi="Calibri" w:cs="Calibri"/>
          <w:color w:val="000000"/>
          <w:sz w:val="20"/>
          <w:szCs w:val="20"/>
        </w:rPr>
        <w:t xml:space="preserve">233.1 </w:t>
      </w:r>
      <w:r w:rsidRPr="00E5569F">
        <w:rPr>
          <w:rFonts w:ascii="Calibri" w:eastAsia="Times New Roman" w:hAnsi="Calibri" w:cs="Calibri"/>
          <w:sz w:val="20"/>
          <w:szCs w:val="20"/>
        </w:rPr>
        <w:t>million in direct written premium, and the policies in force increased by almost 4</w:t>
      </w:r>
      <w:r w:rsidRPr="00E5569F">
        <w:rPr>
          <w:rFonts w:ascii="Calibri" w:eastAsia="Times New Roman" w:hAnsi="Calibri" w:cs="Calibri"/>
          <w:color w:val="000000"/>
          <w:sz w:val="20"/>
          <w:szCs w:val="20"/>
        </w:rPr>
        <w:t xml:space="preserve">% </w:t>
      </w:r>
      <w:r w:rsidRPr="00E5569F">
        <w:rPr>
          <w:rFonts w:ascii="Calibri" w:eastAsia="Times New Roman" w:hAnsi="Calibri" w:cs="Calibri"/>
          <w:sz w:val="20"/>
          <w:szCs w:val="20"/>
        </w:rPr>
        <w:t xml:space="preserve">from the prior year. </w:t>
      </w:r>
    </w:p>
    <w:p w14:paraId="59EE5FEC" w14:textId="77777777" w:rsidR="00E5569F" w:rsidRPr="00E5569F" w:rsidRDefault="00E5569F" w:rsidP="00E5569F">
      <w:pPr>
        <w:keepNext/>
        <w:keepLines/>
        <w:spacing w:after="120"/>
        <w:jc w:val="both"/>
        <w:rPr>
          <w:rFonts w:ascii="Calibri" w:eastAsia="Times New Roman" w:hAnsi="Calibri" w:cs="Calibri"/>
          <w:b/>
          <w:sz w:val="20"/>
          <w:szCs w:val="20"/>
        </w:rPr>
      </w:pPr>
      <w:r w:rsidRPr="00E5569F">
        <w:rPr>
          <w:rFonts w:ascii="Calibri" w:eastAsia="Times New Roman" w:hAnsi="Calibri" w:cs="Calibri"/>
          <w:b/>
          <w:sz w:val="20"/>
          <w:szCs w:val="20"/>
        </w:rPr>
        <w:t>Ransomware</w:t>
      </w:r>
    </w:p>
    <w:p w14:paraId="28E2D327" w14:textId="77777777" w:rsidR="00E5569F" w:rsidRPr="00E5569F" w:rsidRDefault="00E5569F" w:rsidP="00E5569F">
      <w:pPr>
        <w:spacing w:after="120"/>
        <w:jc w:val="both"/>
        <w:rPr>
          <w:rFonts w:ascii="Calibri" w:eastAsia="Times New Roman" w:hAnsi="Calibri" w:cs="Calibri"/>
          <w:color w:val="0E101A"/>
          <w:sz w:val="20"/>
          <w:szCs w:val="20"/>
        </w:rPr>
      </w:pPr>
      <w:r w:rsidRPr="00E5569F">
        <w:rPr>
          <w:rFonts w:ascii="Calibri" w:eastAsia="Calibri" w:hAnsi="Calibri" w:cs="Calibri"/>
          <w:sz w:val="20"/>
          <w:szCs w:val="20"/>
        </w:rPr>
        <w:t>Ransomware poses a significant threat as it escalates in frequency and severity. Ransomware attacks have grown by 62% since 2019.</w:t>
      </w:r>
      <w:r w:rsidRPr="00E5569F">
        <w:rPr>
          <w:rFonts w:ascii="Calibri" w:eastAsia="Times New Roman" w:hAnsi="Calibri" w:cs="Calibri"/>
          <w:color w:val="0E101A"/>
          <w:sz w:val="20"/>
          <w:szCs w:val="20"/>
          <w:vertAlign w:val="superscript"/>
        </w:rPr>
        <w:footnoteReference w:id="9"/>
      </w:r>
      <w:r w:rsidRPr="00E5569F">
        <w:rPr>
          <w:rFonts w:ascii="Calibri" w:eastAsia="Times New Roman" w:hAnsi="Calibri" w:cs="Calibri"/>
          <w:color w:val="0E101A"/>
          <w:sz w:val="20"/>
          <w:szCs w:val="20"/>
        </w:rPr>
        <w:t> </w:t>
      </w:r>
    </w:p>
    <w:p w14:paraId="20CB40A8" w14:textId="7BF88671" w:rsidR="00E5569F" w:rsidRPr="00E5569F" w:rsidRDefault="00E5569F" w:rsidP="00E5569F">
      <w:pPr>
        <w:spacing w:after="120"/>
        <w:jc w:val="both"/>
        <w:rPr>
          <w:rFonts w:ascii="Calibri" w:eastAsia="Times New Roman" w:hAnsi="Calibri" w:cs="Calibri"/>
          <w:color w:val="0E101A"/>
          <w:sz w:val="20"/>
          <w:szCs w:val="20"/>
        </w:rPr>
      </w:pPr>
      <w:r w:rsidRPr="00E5569F">
        <w:rPr>
          <w:rFonts w:ascii="Calibri" w:eastAsia="Calibri" w:hAnsi="Calibri" w:cs="Calibri"/>
          <w:sz w:val="20"/>
          <w:szCs w:val="20"/>
        </w:rPr>
        <w:t>Initially, ransomware merely encrypted files. The affected party would then need an encryption key to unencrypt the files. The victim of the attack pays a ransom to obtain the encryption key. The problem is ransomware now also often involves extortion. Extortion comes into play when cybercriminals threaten to release or sell sensitive data after collecting the ransomware payment.</w:t>
      </w:r>
      <w:r w:rsidRPr="00E5569F">
        <w:rPr>
          <w:rFonts w:ascii="Calibri" w:eastAsia="Times New Roman" w:hAnsi="Calibri" w:cs="Calibri"/>
          <w:color w:val="0E101A"/>
          <w:sz w:val="20"/>
          <w:szCs w:val="20"/>
          <w:vertAlign w:val="superscript"/>
        </w:rPr>
        <w:footnoteReference w:id="10"/>
      </w:r>
    </w:p>
    <w:p w14:paraId="307C3D6E" w14:textId="4F98473F" w:rsidR="00E5569F" w:rsidRPr="00E5569F" w:rsidRDefault="00E5569F" w:rsidP="00E5569F">
      <w:pPr>
        <w:spacing w:after="120"/>
        <w:jc w:val="both"/>
        <w:rPr>
          <w:rFonts w:ascii="Calibri" w:eastAsia="Times New Roman" w:hAnsi="Calibri" w:cs="Calibri"/>
          <w:color w:val="0E101A"/>
          <w:sz w:val="20"/>
          <w:szCs w:val="20"/>
        </w:rPr>
      </w:pPr>
      <w:r w:rsidRPr="00E5569F">
        <w:rPr>
          <w:rFonts w:ascii="Calibri" w:eastAsia="Calibri" w:hAnsi="Calibri" w:cs="Calibri"/>
          <w:sz w:val="20"/>
          <w:szCs w:val="20"/>
        </w:rPr>
        <w:lastRenderedPageBreak/>
        <w:t xml:space="preserve">Ransomware is likely one of the biggest reasons </w:t>
      </w:r>
      <w:r w:rsidR="00600112">
        <w:rPr>
          <w:rFonts w:ascii="Calibri" w:eastAsia="Calibri" w:hAnsi="Calibri" w:cs="Calibri"/>
          <w:sz w:val="20"/>
          <w:szCs w:val="20"/>
        </w:rPr>
        <w:t>cyber insurance</w:t>
      </w:r>
      <w:r w:rsidRPr="00E5569F">
        <w:rPr>
          <w:rFonts w:ascii="Calibri" w:eastAsia="Calibri" w:hAnsi="Calibri" w:cs="Calibri"/>
          <w:sz w:val="20"/>
          <w:szCs w:val="20"/>
        </w:rPr>
        <w:t xml:space="preserve"> costs are on the rise. In 2020</w:t>
      </w:r>
      <w:r w:rsidR="001613BF">
        <w:rPr>
          <w:rFonts w:ascii="Calibri" w:eastAsia="Calibri" w:hAnsi="Calibri" w:cs="Calibri"/>
          <w:sz w:val="20"/>
          <w:szCs w:val="20"/>
        </w:rPr>
        <w:t>,</w:t>
      </w:r>
      <w:r w:rsidRPr="00E5569F">
        <w:rPr>
          <w:rFonts w:ascii="Calibri" w:eastAsia="Calibri" w:hAnsi="Calibri" w:cs="Calibri"/>
          <w:sz w:val="20"/>
          <w:szCs w:val="20"/>
        </w:rPr>
        <w:t xml:space="preserve"> there was a 400% increase in ransomware incidents. Additionally, extortion demands climbed sharply.</w:t>
      </w:r>
      <w:r w:rsidRPr="00E5569F">
        <w:rPr>
          <w:rFonts w:ascii="Calibri" w:eastAsia="Times New Roman" w:hAnsi="Calibri" w:cs="Calibri"/>
          <w:color w:val="0E101A"/>
          <w:sz w:val="20"/>
          <w:szCs w:val="20"/>
          <w:vertAlign w:val="superscript"/>
        </w:rPr>
        <w:footnoteReference w:id="11"/>
      </w:r>
    </w:p>
    <w:p w14:paraId="294D7AFB" w14:textId="4E7EF819" w:rsidR="00E5569F" w:rsidRPr="00E5569F" w:rsidRDefault="00600112" w:rsidP="00E5569F">
      <w:pPr>
        <w:keepNext/>
        <w:keepLines/>
        <w:spacing w:after="120"/>
        <w:jc w:val="both"/>
        <w:rPr>
          <w:rFonts w:ascii="Calibri" w:eastAsia="Times New Roman" w:hAnsi="Calibri" w:cs="Calibri"/>
          <w:b/>
          <w:sz w:val="20"/>
          <w:szCs w:val="20"/>
        </w:rPr>
      </w:pPr>
      <w:r>
        <w:rPr>
          <w:rFonts w:ascii="Calibri" w:eastAsia="Times New Roman" w:hAnsi="Calibri" w:cs="Calibri"/>
          <w:b/>
          <w:sz w:val="20"/>
          <w:szCs w:val="20"/>
        </w:rPr>
        <w:t xml:space="preserve">Cyber </w:t>
      </w:r>
      <w:r w:rsidR="000D70E7">
        <w:rPr>
          <w:rFonts w:ascii="Calibri" w:eastAsia="Times New Roman" w:hAnsi="Calibri" w:cs="Calibri"/>
          <w:b/>
          <w:sz w:val="20"/>
          <w:szCs w:val="20"/>
        </w:rPr>
        <w:t>I</w:t>
      </w:r>
      <w:r>
        <w:rPr>
          <w:rFonts w:ascii="Calibri" w:eastAsia="Times New Roman" w:hAnsi="Calibri" w:cs="Calibri"/>
          <w:b/>
          <w:sz w:val="20"/>
          <w:szCs w:val="20"/>
        </w:rPr>
        <w:t>nsurance</w:t>
      </w:r>
      <w:r w:rsidR="00E5569F" w:rsidRPr="00E5569F">
        <w:rPr>
          <w:rFonts w:ascii="Calibri" w:eastAsia="Times New Roman" w:hAnsi="Calibri" w:cs="Calibri"/>
          <w:b/>
          <w:sz w:val="20"/>
          <w:szCs w:val="20"/>
        </w:rPr>
        <w:t xml:space="preserve"> Underwriting </w:t>
      </w:r>
      <w:r w:rsidR="00D86F4B">
        <w:rPr>
          <w:rFonts w:ascii="Calibri" w:eastAsia="Times New Roman" w:hAnsi="Calibri" w:cs="Calibri"/>
          <w:b/>
          <w:sz w:val="20"/>
          <w:szCs w:val="20"/>
        </w:rPr>
        <w:t xml:space="preserve">and Rating </w:t>
      </w:r>
      <w:r w:rsidR="00E5569F" w:rsidRPr="00E5569F">
        <w:rPr>
          <w:rFonts w:ascii="Calibri" w:eastAsia="Times New Roman" w:hAnsi="Calibri" w:cs="Calibri"/>
          <w:b/>
          <w:sz w:val="20"/>
          <w:szCs w:val="20"/>
        </w:rPr>
        <w:t>Changes</w:t>
      </w:r>
    </w:p>
    <w:p w14:paraId="1C73B6BE" w14:textId="11629431" w:rsidR="00E5569F" w:rsidRPr="00E5569F" w:rsidRDefault="00E5569F" w:rsidP="00E5569F">
      <w:pPr>
        <w:spacing w:after="120"/>
        <w:jc w:val="both"/>
        <w:rPr>
          <w:rFonts w:ascii="Calibri" w:eastAsia="Times New Roman" w:hAnsi="Calibri" w:cs="Calibri"/>
          <w:sz w:val="20"/>
          <w:szCs w:val="20"/>
        </w:rPr>
      </w:pPr>
      <w:r w:rsidRPr="00E5569F">
        <w:rPr>
          <w:rFonts w:ascii="Calibri" w:eastAsia="Times New Roman" w:hAnsi="Calibri" w:cs="Calibri"/>
          <w:sz w:val="20"/>
          <w:szCs w:val="20"/>
        </w:rPr>
        <w:t xml:space="preserve">Currently, cyber insurers are seeing their expenditures, as a proportion of premiums paid, surpass 70%. It should be no surprise that </w:t>
      </w:r>
      <w:r w:rsidR="00600112">
        <w:rPr>
          <w:rFonts w:ascii="Calibri" w:eastAsia="Times New Roman" w:hAnsi="Calibri" w:cs="Calibri"/>
          <w:sz w:val="20"/>
          <w:szCs w:val="20"/>
        </w:rPr>
        <w:t>cyber insurance</w:t>
      </w:r>
      <w:r w:rsidRPr="00E5569F">
        <w:rPr>
          <w:rFonts w:ascii="Calibri" w:eastAsia="Times New Roman" w:hAnsi="Calibri" w:cs="Calibri"/>
          <w:sz w:val="20"/>
          <w:szCs w:val="20"/>
        </w:rPr>
        <w:t xml:space="preserve"> premiums are on the rise.</w:t>
      </w:r>
      <w:r w:rsidRPr="00E5569F">
        <w:rPr>
          <w:rFonts w:ascii="Calibri" w:eastAsia="Times New Roman" w:hAnsi="Calibri" w:cs="Calibri"/>
          <w:sz w:val="20"/>
          <w:szCs w:val="20"/>
          <w:vertAlign w:val="superscript"/>
        </w:rPr>
        <w:footnoteReference w:id="12"/>
      </w:r>
      <w:r w:rsidRPr="00E5569F">
        <w:rPr>
          <w:rFonts w:ascii="Calibri" w:eastAsia="Times New Roman" w:hAnsi="Calibri" w:cs="Calibri"/>
          <w:sz w:val="20"/>
          <w:szCs w:val="20"/>
        </w:rPr>
        <w:t xml:space="preserve"> A recent survey of brokers shows an increase of 10</w:t>
      </w:r>
      <w:r w:rsidR="009F5D3A">
        <w:rPr>
          <w:rFonts w:ascii="Calibri" w:eastAsia="Times New Roman" w:hAnsi="Calibri" w:cs="Calibri"/>
          <w:sz w:val="20"/>
          <w:szCs w:val="20"/>
        </w:rPr>
        <w:t>–</w:t>
      </w:r>
      <w:r w:rsidRPr="00E5569F">
        <w:rPr>
          <w:rFonts w:ascii="Calibri" w:eastAsia="Times New Roman" w:hAnsi="Calibri" w:cs="Calibri"/>
          <w:sz w:val="20"/>
          <w:szCs w:val="20"/>
        </w:rPr>
        <w:t xml:space="preserve">30% in </w:t>
      </w:r>
      <w:r w:rsidR="00600112">
        <w:rPr>
          <w:rFonts w:ascii="Calibri" w:eastAsia="Times New Roman" w:hAnsi="Calibri" w:cs="Calibri"/>
          <w:sz w:val="20"/>
          <w:szCs w:val="20"/>
        </w:rPr>
        <w:t>cyber insurance</w:t>
      </w:r>
      <w:r w:rsidRPr="00E5569F">
        <w:rPr>
          <w:rFonts w:ascii="Calibri" w:eastAsia="Times New Roman" w:hAnsi="Calibri" w:cs="Calibri"/>
          <w:sz w:val="20"/>
          <w:szCs w:val="20"/>
        </w:rPr>
        <w:t xml:space="preserve"> prices during the last quarter of 2020. Additionally, the survey indicates the increased pricing trend continuing in the first quarter of 2021, as renewal pricing on </w:t>
      </w:r>
      <w:r w:rsidR="00600112">
        <w:rPr>
          <w:rFonts w:ascii="Calibri" w:eastAsia="Times New Roman" w:hAnsi="Calibri" w:cs="Calibri"/>
          <w:sz w:val="20"/>
          <w:szCs w:val="20"/>
        </w:rPr>
        <w:t>cyber insurance</w:t>
      </w:r>
      <w:r w:rsidRPr="00E5569F">
        <w:rPr>
          <w:rFonts w:ascii="Calibri" w:eastAsia="Times New Roman" w:hAnsi="Calibri" w:cs="Calibri"/>
          <w:sz w:val="20"/>
          <w:szCs w:val="20"/>
        </w:rPr>
        <w:t xml:space="preserve"> rose by an average of 18%.</w:t>
      </w:r>
      <w:r w:rsidRPr="00E5569F">
        <w:rPr>
          <w:rFonts w:ascii="Calibri" w:eastAsia="Times New Roman" w:hAnsi="Calibri" w:cs="Calibri"/>
          <w:sz w:val="20"/>
          <w:szCs w:val="20"/>
          <w:vertAlign w:val="superscript"/>
        </w:rPr>
        <w:footnoteReference w:id="13"/>
      </w:r>
      <w:r w:rsidRPr="00E5569F">
        <w:rPr>
          <w:rFonts w:ascii="Calibri" w:eastAsia="Times New Roman" w:hAnsi="Calibri" w:cs="Calibri"/>
          <w:sz w:val="20"/>
          <w:szCs w:val="20"/>
        </w:rPr>
        <w:t xml:space="preserve"> Predictions indicate rates for </w:t>
      </w:r>
      <w:r w:rsidR="00600112">
        <w:rPr>
          <w:rFonts w:ascii="Calibri" w:eastAsia="Times New Roman" w:hAnsi="Calibri" w:cs="Calibri"/>
          <w:sz w:val="20"/>
          <w:szCs w:val="20"/>
        </w:rPr>
        <w:t>cyber insurance</w:t>
      </w:r>
      <w:r w:rsidRPr="00E5569F">
        <w:rPr>
          <w:rFonts w:ascii="Calibri" w:eastAsia="Times New Roman" w:hAnsi="Calibri" w:cs="Calibri"/>
          <w:sz w:val="20"/>
          <w:szCs w:val="20"/>
        </w:rPr>
        <w:t xml:space="preserve"> buyers to increase by 15</w:t>
      </w:r>
      <w:r w:rsidR="009F5D3A">
        <w:rPr>
          <w:rFonts w:ascii="Calibri" w:eastAsia="Times New Roman" w:hAnsi="Calibri" w:cs="Calibri"/>
          <w:sz w:val="20"/>
          <w:szCs w:val="20"/>
        </w:rPr>
        <w:t>–</w:t>
      </w:r>
      <w:r w:rsidRPr="00E5569F">
        <w:rPr>
          <w:rFonts w:ascii="Calibri" w:eastAsia="Times New Roman" w:hAnsi="Calibri" w:cs="Calibri"/>
          <w:sz w:val="20"/>
          <w:szCs w:val="20"/>
        </w:rPr>
        <w:t>50% overall in 2021.</w:t>
      </w:r>
      <w:r w:rsidRPr="00E5569F">
        <w:rPr>
          <w:rFonts w:ascii="Calibri" w:eastAsia="Times New Roman" w:hAnsi="Calibri" w:cs="Calibri"/>
          <w:sz w:val="20"/>
          <w:szCs w:val="20"/>
          <w:vertAlign w:val="superscript"/>
        </w:rPr>
        <w:footnoteReference w:id="14"/>
      </w:r>
      <w:r w:rsidRPr="00E5569F">
        <w:rPr>
          <w:rFonts w:ascii="Calibri" w:eastAsia="Times New Roman" w:hAnsi="Calibri" w:cs="Calibri"/>
          <w:sz w:val="20"/>
          <w:szCs w:val="20"/>
        </w:rPr>
        <w:t xml:space="preserve"> However, even as prices rise, demand has grown for </w:t>
      </w:r>
      <w:r w:rsidR="00600112">
        <w:rPr>
          <w:rFonts w:ascii="Calibri" w:eastAsia="Times New Roman" w:hAnsi="Calibri" w:cs="Calibri"/>
          <w:sz w:val="20"/>
          <w:szCs w:val="20"/>
        </w:rPr>
        <w:t>cyber insurance</w:t>
      </w:r>
      <w:r w:rsidRPr="00E5569F">
        <w:rPr>
          <w:rFonts w:ascii="Calibri" w:eastAsia="Times New Roman" w:hAnsi="Calibri" w:cs="Calibri"/>
          <w:sz w:val="20"/>
          <w:szCs w:val="20"/>
        </w:rPr>
        <w:t xml:space="preserve"> in the second quarter of 2021.</w:t>
      </w:r>
      <w:r w:rsidRPr="00E5569F">
        <w:rPr>
          <w:rFonts w:ascii="Calibri" w:eastAsia="Times New Roman" w:hAnsi="Calibri" w:cs="Calibri"/>
          <w:sz w:val="20"/>
          <w:szCs w:val="20"/>
          <w:vertAlign w:val="superscript"/>
        </w:rPr>
        <w:footnoteReference w:id="15"/>
      </w:r>
      <w:r w:rsidRPr="00E5569F">
        <w:rPr>
          <w:rFonts w:ascii="Calibri" w:eastAsia="Times New Roman" w:hAnsi="Calibri" w:cs="Calibri"/>
          <w:sz w:val="20"/>
          <w:szCs w:val="20"/>
        </w:rPr>
        <w:t xml:space="preserve"> These price increases are likely to be seen in the 2022 version of this report.</w:t>
      </w:r>
    </w:p>
    <w:p w14:paraId="1E365C69" w14:textId="4592EEEB" w:rsidR="00E5569F" w:rsidRPr="00E5569F" w:rsidRDefault="00E5569F" w:rsidP="00E5569F">
      <w:pPr>
        <w:spacing w:after="120"/>
        <w:jc w:val="both"/>
        <w:rPr>
          <w:rFonts w:ascii="Calibri" w:eastAsia="Times New Roman" w:hAnsi="Calibri" w:cs="Calibri"/>
          <w:color w:val="0E101A"/>
          <w:sz w:val="20"/>
          <w:szCs w:val="20"/>
        </w:rPr>
      </w:pPr>
      <w:r w:rsidRPr="00E5569F">
        <w:rPr>
          <w:rFonts w:ascii="Calibri" w:eastAsia="Times New Roman" w:hAnsi="Calibri" w:cs="Calibri"/>
          <w:color w:val="0E101A"/>
          <w:sz w:val="20"/>
          <w:szCs w:val="20"/>
        </w:rPr>
        <w:t>Insurers are adding exclusions to standard coverage lines to avoid duplication of cyber coverage. Additionally, insurers are incorporating sub-limits. Elimination of overlapping coverage and sub-limits will likely improve underwriting performance</w:t>
      </w:r>
      <w:r w:rsidR="00204C26">
        <w:rPr>
          <w:rFonts w:ascii="Calibri" w:eastAsia="Times New Roman" w:hAnsi="Calibri" w:cs="Calibri"/>
          <w:color w:val="0E101A"/>
          <w:sz w:val="20"/>
          <w:szCs w:val="20"/>
        </w:rPr>
        <w:t>.</w:t>
      </w:r>
      <w:r w:rsidRPr="00E5569F">
        <w:rPr>
          <w:rFonts w:ascii="Calibri" w:eastAsia="Times New Roman" w:hAnsi="Calibri" w:cs="Calibri"/>
          <w:color w:val="0E101A"/>
          <w:sz w:val="20"/>
          <w:szCs w:val="20"/>
          <w:vertAlign w:val="superscript"/>
        </w:rPr>
        <w:footnoteReference w:id="16"/>
      </w:r>
    </w:p>
    <w:p w14:paraId="2683E344" w14:textId="4726EBE2" w:rsidR="00E5569F" w:rsidRPr="00E5569F" w:rsidRDefault="00E5569F" w:rsidP="00E5569F">
      <w:pPr>
        <w:spacing w:after="120"/>
        <w:jc w:val="both"/>
        <w:rPr>
          <w:rFonts w:ascii="Calibri" w:eastAsia="Times New Roman" w:hAnsi="Calibri" w:cs="Calibri"/>
          <w:sz w:val="20"/>
          <w:szCs w:val="20"/>
        </w:rPr>
      </w:pPr>
      <w:r w:rsidRPr="00E5569F">
        <w:rPr>
          <w:rFonts w:ascii="Calibri" w:eastAsia="Times New Roman" w:hAnsi="Calibri" w:cs="Calibri"/>
          <w:color w:val="0E101A"/>
          <w:sz w:val="20"/>
          <w:szCs w:val="20"/>
        </w:rPr>
        <w:t xml:space="preserve">Additionally, </w:t>
      </w:r>
      <w:r w:rsidR="00600112">
        <w:rPr>
          <w:rFonts w:ascii="Calibri" w:eastAsia="Times New Roman" w:hAnsi="Calibri" w:cs="Calibri"/>
          <w:color w:val="0E101A"/>
          <w:sz w:val="20"/>
          <w:szCs w:val="20"/>
        </w:rPr>
        <w:t>cyber insurance</w:t>
      </w:r>
      <w:r w:rsidRPr="00E5569F">
        <w:rPr>
          <w:rFonts w:ascii="Calibri" w:eastAsia="Times New Roman" w:hAnsi="Calibri" w:cs="Calibri"/>
          <w:sz w:val="20"/>
          <w:szCs w:val="20"/>
        </w:rPr>
        <w:t xml:space="preserve"> limits have dropped from $10 million to $5 million for some industry sectors.</w:t>
      </w:r>
      <w:r w:rsidRPr="00E5569F">
        <w:rPr>
          <w:rFonts w:ascii="Calibri" w:eastAsia="Times New Roman" w:hAnsi="Calibri" w:cs="Calibri"/>
          <w:sz w:val="20"/>
          <w:szCs w:val="20"/>
          <w:vertAlign w:val="superscript"/>
        </w:rPr>
        <w:footnoteReference w:id="17"/>
      </w:r>
      <w:r w:rsidRPr="00E5569F">
        <w:rPr>
          <w:rFonts w:ascii="Calibri" w:eastAsia="Times New Roman" w:hAnsi="Calibri" w:cs="Calibri"/>
          <w:sz w:val="20"/>
          <w:szCs w:val="20"/>
        </w:rPr>
        <w:t xml:space="preserve"> At the same time limits are dropping, cyber underwriters are raising self-insured retention levels. Excess markets are also charging almost as much as the primary insurer.</w:t>
      </w:r>
      <w:r w:rsidRPr="00E5569F">
        <w:rPr>
          <w:rFonts w:ascii="Calibri" w:eastAsia="Times New Roman" w:hAnsi="Calibri" w:cs="Calibri"/>
          <w:sz w:val="20"/>
          <w:szCs w:val="20"/>
          <w:vertAlign w:val="superscript"/>
        </w:rPr>
        <w:footnoteReference w:id="18"/>
      </w:r>
    </w:p>
    <w:p w14:paraId="2CB2673E" w14:textId="77777777" w:rsidR="00E5569F" w:rsidRPr="00E5569F" w:rsidRDefault="00E5569F" w:rsidP="00E5569F">
      <w:pPr>
        <w:spacing w:after="120"/>
        <w:jc w:val="both"/>
        <w:rPr>
          <w:rFonts w:ascii="Calibri" w:eastAsia="Times New Roman" w:hAnsi="Calibri" w:cs="Calibri"/>
          <w:sz w:val="20"/>
          <w:szCs w:val="20"/>
        </w:rPr>
      </w:pPr>
      <w:r w:rsidRPr="00E5569F">
        <w:rPr>
          <w:rFonts w:ascii="Calibri" w:eastAsia="Times New Roman" w:hAnsi="Calibri" w:cs="Calibri"/>
          <w:color w:val="0E101A"/>
          <w:sz w:val="20"/>
          <w:szCs w:val="20"/>
        </w:rPr>
        <w:t>Changes regarding risk factors are occurring in the underwriting process. Underwriters are starting to use tools to evaluate prospective insureds’ computer networks to decide whether they will write the cyber business.</w:t>
      </w:r>
      <w:r w:rsidRPr="00E5569F">
        <w:rPr>
          <w:rFonts w:ascii="Calibri" w:eastAsia="Times New Roman" w:hAnsi="Calibri" w:cs="Calibri"/>
          <w:color w:val="0E101A"/>
          <w:sz w:val="20"/>
          <w:szCs w:val="20"/>
          <w:vertAlign w:val="superscript"/>
        </w:rPr>
        <w:footnoteReference w:id="19"/>
      </w:r>
    </w:p>
    <w:p w14:paraId="79EBF299" w14:textId="6BC6DC6D" w:rsidR="0060381D" w:rsidRDefault="0060381D" w:rsidP="00E5569F">
      <w:pPr>
        <w:spacing w:after="120"/>
        <w:jc w:val="both"/>
        <w:rPr>
          <w:rFonts w:ascii="Calibri" w:eastAsia="Times New Roman" w:hAnsi="Calibri" w:cs="Calibri"/>
          <w:sz w:val="20"/>
          <w:szCs w:val="20"/>
        </w:rPr>
      </w:pPr>
    </w:p>
    <w:p w14:paraId="067A4297" w14:textId="1B9921CC" w:rsidR="00D6484D" w:rsidRPr="00E5569F" w:rsidRDefault="00D6484D" w:rsidP="00D6484D">
      <w:pPr>
        <w:keepNext/>
        <w:keepLines/>
        <w:spacing w:after="120"/>
        <w:jc w:val="both"/>
        <w:rPr>
          <w:rFonts w:ascii="Calibri" w:eastAsia="Times New Roman" w:hAnsi="Calibri" w:cs="Calibri"/>
          <w:b/>
          <w:sz w:val="20"/>
          <w:szCs w:val="20"/>
          <w:highlight w:val="lightGray"/>
        </w:rPr>
      </w:pPr>
      <w:r w:rsidRPr="00E5569F">
        <w:rPr>
          <w:rFonts w:ascii="Calibri" w:eastAsia="Times New Roman" w:hAnsi="Calibri" w:cs="Calibri"/>
          <w:b/>
          <w:sz w:val="20"/>
          <w:szCs w:val="20"/>
        </w:rPr>
        <w:t>Data Table</w:t>
      </w:r>
    </w:p>
    <w:p w14:paraId="1F1CBA59" w14:textId="2A5FFB6D" w:rsidR="00D6484D" w:rsidRDefault="00D6484D" w:rsidP="00D6484D">
      <w:pPr>
        <w:spacing w:after="120"/>
        <w:jc w:val="both"/>
        <w:rPr>
          <w:rFonts w:ascii="Calibri" w:eastAsia="Times New Roman" w:hAnsi="Calibri" w:cs="Calibri"/>
          <w:sz w:val="20"/>
          <w:szCs w:val="20"/>
        </w:rPr>
      </w:pPr>
      <w:r w:rsidRPr="00E5569F">
        <w:rPr>
          <w:rFonts w:ascii="Calibri" w:eastAsia="Times New Roman" w:hAnsi="Calibri" w:cs="Calibri"/>
          <w:sz w:val="20"/>
          <w:szCs w:val="20"/>
        </w:rPr>
        <w:t>The chart below depicts the information collected from all years of data collection.</w:t>
      </w:r>
    </w:p>
    <w:p w14:paraId="00200BF7" w14:textId="2E01F307" w:rsidR="000A66D9" w:rsidRPr="00D6484D" w:rsidRDefault="00D567F9" w:rsidP="00D6484D">
      <w:pPr>
        <w:spacing w:after="120"/>
        <w:jc w:val="both"/>
        <w:rPr>
          <w:rFonts w:ascii="Calibri" w:eastAsia="Times New Roman" w:hAnsi="Calibri" w:cs="Calibri"/>
          <w:sz w:val="20"/>
          <w:szCs w:val="20"/>
        </w:rPr>
      </w:pPr>
      <w:r>
        <w:rPr>
          <w:noProof/>
        </w:rPr>
        <w:lastRenderedPageBreak/>
        <w:drawing>
          <wp:inline distT="0" distB="0" distL="0" distR="0" wp14:anchorId="4E4A5270" wp14:editId="5D10C3CD">
            <wp:extent cx="5248910" cy="1726565"/>
            <wp:effectExtent l="0" t="0" r="8890" b="698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6"/>
                    <a:stretch>
                      <a:fillRect/>
                    </a:stretch>
                  </pic:blipFill>
                  <pic:spPr>
                    <a:xfrm>
                      <a:off x="0" y="0"/>
                      <a:ext cx="5248910" cy="1726565"/>
                    </a:xfrm>
                    <a:prstGeom prst="rect">
                      <a:avLst/>
                    </a:prstGeom>
                  </pic:spPr>
                </pic:pic>
              </a:graphicData>
            </a:graphic>
          </wp:inline>
        </w:drawing>
      </w:r>
    </w:p>
    <w:p w14:paraId="765E4C95" w14:textId="003C27ED" w:rsidR="001B1DA5" w:rsidRPr="001B1DA5" w:rsidRDefault="001B1DA5" w:rsidP="0060381D">
      <w:pPr>
        <w:spacing w:before="120"/>
        <w:rPr>
          <w:rFonts w:ascii="Calibri" w:eastAsia="Times New Roman" w:hAnsi="Calibri" w:cs="Calibri"/>
          <w:i/>
          <w:iCs/>
          <w:sz w:val="18"/>
          <w:szCs w:val="18"/>
        </w:rPr>
      </w:pPr>
      <w:r w:rsidRPr="001B1DA5">
        <w:rPr>
          <w:rFonts w:ascii="Calibri" w:eastAsia="Times New Roman" w:hAnsi="Calibri" w:cs="Calibri"/>
          <w:sz w:val="18"/>
          <w:szCs w:val="18"/>
        </w:rPr>
        <w:t xml:space="preserve">* </w:t>
      </w:r>
      <w:r w:rsidRPr="001B1DA5">
        <w:rPr>
          <w:rFonts w:ascii="Calibri" w:eastAsia="Times New Roman" w:hAnsi="Calibri" w:cs="Calibri"/>
          <w:i/>
          <w:iCs/>
          <w:sz w:val="18"/>
          <w:szCs w:val="18"/>
        </w:rPr>
        <w:t>Alien surplus lines data was not reported for the 2015 data year</w:t>
      </w:r>
      <w:r w:rsidR="00506C05">
        <w:rPr>
          <w:rFonts w:ascii="Calibri" w:eastAsia="Times New Roman" w:hAnsi="Calibri" w:cs="Calibri"/>
          <w:i/>
          <w:iCs/>
          <w:sz w:val="18"/>
          <w:szCs w:val="18"/>
        </w:rPr>
        <w:t>.</w:t>
      </w:r>
    </w:p>
    <w:p w14:paraId="74CC7E62" w14:textId="3993D4AE" w:rsidR="001B1DA5" w:rsidRPr="001B1DA5" w:rsidRDefault="001B1DA5" w:rsidP="0060381D">
      <w:pPr>
        <w:spacing w:after="120"/>
        <w:rPr>
          <w:rFonts w:ascii="Calibri" w:eastAsia="Times New Roman" w:hAnsi="Calibri" w:cs="Calibri"/>
          <w:i/>
          <w:iCs/>
          <w:sz w:val="18"/>
          <w:szCs w:val="18"/>
        </w:rPr>
      </w:pPr>
      <w:r w:rsidRPr="001B1DA5">
        <w:rPr>
          <w:rFonts w:ascii="Calibri" w:eastAsia="Times New Roman" w:hAnsi="Calibri" w:cs="Calibri"/>
          <w:i/>
          <w:iCs/>
          <w:sz w:val="18"/>
          <w:szCs w:val="18"/>
        </w:rPr>
        <w:t>** As a result of further analysis, the data for the 2019 data year has been amended</w:t>
      </w:r>
      <w:r w:rsidR="00506C05">
        <w:rPr>
          <w:rFonts w:ascii="Calibri" w:eastAsia="Times New Roman" w:hAnsi="Calibri" w:cs="Calibri"/>
          <w:i/>
          <w:iCs/>
          <w:sz w:val="18"/>
          <w:szCs w:val="18"/>
        </w:rPr>
        <w:t>.</w:t>
      </w:r>
    </w:p>
    <w:p w14:paraId="3DE36784" w14:textId="3B342075" w:rsidR="001B1DA5" w:rsidRPr="001B1DA5" w:rsidRDefault="001B1DA5" w:rsidP="00D86F4B">
      <w:pPr>
        <w:spacing w:before="120" w:after="120"/>
        <w:jc w:val="both"/>
        <w:rPr>
          <w:rFonts w:ascii="Calibri" w:eastAsia="Times New Roman" w:hAnsi="Calibri" w:cs="Calibri"/>
          <w:sz w:val="20"/>
          <w:szCs w:val="20"/>
        </w:rPr>
      </w:pPr>
      <w:r w:rsidRPr="001B1DA5">
        <w:rPr>
          <w:rFonts w:ascii="Calibri" w:eastAsia="Times New Roman" w:hAnsi="Calibri" w:cs="Calibri"/>
          <w:sz w:val="20"/>
          <w:szCs w:val="20"/>
        </w:rPr>
        <w:t xml:space="preserve">Marsh and McClennan indicated </w:t>
      </w:r>
      <w:r w:rsidR="00317D68">
        <w:rPr>
          <w:rFonts w:ascii="Calibri" w:eastAsia="Times New Roman" w:hAnsi="Calibri" w:cs="Calibri"/>
          <w:sz w:val="20"/>
          <w:szCs w:val="20"/>
        </w:rPr>
        <w:t xml:space="preserve">that </w:t>
      </w:r>
      <w:r w:rsidRPr="001B1DA5">
        <w:rPr>
          <w:rFonts w:ascii="Calibri" w:eastAsia="Times New Roman" w:hAnsi="Calibri" w:cs="Calibri"/>
          <w:sz w:val="20"/>
          <w:szCs w:val="20"/>
        </w:rPr>
        <w:t xml:space="preserve">the </w:t>
      </w:r>
      <w:r w:rsidR="00600112">
        <w:rPr>
          <w:rFonts w:ascii="Calibri" w:eastAsia="Times New Roman" w:hAnsi="Calibri" w:cs="Calibri"/>
          <w:sz w:val="20"/>
          <w:szCs w:val="20"/>
        </w:rPr>
        <w:t>cyber insurance</w:t>
      </w:r>
      <w:r w:rsidRPr="001B1DA5">
        <w:rPr>
          <w:rFonts w:ascii="Calibri" w:eastAsia="Times New Roman" w:hAnsi="Calibri" w:cs="Calibri"/>
          <w:sz w:val="20"/>
          <w:szCs w:val="20"/>
        </w:rPr>
        <w:t xml:space="preserve"> take-up rates for their clients in 2020 was 47%, indicating </w:t>
      </w:r>
      <w:r w:rsidR="005C6B4A">
        <w:rPr>
          <w:rFonts w:ascii="Calibri" w:eastAsia="Times New Roman" w:hAnsi="Calibri" w:cs="Calibri"/>
          <w:sz w:val="20"/>
          <w:szCs w:val="20"/>
        </w:rPr>
        <w:t xml:space="preserve">a </w:t>
      </w:r>
      <w:r w:rsidR="00317D68">
        <w:rPr>
          <w:rFonts w:ascii="Calibri" w:eastAsia="Times New Roman" w:hAnsi="Calibri" w:cs="Calibri"/>
          <w:sz w:val="20"/>
          <w:szCs w:val="20"/>
        </w:rPr>
        <w:t>5%</w:t>
      </w:r>
      <w:r w:rsidRPr="001B1DA5">
        <w:rPr>
          <w:rFonts w:ascii="Calibri" w:eastAsia="Times New Roman" w:hAnsi="Calibri" w:cs="Calibri"/>
          <w:sz w:val="20"/>
          <w:szCs w:val="20"/>
        </w:rPr>
        <w:t xml:space="preserve"> increase from 2019 take-up rates.</w:t>
      </w:r>
      <w:r w:rsidRPr="001B1DA5">
        <w:rPr>
          <w:rFonts w:ascii="Calibri" w:eastAsia="Times New Roman" w:hAnsi="Calibri" w:cs="Calibri"/>
          <w:sz w:val="20"/>
          <w:szCs w:val="20"/>
          <w:vertAlign w:val="superscript"/>
        </w:rPr>
        <w:footnoteReference w:id="20"/>
      </w:r>
      <w:r w:rsidRPr="001B1DA5">
        <w:rPr>
          <w:rFonts w:ascii="Calibri" w:eastAsia="Times New Roman" w:hAnsi="Calibri" w:cs="Calibri"/>
          <w:sz w:val="20"/>
          <w:szCs w:val="20"/>
        </w:rPr>
        <w:t xml:space="preserve"> While businesses are aware that cyber risk is a looming issue, it is not uncommon for policyholders to believe their </w:t>
      </w:r>
      <w:r w:rsidR="00364D2F">
        <w:rPr>
          <w:rFonts w:ascii="Calibri" w:eastAsia="Times New Roman" w:hAnsi="Calibri" w:cs="Calibri"/>
          <w:sz w:val="20"/>
          <w:szCs w:val="20"/>
        </w:rPr>
        <w:t>current business insurance policy</w:t>
      </w:r>
      <w:r w:rsidRPr="001B1DA5">
        <w:rPr>
          <w:rFonts w:ascii="Calibri" w:eastAsia="Times New Roman" w:hAnsi="Calibri" w:cs="Calibri"/>
          <w:sz w:val="20"/>
          <w:szCs w:val="20"/>
        </w:rPr>
        <w:t xml:space="preserve"> cover a cyber loss.</w:t>
      </w:r>
      <w:r w:rsidRPr="001B1DA5">
        <w:rPr>
          <w:rFonts w:ascii="Calibri" w:eastAsia="Times New Roman" w:hAnsi="Calibri" w:cs="Calibri"/>
          <w:sz w:val="20"/>
          <w:szCs w:val="20"/>
          <w:vertAlign w:val="superscript"/>
        </w:rPr>
        <w:footnoteReference w:id="21"/>
      </w:r>
    </w:p>
    <w:p w14:paraId="1EAB5A24" w14:textId="5B7E14D7" w:rsidR="001B1DA5" w:rsidRPr="001B1DA5" w:rsidRDefault="001B1DA5" w:rsidP="00D86F4B">
      <w:pPr>
        <w:spacing w:before="120" w:after="120"/>
        <w:jc w:val="both"/>
        <w:rPr>
          <w:rFonts w:ascii="Calibri" w:eastAsia="Times New Roman" w:hAnsi="Calibri" w:cs="Calibri"/>
          <w:sz w:val="20"/>
          <w:szCs w:val="20"/>
        </w:rPr>
      </w:pPr>
      <w:r w:rsidRPr="001B1DA5">
        <w:rPr>
          <w:rFonts w:ascii="Calibri" w:eastAsia="Times New Roman" w:hAnsi="Calibri" w:cs="Calibri"/>
          <w:sz w:val="20"/>
          <w:szCs w:val="20"/>
        </w:rPr>
        <w:t xml:space="preserve">This report shows premiums grew substantially in 2020 as cyberthreats, particularly those having to do with ransomware, continue to rise. </w:t>
      </w:r>
      <w:r w:rsidR="00D86F4B">
        <w:rPr>
          <w:rFonts w:ascii="Calibri" w:eastAsia="Times New Roman" w:hAnsi="Calibri" w:cs="Calibri"/>
          <w:sz w:val="20"/>
          <w:szCs w:val="20"/>
        </w:rPr>
        <w:t>As s</w:t>
      </w:r>
      <w:r w:rsidRPr="001B1DA5">
        <w:rPr>
          <w:rFonts w:ascii="Calibri" w:eastAsia="Times New Roman" w:hAnsi="Calibri" w:cs="Calibri"/>
          <w:sz w:val="20"/>
          <w:szCs w:val="20"/>
        </w:rPr>
        <w:t xml:space="preserve">tate insurance regulators monitor this evolving </w:t>
      </w:r>
      <w:proofErr w:type="gramStart"/>
      <w:r w:rsidRPr="001B1DA5">
        <w:rPr>
          <w:rFonts w:ascii="Calibri" w:eastAsia="Times New Roman" w:hAnsi="Calibri" w:cs="Calibri"/>
          <w:sz w:val="20"/>
          <w:szCs w:val="20"/>
        </w:rPr>
        <w:t>market</w:t>
      </w:r>
      <w:proofErr w:type="gramEnd"/>
      <w:r w:rsidRPr="001B1DA5">
        <w:rPr>
          <w:rFonts w:ascii="Calibri" w:eastAsia="Times New Roman" w:hAnsi="Calibri" w:cs="Calibri"/>
          <w:sz w:val="20"/>
          <w:szCs w:val="20"/>
        </w:rPr>
        <w:t xml:space="preserve"> </w:t>
      </w:r>
      <w:r w:rsidR="00D86F4B">
        <w:rPr>
          <w:rFonts w:ascii="Calibri" w:eastAsia="Times New Roman" w:hAnsi="Calibri" w:cs="Calibri"/>
          <w:sz w:val="20"/>
          <w:szCs w:val="20"/>
        </w:rPr>
        <w:t xml:space="preserve">they </w:t>
      </w:r>
      <w:r w:rsidRPr="001B1DA5">
        <w:rPr>
          <w:rFonts w:ascii="Calibri" w:eastAsia="Times New Roman" w:hAnsi="Calibri" w:cs="Calibri"/>
          <w:sz w:val="20"/>
          <w:szCs w:val="20"/>
        </w:rPr>
        <w:t>may wish to consider whether any enhancements are needed to the Cyber Supplement to better understand the market.</w:t>
      </w:r>
    </w:p>
    <w:p w14:paraId="3C1CE0C5" w14:textId="77777777" w:rsidR="006E6EA8" w:rsidRDefault="006E6EA8" w:rsidP="0060381D">
      <w:pPr>
        <w:spacing w:before="120"/>
        <w:rPr>
          <w:rFonts w:eastAsia="Times New Roman" w:cstheme="minorHAnsi"/>
          <w:sz w:val="16"/>
          <w:szCs w:val="16"/>
        </w:rPr>
      </w:pPr>
    </w:p>
    <w:p w14:paraId="4CEF26A6" w14:textId="77777777" w:rsidR="00D86F4B" w:rsidRDefault="00D86F4B" w:rsidP="0060381D">
      <w:pPr>
        <w:spacing w:before="120"/>
        <w:rPr>
          <w:rFonts w:eastAsia="Times New Roman" w:cstheme="minorHAnsi"/>
          <w:sz w:val="16"/>
          <w:szCs w:val="16"/>
        </w:rPr>
      </w:pPr>
    </w:p>
    <w:p w14:paraId="62414498" w14:textId="740DC520" w:rsidR="00D86F4B" w:rsidRDefault="00D86F4B" w:rsidP="0060381D">
      <w:pPr>
        <w:spacing w:before="120"/>
        <w:rPr>
          <w:rFonts w:eastAsia="Times New Roman" w:cstheme="minorHAnsi"/>
          <w:sz w:val="16"/>
          <w:szCs w:val="16"/>
        </w:rPr>
      </w:pPr>
    </w:p>
    <w:p w14:paraId="4F506106" w14:textId="59A6FB85" w:rsidR="00D86F4B" w:rsidRDefault="00D86F4B" w:rsidP="0060381D">
      <w:pPr>
        <w:spacing w:before="120"/>
        <w:rPr>
          <w:rFonts w:eastAsia="Times New Roman" w:cstheme="minorHAnsi"/>
          <w:sz w:val="16"/>
          <w:szCs w:val="16"/>
        </w:rPr>
      </w:pPr>
    </w:p>
    <w:p w14:paraId="760BFD12" w14:textId="44F8A0FD" w:rsidR="00D86F4B" w:rsidRDefault="00D86F4B" w:rsidP="0060381D">
      <w:pPr>
        <w:spacing w:before="120"/>
        <w:rPr>
          <w:rFonts w:eastAsia="Times New Roman" w:cstheme="minorHAnsi"/>
          <w:sz w:val="16"/>
          <w:szCs w:val="16"/>
        </w:rPr>
      </w:pPr>
    </w:p>
    <w:p w14:paraId="1144D0B8" w14:textId="77777777" w:rsidR="00D86F4B" w:rsidRDefault="00D86F4B" w:rsidP="0060381D">
      <w:pPr>
        <w:spacing w:before="120"/>
        <w:rPr>
          <w:rFonts w:eastAsia="Times New Roman" w:cstheme="minorHAnsi"/>
          <w:sz w:val="16"/>
          <w:szCs w:val="16"/>
        </w:rPr>
      </w:pPr>
    </w:p>
    <w:p w14:paraId="628D499A" w14:textId="4C4B12E9" w:rsidR="007A0E61" w:rsidRPr="00D86F4B" w:rsidRDefault="00D86F4B" w:rsidP="00D86F4B">
      <w:pPr>
        <w:spacing w:before="120"/>
        <w:rPr>
          <w:rFonts w:eastAsia="Times New Roman" w:cstheme="minorHAnsi"/>
          <w:sz w:val="14"/>
          <w:szCs w:val="14"/>
        </w:rPr>
      </w:pPr>
      <w:r w:rsidRPr="00D86F4B">
        <w:rPr>
          <w:rFonts w:eastAsia="Times New Roman" w:cstheme="minorHAnsi"/>
          <w:sz w:val="14"/>
          <w:szCs w:val="14"/>
        </w:rPr>
        <w:fldChar w:fldCharType="begin"/>
      </w:r>
      <w:r w:rsidRPr="00D86F4B">
        <w:rPr>
          <w:rFonts w:eastAsia="Times New Roman" w:cstheme="minorHAnsi"/>
          <w:sz w:val="14"/>
          <w:szCs w:val="14"/>
        </w:rPr>
        <w:instrText xml:space="preserve"> FILENAME  \p  \* MERGEFORMAT </w:instrText>
      </w:r>
      <w:r w:rsidRPr="00D86F4B">
        <w:rPr>
          <w:rFonts w:eastAsia="Times New Roman" w:cstheme="minorHAnsi"/>
          <w:sz w:val="14"/>
          <w:szCs w:val="14"/>
        </w:rPr>
        <w:fldChar w:fldCharType="separate"/>
      </w:r>
      <w:r w:rsidRPr="00D86F4B">
        <w:rPr>
          <w:rFonts w:eastAsia="Times New Roman" w:cstheme="minorHAnsi"/>
          <w:noProof/>
          <w:sz w:val="14"/>
          <w:szCs w:val="14"/>
        </w:rPr>
        <w:t>W:\National Meetings\2021\Fall\Cmte\C\Cyber_Supplement_2020_Report.docx</w:t>
      </w:r>
      <w:r w:rsidRPr="00D86F4B">
        <w:rPr>
          <w:rFonts w:eastAsia="Times New Roman" w:cstheme="minorHAnsi"/>
          <w:sz w:val="14"/>
          <w:szCs w:val="14"/>
        </w:rPr>
        <w:fldChar w:fldCharType="end"/>
      </w:r>
    </w:p>
    <w:sectPr w:rsidR="007A0E61" w:rsidRPr="00D86F4B" w:rsidSect="00703816">
      <w:headerReference w:type="default" r:id="rId17"/>
      <w:footerReference w:type="default" r:id="rId18"/>
      <w:headerReference w:type="first" r:id="rId19"/>
      <w:footerReference w:type="first" r:id="rId20"/>
      <w:pgSz w:w="12240" w:h="15840"/>
      <w:pgMar w:top="2030" w:right="1080" w:bottom="2477" w:left="28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A716" w14:textId="77777777" w:rsidR="00C4241B" w:rsidRDefault="00C4241B" w:rsidP="008C402F">
      <w:r>
        <w:separator/>
      </w:r>
    </w:p>
  </w:endnote>
  <w:endnote w:type="continuationSeparator" w:id="0">
    <w:p w14:paraId="3DDB5AB5" w14:textId="77777777" w:rsidR="00C4241B" w:rsidRDefault="00C4241B" w:rsidP="008C402F">
      <w:r>
        <w:continuationSeparator/>
      </w:r>
    </w:p>
  </w:endnote>
  <w:endnote w:type="continuationNotice" w:id="1">
    <w:p w14:paraId="103C588A" w14:textId="77777777" w:rsidR="00C4241B" w:rsidRDefault="00C42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9ECB" w14:textId="147B64AD" w:rsidR="003B1947" w:rsidRDefault="003B1947">
    <w:pPr>
      <w:pStyle w:val="Footer"/>
    </w:pPr>
    <w:r>
      <w:rPr>
        <w:rFonts w:ascii="Calibri" w:hAnsi="Calibri" w:cs="Calibri"/>
        <w:noProof/>
        <w:color w:val="8A8B8C"/>
        <w:sz w:val="20"/>
        <w:szCs w:val="20"/>
      </w:rPr>
      <w:drawing>
        <wp:anchor distT="0" distB="0" distL="0" distR="0" simplePos="0" relativeHeight="251658243" behindDoc="1" locked="0" layoutInCell="1" allowOverlap="1" wp14:anchorId="5CD1F406" wp14:editId="4CC1E324">
          <wp:simplePos x="0" y="0"/>
          <wp:positionH relativeFrom="page">
            <wp:align>left</wp:align>
          </wp:positionH>
          <wp:positionV relativeFrom="page">
            <wp:align>bottom</wp:align>
          </wp:positionV>
          <wp:extent cx="7772400" cy="1371600"/>
          <wp:effectExtent l="0" t="0" r="0" b="0"/>
          <wp:wrapTopAndBottom/>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9611" w14:textId="1AD9BDCE" w:rsidR="008C402F" w:rsidRDefault="007816B1">
    <w:pPr>
      <w:pStyle w:val="Footer"/>
    </w:pPr>
    <w:r>
      <w:rPr>
        <w:rFonts w:ascii="Calibri" w:hAnsi="Calibri" w:cs="Calibri"/>
        <w:noProof/>
        <w:color w:val="8A8B8C"/>
        <w:sz w:val="20"/>
        <w:szCs w:val="20"/>
      </w:rPr>
      <w:drawing>
        <wp:anchor distT="0" distB="0" distL="0" distR="0" simplePos="0" relativeHeight="251658240" behindDoc="1" locked="0" layoutInCell="1" allowOverlap="1" wp14:anchorId="2E5339F7" wp14:editId="434016B5">
          <wp:simplePos x="0" y="0"/>
          <wp:positionH relativeFrom="page">
            <wp:align>right</wp:align>
          </wp:positionH>
          <wp:positionV relativeFrom="page">
            <wp:align>bottom</wp:align>
          </wp:positionV>
          <wp:extent cx="7772400" cy="13716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0B04" w14:textId="77777777" w:rsidR="00C4241B" w:rsidRDefault="00C4241B" w:rsidP="008C402F">
      <w:r>
        <w:separator/>
      </w:r>
    </w:p>
  </w:footnote>
  <w:footnote w:type="continuationSeparator" w:id="0">
    <w:p w14:paraId="5F3D5DF6" w14:textId="77777777" w:rsidR="00C4241B" w:rsidRDefault="00C4241B" w:rsidP="008C402F">
      <w:r>
        <w:continuationSeparator/>
      </w:r>
    </w:p>
  </w:footnote>
  <w:footnote w:type="continuationNotice" w:id="1">
    <w:p w14:paraId="562AD728" w14:textId="77777777" w:rsidR="00C4241B" w:rsidRDefault="00C4241B"/>
  </w:footnote>
  <w:footnote w:id="2">
    <w:p w14:paraId="3AF70D33" w14:textId="1B9E085E" w:rsidR="00D17CCA" w:rsidRPr="002525DF" w:rsidRDefault="00D17CCA" w:rsidP="00D17CCA">
      <w:pPr>
        <w:pStyle w:val="FootnoteText"/>
        <w:rPr>
          <w:rFonts w:cstheme="minorHAnsi"/>
          <w:sz w:val="16"/>
          <w:szCs w:val="16"/>
        </w:rPr>
      </w:pPr>
      <w:r w:rsidRPr="009A5E38">
        <w:rPr>
          <w:rStyle w:val="FootnoteReference"/>
          <w:rFonts w:ascii="Times New Roman" w:hAnsi="Times New Roman" w:cs="Times New Roman"/>
          <w:sz w:val="16"/>
          <w:szCs w:val="16"/>
        </w:rPr>
        <w:footnoteRef/>
      </w:r>
      <w:r w:rsidRPr="009A5E38">
        <w:rPr>
          <w:rFonts w:ascii="Times New Roman" w:hAnsi="Times New Roman" w:cs="Times New Roman"/>
          <w:sz w:val="16"/>
          <w:szCs w:val="16"/>
        </w:rPr>
        <w:t xml:space="preserve"> </w:t>
      </w:r>
      <w:r w:rsidRPr="005B6068">
        <w:rPr>
          <w:rFonts w:cstheme="minorHAnsi"/>
          <w:i/>
          <w:iCs/>
          <w:sz w:val="16"/>
          <w:szCs w:val="16"/>
        </w:rPr>
        <w:t>https://www.securelink.com/blog/healthcare-data-new-prize-hackers/</w:t>
      </w:r>
      <w:r w:rsidR="002525DF">
        <w:rPr>
          <w:rFonts w:cstheme="minorHAnsi"/>
          <w:sz w:val="16"/>
          <w:szCs w:val="16"/>
        </w:rPr>
        <w:t>.</w:t>
      </w:r>
    </w:p>
  </w:footnote>
  <w:footnote w:id="3">
    <w:p w14:paraId="32C23F9C" w14:textId="18B3D13F" w:rsidR="00D17CCA" w:rsidRPr="005D6B1D" w:rsidRDefault="00D17CCA" w:rsidP="00D17CCA">
      <w:pPr>
        <w:pStyle w:val="FootnoteText"/>
        <w:rPr>
          <w:rFonts w:cstheme="minorHAnsi"/>
          <w:sz w:val="16"/>
          <w:szCs w:val="16"/>
        </w:rPr>
      </w:pPr>
      <w:r w:rsidRPr="009A5E38">
        <w:rPr>
          <w:rStyle w:val="FootnoteReference"/>
          <w:rFonts w:cstheme="minorHAnsi"/>
          <w:sz w:val="16"/>
          <w:szCs w:val="16"/>
        </w:rPr>
        <w:footnoteRef/>
      </w:r>
      <w:r w:rsidRPr="009A5E38">
        <w:rPr>
          <w:rFonts w:cstheme="minorHAnsi"/>
          <w:sz w:val="16"/>
          <w:szCs w:val="16"/>
        </w:rPr>
        <w:t xml:space="preserve"> </w:t>
      </w:r>
      <w:r w:rsidRPr="005B6068">
        <w:rPr>
          <w:rFonts w:cstheme="minorHAnsi"/>
          <w:i/>
          <w:iCs/>
          <w:sz w:val="16"/>
          <w:szCs w:val="16"/>
        </w:rPr>
        <w:t>https://www.forbes.com/sites/davidbalaban/2021/05/30/attacks-on-healthcare-sector-are-on-the-rise/?sh=4658c7dc264c</w:t>
      </w:r>
      <w:r w:rsidR="002525DF">
        <w:rPr>
          <w:rFonts w:cstheme="minorHAnsi"/>
          <w:sz w:val="16"/>
          <w:szCs w:val="16"/>
        </w:rPr>
        <w:t>.</w:t>
      </w:r>
    </w:p>
  </w:footnote>
  <w:footnote w:id="4">
    <w:p w14:paraId="610F1498" w14:textId="456F2239" w:rsidR="00D17CCA" w:rsidRPr="005D6B1D" w:rsidRDefault="00D17CCA" w:rsidP="00D17CCA">
      <w:pPr>
        <w:pStyle w:val="FootnoteText"/>
        <w:rPr>
          <w:rFonts w:cstheme="minorHAnsi"/>
          <w:sz w:val="16"/>
          <w:szCs w:val="16"/>
        </w:rPr>
      </w:pPr>
      <w:r w:rsidRPr="005D6B1D">
        <w:rPr>
          <w:rStyle w:val="FootnoteReference"/>
          <w:rFonts w:cstheme="minorHAnsi"/>
          <w:sz w:val="16"/>
          <w:szCs w:val="16"/>
        </w:rPr>
        <w:footnoteRef/>
      </w:r>
      <w:r w:rsidRPr="005B6068">
        <w:rPr>
          <w:rFonts w:cstheme="minorHAnsi"/>
          <w:i/>
          <w:iCs/>
          <w:sz w:val="16"/>
          <w:szCs w:val="16"/>
        </w:rPr>
        <w:t xml:space="preserve"> https://www.hipaajournal.com/july-2021-healthcare-data-breach-report/</w:t>
      </w:r>
      <w:r w:rsidR="002525DF">
        <w:rPr>
          <w:rFonts w:cstheme="minorHAnsi"/>
          <w:sz w:val="16"/>
          <w:szCs w:val="16"/>
        </w:rPr>
        <w:t>.</w:t>
      </w:r>
    </w:p>
  </w:footnote>
  <w:footnote w:id="5">
    <w:p w14:paraId="1A95EBA7" w14:textId="5380B15C" w:rsidR="00D17CCA" w:rsidRPr="00F53F31" w:rsidRDefault="00D17CCA" w:rsidP="00D17CCA">
      <w:pPr>
        <w:pStyle w:val="FootnoteText"/>
        <w:rPr>
          <w:sz w:val="16"/>
          <w:szCs w:val="16"/>
        </w:rPr>
      </w:pPr>
      <w:r w:rsidRPr="00F53F31">
        <w:rPr>
          <w:rStyle w:val="FootnoteReference"/>
          <w:sz w:val="16"/>
          <w:szCs w:val="16"/>
        </w:rPr>
        <w:footnoteRef/>
      </w:r>
      <w:r w:rsidRPr="00F53F31">
        <w:rPr>
          <w:sz w:val="16"/>
          <w:szCs w:val="16"/>
        </w:rPr>
        <w:t xml:space="preserve"> Based on this year’s restated alien surplus lines premium for 2019</w:t>
      </w:r>
      <w:r w:rsidR="002525DF">
        <w:rPr>
          <w:sz w:val="16"/>
          <w:szCs w:val="16"/>
        </w:rPr>
        <w:t>.</w:t>
      </w:r>
    </w:p>
  </w:footnote>
  <w:footnote w:id="6">
    <w:p w14:paraId="7906DF07" w14:textId="59525C7E" w:rsidR="00D17CCA" w:rsidRDefault="00D17CCA" w:rsidP="00A93274">
      <w:pPr>
        <w:spacing w:after="120"/>
        <w:jc w:val="both"/>
      </w:pPr>
      <w:r w:rsidRPr="00F53F31">
        <w:rPr>
          <w:rStyle w:val="FootnoteReference"/>
          <w:rFonts w:ascii="Calibri" w:hAnsi="Calibri" w:cs="Calibri"/>
          <w:sz w:val="16"/>
          <w:szCs w:val="16"/>
        </w:rPr>
        <w:footnoteRef/>
      </w:r>
      <w:r w:rsidRPr="00F53F31">
        <w:rPr>
          <w:rFonts w:ascii="Calibri" w:hAnsi="Calibri" w:cs="Calibri"/>
          <w:sz w:val="16"/>
          <w:szCs w:val="16"/>
        </w:rPr>
        <w:t xml:space="preserve"> Alien surplus lines premium has been restated in this year’s report to $1.1 billion, which is a 23.3% increase from the numbers reported in last year’s report.</w:t>
      </w:r>
    </w:p>
  </w:footnote>
  <w:footnote w:id="7">
    <w:p w14:paraId="0FE04585" w14:textId="462DC95B" w:rsidR="007D3D2F" w:rsidRPr="003E3A7B" w:rsidRDefault="007D3D2F" w:rsidP="007D3D2F">
      <w:pPr>
        <w:pStyle w:val="FootnoteText"/>
        <w:rPr>
          <w:rFonts w:cstheme="minorHAnsi"/>
          <w:sz w:val="16"/>
          <w:szCs w:val="16"/>
        </w:rPr>
      </w:pPr>
      <w:r w:rsidRPr="00B2436C">
        <w:rPr>
          <w:rStyle w:val="FootnoteReference"/>
          <w:rFonts w:cstheme="minorHAnsi"/>
          <w:sz w:val="16"/>
          <w:szCs w:val="16"/>
        </w:rPr>
        <w:footnoteRef/>
      </w:r>
      <w:r w:rsidRPr="00B2436C">
        <w:rPr>
          <w:rFonts w:cstheme="minorHAnsi"/>
          <w:sz w:val="16"/>
          <w:szCs w:val="16"/>
        </w:rPr>
        <w:t xml:space="preserve"> </w:t>
      </w:r>
      <w:r w:rsidRPr="003E3A7B">
        <w:rPr>
          <w:rFonts w:cstheme="minorHAnsi"/>
          <w:i/>
          <w:sz w:val="16"/>
          <w:szCs w:val="16"/>
        </w:rPr>
        <w:t>https://content.naic.org/sites/default/files/inline-files/YE2019%20Industry%20Report.pdf</w:t>
      </w:r>
      <w:r w:rsidRPr="003E3A7B">
        <w:rPr>
          <w:rFonts w:cstheme="minorHAnsi"/>
          <w:sz w:val="16"/>
          <w:szCs w:val="16"/>
        </w:rPr>
        <w:t>.</w:t>
      </w:r>
    </w:p>
  </w:footnote>
  <w:footnote w:id="8">
    <w:p w14:paraId="6ECD6424" w14:textId="0C62B78F" w:rsidR="00E5569F" w:rsidRDefault="00E5569F" w:rsidP="00E5569F">
      <w:pPr>
        <w:pStyle w:val="FootnoteText"/>
      </w:pPr>
      <w:r w:rsidRPr="006A0982">
        <w:rPr>
          <w:rStyle w:val="FootnoteReference"/>
          <w:sz w:val="16"/>
          <w:szCs w:val="16"/>
        </w:rPr>
        <w:footnoteRef/>
      </w:r>
      <w:r>
        <w:t xml:space="preserve"> </w:t>
      </w:r>
      <w:r w:rsidR="00E63E0A">
        <w:rPr>
          <w:sz w:val="16"/>
          <w:szCs w:val="16"/>
        </w:rPr>
        <w:t xml:space="preserve">Note: Alien </w:t>
      </w:r>
      <w:r w:rsidRPr="00F53F31">
        <w:rPr>
          <w:sz w:val="16"/>
          <w:szCs w:val="16"/>
        </w:rPr>
        <w:t xml:space="preserve">surplus lines premium </w:t>
      </w:r>
      <w:r w:rsidR="00E63E0A">
        <w:rPr>
          <w:sz w:val="16"/>
          <w:szCs w:val="16"/>
        </w:rPr>
        <w:t xml:space="preserve">was restated </w:t>
      </w:r>
      <w:r w:rsidRPr="00F53F31">
        <w:rPr>
          <w:sz w:val="16"/>
          <w:szCs w:val="16"/>
        </w:rPr>
        <w:t>for 2019</w:t>
      </w:r>
      <w:r w:rsidR="00F87267">
        <w:rPr>
          <w:sz w:val="16"/>
          <w:szCs w:val="16"/>
        </w:rPr>
        <w:t>.</w:t>
      </w:r>
    </w:p>
  </w:footnote>
  <w:footnote w:id="9">
    <w:p w14:paraId="6246289B" w14:textId="12333B37" w:rsidR="00E5569F" w:rsidRPr="004C7AFD" w:rsidRDefault="00E5569F" w:rsidP="00E5569F">
      <w:pPr>
        <w:pStyle w:val="FootnoteText"/>
        <w:rPr>
          <w:rFonts w:cs="Calibri"/>
          <w:sz w:val="16"/>
          <w:szCs w:val="16"/>
        </w:rPr>
      </w:pPr>
      <w:r w:rsidRPr="004C7AFD">
        <w:rPr>
          <w:rStyle w:val="FootnoteReference"/>
          <w:rFonts w:cs="Calibri"/>
          <w:sz w:val="16"/>
          <w:szCs w:val="16"/>
        </w:rPr>
        <w:footnoteRef/>
      </w:r>
      <w:r w:rsidRPr="00E5569F">
        <w:rPr>
          <w:rFonts w:cs="Calibri"/>
          <w:i/>
          <w:iCs/>
          <w:sz w:val="16"/>
          <w:szCs w:val="16"/>
        </w:rPr>
        <w:t xml:space="preserve"> https://www.blackfog.com/the-state-of-ransomware-in-2020/</w:t>
      </w:r>
      <w:r w:rsidR="00F87267">
        <w:rPr>
          <w:rFonts w:cs="Calibri"/>
          <w:sz w:val="16"/>
          <w:szCs w:val="16"/>
        </w:rPr>
        <w:t>.</w:t>
      </w:r>
    </w:p>
  </w:footnote>
  <w:footnote w:id="10">
    <w:p w14:paraId="38909ACD" w14:textId="356D12B5" w:rsidR="00E5569F" w:rsidRPr="003A29C0" w:rsidRDefault="00E5569F" w:rsidP="00E5569F">
      <w:pPr>
        <w:pStyle w:val="FootnoteText"/>
        <w:rPr>
          <w:rFonts w:cs="Calibri"/>
          <w:sz w:val="16"/>
          <w:szCs w:val="16"/>
        </w:rPr>
      </w:pPr>
      <w:r w:rsidRPr="003A29C0">
        <w:rPr>
          <w:rStyle w:val="FootnoteReference"/>
          <w:rFonts w:cs="Calibri"/>
          <w:sz w:val="16"/>
          <w:szCs w:val="16"/>
        </w:rPr>
        <w:footnoteRef/>
      </w:r>
      <w:r w:rsidRPr="003A29C0">
        <w:rPr>
          <w:rFonts w:cs="Calibri"/>
          <w:sz w:val="16"/>
          <w:szCs w:val="16"/>
        </w:rPr>
        <w:t xml:space="preserve"> </w:t>
      </w:r>
      <w:r w:rsidRPr="00E5569F">
        <w:rPr>
          <w:rFonts w:cs="Calibri"/>
          <w:i/>
          <w:iCs/>
          <w:sz w:val="16"/>
          <w:szCs w:val="16"/>
        </w:rPr>
        <w:t>https://www.pbs.org/newshour/nation/why-ransomware-attacks-are-on-the-rise-and-what-can-be-done-to-stop-them</w:t>
      </w:r>
      <w:r w:rsidR="000A6A2B">
        <w:rPr>
          <w:rFonts w:cs="Calibri"/>
          <w:sz w:val="16"/>
          <w:szCs w:val="16"/>
        </w:rPr>
        <w:t>.</w:t>
      </w:r>
    </w:p>
  </w:footnote>
  <w:footnote w:id="11">
    <w:p w14:paraId="1E8F71CF" w14:textId="5D6F9BDF" w:rsidR="00E5569F" w:rsidRPr="00360A88" w:rsidRDefault="00E5569F" w:rsidP="00E5569F">
      <w:pPr>
        <w:pStyle w:val="FootnoteText"/>
        <w:rPr>
          <w:rFonts w:cs="Calibri"/>
          <w:sz w:val="16"/>
          <w:szCs w:val="16"/>
        </w:rPr>
      </w:pPr>
      <w:r w:rsidRPr="003A29C0">
        <w:rPr>
          <w:rStyle w:val="FootnoteReference"/>
          <w:rFonts w:cs="Calibri"/>
          <w:sz w:val="16"/>
          <w:szCs w:val="16"/>
        </w:rPr>
        <w:footnoteRef/>
      </w:r>
      <w:r w:rsidRPr="003A29C0">
        <w:rPr>
          <w:rFonts w:cs="Calibri"/>
          <w:sz w:val="16"/>
          <w:szCs w:val="16"/>
        </w:rPr>
        <w:t xml:space="preserve"> </w:t>
      </w:r>
      <w:r w:rsidRPr="00E5569F">
        <w:rPr>
          <w:rFonts w:cs="Calibri"/>
          <w:i/>
          <w:iCs/>
          <w:sz w:val="16"/>
          <w:szCs w:val="16"/>
        </w:rPr>
        <w:t>https://www.insurancejournal.com/news/national/2021/07/07/621416.htm</w:t>
      </w:r>
      <w:r w:rsidR="000A6A2B">
        <w:rPr>
          <w:rFonts w:cs="Calibri"/>
          <w:sz w:val="16"/>
          <w:szCs w:val="16"/>
        </w:rPr>
        <w:t>.</w:t>
      </w:r>
    </w:p>
  </w:footnote>
  <w:footnote w:id="12">
    <w:p w14:paraId="000DC2AF" w14:textId="77777777" w:rsidR="00E5569F" w:rsidRPr="00E5569F" w:rsidRDefault="00E5569F" w:rsidP="00E5569F">
      <w:pPr>
        <w:pStyle w:val="FootnoteText"/>
        <w:rPr>
          <w:rFonts w:cs="Calibri"/>
          <w:i/>
          <w:iCs/>
          <w:sz w:val="16"/>
          <w:szCs w:val="16"/>
        </w:rPr>
      </w:pPr>
      <w:r w:rsidRPr="00360A88">
        <w:rPr>
          <w:rStyle w:val="FootnoteReference"/>
          <w:rFonts w:cs="Calibri"/>
          <w:sz w:val="16"/>
          <w:szCs w:val="16"/>
        </w:rPr>
        <w:footnoteRef/>
      </w:r>
      <w:r w:rsidRPr="00E5569F">
        <w:rPr>
          <w:rFonts w:cs="Calibri"/>
          <w:i/>
          <w:iCs/>
          <w:sz w:val="16"/>
          <w:szCs w:val="16"/>
        </w:rPr>
        <w:t xml:space="preserve"> </w:t>
      </w:r>
      <w:r w:rsidRPr="00360A88">
        <w:rPr>
          <w:rFonts w:cs="Calibri"/>
          <w:sz w:val="16"/>
          <w:szCs w:val="16"/>
        </w:rPr>
        <w:t>Ibid.</w:t>
      </w:r>
    </w:p>
  </w:footnote>
  <w:footnote w:id="13">
    <w:p w14:paraId="2AF254B2" w14:textId="3DAD15C1" w:rsidR="00E5569F" w:rsidRPr="00360A88" w:rsidRDefault="00E5569F" w:rsidP="00E5569F">
      <w:pPr>
        <w:pStyle w:val="FootnoteText"/>
        <w:rPr>
          <w:rFonts w:cs="Calibri"/>
          <w:sz w:val="16"/>
          <w:szCs w:val="16"/>
        </w:rPr>
      </w:pPr>
      <w:r w:rsidRPr="00360A88">
        <w:rPr>
          <w:rStyle w:val="FootnoteReference"/>
          <w:rFonts w:cs="Calibri"/>
          <w:sz w:val="16"/>
          <w:szCs w:val="16"/>
        </w:rPr>
        <w:footnoteRef/>
      </w:r>
      <w:r w:rsidRPr="00360A88">
        <w:rPr>
          <w:rFonts w:cs="Calibri"/>
          <w:sz w:val="16"/>
          <w:szCs w:val="16"/>
        </w:rPr>
        <w:t xml:space="preserve"> </w:t>
      </w:r>
      <w:r w:rsidRPr="00E5569F">
        <w:rPr>
          <w:rFonts w:cs="Calibri"/>
          <w:i/>
          <w:iCs/>
          <w:sz w:val="16"/>
          <w:szCs w:val="16"/>
        </w:rPr>
        <w:t>https://www.gao.gov/assets/gao-21-477.pdf</w:t>
      </w:r>
      <w:r w:rsidR="0028646C">
        <w:rPr>
          <w:rFonts w:cs="Calibri"/>
          <w:sz w:val="16"/>
          <w:szCs w:val="16"/>
        </w:rPr>
        <w:t>.</w:t>
      </w:r>
    </w:p>
  </w:footnote>
  <w:footnote w:id="14">
    <w:p w14:paraId="2DA7EF15" w14:textId="4B6D213E" w:rsidR="00E5569F" w:rsidRPr="00E5569F" w:rsidRDefault="00E5569F" w:rsidP="00E5569F">
      <w:pPr>
        <w:pStyle w:val="NormalWeb"/>
        <w:rPr>
          <w:rFonts w:ascii="Calibri" w:hAnsi="Calibri" w:cs="Calibri"/>
          <w:i/>
          <w:iCs/>
          <w:sz w:val="16"/>
          <w:szCs w:val="16"/>
        </w:rPr>
      </w:pPr>
      <w:r w:rsidRPr="00360A88">
        <w:rPr>
          <w:rStyle w:val="FootnoteReference"/>
          <w:rFonts w:ascii="Calibri" w:hAnsi="Calibri" w:cs="Calibri"/>
          <w:sz w:val="16"/>
          <w:szCs w:val="16"/>
        </w:rPr>
        <w:footnoteRef/>
      </w:r>
      <w:r w:rsidRPr="00360A88">
        <w:rPr>
          <w:rFonts w:ascii="Calibri" w:hAnsi="Calibri" w:cs="Calibri"/>
          <w:sz w:val="16"/>
          <w:szCs w:val="16"/>
        </w:rPr>
        <w:t xml:space="preserve"> </w:t>
      </w:r>
      <w:r w:rsidRPr="00360A88">
        <w:rPr>
          <w:rFonts w:ascii="Calibri" w:hAnsi="Calibri" w:cs="Calibri"/>
          <w:color w:val="0E101A"/>
          <w:sz w:val="16"/>
          <w:szCs w:val="16"/>
        </w:rPr>
        <w:t>Gallagher Market Conditions 2021</w:t>
      </w:r>
      <w:r w:rsidR="0028646C">
        <w:rPr>
          <w:rFonts w:ascii="Calibri" w:hAnsi="Calibri" w:cs="Calibri"/>
          <w:color w:val="0E101A"/>
          <w:sz w:val="16"/>
          <w:szCs w:val="16"/>
        </w:rPr>
        <w:t>.</w:t>
      </w:r>
    </w:p>
  </w:footnote>
  <w:footnote w:id="15">
    <w:p w14:paraId="1E8BC582" w14:textId="04C08B72" w:rsidR="00E5569F" w:rsidRPr="00360A88" w:rsidRDefault="00E5569F" w:rsidP="00E5569F">
      <w:pPr>
        <w:pStyle w:val="NormalWeb"/>
        <w:rPr>
          <w:rFonts w:ascii="Calibri" w:hAnsi="Calibri" w:cs="Calibri"/>
          <w:sz w:val="16"/>
          <w:szCs w:val="16"/>
        </w:rPr>
      </w:pPr>
      <w:r w:rsidRPr="00360A88">
        <w:rPr>
          <w:rStyle w:val="FootnoteReference"/>
          <w:rFonts w:ascii="Calibri" w:hAnsi="Calibri" w:cs="Calibri"/>
          <w:sz w:val="16"/>
          <w:szCs w:val="16"/>
        </w:rPr>
        <w:footnoteRef/>
      </w:r>
      <w:r w:rsidRPr="00E5569F">
        <w:rPr>
          <w:rFonts w:ascii="Calibri" w:hAnsi="Calibri" w:cs="Calibri"/>
          <w:i/>
          <w:iCs/>
          <w:sz w:val="16"/>
          <w:szCs w:val="16"/>
        </w:rPr>
        <w:t xml:space="preserve"> </w:t>
      </w:r>
      <w:r w:rsidR="000B3520" w:rsidRPr="00360A88">
        <w:rPr>
          <w:rStyle w:val="Hyperlink1"/>
          <w:rFonts w:ascii="Calibri" w:hAnsi="Calibri" w:cs="Calibri"/>
          <w:i/>
          <w:iCs/>
          <w:color w:val="auto"/>
          <w:sz w:val="16"/>
          <w:szCs w:val="16"/>
          <w:u w:val="none"/>
        </w:rPr>
        <w:t>https://www.ciab.com/resources/q2-p-c-market-survey-2021/</w:t>
      </w:r>
      <w:r w:rsidR="000B3520">
        <w:rPr>
          <w:rStyle w:val="Hyperlink1"/>
          <w:rFonts w:ascii="Calibri" w:hAnsi="Calibri" w:cs="Calibri"/>
          <w:color w:val="auto"/>
          <w:sz w:val="16"/>
          <w:szCs w:val="16"/>
          <w:u w:val="none"/>
        </w:rPr>
        <w:t>.</w:t>
      </w:r>
    </w:p>
  </w:footnote>
  <w:footnote w:id="16">
    <w:p w14:paraId="7324CDA3" w14:textId="77777777" w:rsidR="00E5569F" w:rsidRPr="00E5569F" w:rsidRDefault="00E5569F" w:rsidP="00E5569F">
      <w:pPr>
        <w:rPr>
          <w:rFonts w:cs="Calibri"/>
          <w:i/>
          <w:iCs/>
          <w:sz w:val="16"/>
          <w:szCs w:val="16"/>
        </w:rPr>
      </w:pPr>
      <w:r w:rsidRPr="00360A88">
        <w:rPr>
          <w:rStyle w:val="FootnoteReference"/>
          <w:rFonts w:cs="Calibri"/>
          <w:sz w:val="16"/>
          <w:szCs w:val="16"/>
        </w:rPr>
        <w:footnoteRef/>
      </w:r>
      <w:r w:rsidRPr="00E5569F">
        <w:rPr>
          <w:rFonts w:cs="Calibri"/>
          <w:i/>
          <w:iCs/>
          <w:sz w:val="16"/>
          <w:szCs w:val="16"/>
        </w:rPr>
        <w:t xml:space="preserve"> </w:t>
      </w:r>
      <w:r w:rsidRPr="00E5569F">
        <w:rPr>
          <w:rFonts w:cs="Calibri"/>
          <w:i/>
          <w:iCs/>
          <w:color w:val="0E101A"/>
          <w:sz w:val="16"/>
          <w:szCs w:val="16"/>
        </w:rPr>
        <w:t>https://www.gao.gov/assets/gao-21-477.pdf</w:t>
      </w:r>
    </w:p>
  </w:footnote>
  <w:footnote w:id="17">
    <w:p w14:paraId="65F1D602" w14:textId="55FDFC2A" w:rsidR="00E5569F" w:rsidRPr="00E5569F" w:rsidRDefault="00E5569F" w:rsidP="00E5569F">
      <w:pPr>
        <w:pStyle w:val="FootnoteText"/>
        <w:rPr>
          <w:rFonts w:cs="Calibri"/>
          <w:i/>
          <w:iCs/>
          <w:sz w:val="16"/>
          <w:szCs w:val="16"/>
        </w:rPr>
      </w:pPr>
      <w:r w:rsidRPr="00360A88">
        <w:rPr>
          <w:rStyle w:val="FootnoteReference"/>
          <w:rFonts w:cs="Calibri"/>
          <w:sz w:val="16"/>
          <w:szCs w:val="16"/>
        </w:rPr>
        <w:footnoteRef/>
      </w:r>
      <w:r w:rsidRPr="00E5569F">
        <w:rPr>
          <w:rFonts w:cs="Calibri"/>
          <w:i/>
          <w:iCs/>
          <w:sz w:val="16"/>
          <w:szCs w:val="16"/>
        </w:rPr>
        <w:t xml:space="preserve"> </w:t>
      </w:r>
      <w:r w:rsidR="0095454E">
        <w:rPr>
          <w:rFonts w:cs="Calibri"/>
          <w:sz w:val="16"/>
          <w:szCs w:val="16"/>
        </w:rPr>
        <w:t>Ibid.</w:t>
      </w:r>
    </w:p>
  </w:footnote>
  <w:footnote w:id="18">
    <w:p w14:paraId="09ABE4DE" w14:textId="1DB738F4" w:rsidR="00E5569F" w:rsidRPr="00360A88" w:rsidRDefault="00E5569F" w:rsidP="00E5569F">
      <w:pPr>
        <w:pStyle w:val="FootnoteText"/>
        <w:rPr>
          <w:rFonts w:cs="Calibri"/>
          <w:sz w:val="16"/>
          <w:szCs w:val="16"/>
        </w:rPr>
      </w:pPr>
      <w:r w:rsidRPr="00360A88">
        <w:rPr>
          <w:rStyle w:val="FootnoteReference"/>
          <w:rFonts w:cs="Calibri"/>
          <w:sz w:val="16"/>
          <w:szCs w:val="16"/>
        </w:rPr>
        <w:footnoteRef/>
      </w:r>
      <w:r w:rsidRPr="00E5569F">
        <w:rPr>
          <w:rFonts w:cs="Calibri"/>
          <w:i/>
          <w:iCs/>
          <w:sz w:val="16"/>
          <w:szCs w:val="16"/>
        </w:rPr>
        <w:t xml:space="preserve"> </w:t>
      </w:r>
      <w:r w:rsidR="0095454E" w:rsidRPr="00360A88">
        <w:rPr>
          <w:rStyle w:val="Hyperlink1"/>
          <w:rFonts w:cs="Calibri"/>
          <w:i/>
          <w:iCs/>
          <w:color w:val="auto"/>
          <w:sz w:val="16"/>
          <w:szCs w:val="16"/>
          <w:u w:val="none"/>
        </w:rPr>
        <w:t>https://www.ciab.com/download/31507/</w:t>
      </w:r>
      <w:r w:rsidR="0095454E">
        <w:rPr>
          <w:rStyle w:val="Hyperlink1"/>
          <w:rFonts w:cs="Calibri"/>
          <w:color w:val="auto"/>
          <w:sz w:val="16"/>
          <w:szCs w:val="16"/>
          <w:u w:val="none"/>
        </w:rPr>
        <w:t>.</w:t>
      </w:r>
    </w:p>
  </w:footnote>
  <w:footnote w:id="19">
    <w:p w14:paraId="2277DFD5" w14:textId="3408A08D" w:rsidR="00E5569F" w:rsidRDefault="00E5569F" w:rsidP="00E5569F">
      <w:pPr>
        <w:pStyle w:val="FootnoteText"/>
      </w:pPr>
      <w:r w:rsidRPr="00360A88">
        <w:rPr>
          <w:rStyle w:val="FootnoteReference"/>
          <w:sz w:val="16"/>
          <w:szCs w:val="16"/>
        </w:rPr>
        <w:footnoteRef/>
      </w:r>
      <w:r>
        <w:t xml:space="preserve"> </w:t>
      </w:r>
      <w:r w:rsidRPr="00360A88">
        <w:rPr>
          <w:sz w:val="16"/>
          <w:szCs w:val="16"/>
        </w:rPr>
        <w:t>Gallagher Market Conditions 2021</w:t>
      </w:r>
      <w:r w:rsidR="0095454E">
        <w:rPr>
          <w:sz w:val="16"/>
          <w:szCs w:val="16"/>
        </w:rPr>
        <w:t>.</w:t>
      </w:r>
    </w:p>
  </w:footnote>
  <w:footnote w:id="20">
    <w:p w14:paraId="5D34D043" w14:textId="470FABC9" w:rsidR="001B1DA5" w:rsidRPr="004B02A9" w:rsidRDefault="001B1DA5" w:rsidP="008D6CC9">
      <w:pPr>
        <w:pStyle w:val="Heading1"/>
        <w:spacing w:before="0"/>
        <w:rPr>
          <w:rFonts w:asciiTheme="minorHAnsi" w:hAnsiTheme="minorHAnsi" w:cstheme="minorHAnsi"/>
          <w:sz w:val="16"/>
          <w:szCs w:val="16"/>
        </w:rPr>
      </w:pPr>
      <w:r w:rsidRPr="004B02A9">
        <w:rPr>
          <w:rStyle w:val="FootnoteReference"/>
          <w:rFonts w:asciiTheme="minorHAnsi" w:hAnsiTheme="minorHAnsi" w:cstheme="minorHAnsi"/>
          <w:color w:val="auto"/>
          <w:sz w:val="16"/>
          <w:szCs w:val="16"/>
        </w:rPr>
        <w:footnoteRef/>
      </w:r>
      <w:r w:rsidRPr="004B02A9">
        <w:rPr>
          <w:rFonts w:asciiTheme="minorHAnsi" w:hAnsiTheme="minorHAnsi" w:cstheme="minorHAnsi"/>
          <w:i/>
          <w:iCs/>
          <w:color w:val="auto"/>
          <w:sz w:val="16"/>
          <w:szCs w:val="16"/>
        </w:rPr>
        <w:t xml:space="preserve"> </w:t>
      </w:r>
      <w:r w:rsidRPr="004B02A9">
        <w:rPr>
          <w:rFonts w:asciiTheme="minorHAnsi" w:hAnsiTheme="minorHAnsi" w:cstheme="minorHAnsi"/>
          <w:color w:val="auto"/>
          <w:sz w:val="16"/>
          <w:szCs w:val="16"/>
        </w:rPr>
        <w:t xml:space="preserve">Cyber Insurance: </w:t>
      </w:r>
      <w:r w:rsidRPr="004B02A9">
        <w:rPr>
          <w:rFonts w:asciiTheme="minorHAnsi" w:hAnsiTheme="minorHAnsi" w:cstheme="minorHAnsi"/>
          <w:color w:val="212121"/>
          <w:sz w:val="16"/>
          <w:szCs w:val="16"/>
        </w:rPr>
        <w:t>Insurers and Policyholders Face Challenges in an Evolving Market, GAO</w:t>
      </w:r>
      <w:r w:rsidR="00C37441">
        <w:rPr>
          <w:rFonts w:asciiTheme="minorHAnsi" w:hAnsiTheme="minorHAnsi" w:cstheme="minorHAnsi"/>
          <w:color w:val="212121"/>
          <w:sz w:val="16"/>
          <w:szCs w:val="16"/>
        </w:rPr>
        <w:t>,</w:t>
      </w:r>
      <w:r w:rsidRPr="004B02A9">
        <w:rPr>
          <w:rFonts w:asciiTheme="minorHAnsi" w:hAnsiTheme="minorHAnsi" w:cstheme="minorHAnsi"/>
          <w:color w:val="212121"/>
          <w:sz w:val="16"/>
          <w:szCs w:val="16"/>
        </w:rPr>
        <w:t xml:space="preserve"> May 2021</w:t>
      </w:r>
      <w:r w:rsidR="00C37441">
        <w:rPr>
          <w:rFonts w:asciiTheme="minorHAnsi" w:hAnsiTheme="minorHAnsi" w:cstheme="minorHAnsi"/>
          <w:color w:val="212121"/>
          <w:sz w:val="16"/>
          <w:szCs w:val="16"/>
        </w:rPr>
        <w:t>.</w:t>
      </w:r>
    </w:p>
  </w:footnote>
  <w:footnote w:id="21">
    <w:p w14:paraId="4E269512" w14:textId="7B4E895A" w:rsidR="001B1DA5" w:rsidRPr="00317D68" w:rsidRDefault="001B1DA5" w:rsidP="001B1DA5">
      <w:pPr>
        <w:pStyle w:val="FootnoteText"/>
        <w:rPr>
          <w:sz w:val="16"/>
          <w:szCs w:val="16"/>
        </w:rPr>
      </w:pPr>
      <w:r w:rsidRPr="00C37441">
        <w:rPr>
          <w:rStyle w:val="FootnoteReference"/>
          <w:sz w:val="16"/>
          <w:szCs w:val="16"/>
        </w:rPr>
        <w:footnoteRef/>
      </w:r>
      <w:r w:rsidRPr="001535BF">
        <w:rPr>
          <w:sz w:val="16"/>
          <w:szCs w:val="16"/>
        </w:rPr>
        <w:t xml:space="preserve"> </w:t>
      </w:r>
      <w:r w:rsidRPr="004B02A9">
        <w:rPr>
          <w:i/>
          <w:iCs/>
          <w:sz w:val="16"/>
          <w:szCs w:val="16"/>
        </w:rPr>
        <w:t>Riskandinsurance-digital.com/</w:t>
      </w:r>
      <w:proofErr w:type="spellStart"/>
      <w:r w:rsidRPr="004B02A9">
        <w:rPr>
          <w:i/>
          <w:iCs/>
          <w:sz w:val="16"/>
          <w:szCs w:val="16"/>
        </w:rPr>
        <w:t>riskandinsurance</w:t>
      </w:r>
      <w:proofErr w:type="spellEnd"/>
      <w:r w:rsidRPr="004B02A9">
        <w:rPr>
          <w:i/>
          <w:iCs/>
          <w:sz w:val="16"/>
          <w:szCs w:val="16"/>
        </w:rPr>
        <w:t>/august_2021</w:t>
      </w:r>
      <w:r w:rsidR="00A70D65">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0F5C" w14:textId="68B5B20C" w:rsidR="00703816" w:rsidRDefault="003B1947">
    <w:pPr>
      <w:pStyle w:val="Header"/>
    </w:pPr>
    <w:r>
      <w:rPr>
        <w:noProof/>
      </w:rPr>
      <w:drawing>
        <wp:anchor distT="0" distB="164465" distL="0" distR="0" simplePos="0" relativeHeight="251658242" behindDoc="1" locked="1" layoutInCell="1" allowOverlap="0" wp14:anchorId="1D7C63C2" wp14:editId="17DA1CD3">
          <wp:simplePos x="0" y="0"/>
          <wp:positionH relativeFrom="page">
            <wp:align>left</wp:align>
          </wp:positionH>
          <wp:positionV relativeFrom="page">
            <wp:align>top</wp:align>
          </wp:positionV>
          <wp:extent cx="7772400" cy="1307465"/>
          <wp:effectExtent l="0" t="0" r="0" b="6985"/>
          <wp:wrapTopAndBottom/>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07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2BD0" w14:textId="7D24850C" w:rsidR="008C402F" w:rsidRDefault="007F4FFD" w:rsidP="003E4586">
    <w:pPr>
      <w:pStyle w:val="Header"/>
      <w:jc w:val="both"/>
    </w:pPr>
    <w:r>
      <w:rPr>
        <w:noProof/>
      </w:rPr>
      <w:drawing>
        <wp:anchor distT="0" distB="164465" distL="0" distR="0" simplePos="0" relativeHeight="251658241" behindDoc="1" locked="1" layoutInCell="1" allowOverlap="0" wp14:anchorId="7D11188A" wp14:editId="3C41F482">
          <wp:simplePos x="0" y="0"/>
          <wp:positionH relativeFrom="page">
            <wp:align>right</wp:align>
          </wp:positionH>
          <wp:positionV relativeFrom="page">
            <wp:align>top</wp:align>
          </wp:positionV>
          <wp:extent cx="7772400" cy="1307465"/>
          <wp:effectExtent l="0" t="0" r="0"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772400" cy="1307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A6A4D"/>
    <w:multiLevelType w:val="hybridMultilevel"/>
    <w:tmpl w:val="D3561352"/>
    <w:lvl w:ilvl="0" w:tplc="A798E4E2">
      <w:start w:val="1"/>
      <w:numFmt w:val="bullet"/>
      <w:lvlText w:val=""/>
      <w:lvlJc w:val="left"/>
      <w:pPr>
        <w:ind w:left="720" w:hanging="360"/>
      </w:pPr>
      <w:rPr>
        <w:rFonts w:ascii="Symbol" w:hAnsi="Symbol" w:hint="default"/>
      </w:rPr>
    </w:lvl>
    <w:lvl w:ilvl="1" w:tplc="451834C8" w:tentative="1">
      <w:start w:val="1"/>
      <w:numFmt w:val="bullet"/>
      <w:lvlText w:val="o"/>
      <w:lvlJc w:val="left"/>
      <w:pPr>
        <w:ind w:left="1440" w:hanging="360"/>
      </w:pPr>
      <w:rPr>
        <w:rFonts w:ascii="Courier New" w:hAnsi="Courier New" w:cs="Courier New" w:hint="default"/>
      </w:rPr>
    </w:lvl>
    <w:lvl w:ilvl="2" w:tplc="4BBE44F4" w:tentative="1">
      <w:start w:val="1"/>
      <w:numFmt w:val="bullet"/>
      <w:lvlText w:val=""/>
      <w:lvlJc w:val="left"/>
      <w:pPr>
        <w:ind w:left="2160" w:hanging="360"/>
      </w:pPr>
      <w:rPr>
        <w:rFonts w:ascii="Wingdings" w:hAnsi="Wingdings" w:hint="default"/>
      </w:rPr>
    </w:lvl>
    <w:lvl w:ilvl="3" w:tplc="BDD89520" w:tentative="1">
      <w:start w:val="1"/>
      <w:numFmt w:val="bullet"/>
      <w:lvlText w:val=""/>
      <w:lvlJc w:val="left"/>
      <w:pPr>
        <w:ind w:left="2880" w:hanging="360"/>
      </w:pPr>
      <w:rPr>
        <w:rFonts w:ascii="Symbol" w:hAnsi="Symbol" w:hint="default"/>
      </w:rPr>
    </w:lvl>
    <w:lvl w:ilvl="4" w:tplc="9188AF30" w:tentative="1">
      <w:start w:val="1"/>
      <w:numFmt w:val="bullet"/>
      <w:lvlText w:val="o"/>
      <w:lvlJc w:val="left"/>
      <w:pPr>
        <w:ind w:left="3600" w:hanging="360"/>
      </w:pPr>
      <w:rPr>
        <w:rFonts w:ascii="Courier New" w:hAnsi="Courier New" w:cs="Courier New" w:hint="default"/>
      </w:rPr>
    </w:lvl>
    <w:lvl w:ilvl="5" w:tplc="712C12F0" w:tentative="1">
      <w:start w:val="1"/>
      <w:numFmt w:val="bullet"/>
      <w:lvlText w:val=""/>
      <w:lvlJc w:val="left"/>
      <w:pPr>
        <w:ind w:left="4320" w:hanging="360"/>
      </w:pPr>
      <w:rPr>
        <w:rFonts w:ascii="Wingdings" w:hAnsi="Wingdings" w:hint="default"/>
      </w:rPr>
    </w:lvl>
    <w:lvl w:ilvl="6" w:tplc="036E0354" w:tentative="1">
      <w:start w:val="1"/>
      <w:numFmt w:val="bullet"/>
      <w:lvlText w:val=""/>
      <w:lvlJc w:val="left"/>
      <w:pPr>
        <w:ind w:left="5040" w:hanging="360"/>
      </w:pPr>
      <w:rPr>
        <w:rFonts w:ascii="Symbol" w:hAnsi="Symbol" w:hint="default"/>
      </w:rPr>
    </w:lvl>
    <w:lvl w:ilvl="7" w:tplc="00865D28" w:tentative="1">
      <w:start w:val="1"/>
      <w:numFmt w:val="bullet"/>
      <w:lvlText w:val="o"/>
      <w:lvlJc w:val="left"/>
      <w:pPr>
        <w:ind w:left="5760" w:hanging="360"/>
      </w:pPr>
      <w:rPr>
        <w:rFonts w:ascii="Courier New" w:hAnsi="Courier New" w:cs="Courier New" w:hint="default"/>
      </w:rPr>
    </w:lvl>
    <w:lvl w:ilvl="8" w:tplc="229618DA" w:tentative="1">
      <w:start w:val="1"/>
      <w:numFmt w:val="bullet"/>
      <w:lvlText w:val=""/>
      <w:lvlJc w:val="left"/>
      <w:pPr>
        <w:ind w:left="6480" w:hanging="360"/>
      </w:pPr>
      <w:rPr>
        <w:rFonts w:ascii="Wingdings" w:hAnsi="Wingdings" w:hint="default"/>
      </w:rPr>
    </w:lvl>
  </w:abstractNum>
  <w:abstractNum w:abstractNumId="1" w15:restartNumberingAfterBreak="0">
    <w:nsid w:val="5FB90BA2"/>
    <w:multiLevelType w:val="hybridMultilevel"/>
    <w:tmpl w:val="E4CAA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2F"/>
    <w:rsid w:val="0001721C"/>
    <w:rsid w:val="000175CD"/>
    <w:rsid w:val="00044152"/>
    <w:rsid w:val="00051B2E"/>
    <w:rsid w:val="00073028"/>
    <w:rsid w:val="00085236"/>
    <w:rsid w:val="00085B4C"/>
    <w:rsid w:val="000A2347"/>
    <w:rsid w:val="000A66D9"/>
    <w:rsid w:val="000A6A2B"/>
    <w:rsid w:val="000B3520"/>
    <w:rsid w:val="000C6EAC"/>
    <w:rsid w:val="000D70E7"/>
    <w:rsid w:val="00120D88"/>
    <w:rsid w:val="00130520"/>
    <w:rsid w:val="00147345"/>
    <w:rsid w:val="00150837"/>
    <w:rsid w:val="0015404B"/>
    <w:rsid w:val="001613BF"/>
    <w:rsid w:val="00162636"/>
    <w:rsid w:val="00167A9A"/>
    <w:rsid w:val="001A5229"/>
    <w:rsid w:val="001B1DA5"/>
    <w:rsid w:val="001D0927"/>
    <w:rsid w:val="001D3DA9"/>
    <w:rsid w:val="00202273"/>
    <w:rsid w:val="00204C26"/>
    <w:rsid w:val="00204F1F"/>
    <w:rsid w:val="00240F30"/>
    <w:rsid w:val="002468C2"/>
    <w:rsid w:val="002525DF"/>
    <w:rsid w:val="00262E7F"/>
    <w:rsid w:val="00263729"/>
    <w:rsid w:val="0028646C"/>
    <w:rsid w:val="002A0498"/>
    <w:rsid w:val="002D1234"/>
    <w:rsid w:val="002D2A84"/>
    <w:rsid w:val="002F1C8B"/>
    <w:rsid w:val="003115AE"/>
    <w:rsid w:val="00317D68"/>
    <w:rsid w:val="00360A88"/>
    <w:rsid w:val="00364D2F"/>
    <w:rsid w:val="003812BF"/>
    <w:rsid w:val="003A29C0"/>
    <w:rsid w:val="003B0A4D"/>
    <w:rsid w:val="003B1947"/>
    <w:rsid w:val="003B4B1F"/>
    <w:rsid w:val="003E3A7B"/>
    <w:rsid w:val="003E4586"/>
    <w:rsid w:val="003F0E8E"/>
    <w:rsid w:val="00421F2A"/>
    <w:rsid w:val="00456804"/>
    <w:rsid w:val="00471F53"/>
    <w:rsid w:val="00492D19"/>
    <w:rsid w:val="00495974"/>
    <w:rsid w:val="004B02A9"/>
    <w:rsid w:val="004B099F"/>
    <w:rsid w:val="004B213E"/>
    <w:rsid w:val="004C7AFD"/>
    <w:rsid w:val="004E06A5"/>
    <w:rsid w:val="00506C05"/>
    <w:rsid w:val="005238F5"/>
    <w:rsid w:val="005268D9"/>
    <w:rsid w:val="00537A9F"/>
    <w:rsid w:val="005669A3"/>
    <w:rsid w:val="00567D68"/>
    <w:rsid w:val="00580063"/>
    <w:rsid w:val="00584328"/>
    <w:rsid w:val="00593E91"/>
    <w:rsid w:val="005C6B4A"/>
    <w:rsid w:val="005D6B1D"/>
    <w:rsid w:val="005F1DB2"/>
    <w:rsid w:val="00600112"/>
    <w:rsid w:val="0060381D"/>
    <w:rsid w:val="006118AC"/>
    <w:rsid w:val="00645D54"/>
    <w:rsid w:val="006617F2"/>
    <w:rsid w:val="006913F9"/>
    <w:rsid w:val="006D40B1"/>
    <w:rsid w:val="006E6EA8"/>
    <w:rsid w:val="006F3C5D"/>
    <w:rsid w:val="00703816"/>
    <w:rsid w:val="0072728F"/>
    <w:rsid w:val="0075127E"/>
    <w:rsid w:val="00762946"/>
    <w:rsid w:val="007816B1"/>
    <w:rsid w:val="00786429"/>
    <w:rsid w:val="00787DD6"/>
    <w:rsid w:val="007A0E61"/>
    <w:rsid w:val="007D3D2F"/>
    <w:rsid w:val="007F1AFF"/>
    <w:rsid w:val="007F2CBF"/>
    <w:rsid w:val="007F4FFD"/>
    <w:rsid w:val="007F533C"/>
    <w:rsid w:val="00811E2C"/>
    <w:rsid w:val="00825213"/>
    <w:rsid w:val="008337A6"/>
    <w:rsid w:val="00846950"/>
    <w:rsid w:val="00860254"/>
    <w:rsid w:val="008707F6"/>
    <w:rsid w:val="0087763E"/>
    <w:rsid w:val="008C402F"/>
    <w:rsid w:val="008D2972"/>
    <w:rsid w:val="008D6CC9"/>
    <w:rsid w:val="008D73DA"/>
    <w:rsid w:val="008E3A89"/>
    <w:rsid w:val="008F23E5"/>
    <w:rsid w:val="00920C26"/>
    <w:rsid w:val="00925154"/>
    <w:rsid w:val="0095454E"/>
    <w:rsid w:val="00955B25"/>
    <w:rsid w:val="00964E0F"/>
    <w:rsid w:val="00981254"/>
    <w:rsid w:val="009951F5"/>
    <w:rsid w:val="009A5E38"/>
    <w:rsid w:val="009A63A6"/>
    <w:rsid w:val="009E7CDA"/>
    <w:rsid w:val="009F5D3A"/>
    <w:rsid w:val="00A04D03"/>
    <w:rsid w:val="00A0772E"/>
    <w:rsid w:val="00A24EE3"/>
    <w:rsid w:val="00A42095"/>
    <w:rsid w:val="00A44D07"/>
    <w:rsid w:val="00A67407"/>
    <w:rsid w:val="00A70D65"/>
    <w:rsid w:val="00A93274"/>
    <w:rsid w:val="00A96179"/>
    <w:rsid w:val="00AA5E73"/>
    <w:rsid w:val="00AB5FB5"/>
    <w:rsid w:val="00AC24CD"/>
    <w:rsid w:val="00AD19C0"/>
    <w:rsid w:val="00B05731"/>
    <w:rsid w:val="00B109CF"/>
    <w:rsid w:val="00B2436C"/>
    <w:rsid w:val="00B564D1"/>
    <w:rsid w:val="00B72F63"/>
    <w:rsid w:val="00B843C8"/>
    <w:rsid w:val="00B92D97"/>
    <w:rsid w:val="00B979FD"/>
    <w:rsid w:val="00BA49D0"/>
    <w:rsid w:val="00BB3313"/>
    <w:rsid w:val="00BC157F"/>
    <w:rsid w:val="00BC2FE2"/>
    <w:rsid w:val="00BC7B70"/>
    <w:rsid w:val="00BD58DC"/>
    <w:rsid w:val="00BE3ED0"/>
    <w:rsid w:val="00BF6D59"/>
    <w:rsid w:val="00C37441"/>
    <w:rsid w:val="00C4241B"/>
    <w:rsid w:val="00C50209"/>
    <w:rsid w:val="00C626AA"/>
    <w:rsid w:val="00C64891"/>
    <w:rsid w:val="00C66AF6"/>
    <w:rsid w:val="00C72581"/>
    <w:rsid w:val="00C7320A"/>
    <w:rsid w:val="00C7783C"/>
    <w:rsid w:val="00CC6887"/>
    <w:rsid w:val="00CC6F5B"/>
    <w:rsid w:val="00CE2CAD"/>
    <w:rsid w:val="00CE4F19"/>
    <w:rsid w:val="00CF67D9"/>
    <w:rsid w:val="00CF6C6B"/>
    <w:rsid w:val="00D13A38"/>
    <w:rsid w:val="00D17CCA"/>
    <w:rsid w:val="00D22772"/>
    <w:rsid w:val="00D25215"/>
    <w:rsid w:val="00D30D38"/>
    <w:rsid w:val="00D47338"/>
    <w:rsid w:val="00D50524"/>
    <w:rsid w:val="00D567F9"/>
    <w:rsid w:val="00D6100B"/>
    <w:rsid w:val="00D63619"/>
    <w:rsid w:val="00D6484D"/>
    <w:rsid w:val="00D76180"/>
    <w:rsid w:val="00D86F4B"/>
    <w:rsid w:val="00D960C6"/>
    <w:rsid w:val="00DA1678"/>
    <w:rsid w:val="00DA391F"/>
    <w:rsid w:val="00DE5772"/>
    <w:rsid w:val="00DF1A52"/>
    <w:rsid w:val="00E007D9"/>
    <w:rsid w:val="00E023F8"/>
    <w:rsid w:val="00E2773E"/>
    <w:rsid w:val="00E35278"/>
    <w:rsid w:val="00E53386"/>
    <w:rsid w:val="00E54491"/>
    <w:rsid w:val="00E5569F"/>
    <w:rsid w:val="00E60B59"/>
    <w:rsid w:val="00E623A5"/>
    <w:rsid w:val="00E63E0A"/>
    <w:rsid w:val="00E91E07"/>
    <w:rsid w:val="00E921D0"/>
    <w:rsid w:val="00ED1DF9"/>
    <w:rsid w:val="00ED444E"/>
    <w:rsid w:val="00EE54EC"/>
    <w:rsid w:val="00F1006A"/>
    <w:rsid w:val="00F47468"/>
    <w:rsid w:val="00F53489"/>
    <w:rsid w:val="00F60DFC"/>
    <w:rsid w:val="00F673B8"/>
    <w:rsid w:val="00F751EF"/>
    <w:rsid w:val="00F80B47"/>
    <w:rsid w:val="00F87267"/>
    <w:rsid w:val="00FB0219"/>
    <w:rsid w:val="00FB4C7F"/>
    <w:rsid w:val="00FE7853"/>
    <w:rsid w:val="00FF0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45E34"/>
  <w15:chartTrackingRefBased/>
  <w15:docId w15:val="{6A135B10-D889-4E26-A629-6871ABCB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DA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02F"/>
    <w:pPr>
      <w:tabs>
        <w:tab w:val="center" w:pos="4680"/>
        <w:tab w:val="right" w:pos="9360"/>
      </w:tabs>
    </w:pPr>
  </w:style>
  <w:style w:type="character" w:customStyle="1" w:styleId="HeaderChar">
    <w:name w:val="Header Char"/>
    <w:basedOn w:val="DefaultParagraphFont"/>
    <w:link w:val="Header"/>
    <w:uiPriority w:val="99"/>
    <w:rsid w:val="008C402F"/>
  </w:style>
  <w:style w:type="paragraph" w:styleId="Footer">
    <w:name w:val="footer"/>
    <w:basedOn w:val="Normal"/>
    <w:link w:val="FooterChar"/>
    <w:uiPriority w:val="99"/>
    <w:unhideWhenUsed/>
    <w:rsid w:val="008C402F"/>
    <w:pPr>
      <w:tabs>
        <w:tab w:val="center" w:pos="4680"/>
        <w:tab w:val="right" w:pos="9360"/>
      </w:tabs>
    </w:pPr>
  </w:style>
  <w:style w:type="character" w:customStyle="1" w:styleId="FooterChar">
    <w:name w:val="Footer Char"/>
    <w:basedOn w:val="DefaultParagraphFont"/>
    <w:link w:val="Footer"/>
    <w:uiPriority w:val="99"/>
    <w:rsid w:val="008C402F"/>
  </w:style>
  <w:style w:type="paragraph" w:styleId="ListParagraph">
    <w:name w:val="List Paragraph"/>
    <w:basedOn w:val="Normal"/>
    <w:uiPriority w:val="34"/>
    <w:qFormat/>
    <w:rsid w:val="00D17CCA"/>
    <w:pPr>
      <w:spacing w:after="200" w:line="276" w:lineRule="auto"/>
      <w:ind w:left="720"/>
      <w:contextualSpacing/>
    </w:pPr>
    <w:rPr>
      <w:sz w:val="22"/>
      <w:szCs w:val="22"/>
    </w:rPr>
  </w:style>
  <w:style w:type="paragraph" w:styleId="FootnoteText">
    <w:name w:val="footnote text"/>
    <w:basedOn w:val="Normal"/>
    <w:link w:val="FootnoteTextChar"/>
    <w:uiPriority w:val="99"/>
    <w:unhideWhenUsed/>
    <w:rsid w:val="00D17CCA"/>
    <w:rPr>
      <w:sz w:val="20"/>
      <w:szCs w:val="20"/>
    </w:rPr>
  </w:style>
  <w:style w:type="character" w:customStyle="1" w:styleId="FootnoteTextChar">
    <w:name w:val="Footnote Text Char"/>
    <w:basedOn w:val="DefaultParagraphFont"/>
    <w:link w:val="FootnoteText"/>
    <w:uiPriority w:val="99"/>
    <w:rsid w:val="00D17CCA"/>
    <w:rPr>
      <w:sz w:val="20"/>
      <w:szCs w:val="20"/>
    </w:rPr>
  </w:style>
  <w:style w:type="character" w:styleId="FootnoteReference">
    <w:name w:val="footnote reference"/>
    <w:basedOn w:val="DefaultParagraphFont"/>
    <w:uiPriority w:val="99"/>
    <w:semiHidden/>
    <w:unhideWhenUsed/>
    <w:rsid w:val="00D17CCA"/>
    <w:rPr>
      <w:vertAlign w:val="superscript"/>
    </w:rPr>
  </w:style>
  <w:style w:type="paragraph" w:styleId="NormalWeb">
    <w:name w:val="Normal (Web)"/>
    <w:basedOn w:val="Normal"/>
    <w:uiPriority w:val="99"/>
    <w:semiHidden/>
    <w:unhideWhenUsed/>
    <w:rsid w:val="00E5569F"/>
    <w:rPr>
      <w:rFonts w:ascii="Times New Roman" w:hAnsi="Times New Roman" w:cs="Times New Roman"/>
    </w:rPr>
  </w:style>
  <w:style w:type="character" w:customStyle="1" w:styleId="Hyperlink1">
    <w:name w:val="Hyperlink1"/>
    <w:basedOn w:val="DefaultParagraphFont"/>
    <w:uiPriority w:val="99"/>
    <w:unhideWhenUsed/>
    <w:rsid w:val="00E5569F"/>
    <w:rPr>
      <w:color w:val="0000FF"/>
      <w:u w:val="single"/>
    </w:rPr>
  </w:style>
  <w:style w:type="character" w:styleId="Hyperlink">
    <w:name w:val="Hyperlink"/>
    <w:basedOn w:val="DefaultParagraphFont"/>
    <w:uiPriority w:val="99"/>
    <w:semiHidden/>
    <w:unhideWhenUsed/>
    <w:rsid w:val="00E5569F"/>
    <w:rPr>
      <w:color w:val="0563C1" w:themeColor="hyperlink"/>
      <w:u w:val="single"/>
    </w:rPr>
  </w:style>
  <w:style w:type="table" w:styleId="TableGrid">
    <w:name w:val="Table Grid"/>
    <w:basedOn w:val="TableNormal"/>
    <w:uiPriority w:val="59"/>
    <w:rsid w:val="00BC7B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1DA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115AE"/>
    <w:rPr>
      <w:sz w:val="16"/>
      <w:szCs w:val="16"/>
    </w:rPr>
  </w:style>
  <w:style w:type="paragraph" w:styleId="CommentText">
    <w:name w:val="annotation text"/>
    <w:basedOn w:val="Normal"/>
    <w:link w:val="CommentTextChar"/>
    <w:uiPriority w:val="99"/>
    <w:semiHidden/>
    <w:unhideWhenUsed/>
    <w:rsid w:val="003115AE"/>
    <w:rPr>
      <w:sz w:val="20"/>
      <w:szCs w:val="20"/>
    </w:rPr>
  </w:style>
  <w:style w:type="character" w:customStyle="1" w:styleId="CommentTextChar">
    <w:name w:val="Comment Text Char"/>
    <w:basedOn w:val="DefaultParagraphFont"/>
    <w:link w:val="CommentText"/>
    <w:uiPriority w:val="99"/>
    <w:semiHidden/>
    <w:rsid w:val="003115AE"/>
    <w:rPr>
      <w:sz w:val="20"/>
      <w:szCs w:val="20"/>
    </w:rPr>
  </w:style>
  <w:style w:type="paragraph" w:styleId="CommentSubject">
    <w:name w:val="annotation subject"/>
    <w:basedOn w:val="CommentText"/>
    <w:next w:val="CommentText"/>
    <w:link w:val="CommentSubjectChar"/>
    <w:uiPriority w:val="99"/>
    <w:semiHidden/>
    <w:unhideWhenUsed/>
    <w:rsid w:val="003115AE"/>
    <w:rPr>
      <w:b/>
      <w:bCs/>
    </w:rPr>
  </w:style>
  <w:style w:type="character" w:customStyle="1" w:styleId="CommentSubjectChar">
    <w:name w:val="Comment Subject Char"/>
    <w:basedOn w:val="CommentTextChar"/>
    <w:link w:val="CommentSubject"/>
    <w:uiPriority w:val="99"/>
    <w:semiHidden/>
    <w:rsid w:val="003115AE"/>
    <w:rPr>
      <w:b/>
      <w:bCs/>
      <w:sz w:val="20"/>
      <w:szCs w:val="20"/>
    </w:rPr>
  </w:style>
  <w:style w:type="paragraph" w:styleId="Revision">
    <w:name w:val="Revision"/>
    <w:hidden/>
    <w:uiPriority w:val="99"/>
    <w:semiHidden/>
    <w:rsid w:val="0001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57C7F99EA76499FF8AD2BEA6863B2" ma:contentTypeVersion="10" ma:contentTypeDescription="Create a new document." ma:contentTypeScope="" ma:versionID="f0d6083ee5b83657752b3cfaaaebc220">
  <xsd:schema xmlns:xsd="http://www.w3.org/2001/XMLSchema" xmlns:xs="http://www.w3.org/2001/XMLSchema" xmlns:p="http://schemas.microsoft.com/office/2006/metadata/properties" xmlns:ns2="6bdb3a68-c04c-4b91-acdc-d841ad1ce4ce" targetNamespace="http://schemas.microsoft.com/office/2006/metadata/properties" ma:root="true" ma:fieldsID="1c50b5a9ae66c499426c049971c89eb0" ns2:_="">
    <xsd:import namespace="6bdb3a68-c04c-4b91-acdc-d841ad1ce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b3a68-c04c-4b91-acdc-d841ad1ce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37676-8594-4464-AC27-9111AD9F4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b3a68-c04c-4b91-acdc-d841ad1ce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9FB3F-5527-4044-8F06-54D7CD56F59D}">
  <ds:schemaRefs>
    <ds:schemaRef ds:uri="http://schemas.microsoft.com/sharepoint/v3/contenttype/forms"/>
  </ds:schemaRefs>
</ds:datastoreItem>
</file>

<file path=customXml/itemProps3.xml><?xml version="1.0" encoding="utf-8"?>
<ds:datastoreItem xmlns:ds="http://schemas.openxmlformats.org/officeDocument/2006/customXml" ds:itemID="{4A280693-9F9C-4BF2-83B6-75574A0C29E1}">
  <ds:schemaRefs>
    <ds:schemaRef ds:uri="6bdb3a68-c04c-4b91-acdc-d841ad1ce4c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1C8D5E82-D671-4E75-97D4-1153A2AE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dc:creator>
  <cp:keywords/>
  <dc:description/>
  <cp:lastModifiedBy>Brandenburg, Aaron</cp:lastModifiedBy>
  <cp:revision>4</cp:revision>
  <dcterms:created xsi:type="dcterms:W3CDTF">2021-10-19T21:47:00Z</dcterms:created>
  <dcterms:modified xsi:type="dcterms:W3CDTF">2021-10-20T18:00:00Z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0x0101006E757C7F99EA76499FF8AD2BEA6863B2</vt:lpwstr>
  </property>
</Properties>
</file>