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1F7A" w14:textId="4CF0B239" w:rsidR="00EB72E6" w:rsidRPr="00346120" w:rsidRDefault="00EB72E6" w:rsidP="00EB72E6">
      <w:pPr>
        <w:jc w:val="center"/>
        <w:rPr>
          <w:b/>
          <w:u w:val="single"/>
        </w:rPr>
      </w:pPr>
      <w:commentRangeStart w:id="0"/>
      <w:r w:rsidRPr="00346120">
        <w:rPr>
          <w:b/>
          <w:u w:val="single"/>
        </w:rPr>
        <w:t>VM</w:t>
      </w:r>
      <w:r>
        <w:rPr>
          <w:b/>
          <w:u w:val="single"/>
        </w:rPr>
        <w:t>-</w:t>
      </w:r>
      <w:r w:rsidRPr="00346120">
        <w:rPr>
          <w:b/>
          <w:u w:val="single"/>
        </w:rPr>
        <w:t>2</w:t>
      </w:r>
      <w:r w:rsidR="000F7D60">
        <w:rPr>
          <w:b/>
          <w:u w:val="single"/>
        </w:rPr>
        <w:t>1</w:t>
      </w:r>
      <w:r>
        <w:rPr>
          <w:b/>
          <w:u w:val="single"/>
        </w:rPr>
        <w:t xml:space="preserve"> RESERVES</w:t>
      </w:r>
      <w:r w:rsidRPr="00346120">
        <w:rPr>
          <w:b/>
          <w:u w:val="single"/>
        </w:rPr>
        <w:t xml:space="preserve"> SUPPLEMENT</w:t>
      </w:r>
      <w:commentRangeEnd w:id="0"/>
      <w:r w:rsidR="00B9178F">
        <w:rPr>
          <w:rStyle w:val="CommentReference"/>
        </w:rPr>
        <w:commentReference w:id="0"/>
      </w:r>
    </w:p>
    <w:p w14:paraId="79D02ED5" w14:textId="77777777" w:rsidR="00EB72E6" w:rsidRPr="00D37433" w:rsidRDefault="00EB72E6" w:rsidP="00EB72E6"/>
    <w:p w14:paraId="42A1A554" w14:textId="1ADF66A4" w:rsidR="00EB72E6" w:rsidRPr="00346120" w:rsidRDefault="00763F29" w:rsidP="00EB72E6">
      <w:pPr>
        <w:jc w:val="center"/>
        <w:rPr>
          <w:b/>
          <w:u w:val="single"/>
        </w:rPr>
      </w:pPr>
      <w:commentRangeStart w:id="1"/>
      <w:r w:rsidRPr="00F0603E">
        <w:rPr>
          <w:b/>
          <w:bCs/>
          <w:u w:val="single"/>
        </w:rPr>
        <w:t>Variable Annuity</w:t>
      </w:r>
      <w:r w:rsidRPr="00F0603E">
        <w:rPr>
          <w:u w:val="single"/>
        </w:rPr>
        <w:t xml:space="preserve"> </w:t>
      </w:r>
      <w:r w:rsidR="00EB72E6">
        <w:rPr>
          <w:b/>
          <w:u w:val="single"/>
        </w:rPr>
        <w:t>Reserves</w:t>
      </w:r>
      <w:r w:rsidR="00EB72E6" w:rsidRPr="00FC3234">
        <w:rPr>
          <w:b/>
          <w:u w:val="single"/>
        </w:rPr>
        <w:t xml:space="preserve"> </w:t>
      </w:r>
      <w:r w:rsidR="00EB72E6">
        <w:rPr>
          <w:b/>
          <w:u w:val="single"/>
        </w:rPr>
        <w:t>Valued According to VM-2</w:t>
      </w:r>
      <w:r w:rsidR="000F7D60">
        <w:rPr>
          <w:b/>
          <w:u w:val="single"/>
        </w:rPr>
        <w:t>1 or AG 43</w:t>
      </w:r>
      <w:r w:rsidR="00EB72E6">
        <w:rPr>
          <w:b/>
          <w:u w:val="single"/>
        </w:rPr>
        <w:t xml:space="preserve"> by Product Type</w:t>
      </w:r>
      <w:commentRangeEnd w:id="1"/>
      <w:r w:rsidR="009773EB">
        <w:rPr>
          <w:rStyle w:val="CommentReference"/>
        </w:rPr>
        <w:commentReference w:id="1"/>
      </w:r>
    </w:p>
    <w:p w14:paraId="4E505C69" w14:textId="77777777" w:rsidR="00EB72E6" w:rsidRPr="005B786A" w:rsidRDefault="00EB72E6" w:rsidP="00811993">
      <w:pPr>
        <w:rPr>
          <w:bCs/>
          <w:u w:val="single"/>
        </w:rPr>
      </w:pPr>
    </w:p>
    <w:p w14:paraId="7BF5FA43" w14:textId="1512C139" w:rsidR="00EB72E6" w:rsidRDefault="00EB72E6" w:rsidP="00262AF0">
      <w:r w:rsidRPr="0077052E">
        <w:t xml:space="preserve">This </w:t>
      </w:r>
      <w:r>
        <w:t>S</w:t>
      </w:r>
      <w:r w:rsidRPr="0077052E">
        <w:t>upplement provides information on the reserves required to be calculated by Section VM-2</w:t>
      </w:r>
      <w:r w:rsidR="000F7D60">
        <w:t>1</w:t>
      </w:r>
      <w:r w:rsidR="00B9178F">
        <w:t xml:space="preserve"> of the </w:t>
      </w:r>
      <w:r w:rsidR="00B9178F">
        <w:rPr>
          <w:i/>
          <w:iCs/>
        </w:rPr>
        <w:t>V</w:t>
      </w:r>
      <w:r w:rsidR="00B9178F" w:rsidRPr="00B9178F">
        <w:rPr>
          <w:i/>
          <w:iCs/>
        </w:rPr>
        <w:t>aluation Manual</w:t>
      </w:r>
      <w:r w:rsidR="00B9178F">
        <w:t xml:space="preserve"> (VM-21)</w:t>
      </w:r>
      <w:r w:rsidR="000F7D60">
        <w:t xml:space="preserve"> or AG 43</w:t>
      </w:r>
      <w:r w:rsidRPr="0077052E">
        <w:t xml:space="preserve">. </w:t>
      </w:r>
      <w:r w:rsidR="002E5D64">
        <w:t>Business</w:t>
      </w:r>
      <w:r w:rsidRPr="0077052E">
        <w:t xml:space="preserve"> valued by the requirements of VM-2</w:t>
      </w:r>
      <w:r w:rsidR="000F7D60">
        <w:t>1 or AG 43</w:t>
      </w:r>
      <w:r w:rsidRPr="0077052E">
        <w:t xml:space="preserve"> should be reported in Part</w:t>
      </w:r>
      <w:r>
        <w:t xml:space="preserve"> </w:t>
      </w:r>
      <w:r w:rsidR="000F7D60">
        <w:t>3</w:t>
      </w:r>
      <w:r>
        <w:t xml:space="preserve">A and Part </w:t>
      </w:r>
      <w:r w:rsidR="000F7D60">
        <w:t>3</w:t>
      </w:r>
      <w:r>
        <w:t>B</w:t>
      </w:r>
      <w:r w:rsidRPr="0077052E">
        <w:t>.</w:t>
      </w:r>
      <w:r>
        <w:t xml:space="preserve"> </w:t>
      </w:r>
      <w:r w:rsidR="000F7D60" w:rsidRPr="0077052E">
        <w:t>Part</w:t>
      </w:r>
      <w:r w:rsidR="000F7D60">
        <w:t xml:space="preserve"> 3A and Part 3B </w:t>
      </w:r>
      <w:r>
        <w:t>are</w:t>
      </w:r>
      <w:r w:rsidRPr="0077052E">
        <w:t xml:space="preserve"> intended to aid regulators in the analysis of reserves</w:t>
      </w:r>
      <w:r w:rsidR="00B9178F">
        <w:t xml:space="preserve"> broken down into various benefit categories</w:t>
      </w:r>
      <w:r w:rsidRPr="0077052E">
        <w:t xml:space="preserve"> for both the prior and current year.</w:t>
      </w:r>
    </w:p>
    <w:p w14:paraId="268EDF8B" w14:textId="77777777" w:rsidR="00EB72E6" w:rsidRDefault="00EB72E6" w:rsidP="00EB72E6"/>
    <w:p w14:paraId="01A98152" w14:textId="77777777" w:rsidR="00F5143E" w:rsidRDefault="00F5143E" w:rsidP="00EB72E6"/>
    <w:p w14:paraId="5ED2CAE7" w14:textId="2DFA3784" w:rsidR="00EB72E6" w:rsidRPr="00346120" w:rsidRDefault="00EB72E6" w:rsidP="00EB72E6">
      <w:pPr>
        <w:jc w:val="center"/>
        <w:rPr>
          <w:b/>
          <w:u w:val="single"/>
        </w:rPr>
      </w:pPr>
      <w:r w:rsidRPr="00346120">
        <w:rPr>
          <w:b/>
          <w:u w:val="single"/>
        </w:rPr>
        <w:t>VM</w:t>
      </w:r>
      <w:r>
        <w:rPr>
          <w:b/>
          <w:u w:val="single"/>
        </w:rPr>
        <w:t>-</w:t>
      </w:r>
      <w:r w:rsidRPr="00346120">
        <w:rPr>
          <w:b/>
          <w:u w:val="single"/>
        </w:rPr>
        <w:t>2</w:t>
      </w:r>
      <w:r w:rsidR="00A24A96">
        <w:rPr>
          <w:b/>
          <w:u w:val="single"/>
        </w:rPr>
        <w:t xml:space="preserve">1 </w:t>
      </w:r>
      <w:r>
        <w:rPr>
          <w:b/>
          <w:u w:val="single"/>
        </w:rPr>
        <w:t>RESERVES</w:t>
      </w:r>
      <w:r w:rsidRPr="00346120">
        <w:rPr>
          <w:b/>
          <w:u w:val="single"/>
        </w:rPr>
        <w:t xml:space="preserve"> SUPPLEMENT </w:t>
      </w:r>
      <w:r>
        <w:rPr>
          <w:b/>
          <w:u w:val="single"/>
        </w:rPr>
        <w:t xml:space="preserve">– PART </w:t>
      </w:r>
      <w:r w:rsidR="00BF4410">
        <w:rPr>
          <w:b/>
          <w:u w:val="single"/>
        </w:rPr>
        <w:t>3</w:t>
      </w:r>
      <w:r>
        <w:rPr>
          <w:b/>
          <w:u w:val="single"/>
        </w:rPr>
        <w:t>A</w:t>
      </w:r>
    </w:p>
    <w:p w14:paraId="57BEFA63" w14:textId="77777777" w:rsidR="00EB72E6" w:rsidRPr="00D37433" w:rsidRDefault="00EB72E6" w:rsidP="00EB72E6"/>
    <w:p w14:paraId="549879DC" w14:textId="39314604" w:rsidR="00EB72E6" w:rsidRPr="00346120" w:rsidRDefault="00B4637C" w:rsidP="00EB72E6">
      <w:pPr>
        <w:jc w:val="center"/>
        <w:rPr>
          <w:b/>
          <w:u w:val="single"/>
        </w:rPr>
      </w:pPr>
      <w:r w:rsidRPr="00F0603E">
        <w:rPr>
          <w:b/>
          <w:bCs/>
          <w:u w:val="single"/>
        </w:rPr>
        <w:t>Variable Annuity</w:t>
      </w:r>
      <w:r w:rsidR="00EB72E6">
        <w:rPr>
          <w:b/>
          <w:u w:val="single"/>
        </w:rPr>
        <w:t xml:space="preserve"> Reserves</w:t>
      </w:r>
      <w:r w:rsidR="00EB72E6" w:rsidRPr="00FC3234">
        <w:rPr>
          <w:b/>
          <w:u w:val="single"/>
        </w:rPr>
        <w:t xml:space="preserve"> </w:t>
      </w:r>
      <w:r w:rsidR="00EB72E6">
        <w:rPr>
          <w:b/>
          <w:u w:val="single"/>
        </w:rPr>
        <w:t>Valued According to VM-2</w:t>
      </w:r>
      <w:r w:rsidR="00A24A96">
        <w:rPr>
          <w:b/>
          <w:u w:val="single"/>
        </w:rPr>
        <w:t>1</w:t>
      </w:r>
      <w:r w:rsidR="00EB72E6">
        <w:rPr>
          <w:b/>
          <w:u w:val="single"/>
        </w:rPr>
        <w:t xml:space="preserve"> by Product Type</w:t>
      </w:r>
    </w:p>
    <w:p w14:paraId="7887DB37" w14:textId="4DCD86AE" w:rsidR="00EB72E6" w:rsidRDefault="00EB72E6" w:rsidP="00EB72E6"/>
    <w:p w14:paraId="2A649BB2" w14:textId="45AD4AB7" w:rsidR="00B9178F" w:rsidRDefault="00EB72E6" w:rsidP="00EB72E6">
      <w:r w:rsidRPr="0077052E">
        <w:t xml:space="preserve">Part </w:t>
      </w:r>
      <w:r w:rsidR="00BF4410">
        <w:t>3</w:t>
      </w:r>
      <w:r>
        <w:t>A</w:t>
      </w:r>
      <w:r w:rsidRPr="0077052E">
        <w:t xml:space="preserve"> of this Supplement breaks out, by product type, the prior year and current year reported reserves on a Post-Reinsurance-Ceded</w:t>
      </w:r>
      <w:r w:rsidR="00B9178F">
        <w:t xml:space="preserve"> basis as defined in Section 3</w:t>
      </w:r>
      <w:r w:rsidRPr="0077052E">
        <w:t xml:space="preserve"> </w:t>
      </w:r>
      <w:r w:rsidR="00B9178F" w:rsidRPr="00BF4410">
        <w:t>of VM-21</w:t>
      </w:r>
      <w:r w:rsidR="00B9178F" w:rsidRPr="0077052E">
        <w:t xml:space="preserve"> </w:t>
      </w:r>
      <w:r w:rsidRPr="0077052E">
        <w:t xml:space="preserve">and </w:t>
      </w:r>
      <w:r w:rsidR="00B9178F">
        <w:t xml:space="preserve">a </w:t>
      </w:r>
      <w:r w:rsidRPr="0077052E">
        <w:t xml:space="preserve">Pre-Reinsurance-Ceded basis as </w:t>
      </w:r>
      <w:r w:rsidRPr="00BF4410">
        <w:t xml:space="preserve">defined in Section </w:t>
      </w:r>
      <w:r w:rsidR="005751E2" w:rsidRPr="00BF4410">
        <w:t>5</w:t>
      </w:r>
      <w:r w:rsidRPr="00BE4231">
        <w:t>.</w:t>
      </w:r>
      <w:r w:rsidR="00765D23">
        <w:t xml:space="preserve"> </w:t>
      </w:r>
    </w:p>
    <w:p w14:paraId="0EF1B536" w14:textId="79B3617A" w:rsidR="00EB72E6" w:rsidRPr="0077052E" w:rsidRDefault="00EB72E6" w:rsidP="00B9178F"/>
    <w:p w14:paraId="3F39DCA3" w14:textId="0335F55B" w:rsidR="00EB72E6" w:rsidRDefault="00EB72E6" w:rsidP="00EB72E6">
      <w:pPr>
        <w:rPr>
          <w:rFonts w:cs="Arial"/>
        </w:rPr>
      </w:pPr>
      <w:r w:rsidRPr="00823EA8">
        <w:rPr>
          <w:rFonts w:cs="Arial"/>
        </w:rPr>
        <w:t xml:space="preserve">Section </w:t>
      </w:r>
      <w:r w:rsidR="00B9178F">
        <w:rPr>
          <w:rFonts w:cs="Arial"/>
        </w:rPr>
        <w:t xml:space="preserve">3 of </w:t>
      </w:r>
      <w:r w:rsidRPr="00823EA8">
        <w:rPr>
          <w:rFonts w:cs="Arial"/>
        </w:rPr>
        <w:t>VM-2</w:t>
      </w:r>
      <w:r w:rsidR="00BF4410">
        <w:rPr>
          <w:rFonts w:cs="Arial"/>
        </w:rPr>
        <w:t>1</w:t>
      </w:r>
      <w:r w:rsidRPr="00823EA8">
        <w:rPr>
          <w:rFonts w:cs="Arial"/>
        </w:rPr>
        <w:t xml:space="preserve"> requires that the Post-Reinsurance-Ceded Reserve be determined </w:t>
      </w:r>
      <w:r w:rsidR="00B9178F">
        <w:rPr>
          <w:rFonts w:cs="Arial"/>
        </w:rPr>
        <w:t>in aggregate</w:t>
      </w:r>
      <w:r w:rsidR="002E2F3D">
        <w:rPr>
          <w:rFonts w:cs="Arial"/>
        </w:rPr>
        <w:t>.</w:t>
      </w:r>
      <w:r w:rsidR="005263AE">
        <w:rPr>
          <w:rFonts w:cs="Arial"/>
        </w:rPr>
        <w:t xml:space="preserve"> </w:t>
      </w:r>
      <w:r w:rsidRPr="00823EA8">
        <w:rPr>
          <w:rFonts w:cs="Arial"/>
        </w:rPr>
        <w:t xml:space="preserve">Each of the products reported in </w:t>
      </w:r>
      <w:r w:rsidR="00E11B09">
        <w:rPr>
          <w:rFonts w:cs="Arial"/>
        </w:rPr>
        <w:t xml:space="preserve">the lines </w:t>
      </w:r>
      <w:r w:rsidRPr="00823EA8">
        <w:rPr>
          <w:rFonts w:cs="Arial"/>
        </w:rPr>
        <w:t>should be determined as the sum of the policy reserves using the policy reserves determined following the allocation process of VM-2</w:t>
      </w:r>
      <w:r w:rsidR="00C6355D">
        <w:rPr>
          <w:rFonts w:cs="Arial"/>
        </w:rPr>
        <w:t>1</w:t>
      </w:r>
      <w:r w:rsidRPr="00823EA8">
        <w:rPr>
          <w:rFonts w:cs="Arial"/>
        </w:rPr>
        <w:t xml:space="preserve"> Section </w:t>
      </w:r>
      <w:r w:rsidR="00C6355D">
        <w:rPr>
          <w:rFonts w:cs="Arial"/>
        </w:rPr>
        <w:t>1</w:t>
      </w:r>
      <w:r w:rsidR="00DB2D09">
        <w:rPr>
          <w:rFonts w:cs="Arial"/>
        </w:rPr>
        <w:t>3</w:t>
      </w:r>
      <w:r w:rsidRPr="00823EA8">
        <w:rPr>
          <w:rFonts w:cs="Arial"/>
        </w:rPr>
        <w:t xml:space="preserve">. A similar process should be used for each of the </w:t>
      </w:r>
      <w:r w:rsidR="00BD5409">
        <w:rPr>
          <w:rFonts w:cs="Arial"/>
        </w:rPr>
        <w:t>P</w:t>
      </w:r>
      <w:r w:rsidRPr="00823EA8">
        <w:rPr>
          <w:rFonts w:cs="Arial"/>
        </w:rPr>
        <w:t>re-</w:t>
      </w:r>
      <w:r w:rsidR="00BD5409">
        <w:rPr>
          <w:rFonts w:cs="Arial"/>
        </w:rPr>
        <w:t>R</w:t>
      </w:r>
      <w:r w:rsidRPr="00823EA8">
        <w:rPr>
          <w:rFonts w:cs="Arial"/>
        </w:rPr>
        <w:t>einsurance-</w:t>
      </w:r>
      <w:r w:rsidR="00BD5409">
        <w:rPr>
          <w:rFonts w:cs="Arial"/>
        </w:rPr>
        <w:t>C</w:t>
      </w:r>
      <w:r w:rsidRPr="00823EA8">
        <w:rPr>
          <w:rFonts w:cs="Arial"/>
        </w:rPr>
        <w:t xml:space="preserve">eded </w:t>
      </w:r>
      <w:r w:rsidR="00BD5409">
        <w:rPr>
          <w:rFonts w:cs="Arial"/>
        </w:rPr>
        <w:t>R</w:t>
      </w:r>
      <w:r w:rsidR="00BD5409" w:rsidRPr="00823EA8">
        <w:rPr>
          <w:rFonts w:cs="Arial"/>
        </w:rPr>
        <w:t>eserves</w:t>
      </w:r>
      <w:r w:rsidRPr="00823EA8">
        <w:rPr>
          <w:rFonts w:cs="Arial"/>
        </w:rPr>
        <w:t>.</w:t>
      </w:r>
      <w:r w:rsidR="00277526">
        <w:rPr>
          <w:rFonts w:cs="Arial"/>
        </w:rPr>
        <w:t xml:space="preserve"> </w:t>
      </w:r>
    </w:p>
    <w:p w14:paraId="7CE9D531" w14:textId="77777777" w:rsidR="00823EA8" w:rsidRPr="00C5532E" w:rsidRDefault="00823EA8" w:rsidP="00823EA8"/>
    <w:p w14:paraId="31A4A2D3" w14:textId="156749FD" w:rsidR="00811993" w:rsidRPr="0077052E" w:rsidRDefault="00811993" w:rsidP="00811993">
      <w:pPr>
        <w:tabs>
          <w:tab w:val="left" w:pos="1980"/>
        </w:tabs>
        <w:ind w:left="1620" w:hanging="1620"/>
      </w:pPr>
      <w:r w:rsidRPr="0077052E">
        <w:t>Column</w:t>
      </w:r>
      <w:r>
        <w:t>s</w:t>
      </w:r>
      <w:r w:rsidRPr="0077052E">
        <w:t xml:space="preserve"> 1</w:t>
      </w:r>
      <w:r>
        <w:t xml:space="preserve"> </w:t>
      </w:r>
      <w:r w:rsidRPr="0077052E">
        <w:t>&amp; 2</w:t>
      </w:r>
      <w:r w:rsidRPr="0077052E">
        <w:tab/>
        <w:t>–</w:t>
      </w:r>
      <w:r w:rsidRPr="0077052E">
        <w:tab/>
        <w:t>Reported Reserve</w:t>
      </w:r>
      <w:r w:rsidR="006C4D26">
        <w:t>s in Excess of Cash Surrender Value</w:t>
      </w:r>
      <w:r w:rsidR="00353AE4">
        <w:t xml:space="preserve"> (CSV)</w:t>
      </w:r>
    </w:p>
    <w:p w14:paraId="14075365" w14:textId="77777777" w:rsidR="00811993" w:rsidRPr="000E23EE" w:rsidRDefault="00811993" w:rsidP="00811993"/>
    <w:p w14:paraId="7816FBE4" w14:textId="629B47E8" w:rsidR="00811993" w:rsidRDefault="00811993" w:rsidP="00811993">
      <w:pPr>
        <w:ind w:left="1980"/>
      </w:pPr>
      <w:r w:rsidRPr="00C5532E">
        <w:t>Provide the reported reserve</w:t>
      </w:r>
      <w:r w:rsidR="00CC626A">
        <w:t xml:space="preserve"> </w:t>
      </w:r>
      <w:proofErr w:type="gramStart"/>
      <w:r w:rsidR="009676CA">
        <w:t>in excess of</w:t>
      </w:r>
      <w:proofErr w:type="gramEnd"/>
      <w:r w:rsidR="009676CA">
        <w:t xml:space="preserve"> the CSV</w:t>
      </w:r>
      <w:r>
        <w:t>,</w:t>
      </w:r>
      <w:r w:rsidRPr="00C5532E">
        <w:t xml:space="preserve"> </w:t>
      </w:r>
      <w:r w:rsidRPr="0077052E">
        <w:t>for the prior year and current year for each line item. Post-Reinsurance-Ceded</w:t>
      </w:r>
      <w:r w:rsidR="003E582C">
        <w:t xml:space="preserve"> </w:t>
      </w:r>
      <w:r w:rsidR="00BD5409">
        <w:t>R</w:t>
      </w:r>
      <w:r w:rsidR="003E582C">
        <w:t>eserve</w:t>
      </w:r>
      <w:r w:rsidRPr="0077052E">
        <w:t xml:space="preserve"> is net of reinsurance ceded</w:t>
      </w:r>
      <w:r>
        <w:t>.</w:t>
      </w:r>
      <w:r w:rsidRPr="0077052E">
        <w:t xml:space="preserve"> Pre-Reinsurance-Ceded </w:t>
      </w:r>
      <w:r w:rsidR="00BD5409">
        <w:t>R</w:t>
      </w:r>
      <w:r w:rsidR="003E582C">
        <w:t xml:space="preserve">eserve </w:t>
      </w:r>
      <w:r>
        <w:t>should be prior to any reinsurance ceded and include reinsurance assumed</w:t>
      </w:r>
      <w:r w:rsidRPr="0077052E">
        <w:t xml:space="preserve">. Sections </w:t>
      </w:r>
      <w:r w:rsidR="00A2011D">
        <w:t>3</w:t>
      </w:r>
      <w:r w:rsidRPr="0077052E">
        <w:t xml:space="preserve"> and </w:t>
      </w:r>
      <w:r w:rsidR="005751E2">
        <w:t>5</w:t>
      </w:r>
      <w:r w:rsidRPr="0077052E">
        <w:t xml:space="preserve"> </w:t>
      </w:r>
      <w:r w:rsidR="00AB17DC">
        <w:t xml:space="preserve">in VM-21 </w:t>
      </w:r>
      <w:r w:rsidRPr="0077052E">
        <w:t>further describe the required reserve and treatment of reinsurance.</w:t>
      </w:r>
      <w:r w:rsidRPr="00FC3234">
        <w:t xml:space="preserve"> </w:t>
      </w:r>
      <w:r>
        <w:t xml:space="preserve">The reported reserve for the current year should reflect all </w:t>
      </w:r>
      <w:r w:rsidR="00CC6911">
        <w:t xml:space="preserve">contracts </w:t>
      </w:r>
      <w:r>
        <w:t xml:space="preserve">in force as of the end of the current year. The reported reserve for the prior year should reflect all </w:t>
      </w:r>
      <w:r w:rsidR="00CC6911">
        <w:t xml:space="preserve">contracts </w:t>
      </w:r>
      <w:r>
        <w:t>in force as of the end of the prior year.</w:t>
      </w:r>
    </w:p>
    <w:p w14:paraId="558F9FBC" w14:textId="77777777" w:rsidR="00CC6911" w:rsidRDefault="00CC6911" w:rsidP="00811993">
      <w:pPr>
        <w:ind w:left="1980"/>
      </w:pPr>
    </w:p>
    <w:p w14:paraId="3FA0C400" w14:textId="77777777" w:rsidR="00BE4231" w:rsidRPr="0077052E" w:rsidRDefault="00BE4231" w:rsidP="00811993">
      <w:pPr>
        <w:tabs>
          <w:tab w:val="left" w:pos="1980"/>
        </w:tabs>
        <w:ind w:left="1620" w:hanging="1620"/>
      </w:pPr>
    </w:p>
    <w:p w14:paraId="097E5DF2" w14:textId="2271408A" w:rsidR="00FC10F2" w:rsidRPr="00096859" w:rsidRDefault="00FC10F2" w:rsidP="00AC18AA">
      <w:r>
        <w:t xml:space="preserve">For purposes of this supplement, </w:t>
      </w:r>
      <w:r w:rsidRPr="00001623">
        <w:t>a Guaranteed Living Benefit (GLB) is defined</w:t>
      </w:r>
      <w:r w:rsidR="007439C8">
        <w:t xml:space="preserve"> </w:t>
      </w:r>
      <w:r>
        <w:t>in VM-01.</w:t>
      </w:r>
      <w:r w:rsidR="00B11239">
        <w:t xml:space="preserve"> </w:t>
      </w:r>
    </w:p>
    <w:p w14:paraId="4FE6D345" w14:textId="77777777" w:rsidR="00FC10F2" w:rsidRPr="00096859" w:rsidRDefault="00FC10F2" w:rsidP="00AC18AA"/>
    <w:p w14:paraId="28D495A5" w14:textId="66ED47E5" w:rsidR="00FC10F2" w:rsidRDefault="00FC10F2" w:rsidP="00AC18AA">
      <w:r w:rsidRPr="007B0DD7">
        <w:t>Each contract</w:t>
      </w:r>
      <w:r w:rsidR="00927EA1">
        <w:t>/</w:t>
      </w:r>
      <w:r w:rsidRPr="007B0DD7">
        <w:t>certificate shall be included in one and only one line</w:t>
      </w:r>
      <w:r w:rsidR="00C46853">
        <w:t xml:space="preserve"> for each pre-reinsurance-ceded and post-reinsurance ceded</w:t>
      </w:r>
      <w:r w:rsidRPr="007B0DD7">
        <w:t>.</w:t>
      </w:r>
      <w:r w:rsidR="00B33E21">
        <w:t xml:space="preserve"> </w:t>
      </w:r>
    </w:p>
    <w:p w14:paraId="24B7942C" w14:textId="77777777" w:rsidR="00A34FC7" w:rsidRDefault="00A34FC7" w:rsidP="00AC18AA"/>
    <w:p w14:paraId="1BBD3916" w14:textId="296B6634" w:rsidR="00A34FC7" w:rsidRDefault="00A34FC7" w:rsidP="00AC18AA">
      <w:r>
        <w:t xml:space="preserve">For purposes of this supplement, Variable Annuities </w:t>
      </w:r>
      <w:r w:rsidR="00353AE4">
        <w:t xml:space="preserve">(VAs) </w:t>
      </w:r>
      <w:r>
        <w:t xml:space="preserve">Without Guaranteed Living Benefits includes VAs </w:t>
      </w:r>
      <w:r w:rsidR="007A2DE0">
        <w:t>W</w:t>
      </w:r>
      <w:r>
        <w:t xml:space="preserve">ithout </w:t>
      </w:r>
      <w:r w:rsidR="007A2DE0">
        <w:t>L</w:t>
      </w:r>
      <w:r>
        <w:t xml:space="preserve">iving or </w:t>
      </w:r>
      <w:r w:rsidR="007A2DE0">
        <w:t>D</w:t>
      </w:r>
      <w:r>
        <w:t xml:space="preserve">eath </w:t>
      </w:r>
      <w:r w:rsidR="007A2DE0">
        <w:t>B</w:t>
      </w:r>
      <w:r>
        <w:t xml:space="preserve">enefits, as well as VAs with </w:t>
      </w:r>
      <w:r w:rsidR="007A2DE0">
        <w:t>D</w:t>
      </w:r>
      <w:r>
        <w:t xml:space="preserve">eath </w:t>
      </w:r>
      <w:r w:rsidR="007A2DE0">
        <w:t>B</w:t>
      </w:r>
      <w:r>
        <w:t>enefits only.</w:t>
      </w:r>
    </w:p>
    <w:p w14:paraId="1C948EE2" w14:textId="77777777" w:rsidR="00DD519B" w:rsidRDefault="00DD519B" w:rsidP="00AC18AA"/>
    <w:p w14:paraId="42A33B8D" w14:textId="2488191C" w:rsidR="00A76823" w:rsidRPr="00A76823" w:rsidRDefault="00A76823" w:rsidP="00A76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A76823">
        <w:rPr>
          <w:i/>
          <w:iCs/>
        </w:rPr>
        <w:t>Drafting note: Alternate language options for determining Accumulation and Withdrawal Phases:</w:t>
      </w:r>
    </w:p>
    <w:p w14:paraId="13202B79" w14:textId="77777777" w:rsidR="00A76823" w:rsidRDefault="00A76823" w:rsidP="00A76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B490BC" w14:textId="56CD4DF4" w:rsidR="00DD519B" w:rsidRDefault="00A76823" w:rsidP="00A76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Option 1 - </w:t>
      </w:r>
      <w:r w:rsidR="00DD519B">
        <w:t>For purposes of this supplement, the accumulation phase is the period during which the contract owner or certificate holder deposits purchase payments into the deferred annuity</w:t>
      </w:r>
      <w:r w:rsidR="003478D4">
        <w:t>. This phase ends when</w:t>
      </w:r>
      <w:r w:rsidR="00353AE4">
        <w:t xml:space="preserve"> the benefit base </w:t>
      </w:r>
      <w:r w:rsidR="003478D4">
        <w:t>is l</w:t>
      </w:r>
      <w:r w:rsidR="00353AE4">
        <w:t xml:space="preserve">ocked </w:t>
      </w:r>
      <w:r w:rsidR="003478D4">
        <w:t xml:space="preserve">in </w:t>
      </w:r>
      <w:r w:rsidR="00353AE4">
        <w:t>at the start of the withdrawal</w:t>
      </w:r>
      <w:r w:rsidR="003478D4">
        <w:t xml:space="preserve"> phase</w:t>
      </w:r>
      <w:r w:rsidR="00DD519B">
        <w:t xml:space="preserve">.  The withdrawal phase is the period during which the contract owner or certificate holder </w:t>
      </w:r>
      <w:r w:rsidR="003478D4">
        <w:t xml:space="preserve">locks in the benefit base and </w:t>
      </w:r>
      <w:r w:rsidR="00DD519B">
        <w:t>withdraws income from the deferred annuity.</w:t>
      </w:r>
    </w:p>
    <w:p w14:paraId="386959C9" w14:textId="77777777" w:rsidR="00A76823" w:rsidRDefault="00A76823" w:rsidP="00A76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BD5709" w14:textId="708A49A8" w:rsidR="00A76823" w:rsidRDefault="00A76823" w:rsidP="00A76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Option 2 - </w:t>
      </w:r>
      <w:r w:rsidRPr="00A76823">
        <w:t xml:space="preserve">For purposes of this supplement, a policy is in the withdrawal phase if, in the contract year immediately preceding that during the valuation date, it withdrew a non-zero amount not </w:t>
      </w:r>
      <w:proofErr w:type="gramStart"/>
      <w:r w:rsidRPr="00A76823">
        <w:t>in excess of</w:t>
      </w:r>
      <w:proofErr w:type="gramEnd"/>
      <w:r w:rsidRPr="00A76823">
        <w:t xml:space="preserve"> the GMWB’s guaranteed annual withdrawal amount or the GMIB’s dollar-for-dollar maximum withdrawal amount. Otherwise, the policy </w:t>
      </w:r>
      <w:proofErr w:type="gramStart"/>
      <w:r w:rsidRPr="00A76823">
        <w:t>is considered to be</w:t>
      </w:r>
      <w:proofErr w:type="gramEnd"/>
      <w:r w:rsidRPr="00A76823">
        <w:t xml:space="preserve"> in accumulation phase</w:t>
      </w:r>
      <w:r>
        <w:t>.</w:t>
      </w:r>
    </w:p>
    <w:p w14:paraId="2682E64D" w14:textId="77777777" w:rsidR="00A76823" w:rsidRDefault="00A76823" w:rsidP="00A76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DE6BAF" w14:textId="77777777" w:rsidR="00A76823" w:rsidRDefault="00A76823" w:rsidP="00DD519B"/>
    <w:p w14:paraId="74385F7F" w14:textId="77777777" w:rsidR="00DD519B" w:rsidRDefault="00DD519B" w:rsidP="00AC18AA"/>
    <w:p w14:paraId="1B812E64" w14:textId="77777777" w:rsidR="00B33E21" w:rsidRDefault="00B33E21" w:rsidP="00B33E21">
      <w:pPr>
        <w:spacing w:before="120"/>
      </w:pPr>
    </w:p>
    <w:p w14:paraId="7B518C1D" w14:textId="73309AB1" w:rsidR="00F5143E" w:rsidRPr="00831DBE" w:rsidRDefault="00F5143E" w:rsidP="00765D23">
      <w:pPr>
        <w:jc w:val="center"/>
      </w:pPr>
      <w:r>
        <w:rPr>
          <w:b/>
          <w:u w:val="single"/>
        </w:rPr>
        <w:br w:type="page"/>
      </w:r>
      <w:r w:rsidRPr="00346120">
        <w:rPr>
          <w:b/>
          <w:u w:val="single"/>
        </w:rPr>
        <w:lastRenderedPageBreak/>
        <w:t>VM</w:t>
      </w:r>
      <w:r>
        <w:rPr>
          <w:b/>
          <w:u w:val="single"/>
        </w:rPr>
        <w:t>-</w:t>
      </w:r>
      <w:r w:rsidRPr="00346120">
        <w:rPr>
          <w:b/>
          <w:u w:val="single"/>
        </w:rPr>
        <w:t>2</w:t>
      </w:r>
      <w:r w:rsidR="00400C6D">
        <w:rPr>
          <w:b/>
          <w:u w:val="single"/>
        </w:rPr>
        <w:t xml:space="preserve">1 </w:t>
      </w:r>
      <w:r>
        <w:rPr>
          <w:b/>
          <w:u w:val="single"/>
        </w:rPr>
        <w:t>RESERVES</w:t>
      </w:r>
      <w:r w:rsidRPr="00346120">
        <w:rPr>
          <w:b/>
          <w:u w:val="single"/>
        </w:rPr>
        <w:t xml:space="preserve"> SUPPLEMENT </w:t>
      </w:r>
      <w:r>
        <w:rPr>
          <w:b/>
          <w:u w:val="single"/>
        </w:rPr>
        <w:t xml:space="preserve">– PART </w:t>
      </w:r>
      <w:r w:rsidR="00400C6D">
        <w:rPr>
          <w:b/>
          <w:u w:val="single"/>
        </w:rPr>
        <w:t>3</w:t>
      </w:r>
      <w:r>
        <w:rPr>
          <w:b/>
          <w:u w:val="single"/>
        </w:rPr>
        <w:t>B</w:t>
      </w:r>
    </w:p>
    <w:p w14:paraId="02791C2A" w14:textId="77777777" w:rsidR="00F5143E" w:rsidRPr="00D37433" w:rsidRDefault="00F5143E" w:rsidP="00F5143E"/>
    <w:p w14:paraId="7B3A32D3" w14:textId="46A12CAD" w:rsidR="00F5143E" w:rsidRPr="00346120" w:rsidRDefault="00AC4F07" w:rsidP="00F5143E">
      <w:pPr>
        <w:jc w:val="center"/>
        <w:rPr>
          <w:b/>
          <w:u w:val="single"/>
        </w:rPr>
      </w:pPr>
      <w:r w:rsidRPr="004240DF">
        <w:rPr>
          <w:b/>
          <w:bCs/>
          <w:u w:val="single"/>
        </w:rPr>
        <w:t>Variable Annuity</w:t>
      </w:r>
      <w:r w:rsidRPr="004240DF">
        <w:rPr>
          <w:u w:val="single"/>
        </w:rPr>
        <w:t xml:space="preserve"> </w:t>
      </w:r>
      <w:r w:rsidR="00F5143E">
        <w:rPr>
          <w:b/>
          <w:u w:val="single"/>
        </w:rPr>
        <w:t>Reserves</w:t>
      </w:r>
      <w:r w:rsidR="00F5143E" w:rsidRPr="00FC3234">
        <w:rPr>
          <w:b/>
          <w:u w:val="single"/>
        </w:rPr>
        <w:t xml:space="preserve"> </w:t>
      </w:r>
      <w:r w:rsidR="00F5143E">
        <w:rPr>
          <w:b/>
          <w:u w:val="single"/>
        </w:rPr>
        <w:t>Valued According to VM-2</w:t>
      </w:r>
      <w:r w:rsidR="00584A14">
        <w:rPr>
          <w:b/>
          <w:u w:val="single"/>
        </w:rPr>
        <w:t>1</w:t>
      </w:r>
      <w:r w:rsidR="00F5143E">
        <w:rPr>
          <w:b/>
          <w:u w:val="single"/>
        </w:rPr>
        <w:t xml:space="preserve"> by Product Type</w:t>
      </w:r>
    </w:p>
    <w:p w14:paraId="02BCB202" w14:textId="77777777" w:rsidR="00F5143E" w:rsidRDefault="00F5143E" w:rsidP="00F5143E"/>
    <w:p w14:paraId="204E1F58" w14:textId="77777777" w:rsidR="00F5143E" w:rsidRDefault="00F5143E" w:rsidP="00F5143E"/>
    <w:p w14:paraId="70152F5C" w14:textId="7B2E0E30" w:rsidR="00F5143E" w:rsidRDefault="00F5143E" w:rsidP="00F5143E">
      <w:r>
        <w:t xml:space="preserve">Part </w:t>
      </w:r>
      <w:r w:rsidR="00584A14">
        <w:t>3</w:t>
      </w:r>
      <w:r>
        <w:t>B of this Supplement provides details underlying the</w:t>
      </w:r>
      <w:r w:rsidR="00584A14">
        <w:t xml:space="preserve"> Current Year</w:t>
      </w:r>
      <w:r>
        <w:t xml:space="preserve"> amounts shown in Part </w:t>
      </w:r>
      <w:r w:rsidR="00584A14">
        <w:t>3</w:t>
      </w:r>
      <w:r>
        <w:t>A.</w:t>
      </w:r>
    </w:p>
    <w:p w14:paraId="77C6C5B1" w14:textId="77777777" w:rsidR="00F5143E" w:rsidRPr="00C5532E" w:rsidRDefault="00F5143E" w:rsidP="00F5143E"/>
    <w:p w14:paraId="1F9B1F73" w14:textId="5EB21158" w:rsidR="00F5143E" w:rsidRPr="00DF1768" w:rsidRDefault="00F5143E" w:rsidP="00F5143E">
      <w:r w:rsidRPr="00D30657">
        <w:rPr>
          <w:b/>
          <w:u w:val="single"/>
        </w:rPr>
        <w:t>Section A</w:t>
      </w:r>
      <w:r w:rsidR="004240DF" w:rsidRPr="00D30657">
        <w:rPr>
          <w:b/>
          <w:u w:val="single"/>
        </w:rPr>
        <w:t>:</w:t>
      </w:r>
      <w:r w:rsidR="004240DF" w:rsidRPr="00C5532E">
        <w:rPr>
          <w:b/>
          <w:u w:val="single"/>
        </w:rPr>
        <w:t xml:space="preserve">  </w:t>
      </w:r>
      <w:r w:rsidR="004240DF" w:rsidRPr="00D30657">
        <w:rPr>
          <w:b/>
          <w:u w:val="single"/>
        </w:rPr>
        <w:t>Columns</w:t>
      </w:r>
      <w:r w:rsidRPr="0077052E">
        <w:rPr>
          <w:b/>
          <w:u w:val="single"/>
        </w:rPr>
        <w:t xml:space="preserve"> </w:t>
      </w:r>
      <w:r>
        <w:rPr>
          <w:b/>
          <w:u w:val="single"/>
        </w:rPr>
        <w:t>1</w:t>
      </w:r>
      <w:r w:rsidRPr="0077052E">
        <w:rPr>
          <w:b/>
          <w:u w:val="single"/>
        </w:rPr>
        <w:t xml:space="preserve"> through </w:t>
      </w:r>
      <w:r w:rsidR="00400C6D">
        <w:rPr>
          <w:b/>
          <w:u w:val="single"/>
        </w:rPr>
        <w:t>6</w:t>
      </w:r>
      <w:r w:rsidRPr="0077052E">
        <w:t xml:space="preserve"> are to be completed </w:t>
      </w:r>
      <w:r w:rsidR="00DF1768">
        <w:t>for all VM-21 reserves NOT determined using the Alternative Reserve Methodology described in Section 7 of VM-21</w:t>
      </w:r>
      <w:r w:rsidRPr="00DF1768">
        <w:t>.</w:t>
      </w:r>
    </w:p>
    <w:p w14:paraId="1D1233E7" w14:textId="77777777" w:rsidR="00F5143E" w:rsidRPr="00DF1768" w:rsidRDefault="00F5143E" w:rsidP="00F5143E"/>
    <w:p w14:paraId="5E5DF670" w14:textId="7B894ACD" w:rsidR="00F5143E" w:rsidRDefault="00F5143E" w:rsidP="00F5143E">
      <w:r w:rsidRPr="00DF1768">
        <w:rPr>
          <w:b/>
          <w:u w:val="single"/>
        </w:rPr>
        <w:t xml:space="preserve">Section B:  Columns </w:t>
      </w:r>
      <w:r w:rsidR="00454CFF" w:rsidRPr="00DF1768">
        <w:rPr>
          <w:b/>
          <w:u w:val="single"/>
        </w:rPr>
        <w:t>7</w:t>
      </w:r>
      <w:r w:rsidRPr="00DF1768">
        <w:rPr>
          <w:b/>
          <w:u w:val="single"/>
        </w:rPr>
        <w:t xml:space="preserve"> through </w:t>
      </w:r>
      <w:r w:rsidR="00454CFF" w:rsidRPr="00DF1768">
        <w:rPr>
          <w:b/>
          <w:u w:val="single"/>
        </w:rPr>
        <w:t>9</w:t>
      </w:r>
      <w:r w:rsidRPr="00DF1768">
        <w:t xml:space="preserve"> are to be completed</w:t>
      </w:r>
      <w:r w:rsidR="00C9195C" w:rsidRPr="00DF1768">
        <w:t xml:space="preserve"> </w:t>
      </w:r>
      <w:r w:rsidRPr="00DF1768">
        <w:t xml:space="preserve">if the reserves in Column </w:t>
      </w:r>
      <w:r w:rsidR="00454CFF" w:rsidRPr="00DF1768">
        <w:t>8</w:t>
      </w:r>
      <w:r w:rsidRPr="00DF1768">
        <w:t xml:space="preserve"> (</w:t>
      </w:r>
      <w:r w:rsidR="00395FAD" w:rsidRPr="00DF1768">
        <w:t>Alternative Methodology Reserves</w:t>
      </w:r>
      <w:r w:rsidRPr="00DF1768">
        <w:t>)</w:t>
      </w:r>
      <w:r w:rsidR="004240DF" w:rsidRPr="00DF1768">
        <w:t xml:space="preserve"> </w:t>
      </w:r>
      <w:r w:rsidRPr="00DF1768">
        <w:t xml:space="preserve">are calculated according to Section </w:t>
      </w:r>
      <w:r w:rsidR="00395FAD" w:rsidRPr="00DF1768">
        <w:t xml:space="preserve">7 of </w:t>
      </w:r>
      <w:r w:rsidRPr="00DF1768">
        <w:t>VM-2</w:t>
      </w:r>
      <w:r w:rsidR="00454CFF" w:rsidRPr="00DF1768">
        <w:t>1</w:t>
      </w:r>
      <w:r w:rsidRPr="00DF1768">
        <w:t>.</w:t>
      </w:r>
    </w:p>
    <w:p w14:paraId="79716955" w14:textId="77777777" w:rsidR="00806113" w:rsidRDefault="00806113" w:rsidP="00F5143E"/>
    <w:p w14:paraId="5D29B39D" w14:textId="4C2A1673" w:rsidR="00C716BF" w:rsidRPr="00DF1768" w:rsidRDefault="005B2A82" w:rsidP="00F5143E">
      <w:r>
        <w:t>Where the amounts to be reported a</w:t>
      </w:r>
      <w:r w:rsidR="008B15FF">
        <w:t>re</w:t>
      </w:r>
      <w:r>
        <w:t xml:space="preserve"> calculated</w:t>
      </w:r>
      <w:r w:rsidR="00204D42">
        <w:t xml:space="preserve"> on an aggregate basis</w:t>
      </w:r>
      <w:r>
        <w:t xml:space="preserve"> (i.e., CTE70 (adjusted), CTE70 (best efforts) and the Additional Standard Projection Amount)</w:t>
      </w:r>
      <w:r w:rsidR="00204D42">
        <w:t>, use the methodology described in</w:t>
      </w:r>
      <w:r w:rsidR="00806113">
        <w:t xml:space="preserve"> </w:t>
      </w:r>
      <w:r w:rsidR="00204D42">
        <w:t xml:space="preserve">section 13 of VM-21 to allocate amounts to the product categories. </w:t>
      </w:r>
      <w:r w:rsidR="008E7387" w:rsidRPr="008E7387">
        <w:t>The choice of reasonable risk metric for allocation may vary between the columns.</w:t>
      </w:r>
      <w:r w:rsidR="008E7387">
        <w:t xml:space="preserve"> </w:t>
      </w:r>
      <w:r w:rsidR="00204D42">
        <w:t xml:space="preserve">For example, </w:t>
      </w:r>
      <w:r w:rsidR="00C716BF" w:rsidRPr="00C716BF">
        <w:t xml:space="preserve">if </w:t>
      </w:r>
      <w:r w:rsidR="00AF314E">
        <w:t>a</w:t>
      </w:r>
      <w:r w:rsidR="00C716BF" w:rsidRPr="00C716BF">
        <w:t xml:space="preserve"> company has a block of GMWBs and a block with simple GMDB only and they have a CDHS, an allocation based on reasonable risk metrics may allocate more of the CTE</w:t>
      </w:r>
      <w:r w:rsidR="00A7203C">
        <w:t xml:space="preserve">70 </w:t>
      </w:r>
      <w:r w:rsidR="00C716BF" w:rsidRPr="00C716BF">
        <w:t>(</w:t>
      </w:r>
      <w:r w:rsidR="00AF314E">
        <w:t>a</w:t>
      </w:r>
      <w:r w:rsidR="00C716BF" w:rsidRPr="00C716BF">
        <w:t>dj</w:t>
      </w:r>
      <w:r w:rsidR="00AF314E">
        <w:t>usted</w:t>
      </w:r>
      <w:r w:rsidR="00C716BF" w:rsidRPr="00C716BF">
        <w:t>) to the GMWB block, compared to CTE</w:t>
      </w:r>
      <w:r w:rsidR="00A7203C">
        <w:t xml:space="preserve">70 </w:t>
      </w:r>
      <w:r w:rsidR="00C716BF" w:rsidRPr="00C716BF">
        <w:t>(</w:t>
      </w:r>
      <w:r w:rsidR="00AF314E">
        <w:t>best efforts</w:t>
      </w:r>
      <w:r w:rsidR="00C716BF" w:rsidRPr="00C716BF">
        <w:t>).</w:t>
      </w:r>
    </w:p>
    <w:p w14:paraId="0613F720" w14:textId="77777777" w:rsidR="00F5143E" w:rsidRPr="00DF1768" w:rsidRDefault="00F5143E" w:rsidP="00F5143E"/>
    <w:p w14:paraId="46FC43FE" w14:textId="4D11110F" w:rsidR="00381875" w:rsidRPr="00DF1768" w:rsidRDefault="00381875" w:rsidP="00381875">
      <w:pPr>
        <w:tabs>
          <w:tab w:val="left" w:pos="1980"/>
        </w:tabs>
        <w:ind w:left="1710" w:hanging="1710"/>
      </w:pPr>
      <w:r w:rsidRPr="00DF1768">
        <w:t>Column</w:t>
      </w:r>
      <w:r w:rsidR="00454CFF" w:rsidRPr="00DF1768">
        <w:t>s</w:t>
      </w:r>
      <w:r w:rsidRPr="00DF1768">
        <w:t xml:space="preserve"> 1</w:t>
      </w:r>
      <w:r w:rsidR="00454CFF" w:rsidRPr="00DF1768">
        <w:t xml:space="preserve"> &amp;</w:t>
      </w:r>
      <w:r w:rsidRPr="00DF1768">
        <w:t xml:space="preserve"> </w:t>
      </w:r>
      <w:r w:rsidR="00454CFF" w:rsidRPr="00DF1768">
        <w:t>7</w:t>
      </w:r>
      <w:r w:rsidRPr="00DF1768">
        <w:tab/>
        <w:t>–</w:t>
      </w:r>
      <w:r w:rsidRPr="00DF1768">
        <w:tab/>
      </w:r>
      <w:r w:rsidR="00C758AD" w:rsidRPr="00DF1768">
        <w:t>Cash Surrender Value</w:t>
      </w:r>
    </w:p>
    <w:p w14:paraId="56C9380C" w14:textId="77777777" w:rsidR="00381875" w:rsidRPr="00DF1768" w:rsidRDefault="00381875" w:rsidP="00381875"/>
    <w:p w14:paraId="0077F6DC" w14:textId="461F7DAB" w:rsidR="00381875" w:rsidRPr="00DF1768" w:rsidRDefault="00381875" w:rsidP="00381875">
      <w:pPr>
        <w:ind w:left="1980"/>
        <w:rPr>
          <w:rFonts w:ascii="TimesNewRoman" w:hAnsi="TimesNewRoman" w:cs="TimesNewRoman"/>
        </w:rPr>
      </w:pPr>
      <w:proofErr w:type="gramStart"/>
      <w:r w:rsidRPr="00DF1768">
        <w:t>Report</w:t>
      </w:r>
      <w:proofErr w:type="gramEnd"/>
      <w:r w:rsidRPr="00DF1768">
        <w:t xml:space="preserve"> the Post-Reinsurance-Ceded and Pre-Reinsurance-Ceded </w:t>
      </w:r>
      <w:r w:rsidR="00E92D19" w:rsidRPr="00DF1768">
        <w:t>Cash Surrender Value</w:t>
      </w:r>
      <w:r w:rsidRPr="00DF1768">
        <w:rPr>
          <w:rFonts w:ascii="TimesNewRoman" w:hAnsi="TimesNewRoman" w:cs="TimesNewRoman"/>
        </w:rPr>
        <w:t xml:space="preserve"> for </w:t>
      </w:r>
      <w:r w:rsidRPr="00DF1768">
        <w:t xml:space="preserve">each </w:t>
      </w:r>
      <w:r w:rsidRPr="00DF1768">
        <w:rPr>
          <w:rFonts w:ascii="TimesNewRoman" w:hAnsi="TimesNewRoman" w:cs="TimesNewRoman"/>
        </w:rPr>
        <w:t xml:space="preserve">product type. The </w:t>
      </w:r>
      <w:r w:rsidR="00E92D19" w:rsidRPr="00DF1768">
        <w:rPr>
          <w:rFonts w:ascii="TimesNewRoman" w:hAnsi="TimesNewRoman" w:cs="TimesNewRoman"/>
        </w:rPr>
        <w:t>CSV</w:t>
      </w:r>
      <w:r w:rsidRPr="00DF1768">
        <w:rPr>
          <w:rFonts w:ascii="TimesNewRoman" w:hAnsi="TimesNewRoman" w:cs="TimesNewRoman"/>
        </w:rPr>
        <w:t xml:space="preserve"> is </w:t>
      </w:r>
      <w:r w:rsidRPr="00DF1768">
        <w:t xml:space="preserve">defined </w:t>
      </w:r>
      <w:r w:rsidRPr="00DF1768">
        <w:rPr>
          <w:rFonts w:ascii="TimesNewRoman" w:hAnsi="TimesNewRoman" w:cs="TimesNewRoman"/>
        </w:rPr>
        <w:t>in VM-</w:t>
      </w:r>
      <w:r w:rsidR="000128DF" w:rsidRPr="00DF1768">
        <w:rPr>
          <w:rFonts w:ascii="TimesNewRoman" w:hAnsi="TimesNewRoman" w:cs="TimesNewRoman"/>
        </w:rPr>
        <w:t>01</w:t>
      </w:r>
      <w:r w:rsidRPr="00DF1768">
        <w:rPr>
          <w:rFonts w:ascii="TimesNewRoman" w:hAnsi="TimesNewRoman" w:cs="TimesNewRoman"/>
        </w:rPr>
        <w:t xml:space="preserve"> of the </w:t>
      </w:r>
      <w:r w:rsidRPr="00DF1768">
        <w:rPr>
          <w:rFonts w:ascii="TimesNewRoman" w:hAnsi="TimesNewRoman" w:cs="TimesNewRoman"/>
          <w:i/>
        </w:rPr>
        <w:t>Valuation Manual</w:t>
      </w:r>
      <w:r w:rsidRPr="00DF1768">
        <w:rPr>
          <w:rFonts w:ascii="TimesNewRoman" w:hAnsi="TimesNewRoman" w:cs="TimesNewRoman"/>
        </w:rPr>
        <w:t>.</w:t>
      </w:r>
    </w:p>
    <w:p w14:paraId="154608E0" w14:textId="77777777" w:rsidR="00381875" w:rsidRPr="00DF1768" w:rsidRDefault="00381875" w:rsidP="00381875"/>
    <w:p w14:paraId="3B635170" w14:textId="09A5CB24" w:rsidR="00E24902" w:rsidRPr="00DF1768" w:rsidRDefault="00E24902" w:rsidP="00E24902">
      <w:pPr>
        <w:tabs>
          <w:tab w:val="left" w:pos="1980"/>
        </w:tabs>
        <w:ind w:left="1710" w:hanging="1710"/>
      </w:pPr>
      <w:r w:rsidRPr="00DF1768">
        <w:t xml:space="preserve">Column </w:t>
      </w:r>
      <w:r w:rsidR="00454CFF" w:rsidRPr="00DF1768">
        <w:t>2</w:t>
      </w:r>
      <w:r w:rsidRPr="00DF1768">
        <w:tab/>
        <w:t>–</w:t>
      </w:r>
      <w:r w:rsidRPr="00DF1768">
        <w:tab/>
        <w:t>CTE70 (adjuste</w:t>
      </w:r>
      <w:r w:rsidR="007F3303" w:rsidRPr="00DF1768">
        <w:t>d)</w:t>
      </w:r>
    </w:p>
    <w:p w14:paraId="6C3813DF" w14:textId="77777777" w:rsidR="00E24902" w:rsidRPr="00DF1768" w:rsidRDefault="00E24902" w:rsidP="00E24902"/>
    <w:p w14:paraId="3E5F3837" w14:textId="5C1BF2A8" w:rsidR="00E24902" w:rsidRPr="00DF1768" w:rsidRDefault="00E24902" w:rsidP="00E24902">
      <w:pPr>
        <w:autoSpaceDE w:val="0"/>
        <w:autoSpaceDN w:val="0"/>
        <w:adjustRightInd w:val="0"/>
        <w:ind w:left="1980"/>
        <w:rPr>
          <w:rFonts w:ascii="TimesNewRoman" w:hAnsi="TimesNewRoman" w:cs="TimesNewRoman"/>
        </w:rPr>
      </w:pPr>
      <w:r w:rsidRPr="00DF1768">
        <w:rPr>
          <w:rFonts w:ascii="TimesNewRoman" w:hAnsi="TimesNewRoman" w:cs="TimesNewRoman"/>
        </w:rPr>
        <w:t xml:space="preserve">Report the </w:t>
      </w:r>
      <w:r w:rsidR="007F3303" w:rsidRPr="00DF1768">
        <w:rPr>
          <w:rFonts w:ascii="TimesNewRoman" w:hAnsi="TimesNewRoman" w:cs="TimesNewRoman"/>
        </w:rPr>
        <w:t xml:space="preserve">unfloored </w:t>
      </w:r>
      <w:r w:rsidRPr="00DF1768">
        <w:rPr>
          <w:rFonts w:ascii="TimesNewRoman" w:hAnsi="TimesNewRoman" w:cs="TimesNewRoman"/>
        </w:rPr>
        <w:t>Post-Reinsurance-Ceded</w:t>
      </w:r>
      <w:r w:rsidRPr="00DF1768">
        <w:t xml:space="preserve"> and Pre-Reinsurance-Ceded</w:t>
      </w:r>
      <w:r w:rsidRPr="00DF1768">
        <w:rPr>
          <w:rFonts w:ascii="TimesNewRoman" w:hAnsi="TimesNewRoman" w:cs="TimesNewRoman"/>
        </w:rPr>
        <w:t xml:space="preserve"> </w:t>
      </w:r>
      <w:r w:rsidR="00685838" w:rsidRPr="00DF1768">
        <w:rPr>
          <w:rFonts w:ascii="TimesNewRoman" w:hAnsi="TimesNewRoman" w:cs="TimesNewRoman"/>
        </w:rPr>
        <w:t>CTE70 scenario r</w:t>
      </w:r>
      <w:r w:rsidRPr="00DF1768">
        <w:rPr>
          <w:rFonts w:ascii="TimesNewRoman" w:hAnsi="TimesNewRoman" w:cs="TimesNewRoman"/>
        </w:rPr>
        <w:t>eserve</w:t>
      </w:r>
      <w:r w:rsidR="00940573" w:rsidRPr="00DF1768">
        <w:rPr>
          <w:rFonts w:ascii="TimesNewRoman" w:hAnsi="TimesNewRoman" w:cs="TimesNewRoman"/>
        </w:rPr>
        <w:t>s</w:t>
      </w:r>
      <w:r w:rsidRPr="00DF1768">
        <w:rPr>
          <w:rFonts w:ascii="TimesNewRoman" w:hAnsi="TimesNewRoman" w:cs="TimesNewRoman"/>
        </w:rPr>
        <w:t xml:space="preserve"> </w:t>
      </w:r>
      <w:r w:rsidR="00F24C59" w:rsidRPr="00DF1768">
        <w:rPr>
          <w:rFonts w:ascii="TimesNewRoman" w:hAnsi="TimesNewRoman" w:cs="TimesNewRoman"/>
        </w:rPr>
        <w:t>by product type using the required VM-2</w:t>
      </w:r>
      <w:r w:rsidR="00454CFF" w:rsidRPr="00DF1768">
        <w:rPr>
          <w:rFonts w:ascii="TimesNewRoman" w:hAnsi="TimesNewRoman" w:cs="TimesNewRoman"/>
        </w:rPr>
        <w:t>1</w:t>
      </w:r>
      <w:r w:rsidR="00F24C59" w:rsidRPr="00DF1768">
        <w:rPr>
          <w:rFonts w:ascii="TimesNewRoman" w:hAnsi="TimesNewRoman" w:cs="TimesNewRoman"/>
        </w:rPr>
        <w:t xml:space="preserve"> </w:t>
      </w:r>
      <w:r w:rsidR="002E5D64" w:rsidRPr="00DF1768">
        <w:rPr>
          <w:rFonts w:ascii="TimesNewRoman" w:hAnsi="TimesNewRoman" w:cs="TimesNewRoman"/>
        </w:rPr>
        <w:t xml:space="preserve">“adjusted” </w:t>
      </w:r>
      <w:r w:rsidR="00F24C59" w:rsidRPr="00DF1768">
        <w:rPr>
          <w:rFonts w:ascii="TimesNewRoman" w:hAnsi="TimesNewRoman" w:cs="TimesNewRoman"/>
        </w:rPr>
        <w:t xml:space="preserve">methodology </w:t>
      </w:r>
      <w:r w:rsidR="00E90AC3" w:rsidRPr="00DF1768">
        <w:rPr>
          <w:rFonts w:ascii="TimesNewRoman" w:hAnsi="TimesNewRoman" w:cs="TimesNewRoman"/>
        </w:rPr>
        <w:t xml:space="preserve">as </w:t>
      </w:r>
      <w:r w:rsidR="00B81BF9" w:rsidRPr="00DF1768">
        <w:rPr>
          <w:rFonts w:ascii="TimesNewRoman" w:hAnsi="TimesNewRoman" w:cs="TimesNewRoman"/>
        </w:rPr>
        <w:t>described in VM-2</w:t>
      </w:r>
      <w:r w:rsidR="00454CFF" w:rsidRPr="00DF1768">
        <w:rPr>
          <w:rFonts w:ascii="TimesNewRoman" w:hAnsi="TimesNewRoman" w:cs="TimesNewRoman"/>
        </w:rPr>
        <w:t>1</w:t>
      </w:r>
      <w:r w:rsidR="00B81BF9" w:rsidRPr="00DF1768">
        <w:rPr>
          <w:rFonts w:ascii="TimesNewRoman" w:hAnsi="TimesNewRoman" w:cs="TimesNewRoman"/>
        </w:rPr>
        <w:t xml:space="preserve"> Section </w:t>
      </w:r>
      <w:r w:rsidR="00550AC2" w:rsidRPr="00DF1768">
        <w:rPr>
          <w:rFonts w:ascii="TimesNewRoman" w:hAnsi="TimesNewRoman" w:cs="TimesNewRoman"/>
        </w:rPr>
        <w:t>4</w:t>
      </w:r>
      <w:r w:rsidRPr="00DF1768">
        <w:rPr>
          <w:rFonts w:ascii="TimesNewRoman" w:hAnsi="TimesNewRoman" w:cs="TimesNewRoman"/>
        </w:rPr>
        <w:t xml:space="preserve">. Report the amount </w:t>
      </w:r>
      <w:proofErr w:type="gramStart"/>
      <w:r w:rsidR="002F171D">
        <w:rPr>
          <w:rFonts w:ascii="TimesNewRoman" w:hAnsi="TimesNewRoman" w:cs="TimesNewRoman"/>
        </w:rPr>
        <w:t>in excess of</w:t>
      </w:r>
      <w:proofErr w:type="gramEnd"/>
      <w:r w:rsidR="002F171D">
        <w:rPr>
          <w:rFonts w:ascii="TimesNewRoman" w:hAnsi="TimesNewRoman" w:cs="TimesNewRoman"/>
        </w:rPr>
        <w:t xml:space="preserve"> cash surrender value </w:t>
      </w:r>
      <w:r w:rsidRPr="00DF1768">
        <w:rPr>
          <w:rFonts w:ascii="TimesNewRoman" w:hAnsi="TimesNewRoman" w:cs="TimesNewRoman"/>
        </w:rPr>
        <w:t>whether it is positive or negative; do not floor the amount at zero if it is negative.</w:t>
      </w:r>
    </w:p>
    <w:p w14:paraId="0C3848F3" w14:textId="77777777" w:rsidR="00E24902" w:rsidRPr="00DF1768" w:rsidRDefault="00E24902" w:rsidP="00381875"/>
    <w:p w14:paraId="7026252E" w14:textId="2DD3D216" w:rsidR="00454CFF" w:rsidRPr="00DF1768" w:rsidRDefault="00454CFF" w:rsidP="00454CFF">
      <w:pPr>
        <w:tabs>
          <w:tab w:val="left" w:pos="1980"/>
        </w:tabs>
        <w:ind w:left="1710" w:hanging="1710"/>
      </w:pPr>
      <w:r w:rsidRPr="00DF1768">
        <w:t>Column 3</w:t>
      </w:r>
      <w:r w:rsidRPr="00DF1768">
        <w:tab/>
        <w:t>–</w:t>
      </w:r>
      <w:r w:rsidRPr="00DF1768">
        <w:tab/>
        <w:t>CTE70 (best efforts)</w:t>
      </w:r>
    </w:p>
    <w:p w14:paraId="026D594A" w14:textId="77777777" w:rsidR="00454CFF" w:rsidRPr="00DF1768" w:rsidRDefault="00454CFF" w:rsidP="00454CFF"/>
    <w:p w14:paraId="38071DDC" w14:textId="6207454C" w:rsidR="00454CFF" w:rsidRPr="00DF1768" w:rsidRDefault="00454CFF" w:rsidP="00454CFF">
      <w:pPr>
        <w:autoSpaceDE w:val="0"/>
        <w:autoSpaceDN w:val="0"/>
        <w:adjustRightInd w:val="0"/>
        <w:ind w:left="1980"/>
        <w:rPr>
          <w:rFonts w:ascii="TimesNewRoman" w:hAnsi="TimesNewRoman" w:cs="TimesNewRoman"/>
        </w:rPr>
      </w:pPr>
      <w:r w:rsidRPr="00DF1768">
        <w:rPr>
          <w:rFonts w:ascii="TimesNewRoman" w:hAnsi="TimesNewRoman" w:cs="TimesNewRoman"/>
        </w:rPr>
        <w:t>Report the unfloored Post-Reinsurance-Ceded</w:t>
      </w:r>
      <w:r w:rsidRPr="00DF1768">
        <w:t xml:space="preserve"> and Pre-Reinsurance-Ceded</w:t>
      </w:r>
      <w:r w:rsidRPr="00DF1768">
        <w:rPr>
          <w:rFonts w:ascii="TimesNewRoman" w:hAnsi="TimesNewRoman" w:cs="TimesNewRoman"/>
        </w:rPr>
        <w:t xml:space="preserve"> CTE70 scenario reserves by product type using the required VM-21 </w:t>
      </w:r>
      <w:r w:rsidR="002E5D64" w:rsidRPr="00DF1768">
        <w:rPr>
          <w:rFonts w:ascii="TimesNewRoman" w:hAnsi="TimesNewRoman" w:cs="TimesNewRoman"/>
        </w:rPr>
        <w:t xml:space="preserve">“best efforts” </w:t>
      </w:r>
      <w:r w:rsidRPr="00DF1768">
        <w:rPr>
          <w:rFonts w:ascii="TimesNewRoman" w:hAnsi="TimesNewRoman" w:cs="TimesNewRoman"/>
        </w:rPr>
        <w:t>methodology as described in VM-21 Section 4. Report the amount</w:t>
      </w:r>
      <w:r w:rsidR="002F171D" w:rsidRPr="002F171D">
        <w:rPr>
          <w:rFonts w:ascii="TimesNewRoman" w:hAnsi="TimesNewRoman" w:cs="TimesNewRoman"/>
        </w:rPr>
        <w:t xml:space="preserve"> </w:t>
      </w:r>
      <w:proofErr w:type="gramStart"/>
      <w:r w:rsidR="002F171D">
        <w:rPr>
          <w:rFonts w:ascii="TimesNewRoman" w:hAnsi="TimesNewRoman" w:cs="TimesNewRoman"/>
        </w:rPr>
        <w:t>in excess of</w:t>
      </w:r>
      <w:proofErr w:type="gramEnd"/>
      <w:r w:rsidR="002F171D">
        <w:rPr>
          <w:rFonts w:ascii="TimesNewRoman" w:hAnsi="TimesNewRoman" w:cs="TimesNewRoman"/>
        </w:rPr>
        <w:t xml:space="preserve"> cash surrender value</w:t>
      </w:r>
      <w:r w:rsidRPr="00DF1768">
        <w:rPr>
          <w:rFonts w:ascii="TimesNewRoman" w:hAnsi="TimesNewRoman" w:cs="TimesNewRoman"/>
        </w:rPr>
        <w:t xml:space="preserve"> whether it is positive or negative; do not floor the amount at zero if it is negative.</w:t>
      </w:r>
    </w:p>
    <w:p w14:paraId="041160B0" w14:textId="77777777" w:rsidR="00454CFF" w:rsidRPr="00DF1768" w:rsidRDefault="00454CFF" w:rsidP="00454CFF"/>
    <w:p w14:paraId="33EC9E6A" w14:textId="35CA5B7C" w:rsidR="0073095F" w:rsidRPr="00DF1768" w:rsidRDefault="0073095F" w:rsidP="0073095F">
      <w:pPr>
        <w:tabs>
          <w:tab w:val="left" w:pos="1980"/>
        </w:tabs>
        <w:ind w:left="1710" w:hanging="1710"/>
      </w:pPr>
      <w:r w:rsidRPr="00DF1768">
        <w:t xml:space="preserve">Column </w:t>
      </w:r>
      <w:r w:rsidR="00454CFF" w:rsidRPr="00DF1768">
        <w:t>4</w:t>
      </w:r>
      <w:r w:rsidRPr="00DF1768">
        <w:t xml:space="preserve"> </w:t>
      </w:r>
      <w:r w:rsidRPr="00DF1768">
        <w:tab/>
        <w:t>–</w:t>
      </w:r>
      <w:r w:rsidRPr="00DF1768">
        <w:tab/>
        <w:t xml:space="preserve">Additional Standard Projection Amount </w:t>
      </w:r>
    </w:p>
    <w:p w14:paraId="178606A0" w14:textId="77777777" w:rsidR="0073095F" w:rsidRPr="00DF1768" w:rsidRDefault="0073095F" w:rsidP="0073095F"/>
    <w:p w14:paraId="0BB8F1DC" w14:textId="2422EF71" w:rsidR="0073095F" w:rsidRPr="00DF1768" w:rsidRDefault="0073095F" w:rsidP="0073095F">
      <w:pPr>
        <w:autoSpaceDE w:val="0"/>
        <w:autoSpaceDN w:val="0"/>
        <w:adjustRightInd w:val="0"/>
        <w:ind w:left="1980"/>
        <w:rPr>
          <w:rFonts w:ascii="TimesNewRoman" w:hAnsi="TimesNewRoman" w:cs="TimesNewRoman"/>
        </w:rPr>
      </w:pPr>
      <w:proofErr w:type="gramStart"/>
      <w:r w:rsidRPr="00DF1768">
        <w:rPr>
          <w:rFonts w:ascii="TimesNewRoman" w:hAnsi="TimesNewRoman" w:cs="TimesNewRoman"/>
        </w:rPr>
        <w:t>Report</w:t>
      </w:r>
      <w:proofErr w:type="gramEnd"/>
      <w:r w:rsidRPr="00DF1768">
        <w:rPr>
          <w:rFonts w:ascii="TimesNewRoman" w:hAnsi="TimesNewRoman" w:cs="TimesNewRoman"/>
        </w:rPr>
        <w:t xml:space="preserve"> the Post-Reinsurance-Ceded</w:t>
      </w:r>
      <w:r w:rsidRPr="00DF1768">
        <w:t xml:space="preserve"> and Pre-Reinsurance-Ceded</w:t>
      </w:r>
      <w:r w:rsidRPr="00DF1768">
        <w:rPr>
          <w:rFonts w:ascii="TimesNewRoman" w:hAnsi="TimesNewRoman" w:cs="TimesNewRoman"/>
        </w:rPr>
        <w:t xml:space="preserve"> Additional Standard Projection Amount for </w:t>
      </w:r>
      <w:r w:rsidRPr="00DF1768">
        <w:t xml:space="preserve">each </w:t>
      </w:r>
      <w:r w:rsidRPr="00DF1768">
        <w:rPr>
          <w:rFonts w:ascii="TimesNewRoman" w:hAnsi="TimesNewRoman" w:cs="TimesNewRoman"/>
        </w:rPr>
        <w:t xml:space="preserve">product type. Report the amount whether it is positive or negative; do not floor the amount at zero if it is negative. </w:t>
      </w:r>
      <w:r w:rsidR="00F04EB9" w:rsidRPr="00DF1768">
        <w:rPr>
          <w:rFonts w:ascii="TimesNewRoman" w:hAnsi="TimesNewRoman" w:cs="TimesNewRoman"/>
        </w:rPr>
        <w:t>T</w:t>
      </w:r>
      <w:r w:rsidRPr="00DF1768">
        <w:t xml:space="preserve">he </w:t>
      </w:r>
      <w:r w:rsidR="0087719D" w:rsidRPr="00DF1768">
        <w:rPr>
          <w:rFonts w:ascii="TimesNewRoman" w:hAnsi="TimesNewRoman" w:cs="TimesNewRoman"/>
        </w:rPr>
        <w:t xml:space="preserve">Additional Standard Projection Amount </w:t>
      </w:r>
      <w:r w:rsidR="00F04EB9" w:rsidRPr="00DF1768">
        <w:rPr>
          <w:rFonts w:ascii="TimesNewRoman" w:hAnsi="TimesNewRoman" w:cs="TimesNewRoman"/>
        </w:rPr>
        <w:t>i</w:t>
      </w:r>
      <w:r w:rsidR="0087719D" w:rsidRPr="00DF1768">
        <w:rPr>
          <w:rFonts w:ascii="TimesNewRoman" w:hAnsi="TimesNewRoman" w:cs="TimesNewRoman"/>
        </w:rPr>
        <w:t xml:space="preserve">s </w:t>
      </w:r>
      <w:r w:rsidRPr="00DF1768">
        <w:t>defined</w:t>
      </w:r>
      <w:r w:rsidRPr="00DF1768">
        <w:rPr>
          <w:rFonts w:ascii="TimesNewRoman" w:hAnsi="TimesNewRoman" w:cs="TimesNewRoman"/>
        </w:rPr>
        <w:t xml:space="preserve"> in Section </w:t>
      </w:r>
      <w:r w:rsidR="00F04EB9" w:rsidRPr="00DF1768">
        <w:rPr>
          <w:rFonts w:ascii="TimesNewRoman" w:hAnsi="TimesNewRoman" w:cs="TimesNewRoman"/>
        </w:rPr>
        <w:t>6</w:t>
      </w:r>
      <w:r w:rsidRPr="00DF1768">
        <w:rPr>
          <w:rFonts w:ascii="TimesNewRoman" w:hAnsi="TimesNewRoman" w:cs="TimesNewRoman"/>
        </w:rPr>
        <w:t xml:space="preserve"> </w:t>
      </w:r>
      <w:r w:rsidR="00DF1768" w:rsidRPr="00DF1768">
        <w:rPr>
          <w:rFonts w:ascii="TimesNewRoman" w:hAnsi="TimesNewRoman" w:cs="TimesNewRoman"/>
        </w:rPr>
        <w:t xml:space="preserve">of </w:t>
      </w:r>
      <w:r w:rsidRPr="00DF1768">
        <w:rPr>
          <w:rFonts w:ascii="TimesNewRoman" w:hAnsi="TimesNewRoman" w:cs="TimesNewRoman"/>
        </w:rPr>
        <w:t>VM-2</w:t>
      </w:r>
      <w:r w:rsidR="002E5D64" w:rsidRPr="00DF1768">
        <w:rPr>
          <w:rFonts w:ascii="TimesNewRoman" w:hAnsi="TimesNewRoman" w:cs="TimesNewRoman"/>
        </w:rPr>
        <w:t>1</w:t>
      </w:r>
      <w:r w:rsidRPr="00DF1768">
        <w:rPr>
          <w:rFonts w:ascii="TimesNewRoman" w:hAnsi="TimesNewRoman" w:cs="TimesNewRoman"/>
        </w:rPr>
        <w:t>.</w:t>
      </w:r>
    </w:p>
    <w:p w14:paraId="6BE50A0B" w14:textId="77777777" w:rsidR="00DA18C2" w:rsidRPr="00232F26" w:rsidRDefault="00DA18C2" w:rsidP="0073095F">
      <w:pPr>
        <w:autoSpaceDE w:val="0"/>
        <w:autoSpaceDN w:val="0"/>
        <w:adjustRightInd w:val="0"/>
        <w:ind w:left="1980"/>
        <w:rPr>
          <w:rFonts w:ascii="TimesNewRoman" w:hAnsi="TimesNewRoman" w:cs="TimesNewRoman"/>
          <w:highlight w:val="cyan"/>
        </w:rPr>
      </w:pPr>
    </w:p>
    <w:p w14:paraId="4FC09E45" w14:textId="1DBECB5A" w:rsidR="00381875" w:rsidRPr="0077052E" w:rsidRDefault="00381875" w:rsidP="00381875">
      <w:pPr>
        <w:tabs>
          <w:tab w:val="left" w:pos="1980"/>
        </w:tabs>
        <w:ind w:left="1710" w:hanging="1710"/>
      </w:pPr>
      <w:r w:rsidRPr="0077052E">
        <w:t xml:space="preserve">Column </w:t>
      </w:r>
      <w:r w:rsidR="00454CFF">
        <w:t>5</w:t>
      </w:r>
      <w:r w:rsidRPr="0077052E">
        <w:tab/>
        <w:t>–</w:t>
      </w:r>
      <w:r w:rsidRPr="0077052E">
        <w:tab/>
        <w:t xml:space="preserve">Stochastic Reserve </w:t>
      </w:r>
    </w:p>
    <w:p w14:paraId="2B848D2B" w14:textId="77777777" w:rsidR="00381875" w:rsidRPr="000E23EE" w:rsidRDefault="00381875" w:rsidP="00381875"/>
    <w:p w14:paraId="172864C5" w14:textId="21DA3248" w:rsidR="00381875" w:rsidRPr="0077052E" w:rsidRDefault="00381875" w:rsidP="00381875">
      <w:pPr>
        <w:autoSpaceDE w:val="0"/>
        <w:autoSpaceDN w:val="0"/>
        <w:adjustRightInd w:val="0"/>
        <w:ind w:left="1980"/>
        <w:rPr>
          <w:rFonts w:ascii="TimesNewRoman" w:hAnsi="TimesNewRoman" w:cs="TimesNewRoman"/>
        </w:rPr>
      </w:pPr>
      <w:r w:rsidRPr="00C5532E">
        <w:rPr>
          <w:rFonts w:ascii="TimesNewRoman" w:hAnsi="TimesNewRoman" w:cs="TimesNewRoman"/>
        </w:rPr>
        <w:t>Report the Post-Reinsurance-Ceded</w:t>
      </w:r>
      <w:r w:rsidRPr="0077052E">
        <w:t xml:space="preserve"> and Pre-Reinsurance-Ceded</w:t>
      </w:r>
      <w:r w:rsidRPr="0077052E">
        <w:rPr>
          <w:rFonts w:ascii="TimesNewRoman" w:hAnsi="TimesNewRoman" w:cs="TimesNewRoman"/>
        </w:rPr>
        <w:t xml:space="preserve"> Stochastic Reserve for </w:t>
      </w:r>
      <w:r w:rsidRPr="0077052E">
        <w:t xml:space="preserve">each </w:t>
      </w:r>
      <w:r w:rsidRPr="0077052E">
        <w:rPr>
          <w:rFonts w:ascii="TimesNewRoman" w:hAnsi="TimesNewRoman" w:cs="TimesNewRoman"/>
        </w:rPr>
        <w:t>product type</w:t>
      </w:r>
      <w:r>
        <w:rPr>
          <w:rFonts w:ascii="TimesNewRoman" w:hAnsi="TimesNewRoman" w:cs="TimesNewRoman"/>
        </w:rPr>
        <w:t xml:space="preserve">. Report the amount </w:t>
      </w:r>
      <w:proofErr w:type="gramStart"/>
      <w:r w:rsidR="002F171D">
        <w:rPr>
          <w:rFonts w:ascii="TimesNewRoman" w:hAnsi="TimesNewRoman" w:cs="TimesNewRoman"/>
        </w:rPr>
        <w:t>in excess of</w:t>
      </w:r>
      <w:proofErr w:type="gramEnd"/>
      <w:r w:rsidR="002F171D">
        <w:rPr>
          <w:rFonts w:ascii="TimesNewRoman" w:hAnsi="TimesNewRoman" w:cs="TimesNewRoman"/>
        </w:rPr>
        <w:t xml:space="preserve"> cash surrender value </w:t>
      </w:r>
      <w:r>
        <w:rPr>
          <w:rFonts w:ascii="TimesNewRoman" w:hAnsi="TimesNewRoman" w:cs="TimesNewRoman"/>
        </w:rPr>
        <w:t>whether it is positive or negative; do not floor the amount at zero if it is negative</w:t>
      </w:r>
      <w:r w:rsidRPr="0077052E">
        <w:rPr>
          <w:rFonts w:ascii="TimesNewRoman" w:hAnsi="TimesNewRoman" w:cs="TimesNewRoman"/>
        </w:rPr>
        <w:t xml:space="preserve">. </w:t>
      </w:r>
      <w:r w:rsidRPr="0077052E">
        <w:t xml:space="preserve">The </w:t>
      </w:r>
      <w:r w:rsidRPr="0077052E">
        <w:rPr>
          <w:rFonts w:ascii="TimesNewRoman" w:hAnsi="TimesNewRoman" w:cs="TimesNewRoman"/>
        </w:rPr>
        <w:t xml:space="preserve">Stochastic </w:t>
      </w:r>
      <w:r w:rsidRPr="0077052E">
        <w:t>Reserve calculation is defined</w:t>
      </w:r>
      <w:r w:rsidRPr="0077052E">
        <w:rPr>
          <w:rFonts w:ascii="TimesNewRoman" w:hAnsi="TimesNewRoman" w:cs="TimesNewRoman"/>
        </w:rPr>
        <w:t xml:space="preserve"> in Section </w:t>
      </w:r>
      <w:r w:rsidR="0092243B">
        <w:rPr>
          <w:rFonts w:ascii="TimesNewRoman" w:hAnsi="TimesNewRoman" w:cs="TimesNewRoman"/>
        </w:rPr>
        <w:t>4</w:t>
      </w:r>
      <w:r w:rsidRPr="0077052E">
        <w:rPr>
          <w:rFonts w:ascii="TimesNewRoman" w:hAnsi="TimesNewRoman" w:cs="TimesNewRoman"/>
        </w:rPr>
        <w:t xml:space="preserve"> </w:t>
      </w:r>
      <w:r w:rsidR="00DF1768">
        <w:rPr>
          <w:rFonts w:ascii="TimesNewRoman" w:hAnsi="TimesNewRoman" w:cs="TimesNewRoman"/>
        </w:rPr>
        <w:t>of</w:t>
      </w:r>
      <w:r w:rsidR="00DF1768" w:rsidRPr="0077052E">
        <w:rPr>
          <w:rFonts w:ascii="TimesNewRoman" w:hAnsi="TimesNewRoman" w:cs="TimesNewRoman"/>
        </w:rPr>
        <w:t xml:space="preserve"> </w:t>
      </w:r>
      <w:r w:rsidRPr="0077052E">
        <w:rPr>
          <w:rFonts w:ascii="TimesNewRoman" w:hAnsi="TimesNewRoman" w:cs="TimesNewRoman"/>
        </w:rPr>
        <w:t>VM-</w:t>
      </w:r>
      <w:r w:rsidRPr="00DF1768">
        <w:rPr>
          <w:rFonts w:ascii="TimesNewRoman" w:hAnsi="TimesNewRoman" w:cs="TimesNewRoman"/>
        </w:rPr>
        <w:t>2</w:t>
      </w:r>
      <w:r w:rsidR="002E5D64" w:rsidRPr="00DF1768">
        <w:rPr>
          <w:rFonts w:ascii="TimesNewRoman" w:hAnsi="TimesNewRoman" w:cs="TimesNewRoman"/>
        </w:rPr>
        <w:t>1</w:t>
      </w:r>
      <w:r w:rsidRPr="00DF1768">
        <w:rPr>
          <w:rFonts w:ascii="TimesNewRoman" w:hAnsi="TimesNewRoman" w:cs="TimesNewRoman"/>
        </w:rPr>
        <w:t>.</w:t>
      </w:r>
    </w:p>
    <w:p w14:paraId="03AE8B3F" w14:textId="77777777" w:rsidR="00381875" w:rsidRPr="000E23EE" w:rsidRDefault="00381875" w:rsidP="00381875"/>
    <w:p w14:paraId="5A20B3C5" w14:textId="0A5F0EB4" w:rsidR="00381875" w:rsidRPr="0077052E" w:rsidRDefault="00381875" w:rsidP="00381875">
      <w:pPr>
        <w:tabs>
          <w:tab w:val="left" w:pos="1980"/>
        </w:tabs>
        <w:ind w:left="1710" w:hanging="1710"/>
        <w:rPr>
          <w:rFonts w:ascii="TimesNewRoman" w:hAnsi="TimesNewRoman" w:cs="TimesNewRoman"/>
        </w:rPr>
      </w:pPr>
      <w:r w:rsidRPr="0077052E">
        <w:rPr>
          <w:rFonts w:ascii="TimesNewRoman" w:hAnsi="TimesNewRoman" w:cs="TimesNewRoman"/>
        </w:rPr>
        <w:t>Column</w:t>
      </w:r>
      <w:r w:rsidR="0092243B">
        <w:rPr>
          <w:rFonts w:ascii="TimesNewRoman" w:hAnsi="TimesNewRoman" w:cs="TimesNewRoman"/>
        </w:rPr>
        <w:t xml:space="preserve">s </w:t>
      </w:r>
      <w:r w:rsidR="00454CFF">
        <w:rPr>
          <w:rFonts w:ascii="TimesNewRoman" w:hAnsi="TimesNewRoman" w:cs="TimesNewRoman"/>
        </w:rPr>
        <w:t>6</w:t>
      </w:r>
      <w:r w:rsidR="000E76DA">
        <w:rPr>
          <w:rFonts w:ascii="TimesNewRoman" w:hAnsi="TimesNewRoman" w:cs="TimesNewRoman"/>
        </w:rPr>
        <w:t xml:space="preserve"> &amp; </w:t>
      </w:r>
      <w:r w:rsidR="00454CFF">
        <w:rPr>
          <w:rFonts w:ascii="TimesNewRoman" w:hAnsi="TimesNewRoman" w:cs="TimesNewRoman"/>
        </w:rPr>
        <w:t>9</w:t>
      </w:r>
      <w:r w:rsidR="0092243B">
        <w:rPr>
          <w:rFonts w:ascii="TimesNewRoman" w:hAnsi="TimesNewRoman" w:cs="TimesNewRoman"/>
        </w:rPr>
        <w:t xml:space="preserve"> </w:t>
      </w:r>
      <w:r w:rsidRPr="0077052E">
        <w:tab/>
        <w:t>–</w:t>
      </w:r>
      <w:r w:rsidRPr="0077052E">
        <w:tab/>
      </w:r>
      <w:r w:rsidRPr="0077052E">
        <w:rPr>
          <w:rFonts w:ascii="TimesNewRoman" w:hAnsi="TimesNewRoman" w:cs="TimesNewRoman"/>
        </w:rPr>
        <w:t xml:space="preserve">Number of </w:t>
      </w:r>
      <w:r w:rsidR="00CA0CAE">
        <w:rPr>
          <w:rFonts w:ascii="TimesNewRoman" w:hAnsi="TimesNewRoman" w:cs="TimesNewRoman"/>
        </w:rPr>
        <w:t>Contracts</w:t>
      </w:r>
    </w:p>
    <w:p w14:paraId="339D7C23" w14:textId="77777777" w:rsidR="00381875" w:rsidRPr="000E23EE" w:rsidRDefault="00381875" w:rsidP="00381875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6147F57" w14:textId="30588B64" w:rsidR="004D31C1" w:rsidRPr="003E0A74" w:rsidRDefault="00381875" w:rsidP="003E0A74">
      <w:pPr>
        <w:autoSpaceDE w:val="0"/>
        <w:autoSpaceDN w:val="0"/>
        <w:adjustRightInd w:val="0"/>
        <w:ind w:left="1980"/>
        <w:rPr>
          <w:rFonts w:ascii="TimesNewRoman" w:hAnsi="TimesNewRoman" w:cs="TimesNewRoman"/>
        </w:rPr>
      </w:pPr>
      <w:r w:rsidRPr="00584A14">
        <w:rPr>
          <w:rFonts w:ascii="TimesNewRoman" w:hAnsi="TimesNewRoman" w:cs="TimesNewRoman"/>
        </w:rPr>
        <w:t xml:space="preserve">Report the number of </w:t>
      </w:r>
      <w:r w:rsidR="00BE2697" w:rsidRPr="00584A14">
        <w:rPr>
          <w:rFonts w:ascii="TimesNewRoman" w:hAnsi="TimesNewRoman" w:cs="TimesNewRoman"/>
        </w:rPr>
        <w:t xml:space="preserve">individual </w:t>
      </w:r>
      <w:r w:rsidR="00117D0D" w:rsidRPr="00584A14">
        <w:rPr>
          <w:rFonts w:ascii="TimesNewRoman" w:hAnsi="TimesNewRoman" w:cs="TimesNewRoman"/>
        </w:rPr>
        <w:t>contracts</w:t>
      </w:r>
      <w:r w:rsidR="00BE2697" w:rsidRPr="00584A14">
        <w:rPr>
          <w:rFonts w:ascii="TimesNewRoman" w:hAnsi="TimesNewRoman" w:cs="TimesNewRoman"/>
        </w:rPr>
        <w:t xml:space="preserve"> or </w:t>
      </w:r>
      <w:r w:rsidR="00AB0765" w:rsidRPr="00584A14">
        <w:rPr>
          <w:rFonts w:ascii="TimesNewRoman" w:hAnsi="TimesNewRoman" w:cs="TimesNewRoman"/>
        </w:rPr>
        <w:t>certificat</w:t>
      </w:r>
      <w:r w:rsidR="00A36E5C" w:rsidRPr="00584A14">
        <w:rPr>
          <w:rFonts w:ascii="TimesNewRoman" w:hAnsi="TimesNewRoman" w:cs="TimesNewRoman"/>
        </w:rPr>
        <w:t xml:space="preserve">es </w:t>
      </w:r>
      <w:r w:rsidR="00BE2697" w:rsidRPr="00584A14">
        <w:rPr>
          <w:rFonts w:ascii="TimesNewRoman" w:hAnsi="TimesNewRoman" w:cs="TimesNewRoman"/>
        </w:rPr>
        <w:t xml:space="preserve">in a group contract </w:t>
      </w:r>
      <w:r w:rsidRPr="00584A14">
        <w:t>by product type and by the required VM-2</w:t>
      </w:r>
      <w:r w:rsidR="002E5D64" w:rsidRPr="00584A14">
        <w:t>1</w:t>
      </w:r>
      <w:r w:rsidRPr="00584A14">
        <w:t xml:space="preserve"> methodology as described in Section A</w:t>
      </w:r>
      <w:r w:rsidR="002E5D64" w:rsidRPr="00584A14">
        <w:t xml:space="preserve"> and</w:t>
      </w:r>
      <w:r w:rsidRPr="00584A14">
        <w:t xml:space="preserve"> Section B above. The number of </w:t>
      </w:r>
      <w:r w:rsidR="00A439E7" w:rsidRPr="00584A14">
        <w:rPr>
          <w:rFonts w:ascii="TimesNewRoman" w:hAnsi="TimesNewRoman" w:cs="TimesNewRoman"/>
        </w:rPr>
        <w:t xml:space="preserve">individual contracts or certificates in a group contract </w:t>
      </w:r>
      <w:r w:rsidRPr="00584A14">
        <w:t>should be prior to any reinsurance ceded and include reinsurance assumed</w:t>
      </w:r>
      <w:r w:rsidRPr="00584A14">
        <w:rPr>
          <w:rFonts w:ascii="TimesNewRoman" w:hAnsi="TimesNewRoman" w:cs="TimesNewRoman"/>
        </w:rPr>
        <w:t>.</w:t>
      </w:r>
    </w:p>
    <w:p w14:paraId="15DFF411" w14:textId="77777777" w:rsidR="00F93F57" w:rsidRDefault="00F93F57" w:rsidP="00F93F57">
      <w:pPr>
        <w:tabs>
          <w:tab w:val="left" w:pos="1980"/>
        </w:tabs>
        <w:ind w:left="1710" w:hanging="1710"/>
      </w:pPr>
    </w:p>
    <w:p w14:paraId="12FF961E" w14:textId="3FDE486A" w:rsidR="0073095F" w:rsidRPr="0077052E" w:rsidRDefault="0073095F" w:rsidP="0073095F">
      <w:pPr>
        <w:tabs>
          <w:tab w:val="left" w:pos="1980"/>
        </w:tabs>
        <w:ind w:left="1710" w:hanging="1710"/>
      </w:pPr>
      <w:r w:rsidRPr="0077052E">
        <w:lastRenderedPageBreak/>
        <w:t>Column</w:t>
      </w:r>
      <w:r>
        <w:t xml:space="preserve"> </w:t>
      </w:r>
      <w:r w:rsidR="00454CFF">
        <w:t>8</w:t>
      </w:r>
      <w:r w:rsidRPr="0077052E">
        <w:tab/>
        <w:t>–</w:t>
      </w:r>
      <w:r w:rsidRPr="0077052E">
        <w:tab/>
      </w:r>
      <w:r w:rsidR="00454CFF">
        <w:t>Alternative Method Reserve</w:t>
      </w:r>
    </w:p>
    <w:p w14:paraId="722EBADD" w14:textId="77777777" w:rsidR="0073095F" w:rsidRPr="000E23EE" w:rsidRDefault="0073095F" w:rsidP="0073095F"/>
    <w:p w14:paraId="05C39272" w14:textId="4B0D01F6" w:rsidR="0073095F" w:rsidRPr="0095486E" w:rsidRDefault="002E5D64" w:rsidP="002F171D">
      <w:pPr>
        <w:autoSpaceDE w:val="0"/>
        <w:autoSpaceDN w:val="0"/>
        <w:adjustRightInd w:val="0"/>
        <w:ind w:left="1980"/>
        <w:rPr>
          <w:rFonts w:ascii="TimesNewRoman" w:hAnsi="TimesNewRoman" w:cs="TimesNewRoman"/>
        </w:rPr>
      </w:pPr>
      <w:proofErr w:type="gramStart"/>
      <w:r w:rsidRPr="00C5532E">
        <w:rPr>
          <w:rFonts w:ascii="TimesNewRoman" w:hAnsi="TimesNewRoman" w:cs="TimesNewRoman"/>
        </w:rPr>
        <w:t>Report</w:t>
      </w:r>
      <w:proofErr w:type="gramEnd"/>
      <w:r w:rsidRPr="00C5532E">
        <w:rPr>
          <w:rFonts w:ascii="TimesNewRoman" w:hAnsi="TimesNewRoman" w:cs="TimesNewRoman"/>
        </w:rPr>
        <w:t xml:space="preserve"> the Post-Reinsurance-Ceded</w:t>
      </w:r>
      <w:r w:rsidRPr="0077052E">
        <w:t xml:space="preserve"> and Pre-Reinsurance-Ceded</w:t>
      </w:r>
      <w:r w:rsidRPr="0077052E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Alternative Method</w:t>
      </w:r>
      <w:r w:rsidRPr="0077052E">
        <w:rPr>
          <w:rFonts w:ascii="TimesNewRoman" w:hAnsi="TimesNewRoman" w:cs="TimesNewRoman"/>
        </w:rPr>
        <w:t xml:space="preserve"> Reserve for </w:t>
      </w:r>
      <w:r w:rsidRPr="0077052E">
        <w:t xml:space="preserve">each </w:t>
      </w:r>
      <w:r w:rsidRPr="0077052E">
        <w:rPr>
          <w:rFonts w:ascii="TimesNewRoman" w:hAnsi="TimesNewRoman" w:cs="TimesNewRoman"/>
        </w:rPr>
        <w:t>product type</w:t>
      </w:r>
      <w:r>
        <w:rPr>
          <w:rFonts w:ascii="TimesNewRoman" w:hAnsi="TimesNewRoman" w:cs="TimesNewRoman"/>
        </w:rPr>
        <w:t>. Report the amount whether it is positive or negative; do not floor the amount at zero if it is negative</w:t>
      </w:r>
      <w:r w:rsidRPr="0077052E">
        <w:rPr>
          <w:rFonts w:ascii="TimesNewRoman" w:hAnsi="TimesNewRoman" w:cs="TimesNewRoman"/>
        </w:rPr>
        <w:t xml:space="preserve">. </w:t>
      </w:r>
      <w:r w:rsidRPr="0077052E">
        <w:t xml:space="preserve">The </w:t>
      </w:r>
      <w:r>
        <w:rPr>
          <w:rFonts w:ascii="TimesNewRoman" w:hAnsi="TimesNewRoman" w:cs="TimesNewRoman"/>
        </w:rPr>
        <w:t>Alternative Method</w:t>
      </w:r>
      <w:r w:rsidRPr="0077052E">
        <w:rPr>
          <w:rFonts w:ascii="TimesNewRoman" w:hAnsi="TimesNewRoman" w:cs="TimesNewRoman"/>
        </w:rPr>
        <w:t xml:space="preserve"> Reserve </w:t>
      </w:r>
      <w:r w:rsidRPr="0077052E">
        <w:t>calculation is defined</w:t>
      </w:r>
      <w:r w:rsidRPr="0077052E">
        <w:rPr>
          <w:rFonts w:ascii="TimesNewRoman" w:hAnsi="TimesNewRoman" w:cs="TimesNewRoman"/>
        </w:rPr>
        <w:t xml:space="preserve"> in Section </w:t>
      </w:r>
      <w:r>
        <w:rPr>
          <w:rFonts w:ascii="TimesNewRoman" w:hAnsi="TimesNewRoman" w:cs="TimesNewRoman"/>
        </w:rPr>
        <w:t>7</w:t>
      </w:r>
      <w:r w:rsidRPr="0077052E">
        <w:rPr>
          <w:rFonts w:ascii="TimesNewRoman" w:hAnsi="TimesNewRoman" w:cs="TimesNewRoman"/>
        </w:rPr>
        <w:t xml:space="preserve"> </w:t>
      </w:r>
      <w:r w:rsidR="00DF1768">
        <w:rPr>
          <w:rFonts w:ascii="TimesNewRoman" w:hAnsi="TimesNewRoman" w:cs="TimesNewRoman"/>
        </w:rPr>
        <w:t>of</w:t>
      </w:r>
      <w:r w:rsidR="00DF1768" w:rsidRPr="0077052E">
        <w:rPr>
          <w:rFonts w:ascii="TimesNewRoman" w:hAnsi="TimesNewRoman" w:cs="TimesNewRoman"/>
        </w:rPr>
        <w:t xml:space="preserve"> </w:t>
      </w:r>
      <w:r w:rsidRPr="0077052E">
        <w:rPr>
          <w:rFonts w:ascii="TimesNewRoman" w:hAnsi="TimesNewRoman" w:cs="TimesNewRoman"/>
        </w:rPr>
        <w:t>VM-2</w:t>
      </w:r>
      <w:r>
        <w:rPr>
          <w:rFonts w:ascii="TimesNewRoman" w:hAnsi="TimesNewRoman" w:cs="TimesNewRoman"/>
        </w:rPr>
        <w:t>1</w:t>
      </w:r>
      <w:r w:rsidRPr="00DF1768">
        <w:rPr>
          <w:rFonts w:ascii="TimesNewRoman" w:hAnsi="TimesNewRoman" w:cs="TimesNewRoman"/>
        </w:rPr>
        <w:t>.</w:t>
      </w:r>
    </w:p>
    <w:sectPr w:rsidR="0073095F" w:rsidRPr="0095486E" w:rsidSect="00727569">
      <w:footerReference w:type="default" r:id="rId15"/>
      <w:pgSz w:w="12240" w:h="15840" w:code="1"/>
      <w:pgMar w:top="1080" w:right="1080" w:bottom="1080" w:left="1080" w:header="720" w:footer="720" w:gutter="0"/>
      <w:pgNumType w:start="79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eber, Peter" w:date="2025-07-28T15:12:00Z" w:initials="PW">
    <w:p w14:paraId="6B743CB4" w14:textId="77777777" w:rsidR="00277526" w:rsidRDefault="00B9178F" w:rsidP="00277526">
      <w:pPr>
        <w:pStyle w:val="CommentText"/>
        <w:jc w:val="left"/>
      </w:pPr>
      <w:r>
        <w:rPr>
          <w:rStyle w:val="CommentReference"/>
        </w:rPr>
        <w:annotationRef/>
      </w:r>
      <w:r w:rsidR="00277526">
        <w:t xml:space="preserve">Currently, VM-21 reserves are reported in the </w:t>
      </w:r>
      <w:r w:rsidR="00277526">
        <w:rPr>
          <w:b/>
          <w:bCs/>
          <w:i/>
          <w:iCs/>
        </w:rPr>
        <w:t>Variable Annuities Supplement</w:t>
      </w:r>
      <w:r w:rsidR="00277526">
        <w:rPr>
          <w:b/>
          <w:bCs/>
        </w:rPr>
        <w:t>.</w:t>
      </w:r>
      <w:r w:rsidR="00277526">
        <w:t xml:space="preserve"> VM-22 is set to report in the </w:t>
      </w:r>
      <w:r w:rsidR="00277526">
        <w:rPr>
          <w:b/>
          <w:bCs/>
          <w:i/>
          <w:iCs/>
        </w:rPr>
        <w:t>VM-22 Reserves Supplement</w:t>
      </w:r>
      <w:r w:rsidR="00277526">
        <w:t xml:space="preserve">. VM-20 reports in the </w:t>
      </w:r>
      <w:r w:rsidR="00277526">
        <w:rPr>
          <w:b/>
          <w:bCs/>
          <w:i/>
          <w:iCs/>
        </w:rPr>
        <w:t>VM20 Reserve Supplement</w:t>
      </w:r>
      <w:r w:rsidR="00277526">
        <w:t xml:space="preserve">. Based on this, the VA supplement will be renamed to </w:t>
      </w:r>
      <w:r w:rsidR="00277526">
        <w:rPr>
          <w:b/>
          <w:bCs/>
          <w:i/>
          <w:iCs/>
        </w:rPr>
        <w:t>VM-21 Reserve Supplement</w:t>
      </w:r>
      <w:r w:rsidR="00277526">
        <w:t xml:space="preserve"> to conform with the other two.</w:t>
      </w:r>
    </w:p>
  </w:comment>
  <w:comment w:id="1" w:author="Weber, Peter" w:date="2025-07-29T06:50:00Z" w:initials="PW">
    <w:p w14:paraId="4239CF41" w14:textId="3121ED07" w:rsidR="009773EB" w:rsidRDefault="009773EB" w:rsidP="009773EB">
      <w:pPr>
        <w:pStyle w:val="CommentText"/>
        <w:jc w:val="left"/>
      </w:pPr>
      <w:r>
        <w:rPr>
          <w:rStyle w:val="CommentReference"/>
        </w:rPr>
        <w:annotationRef/>
      </w:r>
      <w:r>
        <w:rPr>
          <w:b/>
          <w:bCs/>
        </w:rPr>
        <w:t>Drafting Question:</w:t>
      </w:r>
      <w:r>
        <w:t xml:space="preserve"> Is it desired to have separate tables for individual contracts and for group contracts with individual certificates or can they be combined?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743CB4" w15:done="0"/>
  <w15:commentEx w15:paraId="4239CF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2692EA" w16cex:dateUtc="2025-07-28T19:12:00Z"/>
  <w16cex:commentExtensible w16cex:durableId="77D11F4C" w16cex:dateUtc="2025-07-29T1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743CB4" w16cid:durableId="232692EA"/>
  <w16cid:commentId w16cid:paraId="4239CF41" w16cid:durableId="77D11F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03DC" w14:textId="77777777" w:rsidR="00680BB4" w:rsidRDefault="00680BB4" w:rsidP="00ED6287">
      <w:r>
        <w:separator/>
      </w:r>
    </w:p>
  </w:endnote>
  <w:endnote w:type="continuationSeparator" w:id="0">
    <w:p w14:paraId="082759B3" w14:textId="77777777" w:rsidR="00680BB4" w:rsidRDefault="00680BB4" w:rsidP="00ED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1A4D" w14:textId="7745CFDE" w:rsidR="00ED6287" w:rsidRPr="00B155BA" w:rsidRDefault="001910E4" w:rsidP="00A93A19">
    <w:pPr>
      <w:tabs>
        <w:tab w:val="center" w:pos="5040"/>
        <w:tab w:val="right" w:pos="10080"/>
      </w:tabs>
      <w:rPr>
        <w:sz w:val="16"/>
        <w:szCs w:val="16"/>
      </w:rPr>
    </w:pPr>
    <w:r>
      <w:rPr>
        <w:sz w:val="16"/>
        <w:szCs w:val="16"/>
      </w:rPr>
      <w:t>©2019 – 202</w:t>
    </w:r>
    <w:r w:rsidR="00AC4F07">
      <w:rPr>
        <w:sz w:val="16"/>
        <w:szCs w:val="16"/>
      </w:rPr>
      <w:t>6</w:t>
    </w:r>
    <w:r>
      <w:rPr>
        <w:sz w:val="16"/>
        <w:szCs w:val="16"/>
      </w:rPr>
      <w:t xml:space="preserve"> National Association of Insurance Commissioners</w:t>
    </w:r>
    <w:r w:rsidR="00A93A19"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E223" w14:textId="77777777" w:rsidR="00680BB4" w:rsidRDefault="00680BB4" w:rsidP="00ED6287">
      <w:r>
        <w:separator/>
      </w:r>
    </w:p>
  </w:footnote>
  <w:footnote w:type="continuationSeparator" w:id="0">
    <w:p w14:paraId="3CC5C4C1" w14:textId="77777777" w:rsidR="00680BB4" w:rsidRDefault="00680BB4" w:rsidP="00ED6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747"/>
    <w:multiLevelType w:val="hybridMultilevel"/>
    <w:tmpl w:val="2188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EC2"/>
    <w:multiLevelType w:val="hybridMultilevel"/>
    <w:tmpl w:val="448E9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B371E"/>
    <w:multiLevelType w:val="hybridMultilevel"/>
    <w:tmpl w:val="5C5C93EA"/>
    <w:lvl w:ilvl="0" w:tplc="0409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3" w15:restartNumberingAfterBreak="0">
    <w:nsid w:val="62FD4F69"/>
    <w:multiLevelType w:val="hybridMultilevel"/>
    <w:tmpl w:val="525CE25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28006170">
    <w:abstractNumId w:val="0"/>
  </w:num>
  <w:num w:numId="2" w16cid:durableId="1049301030">
    <w:abstractNumId w:val="3"/>
  </w:num>
  <w:num w:numId="3" w16cid:durableId="987710340">
    <w:abstractNumId w:val="1"/>
  </w:num>
  <w:num w:numId="4" w16cid:durableId="196322192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ber, Peter">
    <w15:presenceInfo w15:providerId="AD" w15:userId="S::10083080@id.ohio.gov::816e736e-4860-4a28-9fd7-01c1aa45bb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NotTrackMoves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8"/>
    <w:rsid w:val="000103C9"/>
    <w:rsid w:val="000128DF"/>
    <w:rsid w:val="000130D8"/>
    <w:rsid w:val="00023189"/>
    <w:rsid w:val="00023C20"/>
    <w:rsid w:val="000241DB"/>
    <w:rsid w:val="00027E63"/>
    <w:rsid w:val="00027E84"/>
    <w:rsid w:val="0004486D"/>
    <w:rsid w:val="0006245C"/>
    <w:rsid w:val="0006549B"/>
    <w:rsid w:val="00072354"/>
    <w:rsid w:val="000849BD"/>
    <w:rsid w:val="00086C5D"/>
    <w:rsid w:val="0009172C"/>
    <w:rsid w:val="000A2885"/>
    <w:rsid w:val="000B5B72"/>
    <w:rsid w:val="000C07EB"/>
    <w:rsid w:val="000C31AF"/>
    <w:rsid w:val="000D73A2"/>
    <w:rsid w:val="000E76DA"/>
    <w:rsid w:val="000F3677"/>
    <w:rsid w:val="000F7D60"/>
    <w:rsid w:val="00100E2C"/>
    <w:rsid w:val="00116ABB"/>
    <w:rsid w:val="00117D0D"/>
    <w:rsid w:val="001212E5"/>
    <w:rsid w:val="00123774"/>
    <w:rsid w:val="001311CB"/>
    <w:rsid w:val="00142D9D"/>
    <w:rsid w:val="00146FE4"/>
    <w:rsid w:val="00147511"/>
    <w:rsid w:val="00157D43"/>
    <w:rsid w:val="001610A5"/>
    <w:rsid w:val="00177E55"/>
    <w:rsid w:val="00183802"/>
    <w:rsid w:val="00185A2C"/>
    <w:rsid w:val="001910E4"/>
    <w:rsid w:val="001918E8"/>
    <w:rsid w:val="00193019"/>
    <w:rsid w:val="001951B0"/>
    <w:rsid w:val="001A0DB5"/>
    <w:rsid w:val="001A2CB8"/>
    <w:rsid w:val="001A3543"/>
    <w:rsid w:val="001C0CE2"/>
    <w:rsid w:val="001C6133"/>
    <w:rsid w:val="001C628A"/>
    <w:rsid w:val="001E30A7"/>
    <w:rsid w:val="001E6427"/>
    <w:rsid w:val="001F0073"/>
    <w:rsid w:val="00200B4E"/>
    <w:rsid w:val="002019D5"/>
    <w:rsid w:val="00204D42"/>
    <w:rsid w:val="00211C4A"/>
    <w:rsid w:val="00220D7B"/>
    <w:rsid w:val="0022236F"/>
    <w:rsid w:val="00231785"/>
    <w:rsid w:val="00232F26"/>
    <w:rsid w:val="00240BB0"/>
    <w:rsid w:val="00262AF0"/>
    <w:rsid w:val="00263274"/>
    <w:rsid w:val="00267E85"/>
    <w:rsid w:val="00267F1E"/>
    <w:rsid w:val="002720E4"/>
    <w:rsid w:val="002736FA"/>
    <w:rsid w:val="0027386B"/>
    <w:rsid w:val="00274F4E"/>
    <w:rsid w:val="00277526"/>
    <w:rsid w:val="00291736"/>
    <w:rsid w:val="0029284B"/>
    <w:rsid w:val="00294865"/>
    <w:rsid w:val="002A2315"/>
    <w:rsid w:val="002A45F8"/>
    <w:rsid w:val="002B0B39"/>
    <w:rsid w:val="002D1CE5"/>
    <w:rsid w:val="002D2B2A"/>
    <w:rsid w:val="002D4DDB"/>
    <w:rsid w:val="002D6803"/>
    <w:rsid w:val="002E2F3D"/>
    <w:rsid w:val="002E34C3"/>
    <w:rsid w:val="002E5D64"/>
    <w:rsid w:val="002E6FB2"/>
    <w:rsid w:val="002F171D"/>
    <w:rsid w:val="002F7FA0"/>
    <w:rsid w:val="00300D19"/>
    <w:rsid w:val="0031207D"/>
    <w:rsid w:val="00314036"/>
    <w:rsid w:val="00331520"/>
    <w:rsid w:val="00343AB4"/>
    <w:rsid w:val="00345D1C"/>
    <w:rsid w:val="003478D4"/>
    <w:rsid w:val="00353A1B"/>
    <w:rsid w:val="00353AE4"/>
    <w:rsid w:val="00376152"/>
    <w:rsid w:val="003802A9"/>
    <w:rsid w:val="00381875"/>
    <w:rsid w:val="003857B5"/>
    <w:rsid w:val="00395FAD"/>
    <w:rsid w:val="003B1581"/>
    <w:rsid w:val="003C09A2"/>
    <w:rsid w:val="003C3248"/>
    <w:rsid w:val="003C3B47"/>
    <w:rsid w:val="003D51D1"/>
    <w:rsid w:val="003D54DA"/>
    <w:rsid w:val="003E0A74"/>
    <w:rsid w:val="003E582C"/>
    <w:rsid w:val="003F7B0E"/>
    <w:rsid w:val="003F7BC6"/>
    <w:rsid w:val="00400C6D"/>
    <w:rsid w:val="00401BE5"/>
    <w:rsid w:val="00404A59"/>
    <w:rsid w:val="004142EC"/>
    <w:rsid w:val="00417E1E"/>
    <w:rsid w:val="00420C4F"/>
    <w:rsid w:val="004240DF"/>
    <w:rsid w:val="00451F70"/>
    <w:rsid w:val="00454CFF"/>
    <w:rsid w:val="00465766"/>
    <w:rsid w:val="004708B1"/>
    <w:rsid w:val="004A2AC6"/>
    <w:rsid w:val="004C1626"/>
    <w:rsid w:val="004D31C1"/>
    <w:rsid w:val="005075AE"/>
    <w:rsid w:val="00512B50"/>
    <w:rsid w:val="0051337A"/>
    <w:rsid w:val="005263AE"/>
    <w:rsid w:val="00533139"/>
    <w:rsid w:val="005440FC"/>
    <w:rsid w:val="00550AC2"/>
    <w:rsid w:val="00562D66"/>
    <w:rsid w:val="005751E2"/>
    <w:rsid w:val="005767A9"/>
    <w:rsid w:val="005833C6"/>
    <w:rsid w:val="00584A14"/>
    <w:rsid w:val="0059454B"/>
    <w:rsid w:val="005947A3"/>
    <w:rsid w:val="0059586A"/>
    <w:rsid w:val="00597B94"/>
    <w:rsid w:val="005A2CB7"/>
    <w:rsid w:val="005A471D"/>
    <w:rsid w:val="005B2A82"/>
    <w:rsid w:val="005B63D5"/>
    <w:rsid w:val="005B786A"/>
    <w:rsid w:val="005C3BCB"/>
    <w:rsid w:val="005D2D52"/>
    <w:rsid w:val="005D4012"/>
    <w:rsid w:val="005D6175"/>
    <w:rsid w:val="005E1331"/>
    <w:rsid w:val="005E2E13"/>
    <w:rsid w:val="005F4A88"/>
    <w:rsid w:val="005F7BB2"/>
    <w:rsid w:val="006054B2"/>
    <w:rsid w:val="00605EDE"/>
    <w:rsid w:val="0061097A"/>
    <w:rsid w:val="00612746"/>
    <w:rsid w:val="0062276F"/>
    <w:rsid w:val="00637466"/>
    <w:rsid w:val="00650C80"/>
    <w:rsid w:val="00655933"/>
    <w:rsid w:val="00663916"/>
    <w:rsid w:val="00671CDB"/>
    <w:rsid w:val="00672C00"/>
    <w:rsid w:val="00680BB4"/>
    <w:rsid w:val="00681362"/>
    <w:rsid w:val="0068255B"/>
    <w:rsid w:val="00685838"/>
    <w:rsid w:val="006878E8"/>
    <w:rsid w:val="006B633A"/>
    <w:rsid w:val="006C0AFA"/>
    <w:rsid w:val="006C4D26"/>
    <w:rsid w:val="006D6620"/>
    <w:rsid w:val="006F32C5"/>
    <w:rsid w:val="007039E9"/>
    <w:rsid w:val="00723A4C"/>
    <w:rsid w:val="00725BAC"/>
    <w:rsid w:val="00727569"/>
    <w:rsid w:val="0073095F"/>
    <w:rsid w:val="00743530"/>
    <w:rsid w:val="007439C8"/>
    <w:rsid w:val="00746815"/>
    <w:rsid w:val="00756575"/>
    <w:rsid w:val="00762991"/>
    <w:rsid w:val="00763F29"/>
    <w:rsid w:val="00764737"/>
    <w:rsid w:val="00765D23"/>
    <w:rsid w:val="00783715"/>
    <w:rsid w:val="007876A6"/>
    <w:rsid w:val="0079633C"/>
    <w:rsid w:val="007A2DE0"/>
    <w:rsid w:val="007B0DD7"/>
    <w:rsid w:val="007B444F"/>
    <w:rsid w:val="007C26A7"/>
    <w:rsid w:val="007D71A1"/>
    <w:rsid w:val="007E3D79"/>
    <w:rsid w:val="007F3303"/>
    <w:rsid w:val="007F5D2D"/>
    <w:rsid w:val="007F7474"/>
    <w:rsid w:val="008034C4"/>
    <w:rsid w:val="00806113"/>
    <w:rsid w:val="008064ED"/>
    <w:rsid w:val="00811993"/>
    <w:rsid w:val="008151CC"/>
    <w:rsid w:val="00823EA8"/>
    <w:rsid w:val="00825572"/>
    <w:rsid w:val="00830288"/>
    <w:rsid w:val="008308A9"/>
    <w:rsid w:val="008320B2"/>
    <w:rsid w:val="00834984"/>
    <w:rsid w:val="008354F1"/>
    <w:rsid w:val="008361B2"/>
    <w:rsid w:val="00845B0C"/>
    <w:rsid w:val="008525A6"/>
    <w:rsid w:val="00852B37"/>
    <w:rsid w:val="008553E6"/>
    <w:rsid w:val="008639AF"/>
    <w:rsid w:val="00870E4F"/>
    <w:rsid w:val="0087719D"/>
    <w:rsid w:val="008A25D0"/>
    <w:rsid w:val="008B15FF"/>
    <w:rsid w:val="008C2CB4"/>
    <w:rsid w:val="008C3F5E"/>
    <w:rsid w:val="008C6453"/>
    <w:rsid w:val="008D2B81"/>
    <w:rsid w:val="008E5793"/>
    <w:rsid w:val="008E627E"/>
    <w:rsid w:val="008E6CFD"/>
    <w:rsid w:val="008E7387"/>
    <w:rsid w:val="008F1F81"/>
    <w:rsid w:val="008F2C40"/>
    <w:rsid w:val="009037DF"/>
    <w:rsid w:val="009124B1"/>
    <w:rsid w:val="00914F2F"/>
    <w:rsid w:val="00917080"/>
    <w:rsid w:val="00917CCD"/>
    <w:rsid w:val="0092243B"/>
    <w:rsid w:val="00923E65"/>
    <w:rsid w:val="00927EA1"/>
    <w:rsid w:val="00936A81"/>
    <w:rsid w:val="00940573"/>
    <w:rsid w:val="009465BF"/>
    <w:rsid w:val="00952151"/>
    <w:rsid w:val="0095486E"/>
    <w:rsid w:val="009638BA"/>
    <w:rsid w:val="009676CA"/>
    <w:rsid w:val="009706AD"/>
    <w:rsid w:val="009773EB"/>
    <w:rsid w:val="0098033C"/>
    <w:rsid w:val="00980DE2"/>
    <w:rsid w:val="0098460F"/>
    <w:rsid w:val="009A3C03"/>
    <w:rsid w:val="009B03D0"/>
    <w:rsid w:val="009B53EB"/>
    <w:rsid w:val="009B6ABF"/>
    <w:rsid w:val="009C659B"/>
    <w:rsid w:val="009D0D17"/>
    <w:rsid w:val="009F5427"/>
    <w:rsid w:val="00A2011D"/>
    <w:rsid w:val="00A24A96"/>
    <w:rsid w:val="00A2569C"/>
    <w:rsid w:val="00A32D63"/>
    <w:rsid w:val="00A33B26"/>
    <w:rsid w:val="00A34FC7"/>
    <w:rsid w:val="00A36E5C"/>
    <w:rsid w:val="00A439B8"/>
    <w:rsid w:val="00A439E7"/>
    <w:rsid w:val="00A52B17"/>
    <w:rsid w:val="00A53DDD"/>
    <w:rsid w:val="00A65613"/>
    <w:rsid w:val="00A7203C"/>
    <w:rsid w:val="00A72AFA"/>
    <w:rsid w:val="00A76823"/>
    <w:rsid w:val="00A80120"/>
    <w:rsid w:val="00A82257"/>
    <w:rsid w:val="00A93A19"/>
    <w:rsid w:val="00AB0765"/>
    <w:rsid w:val="00AB17DC"/>
    <w:rsid w:val="00AC1233"/>
    <w:rsid w:val="00AC18AA"/>
    <w:rsid w:val="00AC4F07"/>
    <w:rsid w:val="00AC577C"/>
    <w:rsid w:val="00AD6ECE"/>
    <w:rsid w:val="00AD7AAB"/>
    <w:rsid w:val="00AE3FF3"/>
    <w:rsid w:val="00AE4E7A"/>
    <w:rsid w:val="00AE54AA"/>
    <w:rsid w:val="00AE5F5B"/>
    <w:rsid w:val="00AE79C6"/>
    <w:rsid w:val="00AF08BA"/>
    <w:rsid w:val="00AF314E"/>
    <w:rsid w:val="00AF7D3C"/>
    <w:rsid w:val="00B049A9"/>
    <w:rsid w:val="00B06451"/>
    <w:rsid w:val="00B0695E"/>
    <w:rsid w:val="00B10011"/>
    <w:rsid w:val="00B11239"/>
    <w:rsid w:val="00B127EB"/>
    <w:rsid w:val="00B12D33"/>
    <w:rsid w:val="00B2679E"/>
    <w:rsid w:val="00B27695"/>
    <w:rsid w:val="00B3293B"/>
    <w:rsid w:val="00B3299B"/>
    <w:rsid w:val="00B33E21"/>
    <w:rsid w:val="00B34B11"/>
    <w:rsid w:val="00B4637C"/>
    <w:rsid w:val="00B47732"/>
    <w:rsid w:val="00B6574A"/>
    <w:rsid w:val="00B80F9D"/>
    <w:rsid w:val="00B81BF9"/>
    <w:rsid w:val="00B9178F"/>
    <w:rsid w:val="00B91FE0"/>
    <w:rsid w:val="00B942D0"/>
    <w:rsid w:val="00B97920"/>
    <w:rsid w:val="00BA155B"/>
    <w:rsid w:val="00BA1562"/>
    <w:rsid w:val="00BA3166"/>
    <w:rsid w:val="00BA5C9F"/>
    <w:rsid w:val="00BB4243"/>
    <w:rsid w:val="00BC61C4"/>
    <w:rsid w:val="00BD17B4"/>
    <w:rsid w:val="00BD44B7"/>
    <w:rsid w:val="00BD5409"/>
    <w:rsid w:val="00BE2697"/>
    <w:rsid w:val="00BE4231"/>
    <w:rsid w:val="00BF3954"/>
    <w:rsid w:val="00BF4410"/>
    <w:rsid w:val="00BF53BB"/>
    <w:rsid w:val="00C01FCE"/>
    <w:rsid w:val="00C07CA8"/>
    <w:rsid w:val="00C2759A"/>
    <w:rsid w:val="00C330FC"/>
    <w:rsid w:val="00C333A7"/>
    <w:rsid w:val="00C37320"/>
    <w:rsid w:val="00C37514"/>
    <w:rsid w:val="00C419C7"/>
    <w:rsid w:val="00C46853"/>
    <w:rsid w:val="00C4758D"/>
    <w:rsid w:val="00C5471B"/>
    <w:rsid w:val="00C577CD"/>
    <w:rsid w:val="00C6326F"/>
    <w:rsid w:val="00C6355D"/>
    <w:rsid w:val="00C6410D"/>
    <w:rsid w:val="00C716BF"/>
    <w:rsid w:val="00C7188B"/>
    <w:rsid w:val="00C758AD"/>
    <w:rsid w:val="00C80B81"/>
    <w:rsid w:val="00C82514"/>
    <w:rsid w:val="00C85C85"/>
    <w:rsid w:val="00C876FD"/>
    <w:rsid w:val="00C9195C"/>
    <w:rsid w:val="00C927E0"/>
    <w:rsid w:val="00C941BA"/>
    <w:rsid w:val="00CA0143"/>
    <w:rsid w:val="00CA0CAE"/>
    <w:rsid w:val="00CA6EE7"/>
    <w:rsid w:val="00CC41F0"/>
    <w:rsid w:val="00CC626A"/>
    <w:rsid w:val="00CC6911"/>
    <w:rsid w:val="00D00383"/>
    <w:rsid w:val="00D04E4A"/>
    <w:rsid w:val="00D1441F"/>
    <w:rsid w:val="00D2328B"/>
    <w:rsid w:val="00D36941"/>
    <w:rsid w:val="00D37433"/>
    <w:rsid w:val="00D4663E"/>
    <w:rsid w:val="00D46BE1"/>
    <w:rsid w:val="00D51427"/>
    <w:rsid w:val="00D55F07"/>
    <w:rsid w:val="00D626A7"/>
    <w:rsid w:val="00D67AFA"/>
    <w:rsid w:val="00D81D57"/>
    <w:rsid w:val="00D96778"/>
    <w:rsid w:val="00DA18C2"/>
    <w:rsid w:val="00DB15A5"/>
    <w:rsid w:val="00DB2D09"/>
    <w:rsid w:val="00DC155F"/>
    <w:rsid w:val="00DC4BF8"/>
    <w:rsid w:val="00DC4DD2"/>
    <w:rsid w:val="00DC5D97"/>
    <w:rsid w:val="00DC5EA4"/>
    <w:rsid w:val="00DC75A7"/>
    <w:rsid w:val="00DD2E77"/>
    <w:rsid w:val="00DD519B"/>
    <w:rsid w:val="00DE68F2"/>
    <w:rsid w:val="00DE789B"/>
    <w:rsid w:val="00DF02F6"/>
    <w:rsid w:val="00DF1768"/>
    <w:rsid w:val="00E05E87"/>
    <w:rsid w:val="00E1186B"/>
    <w:rsid w:val="00E11B09"/>
    <w:rsid w:val="00E11C72"/>
    <w:rsid w:val="00E24902"/>
    <w:rsid w:val="00E27828"/>
    <w:rsid w:val="00E33421"/>
    <w:rsid w:val="00E34D64"/>
    <w:rsid w:val="00E3522F"/>
    <w:rsid w:val="00E35F8B"/>
    <w:rsid w:val="00E40957"/>
    <w:rsid w:val="00E4223B"/>
    <w:rsid w:val="00E43764"/>
    <w:rsid w:val="00E45C1E"/>
    <w:rsid w:val="00E50001"/>
    <w:rsid w:val="00E644D4"/>
    <w:rsid w:val="00E729F2"/>
    <w:rsid w:val="00E72A9E"/>
    <w:rsid w:val="00E77A7B"/>
    <w:rsid w:val="00E90AC3"/>
    <w:rsid w:val="00E91918"/>
    <w:rsid w:val="00E92D19"/>
    <w:rsid w:val="00EB72E6"/>
    <w:rsid w:val="00EC0AAC"/>
    <w:rsid w:val="00ED6287"/>
    <w:rsid w:val="00EE446D"/>
    <w:rsid w:val="00EE4688"/>
    <w:rsid w:val="00EE636C"/>
    <w:rsid w:val="00EE78E0"/>
    <w:rsid w:val="00EF434A"/>
    <w:rsid w:val="00F04EB9"/>
    <w:rsid w:val="00F0603E"/>
    <w:rsid w:val="00F11A17"/>
    <w:rsid w:val="00F143F5"/>
    <w:rsid w:val="00F24C59"/>
    <w:rsid w:val="00F305B7"/>
    <w:rsid w:val="00F40AA0"/>
    <w:rsid w:val="00F5143E"/>
    <w:rsid w:val="00F61107"/>
    <w:rsid w:val="00F61C78"/>
    <w:rsid w:val="00F6225C"/>
    <w:rsid w:val="00F63486"/>
    <w:rsid w:val="00F66B02"/>
    <w:rsid w:val="00F71C97"/>
    <w:rsid w:val="00F75992"/>
    <w:rsid w:val="00F76F9B"/>
    <w:rsid w:val="00F80F7B"/>
    <w:rsid w:val="00F93F57"/>
    <w:rsid w:val="00FA60DB"/>
    <w:rsid w:val="00FB072E"/>
    <w:rsid w:val="00FB3291"/>
    <w:rsid w:val="00FB5C78"/>
    <w:rsid w:val="00FB7258"/>
    <w:rsid w:val="00FC10F2"/>
    <w:rsid w:val="00FC3234"/>
    <w:rsid w:val="00FD2033"/>
    <w:rsid w:val="00FD254D"/>
    <w:rsid w:val="00FE6F75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17801"/>
  <w15:chartTrackingRefBased/>
  <w15:docId w15:val="{1B2D7F8D-E0C9-45C9-8035-FF11D249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EA8"/>
    <w:pPr>
      <w:jc w:val="both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823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EA8"/>
  </w:style>
  <w:style w:type="character" w:customStyle="1" w:styleId="CommentTextChar">
    <w:name w:val="Comment Text Char"/>
    <w:link w:val="CommentText"/>
    <w:uiPriority w:val="99"/>
    <w:rsid w:val="00823EA8"/>
    <w:rPr>
      <w:rFonts w:eastAsia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E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23EA8"/>
    <w:rPr>
      <w:rFonts w:eastAsia="Times New Roman" w:cs="Times New Roman"/>
      <w:b/>
      <w:bCs/>
      <w:szCs w:val="20"/>
    </w:rPr>
  </w:style>
  <w:style w:type="paragraph" w:styleId="Revision">
    <w:name w:val="Revision"/>
    <w:hidden/>
    <w:uiPriority w:val="99"/>
    <w:semiHidden/>
    <w:rsid w:val="00823EA8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3E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62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6287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ED62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6287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FC10F2"/>
    <w:pPr>
      <w:ind w:left="720"/>
      <w:contextualSpacing/>
      <w:jc w:val="left"/>
    </w:pPr>
    <w:rPr>
      <w:rFonts w:ascii="Franklin Gothic Book" w:hAnsi="Franklin Gothic 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2025-04-16T21:10:29+00:00</_EndDate>
    <StartDate xmlns="http://schemas.microsoft.com/sharepoint/v3">2025-04-16T21:10:29+00:00</StartDate>
    <Location xmlns="http://schemas.microsoft.com/sharepoint/v3/fields" xsi:nil="true"/>
    <Meeting_x0020_Type xmlns="734dc620-9a3c-4363-b6b2-552d0a5c0a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73D0C-E243-472C-97A9-A2FD0B197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2D5A3-5737-44CF-8BAB-2CA48C512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28B35-B885-469E-8B74-7DA4EEBF8843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4.xml><?xml version="1.0" encoding="utf-8"?>
<ds:datastoreItem xmlns:ds="http://schemas.openxmlformats.org/officeDocument/2006/customXml" ds:itemID="{A29B217A-7C41-489C-8862-C3DE1BEFFD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NAIC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Calvin</dc:creator>
  <cp:keywords/>
  <cp:lastModifiedBy>Weber, Peter</cp:lastModifiedBy>
  <cp:revision>36</cp:revision>
  <cp:lastPrinted>2025-07-29T20:42:00Z</cp:lastPrinted>
  <dcterms:created xsi:type="dcterms:W3CDTF">2025-07-25T16:29:00Z</dcterms:created>
  <dcterms:modified xsi:type="dcterms:W3CDTF">2025-08-13T18:41:00Z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Order">
    <vt:r8>2590500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