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2F9EA" w14:textId="728622C4" w:rsidR="00EC78BF" w:rsidRPr="00EC78BF" w:rsidRDefault="00EC78BF" w:rsidP="00EF207F">
      <w:pPr>
        <w:spacing w:after="0"/>
        <w:jc w:val="center"/>
        <w:rPr>
          <w:b/>
          <w:bCs/>
        </w:rPr>
      </w:pPr>
      <w:r w:rsidRPr="00EC78BF">
        <w:rPr>
          <w:b/>
          <w:bCs/>
        </w:rPr>
        <w:t>Statutory Accounting Principles (E) Working Group</w:t>
      </w:r>
    </w:p>
    <w:p w14:paraId="7929B607" w14:textId="6738821D" w:rsidR="00EC78BF" w:rsidRPr="00EC78BF" w:rsidRDefault="00EC78BF" w:rsidP="00EF207F">
      <w:pPr>
        <w:spacing w:after="0"/>
        <w:jc w:val="center"/>
        <w:rPr>
          <w:b/>
          <w:bCs/>
        </w:rPr>
      </w:pPr>
      <w:r w:rsidRPr="00EC78BF">
        <w:rPr>
          <w:b/>
          <w:bCs/>
        </w:rPr>
        <w:t>Proposed Bond Definition</w:t>
      </w:r>
    </w:p>
    <w:p w14:paraId="7DE49163" w14:textId="509E9DDF" w:rsidR="00EC78BF" w:rsidRDefault="00EC78BF" w:rsidP="00EF207F">
      <w:pPr>
        <w:spacing w:after="0"/>
        <w:jc w:val="center"/>
        <w:rPr>
          <w:b/>
          <w:bCs/>
        </w:rPr>
      </w:pPr>
      <w:r w:rsidRPr="00EC78BF">
        <w:rPr>
          <w:b/>
          <w:bCs/>
        </w:rPr>
        <w:t>May 20, 2021</w:t>
      </w:r>
    </w:p>
    <w:p w14:paraId="701B5365" w14:textId="635B2C4C" w:rsidR="007B4F62" w:rsidRPr="00316BE3" w:rsidRDefault="007B4F62" w:rsidP="00EF207F">
      <w:pPr>
        <w:spacing w:after="0"/>
        <w:jc w:val="center"/>
        <w:rPr>
          <w:rFonts w:ascii="Times New Roman" w:hAnsi="Times New Roman" w:cs="Times New Roman"/>
          <w:b/>
          <w:bCs/>
        </w:rPr>
      </w:pPr>
    </w:p>
    <w:p w14:paraId="3BBF3AF3" w14:textId="0F35C153" w:rsidR="007B4F62" w:rsidRPr="00316BE3" w:rsidRDefault="007B4F62" w:rsidP="00F12B38">
      <w:pPr>
        <w:spacing w:after="0"/>
        <w:jc w:val="both"/>
        <w:rPr>
          <w:rFonts w:ascii="Times New Roman" w:hAnsi="Times New Roman" w:cs="Times New Roman"/>
          <w:b/>
          <w:bCs/>
        </w:rPr>
      </w:pPr>
      <w:r w:rsidRPr="00316BE3">
        <w:rPr>
          <w:rFonts w:ascii="Times New Roman" w:hAnsi="Times New Roman" w:cs="Times New Roman"/>
          <w:b/>
          <w:bCs/>
        </w:rPr>
        <w:t xml:space="preserve">Note: </w:t>
      </w:r>
      <w:r w:rsidR="00F12B38" w:rsidRPr="00316BE3">
        <w:rPr>
          <w:rFonts w:ascii="Times New Roman" w:hAnsi="Times New Roman" w:cs="Times New Roman"/>
          <w:b/>
          <w:bCs/>
          <w:color w:val="111821"/>
        </w:rPr>
        <w:t xml:space="preserve">On Aug 26, 2021, the Working Group directed NAIC staff to utilize the proposed bond concepts </w:t>
      </w:r>
      <w:r w:rsidR="00F12B38" w:rsidRPr="00316BE3">
        <w:rPr>
          <w:rFonts w:ascii="Times New Roman" w:hAnsi="Times New Roman" w:cs="Times New Roman"/>
          <w:b/>
          <w:bCs/>
          <w:color w:val="111821"/>
        </w:rPr>
        <w:t xml:space="preserve">detailed within </w:t>
      </w:r>
      <w:r w:rsidR="00F12B38" w:rsidRPr="00316BE3">
        <w:rPr>
          <w:rFonts w:ascii="Times New Roman" w:hAnsi="Times New Roman" w:cs="Times New Roman"/>
          <w:b/>
          <w:bCs/>
          <w:color w:val="111821"/>
        </w:rPr>
        <w:t xml:space="preserve">to move forward with </w:t>
      </w:r>
      <w:r w:rsidR="00F12B38" w:rsidRPr="00316BE3">
        <w:rPr>
          <w:rFonts w:ascii="Times New Roman" w:hAnsi="Times New Roman" w:cs="Times New Roman"/>
          <w:b/>
          <w:bCs/>
          <w:color w:val="111821"/>
        </w:rPr>
        <w:t xml:space="preserve">drafting </w:t>
      </w:r>
      <w:r w:rsidR="00F12B38" w:rsidRPr="00316BE3">
        <w:rPr>
          <w:rFonts w:ascii="Times New Roman" w:hAnsi="Times New Roman" w:cs="Times New Roman"/>
          <w:b/>
          <w:bCs/>
          <w:color w:val="111821"/>
        </w:rPr>
        <w:t>an issue paper and SAP revisions. These concepts should not be considered final as further discussion and deliberation will occur throughout the process. Although not formally exposed, comments or questions can continue to be submitted to NAIC staff for consideration by the 43R Study Group during the issue paper development process.</w:t>
      </w:r>
    </w:p>
    <w:p w14:paraId="5673B032" w14:textId="7B0BC4ED" w:rsidR="00EC78BF" w:rsidRDefault="00EC78BF" w:rsidP="00EF207F">
      <w:pPr>
        <w:spacing w:after="0"/>
        <w:jc w:val="both"/>
      </w:pPr>
    </w:p>
    <w:p w14:paraId="15DC67F3" w14:textId="504D05EA" w:rsidR="00EC78BF" w:rsidRDefault="00EC78BF" w:rsidP="00EF207F">
      <w:pPr>
        <w:pStyle w:val="BodyText2"/>
        <w:pBdr>
          <w:top w:val="single" w:sz="4" w:space="1" w:color="auto"/>
          <w:left w:val="single" w:sz="4" w:space="4" w:color="auto"/>
          <w:bottom w:val="single" w:sz="4" w:space="1" w:color="auto"/>
          <w:right w:val="single" w:sz="4" w:space="4" w:color="auto"/>
        </w:pBdr>
        <w:rPr>
          <w:szCs w:val="22"/>
        </w:rPr>
      </w:pPr>
      <w:r w:rsidRPr="00492DE2">
        <w:rPr>
          <w:b w:val="0"/>
          <w:bCs w:val="0"/>
          <w:i/>
          <w:iCs/>
        </w:rPr>
        <w:t>Introduction:</w:t>
      </w:r>
      <w:r>
        <w:rPr>
          <w:b w:val="0"/>
          <w:bCs w:val="0"/>
        </w:rPr>
        <w:t xml:space="preserve"> Pursuant to the direction from the Statutory Accounting Principles (E) Working Group in October 2020, a small group of regulators and industry have been meeting regularly to draft a bond </w:t>
      </w:r>
      <w:r w:rsidR="00835BA3">
        <w:rPr>
          <w:b w:val="0"/>
          <w:bCs w:val="0"/>
        </w:rPr>
        <w:t xml:space="preserve">definition </w:t>
      </w:r>
      <w:r>
        <w:rPr>
          <w:b w:val="0"/>
          <w:bCs w:val="0"/>
        </w:rPr>
        <w:t xml:space="preserve">for consideration. </w:t>
      </w:r>
      <w:r w:rsidR="00492DE2">
        <w:rPr>
          <w:b w:val="0"/>
          <w:bCs w:val="0"/>
        </w:rPr>
        <w:t xml:space="preserve">The intent of this project is to clarify what should be considered a bond (whether captured in </w:t>
      </w:r>
      <w:r w:rsidR="00492DE2" w:rsidRPr="00492DE2">
        <w:rPr>
          <w:b w:val="0"/>
          <w:bCs w:val="0"/>
          <w:i/>
          <w:iCs/>
        </w:rPr>
        <w:t>SSAP No. 26R—Bonds</w:t>
      </w:r>
      <w:r w:rsidR="00492DE2">
        <w:rPr>
          <w:b w:val="0"/>
          <w:bCs w:val="0"/>
        </w:rPr>
        <w:t xml:space="preserve"> or </w:t>
      </w:r>
      <w:r w:rsidR="00492DE2" w:rsidRPr="00492DE2">
        <w:rPr>
          <w:b w:val="0"/>
          <w:bCs w:val="0"/>
          <w:i/>
          <w:iCs/>
        </w:rPr>
        <w:t>SSAP No. 43R—Loan-Backed and Structured Securities</w:t>
      </w:r>
      <w:r w:rsidR="00492DE2">
        <w:rPr>
          <w:b w:val="0"/>
          <w:bCs w:val="0"/>
        </w:rPr>
        <w:t xml:space="preserve">) and reported on Schedule D-1: Long-Term Bonds. </w:t>
      </w:r>
      <w:r w:rsidR="00E51BED" w:rsidRPr="00E51BED">
        <w:rPr>
          <w:u w:val="single"/>
        </w:rPr>
        <w:t>T</w:t>
      </w:r>
      <w:r w:rsidRPr="00835BA3">
        <w:rPr>
          <w:szCs w:val="22"/>
          <w:u w:val="single"/>
        </w:rPr>
        <w:t xml:space="preserve">his exposure </w:t>
      </w:r>
      <w:r w:rsidR="00E51BED">
        <w:rPr>
          <w:szCs w:val="22"/>
          <w:u w:val="single"/>
        </w:rPr>
        <w:t>is specific to the</w:t>
      </w:r>
      <w:r w:rsidRPr="00835BA3">
        <w:rPr>
          <w:szCs w:val="22"/>
          <w:u w:val="single"/>
        </w:rPr>
        <w:t xml:space="preserve"> proposed bond definition</w:t>
      </w:r>
      <w:r w:rsidR="00492DE2" w:rsidRPr="00835BA3">
        <w:rPr>
          <w:szCs w:val="22"/>
          <w:u w:val="single"/>
        </w:rPr>
        <w:t xml:space="preserve"> </w:t>
      </w:r>
      <w:r w:rsidR="00E51BED">
        <w:rPr>
          <w:szCs w:val="22"/>
          <w:u w:val="single"/>
        </w:rPr>
        <w:t>below</w:t>
      </w:r>
      <w:r w:rsidR="00835BA3">
        <w:rPr>
          <w:szCs w:val="22"/>
          <w:u w:val="single"/>
        </w:rPr>
        <w:t xml:space="preserve">, </w:t>
      </w:r>
      <w:r w:rsidR="00E51BED">
        <w:rPr>
          <w:szCs w:val="22"/>
          <w:u w:val="single"/>
        </w:rPr>
        <w:t xml:space="preserve">along </w:t>
      </w:r>
      <w:r w:rsidR="00835BA3" w:rsidRPr="00835BA3">
        <w:rPr>
          <w:szCs w:val="22"/>
          <w:u w:val="single"/>
        </w:rPr>
        <w:t xml:space="preserve">with the glossary </w:t>
      </w:r>
      <w:r w:rsidR="00E51BED">
        <w:rPr>
          <w:szCs w:val="22"/>
          <w:u w:val="single"/>
        </w:rPr>
        <w:t xml:space="preserve">(page 5) </w:t>
      </w:r>
      <w:r w:rsidR="00835BA3" w:rsidRPr="00835BA3">
        <w:rPr>
          <w:szCs w:val="22"/>
          <w:u w:val="single"/>
        </w:rPr>
        <w:t>and appendices</w:t>
      </w:r>
      <w:r w:rsidR="00E51BED">
        <w:rPr>
          <w:szCs w:val="22"/>
          <w:u w:val="single"/>
        </w:rPr>
        <w:t xml:space="preserve"> (pages 6-12)</w:t>
      </w:r>
      <w:r w:rsidRPr="00EC78BF">
        <w:rPr>
          <w:b w:val="0"/>
          <w:bCs w:val="0"/>
          <w:szCs w:val="22"/>
        </w:rPr>
        <w:t xml:space="preserve">, but comments on future developments (such as reporting changes, accounting and reporting guidance for items that do not qualify </w:t>
      </w:r>
      <w:r w:rsidR="00835BA3">
        <w:rPr>
          <w:b w:val="0"/>
          <w:bCs w:val="0"/>
          <w:szCs w:val="22"/>
        </w:rPr>
        <w:t>as bonds</w:t>
      </w:r>
      <w:r w:rsidRPr="00EC78BF">
        <w:rPr>
          <w:b w:val="0"/>
          <w:bCs w:val="0"/>
          <w:szCs w:val="22"/>
        </w:rPr>
        <w:t>, transition guidance, etc.) may also be submitted to assist in the development of these items.</w:t>
      </w:r>
      <w:r>
        <w:rPr>
          <w:szCs w:val="22"/>
        </w:rPr>
        <w:t xml:space="preserve"> </w:t>
      </w:r>
    </w:p>
    <w:p w14:paraId="69D07F1D" w14:textId="438C8708" w:rsidR="00EC78BF" w:rsidRDefault="00EC78BF" w:rsidP="00EF207F">
      <w:pPr>
        <w:pStyle w:val="BodyText2"/>
        <w:rPr>
          <w:b w:val="0"/>
          <w:bCs w:val="0"/>
        </w:rPr>
      </w:pPr>
    </w:p>
    <w:p w14:paraId="259F35FF" w14:textId="5B5D3273" w:rsidR="00AE6641" w:rsidRPr="00492DE2" w:rsidRDefault="00AE6641" w:rsidP="00EF207F">
      <w:pPr>
        <w:spacing w:after="0"/>
        <w:jc w:val="both"/>
        <w:rPr>
          <w:b/>
          <w:bCs/>
          <w:u w:val="single"/>
        </w:rPr>
      </w:pPr>
      <w:r w:rsidRPr="00492DE2">
        <w:rPr>
          <w:b/>
          <w:bCs/>
          <w:u w:val="single"/>
        </w:rPr>
        <w:t>Below is the proposed principles-based definition of a bond eligible for reporting on Schedule D, Part 1.</w:t>
      </w:r>
    </w:p>
    <w:p w14:paraId="67E74376" w14:textId="77777777" w:rsidR="00AE6641" w:rsidRPr="00097A9C" w:rsidRDefault="00AE6641" w:rsidP="00EF207F">
      <w:pPr>
        <w:spacing w:after="0"/>
        <w:jc w:val="both"/>
      </w:pPr>
    </w:p>
    <w:p w14:paraId="2E13FF2D" w14:textId="77777777" w:rsidR="00AE6641" w:rsidRPr="00097A9C" w:rsidRDefault="00AE6641" w:rsidP="00EF207F">
      <w:pPr>
        <w:pStyle w:val="ListParagraph"/>
        <w:numPr>
          <w:ilvl w:val="0"/>
          <w:numId w:val="1"/>
        </w:numPr>
        <w:spacing w:after="0"/>
        <w:jc w:val="both"/>
        <w:rPr>
          <w:b/>
          <w:bCs/>
        </w:rPr>
      </w:pPr>
      <w:r w:rsidRPr="00097A9C">
        <w:t xml:space="preserve">A </w:t>
      </w:r>
      <w:r>
        <w:t>b</w:t>
      </w:r>
      <w:r w:rsidRPr="00097A9C">
        <w:t>ond shall be defined as any security</w:t>
      </w:r>
      <w:r>
        <w:rPr>
          <w:rStyle w:val="FootnoteReference"/>
        </w:rPr>
        <w:footnoteReference w:id="1"/>
      </w:r>
      <w:r w:rsidRPr="00097A9C">
        <w:t xml:space="preserve"> representing a creditor relationship, w</w:t>
      </w:r>
      <w:r>
        <w:t>hereby there is</w:t>
      </w:r>
      <w:r w:rsidRPr="00097A9C">
        <w:t xml:space="preserve"> a fixed schedule for one or more future payments</w:t>
      </w:r>
      <w:r>
        <w:t>,</w:t>
      </w:r>
      <w:r w:rsidRPr="00097A9C">
        <w:t xml:space="preserve"> and </w:t>
      </w:r>
      <w:r>
        <w:t xml:space="preserve">which </w:t>
      </w:r>
      <w:r w:rsidRPr="00097A9C">
        <w:t xml:space="preserve">qualifies as either an </w:t>
      </w:r>
      <w:r>
        <w:t>i</w:t>
      </w:r>
      <w:r w:rsidRPr="00097A9C">
        <w:t xml:space="preserve">ssuer </w:t>
      </w:r>
      <w:r>
        <w:t>c</w:t>
      </w:r>
      <w:r w:rsidRPr="00097A9C">
        <w:t xml:space="preserve">redit </w:t>
      </w:r>
      <w:r>
        <w:t>o</w:t>
      </w:r>
      <w:r w:rsidRPr="00097A9C">
        <w:t xml:space="preserve">bligation or an </w:t>
      </w:r>
      <w:r>
        <w:t>a</w:t>
      </w:r>
      <w:r w:rsidRPr="00097A9C">
        <w:t xml:space="preserve">sset </w:t>
      </w:r>
      <w:r>
        <w:t>b</w:t>
      </w:r>
      <w:r w:rsidRPr="00097A9C">
        <w:t xml:space="preserve">acked </w:t>
      </w:r>
      <w:r>
        <w:t>s</w:t>
      </w:r>
      <w:r w:rsidRPr="00097A9C">
        <w:t>ecurity</w:t>
      </w:r>
      <w:r w:rsidRPr="00097A9C">
        <w:rPr>
          <w:b/>
          <w:bCs/>
        </w:rPr>
        <w:t xml:space="preserve">. </w:t>
      </w:r>
    </w:p>
    <w:p w14:paraId="50313E1C" w14:textId="3BA7624F" w:rsidR="00AE6641" w:rsidRDefault="00AE6641" w:rsidP="00EF207F">
      <w:pPr>
        <w:pStyle w:val="ListParagraph"/>
        <w:spacing w:after="0"/>
        <w:ind w:left="360"/>
        <w:jc w:val="both"/>
      </w:pPr>
    </w:p>
    <w:p w14:paraId="1F733DE1" w14:textId="7098F40E" w:rsidR="00BE321B" w:rsidRPr="00492DE2" w:rsidRDefault="00BE321B" w:rsidP="00EF207F">
      <w:pPr>
        <w:pStyle w:val="ListParagraph"/>
        <w:spacing w:after="0"/>
        <w:ind w:left="360"/>
        <w:jc w:val="both"/>
        <w:rPr>
          <w:i/>
          <w:iCs/>
        </w:rPr>
      </w:pPr>
      <w:r w:rsidRPr="00492DE2">
        <w:rPr>
          <w:i/>
          <w:iCs/>
        </w:rPr>
        <w:t>[</w:t>
      </w:r>
      <w:r w:rsidR="00EC5017" w:rsidRPr="00492DE2">
        <w:rPr>
          <w:i/>
          <w:iCs/>
        </w:rPr>
        <w:t>Need to incorporate</w:t>
      </w:r>
      <w:r w:rsidRPr="00492DE2">
        <w:rPr>
          <w:i/>
          <w:iCs/>
        </w:rPr>
        <w:t xml:space="preserve"> concepts of paragraph 2 of current SSAP No. 26R but not recast here for brevity]</w:t>
      </w:r>
    </w:p>
    <w:p w14:paraId="59363032" w14:textId="77777777" w:rsidR="00EC5017" w:rsidRDefault="00EC5017" w:rsidP="00EF207F">
      <w:pPr>
        <w:pStyle w:val="ListParagraph"/>
        <w:spacing w:after="0"/>
        <w:ind w:left="360"/>
        <w:jc w:val="both"/>
      </w:pPr>
    </w:p>
    <w:p w14:paraId="0C288D12" w14:textId="0A0E1487" w:rsidR="00AE6641" w:rsidRPr="00097A9C" w:rsidRDefault="00AE6641" w:rsidP="00EF207F">
      <w:pPr>
        <w:pStyle w:val="ListParagraph"/>
        <w:spacing w:after="0"/>
        <w:ind w:left="360"/>
        <w:jc w:val="both"/>
      </w:pPr>
      <w:r w:rsidRPr="00097A9C">
        <w:t xml:space="preserve">Determining whether a security represents a creditor relationship should consider its substance, rather than solely the legal form of the instrument. The analysis of whether a security represents a creditor relationship should consider all other investments the reporting entity owns in the investee as well as any other contractual arrangements. A security that </w:t>
      </w:r>
      <w:r>
        <w:t xml:space="preserve">in substance </w:t>
      </w:r>
      <w:r w:rsidRPr="00097A9C">
        <w:t>possesses equity-like characteristics or represents an ownership interest in the issue</w:t>
      </w:r>
      <w:r>
        <w:t>r</w:t>
      </w:r>
      <w:r w:rsidRPr="00097A9C">
        <w:t xml:space="preserve"> does not represent a creditor relationship. See Appendix I for examples </w:t>
      </w:r>
      <w:r>
        <w:t xml:space="preserve">of </w:t>
      </w:r>
      <w:r w:rsidRPr="00097A9C">
        <w:t>securit</w:t>
      </w:r>
      <w:r>
        <w:t>ies that, despite their legal form,</w:t>
      </w:r>
      <w:r w:rsidRPr="00097A9C">
        <w:t xml:space="preserve"> do</w:t>
      </w:r>
      <w:r>
        <w:t xml:space="preserve"> not</w:t>
      </w:r>
      <w:r w:rsidRPr="00097A9C">
        <w:t xml:space="preserve"> represent a creditor relationship i</w:t>
      </w:r>
      <w:r>
        <w:t>n substance</w:t>
      </w:r>
      <w:r w:rsidRPr="00097A9C">
        <w:t>.</w:t>
      </w:r>
    </w:p>
    <w:p w14:paraId="0AB8974D" w14:textId="77777777" w:rsidR="00AE6641" w:rsidRPr="00097A9C" w:rsidRDefault="00AE6641" w:rsidP="00EF207F">
      <w:pPr>
        <w:pStyle w:val="ListParagraph"/>
        <w:spacing w:after="0"/>
        <w:ind w:left="360"/>
        <w:jc w:val="both"/>
      </w:pPr>
    </w:p>
    <w:p w14:paraId="66911B72" w14:textId="36D7ABC2" w:rsidR="00AE6641" w:rsidRDefault="00AE6641" w:rsidP="00EF207F">
      <w:pPr>
        <w:pStyle w:val="ListParagraph"/>
        <w:numPr>
          <w:ilvl w:val="0"/>
          <w:numId w:val="1"/>
        </w:numPr>
        <w:spacing w:after="0"/>
        <w:jc w:val="both"/>
      </w:pPr>
      <w:r w:rsidRPr="00097A9C">
        <w:t xml:space="preserve">An </w:t>
      </w:r>
      <w:r>
        <w:t>i</w:t>
      </w:r>
      <w:r w:rsidRPr="00097A9C">
        <w:t xml:space="preserve">ssuer </w:t>
      </w:r>
      <w:r>
        <w:t>c</w:t>
      </w:r>
      <w:r w:rsidRPr="00097A9C">
        <w:t xml:space="preserve">redit </w:t>
      </w:r>
      <w:r>
        <w:t>o</w:t>
      </w:r>
      <w:r w:rsidRPr="00097A9C">
        <w:t xml:space="preserve">bligation is a bond, the repayment of which is supported primarily by the general creditworthiness of an operating entity or entities. Support consists of direct or indirect recourse to </w:t>
      </w:r>
      <w:r w:rsidRPr="00097A9C">
        <w:lastRenderedPageBreak/>
        <w:t xml:space="preserve">an operating entity or entities, which includes holding companies with operating entity subsidiaries where the holding company </w:t>
      </w:r>
      <w:r w:rsidR="00D841AF">
        <w:t>has the ability</w:t>
      </w:r>
      <w:r w:rsidRPr="00097A9C">
        <w:t xml:space="preserve"> to access the operating subsidiaries’ cash flows through its ownership rights. An operating entity may be any sort of business entity, not</w:t>
      </w:r>
      <w:r>
        <w:t>-</w:t>
      </w:r>
      <w:r w:rsidRPr="00097A9C">
        <w:t>for</w:t>
      </w:r>
      <w:r>
        <w:t>-</w:t>
      </w:r>
      <w:r w:rsidRPr="00097A9C">
        <w:t xml:space="preserve">profit organization, governmental unit, or other provider of goods or services, but not a natural person or ABS </w:t>
      </w:r>
      <w:r>
        <w:t>I</w:t>
      </w:r>
      <w:r w:rsidRPr="00097A9C">
        <w:t>ssuer (</w:t>
      </w:r>
      <w:r>
        <w:t>d</w:t>
      </w:r>
      <w:r w:rsidRPr="00097A9C">
        <w:t xml:space="preserve">efined below). Examples of </w:t>
      </w:r>
      <w:r>
        <w:t>i</w:t>
      </w:r>
      <w:r w:rsidRPr="00097A9C">
        <w:t xml:space="preserve">ssuer </w:t>
      </w:r>
      <w:r>
        <w:t>c</w:t>
      </w:r>
      <w:r w:rsidRPr="00097A9C">
        <w:t xml:space="preserve">redit </w:t>
      </w:r>
      <w:r>
        <w:t>o</w:t>
      </w:r>
      <w:r w:rsidRPr="00097A9C">
        <w:t>bligations include, but are not limited to:</w:t>
      </w:r>
    </w:p>
    <w:p w14:paraId="0AE4EFE5" w14:textId="77777777" w:rsidR="00492DE2" w:rsidRPr="00097A9C" w:rsidRDefault="00492DE2" w:rsidP="00EF207F">
      <w:pPr>
        <w:pStyle w:val="ListParagraph"/>
        <w:spacing w:after="0"/>
        <w:ind w:left="360"/>
        <w:jc w:val="both"/>
      </w:pPr>
    </w:p>
    <w:p w14:paraId="349B31CB" w14:textId="77777777" w:rsidR="00AE6641" w:rsidRPr="00097A9C" w:rsidRDefault="00AE6641" w:rsidP="00EF207F">
      <w:pPr>
        <w:pStyle w:val="ListParagraph"/>
        <w:numPr>
          <w:ilvl w:val="0"/>
          <w:numId w:val="2"/>
        </w:numPr>
        <w:spacing w:after="0"/>
        <w:jc w:val="both"/>
      </w:pPr>
      <w:r w:rsidRPr="00097A9C">
        <w:t>U.S. Treasury securities;</w:t>
      </w:r>
      <w:r w:rsidRPr="00A01B7B">
        <w:rPr>
          <w:vertAlign w:val="superscript"/>
        </w:rPr>
        <w:t>(INT 01-25)</w:t>
      </w:r>
    </w:p>
    <w:p w14:paraId="40D215F5" w14:textId="77777777" w:rsidR="00AE6641" w:rsidRPr="00097A9C" w:rsidRDefault="00AE6641" w:rsidP="00EF207F">
      <w:pPr>
        <w:pStyle w:val="ListParagraph"/>
        <w:numPr>
          <w:ilvl w:val="0"/>
          <w:numId w:val="2"/>
        </w:numPr>
        <w:spacing w:after="0"/>
        <w:jc w:val="both"/>
      </w:pPr>
      <w:r w:rsidRPr="00097A9C">
        <w:t>U.S. government agency securities;</w:t>
      </w:r>
    </w:p>
    <w:p w14:paraId="56A13058" w14:textId="77777777" w:rsidR="00AE6641" w:rsidRPr="00097A9C" w:rsidRDefault="00AE6641" w:rsidP="00EF207F">
      <w:pPr>
        <w:pStyle w:val="ListParagraph"/>
        <w:numPr>
          <w:ilvl w:val="0"/>
          <w:numId w:val="2"/>
        </w:numPr>
        <w:spacing w:after="0"/>
        <w:jc w:val="both"/>
      </w:pPr>
      <w:r w:rsidRPr="00097A9C">
        <w:t>Municipal securities issued by the municipality or supported by cash flows generated by a municipally</w:t>
      </w:r>
      <w:r>
        <w:t>-</w:t>
      </w:r>
      <w:r w:rsidRPr="00097A9C">
        <w:t xml:space="preserve">owned asset or entity that provides goods or services (e.g., airport, toll roads etc.); </w:t>
      </w:r>
    </w:p>
    <w:p w14:paraId="00C87FBB" w14:textId="77777777" w:rsidR="00AE6641" w:rsidRPr="00097A9C" w:rsidRDefault="00AE6641" w:rsidP="00EF207F">
      <w:pPr>
        <w:pStyle w:val="ListParagraph"/>
        <w:numPr>
          <w:ilvl w:val="0"/>
          <w:numId w:val="2"/>
        </w:numPr>
        <w:spacing w:after="0"/>
        <w:jc w:val="both"/>
      </w:pPr>
      <w:r w:rsidRPr="00097A9C">
        <w:t xml:space="preserve">Corporate bonds issued by operating entities, </w:t>
      </w:r>
      <w:r>
        <w:t xml:space="preserve">including </w:t>
      </w:r>
      <w:r w:rsidRPr="00097A9C">
        <w:t>Yankee bonds and zero-coupon bonds;</w:t>
      </w:r>
    </w:p>
    <w:p w14:paraId="26D8E1A8" w14:textId="77777777" w:rsidR="00AE6641" w:rsidRPr="00097A9C" w:rsidRDefault="00AE6641" w:rsidP="00EF207F">
      <w:pPr>
        <w:pStyle w:val="ListParagraph"/>
        <w:numPr>
          <w:ilvl w:val="0"/>
          <w:numId w:val="2"/>
        </w:numPr>
        <w:spacing w:after="0"/>
        <w:jc w:val="both"/>
      </w:pPr>
      <w:r w:rsidRPr="00097A9C">
        <w:t>Corporate bonds issued by holding companies that own operating entities;</w:t>
      </w:r>
    </w:p>
    <w:p w14:paraId="6955B0C3" w14:textId="77777777" w:rsidR="00AE6641" w:rsidRPr="00097A9C" w:rsidRDefault="00AE6641" w:rsidP="00EF207F">
      <w:pPr>
        <w:pStyle w:val="ListParagraph"/>
        <w:numPr>
          <w:ilvl w:val="0"/>
          <w:numId w:val="2"/>
        </w:numPr>
        <w:spacing w:after="0"/>
        <w:jc w:val="both"/>
      </w:pPr>
      <w:r w:rsidRPr="00097A9C">
        <w:t>Project finance bonds issued by operating entities;</w:t>
      </w:r>
    </w:p>
    <w:p w14:paraId="176B202A" w14:textId="77777777" w:rsidR="00AE6641" w:rsidRPr="00097A9C" w:rsidRDefault="00AE6641" w:rsidP="00EF207F">
      <w:pPr>
        <w:pStyle w:val="ListParagraph"/>
        <w:numPr>
          <w:ilvl w:val="0"/>
          <w:numId w:val="2"/>
        </w:numPr>
        <w:spacing w:after="0"/>
        <w:jc w:val="both"/>
      </w:pPr>
      <w:r w:rsidRPr="00097A9C">
        <w:t>ETCs, EETCs, and CTLs for which repayment is fully supported by a lease to an operating entity;</w:t>
      </w:r>
    </w:p>
    <w:p w14:paraId="03BDBC09" w14:textId="77777777" w:rsidR="00AE6641" w:rsidRPr="00097A9C" w:rsidRDefault="00AE6641" w:rsidP="00EF207F">
      <w:pPr>
        <w:pStyle w:val="ListParagraph"/>
        <w:numPr>
          <w:ilvl w:val="0"/>
          <w:numId w:val="2"/>
        </w:numPr>
        <w:spacing w:after="0"/>
        <w:jc w:val="both"/>
      </w:pPr>
      <w:r w:rsidRPr="00097A9C">
        <w:t>Bonds issued by REITS or similar property trusts;</w:t>
      </w:r>
    </w:p>
    <w:p w14:paraId="20E35168" w14:textId="77777777" w:rsidR="00AE6641" w:rsidRPr="002C0A66" w:rsidRDefault="00AE6641" w:rsidP="00EF207F">
      <w:pPr>
        <w:pStyle w:val="ListParagraph"/>
        <w:numPr>
          <w:ilvl w:val="0"/>
          <w:numId w:val="2"/>
        </w:numPr>
        <w:spacing w:after="0"/>
        <w:jc w:val="both"/>
      </w:pPr>
      <w:r w:rsidRPr="002C0A66">
        <w:t>Bonds issued by business development corporations, closed</w:t>
      </w:r>
      <w:r>
        <w:t>-</w:t>
      </w:r>
      <w:r w:rsidRPr="002C0A66">
        <w:t>end funds</w:t>
      </w:r>
      <w:r>
        <w:t>,</w:t>
      </w:r>
      <w:r w:rsidRPr="002C0A66">
        <w:t xml:space="preserve"> or similar operating entities</w:t>
      </w:r>
      <w:r>
        <w:t>, in each case registered under the 1940 Act</w:t>
      </w:r>
      <w:r w:rsidRPr="002C0A66">
        <w:t>;</w:t>
      </w:r>
    </w:p>
    <w:p w14:paraId="4BB6B5BB" w14:textId="77777777" w:rsidR="00AE6641" w:rsidRPr="00097A9C" w:rsidRDefault="00AE6641" w:rsidP="00EF207F">
      <w:pPr>
        <w:pStyle w:val="ListParagraph"/>
        <w:numPr>
          <w:ilvl w:val="0"/>
          <w:numId w:val="2"/>
        </w:numPr>
        <w:spacing w:after="0"/>
        <w:jc w:val="both"/>
      </w:pPr>
      <w:r w:rsidRPr="00097A9C">
        <w:t>Convertible bonds issued by operating entities, including mandatory convertible bonds as defined in paragraph 11.b;</w:t>
      </w:r>
    </w:p>
    <w:p w14:paraId="3B66B48E" w14:textId="77777777" w:rsidR="00AE6641" w:rsidRPr="00097A9C" w:rsidRDefault="00AE6641" w:rsidP="00EF207F">
      <w:pPr>
        <w:pStyle w:val="ListParagraph"/>
        <w:numPr>
          <w:ilvl w:val="0"/>
          <w:numId w:val="2"/>
        </w:numPr>
        <w:spacing w:after="0"/>
        <w:jc w:val="both"/>
      </w:pPr>
      <w:r w:rsidRPr="00097A9C">
        <w:t>Fixed-income instruments specifically identified:</w:t>
      </w:r>
    </w:p>
    <w:p w14:paraId="6E297B75" w14:textId="77777777" w:rsidR="00AE6641" w:rsidRPr="00097A9C" w:rsidRDefault="00AE6641" w:rsidP="00EF207F">
      <w:pPr>
        <w:pStyle w:val="ListParagraph"/>
        <w:numPr>
          <w:ilvl w:val="0"/>
          <w:numId w:val="3"/>
        </w:numPr>
        <w:spacing w:after="0"/>
        <w:jc w:val="both"/>
      </w:pPr>
      <w:r w:rsidRPr="00097A9C">
        <w:t>Certifications of deposit that have a fixed schedule of payments and a maturity date in excess of one year from the date of acquisition;</w:t>
      </w:r>
    </w:p>
    <w:p w14:paraId="48722978" w14:textId="77777777" w:rsidR="00AE6641" w:rsidRPr="00097A9C" w:rsidRDefault="00AE6641" w:rsidP="00EF207F">
      <w:pPr>
        <w:pStyle w:val="ListParagraph"/>
        <w:numPr>
          <w:ilvl w:val="0"/>
          <w:numId w:val="3"/>
        </w:numPr>
        <w:spacing w:after="0"/>
        <w:jc w:val="both"/>
      </w:pPr>
      <w:r w:rsidRPr="00097A9C">
        <w:t xml:space="preserve">Bank loans that are obligations of operating entities, issued directly by a reporting entity or acquired through a participation, syndication or assignment; </w:t>
      </w:r>
    </w:p>
    <w:p w14:paraId="5EADC512" w14:textId="77777777" w:rsidR="00AE6641" w:rsidRPr="00097A9C" w:rsidRDefault="00AE6641" w:rsidP="00EF207F">
      <w:pPr>
        <w:pStyle w:val="ListParagraph"/>
        <w:numPr>
          <w:ilvl w:val="0"/>
          <w:numId w:val="3"/>
        </w:numPr>
        <w:spacing w:after="0"/>
        <w:jc w:val="both"/>
      </w:pPr>
      <w:r w:rsidRPr="00097A9C">
        <w:t>Hybrid securities issued by operating entities, excluding surplus notes, subordinated debt issues which have no coupon deferral features, and traditional preferred stocks</w:t>
      </w:r>
      <w:r>
        <w:t>;</w:t>
      </w:r>
    </w:p>
    <w:p w14:paraId="4B6E33A2" w14:textId="77777777" w:rsidR="00AE6641" w:rsidRPr="00097A9C" w:rsidRDefault="00AE6641" w:rsidP="00EF207F">
      <w:pPr>
        <w:pStyle w:val="ListParagraph"/>
        <w:numPr>
          <w:ilvl w:val="0"/>
          <w:numId w:val="3"/>
        </w:numPr>
        <w:spacing w:after="0"/>
        <w:jc w:val="both"/>
      </w:pPr>
      <w:r w:rsidRPr="00097A9C">
        <w:t>Debt instruments in a certified capital company (CAPCO)</w:t>
      </w:r>
      <w:r>
        <w:t>.</w:t>
      </w:r>
      <w:r w:rsidRPr="00A01B7B">
        <w:rPr>
          <w:vertAlign w:val="superscript"/>
        </w:rPr>
        <w:t>(INT 06-02)</w:t>
      </w:r>
    </w:p>
    <w:p w14:paraId="5DBF9D80" w14:textId="77777777" w:rsidR="00AE6641" w:rsidRDefault="00AE6641" w:rsidP="00EF207F">
      <w:pPr>
        <w:spacing w:after="0"/>
        <w:jc w:val="both"/>
      </w:pPr>
    </w:p>
    <w:p w14:paraId="6F157D08" w14:textId="5974CAE7" w:rsidR="00AE6641" w:rsidRPr="00492DE2" w:rsidRDefault="00AE6641" w:rsidP="00EF207F">
      <w:pPr>
        <w:spacing w:after="0"/>
        <w:jc w:val="center"/>
        <w:rPr>
          <w:i/>
          <w:iCs/>
        </w:rPr>
      </w:pPr>
      <w:r w:rsidRPr="00492DE2">
        <w:rPr>
          <w:i/>
          <w:iCs/>
        </w:rPr>
        <w:t>[Need to incorporate concepts in paragraph 4 of S</w:t>
      </w:r>
      <w:r w:rsidR="00492DE2">
        <w:rPr>
          <w:i/>
          <w:iCs/>
        </w:rPr>
        <w:t>S</w:t>
      </w:r>
      <w:r w:rsidRPr="00492DE2">
        <w:rPr>
          <w:i/>
          <w:iCs/>
        </w:rPr>
        <w:t xml:space="preserve">AP </w:t>
      </w:r>
      <w:r w:rsidR="00492DE2">
        <w:rPr>
          <w:i/>
          <w:iCs/>
        </w:rPr>
        <w:t xml:space="preserve">No. </w:t>
      </w:r>
      <w:r w:rsidRPr="00492DE2">
        <w:rPr>
          <w:i/>
          <w:iCs/>
        </w:rPr>
        <w:t>26R but not recast here for brevity.]</w:t>
      </w:r>
    </w:p>
    <w:p w14:paraId="404F2BF7" w14:textId="385685F0" w:rsidR="00AE6641" w:rsidRDefault="00AE6641" w:rsidP="00EF207F">
      <w:pPr>
        <w:spacing w:after="0"/>
        <w:jc w:val="both"/>
      </w:pPr>
    </w:p>
    <w:p w14:paraId="512E12BE" w14:textId="27164409" w:rsidR="00AE6641" w:rsidRDefault="00AE6641" w:rsidP="00EF207F">
      <w:pPr>
        <w:pStyle w:val="ListParagraph"/>
        <w:numPr>
          <w:ilvl w:val="0"/>
          <w:numId w:val="1"/>
        </w:numPr>
        <w:spacing w:after="0"/>
        <w:jc w:val="both"/>
      </w:pPr>
      <w:r>
        <w:t>An asset</w:t>
      </w:r>
      <w:r>
        <w:rPr>
          <w:rStyle w:val="FootnoteReference"/>
        </w:rPr>
        <w:footnoteReference w:id="2"/>
      </w:r>
      <w:r>
        <w:t xml:space="preserve"> backed security is a bond issued by </w:t>
      </w:r>
      <w:r w:rsidRPr="00097A9C">
        <w:t>an entity (an “ABS Issuer”) created for the primary purpose of raising debt capital backed by</w:t>
      </w:r>
      <w:r>
        <w:t xml:space="preserve"> financial assets</w:t>
      </w:r>
      <w:r>
        <w:rPr>
          <w:rStyle w:val="FootnoteReference"/>
        </w:rPr>
        <w:footnoteReference w:id="3"/>
      </w:r>
      <w:r>
        <w:t xml:space="preserve"> </w:t>
      </w:r>
      <w:r w:rsidRPr="00097A9C">
        <w:t xml:space="preserve">or cash generating non-financial assets owned by the ABS Issuer, whereby repayment is primarily derived from the cash flows </w:t>
      </w:r>
      <w:r>
        <w:t>associated with</w:t>
      </w:r>
      <w:r w:rsidRPr="00097A9C">
        <w:t xml:space="preserve"> </w:t>
      </w:r>
      <w:r>
        <w:lastRenderedPageBreak/>
        <w:t>the underlying</w:t>
      </w:r>
      <w:r w:rsidR="00D841AF">
        <w:t xml:space="preserve"> defined</w:t>
      </w:r>
      <w:r w:rsidRPr="00097A9C">
        <w:t xml:space="preserve"> collateral rather than the cash flows of an operatin</w:t>
      </w:r>
      <w:r>
        <w:t>g entity</w:t>
      </w:r>
      <w:r>
        <w:rPr>
          <w:rStyle w:val="FootnoteReference"/>
        </w:rPr>
        <w:footnoteReference w:id="4"/>
      </w:r>
      <w:r>
        <w:t xml:space="preserve">. </w:t>
      </w:r>
      <w:r w:rsidRPr="00097A9C">
        <w:t>In most instances, the ABS Issuer is not expected to continue functioning beyond the final maturity of the debt initially raised by the ABS Issuer. Also, many ABS Issuers are in the form of a trust or special purpose vehicle</w:t>
      </w:r>
      <w:r>
        <w:t xml:space="preserve"> (“SPV”)</w:t>
      </w:r>
      <w:r w:rsidRPr="00097A9C">
        <w:t xml:space="preserve">, though the presence or lack of a trust or </w:t>
      </w:r>
      <w:r>
        <w:t>SPV</w:t>
      </w:r>
      <w:r w:rsidRPr="00097A9C">
        <w:t xml:space="preserve"> is not a definitive criterion for determining that a security meets the definition of an asset backed security</w:t>
      </w:r>
      <w:r>
        <w:t>.</w:t>
      </w:r>
    </w:p>
    <w:p w14:paraId="6F91E840" w14:textId="77777777" w:rsidR="00AE6641" w:rsidRDefault="00AE6641" w:rsidP="00EF207F">
      <w:pPr>
        <w:pStyle w:val="ListParagraph"/>
        <w:spacing w:after="0"/>
        <w:ind w:left="360"/>
        <w:jc w:val="both"/>
      </w:pPr>
    </w:p>
    <w:p w14:paraId="4B87C84D" w14:textId="77777777" w:rsidR="00AE6641" w:rsidRPr="00097A9C" w:rsidRDefault="00AE6641" w:rsidP="00EF207F">
      <w:pPr>
        <w:pStyle w:val="ListParagraph"/>
        <w:spacing w:after="0"/>
        <w:ind w:left="360"/>
        <w:jc w:val="both"/>
      </w:pPr>
      <w:r w:rsidRPr="00097A9C">
        <w:t>There are two defining characteristics that must be present for a</w:t>
      </w:r>
      <w:r>
        <w:t xml:space="preserve"> security</w:t>
      </w:r>
      <w:r w:rsidRPr="00097A9C">
        <w:t xml:space="preserve"> to meet the definition of an </w:t>
      </w:r>
      <w:r>
        <w:t>a</w:t>
      </w:r>
      <w:r w:rsidRPr="00097A9C">
        <w:t xml:space="preserve">sset </w:t>
      </w:r>
      <w:r>
        <w:t>b</w:t>
      </w:r>
      <w:r w:rsidRPr="00097A9C">
        <w:t xml:space="preserve">acked </w:t>
      </w:r>
      <w:r>
        <w:t>s</w:t>
      </w:r>
      <w:r w:rsidRPr="00097A9C">
        <w:t>ecurity:</w:t>
      </w:r>
    </w:p>
    <w:p w14:paraId="331BFEED" w14:textId="77777777" w:rsidR="00AE6641" w:rsidRPr="00097A9C" w:rsidRDefault="00AE6641" w:rsidP="00EF207F">
      <w:pPr>
        <w:pStyle w:val="ListParagraph"/>
        <w:spacing w:after="0"/>
        <w:ind w:left="360"/>
        <w:jc w:val="both"/>
      </w:pPr>
    </w:p>
    <w:p w14:paraId="16158FA0" w14:textId="7AC7F417" w:rsidR="00ED5578" w:rsidRDefault="00AE6641" w:rsidP="00EF207F">
      <w:pPr>
        <w:pStyle w:val="ListParagraph"/>
        <w:numPr>
          <w:ilvl w:val="0"/>
          <w:numId w:val="5"/>
        </w:numPr>
        <w:spacing w:after="0"/>
        <w:jc w:val="both"/>
      </w:pPr>
      <w:r w:rsidRPr="00097A9C">
        <w:t xml:space="preserve">The assets owned by the ABS Issuer are either financial assets or cash-generating non-financial assets. Cash-generating non-financial assets are defined as assets that are expected to generate a </w:t>
      </w:r>
      <w:r w:rsidRPr="00A01B7B">
        <w:t>meaningful</w:t>
      </w:r>
      <w:r w:rsidR="00FC2E87">
        <w:rPr>
          <w:rStyle w:val="FootnoteReference"/>
        </w:rPr>
        <w:footnoteReference w:id="5"/>
      </w:r>
      <w:r>
        <w:t xml:space="preserve"> level</w:t>
      </w:r>
      <w:r w:rsidRPr="00097A9C">
        <w:t xml:space="preserve"> of cash flows </w:t>
      </w:r>
      <w:r>
        <w:t>toward</w:t>
      </w:r>
      <w:r w:rsidRPr="00097A9C">
        <w:t xml:space="preserve"> repayment of the bond through use, licensing</w:t>
      </w:r>
      <w:r>
        <w:t>,</w:t>
      </w:r>
      <w:r w:rsidRPr="00097A9C">
        <w:t xml:space="preserve"> leasing, servicing or management fees, or other similar cash flow generation</w:t>
      </w:r>
      <w:r>
        <w:t xml:space="preserve"> </w:t>
      </w:r>
      <w:r w:rsidRPr="00097A9C">
        <w:t xml:space="preserve">(for the avoidance of doubt, there must be a meaningful level of cash flows to service </w:t>
      </w:r>
      <w:r>
        <w:t xml:space="preserve">the </w:t>
      </w:r>
      <w:r w:rsidRPr="00097A9C">
        <w:t xml:space="preserve">debt, other than through the sale or refinancing of the assets). Reliance on cash flows from the sale or refinancing of cash generating non-financial assets does not preclude a bond from being classified as an </w:t>
      </w:r>
      <w:r>
        <w:t>a</w:t>
      </w:r>
      <w:r w:rsidRPr="00097A9C">
        <w:t xml:space="preserve">sset </w:t>
      </w:r>
      <w:r>
        <w:t>b</w:t>
      </w:r>
      <w:r w:rsidRPr="00097A9C">
        <w:t xml:space="preserve">acked </w:t>
      </w:r>
      <w:r>
        <w:t>s</w:t>
      </w:r>
      <w:r w:rsidRPr="00097A9C">
        <w:t>ecurity so long as the condition in the preceding sentence is met.</w:t>
      </w:r>
      <w:r w:rsidR="00633458">
        <w:t xml:space="preserve"> </w:t>
      </w:r>
      <w:r w:rsidRPr="00A01B7B">
        <w:t>See Appendix II for examples (2, 3 and 4) illustrating the evaluation of the meaningful criteria.</w:t>
      </w:r>
    </w:p>
    <w:p w14:paraId="5ED28104" w14:textId="77777777" w:rsidR="00ED5578" w:rsidRDefault="00ED5578" w:rsidP="00EF207F">
      <w:pPr>
        <w:pStyle w:val="ListParagraph"/>
        <w:spacing w:after="0"/>
        <w:jc w:val="both"/>
      </w:pPr>
    </w:p>
    <w:p w14:paraId="041E13CA" w14:textId="5FB10934" w:rsidR="00AE6641" w:rsidRDefault="00AE6641" w:rsidP="00EF207F">
      <w:pPr>
        <w:pStyle w:val="ListParagraph"/>
        <w:numPr>
          <w:ilvl w:val="0"/>
          <w:numId w:val="5"/>
        </w:numPr>
        <w:spacing w:after="0"/>
        <w:jc w:val="both"/>
      </w:pPr>
      <w:r w:rsidRPr="00097A9C">
        <w:t xml:space="preserve">The holder of </w:t>
      </w:r>
      <w:r>
        <w:t>a</w:t>
      </w:r>
      <w:r w:rsidRPr="00097A9C">
        <w:t xml:space="preserve"> debt </w:t>
      </w:r>
      <w:r>
        <w:t>instrument</w:t>
      </w:r>
      <w:r w:rsidRPr="00097A9C">
        <w:t xml:space="preserve"> issued by </w:t>
      </w:r>
      <w:r>
        <w:t>an</w:t>
      </w:r>
      <w:r w:rsidRPr="00097A9C">
        <w:t xml:space="preserve"> ABS Issuer is in a different economic position than if the holder owned the ABS Issuer’s assets directly. The holder of the debt </w:t>
      </w:r>
      <w:r>
        <w:t>instrument</w:t>
      </w:r>
      <w:r w:rsidRPr="00097A9C">
        <w:t xml:space="preserve"> is in a different economic position if such debt instrument benefits </w:t>
      </w:r>
      <w:r w:rsidRPr="00A01B7B">
        <w:t>from sufficient</w:t>
      </w:r>
      <w:r w:rsidR="00FC2E87">
        <w:rPr>
          <w:rStyle w:val="FootnoteReference"/>
        </w:rPr>
        <w:footnoteReference w:id="6"/>
      </w:r>
      <w:r w:rsidRPr="00A01B7B">
        <w:t xml:space="preserve"> credit</w:t>
      </w:r>
      <w:r w:rsidRPr="00097A9C">
        <w:t xml:space="preserve"> enhancement through guarantees (or other similar forms of recourse), subordination and/or overcollateralization. In instances where the assets owned by the ABS Issuer are equity interests, the debt </w:t>
      </w:r>
      <w:r>
        <w:t>instrument</w:t>
      </w:r>
      <w:r w:rsidRPr="00097A9C">
        <w:t xml:space="preserve"> must have pre-determined principal and interest payments (whether fixed interest or variable interest)</w:t>
      </w:r>
      <w:r>
        <w:t xml:space="preserve"> with </w:t>
      </w:r>
      <w:r w:rsidRPr="00097A9C">
        <w:t xml:space="preserve">contractual amounts </w:t>
      </w:r>
      <w:r>
        <w:t xml:space="preserve">that </w:t>
      </w:r>
      <w:r w:rsidRPr="00097A9C">
        <w:t xml:space="preserve">do not vary based on the appreciation or depreciation of the equity interests. See Appendix II </w:t>
      </w:r>
      <w:r>
        <w:t>for examples illustrating the evaluation of the sufficient criteria</w:t>
      </w:r>
      <w:r w:rsidRPr="00097A9C">
        <w:t>.</w:t>
      </w:r>
    </w:p>
    <w:p w14:paraId="10E9F00C" w14:textId="77777777" w:rsidR="00AE6641" w:rsidRPr="00097A9C" w:rsidRDefault="00AE6641" w:rsidP="00EF207F">
      <w:pPr>
        <w:spacing w:after="0"/>
        <w:ind w:left="360"/>
        <w:jc w:val="both"/>
      </w:pPr>
    </w:p>
    <w:p w14:paraId="79AAB0A8" w14:textId="77777777" w:rsidR="00AE6641" w:rsidRDefault="00AE6641" w:rsidP="00EF207F">
      <w:pPr>
        <w:pStyle w:val="ListParagraph"/>
        <w:numPr>
          <w:ilvl w:val="0"/>
          <w:numId w:val="1"/>
        </w:numPr>
        <w:spacing w:after="0"/>
        <w:jc w:val="both"/>
      </w:pPr>
      <w:r w:rsidRPr="00097A9C">
        <w:t>Whether an issuer of debt represents an operating entity or ABS Issuer is unambiguous in most instances, but certain instances may be less clear. For example, an entity may operate a single asset such as a toll road or power generation facility (e.g.</w:t>
      </w:r>
      <w:r>
        <w:t>,</w:t>
      </w:r>
      <w:r w:rsidRPr="00097A9C">
        <w:t xml:space="preserve"> project finance) which serves to collateralize a debt issuance</w:t>
      </w:r>
      <w:r>
        <w:t>,</w:t>
      </w:r>
      <w:r w:rsidRPr="00097A9C">
        <w:t xml:space="preserve"> and the cash flows produced by the operation of the assets are pledged to service the debt. In many such instances, the entity is structured as a bankruptcy-remote entity that is separate from the municipality or project sponsor. Such entities have characteristics of operating entities as the operation of the asset constitutes a stand-alone business. They also have many common characteristics of ABS Issuers as they are formed for the purpose of raising debt capital backed by the cash flows from collateral held by a bankruptcy-remote entity. When viewed more holistically, these issuing entities are typically being used to facilitate the financing of an operating component of a project sponsor or municipality. The use of a bankruptcy-remote </w:t>
      </w:r>
      <w:r>
        <w:t>entity</w:t>
      </w:r>
      <w:r w:rsidRPr="00097A9C">
        <w:t xml:space="preserve"> facilitates the efficient raising </w:t>
      </w:r>
      <w:r w:rsidRPr="00097A9C">
        <w:lastRenderedPageBreak/>
        <w:t xml:space="preserve">of debt to finance the operating project, but the primary purpose is to finance an operating project. Therefore, structures in which the issuing entity represents a stand-alone business producing its own operating revenues and expenses, where the primary purpose is to finance an operating project, shall be considered operating entities despite certain characteristics they may share with ABS </w:t>
      </w:r>
      <w:r>
        <w:t>I</w:t>
      </w:r>
      <w:r w:rsidRPr="00097A9C">
        <w:t>ssuers.</w:t>
      </w:r>
    </w:p>
    <w:p w14:paraId="244814FE" w14:textId="75492923" w:rsidR="00AE6641" w:rsidRDefault="00AE6641" w:rsidP="00EF207F">
      <w:pPr>
        <w:spacing w:after="0"/>
        <w:jc w:val="both"/>
      </w:pPr>
    </w:p>
    <w:p w14:paraId="01E405A7" w14:textId="77777777" w:rsidR="00132C97" w:rsidRDefault="00132C97" w:rsidP="00132C97">
      <w:pPr>
        <w:pBdr>
          <w:top w:val="single" w:sz="4" w:space="1" w:color="auto"/>
          <w:left w:val="single" w:sz="4" w:space="4" w:color="auto"/>
          <w:bottom w:val="single" w:sz="4" w:space="1" w:color="auto"/>
          <w:right w:val="single" w:sz="4" w:space="4" w:color="auto"/>
        </w:pBdr>
        <w:jc w:val="both"/>
      </w:pPr>
      <w:r>
        <w:rPr>
          <w:rFonts w:ascii="Times New Roman" w:hAnsi="Times New Roman" w:cs="Times New Roman"/>
          <w:i/>
          <w:iCs/>
        </w:rPr>
        <w:t>Note:</w:t>
      </w:r>
      <w:r>
        <w:rPr>
          <w:rFonts w:ascii="Times New Roman" w:hAnsi="Times New Roman" w:cs="Times New Roman"/>
        </w:rPr>
        <w:t xml:space="preserve"> The elements captured below are not components of the core bond definition. However, comments are requested on the proposal to separately identify on Schedule D-1 or a </w:t>
      </w:r>
      <w:proofErr w:type="spellStart"/>
      <w:r>
        <w:rPr>
          <w:rFonts w:ascii="Times New Roman" w:hAnsi="Times New Roman" w:cs="Times New Roman"/>
        </w:rPr>
        <w:t>subschedule</w:t>
      </w:r>
      <w:proofErr w:type="spellEnd"/>
      <w:r>
        <w:rPr>
          <w:rFonts w:ascii="Times New Roman" w:hAnsi="Times New Roman" w:cs="Times New Roman"/>
        </w:rPr>
        <w:t xml:space="preserve"> of D-1, those ABS that qualify as bonds under the definition and have certain characteristics noted below. The purpose of separate identification would be to improve transparency and provide more specific disclosures applicable to bonds with such characteristics.</w:t>
      </w:r>
    </w:p>
    <w:p w14:paraId="3862C528" w14:textId="77777777" w:rsidR="006F00F6" w:rsidRDefault="006F00F6" w:rsidP="00EF207F">
      <w:pPr>
        <w:spacing w:after="0"/>
        <w:jc w:val="both"/>
      </w:pPr>
    </w:p>
    <w:p w14:paraId="12BC1935" w14:textId="40325584" w:rsidR="00A126F2" w:rsidRDefault="00A126F2" w:rsidP="00EF207F">
      <w:pPr>
        <w:spacing w:after="0"/>
        <w:jc w:val="both"/>
      </w:pPr>
      <w:r>
        <w:t>A separate reporting section on Schedule D, Bonds is being contemplated, for the purpose of capturing additional disclosures for regulators, for the following:</w:t>
      </w:r>
    </w:p>
    <w:p w14:paraId="4214344A" w14:textId="77777777" w:rsidR="00A126F2" w:rsidRDefault="00A126F2" w:rsidP="00EF207F">
      <w:pPr>
        <w:spacing w:after="0"/>
        <w:jc w:val="both"/>
      </w:pPr>
    </w:p>
    <w:p w14:paraId="714887FC" w14:textId="13BA32ED" w:rsidR="00A126F2" w:rsidRDefault="00A126F2" w:rsidP="00EF207F">
      <w:pPr>
        <w:spacing w:after="0"/>
        <w:jc w:val="both"/>
      </w:pPr>
      <w:r>
        <w:t>Any asset backed securities where:</w:t>
      </w:r>
    </w:p>
    <w:p w14:paraId="500BB973" w14:textId="77777777" w:rsidR="00A832B7" w:rsidRDefault="00A832B7" w:rsidP="00EF207F">
      <w:pPr>
        <w:spacing w:after="0"/>
        <w:jc w:val="both"/>
      </w:pPr>
    </w:p>
    <w:p w14:paraId="78FA3F30" w14:textId="4EAD3F9F" w:rsidR="00A832B7" w:rsidRDefault="00AE6641" w:rsidP="00EF207F">
      <w:pPr>
        <w:pStyle w:val="ListParagraph"/>
        <w:numPr>
          <w:ilvl w:val="0"/>
          <w:numId w:val="8"/>
        </w:numPr>
        <w:spacing w:after="0"/>
        <w:jc w:val="both"/>
      </w:pPr>
      <w:r>
        <w:t>the underlying collateral comprises cash generating non-financial assets and does not meet the practical expedient for evaluating the meaningful criteria defined in paragraph 3a</w:t>
      </w:r>
      <w:r w:rsidR="00A126F2">
        <w:t xml:space="preserve"> and the glossary,</w:t>
      </w:r>
      <w:r>
        <w:t xml:space="preserve"> or</w:t>
      </w:r>
    </w:p>
    <w:p w14:paraId="676E8822" w14:textId="77777777" w:rsidR="00EF207F" w:rsidRDefault="00EF207F" w:rsidP="00EF207F">
      <w:pPr>
        <w:pStyle w:val="ListParagraph"/>
        <w:spacing w:after="0"/>
        <w:ind w:left="1130"/>
        <w:jc w:val="both"/>
      </w:pPr>
    </w:p>
    <w:p w14:paraId="03762510" w14:textId="423633A2" w:rsidR="00FC2E87" w:rsidRDefault="00AE6641" w:rsidP="00EF207F">
      <w:pPr>
        <w:pStyle w:val="ListParagraph"/>
        <w:numPr>
          <w:ilvl w:val="0"/>
          <w:numId w:val="8"/>
        </w:numPr>
        <w:spacing w:after="0"/>
        <w:jc w:val="both"/>
      </w:pPr>
      <w:r>
        <w:t>the underlying collateral comprises financial assets that are not self-liquidating.</w:t>
      </w:r>
    </w:p>
    <w:p w14:paraId="378C5F82" w14:textId="77777777" w:rsidR="00FC2E87" w:rsidRDefault="00FC2E87" w:rsidP="00EF207F">
      <w:pPr>
        <w:jc w:val="both"/>
      </w:pPr>
      <w:r>
        <w:br w:type="page"/>
      </w:r>
    </w:p>
    <w:p w14:paraId="1F38C0B1" w14:textId="77777777" w:rsidR="00FC2E87" w:rsidRDefault="00FC2E87" w:rsidP="00EF207F">
      <w:pPr>
        <w:spacing w:after="0" w:line="256" w:lineRule="auto"/>
        <w:jc w:val="center"/>
      </w:pPr>
      <w:r>
        <w:rPr>
          <w:b/>
          <w:bCs/>
        </w:rPr>
        <w:lastRenderedPageBreak/>
        <w:t>Glossary</w:t>
      </w:r>
    </w:p>
    <w:p w14:paraId="5F44FE32" w14:textId="77777777" w:rsidR="00FC2E87" w:rsidRDefault="00FC2E87" w:rsidP="00EF207F">
      <w:pPr>
        <w:spacing w:after="0" w:line="256" w:lineRule="auto"/>
        <w:jc w:val="both"/>
      </w:pPr>
    </w:p>
    <w:p w14:paraId="74D8B155" w14:textId="77777777" w:rsidR="00FC2E87" w:rsidRDefault="00FC2E87" w:rsidP="00EF207F">
      <w:pPr>
        <w:spacing w:after="0"/>
        <w:jc w:val="both"/>
      </w:pPr>
      <w:r>
        <w:rPr>
          <w:b/>
          <w:bCs/>
        </w:rPr>
        <w:t>Meaningful</w:t>
      </w:r>
      <w:r>
        <w:t xml:space="preserve"> – What constitutes a “meaningful” level of cash flows generated to service the debt from sources other than the sale or refinancing of the underlying collateral is specific to each transaction, determined at origination, and should consider the following factors:</w:t>
      </w:r>
    </w:p>
    <w:p w14:paraId="3817FCAB" w14:textId="77777777" w:rsidR="00FC2E87" w:rsidRDefault="00FC2E87" w:rsidP="00EF207F">
      <w:pPr>
        <w:spacing w:after="0"/>
        <w:jc w:val="both"/>
      </w:pPr>
    </w:p>
    <w:p w14:paraId="0B451074" w14:textId="77777777" w:rsidR="00FC2E87" w:rsidRDefault="00FC2E87" w:rsidP="00EF207F">
      <w:pPr>
        <w:pStyle w:val="ListParagraph"/>
        <w:numPr>
          <w:ilvl w:val="0"/>
          <w:numId w:val="7"/>
        </w:numPr>
        <w:spacing w:after="0" w:line="240" w:lineRule="auto"/>
        <w:jc w:val="both"/>
      </w:pPr>
      <w:r>
        <w:t>The price volatility in the principal market for the underlying collateral;</w:t>
      </w:r>
    </w:p>
    <w:p w14:paraId="7394EDEE" w14:textId="77777777" w:rsidR="00FC2E87" w:rsidRDefault="00FC2E87" w:rsidP="00EF207F">
      <w:pPr>
        <w:pStyle w:val="ListParagraph"/>
        <w:numPr>
          <w:ilvl w:val="0"/>
          <w:numId w:val="7"/>
        </w:numPr>
        <w:spacing w:after="0" w:line="240" w:lineRule="auto"/>
        <w:jc w:val="both"/>
      </w:pPr>
      <w:r>
        <w:t>The liquidity in the principal market for the underlying collateral;</w:t>
      </w:r>
    </w:p>
    <w:p w14:paraId="3378C1B7" w14:textId="77777777" w:rsidR="00FC2E87" w:rsidRDefault="00FC2E87" w:rsidP="00EF207F">
      <w:pPr>
        <w:pStyle w:val="ListParagraph"/>
        <w:numPr>
          <w:ilvl w:val="0"/>
          <w:numId w:val="7"/>
        </w:numPr>
        <w:spacing w:after="0" w:line="240" w:lineRule="auto"/>
        <w:jc w:val="both"/>
      </w:pPr>
      <w:r>
        <w:t>The diversification characteristics of the underlying collateral (i.e., types of collateral, geographic location(s), source(s) of cash flows within the structure, etc.);</w:t>
      </w:r>
    </w:p>
    <w:p w14:paraId="3AAC65DE" w14:textId="77777777" w:rsidR="00FC2E87" w:rsidRDefault="00FC2E87" w:rsidP="00EF207F">
      <w:pPr>
        <w:pStyle w:val="ListParagraph"/>
        <w:numPr>
          <w:ilvl w:val="0"/>
          <w:numId w:val="7"/>
        </w:numPr>
        <w:spacing w:after="0" w:line="240" w:lineRule="auto"/>
        <w:jc w:val="both"/>
      </w:pPr>
      <w:r>
        <w:t>The overcollateralization of the underlying collateral relative to the debt obligation; and</w:t>
      </w:r>
    </w:p>
    <w:p w14:paraId="02CCCE11" w14:textId="77777777" w:rsidR="00FC2E87" w:rsidRDefault="00FC2E87" w:rsidP="00EF207F">
      <w:pPr>
        <w:pStyle w:val="ListParagraph"/>
        <w:numPr>
          <w:ilvl w:val="0"/>
          <w:numId w:val="7"/>
        </w:numPr>
        <w:spacing w:after="0" w:line="240" w:lineRule="auto"/>
        <w:jc w:val="both"/>
      </w:pPr>
      <w:r>
        <w:t>The variability of cash flows, from sources other than sale or refinancing, expected to be generated from the underlying collateral.</w:t>
      </w:r>
    </w:p>
    <w:p w14:paraId="060A228B" w14:textId="77777777" w:rsidR="00FC2E87" w:rsidRDefault="00FC2E87" w:rsidP="00EF207F">
      <w:pPr>
        <w:pStyle w:val="ListParagraph"/>
        <w:spacing w:after="0"/>
        <w:jc w:val="both"/>
      </w:pPr>
    </w:p>
    <w:p w14:paraId="4DDBE319" w14:textId="77777777" w:rsidR="00FC2E87" w:rsidRDefault="00FC2E87" w:rsidP="00EF207F">
      <w:pPr>
        <w:spacing w:after="0"/>
        <w:jc w:val="both"/>
      </w:pPr>
      <w:r>
        <w:t>Factors #1 and #5 are directly related to the “meaningful” requirement. That is, as price volatility or variability of cash flows increase, the required percentage of cash flows generated to service the debt from sources other than the sale or refinancing of the underlying collateral must also increase. Factors #2, #3 and #4 are inversely related to the “meaningful” concept. That is, as liquidity, diversification or overcollateralization increase, the required percentage of cash flows generated to service the debt from sources other than the sale or refinancing of the underlying collateral may decrease.</w:t>
      </w:r>
    </w:p>
    <w:p w14:paraId="07A41430" w14:textId="77777777" w:rsidR="00FC2E87" w:rsidRDefault="00FC2E87" w:rsidP="00EF207F">
      <w:pPr>
        <w:spacing w:after="0"/>
        <w:jc w:val="both"/>
      </w:pPr>
    </w:p>
    <w:p w14:paraId="3CA71F06" w14:textId="66A555AC" w:rsidR="00FC2E87" w:rsidRDefault="00FC2E87" w:rsidP="00EF207F">
      <w:pPr>
        <w:spacing w:after="0" w:line="257" w:lineRule="auto"/>
        <w:jc w:val="both"/>
      </w:pPr>
      <w:r w:rsidRPr="00EF207F">
        <w:t xml:space="preserve">As a practical expedient to determining whether a cash generating non-financial asset is expected to produce meaningful cash flows, a reporting entity may consider an asset for which less than 50% of the original principal relies on sale or refinancing to meet the meaningful criteria. In applying this practical expedient, only </w:t>
      </w:r>
      <w:r w:rsidR="001C5674" w:rsidRPr="00EF207F">
        <w:t xml:space="preserve">contractual </w:t>
      </w:r>
      <w:r w:rsidRPr="00EF207F">
        <w:t>cash flows</w:t>
      </w:r>
      <w:r w:rsidR="001C5674" w:rsidRPr="00EF207F">
        <w:t xml:space="preserve"> of the non-financial asset</w:t>
      </w:r>
      <w:r w:rsidRPr="00EF207F">
        <w:t xml:space="preserve"> may be considered. This practical expedient should not be construed to mean that assets cannot meet the meaningful criteria if they rely on sale or refinancing to service greater than 50% of the original principal or if they rely on cash flows that are not contract</w:t>
      </w:r>
      <w:r w:rsidR="001C5674" w:rsidRPr="00EF207F">
        <w:t>ed</w:t>
      </w:r>
      <w:r w:rsidRPr="00EF207F">
        <w:t xml:space="preserve"> at origination. Rather, such instances would require a complete analysis of the considerations described above.</w:t>
      </w:r>
    </w:p>
    <w:p w14:paraId="725DFBBF" w14:textId="77777777" w:rsidR="00FC2E87" w:rsidRDefault="00FC2E87" w:rsidP="00EF207F">
      <w:pPr>
        <w:spacing w:after="0" w:line="257" w:lineRule="auto"/>
        <w:jc w:val="both"/>
      </w:pPr>
    </w:p>
    <w:p w14:paraId="1A8FD509" w14:textId="77777777" w:rsidR="00FC2E87" w:rsidRDefault="00FC2E87" w:rsidP="00EF207F">
      <w:pPr>
        <w:pStyle w:val="FootnoteText"/>
        <w:jc w:val="both"/>
        <w:rPr>
          <w:sz w:val="22"/>
          <w:szCs w:val="22"/>
        </w:rPr>
      </w:pPr>
      <w:r w:rsidRPr="00A01B7B">
        <w:rPr>
          <w:b/>
          <w:bCs/>
          <w:sz w:val="22"/>
          <w:szCs w:val="22"/>
        </w:rPr>
        <w:t>Sufficient</w:t>
      </w:r>
      <w:r w:rsidRPr="00A01B7B">
        <w:rPr>
          <w:sz w:val="22"/>
          <w:szCs w:val="22"/>
        </w:rPr>
        <w:t xml:space="preserve"> </w:t>
      </w:r>
      <w:r>
        <w:rPr>
          <w:sz w:val="22"/>
          <w:szCs w:val="22"/>
        </w:rPr>
        <w:t>–</w:t>
      </w:r>
      <w:r w:rsidRPr="00A01B7B">
        <w:rPr>
          <w:sz w:val="22"/>
          <w:szCs w:val="22"/>
        </w:rPr>
        <w:t xml:space="preserve"> The “sufficient</w:t>
      </w:r>
      <w:r>
        <w:rPr>
          <w:sz w:val="22"/>
          <w:szCs w:val="22"/>
        </w:rPr>
        <w:t>” threshold is specific to each transaction; determined at origination; and refers to the level of credit enhancement a market participant (i.e., reasonable investor) would conclude is expected to absorb losses (or decreases in cash flows) to the same degree as other debt instruments of similar quality, under a range of stress scenarios (i.e., scenarios are similar to stress scenarios performed for other debt instruments of the same quality). Losses are those a market participant would estimate and considers historical losses (including loss recoveries) on similar collateral, current market conditions, reasonable and supportable forecasts, and prepayment assumptions associated with the collateral. Excluded from the estimate of expected losses are historical gains on similar collateral and expected market appreciation on the collateral.</w:t>
      </w:r>
    </w:p>
    <w:p w14:paraId="1AEC7D7C" w14:textId="77777777" w:rsidR="00FC2E87" w:rsidRDefault="00FC2E87" w:rsidP="00EF207F">
      <w:pPr>
        <w:pStyle w:val="FootnoteText"/>
        <w:jc w:val="both"/>
        <w:rPr>
          <w:sz w:val="22"/>
          <w:szCs w:val="22"/>
        </w:rPr>
      </w:pPr>
    </w:p>
    <w:p w14:paraId="7C5A26C4" w14:textId="2790CEEE" w:rsidR="00AE6641" w:rsidRDefault="00FC2E87" w:rsidP="00EF207F">
      <w:pPr>
        <w:jc w:val="both"/>
      </w:pPr>
      <w:r>
        <w:t>The first loss tranche (or tranches if the first tranche is not itself sufficient) may be issued as part of the securitization in the form of a debt or equity interest, or it may be retained by the sponsor and not issued as part of the securitization. If the first loss tranche is issued as part of the securitization, and held by a reporting entity, the accounting should follow the guidance applicable to the type of instrument (i.e., debt vs. equity); however, regardless of the type of instrument, it does not qualify as a Schedule D bond and should be reported on Schedule BA.</w:t>
      </w:r>
      <w:r w:rsidR="00AE6641">
        <w:br w:type="page"/>
      </w:r>
    </w:p>
    <w:p w14:paraId="298E2CE2" w14:textId="77777777" w:rsidR="00AE6641" w:rsidRPr="00097A9C" w:rsidRDefault="00AE6641" w:rsidP="00EF207F">
      <w:pPr>
        <w:spacing w:after="0"/>
        <w:jc w:val="center"/>
        <w:rPr>
          <w:b/>
          <w:bCs/>
        </w:rPr>
      </w:pPr>
      <w:bookmarkStart w:id="0" w:name="SL6512970-108738"/>
      <w:bookmarkStart w:id="1" w:name="SL6512971-108738"/>
      <w:bookmarkEnd w:id="0"/>
      <w:bookmarkEnd w:id="1"/>
      <w:r w:rsidRPr="00097A9C">
        <w:rPr>
          <w:b/>
          <w:bCs/>
        </w:rPr>
        <w:lastRenderedPageBreak/>
        <w:t>Appendix I</w:t>
      </w:r>
    </w:p>
    <w:p w14:paraId="4E5CA15C" w14:textId="77777777" w:rsidR="00AE6641" w:rsidRDefault="00AE6641" w:rsidP="00EF207F">
      <w:pPr>
        <w:spacing w:after="0"/>
        <w:jc w:val="both"/>
        <w:rPr>
          <w:b/>
          <w:bCs/>
          <w:u w:val="single"/>
        </w:rPr>
      </w:pPr>
    </w:p>
    <w:p w14:paraId="52A7164B" w14:textId="77777777" w:rsidR="00AE6641" w:rsidRDefault="00AE6641" w:rsidP="00EF207F">
      <w:pPr>
        <w:spacing w:after="0"/>
        <w:jc w:val="both"/>
      </w:pPr>
      <w:r w:rsidRPr="00097A9C">
        <w:rPr>
          <w:b/>
          <w:bCs/>
          <w:u w:val="single"/>
        </w:rPr>
        <w:t xml:space="preserve">Examples of </w:t>
      </w:r>
      <w:r>
        <w:rPr>
          <w:b/>
          <w:bCs/>
          <w:u w:val="single"/>
        </w:rPr>
        <w:t xml:space="preserve">securities that, despite their legal form, </w:t>
      </w:r>
      <w:r w:rsidRPr="00097A9C">
        <w:rPr>
          <w:b/>
          <w:bCs/>
          <w:u w:val="single"/>
        </w:rPr>
        <w:t>do not represent creditor relationships in substance:</w:t>
      </w:r>
    </w:p>
    <w:p w14:paraId="6F0F2D36" w14:textId="77777777" w:rsidR="00AE6641" w:rsidRPr="00A01B7B" w:rsidRDefault="00AE6641" w:rsidP="00EF207F">
      <w:pPr>
        <w:spacing w:after="0"/>
        <w:jc w:val="both"/>
      </w:pPr>
    </w:p>
    <w:p w14:paraId="34465506" w14:textId="77777777" w:rsidR="00AE6641" w:rsidRDefault="00AE6641" w:rsidP="00EF207F">
      <w:pPr>
        <w:spacing w:after="0"/>
        <w:jc w:val="both"/>
        <w:rPr>
          <w:u w:val="single"/>
        </w:rPr>
      </w:pPr>
      <w:r w:rsidRPr="00097A9C">
        <w:rPr>
          <w:u w:val="single"/>
        </w:rPr>
        <w:t>Example I:</w:t>
      </w:r>
    </w:p>
    <w:p w14:paraId="093889F2" w14:textId="77777777" w:rsidR="00AE6641" w:rsidRPr="00097A9C" w:rsidRDefault="00AE6641" w:rsidP="00EF207F">
      <w:pPr>
        <w:spacing w:after="0"/>
        <w:jc w:val="both"/>
        <w:rPr>
          <w:u w:val="single"/>
        </w:rPr>
      </w:pPr>
    </w:p>
    <w:p w14:paraId="5910B652" w14:textId="77777777" w:rsidR="00AE6641" w:rsidRDefault="00AE6641" w:rsidP="00EF207F">
      <w:pPr>
        <w:spacing w:after="0"/>
        <w:jc w:val="both"/>
      </w:pPr>
      <w:r w:rsidRPr="00097A9C">
        <w:t xml:space="preserve">A </w:t>
      </w:r>
      <w:r>
        <w:t>reporting entity</w:t>
      </w:r>
      <w:r w:rsidRPr="00097A9C">
        <w:t xml:space="preserve"> invests in a private equity fund</w:t>
      </w:r>
      <w:r>
        <w:t>, whereby each</w:t>
      </w:r>
      <w:r w:rsidRPr="00097A9C">
        <w:t xml:space="preserve"> investor is required to make 75%</w:t>
      </w:r>
      <w:r>
        <w:t xml:space="preserve"> of its investment</w:t>
      </w:r>
      <w:r w:rsidRPr="00097A9C">
        <w:t xml:space="preserve"> in the form of an unsecured debt investment and 25% in the form of an equity in</w:t>
      </w:r>
      <w:r>
        <w:t>terest</w:t>
      </w:r>
      <w:r w:rsidRPr="00097A9C">
        <w:t xml:space="preserve">. </w:t>
      </w:r>
      <w:r>
        <w:t>Additionally, e</w:t>
      </w:r>
      <w:r w:rsidRPr="00097A9C">
        <w:t xml:space="preserve">ach investor owns a pro rata share of the </w:t>
      </w:r>
      <w:r>
        <w:t xml:space="preserve">unsecured </w:t>
      </w:r>
      <w:r w:rsidRPr="00097A9C">
        <w:t>debt</w:t>
      </w:r>
      <w:r>
        <w:t xml:space="preserve"> investments</w:t>
      </w:r>
      <w:r w:rsidRPr="00097A9C">
        <w:t xml:space="preserve"> and equity interests outstanding, and is restricted from selling, assigning or transferring the </w:t>
      </w:r>
      <w:r>
        <w:t>unsecured debt investment</w:t>
      </w:r>
      <w:r w:rsidRPr="00097A9C">
        <w:t xml:space="preserve"> without also </w:t>
      </w:r>
      <w:r>
        <w:t xml:space="preserve">selling, assigning, or </w:t>
      </w:r>
      <w:r w:rsidRPr="00097A9C">
        <w:t>transferring the equity interest to the same party.</w:t>
      </w:r>
    </w:p>
    <w:p w14:paraId="712F4479" w14:textId="77777777" w:rsidR="00AE6641" w:rsidRPr="00097A9C" w:rsidRDefault="00AE6641" w:rsidP="00EF207F">
      <w:pPr>
        <w:spacing w:after="0"/>
        <w:jc w:val="both"/>
      </w:pPr>
    </w:p>
    <w:p w14:paraId="3D62CA3F" w14:textId="77777777" w:rsidR="00AE6641" w:rsidRDefault="00AE6641" w:rsidP="00EF207F">
      <w:pPr>
        <w:spacing w:after="0"/>
        <w:jc w:val="both"/>
      </w:pPr>
      <w:r w:rsidRPr="00097A9C">
        <w:t>Rationale:</w:t>
      </w:r>
    </w:p>
    <w:p w14:paraId="11F5A922" w14:textId="77777777" w:rsidR="00AE6641" w:rsidRPr="00097A9C" w:rsidRDefault="00AE6641" w:rsidP="00EF207F">
      <w:pPr>
        <w:spacing w:after="0"/>
        <w:jc w:val="both"/>
      </w:pPr>
    </w:p>
    <w:p w14:paraId="18663374" w14:textId="77777777" w:rsidR="00AE6641" w:rsidRDefault="00AE6641" w:rsidP="00EF207F">
      <w:pPr>
        <w:spacing w:after="0"/>
        <w:jc w:val="both"/>
      </w:pPr>
      <w:r w:rsidRPr="00097A9C">
        <w:t xml:space="preserve">Although the </w:t>
      </w:r>
      <w:r>
        <w:t xml:space="preserve">unsecured </w:t>
      </w:r>
      <w:r w:rsidRPr="00097A9C">
        <w:t xml:space="preserve">debt investment appears to represent a creditor relationship in legal form, consideration of the substance of its terms in </w:t>
      </w:r>
      <w:r>
        <w:t>conjunction with</w:t>
      </w:r>
      <w:r w:rsidRPr="00097A9C">
        <w:t xml:space="preserve"> the reporting entity’s o</w:t>
      </w:r>
      <w:r>
        <w:t>ther</w:t>
      </w:r>
      <w:r w:rsidRPr="00097A9C">
        <w:t xml:space="preserve"> interest</w:t>
      </w:r>
      <w:r>
        <w:t>s</w:t>
      </w:r>
      <w:r w:rsidRPr="00097A9C">
        <w:t xml:space="preserve"> in the fund, reflects that of an equity investment in substance. While the </w:t>
      </w:r>
      <w:r>
        <w:t>unsecured debt investment</w:t>
      </w:r>
      <w:r w:rsidRPr="00097A9C">
        <w:t xml:space="preserve"> would have legal priority of payment over the equity </w:t>
      </w:r>
      <w:r>
        <w:t>interest</w:t>
      </w:r>
      <w:r w:rsidRPr="00097A9C">
        <w:t>, both interests are contractually required to be held in the same proportion by the reporting entity</w:t>
      </w:r>
      <w:r>
        <w:t xml:space="preserve"> and cannot be independently sold, assigned, or transferred</w:t>
      </w:r>
      <w:r w:rsidRPr="00097A9C">
        <w:t xml:space="preserve">, which only gives the reporting entity priority of payment over itself. </w:t>
      </w:r>
      <w:r>
        <w:t>As such, t</w:t>
      </w:r>
      <w:r w:rsidRPr="00097A9C">
        <w:t xml:space="preserve">he reporting entity is in the same economic position as if it held its entire investment in the form of an equity interest in the fund. Therefore, the </w:t>
      </w:r>
      <w:r>
        <w:t xml:space="preserve">unsecured </w:t>
      </w:r>
      <w:r w:rsidRPr="00097A9C">
        <w:t xml:space="preserve">debt investment does not represent a creditor relationship in substance. It would also be </w:t>
      </w:r>
      <w:r>
        <w:t>inappropriate to</w:t>
      </w:r>
      <w:r w:rsidRPr="00097A9C">
        <w:t xml:space="preserve"> conclude that a component of a similar</w:t>
      </w:r>
      <w:r>
        <w:t xml:space="preserve"> investment</w:t>
      </w:r>
      <w:r w:rsidRPr="00097A9C">
        <w:t xml:space="preserve">, but not exact replica of this transaction, represents a creditor relationship if it in substance does not put the holder collectively in a materially different economic position than holding an equity </w:t>
      </w:r>
      <w:r>
        <w:t>interest</w:t>
      </w:r>
      <w:r w:rsidRPr="00097A9C">
        <w:t xml:space="preserve"> (e.g., the required equity in</w:t>
      </w:r>
      <w:r>
        <w:t>terest</w:t>
      </w:r>
      <w:r w:rsidRPr="00097A9C">
        <w:t xml:space="preserve"> was not exactly pro-rata). However, requirements to hold both debt and equity interests as a result of regulatory restrictions, such as regulatory risk retention rules, should not influence the conclusion that a debt investment represents a creditor relationship in substance.</w:t>
      </w:r>
    </w:p>
    <w:p w14:paraId="23D0A22A" w14:textId="77777777" w:rsidR="00AE6641" w:rsidRPr="00097A9C" w:rsidRDefault="00AE6641" w:rsidP="00EF207F">
      <w:pPr>
        <w:spacing w:after="0"/>
        <w:jc w:val="both"/>
      </w:pPr>
    </w:p>
    <w:p w14:paraId="15E9E181" w14:textId="77777777" w:rsidR="00AE6641" w:rsidRDefault="00AE6641" w:rsidP="00EF207F">
      <w:pPr>
        <w:spacing w:after="0"/>
        <w:jc w:val="both"/>
        <w:rPr>
          <w:u w:val="single"/>
        </w:rPr>
      </w:pPr>
      <w:r w:rsidRPr="00097A9C">
        <w:rPr>
          <w:u w:val="single"/>
        </w:rPr>
        <w:t>Example 2:</w:t>
      </w:r>
    </w:p>
    <w:p w14:paraId="487CC6D6" w14:textId="77777777" w:rsidR="00AE6641" w:rsidRPr="00097A9C" w:rsidRDefault="00AE6641" w:rsidP="00EF207F">
      <w:pPr>
        <w:spacing w:after="0"/>
        <w:jc w:val="both"/>
        <w:rPr>
          <w:u w:val="single"/>
        </w:rPr>
      </w:pPr>
    </w:p>
    <w:p w14:paraId="75E4E9B0" w14:textId="77777777" w:rsidR="00AE6641" w:rsidRDefault="00AE6641" w:rsidP="00EF207F">
      <w:pPr>
        <w:spacing w:after="0"/>
        <w:jc w:val="both"/>
      </w:pPr>
      <w:r w:rsidRPr="00097A9C">
        <w:t xml:space="preserve">A </w:t>
      </w:r>
      <w:r>
        <w:t>reporting entity</w:t>
      </w:r>
      <w:r w:rsidRPr="00097A9C">
        <w:t xml:space="preserve"> invests in </w:t>
      </w:r>
      <w:r>
        <w:t xml:space="preserve">a </w:t>
      </w:r>
      <w:r w:rsidRPr="00097A9C">
        <w:t xml:space="preserve">debt instrument issued by a SPV that holds a large number of diversified equity </w:t>
      </w:r>
      <w:r>
        <w:t>interests</w:t>
      </w:r>
      <w:r w:rsidRPr="00097A9C">
        <w:t xml:space="preserve"> with characteristics that support the production of predictable cash flows. The structure contains sufficient overcollateralization and liquidity provisions to ensure the production of adequate cash flows to service both principal and interest payments without significant reliance on refinancing or sale of the underlying equity investments. The debt instrument’s periodic </w:t>
      </w:r>
      <w:r>
        <w:t>principal</w:t>
      </w:r>
      <w:r w:rsidRPr="00097A9C">
        <w:t xml:space="preserve"> </w:t>
      </w:r>
      <w:r>
        <w:t>or interest payments</w:t>
      </w:r>
      <w:r w:rsidRPr="00097A9C">
        <w:t>, or both</w:t>
      </w:r>
      <w:r>
        <w:t>,</w:t>
      </w:r>
      <w:r w:rsidRPr="00097A9C">
        <w:t xml:space="preserve"> contractually vary based on the appreciation or depreciation of the equity interests held in the SPV.</w:t>
      </w:r>
    </w:p>
    <w:p w14:paraId="69E5FEFE" w14:textId="77777777" w:rsidR="00AE6641" w:rsidRPr="00097A9C" w:rsidRDefault="00AE6641" w:rsidP="00EF207F">
      <w:pPr>
        <w:spacing w:after="0"/>
        <w:jc w:val="both"/>
      </w:pPr>
    </w:p>
    <w:p w14:paraId="3774526E" w14:textId="77777777" w:rsidR="00AE6641" w:rsidRDefault="00AE6641" w:rsidP="00EF207F">
      <w:pPr>
        <w:spacing w:after="0"/>
        <w:jc w:val="both"/>
      </w:pPr>
      <w:r w:rsidRPr="00097A9C">
        <w:t>Rationale:</w:t>
      </w:r>
    </w:p>
    <w:p w14:paraId="048B1EFB" w14:textId="77777777" w:rsidR="00AE6641" w:rsidRPr="00097A9C" w:rsidRDefault="00AE6641" w:rsidP="00EF207F">
      <w:pPr>
        <w:spacing w:after="0"/>
        <w:jc w:val="both"/>
      </w:pPr>
    </w:p>
    <w:p w14:paraId="68302E91" w14:textId="77777777" w:rsidR="00AE6641" w:rsidRDefault="00AE6641" w:rsidP="00EF207F">
      <w:pPr>
        <w:spacing w:after="0"/>
        <w:jc w:val="both"/>
      </w:pPr>
      <w:r w:rsidRPr="00097A9C">
        <w:t xml:space="preserve">Because the instrument’s </w:t>
      </w:r>
      <w:r>
        <w:t>principal or interest payments</w:t>
      </w:r>
      <w:r w:rsidRPr="00097A9C">
        <w:t>, or both</w:t>
      </w:r>
      <w:r>
        <w:t>,</w:t>
      </w:r>
      <w:r w:rsidRPr="00097A9C">
        <w:t xml:space="preserve"> contractually vary with the appreciation or depreciation of the underlying equity in</w:t>
      </w:r>
      <w:r>
        <w:t>terests</w:t>
      </w:r>
      <w:r w:rsidRPr="00097A9C">
        <w:t xml:space="preserve">, it contains </w:t>
      </w:r>
      <w:r>
        <w:t xml:space="preserve">an </w:t>
      </w:r>
      <w:r w:rsidRPr="00097A9C">
        <w:t xml:space="preserve">equity-like characteristic that </w:t>
      </w:r>
      <w:r>
        <w:t>is</w:t>
      </w:r>
      <w:r w:rsidRPr="00097A9C">
        <w:t xml:space="preserve"> not representative of a creditor relationship. It would be </w:t>
      </w:r>
      <w:r>
        <w:t>inappropriate</w:t>
      </w:r>
      <w:r w:rsidRPr="00097A9C">
        <w:t xml:space="preserve"> to conclude that </w:t>
      </w:r>
      <w:r>
        <w:t xml:space="preserve">a security with </w:t>
      </w:r>
      <w:r w:rsidRPr="00097A9C">
        <w:t xml:space="preserve">any </w:t>
      </w:r>
      <w:r w:rsidRPr="00097A9C">
        <w:lastRenderedPageBreak/>
        <w:t xml:space="preserve">variation </w:t>
      </w:r>
      <w:r>
        <w:t>in</w:t>
      </w:r>
      <w:r w:rsidRPr="00097A9C">
        <w:t xml:space="preserve"> </w:t>
      </w:r>
      <w:r>
        <w:t>principal or interest payments, or both,</w:t>
      </w:r>
      <w:r w:rsidRPr="00097A9C">
        <w:t xml:space="preserve"> due to underlying equity appreciation or depreciation, or an equity-based derivative, is a bond under this standard as </w:t>
      </w:r>
      <w:r>
        <w:t>such security</w:t>
      </w:r>
      <w:r w:rsidRPr="00097A9C">
        <w:t xml:space="preserve"> would </w:t>
      </w:r>
      <w:r>
        <w:t>contain</w:t>
      </w:r>
      <w:r w:rsidRPr="00097A9C">
        <w:t xml:space="preserve"> equity</w:t>
      </w:r>
      <w:r>
        <w:t>-</w:t>
      </w:r>
      <w:r w:rsidRPr="00097A9C">
        <w:t>like characteristics. A bond under this standard is required to have pre-determined principal and interest payments (whether fixed interest or variable interest) and comply with the structured note guidance within paragraph XXX.</w:t>
      </w:r>
    </w:p>
    <w:p w14:paraId="066619DB" w14:textId="77777777" w:rsidR="00AE6641" w:rsidRPr="00097A9C" w:rsidRDefault="00AE6641" w:rsidP="00EF207F">
      <w:pPr>
        <w:spacing w:after="0"/>
        <w:jc w:val="both"/>
      </w:pPr>
    </w:p>
    <w:p w14:paraId="15FA9FF5" w14:textId="5FBF1EA9" w:rsidR="00AE6641" w:rsidRDefault="00AE6641" w:rsidP="00EF207F">
      <w:pPr>
        <w:spacing w:after="0"/>
        <w:jc w:val="both"/>
        <w:rPr>
          <w:u w:val="single"/>
        </w:rPr>
      </w:pPr>
      <w:r w:rsidRPr="00097A9C">
        <w:rPr>
          <w:u w:val="single"/>
        </w:rPr>
        <w:t xml:space="preserve">Example </w:t>
      </w:r>
      <w:r w:rsidR="007A1D76">
        <w:rPr>
          <w:u w:val="single"/>
        </w:rPr>
        <w:t>3</w:t>
      </w:r>
      <w:r w:rsidRPr="00097A9C">
        <w:rPr>
          <w:u w:val="single"/>
        </w:rPr>
        <w:t>:</w:t>
      </w:r>
    </w:p>
    <w:p w14:paraId="4AD732B9" w14:textId="77777777" w:rsidR="00AE6641" w:rsidRPr="00097A9C" w:rsidRDefault="00AE6641" w:rsidP="00EF207F">
      <w:pPr>
        <w:spacing w:after="0"/>
        <w:jc w:val="both"/>
        <w:rPr>
          <w:u w:val="single"/>
        </w:rPr>
      </w:pPr>
    </w:p>
    <w:p w14:paraId="3CC1D04E" w14:textId="49EB1948" w:rsidR="00AE6641" w:rsidRDefault="00AE6641" w:rsidP="00EF207F">
      <w:pPr>
        <w:spacing w:after="0"/>
        <w:jc w:val="both"/>
      </w:pPr>
      <w:r w:rsidRPr="00097A9C">
        <w:t xml:space="preserve">A </w:t>
      </w:r>
      <w:r>
        <w:t>reporting entity</w:t>
      </w:r>
      <w:r w:rsidRPr="00097A9C">
        <w:t xml:space="preserve"> invests in a </w:t>
      </w:r>
      <w:r>
        <w:t>debt instrument</w:t>
      </w:r>
      <w:r w:rsidRPr="00097A9C">
        <w:t xml:space="preserve"> issued from a SPV</w:t>
      </w:r>
      <w:r>
        <w:t xml:space="preserve"> that</w:t>
      </w:r>
      <w:r w:rsidRPr="00097A9C">
        <w:t xml:space="preserve"> owns one or few equity in</w:t>
      </w:r>
      <w:r>
        <w:t>terests</w:t>
      </w:r>
      <w:r w:rsidRPr="00097A9C">
        <w:t xml:space="preserve">, and </w:t>
      </w:r>
      <w:r>
        <w:t xml:space="preserve">the debt instrument </w:t>
      </w:r>
      <w:r w:rsidRPr="00097A9C">
        <w:t xml:space="preserve">does not meet the definition of an </w:t>
      </w:r>
      <w:r>
        <w:t>i</w:t>
      </w:r>
      <w:r w:rsidRPr="00097A9C">
        <w:t xml:space="preserve">ssuer </w:t>
      </w:r>
      <w:r>
        <w:t>c</w:t>
      </w:r>
      <w:r w:rsidRPr="00097A9C">
        <w:t xml:space="preserve">redit </w:t>
      </w:r>
      <w:r>
        <w:t>o</w:t>
      </w:r>
      <w:r w:rsidRPr="00097A9C">
        <w:t xml:space="preserve">bligation. The </w:t>
      </w:r>
      <w:r>
        <w:t>debt instrument</w:t>
      </w:r>
      <w:r w:rsidRPr="00097A9C">
        <w:t xml:space="preserve"> </w:t>
      </w:r>
      <w:r>
        <w:t>benefits from</w:t>
      </w:r>
      <w:r w:rsidRPr="00097A9C">
        <w:t xml:space="preserve"> sufficient </w:t>
      </w:r>
      <w:r>
        <w:t xml:space="preserve">credit enhancement </w:t>
      </w:r>
      <w:r w:rsidRPr="00097A9C">
        <w:t>as de</w:t>
      </w:r>
      <w:r>
        <w:t>fined</w:t>
      </w:r>
      <w:r w:rsidRPr="00097A9C">
        <w:t xml:space="preserve"> in paragraph 3</w:t>
      </w:r>
      <w:r>
        <w:t>b</w:t>
      </w:r>
      <w:r w:rsidRPr="00097A9C">
        <w:t xml:space="preserve">, but the timing, amount and likelihood of cash distributions from the </w:t>
      </w:r>
      <w:r>
        <w:t xml:space="preserve">underlying </w:t>
      </w:r>
      <w:r w:rsidRPr="00097A9C">
        <w:t xml:space="preserve">equity </w:t>
      </w:r>
      <w:r>
        <w:t>interests</w:t>
      </w:r>
      <w:r w:rsidRPr="00097A9C">
        <w:t xml:space="preserve"> </w:t>
      </w:r>
      <w:r>
        <w:t>is</w:t>
      </w:r>
      <w:r w:rsidRPr="00097A9C">
        <w:t xml:space="preserve"> highly uncertain. </w:t>
      </w:r>
      <w:r>
        <w:t>Additionally, t</w:t>
      </w:r>
      <w:r w:rsidRPr="00097A9C">
        <w:t xml:space="preserve">he capital structure of the SPV does not contain adequate diversification or liquidity provisions to ensure the production of adequate cash flows to service </w:t>
      </w:r>
      <w:r>
        <w:t xml:space="preserve">the contractual </w:t>
      </w:r>
      <w:r w:rsidRPr="00097A9C">
        <w:t>principal and interest payments</w:t>
      </w:r>
      <w:r>
        <w:t>,</w:t>
      </w:r>
      <w:r w:rsidRPr="00097A9C">
        <w:t xml:space="preserve"> and repayment relies primarily on the ability to refinance or sell the underlying equity in</w:t>
      </w:r>
      <w:r>
        <w:t>terests</w:t>
      </w:r>
      <w:r w:rsidR="007A1D76">
        <w:t xml:space="preserve"> at maturity</w:t>
      </w:r>
      <w:r w:rsidRPr="00097A9C">
        <w:t>.</w:t>
      </w:r>
    </w:p>
    <w:p w14:paraId="726105CB" w14:textId="77777777" w:rsidR="00AE6641" w:rsidRPr="00097A9C" w:rsidRDefault="00AE6641" w:rsidP="00EF207F">
      <w:pPr>
        <w:spacing w:after="0"/>
        <w:jc w:val="both"/>
      </w:pPr>
    </w:p>
    <w:p w14:paraId="0F282533" w14:textId="77777777" w:rsidR="00AE6641" w:rsidRDefault="00AE6641" w:rsidP="00EF207F">
      <w:pPr>
        <w:spacing w:after="0"/>
        <w:jc w:val="both"/>
      </w:pPr>
      <w:r w:rsidRPr="00097A9C">
        <w:t>Rationale:</w:t>
      </w:r>
    </w:p>
    <w:p w14:paraId="1227D119" w14:textId="77777777" w:rsidR="00AE6641" w:rsidRPr="00097A9C" w:rsidRDefault="00AE6641" w:rsidP="00EF207F">
      <w:pPr>
        <w:spacing w:after="0"/>
        <w:jc w:val="both"/>
      </w:pPr>
    </w:p>
    <w:p w14:paraId="1C8D6F12" w14:textId="47D4E2C4" w:rsidR="00AE6641" w:rsidRDefault="00AE6641" w:rsidP="00EF207F">
      <w:pPr>
        <w:spacing w:after="0"/>
        <w:jc w:val="both"/>
      </w:pPr>
      <w:r>
        <w:t xml:space="preserve">The debt instrument does not qualify as a bond because </w:t>
      </w:r>
      <w:r w:rsidRPr="00097A9C">
        <w:t xml:space="preserve">the timing, amount, and likelihood of cash distributions from the </w:t>
      </w:r>
      <w:r>
        <w:t xml:space="preserve">underlying </w:t>
      </w:r>
      <w:r w:rsidRPr="00097A9C">
        <w:t xml:space="preserve">equity </w:t>
      </w:r>
      <w:r>
        <w:t>interests</w:t>
      </w:r>
      <w:r w:rsidRPr="00097A9C">
        <w:t xml:space="preserve"> </w:t>
      </w:r>
      <w:r>
        <w:t xml:space="preserve">is </w:t>
      </w:r>
      <w:r w:rsidRPr="00097A9C">
        <w:t>highly uncertain</w:t>
      </w:r>
      <w:r>
        <w:t>, and because the</w:t>
      </w:r>
      <w:r w:rsidRPr="00097A9C">
        <w:t xml:space="preserve"> capital structure of the SPV does not contain adequate diversification or liquidity provisions to ensure the production of adequate cash flows to service both principal and interest payments</w:t>
      </w:r>
      <w:r>
        <w:t xml:space="preserve">. Furthermore, the anticipated repayment significantly </w:t>
      </w:r>
      <w:r w:rsidRPr="00097A9C">
        <w:t xml:space="preserve">relies on the ability to refinance or sell the underlying equity </w:t>
      </w:r>
      <w:r>
        <w:t>interests</w:t>
      </w:r>
      <w:r w:rsidR="002F4F11">
        <w:t xml:space="preserve"> at maturity.</w:t>
      </w:r>
    </w:p>
    <w:p w14:paraId="78EAC7D9" w14:textId="77777777" w:rsidR="00AE6641" w:rsidRPr="00097A9C" w:rsidRDefault="00AE6641" w:rsidP="00EF207F">
      <w:pPr>
        <w:spacing w:after="0"/>
        <w:jc w:val="both"/>
      </w:pPr>
    </w:p>
    <w:p w14:paraId="6201C684" w14:textId="6E551FC4" w:rsidR="00AE6641" w:rsidRDefault="00AE6641" w:rsidP="00EF207F">
      <w:pPr>
        <w:spacing w:after="0"/>
        <w:jc w:val="both"/>
      </w:pPr>
      <w:r w:rsidRPr="00097A9C">
        <w:t>Determini</w:t>
      </w:r>
      <w:r>
        <w:t>ng</w:t>
      </w:r>
      <w:r w:rsidRPr="00097A9C">
        <w:t xml:space="preserve"> of whether a debt in</w:t>
      </w:r>
      <w:r>
        <w:t>strument</w:t>
      </w:r>
      <w:r w:rsidRPr="00097A9C">
        <w:t xml:space="preserve"> represents a creditor relationship in substance when the source of cash flows for repayment is derived from underlying equity </w:t>
      </w:r>
      <w:r>
        <w:t>interests</w:t>
      </w:r>
      <w:r w:rsidRPr="00097A9C">
        <w:t xml:space="preserve"> inherently requires significant judgment</w:t>
      </w:r>
      <w:r w:rsidR="002F4F11">
        <w:t xml:space="preserve"> and analysis</w:t>
      </w:r>
      <w:r w:rsidRPr="00097A9C">
        <w:t>. Unlike a debt in</w:t>
      </w:r>
      <w:r>
        <w:t>strument</w:t>
      </w:r>
      <w:r w:rsidRPr="00097A9C">
        <w:t xml:space="preserve"> collateralized by assets with contractual cash flows, debt in</w:t>
      </w:r>
      <w:r>
        <w:t>struments</w:t>
      </w:r>
      <w:r w:rsidRPr="00097A9C">
        <w:t xml:space="preserve"> collateralized by equity </w:t>
      </w:r>
      <w:r>
        <w:t>interests</w:t>
      </w:r>
      <w:r w:rsidRPr="00097A9C">
        <w:t xml:space="preserve"> are dependent on cash flow distributions that are not contractually required to be made and are not controlled by the issuer of the debt. As a result, there is a rebuttable presumption that a </w:t>
      </w:r>
      <w:r>
        <w:t>debt instrument</w:t>
      </w:r>
      <w:r w:rsidRPr="00097A9C">
        <w:t xml:space="preserve"> </w:t>
      </w:r>
      <w:r>
        <w:t>collateralized by equity interests</w:t>
      </w:r>
      <w:r w:rsidRPr="00097A9C">
        <w:t xml:space="preserve"> does not represent a creditor relationship in substance. Notwithstanding this </w:t>
      </w:r>
      <w:r>
        <w:t xml:space="preserve">rebuttable </w:t>
      </w:r>
      <w:r w:rsidRPr="00097A9C">
        <w:t xml:space="preserve">presumption, it is possible for such a </w:t>
      </w:r>
      <w:r>
        <w:t>debt instrument</w:t>
      </w:r>
      <w:r w:rsidRPr="00097A9C">
        <w:t xml:space="preserve"> to represent a creditor relationship if the characteristics of </w:t>
      </w:r>
      <w:r>
        <w:t xml:space="preserve">the underlying </w:t>
      </w:r>
      <w:r w:rsidRPr="00097A9C">
        <w:t xml:space="preserve">equity </w:t>
      </w:r>
      <w:r>
        <w:t>interests</w:t>
      </w:r>
      <w:r w:rsidRPr="00097A9C">
        <w:t xml:space="preserve"> lend themselves to the production of predictable cash flows and the underlying equity risks have been sufficiently redistributed through the capital structure of the issuer. </w:t>
      </w:r>
      <w:r>
        <w:t>F</w:t>
      </w:r>
      <w:r w:rsidRPr="00097A9C">
        <w:t>actors to consider in making this determination include but are not limited to:</w:t>
      </w:r>
    </w:p>
    <w:p w14:paraId="7929AB5D" w14:textId="77777777" w:rsidR="00AE6641" w:rsidRPr="00097A9C" w:rsidRDefault="00AE6641" w:rsidP="00EF207F">
      <w:pPr>
        <w:spacing w:after="0"/>
        <w:jc w:val="both"/>
      </w:pPr>
    </w:p>
    <w:p w14:paraId="4EA000D3" w14:textId="77777777" w:rsidR="00AE6641" w:rsidRPr="00097A9C" w:rsidRDefault="00AE6641" w:rsidP="00EF207F">
      <w:pPr>
        <w:pStyle w:val="ListParagraph"/>
        <w:numPr>
          <w:ilvl w:val="0"/>
          <w:numId w:val="6"/>
        </w:numPr>
        <w:spacing w:after="0"/>
        <w:jc w:val="both"/>
      </w:pPr>
      <w:r>
        <w:t>N</w:t>
      </w:r>
      <w:r w:rsidRPr="00097A9C">
        <w:t xml:space="preserve">umber and </w:t>
      </w:r>
      <w:r>
        <w:t>d</w:t>
      </w:r>
      <w:r w:rsidRPr="00097A9C">
        <w:t xml:space="preserve">iversification of </w:t>
      </w:r>
      <w:r>
        <w:t>the u</w:t>
      </w:r>
      <w:r w:rsidRPr="00097A9C">
        <w:t xml:space="preserve">nderlying </w:t>
      </w:r>
      <w:r>
        <w:t>equity interests</w:t>
      </w:r>
    </w:p>
    <w:p w14:paraId="6B4C8A2C" w14:textId="77777777" w:rsidR="00AE6641" w:rsidRPr="00097A9C" w:rsidRDefault="00AE6641" w:rsidP="00EF207F">
      <w:pPr>
        <w:pStyle w:val="ListParagraph"/>
        <w:numPr>
          <w:ilvl w:val="0"/>
          <w:numId w:val="6"/>
        </w:numPr>
        <w:spacing w:after="0"/>
        <w:jc w:val="both"/>
      </w:pPr>
      <w:r w:rsidRPr="00097A9C">
        <w:t>Characteristics of</w:t>
      </w:r>
      <w:r>
        <w:t xml:space="preserve"> the</w:t>
      </w:r>
      <w:r w:rsidRPr="00097A9C">
        <w:t xml:space="preserve"> </w:t>
      </w:r>
      <w:r>
        <w:t>u</w:t>
      </w:r>
      <w:r w:rsidRPr="00097A9C">
        <w:t xml:space="preserve">nderlying </w:t>
      </w:r>
      <w:r>
        <w:t>equity interests</w:t>
      </w:r>
      <w:r w:rsidRPr="00097A9C">
        <w:t xml:space="preserve"> (</w:t>
      </w:r>
      <w:r>
        <w:t>v</w:t>
      </w:r>
      <w:r w:rsidRPr="00097A9C">
        <w:t>intage, asset-types, etc</w:t>
      </w:r>
      <w:r>
        <w:t>.</w:t>
      </w:r>
      <w:r w:rsidRPr="00097A9C">
        <w:t>)</w:t>
      </w:r>
    </w:p>
    <w:p w14:paraId="725DACEC" w14:textId="77777777" w:rsidR="00AE6641" w:rsidRPr="00097A9C" w:rsidRDefault="00AE6641" w:rsidP="00EF207F">
      <w:pPr>
        <w:pStyle w:val="ListParagraph"/>
        <w:numPr>
          <w:ilvl w:val="0"/>
          <w:numId w:val="6"/>
        </w:numPr>
        <w:spacing w:after="0"/>
        <w:jc w:val="both"/>
      </w:pPr>
      <w:r w:rsidRPr="00097A9C">
        <w:t xml:space="preserve">Liquidity </w:t>
      </w:r>
      <w:r>
        <w:t>f</w:t>
      </w:r>
      <w:r w:rsidRPr="00097A9C">
        <w:t>acilities</w:t>
      </w:r>
    </w:p>
    <w:p w14:paraId="0EBFCC27" w14:textId="77777777" w:rsidR="00AE6641" w:rsidRPr="00097A9C" w:rsidRDefault="00AE6641" w:rsidP="00EF207F">
      <w:pPr>
        <w:pStyle w:val="ListParagraph"/>
        <w:numPr>
          <w:ilvl w:val="0"/>
          <w:numId w:val="6"/>
        </w:numPr>
        <w:spacing w:after="0"/>
        <w:jc w:val="both"/>
      </w:pPr>
      <w:r w:rsidRPr="00097A9C">
        <w:t>Overcollateralization</w:t>
      </w:r>
    </w:p>
    <w:p w14:paraId="6F07B5BA" w14:textId="77777777" w:rsidR="00AE6641" w:rsidRPr="00097A9C" w:rsidRDefault="00AE6641" w:rsidP="00EF207F">
      <w:pPr>
        <w:pStyle w:val="ListParagraph"/>
        <w:numPr>
          <w:ilvl w:val="0"/>
          <w:numId w:val="6"/>
        </w:numPr>
        <w:spacing w:after="0"/>
        <w:jc w:val="both"/>
      </w:pPr>
      <w:r w:rsidRPr="00097A9C">
        <w:t>Waiting period for distributions/paydowns to begin</w:t>
      </w:r>
    </w:p>
    <w:p w14:paraId="15D39E4E" w14:textId="77777777" w:rsidR="00AE6641" w:rsidRPr="00097A9C" w:rsidRDefault="00AE6641" w:rsidP="00EF207F">
      <w:pPr>
        <w:pStyle w:val="ListParagraph"/>
        <w:numPr>
          <w:ilvl w:val="0"/>
          <w:numId w:val="6"/>
        </w:numPr>
        <w:spacing w:after="0"/>
        <w:jc w:val="both"/>
      </w:pPr>
      <w:r w:rsidRPr="00097A9C">
        <w:t>Capitalization of interest</w:t>
      </w:r>
    </w:p>
    <w:p w14:paraId="726CC204" w14:textId="526C339E" w:rsidR="00AE6641" w:rsidRPr="00097A9C" w:rsidRDefault="00AE6641" w:rsidP="00EF207F">
      <w:pPr>
        <w:pStyle w:val="ListParagraph"/>
        <w:numPr>
          <w:ilvl w:val="0"/>
          <w:numId w:val="6"/>
        </w:numPr>
        <w:spacing w:after="0"/>
        <w:jc w:val="both"/>
      </w:pPr>
      <w:r w:rsidRPr="00097A9C">
        <w:t>Covenants (e.g.</w:t>
      </w:r>
      <w:r>
        <w:t>,</w:t>
      </w:r>
      <w:r w:rsidRPr="00097A9C">
        <w:t xml:space="preserve"> loan-to-value trigger provisions)</w:t>
      </w:r>
    </w:p>
    <w:p w14:paraId="515C0FAF" w14:textId="77777777" w:rsidR="00AE6641" w:rsidRDefault="00AE6641" w:rsidP="00EF207F">
      <w:pPr>
        <w:pStyle w:val="ListParagraph"/>
        <w:numPr>
          <w:ilvl w:val="0"/>
          <w:numId w:val="6"/>
        </w:numPr>
        <w:spacing w:after="0"/>
        <w:jc w:val="both"/>
      </w:pPr>
      <w:r w:rsidRPr="00097A9C">
        <w:t>Reliance on ongoing sponsor commitments</w:t>
      </w:r>
    </w:p>
    <w:p w14:paraId="53D28CB5" w14:textId="77777777" w:rsidR="00AE6641" w:rsidRPr="00097A9C" w:rsidRDefault="00AE6641" w:rsidP="00EF207F">
      <w:pPr>
        <w:spacing w:after="0"/>
        <w:jc w:val="both"/>
      </w:pPr>
    </w:p>
    <w:p w14:paraId="4F6CD751" w14:textId="77777777" w:rsidR="00AE6641" w:rsidRDefault="00AE6641" w:rsidP="00EF207F">
      <w:pPr>
        <w:spacing w:after="0"/>
        <w:jc w:val="both"/>
      </w:pPr>
      <w:r w:rsidRPr="00097A9C">
        <w:t xml:space="preserve">Additionally, a </w:t>
      </w:r>
      <w:r>
        <w:t>debt instrument</w:t>
      </w:r>
      <w:r w:rsidRPr="00097A9C">
        <w:t xml:space="preserve"> for which repayment relies significantly upon the ability to refinance or sell the underlying equity in</w:t>
      </w:r>
      <w:r>
        <w:t>terests</w:t>
      </w:r>
      <w:r w:rsidRPr="00097A9C">
        <w:t xml:space="preserve"> at maturity subjects the holder to a point-in-time equity valuation risk that is characteristic of the substance of an equity holder relationship rather than a creditor relationship. Therefore, such reliance would preclude the rebuttable presumption from being overcome.</w:t>
      </w:r>
    </w:p>
    <w:p w14:paraId="1D8D16EB" w14:textId="77777777" w:rsidR="00AE6641" w:rsidRPr="00097A9C" w:rsidRDefault="00AE6641" w:rsidP="00EF207F">
      <w:pPr>
        <w:spacing w:after="0"/>
        <w:jc w:val="both"/>
      </w:pPr>
    </w:p>
    <w:p w14:paraId="48B4FCB4" w14:textId="77777777" w:rsidR="00AE6641" w:rsidRDefault="00AE6641" w:rsidP="00EF207F">
      <w:pPr>
        <w:spacing w:after="0"/>
        <w:jc w:val="both"/>
        <w:rPr>
          <w:b/>
          <w:bCs/>
        </w:rPr>
      </w:pPr>
      <w:r>
        <w:t>The a</w:t>
      </w:r>
      <w:r w:rsidRPr="00097A9C">
        <w:t xml:space="preserve">nalysis of whether a </w:t>
      </w:r>
      <w:r>
        <w:t>debt instrument</w:t>
      </w:r>
      <w:r w:rsidRPr="00097A9C">
        <w:t xml:space="preserve"> that relies on cash flows</w:t>
      </w:r>
      <w:r>
        <w:t xml:space="preserve"> from underlying equity interests</w:t>
      </w:r>
      <w:r w:rsidRPr="00097A9C">
        <w:t xml:space="preserve"> for repayment represents a creditor relationship in substance should be conducted and documented by a reporting entity at the time such an investment is acquired. The level of documentation and analysis required to demonstrate that the rebuttable presumption has been overcome may vary based on the characteristics of the individual </w:t>
      </w:r>
      <w:r>
        <w:t>debt instrument</w:t>
      </w:r>
      <w:r w:rsidRPr="00097A9C">
        <w:t>, as well as the level of third-party and/or non-insurer market validation to which the issuance has been subjected. For example, a</w:t>
      </w:r>
      <w:r>
        <w:t xml:space="preserve"> debt instrument</w:t>
      </w:r>
      <w:r w:rsidRPr="00097A9C">
        <w:t xml:space="preserve"> backed by fewer, less diversified funds would require more extensive and persuasive documented analysis than </w:t>
      </w:r>
      <w:r>
        <w:t>one</w:t>
      </w:r>
      <w:r w:rsidRPr="00097A9C">
        <w:t xml:space="preserve"> backed with a larger number of diversified funds. Likewise, a </w:t>
      </w:r>
      <w:r>
        <w:t>debt instrument</w:t>
      </w:r>
      <w:r w:rsidRPr="00097A9C">
        <w:t xml:space="preserve"> that has been successfully marketed to unrelated and/or non-insurer investors, may provide enhanced market validation of the</w:t>
      </w:r>
      <w:r>
        <w:t xml:space="preserve"> </w:t>
      </w:r>
      <w:r w:rsidRPr="00097A9C">
        <w:t xml:space="preserve">structure compared to </w:t>
      </w:r>
      <w:r>
        <w:t>one</w:t>
      </w:r>
      <w:r w:rsidRPr="00097A9C">
        <w:t xml:space="preserve"> held only by related party and/or insurer investors where capital relief may be the primary motivation for the securitization.</w:t>
      </w:r>
    </w:p>
    <w:p w14:paraId="624F5C3B" w14:textId="77777777" w:rsidR="00AE6641" w:rsidRDefault="00AE6641" w:rsidP="00EF207F">
      <w:pPr>
        <w:jc w:val="both"/>
        <w:rPr>
          <w:b/>
          <w:bCs/>
        </w:rPr>
      </w:pPr>
      <w:r>
        <w:rPr>
          <w:b/>
          <w:bCs/>
        </w:rPr>
        <w:br w:type="page"/>
      </w:r>
    </w:p>
    <w:p w14:paraId="19923148" w14:textId="77777777" w:rsidR="00AE6641" w:rsidRDefault="00AE6641" w:rsidP="00EF207F">
      <w:pPr>
        <w:spacing w:after="0"/>
        <w:jc w:val="center"/>
        <w:rPr>
          <w:b/>
          <w:bCs/>
        </w:rPr>
      </w:pPr>
      <w:r w:rsidRPr="00097A9C">
        <w:rPr>
          <w:b/>
          <w:bCs/>
        </w:rPr>
        <w:lastRenderedPageBreak/>
        <w:t>Appendix II</w:t>
      </w:r>
    </w:p>
    <w:p w14:paraId="18795593" w14:textId="77777777" w:rsidR="00AE6641" w:rsidRPr="00097A9C" w:rsidRDefault="00AE6641" w:rsidP="00EF207F">
      <w:pPr>
        <w:spacing w:after="0"/>
        <w:jc w:val="both"/>
        <w:rPr>
          <w:b/>
          <w:bCs/>
        </w:rPr>
      </w:pPr>
    </w:p>
    <w:p w14:paraId="01D4A7A5" w14:textId="77777777" w:rsidR="00AE6641" w:rsidRDefault="00AE6641" w:rsidP="00EF207F">
      <w:pPr>
        <w:spacing w:after="0"/>
        <w:jc w:val="both"/>
        <w:rPr>
          <w:b/>
          <w:bCs/>
          <w:u w:val="single"/>
        </w:rPr>
      </w:pPr>
      <w:r w:rsidRPr="00A01B7B">
        <w:rPr>
          <w:b/>
          <w:bCs/>
          <w:u w:val="single"/>
        </w:rPr>
        <w:t>Examples of analysis of asset backed securities under the meaningful and/or sufficiency criteria as defined in paragraphs 3a and 3b:</w:t>
      </w:r>
    </w:p>
    <w:p w14:paraId="5630241B" w14:textId="77777777" w:rsidR="00AE6641" w:rsidRPr="00A01B7B" w:rsidRDefault="00AE6641" w:rsidP="00EF207F">
      <w:pPr>
        <w:spacing w:after="0"/>
        <w:jc w:val="both"/>
      </w:pPr>
    </w:p>
    <w:p w14:paraId="0FE5FE60" w14:textId="77777777" w:rsidR="00AE6641" w:rsidRPr="00A01B7B" w:rsidRDefault="00AE6641" w:rsidP="00EF207F">
      <w:pPr>
        <w:spacing w:after="0"/>
        <w:jc w:val="both"/>
        <w:rPr>
          <w:u w:val="single"/>
        </w:rPr>
      </w:pPr>
      <w:r w:rsidRPr="00A01B7B">
        <w:rPr>
          <w:u w:val="single"/>
        </w:rPr>
        <w:t>Example 1:</w:t>
      </w:r>
    </w:p>
    <w:p w14:paraId="055C55D6" w14:textId="77777777" w:rsidR="00AE6641" w:rsidRPr="00097A9C" w:rsidRDefault="00AE6641" w:rsidP="00EF207F">
      <w:pPr>
        <w:spacing w:after="0"/>
        <w:jc w:val="both"/>
      </w:pPr>
    </w:p>
    <w:p w14:paraId="4255A59E" w14:textId="77777777" w:rsidR="00AE6641" w:rsidRDefault="00AE6641" w:rsidP="00EF207F">
      <w:pPr>
        <w:spacing w:after="0"/>
        <w:jc w:val="both"/>
      </w:pPr>
      <w:r w:rsidRPr="00097A9C">
        <w:t xml:space="preserve">A </w:t>
      </w:r>
      <w:r>
        <w:t>reporting entity</w:t>
      </w:r>
      <w:r w:rsidRPr="00097A9C">
        <w:t xml:space="preserve"> invests in </w:t>
      </w:r>
      <w:r>
        <w:t>debt instruments</w:t>
      </w:r>
      <w:r w:rsidRPr="00097A9C">
        <w:t xml:space="preserve"> issued from a SPV sponsored by the Government National Mortgage Association (GNMA), the Federal National Mortgage Association (FNMA) and the Federal Home Loan Mortgage Corporation (Freddie Mac) (collectively, “Agency or Agencies”). These debt instruments pass through </w:t>
      </w:r>
      <w:r>
        <w:t>principal</w:t>
      </w:r>
      <w:r w:rsidRPr="00097A9C">
        <w:t xml:space="preserve"> and </w:t>
      </w:r>
      <w:r>
        <w:t>interest payments received</w:t>
      </w:r>
      <w:r w:rsidRPr="00097A9C">
        <w:t xml:space="preserve"> from underlying mortgage</w:t>
      </w:r>
      <w:r>
        <w:t xml:space="preserve"> loans</w:t>
      </w:r>
      <w:r w:rsidRPr="00097A9C">
        <w:t xml:space="preserve"> held </w:t>
      </w:r>
      <w:r>
        <w:t>by</w:t>
      </w:r>
      <w:r w:rsidRPr="00097A9C">
        <w:t xml:space="preserve"> the SPV to the debtholders proportionally, with principal and interest guaranteed by the Agencies. While there is prepayment and extension risk associated with the repayment of the underlying mortgage</w:t>
      </w:r>
      <w:r>
        <w:t xml:space="preserve"> loans</w:t>
      </w:r>
      <w:r w:rsidRPr="00097A9C">
        <w:t>, the credit risk associated with the mortgage</w:t>
      </w:r>
      <w:r>
        <w:t xml:space="preserve"> loans</w:t>
      </w:r>
      <w:r w:rsidRPr="00097A9C">
        <w:t xml:space="preserve"> is assumed by the Agenc</w:t>
      </w:r>
      <w:r>
        <w:t>ies</w:t>
      </w:r>
      <w:r w:rsidRPr="00097A9C">
        <w:t xml:space="preserve">. The </w:t>
      </w:r>
      <w:r>
        <w:t>reporting entity</w:t>
      </w:r>
      <w:r w:rsidRPr="00097A9C">
        <w:t xml:space="preserve"> expects the Agency guarantee to be sufficient to absorb losses</w:t>
      </w:r>
      <w:r>
        <w:t xml:space="preserve"> </w:t>
      </w:r>
      <w:r w:rsidRPr="00097A9C">
        <w:t>to the same degree as other debt in</w:t>
      </w:r>
      <w:r>
        <w:t>struments</w:t>
      </w:r>
      <w:r w:rsidRPr="00097A9C">
        <w:t xml:space="preserve"> of similar quality under a range of stress scenarios.</w:t>
      </w:r>
    </w:p>
    <w:p w14:paraId="6ABF850C" w14:textId="77777777" w:rsidR="00AE6641" w:rsidRPr="00097A9C" w:rsidRDefault="00AE6641" w:rsidP="00EF207F">
      <w:pPr>
        <w:spacing w:after="0"/>
        <w:jc w:val="both"/>
      </w:pPr>
    </w:p>
    <w:p w14:paraId="506017B7" w14:textId="77777777" w:rsidR="00AE6641" w:rsidRDefault="00AE6641" w:rsidP="00EF207F">
      <w:pPr>
        <w:spacing w:after="0"/>
        <w:jc w:val="both"/>
      </w:pPr>
      <w:r w:rsidRPr="00097A9C">
        <w:t>Rationale:</w:t>
      </w:r>
    </w:p>
    <w:p w14:paraId="117AB913" w14:textId="77777777" w:rsidR="00AE6641" w:rsidRPr="00097A9C" w:rsidRDefault="00AE6641" w:rsidP="00EF207F">
      <w:pPr>
        <w:spacing w:after="0"/>
        <w:jc w:val="both"/>
      </w:pPr>
    </w:p>
    <w:p w14:paraId="2C1ACF77" w14:textId="77777777" w:rsidR="00AE6641" w:rsidRDefault="00AE6641" w:rsidP="00EF207F">
      <w:pPr>
        <w:spacing w:after="0"/>
        <w:jc w:val="both"/>
      </w:pPr>
      <w:r w:rsidRPr="00097A9C">
        <w:t xml:space="preserve">Although the </w:t>
      </w:r>
      <w:r>
        <w:t>reporting entity</w:t>
      </w:r>
      <w:r w:rsidRPr="00097A9C">
        <w:t xml:space="preserve"> participates on a proportional basis in the </w:t>
      </w:r>
      <w:r>
        <w:t>cash flows from</w:t>
      </w:r>
      <w:r w:rsidRPr="00097A9C">
        <w:t xml:space="preserve"> the </w:t>
      </w:r>
      <w:r>
        <w:t xml:space="preserve">underlying </w:t>
      </w:r>
      <w:r w:rsidRPr="00097A9C">
        <w:t xml:space="preserve">mortgage loans held by the SPV, the </w:t>
      </w:r>
      <w:r>
        <w:t>reporting entity</w:t>
      </w:r>
      <w:r w:rsidRPr="00097A9C">
        <w:t xml:space="preserve"> is in a different economic position than if it owned the </w:t>
      </w:r>
      <w:r>
        <w:t xml:space="preserve">underlying </w:t>
      </w:r>
      <w:r w:rsidRPr="00097A9C">
        <w:t>mortgage loans directly because the credit risk has been redistributed and assumed by the Agenc</w:t>
      </w:r>
      <w:r>
        <w:t>ies</w:t>
      </w:r>
      <w:r w:rsidRPr="00097A9C">
        <w:t>. Because the Agency guarantee is expected to absorb losses</w:t>
      </w:r>
      <w:r>
        <w:t xml:space="preserve"> </w:t>
      </w:r>
      <w:r w:rsidRPr="00097A9C">
        <w:t>to the same degree as other debt in</w:t>
      </w:r>
      <w:r>
        <w:t>struments</w:t>
      </w:r>
      <w:r w:rsidRPr="00097A9C">
        <w:t xml:space="preserve"> of similar quality under a range of stress scenarios, it represents sufficient credit enhancement in accordance with the requirements in </w:t>
      </w:r>
      <w:r>
        <w:t>p</w:t>
      </w:r>
      <w:r w:rsidRPr="00097A9C">
        <w:t>aragraph 3b.</w:t>
      </w:r>
    </w:p>
    <w:p w14:paraId="1B95DF99" w14:textId="77777777" w:rsidR="00AE6641" w:rsidRPr="00097A9C" w:rsidRDefault="00AE6641" w:rsidP="00EF207F">
      <w:pPr>
        <w:spacing w:after="0"/>
        <w:jc w:val="both"/>
      </w:pPr>
      <w:r w:rsidRPr="00097A9C">
        <w:t xml:space="preserve">   </w:t>
      </w:r>
    </w:p>
    <w:p w14:paraId="5FAFC27A" w14:textId="77777777" w:rsidR="00AE6641" w:rsidRDefault="00AE6641" w:rsidP="00EF207F">
      <w:pPr>
        <w:spacing w:after="0" w:line="256" w:lineRule="auto"/>
        <w:jc w:val="both"/>
      </w:pPr>
      <w:r w:rsidRPr="00097A9C">
        <w:t>Example 2:</w:t>
      </w:r>
    </w:p>
    <w:p w14:paraId="74C4B09D" w14:textId="77777777" w:rsidR="00AE6641" w:rsidRPr="00097A9C" w:rsidRDefault="00AE6641" w:rsidP="00EF207F">
      <w:pPr>
        <w:spacing w:after="0" w:line="256" w:lineRule="auto"/>
        <w:jc w:val="both"/>
      </w:pPr>
    </w:p>
    <w:p w14:paraId="38B85F43" w14:textId="77777777" w:rsidR="00AE6641" w:rsidRDefault="00AE6641" w:rsidP="00EF207F">
      <w:pPr>
        <w:spacing w:after="0" w:line="256" w:lineRule="auto"/>
        <w:jc w:val="both"/>
      </w:pPr>
      <w:r w:rsidRPr="00097A9C">
        <w:t xml:space="preserve">A </w:t>
      </w:r>
      <w:r>
        <w:t>reporting entity</w:t>
      </w:r>
      <w:r w:rsidRPr="00097A9C">
        <w:t xml:space="preserve"> invested in a debt </w:t>
      </w:r>
      <w:r>
        <w:t xml:space="preserve">instrument </w:t>
      </w:r>
      <w:r w:rsidRPr="00097A9C">
        <w:t xml:space="preserve">issued </w:t>
      </w:r>
      <w:r>
        <w:t>by</w:t>
      </w:r>
      <w:r w:rsidRPr="00097A9C">
        <w:t xml:space="preserve"> a SPV that owns equipment</w:t>
      </w:r>
      <w:r>
        <w:t xml:space="preserve"> which is leased to an equipment operator. </w:t>
      </w:r>
      <w:r w:rsidRPr="00097A9C">
        <w:t xml:space="preserve">The equipment operator makes lease payments to the SPV, which are passed through to service the SPV’s debt obligation. While the debt is outstanding, the equipment </w:t>
      </w:r>
      <w:r>
        <w:t>and lease are</w:t>
      </w:r>
      <w:r w:rsidRPr="00097A9C">
        <w:t xml:space="preserve"> held in trust and pledged as collateral for the debtholders. </w:t>
      </w:r>
      <w:r>
        <w:t xml:space="preserve">Should a default occur, the </w:t>
      </w:r>
      <w:r w:rsidRPr="00097A9C">
        <w:t xml:space="preserve">debtholders can foreclose on </w:t>
      </w:r>
      <w:r>
        <w:t xml:space="preserve">and liquidate </w:t>
      </w:r>
      <w:r w:rsidRPr="00097A9C">
        <w:t xml:space="preserve">the </w:t>
      </w:r>
      <w:r>
        <w:t xml:space="preserve">equipment as well as </w:t>
      </w:r>
      <w:r w:rsidRPr="00097A9C">
        <w:t xml:space="preserve">submit an unsecured lease claim in the lessee’s bankruptcy for any </w:t>
      </w:r>
      <w:r>
        <w:t xml:space="preserve">defaulted </w:t>
      </w:r>
      <w:r w:rsidRPr="00097A9C">
        <w:t>lease payment</w:t>
      </w:r>
      <w:r>
        <w:t>s</w:t>
      </w:r>
      <w:r w:rsidRPr="00097A9C">
        <w:t xml:space="preserve">. </w:t>
      </w:r>
      <w:r>
        <w:t>The loan-to-value at origination is 70%.</w:t>
      </w:r>
    </w:p>
    <w:p w14:paraId="142B5A4B" w14:textId="77777777" w:rsidR="00AE6641" w:rsidRDefault="00AE6641" w:rsidP="00EF207F">
      <w:pPr>
        <w:spacing w:after="0" w:line="256" w:lineRule="auto"/>
        <w:jc w:val="both"/>
      </w:pPr>
    </w:p>
    <w:p w14:paraId="5E33B7A0" w14:textId="33480FFC" w:rsidR="00AE6641" w:rsidRDefault="00AE6641" w:rsidP="00EF207F">
      <w:pPr>
        <w:spacing w:after="0" w:line="256" w:lineRule="auto"/>
        <w:jc w:val="both"/>
      </w:pPr>
      <w:r w:rsidRPr="00097A9C">
        <w:t xml:space="preserve">The existing lease payments are sufficient to cover all interest payments and all scheduled debt amortization payments over the </w:t>
      </w:r>
      <w:r>
        <w:t>life</w:t>
      </w:r>
      <w:r w:rsidRPr="00097A9C">
        <w:t xml:space="preserve"> of the </w:t>
      </w:r>
      <w:r>
        <w:t>debt instrument</w:t>
      </w:r>
      <w:r w:rsidRPr="00097A9C">
        <w:t xml:space="preserve">. However, at </w:t>
      </w:r>
      <w:r w:rsidR="000274BC">
        <w:t xml:space="preserve">debt </w:t>
      </w:r>
      <w:r w:rsidRPr="00097A9C">
        <w:t xml:space="preserve">maturity, there is a balloon payment due, totaling 50% of the original outstanding </w:t>
      </w:r>
      <w:r w:rsidR="00A07C97">
        <w:t xml:space="preserve">debt </w:t>
      </w:r>
      <w:r w:rsidRPr="00097A9C">
        <w:t>principal amount. The corresponding lease has no balloon payment due at lease maturity, so the SPV will either need to refinance the debt or sell the underlying equipment</w:t>
      </w:r>
      <w:r>
        <w:t xml:space="preserve"> </w:t>
      </w:r>
      <w:r w:rsidRPr="00097A9C">
        <w:t xml:space="preserve">to service the final debt balloon payment. </w:t>
      </w:r>
      <w:r>
        <w:t>The loan-to-value</w:t>
      </w:r>
      <w:r w:rsidRPr="00097A9C">
        <w:t xml:space="preserve"> at maturity is expected to </w:t>
      </w:r>
      <w:r>
        <w:t>decline</w:t>
      </w:r>
      <w:r w:rsidRPr="00097A9C">
        <w:t xml:space="preserve"> to 40% </w:t>
      </w:r>
      <w:r>
        <w:t>considering</w:t>
      </w:r>
      <w:r w:rsidRPr="00097A9C">
        <w:t xml:space="preserve"> </w:t>
      </w:r>
      <w:r>
        <w:t xml:space="preserve">the </w:t>
      </w:r>
      <w:r w:rsidRPr="00097A9C">
        <w:t xml:space="preserve">scheduled principal amortization payments </w:t>
      </w:r>
      <w:r>
        <w:t>net of</w:t>
      </w:r>
      <w:r w:rsidRPr="00097A9C">
        <w:t xml:space="preserve"> the expected </w:t>
      </w:r>
      <w:r>
        <w:t xml:space="preserve">economic </w:t>
      </w:r>
      <w:r w:rsidRPr="00097A9C">
        <w:t xml:space="preserve">depreciation </w:t>
      </w:r>
      <w:r>
        <w:t xml:space="preserve">in the equipment value </w:t>
      </w:r>
      <w:r w:rsidRPr="00097A9C">
        <w:t>over the term</w:t>
      </w:r>
      <w:r>
        <w:t xml:space="preserve"> of the debt</w:t>
      </w:r>
      <w:r w:rsidRPr="00097A9C">
        <w:t>.</w:t>
      </w:r>
      <w:r>
        <w:t xml:space="preserve"> The equipment is expected to be subject to </w:t>
      </w:r>
      <w:r w:rsidR="000274BC">
        <w:t>some</w:t>
      </w:r>
      <w:r>
        <w:t xml:space="preserve"> market value volatility and periods of lower liquidity at certain points in time but has </w:t>
      </w:r>
      <w:r>
        <w:lastRenderedPageBreak/>
        <w:t>a predictable value range and ready market over a longer period of time, such that the equipment could be liquidated over a reasonable period of time, if necessary.</w:t>
      </w:r>
    </w:p>
    <w:p w14:paraId="011860CD" w14:textId="77777777" w:rsidR="00AE6641" w:rsidRPr="00097A9C" w:rsidRDefault="00AE6641" w:rsidP="00EF207F">
      <w:pPr>
        <w:spacing w:after="0" w:line="256" w:lineRule="auto"/>
        <w:jc w:val="both"/>
      </w:pPr>
    </w:p>
    <w:p w14:paraId="1F464CA0" w14:textId="77777777" w:rsidR="00AE6641" w:rsidRDefault="00AE6641" w:rsidP="00EF207F">
      <w:pPr>
        <w:spacing w:after="0" w:line="256" w:lineRule="auto"/>
        <w:jc w:val="both"/>
      </w:pPr>
      <w:r w:rsidRPr="00097A9C">
        <w:t>Rationale:</w:t>
      </w:r>
    </w:p>
    <w:p w14:paraId="66F659C9" w14:textId="77777777" w:rsidR="00AE6641" w:rsidRPr="00097A9C" w:rsidRDefault="00AE6641" w:rsidP="00EF207F">
      <w:pPr>
        <w:spacing w:after="0" w:line="256" w:lineRule="auto"/>
        <w:jc w:val="both"/>
      </w:pPr>
    </w:p>
    <w:p w14:paraId="13DF5A30" w14:textId="04B71C0D" w:rsidR="00AE6641" w:rsidRDefault="00AE6641" w:rsidP="00EF207F">
      <w:pPr>
        <w:spacing w:after="0" w:line="256" w:lineRule="auto"/>
        <w:jc w:val="both"/>
      </w:pPr>
      <w:r w:rsidRPr="00097A9C">
        <w:t xml:space="preserve">The equipment is a </w:t>
      </w:r>
      <w:r>
        <w:t xml:space="preserve">cash generating </w:t>
      </w:r>
      <w:r w:rsidRPr="00097A9C">
        <w:t xml:space="preserve">non-financial asset which is expected to generate a meaningful </w:t>
      </w:r>
      <w:r>
        <w:t>level</w:t>
      </w:r>
      <w:r w:rsidRPr="00097A9C">
        <w:t xml:space="preserve"> of cash flows for the repayment of the bonds via the existing lease that covers all interest payments and 50% of </w:t>
      </w:r>
      <w:r>
        <w:t xml:space="preserve">the </w:t>
      </w:r>
      <w:r w:rsidRPr="00097A9C">
        <w:t xml:space="preserve">principal payments. </w:t>
      </w:r>
      <w:r>
        <w:t xml:space="preserve">In reaching this determination, the reporting entity considered the predictable nature of the cash flows, which are contractually fixed for the life of the debt instrument, as well as the ability of the collateral value to provide for the balloon payment through sale or refinancing in light of its characteristics. While the equipment may have </w:t>
      </w:r>
      <w:r w:rsidR="000274BC">
        <w:t>some</w:t>
      </w:r>
      <w:r>
        <w:t xml:space="preserve"> market value volatility and periods of lower liquidity at points in time, the cash flows produced by the lease were concluded to reduce the loan balance to a level (40% loan-to-value) that would be able to be recovered by sale or refinancing</w:t>
      </w:r>
      <w:r w:rsidR="002B25C6">
        <w:t xml:space="preserve"> even if it were to mature at such point in time.</w:t>
      </w:r>
    </w:p>
    <w:p w14:paraId="7A939D47" w14:textId="77777777" w:rsidR="00AE6641" w:rsidRDefault="00AE6641" w:rsidP="00EF207F">
      <w:pPr>
        <w:spacing w:after="0" w:line="256" w:lineRule="auto"/>
        <w:jc w:val="both"/>
      </w:pPr>
    </w:p>
    <w:p w14:paraId="0C05B5B1" w14:textId="77777777" w:rsidR="00AE6641" w:rsidRDefault="00AE6641" w:rsidP="00EF207F">
      <w:pPr>
        <w:spacing w:after="0" w:line="256" w:lineRule="auto"/>
        <w:jc w:val="both"/>
      </w:pPr>
      <w:r>
        <w:t xml:space="preserve">The reporting entity also determined that the structure provides </w:t>
      </w:r>
      <w:r w:rsidRPr="00097A9C">
        <w:t xml:space="preserve">sufficient </w:t>
      </w:r>
      <w:r>
        <w:t>credit enhancement to conclude that investors are in a different economic position than holding the equipment directly. In reaching this conclusion</w:t>
      </w:r>
      <w:r w:rsidRPr="00097A9C">
        <w:t xml:space="preserve">, </w:t>
      </w:r>
      <w:r>
        <w:t xml:space="preserve">the reporting entity noted that the debt instrument starts with a 70% loan-to-value, which continues to improve over the life of the debt </w:t>
      </w:r>
      <w:r w:rsidRPr="00097A9C">
        <w:t>as the loan balance amortizes more quickly than the expected economic depreciation on the underlying equipment.</w:t>
      </w:r>
      <w:r>
        <w:t xml:space="preserve"> In the context of the predictable nature of the cash flows and collateral value range over time, the reporting entity concluded this level of overcollateralization is expected </w:t>
      </w:r>
      <w:r w:rsidRPr="00097A9C">
        <w:t>to absorb losses</w:t>
      </w:r>
      <w:r>
        <w:t xml:space="preserve"> </w:t>
      </w:r>
      <w:r w:rsidRPr="00097A9C">
        <w:t>to the same degree as other debt in</w:t>
      </w:r>
      <w:r>
        <w:t>struments</w:t>
      </w:r>
      <w:r w:rsidRPr="00097A9C">
        <w:t xml:space="preserve"> of similar quality</w:t>
      </w:r>
      <w:r>
        <w:t>, including during periods of stressed valuations.</w:t>
      </w:r>
    </w:p>
    <w:p w14:paraId="5217F562" w14:textId="77777777" w:rsidR="00AE6641" w:rsidRDefault="00AE6641" w:rsidP="00EF207F">
      <w:pPr>
        <w:spacing w:after="0" w:line="256" w:lineRule="auto"/>
        <w:jc w:val="both"/>
      </w:pPr>
      <w:r w:rsidRPr="00097A9C">
        <w:t xml:space="preserve">  </w:t>
      </w:r>
    </w:p>
    <w:p w14:paraId="7C2D7F46" w14:textId="000BABD4" w:rsidR="00AE6641" w:rsidRDefault="00AE6641" w:rsidP="00EF207F">
      <w:pPr>
        <w:spacing w:after="0" w:line="256" w:lineRule="auto"/>
        <w:jc w:val="both"/>
      </w:pPr>
      <w:r>
        <w:t>For the purposes of determining whether there is sufficient overcollateralization, it is appropriate to consider any expected economic depreciation, if it is reasonably expected, but it is not appropriate to consider any expected economic appreciation. Note that a debt instrument with a loan-to-value that is expected to decrease over time is not necessarily deemed to have sufficient overcollateralization. Rather, a wholistic</w:t>
      </w:r>
      <w:r w:rsidR="002B25C6">
        <w:t xml:space="preserve"> sufficiency</w:t>
      </w:r>
      <w:r>
        <w:t xml:space="preserve"> assessment must be made, evaluating the expected loan-to-value over the life of the transaction, in conjunction with the liquidity and market value volatility characteristics of the underlying collateral, particularly at points in time where the underlying equipment is expected to be off-lease or at the time of maturity, if refinancing or sale is required.</w:t>
      </w:r>
    </w:p>
    <w:p w14:paraId="787895FD" w14:textId="77777777" w:rsidR="00AE6641" w:rsidRPr="00097A9C" w:rsidRDefault="00AE6641" w:rsidP="00EF207F">
      <w:pPr>
        <w:spacing w:after="0" w:line="256" w:lineRule="auto"/>
        <w:jc w:val="both"/>
      </w:pPr>
    </w:p>
    <w:p w14:paraId="451F0AF6" w14:textId="77777777" w:rsidR="00AE6641" w:rsidRDefault="00AE6641" w:rsidP="00EF207F">
      <w:pPr>
        <w:spacing w:after="0" w:line="256" w:lineRule="auto"/>
        <w:jc w:val="both"/>
      </w:pPr>
      <w:r>
        <w:t>Example 3:</w:t>
      </w:r>
    </w:p>
    <w:p w14:paraId="52F4698A" w14:textId="77777777" w:rsidR="00AE6641" w:rsidRDefault="00AE6641" w:rsidP="00EF207F">
      <w:pPr>
        <w:spacing w:after="0" w:line="256" w:lineRule="auto"/>
        <w:jc w:val="both"/>
      </w:pPr>
    </w:p>
    <w:p w14:paraId="0581BBBD" w14:textId="77777777" w:rsidR="00AE6641" w:rsidRDefault="00AE6641" w:rsidP="00EF207F">
      <w:pPr>
        <w:spacing w:after="0" w:line="256" w:lineRule="auto"/>
        <w:jc w:val="both"/>
      </w:pPr>
      <w:r>
        <w:t>A reporting entity invested in a debt instrument with the same characteristics as described in Example 2, except that the existing equipment lease at the time of origination has a contractual term that is shorter than that of the debt instrument. It is expected with a high degree of probability that the lease will be renewed, and a substantial leasing market exists to replace the lessee should they not renew. However, in the unlikely circumstance that the equipment cannot be re-leased, there would not be enough cash flows to service the scheduled principal and interest payments, and the equipment would have to be liquidated to pay off the debt upon default.</w:t>
      </w:r>
    </w:p>
    <w:p w14:paraId="5D0BE4A6" w14:textId="77777777" w:rsidR="00AE6641" w:rsidRDefault="00AE6641" w:rsidP="00EF207F">
      <w:pPr>
        <w:spacing w:after="0" w:line="256" w:lineRule="auto"/>
        <w:jc w:val="both"/>
      </w:pPr>
      <w:r>
        <w:t xml:space="preserve"> </w:t>
      </w:r>
    </w:p>
    <w:p w14:paraId="6FE2BBBF" w14:textId="77777777" w:rsidR="00A832B7" w:rsidRDefault="00A832B7" w:rsidP="00EF207F">
      <w:pPr>
        <w:spacing w:after="0" w:line="256" w:lineRule="auto"/>
        <w:jc w:val="both"/>
      </w:pPr>
    </w:p>
    <w:p w14:paraId="68D909A2" w14:textId="77777777" w:rsidR="00A832B7" w:rsidRDefault="00A832B7" w:rsidP="00EF207F">
      <w:pPr>
        <w:spacing w:after="0" w:line="256" w:lineRule="auto"/>
        <w:jc w:val="both"/>
      </w:pPr>
    </w:p>
    <w:p w14:paraId="2C4FADD7" w14:textId="68498DFD" w:rsidR="00AE6641" w:rsidRDefault="00AE6641" w:rsidP="00EF207F">
      <w:pPr>
        <w:spacing w:after="0" w:line="256" w:lineRule="auto"/>
        <w:jc w:val="both"/>
      </w:pPr>
      <w:r>
        <w:lastRenderedPageBreak/>
        <w:t>Rationale:</w:t>
      </w:r>
    </w:p>
    <w:p w14:paraId="07CCDC6A" w14:textId="77777777" w:rsidR="00AE6641" w:rsidRDefault="00AE6641" w:rsidP="00EF207F">
      <w:pPr>
        <w:spacing w:after="0" w:line="256" w:lineRule="auto"/>
        <w:jc w:val="both"/>
      </w:pPr>
    </w:p>
    <w:p w14:paraId="593070AD" w14:textId="77777777" w:rsidR="00AE6641" w:rsidRDefault="00AE6641" w:rsidP="00EF207F">
      <w:pPr>
        <w:spacing w:after="0" w:line="256" w:lineRule="auto"/>
        <w:jc w:val="both"/>
      </w:pPr>
      <w:r>
        <w:t>All details of Example 3, including the expected collateral cash flows, are consistent with those in Example 2, except that the cash flows in Example 2 are contractually fixed for the duration of the debt while the cash flows in Example 3 are subject to re-leasing risk. Notwithstanding the involvement of re-leasing risk, the reporting entity concluded that the ability to re-lease the equipment was highly predictable and supported the conclusion that the equipment was expected to produce meaningful cash flows to service the debt.</w:t>
      </w:r>
    </w:p>
    <w:p w14:paraId="325F7018" w14:textId="77777777" w:rsidR="00AE6641" w:rsidRDefault="00AE6641" w:rsidP="00EF207F">
      <w:pPr>
        <w:spacing w:after="0" w:line="256" w:lineRule="auto"/>
        <w:jc w:val="both"/>
      </w:pPr>
      <w:r>
        <w:t xml:space="preserve"> </w:t>
      </w:r>
    </w:p>
    <w:p w14:paraId="125C1AFE" w14:textId="77777777" w:rsidR="00AE6641" w:rsidRDefault="00AE6641" w:rsidP="00EF207F">
      <w:pPr>
        <w:spacing w:after="0" w:line="256" w:lineRule="auto"/>
        <w:jc w:val="both"/>
      </w:pPr>
      <w:r>
        <w:t>This distinction is to highlight that the expected cash flows of a cash-generating non-financial asset may or may not be contractually fixed for the term of the bond. Certain securitized cash flow streams may not by their nature lend themselves to long-term contracts (e.g., single-family home rentals), but may nevertheless lend themselves to the production of predictable cash flows. While the non-contractual nature of the cash flows is an important consideration in determining whether a non-financial asset is expected to produce meaningful cash flows to service the debt, it does not, in and of itself, preclude a reporting entity from concluding that the assets are expected to produce meaningful cash flows.</w:t>
      </w:r>
    </w:p>
    <w:p w14:paraId="728446AE" w14:textId="77777777" w:rsidR="00AE6641" w:rsidRDefault="00AE6641" w:rsidP="00EF207F">
      <w:pPr>
        <w:spacing w:after="0" w:line="256" w:lineRule="auto"/>
        <w:jc w:val="both"/>
      </w:pPr>
    </w:p>
    <w:p w14:paraId="57987B31" w14:textId="77777777" w:rsidR="00AE6641" w:rsidRDefault="00AE6641" w:rsidP="00EF207F">
      <w:pPr>
        <w:spacing w:after="0" w:line="256" w:lineRule="auto"/>
        <w:jc w:val="both"/>
      </w:pPr>
      <w:r w:rsidRPr="00097A9C">
        <w:t xml:space="preserve">Example </w:t>
      </w:r>
      <w:r>
        <w:t>4</w:t>
      </w:r>
      <w:r w:rsidRPr="00097A9C">
        <w:t>:</w:t>
      </w:r>
    </w:p>
    <w:p w14:paraId="0FBAFBEB" w14:textId="77777777" w:rsidR="00AE6641" w:rsidRPr="00097A9C" w:rsidRDefault="00AE6641" w:rsidP="00EF207F">
      <w:pPr>
        <w:spacing w:after="0" w:line="256" w:lineRule="auto"/>
        <w:jc w:val="both"/>
      </w:pPr>
    </w:p>
    <w:p w14:paraId="135F162E" w14:textId="77777777" w:rsidR="00AE6641" w:rsidRPr="00EF207F" w:rsidRDefault="00AE6641" w:rsidP="00EF207F">
      <w:pPr>
        <w:spacing w:after="0" w:line="256" w:lineRule="auto"/>
        <w:jc w:val="both"/>
      </w:pPr>
      <w:r w:rsidRPr="00EF207F">
        <w:t>A reporting entity invested in a debt instrument issued by a SPV that owns equipment which is leased to an equipment operator. The equipment operator makes lease payments to the SPV, which are passed through to service the SPV’s debt obligation. While the debt is outstanding, the equipment and lease are held in trust and pledged as collateral for the debtholders. Should a default occur, the debtholders can foreclose on and liquidate the equipment as well as submit an unsecured lease claim in the lessee’s bankruptcy for any defaulted lease payments. The loan-to-value at origination is 70%.</w:t>
      </w:r>
    </w:p>
    <w:p w14:paraId="41E291D7" w14:textId="77777777" w:rsidR="00AE6641" w:rsidRPr="00EF207F" w:rsidRDefault="00AE6641" w:rsidP="00EF207F">
      <w:pPr>
        <w:spacing w:after="0" w:line="256" w:lineRule="auto"/>
        <w:jc w:val="both"/>
      </w:pPr>
    </w:p>
    <w:p w14:paraId="2C01C89D" w14:textId="23C4A20F" w:rsidR="00AE6641" w:rsidRDefault="00AE6641" w:rsidP="00EF207F">
      <w:pPr>
        <w:spacing w:after="0" w:line="256" w:lineRule="auto"/>
        <w:jc w:val="both"/>
      </w:pPr>
      <w:r w:rsidRPr="00EF207F">
        <w:t xml:space="preserve">The existing lease payments are sufficient to cover all interest payments and all scheduled debt amortization payments over the life of the debt instrument. However, at maturity, there is a balloon payment due, totaling 80% of the original outstanding principal amount. The corresponding lease has no balloon payment due at lease maturity, so the SPV will either need to refinance the debt or sell the underlying equipment to service the final debt balloon payment. The loan-to-value at maturity is expected to increase to 95% considering the scheduled principal amortization payments net of the expected economic depreciation in the equipment value over the term of the debt. The equipment is expected to be subject to </w:t>
      </w:r>
      <w:r w:rsidR="00A07C97" w:rsidRPr="00EF207F">
        <w:t>some</w:t>
      </w:r>
      <w:r w:rsidRPr="00EF207F">
        <w:t xml:space="preserve"> market value volatility and periods of lower liquidity at certain points in time, but has a predictable value range and ready market over a longer period of time, such that the equipment could be liquidated over a reasonable period of time, if necessary.</w:t>
      </w:r>
    </w:p>
    <w:p w14:paraId="5B79EAE7" w14:textId="77777777" w:rsidR="00AE6641" w:rsidRPr="00097A9C" w:rsidRDefault="00AE6641" w:rsidP="00EF207F">
      <w:pPr>
        <w:spacing w:after="0" w:line="256" w:lineRule="auto"/>
        <w:jc w:val="both"/>
      </w:pPr>
    </w:p>
    <w:p w14:paraId="6F357EC6" w14:textId="77777777" w:rsidR="00AE6641" w:rsidRDefault="00AE6641" w:rsidP="00EF207F">
      <w:pPr>
        <w:spacing w:after="0" w:line="256" w:lineRule="auto"/>
        <w:jc w:val="both"/>
      </w:pPr>
      <w:r w:rsidRPr="00097A9C">
        <w:t>Rationale:</w:t>
      </w:r>
    </w:p>
    <w:p w14:paraId="724D707B" w14:textId="77777777" w:rsidR="00AE6641" w:rsidRPr="00097A9C" w:rsidRDefault="00AE6641" w:rsidP="00EF207F">
      <w:pPr>
        <w:spacing w:after="0" w:line="256" w:lineRule="auto"/>
        <w:jc w:val="both"/>
      </w:pPr>
    </w:p>
    <w:p w14:paraId="1FE116F2" w14:textId="77777777" w:rsidR="00AE6641" w:rsidRDefault="00AE6641" w:rsidP="00EF207F">
      <w:pPr>
        <w:spacing w:after="0" w:line="256" w:lineRule="auto"/>
        <w:jc w:val="both"/>
      </w:pPr>
      <w:r w:rsidRPr="00097A9C">
        <w:t xml:space="preserve">The equipment is a </w:t>
      </w:r>
      <w:r w:rsidRPr="00EC51D4">
        <w:t>cash generating non</w:t>
      </w:r>
      <w:r w:rsidRPr="00097A9C">
        <w:t xml:space="preserve">-financial asset which is </w:t>
      </w:r>
      <w:r>
        <w:t xml:space="preserve">not </w:t>
      </w:r>
      <w:r w:rsidRPr="00097A9C">
        <w:t xml:space="preserve">expected to generate a meaningful </w:t>
      </w:r>
      <w:r>
        <w:t>level</w:t>
      </w:r>
      <w:r w:rsidRPr="00097A9C">
        <w:t xml:space="preserve"> of cash flows for the repayment of the bonds via the existing lease that covers all interest payments and </w:t>
      </w:r>
      <w:r>
        <w:t>2</w:t>
      </w:r>
      <w:r w:rsidRPr="00097A9C">
        <w:t xml:space="preserve">0% of principal payments. </w:t>
      </w:r>
      <w:r>
        <w:t>In reaching this determination, the reporting entity considered that, while the cash flows being produced are predictable, the ability to recover the principal of the debt investment is almost entirely reliant on the equipment retaining sufficient value to sell or refinance to satisfy the debt.</w:t>
      </w:r>
    </w:p>
    <w:p w14:paraId="193A09EC" w14:textId="77777777" w:rsidR="00AE6641" w:rsidRDefault="00AE6641" w:rsidP="00EF207F">
      <w:pPr>
        <w:spacing w:after="0" w:line="256" w:lineRule="auto"/>
        <w:jc w:val="both"/>
      </w:pPr>
    </w:p>
    <w:p w14:paraId="629B6B90" w14:textId="77777777" w:rsidR="00AE6641" w:rsidRDefault="00AE6641" w:rsidP="00EF207F">
      <w:pPr>
        <w:spacing w:after="0" w:line="256" w:lineRule="auto"/>
        <w:jc w:val="both"/>
      </w:pPr>
      <w:r>
        <w:lastRenderedPageBreak/>
        <w:t xml:space="preserve">The reporting entity also determined that the structure lacks </w:t>
      </w:r>
      <w:r w:rsidRPr="00097A9C">
        <w:t xml:space="preserve">sufficient </w:t>
      </w:r>
      <w:r>
        <w:t>credit enhancement to conclude that investors are in a different economic position than holding the equipment directly. In reaching this conclusion</w:t>
      </w:r>
      <w:r w:rsidRPr="00097A9C">
        <w:t xml:space="preserve">, </w:t>
      </w:r>
      <w:r>
        <w:t xml:space="preserve">the reporting entity noted that the debt starts with a 70% loan-to-value, but the overcollateralization is expected to deteriorate over the term of the debt </w:t>
      </w:r>
      <w:r w:rsidRPr="00097A9C">
        <w:t xml:space="preserve">as the </w:t>
      </w:r>
      <w:r>
        <w:t xml:space="preserve">equipment economically depreciates </w:t>
      </w:r>
      <w:r w:rsidRPr="00097A9C">
        <w:t xml:space="preserve">more quickly than the </w:t>
      </w:r>
      <w:r>
        <w:t xml:space="preserve">debt amortizes. This results in a high loan-to-value (i.e., 95%) at maturity, relative to the market value volatility of the underlying collateral. Despite the predictable nature of the cash flows, the reporting entity concluded that the debt instruments lacked a sufficient level of overcollateralization expected </w:t>
      </w:r>
      <w:r w:rsidRPr="00097A9C">
        <w:t>to absorb losses</w:t>
      </w:r>
      <w:r>
        <w:t xml:space="preserve"> </w:t>
      </w:r>
      <w:r w:rsidRPr="00097A9C">
        <w:t>to the same degree as other debt in</w:t>
      </w:r>
      <w:r>
        <w:t>struments</w:t>
      </w:r>
      <w:r w:rsidRPr="00097A9C">
        <w:t xml:space="preserve"> of similar quality</w:t>
      </w:r>
      <w:r>
        <w:t>, including during periods of stressed valuations.</w:t>
      </w:r>
      <w:r w:rsidRPr="00097A9C">
        <w:t xml:space="preserve"> </w:t>
      </w:r>
      <w:r>
        <w:t>Therefore, the reporting entity concluded that it was in a substantially similar position as if it owned the equipment directly.</w:t>
      </w:r>
    </w:p>
    <w:p w14:paraId="7F7A626D" w14:textId="77777777" w:rsidR="00AE6641" w:rsidRDefault="00AE6641" w:rsidP="00EF207F">
      <w:pPr>
        <w:spacing w:after="0" w:line="256" w:lineRule="auto"/>
        <w:jc w:val="both"/>
      </w:pPr>
    </w:p>
    <w:p w14:paraId="61076497" w14:textId="2FE104DD" w:rsidR="00AE6641" w:rsidRDefault="00AE6641" w:rsidP="00EF207F">
      <w:pPr>
        <w:spacing w:after="0" w:line="256" w:lineRule="auto"/>
        <w:jc w:val="both"/>
      </w:pPr>
      <w:r>
        <w:t xml:space="preserve">For the purposes of determining whether there is sufficient overcollateralization, it is appropriate to consider any expected economic depreciation, if it is reasonably expected, but it is not appropriate to factor in any expected economic appreciation. Note that a debt instrument with a loan-to-value that is expected to increase over time is not necessarily deemed to have insufficient overcollateralization. Rather, a wholistic </w:t>
      </w:r>
      <w:r w:rsidR="00EC51D4">
        <w:t xml:space="preserve">sufficiency </w:t>
      </w:r>
      <w:r>
        <w:t>assessment must be made, evaluating the expected loan-to-value over the life of the transaction, in conjunction with the liquidity and market value volatility characteristics of the underlying collateral, particularly at points in time where the underlying equipment is expected to be off-lease</w:t>
      </w:r>
      <w:r w:rsidRPr="00ED6234">
        <w:t xml:space="preserve"> </w:t>
      </w:r>
      <w:r>
        <w:t>or at the time of maturity, if refinancing or sale is required.</w:t>
      </w:r>
    </w:p>
    <w:p w14:paraId="66846321" w14:textId="7FDBE8D0" w:rsidR="00E51BED" w:rsidRDefault="00E51BED" w:rsidP="00EF207F">
      <w:pPr>
        <w:spacing w:after="0" w:line="256" w:lineRule="auto"/>
        <w:jc w:val="both"/>
      </w:pPr>
    </w:p>
    <w:p w14:paraId="327F6F1F" w14:textId="5DD6BFF7" w:rsidR="00E51BED" w:rsidRDefault="00E51BED" w:rsidP="00EF207F">
      <w:pPr>
        <w:spacing w:after="0" w:line="256" w:lineRule="auto"/>
        <w:jc w:val="both"/>
      </w:pPr>
    </w:p>
    <w:p w14:paraId="128F606B" w14:textId="21729BC0" w:rsidR="00E51BED" w:rsidRDefault="00E51BED" w:rsidP="00EF207F">
      <w:pPr>
        <w:spacing w:after="0" w:line="256" w:lineRule="auto"/>
        <w:jc w:val="both"/>
      </w:pPr>
    </w:p>
    <w:bookmarkStart w:id="2" w:name="_Hlk52888469"/>
    <w:p w14:paraId="2772B4A1" w14:textId="28DBDA97" w:rsidR="00E51BED" w:rsidRPr="00E51BED" w:rsidRDefault="00E51BED" w:rsidP="00E51BED">
      <w:pPr>
        <w:pStyle w:val="BodyText2"/>
        <w:spacing w:after="360"/>
        <w:rPr>
          <w:rFonts w:ascii="Arial" w:hAnsi="Arial" w:cs="Arial"/>
          <w:b w:val="0"/>
          <w:bCs w:val="0"/>
          <w:sz w:val="16"/>
          <w:szCs w:val="16"/>
        </w:rPr>
      </w:pPr>
      <w:r w:rsidRPr="00E51BED">
        <w:rPr>
          <w:b w:val="0"/>
          <w:bCs w:val="0"/>
          <w:sz w:val="16"/>
          <w:szCs w:val="16"/>
        </w:rPr>
        <w:fldChar w:fldCharType="begin"/>
      </w:r>
      <w:r w:rsidRPr="00E51BED">
        <w:rPr>
          <w:b w:val="0"/>
          <w:bCs w:val="0"/>
          <w:sz w:val="16"/>
          <w:szCs w:val="16"/>
        </w:rPr>
        <w:instrText xml:space="preserve"> FILENAME  \* Lower \p  \* MERGEFORMAT </w:instrText>
      </w:r>
      <w:r w:rsidRPr="00E51BED">
        <w:rPr>
          <w:b w:val="0"/>
          <w:bCs w:val="0"/>
          <w:sz w:val="16"/>
          <w:szCs w:val="16"/>
        </w:rPr>
        <w:fldChar w:fldCharType="separate"/>
      </w:r>
      <w:r w:rsidR="008C615F">
        <w:rPr>
          <w:b w:val="0"/>
          <w:bCs w:val="0"/>
          <w:noProof/>
          <w:sz w:val="16"/>
          <w:szCs w:val="16"/>
        </w:rPr>
        <w:t>https://naiconline.sharepoint.com/teams/frsstatutoryaccounting/national meetings/a. national meeting materials/2021/9. august 26/3 - draft bond definition - 5-20-21 exposure.docx</w:t>
      </w:r>
      <w:r w:rsidRPr="00E51BED">
        <w:rPr>
          <w:b w:val="0"/>
          <w:bCs w:val="0"/>
          <w:sz w:val="16"/>
          <w:szCs w:val="16"/>
        </w:rPr>
        <w:fldChar w:fldCharType="end"/>
      </w:r>
      <w:bookmarkEnd w:id="2"/>
    </w:p>
    <w:p w14:paraId="44CDD50A" w14:textId="77777777" w:rsidR="00E51BED" w:rsidRDefault="00E51BED" w:rsidP="00EF207F">
      <w:pPr>
        <w:spacing w:after="0" w:line="256" w:lineRule="auto"/>
        <w:jc w:val="both"/>
      </w:pPr>
    </w:p>
    <w:sectPr w:rsidR="00E51BE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7181A" w14:textId="77777777" w:rsidR="000E3813" w:rsidRDefault="000E3813" w:rsidP="00AE6641">
      <w:pPr>
        <w:spacing w:after="0" w:line="240" w:lineRule="auto"/>
      </w:pPr>
      <w:r>
        <w:separator/>
      </w:r>
    </w:p>
  </w:endnote>
  <w:endnote w:type="continuationSeparator" w:id="0">
    <w:p w14:paraId="15D7AB4A" w14:textId="77777777" w:rsidR="000E3813" w:rsidRDefault="000E3813" w:rsidP="00AE6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96C0D" w14:textId="77777777" w:rsidR="00604709" w:rsidRDefault="006047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246342"/>
      <w:docPartObj>
        <w:docPartGallery w:val="Page Numbers (Bottom of Page)"/>
        <w:docPartUnique/>
      </w:docPartObj>
    </w:sdtPr>
    <w:sdtEndPr>
      <w:rPr>
        <w:noProof/>
      </w:rPr>
    </w:sdtEndPr>
    <w:sdtContent>
      <w:p w14:paraId="73057F0E" w14:textId="33878863" w:rsidR="00FC2E87" w:rsidRPr="00E51BED" w:rsidRDefault="00E51BED" w:rsidP="00E51BED">
        <w:pPr>
          <w:pStyle w:val="Footer"/>
          <w:tabs>
            <w:tab w:val="center" w:pos="5040"/>
          </w:tabs>
          <w:ind w:hanging="360"/>
          <w:jc w:val="both"/>
          <w:rPr>
            <w:rFonts w:ascii="Times New Roman" w:hAnsi="Times New Roman" w:cs="Times New Roman"/>
            <w:sz w:val="20"/>
            <w:szCs w:val="20"/>
          </w:rPr>
        </w:pPr>
        <w:r w:rsidRPr="00E51BED">
          <w:rPr>
            <w:rFonts w:ascii="Times New Roman" w:hAnsi="Times New Roman" w:cs="Times New Roman"/>
            <w:sz w:val="20"/>
            <w:szCs w:val="20"/>
          </w:rPr>
          <w:t>© 2021 National Association of Insurance Commissioners</w:t>
        </w:r>
        <w:r w:rsidRPr="00E51BED">
          <w:rPr>
            <w:rFonts w:ascii="Times New Roman" w:hAnsi="Times New Roman" w:cs="Times New Roman"/>
            <w:sz w:val="20"/>
            <w:szCs w:val="20"/>
          </w:rPr>
          <w:tab/>
        </w:r>
        <w:r w:rsidRPr="00E51BED">
          <w:rPr>
            <w:rFonts w:ascii="Times New Roman" w:hAnsi="Times New Roman" w:cs="Times New Roman"/>
            <w:sz w:val="20"/>
            <w:szCs w:val="20"/>
          </w:rPr>
          <w:fldChar w:fldCharType="begin"/>
        </w:r>
        <w:r w:rsidRPr="00E51BED">
          <w:rPr>
            <w:rFonts w:ascii="Times New Roman" w:hAnsi="Times New Roman" w:cs="Times New Roman"/>
            <w:sz w:val="20"/>
            <w:szCs w:val="20"/>
          </w:rPr>
          <w:instrText xml:space="preserve"> PAGE   \* MERGEFORMAT </w:instrText>
        </w:r>
        <w:r w:rsidRPr="00E51BED">
          <w:rPr>
            <w:rFonts w:ascii="Times New Roman" w:hAnsi="Times New Roman" w:cs="Times New Roman"/>
            <w:sz w:val="20"/>
            <w:szCs w:val="20"/>
          </w:rPr>
          <w:fldChar w:fldCharType="separate"/>
        </w:r>
        <w:r w:rsidRPr="00E51BED">
          <w:rPr>
            <w:rFonts w:ascii="Times New Roman" w:hAnsi="Times New Roman" w:cs="Times New Roman"/>
            <w:sz w:val="20"/>
            <w:szCs w:val="20"/>
          </w:rPr>
          <w:t>1</w:t>
        </w:r>
        <w:r w:rsidRPr="00E51BED">
          <w:rPr>
            <w:rFonts w:ascii="Times New Roman" w:hAnsi="Times New Roman" w:cs="Times New Roman"/>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DD8AE" w14:textId="77777777" w:rsidR="00604709" w:rsidRDefault="00604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DA1C4" w14:textId="77777777" w:rsidR="000E3813" w:rsidRDefault="000E3813" w:rsidP="00AE6641">
      <w:pPr>
        <w:spacing w:after="0" w:line="240" w:lineRule="auto"/>
      </w:pPr>
      <w:r>
        <w:separator/>
      </w:r>
    </w:p>
  </w:footnote>
  <w:footnote w:type="continuationSeparator" w:id="0">
    <w:p w14:paraId="7244B1A8" w14:textId="77777777" w:rsidR="000E3813" w:rsidRDefault="000E3813" w:rsidP="00AE6641">
      <w:pPr>
        <w:spacing w:after="0" w:line="240" w:lineRule="auto"/>
      </w:pPr>
      <w:r>
        <w:continuationSeparator/>
      </w:r>
    </w:p>
  </w:footnote>
  <w:footnote w:id="1">
    <w:p w14:paraId="28462E7C" w14:textId="77777777" w:rsidR="00AE6641" w:rsidRPr="00A01B7B" w:rsidRDefault="00AE6641" w:rsidP="00AE6641">
      <w:pPr>
        <w:pStyle w:val="FootnoteText"/>
        <w:jc w:val="both"/>
        <w:rPr>
          <w:sz w:val="16"/>
          <w:szCs w:val="16"/>
        </w:rPr>
      </w:pPr>
      <w:r w:rsidRPr="00A01B7B">
        <w:rPr>
          <w:rStyle w:val="FootnoteReference"/>
          <w:sz w:val="16"/>
          <w:szCs w:val="16"/>
        </w:rPr>
        <w:footnoteRef/>
      </w:r>
      <w:r w:rsidRPr="00A01B7B">
        <w:rPr>
          <w:sz w:val="16"/>
          <w:szCs w:val="16"/>
        </w:rPr>
        <w:t xml:space="preserve"> This statement adopts the GAAP definition of a security as it is used in FASB Accounting Standards Codification Topics 320 and 860. Evaluation of an investment under this definition should consider the substance of the instrument rather than solely its legal form.</w:t>
      </w:r>
    </w:p>
    <w:p w14:paraId="27720305" w14:textId="77777777" w:rsidR="00AE6641" w:rsidRPr="00A01B7B" w:rsidRDefault="00AE6641" w:rsidP="00AE6641">
      <w:pPr>
        <w:pStyle w:val="FootnoteText"/>
        <w:jc w:val="both"/>
        <w:rPr>
          <w:sz w:val="16"/>
          <w:szCs w:val="16"/>
        </w:rPr>
      </w:pPr>
    </w:p>
    <w:p w14:paraId="5BEAA497" w14:textId="77777777" w:rsidR="00AE6641" w:rsidRPr="00A01B7B" w:rsidRDefault="00AE6641" w:rsidP="00AE6641">
      <w:pPr>
        <w:pStyle w:val="FootnoteText"/>
        <w:jc w:val="both"/>
        <w:rPr>
          <w:sz w:val="16"/>
          <w:szCs w:val="16"/>
        </w:rPr>
      </w:pPr>
      <w:r w:rsidRPr="00A01B7B">
        <w:rPr>
          <w:sz w:val="16"/>
          <w:szCs w:val="16"/>
        </w:rPr>
        <w:t>Security: A share, participation, or other interest in property or in an entity of the issuer or an obligation of the issuer that has all of the following characteristics:</w:t>
      </w:r>
    </w:p>
    <w:p w14:paraId="53B92386" w14:textId="77777777" w:rsidR="00AE6641" w:rsidRPr="00A01B7B" w:rsidRDefault="00AE6641" w:rsidP="00AE6641">
      <w:pPr>
        <w:pStyle w:val="FootnoteText"/>
        <w:jc w:val="both"/>
        <w:rPr>
          <w:sz w:val="16"/>
          <w:szCs w:val="16"/>
        </w:rPr>
      </w:pPr>
    </w:p>
    <w:p w14:paraId="0094B063" w14:textId="77777777" w:rsidR="00AE6641" w:rsidRPr="00A01B7B" w:rsidRDefault="00AE6641" w:rsidP="00AE6641">
      <w:pPr>
        <w:pStyle w:val="FootnoteText"/>
        <w:numPr>
          <w:ilvl w:val="0"/>
          <w:numId w:val="4"/>
        </w:numPr>
        <w:jc w:val="both"/>
        <w:rPr>
          <w:sz w:val="16"/>
          <w:szCs w:val="16"/>
        </w:rPr>
      </w:pPr>
      <w:r w:rsidRPr="00A01B7B">
        <w:rPr>
          <w:sz w:val="16"/>
          <w:szCs w:val="16"/>
        </w:rPr>
        <w:t>It is either represented by an instrument issued in bearer or registered form or, if not represented by an instrument, is registered in books maintained to record transfers by or on behalf of the issuer.</w:t>
      </w:r>
    </w:p>
    <w:p w14:paraId="633F7E3C" w14:textId="77777777" w:rsidR="00AE6641" w:rsidRPr="00A01B7B" w:rsidRDefault="00AE6641" w:rsidP="00AE6641">
      <w:pPr>
        <w:pStyle w:val="FootnoteText"/>
        <w:numPr>
          <w:ilvl w:val="0"/>
          <w:numId w:val="4"/>
        </w:numPr>
        <w:jc w:val="both"/>
        <w:rPr>
          <w:sz w:val="16"/>
          <w:szCs w:val="16"/>
        </w:rPr>
      </w:pPr>
      <w:r w:rsidRPr="00A01B7B">
        <w:rPr>
          <w:sz w:val="16"/>
          <w:szCs w:val="16"/>
        </w:rPr>
        <w:t>It is of a type commonly dealt in on securities exchanges or markets or, when represented by an instrument, is commonly recognized in any area in which it is issued or dealt in as a medium for investment.</w:t>
      </w:r>
    </w:p>
    <w:p w14:paraId="15DAAD73" w14:textId="77777777" w:rsidR="00AE6641" w:rsidRDefault="00AE6641" w:rsidP="00AE6641">
      <w:pPr>
        <w:pStyle w:val="FootnoteText"/>
        <w:numPr>
          <w:ilvl w:val="0"/>
          <w:numId w:val="4"/>
        </w:numPr>
        <w:jc w:val="both"/>
      </w:pPr>
      <w:r w:rsidRPr="00A01B7B">
        <w:rPr>
          <w:sz w:val="16"/>
          <w:szCs w:val="16"/>
        </w:rPr>
        <w:t>It is either one of a class or series or by its terms is divisible into a class or series of shares, participations, interests or obligations.</w:t>
      </w:r>
    </w:p>
  </w:footnote>
  <w:footnote w:id="2">
    <w:p w14:paraId="49247F1C" w14:textId="7DF5F503" w:rsidR="00AE6641" w:rsidRDefault="00AE6641">
      <w:pPr>
        <w:pStyle w:val="FootnoteText"/>
        <w:rPr>
          <w:sz w:val="16"/>
          <w:szCs w:val="16"/>
        </w:rPr>
      </w:pPr>
      <w:r w:rsidRPr="00AE6641">
        <w:rPr>
          <w:rStyle w:val="FootnoteReference"/>
          <w:sz w:val="16"/>
          <w:szCs w:val="16"/>
        </w:rPr>
        <w:footnoteRef/>
      </w:r>
      <w:r w:rsidRPr="00AE6641">
        <w:rPr>
          <w:sz w:val="16"/>
          <w:szCs w:val="16"/>
        </w:rPr>
        <w:t xml:space="preserve"> The underlying collateral supporting an asset backed security shall meet the definition of an asset by the ABS Issuer. Certain forms of collateral, such as rights to future cash flows, may not be recognized as assets by the selling entity but may be recognized as assets when sold to an ABS Issuer. These assets are permitted as the collateral supporting an asset backed security, although they may not represent an asset that can be liquidated to provide payment toward the issued debt obligations (i.e., if the future cash flows do not materialize). The limited ability to liquidate the underlying collateral supporting an asset backed security does not impact the structural determination of whether an issued security meets the definition of an asset backed security but may impact the recoverability of the investment, as well as the consideration of whether there is sufficient credit enhancement.</w:t>
      </w:r>
    </w:p>
    <w:p w14:paraId="5FC57736" w14:textId="77777777" w:rsidR="00AE6641" w:rsidRPr="00AE6641" w:rsidRDefault="00AE6641">
      <w:pPr>
        <w:pStyle w:val="FootnoteText"/>
        <w:rPr>
          <w:sz w:val="16"/>
          <w:szCs w:val="16"/>
        </w:rPr>
      </w:pPr>
    </w:p>
  </w:footnote>
  <w:footnote w:id="3">
    <w:p w14:paraId="5FC2CAA2" w14:textId="0F8B71FF" w:rsidR="00AE6641" w:rsidRDefault="00AE6641">
      <w:pPr>
        <w:pStyle w:val="FootnoteText"/>
        <w:rPr>
          <w:sz w:val="16"/>
          <w:szCs w:val="16"/>
        </w:rPr>
      </w:pPr>
      <w:r w:rsidRPr="00AE6641">
        <w:rPr>
          <w:rStyle w:val="FootnoteReference"/>
          <w:sz w:val="16"/>
          <w:szCs w:val="16"/>
        </w:rPr>
        <w:footnoteRef/>
      </w:r>
      <w:r w:rsidRPr="00AE6641">
        <w:rPr>
          <w:sz w:val="16"/>
          <w:szCs w:val="16"/>
        </w:rPr>
        <w:t xml:space="preserve"> </w:t>
      </w:r>
      <w:r w:rsidRPr="00AE6641">
        <w:rPr>
          <w:rFonts w:cstheme="minorHAnsi"/>
          <w:sz w:val="16"/>
          <w:szCs w:val="16"/>
        </w:rPr>
        <w:t xml:space="preserve">SSAP </w:t>
      </w:r>
      <w:r w:rsidR="00492DE2">
        <w:rPr>
          <w:rFonts w:cstheme="minorHAnsi"/>
          <w:sz w:val="16"/>
          <w:szCs w:val="16"/>
        </w:rPr>
        <w:t xml:space="preserve">No. </w:t>
      </w:r>
      <w:r w:rsidRPr="00AE6641">
        <w:rPr>
          <w:rFonts w:cstheme="minorHAnsi"/>
          <w:sz w:val="16"/>
          <w:szCs w:val="16"/>
        </w:rPr>
        <w:t>103R defines a financial asset as c</w:t>
      </w:r>
      <w:r w:rsidRPr="00AE6641">
        <w:rPr>
          <w:rFonts w:eastAsia="Calibri" w:cstheme="minorHAnsi"/>
          <w:color w:val="000000"/>
          <w:sz w:val="16"/>
          <w:szCs w:val="16"/>
          <w:bdr w:val="none" w:sz="0" w:space="0" w:color="auto" w:frame="1"/>
          <w:shd w:val="clear" w:color="auto" w:fill="FFFFFF"/>
        </w:rPr>
        <w:t>ash, evidence of an ownership interest in an entity, or a contract that conveys to one entity a right (a) to r</w:t>
      </w:r>
      <w:r w:rsidRPr="00AE6641">
        <w:rPr>
          <w:rFonts w:eastAsia="Calibri" w:cstheme="minorHAnsi"/>
          <w:color w:val="000000"/>
          <w:sz w:val="16"/>
          <w:szCs w:val="16"/>
          <w:bdr w:val="none" w:sz="0" w:space="0" w:color="auto" w:frame="1"/>
        </w:rPr>
        <w:t xml:space="preserve">eceive cash or another financial instrument from a second entity or (b) to exchange other financial instruments on potentially favorable terms with the second entity. </w:t>
      </w:r>
      <w:r w:rsidRPr="00AE6641">
        <w:rPr>
          <w:sz w:val="16"/>
          <w:szCs w:val="16"/>
        </w:rPr>
        <w:t>As a point of clarity, for the purposes of this standard, financial assets do not include assets for which the realization of the benefits conveyed by the above rights depends on the completion of a performance obligation (e.g., leases, mortgage servicing rights, royalty rights, etc.). These assets represent non-financial assets, or a means through which non-financial assets produce cash flows, until the performance obligation has been satisfied.</w:t>
      </w:r>
    </w:p>
    <w:p w14:paraId="43AAA29C" w14:textId="77777777" w:rsidR="00AE6641" w:rsidRPr="00AE6641" w:rsidRDefault="00AE6641">
      <w:pPr>
        <w:pStyle w:val="FootnoteText"/>
        <w:rPr>
          <w:sz w:val="16"/>
          <w:szCs w:val="16"/>
        </w:rPr>
      </w:pPr>
    </w:p>
  </w:footnote>
  <w:footnote w:id="4">
    <w:p w14:paraId="0DEB28CC" w14:textId="552F9EC3" w:rsidR="00AE6641" w:rsidRDefault="00AE6641">
      <w:pPr>
        <w:pStyle w:val="FootnoteText"/>
        <w:rPr>
          <w:sz w:val="16"/>
          <w:szCs w:val="16"/>
        </w:rPr>
      </w:pPr>
      <w:r w:rsidRPr="00AE6641">
        <w:rPr>
          <w:rStyle w:val="FootnoteReference"/>
          <w:sz w:val="16"/>
          <w:szCs w:val="16"/>
        </w:rPr>
        <w:footnoteRef/>
      </w:r>
      <w:r w:rsidRPr="00AE6641">
        <w:rPr>
          <w:sz w:val="16"/>
          <w:szCs w:val="16"/>
        </w:rPr>
        <w:t xml:space="preserve"> Dedicated cash flows from an operating entity can form the underlying</w:t>
      </w:r>
      <w:r w:rsidR="00633458">
        <w:rPr>
          <w:sz w:val="16"/>
          <w:szCs w:val="16"/>
        </w:rPr>
        <w:t xml:space="preserve"> defined</w:t>
      </w:r>
      <w:r w:rsidRPr="00AE6641">
        <w:rPr>
          <w:sz w:val="16"/>
          <w:szCs w:val="16"/>
        </w:rPr>
        <w:t xml:space="preserve"> collateral in an asset backed security. This dynamic, perhaps noted in a whole-business securitization, still reflects an asset backed security and not an issuer credit obligation.</w:t>
      </w:r>
    </w:p>
    <w:p w14:paraId="1E4B344A" w14:textId="77777777" w:rsidR="00FC2E87" w:rsidRPr="00AE6641" w:rsidRDefault="00FC2E87">
      <w:pPr>
        <w:pStyle w:val="FootnoteText"/>
        <w:rPr>
          <w:sz w:val="16"/>
          <w:szCs w:val="16"/>
        </w:rPr>
      </w:pPr>
    </w:p>
  </w:footnote>
  <w:footnote w:id="5">
    <w:p w14:paraId="7E69598E" w14:textId="3EF86F84" w:rsidR="00FC2E87" w:rsidRPr="00FC2E87" w:rsidRDefault="00FC2E87">
      <w:pPr>
        <w:pStyle w:val="FootnoteText"/>
        <w:rPr>
          <w:sz w:val="16"/>
          <w:szCs w:val="16"/>
        </w:rPr>
      </w:pPr>
      <w:r w:rsidRPr="00FC2E87">
        <w:rPr>
          <w:rStyle w:val="FootnoteReference"/>
          <w:sz w:val="16"/>
          <w:szCs w:val="16"/>
        </w:rPr>
        <w:footnoteRef/>
      </w:r>
      <w:r w:rsidRPr="00FC2E87">
        <w:rPr>
          <w:sz w:val="16"/>
          <w:szCs w:val="16"/>
        </w:rPr>
        <w:t xml:space="preserve"> The term “meaningful” is defined in the Glossary.</w:t>
      </w:r>
    </w:p>
  </w:footnote>
  <w:footnote w:id="6">
    <w:p w14:paraId="25BAFF50" w14:textId="35720BA5" w:rsidR="00FC2E87" w:rsidRPr="00FC2E87" w:rsidRDefault="00FC2E87">
      <w:pPr>
        <w:pStyle w:val="FootnoteText"/>
        <w:rPr>
          <w:sz w:val="16"/>
          <w:szCs w:val="16"/>
        </w:rPr>
      </w:pPr>
      <w:r w:rsidRPr="00FC2E87">
        <w:rPr>
          <w:rStyle w:val="FootnoteReference"/>
          <w:sz w:val="16"/>
          <w:szCs w:val="16"/>
        </w:rPr>
        <w:footnoteRef/>
      </w:r>
      <w:r w:rsidRPr="00FC2E87">
        <w:rPr>
          <w:sz w:val="16"/>
          <w:szCs w:val="16"/>
        </w:rPr>
        <w:t xml:space="preserve"> The term “sufficient” is defined in the Glossary.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C01E9" w14:textId="77777777" w:rsidR="00604709" w:rsidRDefault="006047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52331" w14:textId="00305919" w:rsidR="008C615F" w:rsidRPr="008C615F" w:rsidRDefault="008C615F" w:rsidP="00EC78BF">
    <w:pPr>
      <w:pStyle w:val="Header"/>
      <w:jc w:val="right"/>
      <w:rPr>
        <w:rFonts w:ascii="Times New Roman" w:hAnsi="Times New Roman" w:cs="Times New Roman"/>
        <w:b/>
        <w:bCs/>
        <w:sz w:val="20"/>
        <w:szCs w:val="20"/>
      </w:rPr>
    </w:pPr>
    <w:r>
      <w:rPr>
        <w:rFonts w:ascii="Times New Roman" w:hAnsi="Times New Roman" w:cs="Times New Roman"/>
        <w:b/>
        <w:bCs/>
        <w:sz w:val="20"/>
        <w:szCs w:val="20"/>
      </w:rPr>
      <w:t xml:space="preserve">Attachment </w:t>
    </w:r>
    <w:r w:rsidR="00604709">
      <w:rPr>
        <w:rFonts w:ascii="Times New Roman" w:hAnsi="Times New Roman" w:cs="Times New Roman"/>
        <w:b/>
        <w:bCs/>
        <w:sz w:val="20"/>
        <w:szCs w:val="20"/>
      </w:rPr>
      <w:t>1</w:t>
    </w:r>
  </w:p>
  <w:p w14:paraId="0B64EB10" w14:textId="4A16D1A2" w:rsidR="00EC78BF" w:rsidRPr="00EC0A55" w:rsidRDefault="00EC78BF" w:rsidP="00EC78BF">
    <w:pPr>
      <w:pStyle w:val="Header"/>
      <w:jc w:val="right"/>
      <w:rPr>
        <w:rFonts w:ascii="Times New Roman" w:hAnsi="Times New Roman" w:cs="Times New Roman"/>
        <w:sz w:val="20"/>
        <w:szCs w:val="20"/>
      </w:rPr>
    </w:pPr>
    <w:r w:rsidRPr="00EC0A55">
      <w:rPr>
        <w:rFonts w:ascii="Times New Roman" w:hAnsi="Times New Roman" w:cs="Times New Roman"/>
        <w:sz w:val="20"/>
        <w:szCs w:val="20"/>
      </w:rPr>
      <w:t>Ref #2019-21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21822" w14:textId="77777777" w:rsidR="00604709" w:rsidRDefault="006047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92AA7"/>
    <w:multiLevelType w:val="hybridMultilevel"/>
    <w:tmpl w:val="1F904EF0"/>
    <w:lvl w:ilvl="0" w:tplc="43185C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651BCC"/>
    <w:multiLevelType w:val="hybridMultilevel"/>
    <w:tmpl w:val="93FA5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808B1"/>
    <w:multiLevelType w:val="hybridMultilevel"/>
    <w:tmpl w:val="A70C27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966E7"/>
    <w:multiLevelType w:val="hybridMultilevel"/>
    <w:tmpl w:val="F94442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965DBE"/>
    <w:multiLevelType w:val="hybridMultilevel"/>
    <w:tmpl w:val="4C7E12F8"/>
    <w:lvl w:ilvl="0" w:tplc="20501E66">
      <w:start w:val="1"/>
      <w:numFmt w:val="bullet"/>
      <w:lvlText w:val=""/>
      <w:lvlJc w:val="left"/>
      <w:pPr>
        <w:tabs>
          <w:tab w:val="num" w:pos="360"/>
        </w:tabs>
        <w:ind w:left="360" w:hanging="360"/>
      </w:pPr>
      <w:rPr>
        <w:rFonts w:ascii="Symbol" w:hAnsi="Symbol" w:hint="default"/>
        <w:sz w:val="16"/>
      </w:rPr>
    </w:lvl>
    <w:lvl w:ilvl="1" w:tplc="04090003">
      <w:start w:val="1"/>
      <w:numFmt w:val="bullet"/>
      <w:pStyle w:val="ListContinue"/>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E057953"/>
    <w:multiLevelType w:val="hybridMultilevel"/>
    <w:tmpl w:val="5E8A3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5C62A6"/>
    <w:multiLevelType w:val="hybridMultilevel"/>
    <w:tmpl w:val="BE8EF9E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3560FD"/>
    <w:multiLevelType w:val="hybridMultilevel"/>
    <w:tmpl w:val="DD6E8404"/>
    <w:lvl w:ilvl="0" w:tplc="68A27604">
      <w:start w:val="1"/>
      <w:numFmt w:val="decimal"/>
      <w:lvlText w:val="%1)"/>
      <w:lvlJc w:val="left"/>
      <w:pPr>
        <w:ind w:left="113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8" w15:restartNumberingAfterBreak="0">
    <w:nsid w:val="5E536AB7"/>
    <w:multiLevelType w:val="hybridMultilevel"/>
    <w:tmpl w:val="84DC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4D2A0E"/>
    <w:multiLevelType w:val="hybridMultilevel"/>
    <w:tmpl w:val="26563D34"/>
    <w:lvl w:ilvl="0" w:tplc="58CE4FC6">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
  </w:num>
  <w:num w:numId="3">
    <w:abstractNumId w:val="0"/>
  </w:num>
  <w:num w:numId="4">
    <w:abstractNumId w:val="3"/>
  </w:num>
  <w:num w:numId="5">
    <w:abstractNumId w:val="6"/>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641"/>
    <w:rsid w:val="000274BC"/>
    <w:rsid w:val="00054C46"/>
    <w:rsid w:val="00055973"/>
    <w:rsid w:val="000E3813"/>
    <w:rsid w:val="000F52B7"/>
    <w:rsid w:val="00103C70"/>
    <w:rsid w:val="00132C97"/>
    <w:rsid w:val="001C5674"/>
    <w:rsid w:val="00256B1D"/>
    <w:rsid w:val="002B25C6"/>
    <w:rsid w:val="002F4F11"/>
    <w:rsid w:val="00316BE3"/>
    <w:rsid w:val="00472C77"/>
    <w:rsid w:val="00492DE2"/>
    <w:rsid w:val="00604709"/>
    <w:rsid w:val="00611942"/>
    <w:rsid w:val="00633458"/>
    <w:rsid w:val="006F00F6"/>
    <w:rsid w:val="00702029"/>
    <w:rsid w:val="00783050"/>
    <w:rsid w:val="007A1D76"/>
    <w:rsid w:val="007B4F62"/>
    <w:rsid w:val="007D6DA3"/>
    <w:rsid w:val="007D7F39"/>
    <w:rsid w:val="00835BA3"/>
    <w:rsid w:val="008C615F"/>
    <w:rsid w:val="00995213"/>
    <w:rsid w:val="00A07C97"/>
    <w:rsid w:val="00A126F2"/>
    <w:rsid w:val="00A832B7"/>
    <w:rsid w:val="00AE6641"/>
    <w:rsid w:val="00B30225"/>
    <w:rsid w:val="00B93D10"/>
    <w:rsid w:val="00BA4C91"/>
    <w:rsid w:val="00BE321B"/>
    <w:rsid w:val="00C72E75"/>
    <w:rsid w:val="00CB7749"/>
    <w:rsid w:val="00D5406E"/>
    <w:rsid w:val="00D841AF"/>
    <w:rsid w:val="00E51BED"/>
    <w:rsid w:val="00EC0A55"/>
    <w:rsid w:val="00EC5017"/>
    <w:rsid w:val="00EC51D4"/>
    <w:rsid w:val="00EC78BF"/>
    <w:rsid w:val="00ED5578"/>
    <w:rsid w:val="00ED68DE"/>
    <w:rsid w:val="00EF207F"/>
    <w:rsid w:val="00F12B38"/>
    <w:rsid w:val="00F44D83"/>
    <w:rsid w:val="00F97A55"/>
    <w:rsid w:val="00FC2E87"/>
    <w:rsid w:val="00FE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F277C"/>
  <w15:chartTrackingRefBased/>
  <w15:docId w15:val="{FE8923B7-09B8-4004-8160-8890CF0B3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6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641"/>
    <w:pPr>
      <w:ind w:left="720"/>
      <w:contextualSpacing/>
    </w:pPr>
  </w:style>
  <w:style w:type="paragraph" w:styleId="FootnoteText">
    <w:name w:val="footnote text"/>
    <w:basedOn w:val="Normal"/>
    <w:link w:val="FootnoteTextChar"/>
    <w:uiPriority w:val="99"/>
    <w:unhideWhenUsed/>
    <w:rsid w:val="00AE6641"/>
    <w:pPr>
      <w:spacing w:after="0" w:line="240" w:lineRule="auto"/>
    </w:pPr>
    <w:rPr>
      <w:sz w:val="20"/>
      <w:szCs w:val="20"/>
    </w:rPr>
  </w:style>
  <w:style w:type="character" w:customStyle="1" w:styleId="FootnoteTextChar">
    <w:name w:val="Footnote Text Char"/>
    <w:basedOn w:val="DefaultParagraphFont"/>
    <w:link w:val="FootnoteText"/>
    <w:uiPriority w:val="99"/>
    <w:rsid w:val="00AE6641"/>
    <w:rPr>
      <w:sz w:val="20"/>
      <w:szCs w:val="20"/>
    </w:rPr>
  </w:style>
  <w:style w:type="character" w:styleId="FootnoteReference">
    <w:name w:val="footnote reference"/>
    <w:basedOn w:val="DefaultParagraphFont"/>
    <w:uiPriority w:val="99"/>
    <w:semiHidden/>
    <w:unhideWhenUsed/>
    <w:rsid w:val="00AE6641"/>
    <w:rPr>
      <w:vertAlign w:val="superscript"/>
    </w:rPr>
  </w:style>
  <w:style w:type="character" w:styleId="CommentReference">
    <w:name w:val="annotation reference"/>
    <w:basedOn w:val="DefaultParagraphFont"/>
    <w:uiPriority w:val="99"/>
    <w:semiHidden/>
    <w:unhideWhenUsed/>
    <w:rsid w:val="00AE6641"/>
    <w:rPr>
      <w:sz w:val="16"/>
      <w:szCs w:val="16"/>
    </w:rPr>
  </w:style>
  <w:style w:type="paragraph" w:styleId="CommentText">
    <w:name w:val="annotation text"/>
    <w:basedOn w:val="Normal"/>
    <w:link w:val="CommentTextChar"/>
    <w:uiPriority w:val="99"/>
    <w:semiHidden/>
    <w:unhideWhenUsed/>
    <w:rsid w:val="00AE6641"/>
    <w:pPr>
      <w:spacing w:line="240" w:lineRule="auto"/>
    </w:pPr>
    <w:rPr>
      <w:sz w:val="20"/>
      <w:szCs w:val="20"/>
    </w:rPr>
  </w:style>
  <w:style w:type="character" w:customStyle="1" w:styleId="CommentTextChar">
    <w:name w:val="Comment Text Char"/>
    <w:basedOn w:val="DefaultParagraphFont"/>
    <w:link w:val="CommentText"/>
    <w:uiPriority w:val="99"/>
    <w:semiHidden/>
    <w:rsid w:val="00AE6641"/>
    <w:rPr>
      <w:sz w:val="20"/>
      <w:szCs w:val="20"/>
    </w:rPr>
  </w:style>
  <w:style w:type="paragraph" w:styleId="Header">
    <w:name w:val="header"/>
    <w:basedOn w:val="Normal"/>
    <w:link w:val="HeaderChar"/>
    <w:uiPriority w:val="99"/>
    <w:unhideWhenUsed/>
    <w:rsid w:val="00FC2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E87"/>
  </w:style>
  <w:style w:type="paragraph" w:styleId="Footer">
    <w:name w:val="footer"/>
    <w:basedOn w:val="Normal"/>
    <w:link w:val="FooterChar"/>
    <w:unhideWhenUsed/>
    <w:rsid w:val="00FC2E87"/>
    <w:pPr>
      <w:tabs>
        <w:tab w:val="center" w:pos="4680"/>
        <w:tab w:val="right" w:pos="9360"/>
      </w:tabs>
      <w:spacing w:after="0" w:line="240" w:lineRule="auto"/>
    </w:pPr>
  </w:style>
  <w:style w:type="character" w:customStyle="1" w:styleId="FooterChar">
    <w:name w:val="Footer Char"/>
    <w:basedOn w:val="DefaultParagraphFont"/>
    <w:link w:val="Footer"/>
    <w:rsid w:val="00FC2E87"/>
  </w:style>
  <w:style w:type="paragraph" w:styleId="BalloonText">
    <w:name w:val="Balloon Text"/>
    <w:basedOn w:val="Normal"/>
    <w:link w:val="BalloonTextChar"/>
    <w:uiPriority w:val="99"/>
    <w:semiHidden/>
    <w:unhideWhenUsed/>
    <w:rsid w:val="00BE32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21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B25C6"/>
    <w:rPr>
      <w:b/>
      <w:bCs/>
    </w:rPr>
  </w:style>
  <w:style w:type="character" w:customStyle="1" w:styleId="CommentSubjectChar">
    <w:name w:val="Comment Subject Char"/>
    <w:basedOn w:val="CommentTextChar"/>
    <w:link w:val="CommentSubject"/>
    <w:uiPriority w:val="99"/>
    <w:semiHidden/>
    <w:rsid w:val="002B25C6"/>
    <w:rPr>
      <w:b/>
      <w:bCs/>
      <w:sz w:val="20"/>
      <w:szCs w:val="20"/>
    </w:rPr>
  </w:style>
  <w:style w:type="paragraph" w:styleId="ListContinue">
    <w:name w:val="List Continue"/>
    <w:basedOn w:val="Normal"/>
    <w:rsid w:val="00EC78BF"/>
    <w:pPr>
      <w:numPr>
        <w:ilvl w:val="1"/>
        <w:numId w:val="9"/>
      </w:numPr>
      <w:spacing w:after="120" w:line="240" w:lineRule="auto"/>
    </w:pPr>
    <w:rPr>
      <w:rFonts w:ascii="Times New Roman" w:eastAsia="Times New Roman" w:hAnsi="Times New Roman" w:cs="Times New Roman"/>
      <w:sz w:val="20"/>
      <w:szCs w:val="20"/>
    </w:rPr>
  </w:style>
  <w:style w:type="paragraph" w:styleId="BodyText2">
    <w:name w:val="Body Text 2"/>
    <w:basedOn w:val="Normal"/>
    <w:link w:val="BodyText2Char"/>
    <w:qFormat/>
    <w:rsid w:val="00EC78BF"/>
    <w:pPr>
      <w:spacing w:after="0" w:line="240" w:lineRule="auto"/>
      <w:jc w:val="both"/>
    </w:pPr>
    <w:rPr>
      <w:rFonts w:ascii="Times New Roman" w:eastAsia="Times New Roman" w:hAnsi="Times New Roman" w:cs="Times New Roman"/>
      <w:b/>
      <w:bCs/>
      <w:szCs w:val="20"/>
    </w:rPr>
  </w:style>
  <w:style w:type="character" w:customStyle="1" w:styleId="BodyText2Char">
    <w:name w:val="Body Text 2 Char"/>
    <w:basedOn w:val="DefaultParagraphFont"/>
    <w:link w:val="BodyText2"/>
    <w:rsid w:val="00EC78BF"/>
    <w:rPr>
      <w:rFonts w:ascii="Times New Roman" w:eastAsia="Times New Roman" w:hAnsi="Times New Roman" w:cs="Times New Roman"/>
      <w:b/>
      <w:bCs/>
      <w:szCs w:val="20"/>
    </w:rPr>
  </w:style>
  <w:style w:type="paragraph" w:styleId="Revision">
    <w:name w:val="Revision"/>
    <w:hidden/>
    <w:uiPriority w:val="99"/>
    <w:semiHidden/>
    <w:rsid w:val="00EF20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0FEDF019004E4AB00FDE98BFC1B847" ma:contentTypeVersion="12" ma:contentTypeDescription="Create a new document." ma:contentTypeScope="" ma:versionID="455cdb291554e9366691695b7b83b002">
  <xsd:schema xmlns:xsd="http://www.w3.org/2001/XMLSchema" xmlns:xs="http://www.w3.org/2001/XMLSchema" xmlns:p="http://schemas.microsoft.com/office/2006/metadata/properties" xmlns:ns2="dbd46520-c392-41b5-9f68-fe7486eefad7" xmlns:ns3="826143e3-bbcb-45bb-8829-107013e701e5" targetNamespace="http://schemas.microsoft.com/office/2006/metadata/properties" ma:root="true" ma:fieldsID="4bfd3809a8855b4256726f97cb8e5b9f" ns2:_="" ns3:_="">
    <xsd:import namespace="dbd46520-c392-41b5-9f68-fe7486eefad7"/>
    <xsd:import namespace="826143e3-bbcb-45bb-8829-107013e701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46520-c392-41b5-9f68-fe7486eef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82E44-A41A-476E-8303-C19FC25882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71C430-BDE1-4E33-9CDA-B4C5D25B6A5C}">
  <ds:schemaRefs>
    <ds:schemaRef ds:uri="http://schemas.microsoft.com/sharepoint/v3/contenttype/forms"/>
  </ds:schemaRefs>
</ds:datastoreItem>
</file>

<file path=customXml/itemProps3.xml><?xml version="1.0" encoding="utf-8"?>
<ds:datastoreItem xmlns:ds="http://schemas.openxmlformats.org/officeDocument/2006/customXml" ds:itemID="{5C1B24D7-744C-41F0-9580-50B2E20E5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46520-c392-41b5-9f68-fe7486eefad7"/>
    <ds:schemaRef ds:uri="826143e3-bbcb-45bb-8829-107013e70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6EDF23-8ADD-4E61-B5EE-28FD02976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12</Pages>
  <Words>4914</Words>
  <Characters>28012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Brainerd</dc:creator>
  <cp:keywords/>
  <dc:description/>
  <cp:lastModifiedBy>Gann, Julie</cp:lastModifiedBy>
  <cp:revision>22</cp:revision>
  <dcterms:created xsi:type="dcterms:W3CDTF">2021-05-06T20:29:00Z</dcterms:created>
  <dcterms:modified xsi:type="dcterms:W3CDTF">2021-09-01T14:24:00Z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0x010100DD0FEDF019004E4AB00FDE98BFC1B847</vt:lpwstr>
  </property>
</Properties>
</file>