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59DB" w14:textId="0AE29FEF" w:rsidR="00E6256D" w:rsidRDefault="00C03F1A">
      <w:r>
        <w:t>Definition:</w:t>
      </w:r>
    </w:p>
    <w:p w14:paraId="0328D306" w14:textId="27CF0517" w:rsidR="00C03F1A" w:rsidRDefault="00C03F1A" w:rsidP="00C03F1A">
      <w:pPr>
        <w:spacing w:after="0"/>
      </w:pPr>
      <w:r w:rsidRPr="00C03F1A">
        <w:t xml:space="preserve">Digital Claim Settlement means a claim involving </w:t>
      </w:r>
      <w:r w:rsidR="00B82EB4">
        <w:t>a</w:t>
      </w:r>
      <w:r w:rsidRPr="00C03F1A">
        <w:t xml:space="preserve"> loss appraisal utilizing digital information only with no human on-site visual inspection or appraisal </w:t>
      </w:r>
      <w:r w:rsidR="000E2CCE" w:rsidRPr="000E2CCE">
        <w:t xml:space="preserve">of the vehicle or property </w:t>
      </w:r>
      <w:r w:rsidRPr="00C03F1A">
        <w:t>by the insurance company or independent adjuster. Examples of digital claim settlement include, but are not limited to, claim settlements based on photos taken by a claimant or insured</w:t>
      </w:r>
      <w:r w:rsidR="000E2CCE">
        <w:t>,</w:t>
      </w:r>
      <w:r w:rsidRPr="00C03F1A">
        <w:t xml:space="preserve"> phot</w:t>
      </w:r>
      <w:r w:rsidR="000E2CCE">
        <w:t>o</w:t>
      </w:r>
      <w:r w:rsidRPr="00C03F1A">
        <w:t>s taken by a plane or drone</w:t>
      </w:r>
      <w:r w:rsidR="000E2CCE">
        <w:t>,</w:t>
      </w:r>
      <w:r w:rsidRPr="00C03F1A">
        <w:t xml:space="preserve"> or data provided by in-vehicle or in-property sensors with no in-person inspection or appraisal by the insurance company or independent adjuster. </w:t>
      </w:r>
    </w:p>
    <w:p w14:paraId="452B1C4B" w14:textId="21E93719" w:rsidR="00B82EB4" w:rsidRDefault="00B82EB4" w:rsidP="00C03F1A">
      <w:pPr>
        <w:spacing w:after="0"/>
      </w:pPr>
    </w:p>
    <w:p w14:paraId="0AF3895C" w14:textId="6297C970" w:rsidR="00B82EB4" w:rsidRDefault="00B82EB4" w:rsidP="00C03F1A">
      <w:pPr>
        <w:spacing w:after="0"/>
      </w:pPr>
      <w:r>
        <w:t xml:space="preserve">Hybrid claim settlement: A claim involving loss appraisal utilizing digital info only </w:t>
      </w:r>
      <w:r w:rsidR="00C958BA">
        <w:t xml:space="preserve">initially </w:t>
      </w:r>
      <w:r>
        <w:t xml:space="preserve">with subsequent human </w:t>
      </w:r>
      <w:r w:rsidR="009A2D93" w:rsidRPr="009A2D93">
        <w:t xml:space="preserve">on-site visual inspection or appraisal </w:t>
      </w:r>
      <w:r>
        <w:t xml:space="preserve">by the insurance company. </w:t>
      </w:r>
    </w:p>
    <w:p w14:paraId="7D3471A2" w14:textId="77777777" w:rsidR="00C03F1A" w:rsidRDefault="00C03F1A" w:rsidP="00C03F1A">
      <w:pPr>
        <w:spacing w:after="0"/>
      </w:pPr>
    </w:p>
    <w:p w14:paraId="331E4CFF" w14:textId="17D5EFA8" w:rsidR="00C03F1A" w:rsidRDefault="00C03F1A" w:rsidP="00C03F1A">
      <w:pPr>
        <w:spacing w:after="0"/>
      </w:pPr>
      <w:r w:rsidRPr="00C03F1A">
        <w:t>Other Than Digital Claims Settlement</w:t>
      </w:r>
      <w:r w:rsidR="00B82EB4">
        <w:t>:</w:t>
      </w:r>
      <w:r w:rsidRPr="00C03F1A">
        <w:t xml:space="preserve"> means any claim other than a Digital Claim Settlement claim</w:t>
      </w:r>
      <w:r w:rsidR="00B82EB4">
        <w:t xml:space="preserve"> or a Hybrid claim settlement</w:t>
      </w:r>
      <w:r w:rsidR="00B37D27">
        <w:t xml:space="preserve">. </w:t>
      </w:r>
    </w:p>
    <w:p w14:paraId="56E944AE" w14:textId="45599D95" w:rsidR="009A2D93" w:rsidRDefault="009A2D93" w:rsidP="009A2D93">
      <w:pPr>
        <w:spacing w:after="0"/>
      </w:pPr>
    </w:p>
    <w:p w14:paraId="19FF2417" w14:textId="45C01FD4" w:rsidR="009A2D93" w:rsidRDefault="009A2D93" w:rsidP="009A2D93">
      <w:pPr>
        <w:spacing w:after="0"/>
      </w:pPr>
      <w:r>
        <w:t>Interrogatories:</w:t>
      </w:r>
    </w:p>
    <w:p w14:paraId="7691E3F3" w14:textId="768B180D" w:rsidR="009A2D93" w:rsidRDefault="009A2D93" w:rsidP="009A2D93">
      <w:pPr>
        <w:pStyle w:val="ListParagraph"/>
        <w:numPr>
          <w:ilvl w:val="0"/>
          <w:numId w:val="2"/>
        </w:numPr>
        <w:spacing w:after="0"/>
      </w:pPr>
      <w:r>
        <w:t>Does the company use digital claim settlement?</w:t>
      </w:r>
    </w:p>
    <w:p w14:paraId="51269532" w14:textId="347A6F81" w:rsidR="009A2D93" w:rsidRDefault="009A2D93" w:rsidP="000533A9">
      <w:pPr>
        <w:pStyle w:val="ListParagraph"/>
        <w:numPr>
          <w:ilvl w:val="0"/>
          <w:numId w:val="2"/>
        </w:numPr>
        <w:spacing w:after="0"/>
      </w:pPr>
      <w:r>
        <w:t>If yes, list the vendors providing third-party data and algorithms used in the digital claim settlements.</w:t>
      </w:r>
    </w:p>
    <w:p w14:paraId="6CA33759" w14:textId="4C8F5129" w:rsidR="00F26784" w:rsidRDefault="00F26784" w:rsidP="00C03F1A">
      <w:pPr>
        <w:spacing w:after="0"/>
      </w:pPr>
    </w:p>
    <w:p w14:paraId="40D22157" w14:textId="77777777" w:rsidR="00D456EB" w:rsidRDefault="00F26784" w:rsidP="00C03F1A">
      <w:pPr>
        <w:spacing w:after="0"/>
      </w:pPr>
      <w:r w:rsidRPr="00D456EB">
        <w:rPr>
          <w:b/>
          <w:bCs/>
        </w:rPr>
        <w:t>For HO</w:t>
      </w:r>
      <w:r>
        <w:t xml:space="preserve">: Lines 2-17 to </w:t>
      </w:r>
      <w:r w:rsidR="00D456EB">
        <w:t>2-34, and applied to Dwelling and Personal Property coverages</w:t>
      </w:r>
    </w:p>
    <w:p w14:paraId="7BA09968" w14:textId="77777777" w:rsidR="00D456EB" w:rsidRDefault="00D456EB" w:rsidP="00D456EB">
      <w:pPr>
        <w:spacing w:after="0"/>
      </w:pPr>
      <w:r>
        <w:t>2-17 Number of claims open at the beginning of the period</w:t>
      </w:r>
    </w:p>
    <w:p w14:paraId="5B2A1E78" w14:textId="77777777" w:rsidR="00D456EB" w:rsidRDefault="00D456EB" w:rsidP="00D456EB">
      <w:pPr>
        <w:spacing w:after="0"/>
      </w:pPr>
      <w:r>
        <w:t>2-18 Number of claims opened during the period</w:t>
      </w:r>
    </w:p>
    <w:p w14:paraId="79DFCCD0" w14:textId="77777777" w:rsidR="00D456EB" w:rsidRDefault="00D456EB" w:rsidP="00D456EB">
      <w:pPr>
        <w:spacing w:after="0"/>
      </w:pPr>
      <w:r>
        <w:t>2-19 Number of claims closed during the period, with payment</w:t>
      </w:r>
    </w:p>
    <w:p w14:paraId="19C144FF" w14:textId="77777777" w:rsidR="00D456EB" w:rsidRDefault="00D456EB" w:rsidP="00D456EB">
      <w:pPr>
        <w:spacing w:after="0"/>
      </w:pPr>
      <w:r>
        <w:t>2-20 Number of claims closed during the period, without payment</w:t>
      </w:r>
    </w:p>
    <w:p w14:paraId="2680A0D0" w14:textId="77777777" w:rsidR="00D456EB" w:rsidRDefault="00D456EB" w:rsidP="00D456EB">
      <w:pPr>
        <w:spacing w:after="0"/>
      </w:pPr>
      <w:r>
        <w:t>2-21 Number of claims open at the end of the period</w:t>
      </w:r>
    </w:p>
    <w:p w14:paraId="2FA60B8D" w14:textId="77777777" w:rsidR="00D456EB" w:rsidRDefault="00D456EB" w:rsidP="00D456EB">
      <w:pPr>
        <w:spacing w:after="0"/>
      </w:pPr>
      <w:r>
        <w:t>2-22 Median days to final payment</w:t>
      </w:r>
    </w:p>
    <w:p w14:paraId="1015FEB6" w14:textId="77777777" w:rsidR="00D456EB" w:rsidRDefault="00D456EB" w:rsidP="00D456EB">
      <w:pPr>
        <w:spacing w:after="0"/>
      </w:pPr>
      <w:r>
        <w:t>2-23 Number of claims closed with payment within 0-30 days</w:t>
      </w:r>
    </w:p>
    <w:p w14:paraId="36D94178" w14:textId="77777777" w:rsidR="00D456EB" w:rsidRDefault="00D456EB" w:rsidP="00D456EB">
      <w:pPr>
        <w:spacing w:after="0"/>
      </w:pPr>
      <w:r>
        <w:t>2-24 Number of claims closed with payment within 31-60 days</w:t>
      </w:r>
    </w:p>
    <w:p w14:paraId="47B158A8" w14:textId="77777777" w:rsidR="00D456EB" w:rsidRDefault="00D456EB" w:rsidP="00D456EB">
      <w:pPr>
        <w:spacing w:after="0"/>
      </w:pPr>
      <w:r>
        <w:t>2-25 Number of claims closed with payment within 61-90 days</w:t>
      </w:r>
    </w:p>
    <w:p w14:paraId="79A30A7B" w14:textId="77777777" w:rsidR="00D456EB" w:rsidRDefault="00D456EB" w:rsidP="00D456EB">
      <w:pPr>
        <w:spacing w:after="0"/>
      </w:pPr>
      <w:r>
        <w:t>2-26 Number of claims closed with payment within 91-180 days</w:t>
      </w:r>
    </w:p>
    <w:p w14:paraId="7ED60EA2" w14:textId="77777777" w:rsidR="00D456EB" w:rsidRDefault="00D456EB" w:rsidP="00D456EB">
      <w:pPr>
        <w:spacing w:after="0"/>
      </w:pPr>
      <w:r>
        <w:t>2-27 Number of claims closed with payment within 181-365 days</w:t>
      </w:r>
    </w:p>
    <w:p w14:paraId="74FC6A17" w14:textId="77777777" w:rsidR="00D456EB" w:rsidRDefault="00D456EB" w:rsidP="00D456EB">
      <w:pPr>
        <w:spacing w:after="0"/>
      </w:pPr>
      <w:r>
        <w:t>2-28 Number of claims closed with payment beyond 365 days</w:t>
      </w:r>
    </w:p>
    <w:p w14:paraId="127EDD55" w14:textId="77777777" w:rsidR="00D456EB" w:rsidRDefault="00D456EB" w:rsidP="00D456EB">
      <w:pPr>
        <w:spacing w:after="0"/>
      </w:pPr>
      <w:r>
        <w:t>2-29 Number of claims closed without payment within 0-30 days</w:t>
      </w:r>
    </w:p>
    <w:p w14:paraId="27FDCBCA" w14:textId="77777777" w:rsidR="00D456EB" w:rsidRDefault="00D456EB" w:rsidP="00D456EB">
      <w:pPr>
        <w:spacing w:after="0"/>
      </w:pPr>
      <w:r>
        <w:t>2-30 Number of claims closed without payment within 31-60 days</w:t>
      </w:r>
    </w:p>
    <w:p w14:paraId="4E7FC9EA" w14:textId="77777777" w:rsidR="00D456EB" w:rsidRDefault="00D456EB" w:rsidP="00D456EB">
      <w:pPr>
        <w:spacing w:after="0"/>
      </w:pPr>
      <w:r>
        <w:t>2-31 Number of claims closed without payment within 61-90 days</w:t>
      </w:r>
    </w:p>
    <w:p w14:paraId="1772056E" w14:textId="77777777" w:rsidR="00D456EB" w:rsidRDefault="00D456EB" w:rsidP="00D456EB">
      <w:pPr>
        <w:spacing w:after="0"/>
      </w:pPr>
      <w:r>
        <w:t>2-32 Number of claims closed without payment within 91-180 days</w:t>
      </w:r>
    </w:p>
    <w:p w14:paraId="0C470443" w14:textId="77777777" w:rsidR="00D456EB" w:rsidRDefault="00D456EB" w:rsidP="00D456EB">
      <w:pPr>
        <w:spacing w:after="0"/>
      </w:pPr>
      <w:r>
        <w:t>2-33 Number of claims closed without payment within 181-365 days</w:t>
      </w:r>
    </w:p>
    <w:p w14:paraId="47531B2D" w14:textId="5B7E1C43" w:rsidR="00D456EB" w:rsidRDefault="00D456EB" w:rsidP="00D456EB">
      <w:pPr>
        <w:spacing w:after="0"/>
      </w:pPr>
      <w:r>
        <w:t xml:space="preserve">2-34 Number of claims closed without payment beyond 365 days </w:t>
      </w:r>
    </w:p>
    <w:p w14:paraId="3806F5CF" w14:textId="7E10CD87" w:rsidR="00D456EB" w:rsidRDefault="00D456EB" w:rsidP="00D456EB">
      <w:pPr>
        <w:spacing w:after="0"/>
      </w:pPr>
    </w:p>
    <w:p w14:paraId="65A9B13F" w14:textId="1F9F8766" w:rsidR="00D456EB" w:rsidRDefault="00D456EB" w:rsidP="00D456EB">
      <w:pPr>
        <w:spacing w:after="0"/>
      </w:pPr>
      <w:r w:rsidRPr="00D456EB">
        <w:rPr>
          <w:b/>
          <w:bCs/>
        </w:rPr>
        <w:t>For PPA: apply to which coverages</w:t>
      </w:r>
      <w:r>
        <w:t>?</w:t>
      </w:r>
    </w:p>
    <w:p w14:paraId="59BB783B" w14:textId="7613BB79" w:rsidR="00D456EB" w:rsidRDefault="00D456EB" w:rsidP="00D456EB">
      <w:pPr>
        <w:spacing w:after="0"/>
      </w:pPr>
      <w:r w:rsidRPr="00D456EB">
        <w:rPr>
          <w:u w:val="single"/>
        </w:rPr>
        <w:t>Coverage options</w:t>
      </w:r>
      <w:r>
        <w:t xml:space="preserve">: Collision, Comprehensive, PD, UMPD, </w:t>
      </w:r>
    </w:p>
    <w:p w14:paraId="3D6614B3" w14:textId="22217CA6" w:rsidR="00D456EB" w:rsidRDefault="00D456EB" w:rsidP="00D456EB">
      <w:pPr>
        <w:spacing w:after="0"/>
      </w:pPr>
      <w:r>
        <w:lastRenderedPageBreak/>
        <w:t>Data element line options:2-21 to 2-38</w:t>
      </w:r>
    </w:p>
    <w:p w14:paraId="3B74EDD0" w14:textId="77777777" w:rsidR="00D456EB" w:rsidRDefault="00D456EB" w:rsidP="00D456EB">
      <w:pPr>
        <w:spacing w:after="0"/>
      </w:pPr>
    </w:p>
    <w:sectPr w:rsidR="00D456EB" w:rsidSect="00C11589">
      <w:pgSz w:w="12240" w:h="15840" w:code="1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324F8"/>
    <w:multiLevelType w:val="hybridMultilevel"/>
    <w:tmpl w:val="242C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026E"/>
    <w:multiLevelType w:val="hybridMultilevel"/>
    <w:tmpl w:val="402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11BB"/>
    <w:rsid w:val="000533A9"/>
    <w:rsid w:val="000E2CCE"/>
    <w:rsid w:val="00635DFD"/>
    <w:rsid w:val="008C7C67"/>
    <w:rsid w:val="009A2D93"/>
    <w:rsid w:val="00B026B2"/>
    <w:rsid w:val="00B37D27"/>
    <w:rsid w:val="00B64E88"/>
    <w:rsid w:val="00B82EB4"/>
    <w:rsid w:val="00BF28F7"/>
    <w:rsid w:val="00C03F1A"/>
    <w:rsid w:val="00C11589"/>
    <w:rsid w:val="00C958BA"/>
    <w:rsid w:val="00D456EB"/>
    <w:rsid w:val="00E20662"/>
    <w:rsid w:val="00E6256D"/>
    <w:rsid w:val="00EF11BB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E1D2"/>
  <w15:chartTrackingRefBased/>
  <w15:docId w15:val="{6B50D9DE-3A64-4503-ADE9-6CD3AA2E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A929FC60FA4FAF9318C79D780992" ma:contentTypeVersion="10" ma:contentTypeDescription="Create a new document." ma:contentTypeScope="" ma:versionID="4c6f555543c67990a5822021bbb9faab">
  <xsd:schema xmlns:xsd="http://www.w3.org/2001/XMLSchema" xmlns:xs="http://www.w3.org/2001/XMLSchema" xmlns:p="http://schemas.microsoft.com/office/2006/metadata/properties" xmlns:ns2="63e07c54-8596-4654-b816-30927332ee34" xmlns:ns3="4ad4dea6-cc71-417b-b11c-faac011a0c5d" targetNamespace="http://schemas.microsoft.com/office/2006/metadata/properties" ma:root="true" ma:fieldsID="32f2ce1ee912fbb46ad3b2a4d5190693" ns2:_="" ns3:_="">
    <xsd:import namespace="63e07c54-8596-4654-b816-30927332ee34"/>
    <xsd:import namespace="4ad4dea6-cc71-417b-b11c-faac011a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7c54-8596-4654-b816-30927332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ea6-cc71-417b-b11c-faac011a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78197-FB6B-4722-9665-E8F1D387D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E3362-11FF-4B5B-9C9E-CAB2922D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07c54-8596-4654-b816-30927332ee34"/>
    <ds:schemaRef ds:uri="4ad4dea6-cc71-417b-b11c-faac011a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7F507-13DB-4CB1-9F6F-D642BC04F6C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ad4dea6-cc71-417b-b11c-faac011a0c5d"/>
    <ds:schemaRef ds:uri="63e07c54-8596-4654-b816-30927332ee3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Rebholz, Rebecca L - OCI</dc:creator>
  <cp:keywords/>
  <dc:description/>
  <cp:lastModifiedBy>Bentley, Beth</cp:lastModifiedBy>
  <cp:revision>2</cp:revision>
  <dcterms:created xsi:type="dcterms:W3CDTF">2021-04-02T13:42:00Z</dcterms:created>
  <dcterms:modified xsi:type="dcterms:W3CDTF">2021-04-02T13:42:00Z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0x010100C482A929FC60FA4FAF9318C79D780992</vt:lpwstr>
  </property>
</Properties>
</file>