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1D12" w14:textId="77777777" w:rsidR="006F3C5D" w:rsidRPr="00377DF2" w:rsidRDefault="006F3C5D" w:rsidP="006F3C5D">
      <w:pPr>
        <w:rPr>
          <w:rFonts w:cstheme="minorHAnsi"/>
          <w:b/>
          <w:bCs/>
          <w:sz w:val="20"/>
          <w:szCs w:val="20"/>
        </w:rPr>
      </w:pPr>
      <w:r w:rsidRPr="00377DF2">
        <w:rPr>
          <w:rFonts w:cstheme="minorHAnsi"/>
          <w:b/>
          <w:bCs/>
          <w:sz w:val="20"/>
          <w:szCs w:val="20"/>
        </w:rPr>
        <w:t>MEMORANDUM</w:t>
      </w:r>
    </w:p>
    <w:p w14:paraId="3F3609EA" w14:textId="77777777" w:rsidR="006F3C5D" w:rsidRPr="00377DF2" w:rsidRDefault="006F3C5D" w:rsidP="006F3C5D">
      <w:pPr>
        <w:rPr>
          <w:rFonts w:cstheme="minorHAnsi"/>
          <w:b/>
          <w:bCs/>
          <w:sz w:val="20"/>
          <w:szCs w:val="20"/>
        </w:rPr>
      </w:pPr>
    </w:p>
    <w:p w14:paraId="560759D4" w14:textId="6576F28A" w:rsidR="00141C0A" w:rsidRPr="00DA6CCA" w:rsidRDefault="006F3C5D" w:rsidP="00141C0A">
      <w:pPr>
        <w:ind w:left="720" w:hanging="720"/>
        <w:jc w:val="both"/>
        <w:rPr>
          <w:rFonts w:ascii="Calibri" w:eastAsia="SimSun" w:hAnsi="Calibri" w:cs="Calibri"/>
          <w:bCs/>
          <w:iCs/>
          <w:sz w:val="20"/>
          <w:szCs w:val="20"/>
        </w:rPr>
      </w:pPr>
      <w:r w:rsidRPr="00377DF2">
        <w:rPr>
          <w:rFonts w:cstheme="minorHAnsi"/>
          <w:sz w:val="20"/>
          <w:szCs w:val="20"/>
        </w:rPr>
        <w:t>TO:</w:t>
      </w:r>
      <w:r w:rsidR="009A4DF5">
        <w:rPr>
          <w:rFonts w:cstheme="minorHAnsi"/>
          <w:sz w:val="20"/>
          <w:szCs w:val="20"/>
        </w:rPr>
        <w:t xml:space="preserve"> </w:t>
      </w:r>
      <w:r w:rsidR="005C5E39">
        <w:rPr>
          <w:rFonts w:cstheme="minorHAnsi"/>
          <w:sz w:val="20"/>
          <w:szCs w:val="20"/>
        </w:rPr>
        <w:tab/>
      </w:r>
      <w:r w:rsidR="00E849F3" w:rsidRPr="00DA6CCA">
        <w:rPr>
          <w:rFonts w:ascii="Calibri" w:eastAsia="SimSun" w:hAnsi="Calibri" w:cs="Calibri"/>
          <w:bCs/>
          <w:iCs/>
          <w:sz w:val="20"/>
          <w:szCs w:val="20"/>
        </w:rPr>
        <w:t>Judith</w:t>
      </w:r>
      <w:r w:rsidR="00E849F3" w:rsidRPr="00DA6CCA">
        <w:rPr>
          <w:bCs/>
          <w:sz w:val="20"/>
          <w:szCs w:val="20"/>
        </w:rPr>
        <w:t xml:space="preserve"> L. French</w:t>
      </w:r>
      <w:r w:rsidR="00DA6CCA" w:rsidRPr="00DA6CCA">
        <w:rPr>
          <w:bCs/>
          <w:sz w:val="20"/>
          <w:szCs w:val="20"/>
        </w:rPr>
        <w:t xml:space="preserve"> (OH)</w:t>
      </w:r>
      <w:r w:rsidR="00E849F3" w:rsidRPr="00DA6CCA">
        <w:rPr>
          <w:bCs/>
          <w:sz w:val="20"/>
          <w:szCs w:val="20"/>
        </w:rPr>
        <w:t xml:space="preserve">, Chair </w:t>
      </w:r>
      <w:r w:rsidR="00DA6CCA" w:rsidRPr="00DA6CCA">
        <w:rPr>
          <w:bCs/>
          <w:sz w:val="20"/>
          <w:szCs w:val="20"/>
        </w:rPr>
        <w:t>of the Capital Adequacy (E ) Task Force</w:t>
      </w:r>
    </w:p>
    <w:p w14:paraId="555DA9C3" w14:textId="7D71C158" w:rsidR="006F3C5D" w:rsidRPr="00377DF2" w:rsidRDefault="00141C0A" w:rsidP="00DA6CCA">
      <w:pPr>
        <w:ind w:left="720" w:hanging="720"/>
        <w:jc w:val="both"/>
        <w:rPr>
          <w:rFonts w:cstheme="minorHAnsi"/>
          <w:sz w:val="20"/>
          <w:szCs w:val="20"/>
        </w:rPr>
      </w:pPr>
      <w:r w:rsidRPr="00DA6CCA">
        <w:rPr>
          <w:rFonts w:ascii="Calibri" w:eastAsia="SimSun" w:hAnsi="Calibri" w:cs="Calibri"/>
          <w:bCs/>
          <w:iCs/>
          <w:sz w:val="20"/>
          <w:szCs w:val="20"/>
        </w:rPr>
        <w:tab/>
      </w:r>
      <w:r w:rsidR="006F3C5D" w:rsidRPr="00DA6CCA">
        <w:rPr>
          <w:rFonts w:cstheme="minorHAnsi"/>
          <w:bCs/>
          <w:sz w:val="20"/>
          <w:szCs w:val="20"/>
        </w:rPr>
        <w:tab/>
      </w:r>
    </w:p>
    <w:p w14:paraId="05467F7A" w14:textId="658DAA0E" w:rsidR="00DA6CCA" w:rsidRPr="00377DF2" w:rsidRDefault="006F3C5D" w:rsidP="00DA6CCA">
      <w:pPr>
        <w:ind w:left="720" w:hanging="720"/>
        <w:rPr>
          <w:rFonts w:cstheme="minorHAnsi"/>
          <w:sz w:val="20"/>
          <w:szCs w:val="20"/>
        </w:rPr>
      </w:pPr>
      <w:r w:rsidRPr="00377DF2">
        <w:rPr>
          <w:rFonts w:cstheme="minorHAnsi"/>
          <w:sz w:val="20"/>
          <w:szCs w:val="20"/>
        </w:rPr>
        <w:t>FROM:</w:t>
      </w:r>
      <w:r w:rsidRPr="00377DF2">
        <w:rPr>
          <w:rFonts w:cstheme="minorHAnsi"/>
          <w:sz w:val="20"/>
          <w:szCs w:val="20"/>
        </w:rPr>
        <w:tab/>
      </w:r>
      <w:r w:rsidR="00DA6CCA">
        <w:rPr>
          <w:rFonts w:cstheme="minorHAnsi"/>
          <w:sz w:val="20"/>
          <w:szCs w:val="20"/>
        </w:rPr>
        <w:t>John Rehagen (MO</w:t>
      </w:r>
      <w:r w:rsidR="00141C0A" w:rsidRPr="00141C0A">
        <w:rPr>
          <w:rFonts w:ascii="Calibri" w:eastAsia="SimSun" w:hAnsi="Calibri" w:cs="Calibri"/>
          <w:sz w:val="20"/>
          <w:szCs w:val="20"/>
        </w:rPr>
        <w:t xml:space="preserve">), Chair of the </w:t>
      </w:r>
      <w:r w:rsidR="00DA6CCA">
        <w:rPr>
          <w:rFonts w:ascii="Calibri" w:eastAsia="SimSun" w:hAnsi="Calibri" w:cs="Calibri"/>
          <w:sz w:val="20"/>
          <w:szCs w:val="20"/>
        </w:rPr>
        <w:t xml:space="preserve">Group Capital Calculation </w:t>
      </w:r>
      <w:r w:rsidR="00141C0A" w:rsidRPr="00141C0A">
        <w:rPr>
          <w:rFonts w:ascii="Calibri" w:eastAsia="SimSun" w:hAnsi="Calibri" w:cs="Calibri"/>
          <w:sz w:val="20"/>
          <w:szCs w:val="20"/>
        </w:rPr>
        <w:t xml:space="preserve">(E) </w:t>
      </w:r>
      <w:r w:rsidR="00DA6CCA">
        <w:rPr>
          <w:rFonts w:ascii="Calibri" w:eastAsia="SimSun" w:hAnsi="Calibri" w:cs="Calibri"/>
          <w:sz w:val="20"/>
          <w:szCs w:val="20"/>
        </w:rPr>
        <w:t>Working Group</w:t>
      </w:r>
    </w:p>
    <w:p w14:paraId="7C95126E" w14:textId="77777777" w:rsidR="006F3C5D" w:rsidRPr="00377DF2" w:rsidRDefault="006F3C5D" w:rsidP="006F3C5D">
      <w:pPr>
        <w:ind w:left="720" w:hanging="720"/>
        <w:rPr>
          <w:rFonts w:cstheme="minorHAnsi"/>
          <w:sz w:val="20"/>
          <w:szCs w:val="20"/>
        </w:rPr>
      </w:pPr>
    </w:p>
    <w:p w14:paraId="7DF0FF1E" w14:textId="5DE105F9" w:rsidR="006F3C5D" w:rsidRPr="00377DF2" w:rsidRDefault="006F3C5D" w:rsidP="006F3C5D">
      <w:pPr>
        <w:ind w:left="720" w:hanging="720"/>
        <w:rPr>
          <w:rFonts w:cstheme="minorHAnsi"/>
          <w:sz w:val="20"/>
          <w:szCs w:val="20"/>
        </w:rPr>
      </w:pPr>
      <w:r w:rsidRPr="00377DF2">
        <w:rPr>
          <w:rFonts w:cstheme="minorHAnsi"/>
          <w:sz w:val="20"/>
          <w:szCs w:val="20"/>
        </w:rPr>
        <w:t>DATE:</w:t>
      </w:r>
      <w:r w:rsidRPr="00377DF2">
        <w:rPr>
          <w:rFonts w:cstheme="minorHAnsi"/>
          <w:sz w:val="20"/>
          <w:szCs w:val="20"/>
        </w:rPr>
        <w:tab/>
      </w:r>
      <w:r w:rsidR="00685280">
        <w:rPr>
          <w:rFonts w:cstheme="minorHAnsi"/>
          <w:sz w:val="20"/>
          <w:szCs w:val="20"/>
        </w:rPr>
        <w:t>TBD</w:t>
      </w:r>
      <w:r w:rsidR="005C5E39">
        <w:rPr>
          <w:rFonts w:ascii="Calibri" w:eastAsia="SimSun" w:hAnsi="Calibri" w:cs="Calibri"/>
          <w:sz w:val="20"/>
          <w:szCs w:val="20"/>
        </w:rPr>
        <w:t>, 2021</w:t>
      </w:r>
    </w:p>
    <w:p w14:paraId="2178172A" w14:textId="77777777" w:rsidR="006F3C5D" w:rsidRPr="00377DF2" w:rsidRDefault="006F3C5D" w:rsidP="006F3C5D">
      <w:pPr>
        <w:ind w:left="720" w:hanging="720"/>
        <w:rPr>
          <w:rFonts w:cstheme="minorHAnsi"/>
          <w:sz w:val="20"/>
          <w:szCs w:val="20"/>
        </w:rPr>
      </w:pPr>
    </w:p>
    <w:p w14:paraId="171D6414" w14:textId="4FE13304" w:rsidR="006F3C5D" w:rsidRDefault="006F3C5D" w:rsidP="006F3C5D">
      <w:pPr>
        <w:pBdr>
          <w:bottom w:val="single" w:sz="12" w:space="1" w:color="auto"/>
        </w:pBdr>
        <w:ind w:left="720" w:hanging="720"/>
        <w:rPr>
          <w:rFonts w:cstheme="minorHAnsi"/>
          <w:sz w:val="20"/>
          <w:szCs w:val="20"/>
        </w:rPr>
      </w:pPr>
      <w:r w:rsidRPr="00377DF2">
        <w:rPr>
          <w:rFonts w:cstheme="minorHAnsi"/>
          <w:sz w:val="20"/>
          <w:szCs w:val="20"/>
        </w:rPr>
        <w:t>RE:</w:t>
      </w:r>
      <w:r w:rsidR="007B4DDC">
        <w:rPr>
          <w:rFonts w:cstheme="minorHAnsi"/>
          <w:sz w:val="20"/>
          <w:szCs w:val="20"/>
        </w:rPr>
        <w:t xml:space="preserve"> </w:t>
      </w:r>
      <w:r w:rsidR="005C5E39">
        <w:rPr>
          <w:rFonts w:cstheme="minorHAnsi"/>
          <w:sz w:val="20"/>
          <w:szCs w:val="20"/>
        </w:rPr>
        <w:tab/>
      </w:r>
      <w:r w:rsidR="00DA6CCA">
        <w:rPr>
          <w:rFonts w:cstheme="minorHAnsi"/>
          <w:sz w:val="20"/>
          <w:szCs w:val="20"/>
        </w:rPr>
        <w:t>Group Capital Calculation Treatment Regarding Certain Subsidiaries</w:t>
      </w:r>
      <w:r w:rsidR="00716C42" w:rsidRPr="00C37182">
        <w:rPr>
          <w:rFonts w:ascii="Calibri" w:eastAsia="SimSun" w:hAnsi="Calibri" w:cs="Calibri"/>
          <w:sz w:val="20"/>
          <w:szCs w:val="20"/>
        </w:rPr>
        <w:t xml:space="preserve">  </w:t>
      </w:r>
      <w:r w:rsidRPr="00377DF2">
        <w:rPr>
          <w:rFonts w:cstheme="minorHAnsi"/>
          <w:sz w:val="20"/>
          <w:szCs w:val="20"/>
        </w:rPr>
        <w:tab/>
      </w:r>
    </w:p>
    <w:p w14:paraId="5D95011F" w14:textId="77777777" w:rsidR="006F3C5D" w:rsidRDefault="006F3C5D" w:rsidP="006F3C5D">
      <w:pPr>
        <w:pBdr>
          <w:bottom w:val="single" w:sz="12" w:space="1" w:color="auto"/>
        </w:pBdr>
        <w:ind w:left="720" w:hanging="720"/>
        <w:rPr>
          <w:rFonts w:cstheme="minorHAnsi"/>
          <w:sz w:val="20"/>
          <w:szCs w:val="20"/>
        </w:rPr>
      </w:pPr>
    </w:p>
    <w:p w14:paraId="44F21841" w14:textId="77777777" w:rsidR="006F3C5D" w:rsidRPr="00377DF2" w:rsidRDefault="006F3C5D" w:rsidP="006F3C5D">
      <w:pPr>
        <w:spacing w:line="280" w:lineRule="exact"/>
        <w:rPr>
          <w:rFonts w:cstheme="minorHAnsi"/>
          <w:sz w:val="20"/>
          <w:szCs w:val="20"/>
        </w:rPr>
      </w:pPr>
    </w:p>
    <w:p w14:paraId="510F6B31" w14:textId="73EFE614" w:rsidR="008039C4" w:rsidRDefault="009056A5" w:rsidP="00647583">
      <w:pPr>
        <w:jc w:val="both"/>
        <w:rPr>
          <w:rFonts w:ascii="Calibri" w:eastAsia="SimSun" w:hAnsi="Calibri" w:cs="Calibri"/>
          <w:sz w:val="20"/>
          <w:szCs w:val="20"/>
        </w:rPr>
      </w:pPr>
      <w:r>
        <w:rPr>
          <w:rFonts w:ascii="Calibri" w:eastAsia="SimSun" w:hAnsi="Calibri" w:cs="Calibri"/>
          <w:sz w:val="20"/>
          <w:szCs w:val="20"/>
        </w:rPr>
        <w:t xml:space="preserve">As you may know, the Group Capital Calculation (GCC) utilizes an aggregation methodology where it accumulates the available capital and required capital of a group’s subsidiaries and affiliates. More specifically, </w:t>
      </w:r>
      <w:r w:rsidR="008039C4">
        <w:rPr>
          <w:rFonts w:ascii="Calibri" w:eastAsia="SimSun" w:hAnsi="Calibri" w:cs="Calibri"/>
          <w:sz w:val="20"/>
          <w:szCs w:val="20"/>
        </w:rPr>
        <w:t xml:space="preserve">as it relates to insurance subsidiaries, it accumulates the available capital and company action level RBC from the RBC formula for U.S. insurers and </w:t>
      </w:r>
      <w:r w:rsidR="00C9765B">
        <w:rPr>
          <w:rFonts w:ascii="Calibri" w:eastAsia="SimSun" w:hAnsi="Calibri" w:cs="Calibri"/>
          <w:sz w:val="20"/>
          <w:szCs w:val="20"/>
        </w:rPr>
        <w:t xml:space="preserve">utilizes the same methodology for </w:t>
      </w:r>
      <w:r w:rsidR="008039C4">
        <w:rPr>
          <w:rFonts w:ascii="Calibri" w:eastAsia="SimSun" w:hAnsi="Calibri" w:cs="Calibri"/>
          <w:sz w:val="20"/>
          <w:szCs w:val="20"/>
        </w:rPr>
        <w:t>non-U.S. insurers. In doing so, it also does not require insurance groups to “de-stack” non-insurance and non-financial subsidiaries reporting directly or indirectly from the parent insurance company’s available capital and company action level RBC.</w:t>
      </w:r>
    </w:p>
    <w:p w14:paraId="745A67AE" w14:textId="4B4871FA" w:rsidR="008039C4" w:rsidRDefault="008039C4" w:rsidP="00647583">
      <w:pPr>
        <w:jc w:val="both"/>
        <w:rPr>
          <w:rFonts w:ascii="Calibri" w:eastAsia="SimSun" w:hAnsi="Calibri" w:cs="Calibri"/>
          <w:sz w:val="20"/>
          <w:szCs w:val="20"/>
        </w:rPr>
      </w:pPr>
    </w:p>
    <w:p w14:paraId="450D2EDA" w14:textId="2E737A1E" w:rsidR="000E26BC" w:rsidRDefault="008039C4" w:rsidP="00647583">
      <w:pPr>
        <w:jc w:val="both"/>
        <w:rPr>
          <w:rFonts w:ascii="Calibri" w:eastAsia="SimSun" w:hAnsi="Calibri" w:cs="Calibri"/>
          <w:sz w:val="20"/>
          <w:szCs w:val="20"/>
        </w:rPr>
      </w:pPr>
      <w:r>
        <w:rPr>
          <w:rFonts w:ascii="Calibri" w:eastAsia="SimSun" w:hAnsi="Calibri" w:cs="Calibri"/>
          <w:sz w:val="20"/>
          <w:szCs w:val="20"/>
        </w:rPr>
        <w:t xml:space="preserve">This decision to not require de-stacking of non-insurance and non-financial subsidiaries was largely done as a means </w:t>
      </w:r>
      <w:r w:rsidR="00C76568">
        <w:rPr>
          <w:rFonts w:ascii="Calibri" w:eastAsia="SimSun" w:hAnsi="Calibri" w:cs="Calibri"/>
          <w:sz w:val="20"/>
          <w:szCs w:val="20"/>
        </w:rPr>
        <w:t xml:space="preserve">to </w:t>
      </w:r>
      <w:r>
        <w:rPr>
          <w:rFonts w:ascii="Calibri" w:eastAsia="SimSun" w:hAnsi="Calibri" w:cs="Calibri"/>
          <w:sz w:val="20"/>
          <w:szCs w:val="20"/>
        </w:rPr>
        <w:t xml:space="preserve">respect existing regulatory authority. However, it was also done as a means </w:t>
      </w:r>
      <w:r w:rsidR="00C76568">
        <w:rPr>
          <w:rFonts w:ascii="Calibri" w:eastAsia="SimSun" w:hAnsi="Calibri" w:cs="Calibri"/>
          <w:sz w:val="20"/>
          <w:szCs w:val="20"/>
        </w:rPr>
        <w:t xml:space="preserve">to </w:t>
      </w:r>
      <w:r w:rsidR="00C9765B">
        <w:rPr>
          <w:rFonts w:ascii="Calibri" w:eastAsia="SimSun" w:hAnsi="Calibri" w:cs="Calibri"/>
          <w:sz w:val="20"/>
          <w:szCs w:val="20"/>
        </w:rPr>
        <w:t xml:space="preserve">address another point </w:t>
      </w:r>
      <w:r w:rsidR="000E26BC">
        <w:rPr>
          <w:rFonts w:ascii="Calibri" w:eastAsia="SimSun" w:hAnsi="Calibri" w:cs="Calibri"/>
          <w:sz w:val="20"/>
          <w:szCs w:val="20"/>
        </w:rPr>
        <w:t xml:space="preserve">made by </w:t>
      </w:r>
      <w:r w:rsidR="00C9765B">
        <w:rPr>
          <w:rFonts w:ascii="Calibri" w:eastAsia="SimSun" w:hAnsi="Calibri" w:cs="Calibri"/>
          <w:sz w:val="20"/>
          <w:szCs w:val="20"/>
        </w:rPr>
        <w:t xml:space="preserve">some </w:t>
      </w:r>
      <w:r w:rsidR="000E26BC">
        <w:rPr>
          <w:rFonts w:ascii="Calibri" w:eastAsia="SimSun" w:hAnsi="Calibri" w:cs="Calibri"/>
          <w:sz w:val="20"/>
          <w:szCs w:val="20"/>
        </w:rPr>
        <w:t xml:space="preserve">regulators and </w:t>
      </w:r>
      <w:r w:rsidR="00C9765B">
        <w:rPr>
          <w:rFonts w:ascii="Calibri" w:eastAsia="SimSun" w:hAnsi="Calibri" w:cs="Calibri"/>
          <w:sz w:val="20"/>
          <w:szCs w:val="20"/>
        </w:rPr>
        <w:t xml:space="preserve">some </w:t>
      </w:r>
      <w:r w:rsidR="009056A5">
        <w:rPr>
          <w:rFonts w:ascii="Calibri" w:eastAsia="SimSun" w:hAnsi="Calibri" w:cs="Calibri"/>
          <w:sz w:val="20"/>
          <w:szCs w:val="20"/>
        </w:rPr>
        <w:t xml:space="preserve">interested parties </w:t>
      </w:r>
      <w:r w:rsidR="000E26BC">
        <w:rPr>
          <w:rFonts w:ascii="Calibri" w:eastAsia="SimSun" w:hAnsi="Calibri" w:cs="Calibri"/>
          <w:sz w:val="20"/>
          <w:szCs w:val="20"/>
        </w:rPr>
        <w:t xml:space="preserve">during the development of the GCC, which is that </w:t>
      </w:r>
      <w:r w:rsidR="009056A5">
        <w:rPr>
          <w:rFonts w:ascii="Calibri" w:eastAsia="SimSun" w:hAnsi="Calibri" w:cs="Calibri"/>
          <w:sz w:val="20"/>
          <w:szCs w:val="20"/>
        </w:rPr>
        <w:t xml:space="preserve">the GCC and RBC should treat </w:t>
      </w:r>
      <w:r w:rsidR="000E26BC">
        <w:rPr>
          <w:rFonts w:ascii="Calibri" w:eastAsia="SimSun" w:hAnsi="Calibri" w:cs="Calibri"/>
          <w:sz w:val="20"/>
          <w:szCs w:val="20"/>
        </w:rPr>
        <w:t xml:space="preserve">similar assets similarly. In fact, it was for this reason that the factors used by the GCC as it relates to non-financial entities are based upon a similar result that an insurance group would obtain if it </w:t>
      </w:r>
      <w:r w:rsidR="00621A59">
        <w:rPr>
          <w:rFonts w:ascii="Calibri" w:eastAsia="SimSun" w:hAnsi="Calibri" w:cs="Calibri"/>
          <w:sz w:val="20"/>
          <w:szCs w:val="20"/>
        </w:rPr>
        <w:t>were</w:t>
      </w:r>
      <w:r w:rsidR="000E26BC">
        <w:rPr>
          <w:rFonts w:ascii="Calibri" w:eastAsia="SimSun" w:hAnsi="Calibri" w:cs="Calibri"/>
          <w:sz w:val="20"/>
          <w:szCs w:val="20"/>
        </w:rPr>
        <w:t xml:space="preserve"> held by a U.S. insurance company. However, its also to this point of desired consistency between the GCC and RBC that we recommend the Task Force </w:t>
      </w:r>
      <w:r w:rsidR="00C9765B">
        <w:rPr>
          <w:rFonts w:ascii="Calibri" w:eastAsia="SimSun" w:hAnsi="Calibri" w:cs="Calibri"/>
          <w:sz w:val="20"/>
          <w:szCs w:val="20"/>
        </w:rPr>
        <w:t xml:space="preserve">to </w:t>
      </w:r>
      <w:r w:rsidR="000E26BC">
        <w:rPr>
          <w:rFonts w:ascii="Calibri" w:eastAsia="SimSun" w:hAnsi="Calibri" w:cs="Calibri"/>
          <w:sz w:val="20"/>
          <w:szCs w:val="20"/>
        </w:rPr>
        <w:t xml:space="preserve">consider </w:t>
      </w:r>
      <w:r w:rsidR="00C9765B">
        <w:rPr>
          <w:rFonts w:ascii="Calibri" w:eastAsia="SimSun" w:hAnsi="Calibri" w:cs="Calibri"/>
          <w:sz w:val="20"/>
          <w:szCs w:val="20"/>
        </w:rPr>
        <w:t xml:space="preserve">at some point in the future if a change should be made to RBC regarding the </w:t>
      </w:r>
      <w:r w:rsidR="000E26BC">
        <w:rPr>
          <w:rFonts w:ascii="Calibri" w:eastAsia="SimSun" w:hAnsi="Calibri" w:cs="Calibri"/>
          <w:sz w:val="20"/>
          <w:szCs w:val="20"/>
        </w:rPr>
        <w:t xml:space="preserve">treatment of insurance company subsidiaries and financial entities within RBC. </w:t>
      </w:r>
    </w:p>
    <w:p w14:paraId="0C73CCB3" w14:textId="5180B589" w:rsidR="000E26BC" w:rsidRDefault="000E26BC" w:rsidP="00647583">
      <w:pPr>
        <w:jc w:val="both"/>
        <w:rPr>
          <w:rFonts w:ascii="Calibri" w:eastAsia="SimSun" w:hAnsi="Calibri" w:cs="Calibri"/>
          <w:sz w:val="20"/>
          <w:szCs w:val="20"/>
        </w:rPr>
      </w:pPr>
    </w:p>
    <w:p w14:paraId="583A45AD" w14:textId="3B2C5AE1" w:rsidR="00DB3B07" w:rsidRPr="00621A59" w:rsidRDefault="000E26BC" w:rsidP="00647583">
      <w:pPr>
        <w:jc w:val="both"/>
        <w:rPr>
          <w:rFonts w:ascii="Calibri" w:eastAsia="SimSun" w:hAnsi="Calibri" w:cs="Calibri"/>
          <w:b/>
          <w:bCs/>
          <w:sz w:val="20"/>
          <w:szCs w:val="20"/>
          <w:u w:val="single"/>
        </w:rPr>
      </w:pPr>
      <w:r w:rsidRPr="00621A59">
        <w:rPr>
          <w:rFonts w:ascii="Calibri" w:eastAsia="SimSun" w:hAnsi="Calibri" w:cs="Calibri"/>
          <w:b/>
          <w:bCs/>
          <w:sz w:val="20"/>
          <w:szCs w:val="20"/>
          <w:u w:val="single"/>
        </w:rPr>
        <w:t>Insurance Company Subsidiaries (Directly and Indirectly Owned)</w:t>
      </w:r>
      <w:r w:rsidR="004F171A" w:rsidRPr="00621A59">
        <w:rPr>
          <w:rFonts w:ascii="Calibri" w:eastAsia="SimSun" w:hAnsi="Calibri" w:cs="Calibri"/>
          <w:b/>
          <w:bCs/>
          <w:sz w:val="20"/>
          <w:szCs w:val="20"/>
          <w:u w:val="single"/>
        </w:rPr>
        <w:t xml:space="preserve"> Required Capital</w:t>
      </w:r>
    </w:p>
    <w:p w14:paraId="360C7063" w14:textId="1CAF12FA" w:rsidR="000E26BC" w:rsidRDefault="00DB3B07" w:rsidP="00647583">
      <w:pPr>
        <w:jc w:val="both"/>
        <w:rPr>
          <w:rFonts w:ascii="Calibri" w:eastAsia="SimSun" w:hAnsi="Calibri" w:cs="Calibri"/>
          <w:sz w:val="20"/>
          <w:szCs w:val="20"/>
        </w:rPr>
      </w:pPr>
      <w:r w:rsidRPr="00DB3B07">
        <w:rPr>
          <w:rFonts w:ascii="Calibri" w:eastAsia="SimSun" w:hAnsi="Calibri" w:cs="Calibri"/>
          <w:sz w:val="20"/>
          <w:szCs w:val="20"/>
          <w:u w:val="single"/>
        </w:rPr>
        <w:t>U.S. insurance subsidiaries</w:t>
      </w:r>
      <w:r>
        <w:rPr>
          <w:rFonts w:ascii="Calibri" w:eastAsia="SimSun" w:hAnsi="Calibri" w:cs="Calibri"/>
          <w:sz w:val="20"/>
          <w:szCs w:val="20"/>
        </w:rPr>
        <w:t xml:space="preserve">-Report the capital required by RBC at the Company Action Level (consistent with today). </w:t>
      </w:r>
    </w:p>
    <w:p w14:paraId="4AB7A8CB" w14:textId="0374527E" w:rsidR="00A56EE8" w:rsidRDefault="00DB3B07" w:rsidP="00647583">
      <w:pPr>
        <w:jc w:val="both"/>
        <w:rPr>
          <w:rFonts w:ascii="Calibri" w:eastAsia="SimSun" w:hAnsi="Calibri" w:cs="Calibri"/>
          <w:sz w:val="20"/>
          <w:szCs w:val="20"/>
        </w:rPr>
      </w:pPr>
      <w:r w:rsidRPr="009363D3">
        <w:rPr>
          <w:rFonts w:ascii="Calibri" w:eastAsia="SimSun" w:hAnsi="Calibri" w:cs="Calibri"/>
          <w:sz w:val="20"/>
          <w:szCs w:val="20"/>
          <w:u w:val="single"/>
        </w:rPr>
        <w:t>U.S. Non-RBC insurance subsidiaries</w:t>
      </w:r>
      <w:r>
        <w:rPr>
          <w:rFonts w:ascii="Calibri" w:eastAsia="SimSun" w:hAnsi="Calibri" w:cs="Calibri"/>
          <w:sz w:val="20"/>
          <w:szCs w:val="20"/>
        </w:rPr>
        <w:t xml:space="preserve">-For those insurance that do not have an RBC formula, the minimum capital per state law should be used. This specifically includes mortgage guaranty insurers, financial guaranty insurers, </w:t>
      </w:r>
      <w:r w:rsidR="00A56EE8">
        <w:rPr>
          <w:rFonts w:ascii="Calibri" w:eastAsia="SimSun" w:hAnsi="Calibri" w:cs="Calibri"/>
          <w:sz w:val="20"/>
          <w:szCs w:val="20"/>
        </w:rPr>
        <w:t>and other companies that do not have an RBC (</w:t>
      </w:r>
      <w:r w:rsidR="00621A59">
        <w:rPr>
          <w:rFonts w:ascii="Calibri" w:eastAsia="SimSun" w:hAnsi="Calibri" w:cs="Calibri"/>
          <w:sz w:val="20"/>
          <w:szCs w:val="20"/>
        </w:rPr>
        <w:t>e.g.,</w:t>
      </w:r>
      <w:r w:rsidR="00A56EE8">
        <w:rPr>
          <w:rFonts w:ascii="Calibri" w:eastAsia="SimSun" w:hAnsi="Calibri" w:cs="Calibri"/>
          <w:sz w:val="20"/>
          <w:szCs w:val="20"/>
        </w:rPr>
        <w:t xml:space="preserve"> HMOs regulated by the California Department of Managed Care). </w:t>
      </w:r>
    </w:p>
    <w:p w14:paraId="0CDD083E" w14:textId="000AE2AB" w:rsidR="00085973" w:rsidRDefault="00085973" w:rsidP="00647583">
      <w:pPr>
        <w:jc w:val="both"/>
        <w:rPr>
          <w:rFonts w:ascii="Calibri" w:eastAsia="SimSun" w:hAnsi="Calibri" w:cs="Calibri"/>
          <w:sz w:val="20"/>
          <w:szCs w:val="20"/>
        </w:rPr>
      </w:pPr>
      <w:r w:rsidRPr="00085973">
        <w:rPr>
          <w:rFonts w:ascii="Calibri" w:eastAsia="SimSun" w:hAnsi="Calibri" w:cs="Calibri"/>
          <w:sz w:val="20"/>
          <w:szCs w:val="20"/>
          <w:u w:val="single"/>
        </w:rPr>
        <w:t>Title Insurance Companies</w:t>
      </w:r>
      <w:r>
        <w:rPr>
          <w:rFonts w:ascii="Calibri" w:eastAsia="SimSun" w:hAnsi="Calibri" w:cs="Calibri"/>
          <w:sz w:val="20"/>
          <w:szCs w:val="20"/>
        </w:rPr>
        <w:t>-Use 200% of the required level of reserves carried by the insurance company.</w:t>
      </w:r>
    </w:p>
    <w:p w14:paraId="027937F6" w14:textId="30187199" w:rsidR="00A56EE8" w:rsidRDefault="00A56EE8" w:rsidP="00647583">
      <w:pPr>
        <w:jc w:val="both"/>
        <w:rPr>
          <w:rFonts w:ascii="Calibri" w:eastAsia="SimSun" w:hAnsi="Calibri" w:cs="Calibri"/>
          <w:sz w:val="20"/>
          <w:szCs w:val="20"/>
        </w:rPr>
      </w:pPr>
      <w:r w:rsidRPr="00085973">
        <w:rPr>
          <w:rFonts w:ascii="Calibri" w:eastAsia="SimSun" w:hAnsi="Calibri" w:cs="Calibri"/>
          <w:sz w:val="20"/>
          <w:szCs w:val="20"/>
          <w:u w:val="single"/>
        </w:rPr>
        <w:t>Non-U.S. insurance subsidiaries</w:t>
      </w:r>
      <w:r>
        <w:rPr>
          <w:rFonts w:ascii="Calibri" w:eastAsia="SimSun" w:hAnsi="Calibri" w:cs="Calibri"/>
          <w:sz w:val="20"/>
          <w:szCs w:val="20"/>
        </w:rPr>
        <w:t>-Use the local capital requirement as specified by the regulator in that jurisdiction at a Prescribed Capital Requirement (PCR) level. The following provides more specific guidance on what meets the definition for the identified jurisdictions:</w:t>
      </w:r>
    </w:p>
    <w:p w14:paraId="34CAB9C0" w14:textId="6044C155" w:rsidR="00A56EE8" w:rsidRDefault="00A56EE8" w:rsidP="00647583">
      <w:pPr>
        <w:jc w:val="both"/>
        <w:rPr>
          <w:rFonts w:ascii="Calibri" w:eastAsia="SimSun" w:hAnsi="Calibri" w:cs="Calibri"/>
          <w:sz w:val="20"/>
          <w:szCs w:val="20"/>
        </w:rPr>
      </w:pPr>
    </w:p>
    <w:p w14:paraId="48B9B7C4" w14:textId="5CBD76CB" w:rsidR="00A56EE8" w:rsidRDefault="00A56EE8" w:rsidP="00085973">
      <w:pPr>
        <w:ind w:left="720"/>
        <w:jc w:val="both"/>
        <w:rPr>
          <w:rFonts w:ascii="Calibri" w:eastAsia="SimSun" w:hAnsi="Calibri" w:cs="Calibri"/>
          <w:sz w:val="20"/>
          <w:szCs w:val="20"/>
        </w:rPr>
      </w:pPr>
      <w:r w:rsidRPr="004F171A">
        <w:rPr>
          <w:rFonts w:ascii="Calibri" w:eastAsia="SimSun" w:hAnsi="Calibri" w:cs="Calibri"/>
          <w:sz w:val="20"/>
          <w:szCs w:val="20"/>
          <w:u w:val="single"/>
        </w:rPr>
        <w:t>European Union</w:t>
      </w:r>
      <w:r>
        <w:rPr>
          <w:rFonts w:ascii="Calibri" w:eastAsia="SimSun" w:hAnsi="Calibri" w:cs="Calibri"/>
          <w:sz w:val="20"/>
          <w:szCs w:val="20"/>
        </w:rPr>
        <w:t>-Use the Solvency II Solvency Capital Requirement (SCR) as the PCR.</w:t>
      </w:r>
    </w:p>
    <w:p w14:paraId="6B83321F" w14:textId="7D3596AC" w:rsidR="00A56EE8" w:rsidRPr="004F171A" w:rsidRDefault="00A56EE8" w:rsidP="00085973">
      <w:pPr>
        <w:ind w:left="720"/>
        <w:jc w:val="both"/>
        <w:rPr>
          <w:rFonts w:eastAsia="SimSun" w:cstheme="minorHAnsi"/>
          <w:sz w:val="20"/>
          <w:szCs w:val="20"/>
        </w:rPr>
      </w:pPr>
      <w:r w:rsidRPr="004F171A">
        <w:rPr>
          <w:rFonts w:eastAsia="SimSun" w:cstheme="minorHAnsi"/>
          <w:sz w:val="20"/>
          <w:szCs w:val="20"/>
          <w:u w:val="single"/>
        </w:rPr>
        <w:t>Australia</w:t>
      </w:r>
      <w:r w:rsidR="004F171A" w:rsidRPr="004F171A">
        <w:rPr>
          <w:rFonts w:eastAsia="SimSun" w:cstheme="minorHAnsi"/>
          <w:sz w:val="20"/>
          <w:szCs w:val="20"/>
        </w:rPr>
        <w:t>-</w:t>
      </w:r>
      <w:r w:rsidR="004F171A">
        <w:rPr>
          <w:rFonts w:eastAsia="SimSun" w:cstheme="minorHAnsi"/>
          <w:sz w:val="20"/>
          <w:szCs w:val="20"/>
        </w:rPr>
        <w:t xml:space="preserve">Use </w:t>
      </w:r>
      <w:r w:rsidR="004F171A" w:rsidRPr="004F171A">
        <w:rPr>
          <w:rFonts w:eastAsia="Calibri" w:cstheme="minorHAnsi"/>
          <w:sz w:val="20"/>
          <w:szCs w:val="20"/>
        </w:rPr>
        <w:t>the target capital as set by the insurer/group in accordance with APRA requirements. Effectively, this would be “Target capital under ICAAP.” PCR is not a set multiple of MCR.</w:t>
      </w:r>
    </w:p>
    <w:p w14:paraId="5060A1FC" w14:textId="24359A51" w:rsidR="004F171A" w:rsidRPr="004F171A" w:rsidRDefault="004F171A" w:rsidP="00085973">
      <w:pPr>
        <w:ind w:left="720"/>
        <w:jc w:val="both"/>
        <w:rPr>
          <w:rFonts w:eastAsia="Calibri" w:cstheme="minorHAnsi"/>
          <w:sz w:val="20"/>
          <w:szCs w:val="20"/>
        </w:rPr>
      </w:pPr>
      <w:r w:rsidRPr="00085973">
        <w:rPr>
          <w:rFonts w:eastAsia="Calibri" w:cstheme="minorHAnsi"/>
          <w:sz w:val="20"/>
          <w:szCs w:val="20"/>
          <w:u w:val="single"/>
        </w:rPr>
        <w:lastRenderedPageBreak/>
        <w:t>Bermuda</w:t>
      </w:r>
      <w:r>
        <w:rPr>
          <w:rFonts w:eastAsia="Calibri" w:cstheme="minorHAnsi"/>
          <w:sz w:val="20"/>
          <w:szCs w:val="20"/>
        </w:rPr>
        <w:t xml:space="preserve">-Use the </w:t>
      </w:r>
      <w:r w:rsidRPr="004F171A">
        <w:rPr>
          <w:rFonts w:eastAsia="Calibri" w:cstheme="minorHAnsi"/>
          <w:sz w:val="20"/>
          <w:szCs w:val="20"/>
        </w:rPr>
        <w:t>“Enhanced Capital Requirement” (ECR)</w:t>
      </w:r>
      <w:r>
        <w:rPr>
          <w:rFonts w:eastAsia="Calibri" w:cstheme="minorHAnsi"/>
          <w:sz w:val="20"/>
          <w:szCs w:val="20"/>
        </w:rPr>
        <w:t xml:space="preserve"> which is the l</w:t>
      </w:r>
      <w:r w:rsidRPr="004F171A">
        <w:rPr>
          <w:rFonts w:eastAsia="Calibri" w:cstheme="minorHAnsi"/>
          <w:sz w:val="20"/>
          <w:szCs w:val="20"/>
        </w:rPr>
        <w:t xml:space="preserve">egal </w:t>
      </w:r>
      <w:r>
        <w:rPr>
          <w:rFonts w:eastAsia="Calibri" w:cstheme="minorHAnsi"/>
          <w:sz w:val="20"/>
          <w:szCs w:val="20"/>
        </w:rPr>
        <w:t>e</w:t>
      </w:r>
      <w:r w:rsidRPr="004F171A">
        <w:rPr>
          <w:rFonts w:eastAsia="Calibri" w:cstheme="minorHAnsi"/>
          <w:sz w:val="20"/>
          <w:szCs w:val="20"/>
        </w:rPr>
        <w:t>ntity PCR for medium and large commercial insurers and is calibrated to Tail VaR at 99% confidence level over a one-year time horizon.</w:t>
      </w:r>
    </w:p>
    <w:p w14:paraId="713AC2D6" w14:textId="77777777" w:rsidR="004F171A" w:rsidRDefault="004F171A" w:rsidP="00085973">
      <w:pPr>
        <w:ind w:left="720"/>
        <w:jc w:val="both"/>
        <w:rPr>
          <w:rFonts w:eastAsia="Calibri" w:cstheme="minorHAnsi"/>
          <w:sz w:val="20"/>
          <w:szCs w:val="20"/>
        </w:rPr>
      </w:pPr>
      <w:r w:rsidRPr="00085973">
        <w:rPr>
          <w:rFonts w:eastAsia="Calibri" w:cstheme="minorHAnsi"/>
          <w:sz w:val="20"/>
          <w:szCs w:val="20"/>
          <w:u w:val="single"/>
        </w:rPr>
        <w:t>Hong Kong</w:t>
      </w:r>
      <w:r>
        <w:rPr>
          <w:rFonts w:eastAsia="Calibri" w:cstheme="minorHAnsi"/>
          <w:sz w:val="20"/>
          <w:szCs w:val="20"/>
        </w:rPr>
        <w:t>-</w:t>
      </w:r>
      <w:r w:rsidRPr="004F171A">
        <w:rPr>
          <w:rFonts w:eastAsia="Calibri" w:cstheme="minorHAnsi"/>
          <w:sz w:val="20"/>
          <w:szCs w:val="20"/>
        </w:rPr>
        <w:t>Under the current rule-based capital regime, if applied similar to the concept of PCR, the regime’s PCR would be 150% of MCR for life insurers and 200% of MCR for non-life insurers.</w:t>
      </w:r>
    </w:p>
    <w:p w14:paraId="144859F4" w14:textId="3727CC6D" w:rsidR="004F171A" w:rsidRPr="004F171A" w:rsidRDefault="004F171A" w:rsidP="00085973">
      <w:pPr>
        <w:ind w:left="720"/>
        <w:jc w:val="both"/>
        <w:rPr>
          <w:rFonts w:eastAsia="Calibri" w:cstheme="minorHAnsi"/>
          <w:sz w:val="20"/>
          <w:szCs w:val="20"/>
        </w:rPr>
      </w:pPr>
      <w:r w:rsidRPr="00085973">
        <w:rPr>
          <w:rFonts w:eastAsia="Calibri" w:cstheme="minorHAnsi"/>
          <w:sz w:val="20"/>
          <w:szCs w:val="20"/>
          <w:u w:val="single"/>
        </w:rPr>
        <w:t>Japan</w:t>
      </w:r>
      <w:r>
        <w:rPr>
          <w:rFonts w:eastAsia="Calibri" w:cstheme="minorHAnsi"/>
          <w:sz w:val="20"/>
          <w:szCs w:val="20"/>
        </w:rPr>
        <w:t xml:space="preserve">-Use the </w:t>
      </w:r>
      <w:r w:rsidRPr="004F171A">
        <w:rPr>
          <w:rFonts w:eastAsia="Calibri" w:cstheme="minorHAnsi"/>
          <w:sz w:val="20"/>
          <w:szCs w:val="20"/>
        </w:rPr>
        <w:t xml:space="preserve">solvency margin ratio of 200%. </w:t>
      </w:r>
    </w:p>
    <w:p w14:paraId="36AFB2D1" w14:textId="7424DA81" w:rsidR="004F171A" w:rsidRPr="004F171A" w:rsidRDefault="004F171A" w:rsidP="00085973">
      <w:pPr>
        <w:ind w:left="720"/>
        <w:jc w:val="both"/>
        <w:rPr>
          <w:rFonts w:eastAsia="Calibri" w:cstheme="minorHAnsi"/>
          <w:sz w:val="20"/>
          <w:szCs w:val="20"/>
        </w:rPr>
      </w:pPr>
      <w:r w:rsidRPr="00085973">
        <w:rPr>
          <w:rFonts w:eastAsia="Calibri" w:cstheme="minorHAnsi"/>
          <w:sz w:val="20"/>
          <w:szCs w:val="20"/>
          <w:u w:val="single"/>
        </w:rPr>
        <w:t>Korea</w:t>
      </w:r>
      <w:r>
        <w:rPr>
          <w:rFonts w:eastAsia="Calibri" w:cstheme="minorHAnsi"/>
          <w:sz w:val="20"/>
          <w:szCs w:val="20"/>
        </w:rPr>
        <w:t xml:space="preserve">-Use </w:t>
      </w:r>
      <w:r w:rsidRPr="004F171A">
        <w:rPr>
          <w:rFonts w:eastAsia="Calibri" w:cstheme="minorHAnsi"/>
          <w:sz w:val="20"/>
          <w:szCs w:val="20"/>
        </w:rPr>
        <w:t>100% of risk-based solvency margin ratio.</w:t>
      </w:r>
    </w:p>
    <w:p w14:paraId="0D6BD937" w14:textId="5D1EE56D" w:rsidR="004F171A" w:rsidRPr="004F171A" w:rsidRDefault="004F171A" w:rsidP="00085973">
      <w:pPr>
        <w:ind w:left="720"/>
        <w:jc w:val="both"/>
        <w:rPr>
          <w:rFonts w:eastAsia="Calibri" w:cstheme="minorHAnsi"/>
          <w:sz w:val="20"/>
          <w:szCs w:val="20"/>
        </w:rPr>
      </w:pPr>
      <w:r w:rsidRPr="00085973">
        <w:rPr>
          <w:rFonts w:eastAsia="Calibri" w:cstheme="minorHAnsi"/>
          <w:sz w:val="20"/>
          <w:szCs w:val="20"/>
          <w:u w:val="single"/>
        </w:rPr>
        <w:t>Singapore</w:t>
      </w:r>
      <w:r>
        <w:rPr>
          <w:rFonts w:eastAsia="Calibri" w:cstheme="minorHAnsi"/>
          <w:sz w:val="20"/>
          <w:szCs w:val="20"/>
        </w:rPr>
        <w:t xml:space="preserve">-Use </w:t>
      </w:r>
      <w:r w:rsidRPr="004F171A">
        <w:rPr>
          <w:rFonts w:eastAsia="Calibri" w:cstheme="minorHAnsi"/>
          <w:sz w:val="20"/>
          <w:szCs w:val="20"/>
        </w:rPr>
        <w:t>120% of total risk requirement (i.e., capital requirement).</w:t>
      </w:r>
    </w:p>
    <w:p w14:paraId="7D78CBEC" w14:textId="6B906FD8" w:rsidR="004F171A" w:rsidRPr="004F171A" w:rsidRDefault="004F171A" w:rsidP="00085973">
      <w:pPr>
        <w:ind w:left="720"/>
        <w:jc w:val="both"/>
        <w:rPr>
          <w:rFonts w:eastAsia="Calibri" w:cstheme="minorHAnsi"/>
          <w:sz w:val="20"/>
          <w:szCs w:val="20"/>
        </w:rPr>
      </w:pPr>
      <w:r w:rsidRPr="00085973">
        <w:rPr>
          <w:rFonts w:eastAsia="Calibri" w:cstheme="minorHAnsi"/>
          <w:sz w:val="20"/>
          <w:szCs w:val="20"/>
          <w:u w:val="single"/>
        </w:rPr>
        <w:t>China Taipei</w:t>
      </w:r>
      <w:r>
        <w:rPr>
          <w:rFonts w:eastAsia="Calibri" w:cstheme="minorHAnsi"/>
          <w:sz w:val="20"/>
          <w:szCs w:val="20"/>
        </w:rPr>
        <w:t>-Use</w:t>
      </w:r>
      <w:r w:rsidRPr="004F171A">
        <w:rPr>
          <w:rFonts w:eastAsia="Calibri" w:cstheme="minorHAnsi"/>
          <w:sz w:val="20"/>
          <w:szCs w:val="20"/>
        </w:rPr>
        <w:t xml:space="preserve"> 200% of RBC ratio.</w:t>
      </w:r>
    </w:p>
    <w:p w14:paraId="1E341EBD" w14:textId="4D19C460" w:rsidR="004F171A" w:rsidRPr="004F171A" w:rsidRDefault="004F171A" w:rsidP="00085973">
      <w:pPr>
        <w:ind w:left="720"/>
        <w:jc w:val="both"/>
        <w:rPr>
          <w:rFonts w:eastAsia="Calibri" w:cstheme="minorHAnsi"/>
          <w:sz w:val="20"/>
          <w:szCs w:val="20"/>
        </w:rPr>
      </w:pPr>
      <w:r w:rsidRPr="00085973">
        <w:rPr>
          <w:rFonts w:eastAsia="Calibri" w:cstheme="minorHAnsi"/>
          <w:sz w:val="20"/>
          <w:szCs w:val="20"/>
          <w:u w:val="single"/>
        </w:rPr>
        <w:t>Canada life</w:t>
      </w:r>
      <w:r>
        <w:rPr>
          <w:rFonts w:eastAsia="Calibri" w:cstheme="minorHAnsi"/>
          <w:sz w:val="20"/>
          <w:szCs w:val="20"/>
        </w:rPr>
        <w:t>-Use</w:t>
      </w:r>
      <w:r w:rsidRPr="004F171A">
        <w:rPr>
          <w:rFonts w:eastAsia="Calibri" w:cstheme="minorHAnsi"/>
          <w:sz w:val="20"/>
          <w:szCs w:val="20"/>
        </w:rPr>
        <w:t xml:space="preserve"> “100% of the LICAT Base Solvency Buffer.” The carrying value should include surplus allowances and eligible deposits. </w:t>
      </w:r>
    </w:p>
    <w:p w14:paraId="3D8FF4A9" w14:textId="77777777" w:rsidR="004F171A" w:rsidRDefault="004F171A" w:rsidP="00085973">
      <w:pPr>
        <w:ind w:left="720"/>
        <w:jc w:val="both"/>
        <w:rPr>
          <w:rFonts w:eastAsia="Calibri" w:cstheme="minorHAnsi"/>
          <w:sz w:val="20"/>
          <w:szCs w:val="20"/>
        </w:rPr>
      </w:pPr>
      <w:r w:rsidRPr="00085973">
        <w:rPr>
          <w:rFonts w:eastAsia="Calibri" w:cstheme="minorHAnsi"/>
          <w:sz w:val="20"/>
          <w:szCs w:val="20"/>
          <w:u w:val="single"/>
        </w:rPr>
        <w:t>Canada P/C</w:t>
      </w:r>
      <w:r>
        <w:rPr>
          <w:rFonts w:eastAsia="Calibri" w:cstheme="minorHAnsi"/>
          <w:sz w:val="20"/>
          <w:szCs w:val="20"/>
        </w:rPr>
        <w:t xml:space="preserve">-Use </w:t>
      </w:r>
      <w:r w:rsidRPr="004F171A">
        <w:rPr>
          <w:rFonts w:eastAsia="Calibri" w:cstheme="minorHAnsi"/>
          <w:sz w:val="20"/>
          <w:szCs w:val="20"/>
        </w:rPr>
        <w:t>the MCT capital requirement at the target level.</w:t>
      </w:r>
    </w:p>
    <w:p w14:paraId="23C9428F" w14:textId="6EF26C45" w:rsidR="004F171A" w:rsidRPr="004F171A" w:rsidRDefault="004F171A" w:rsidP="00085973">
      <w:pPr>
        <w:ind w:left="720"/>
        <w:jc w:val="both"/>
        <w:rPr>
          <w:rFonts w:eastAsia="Calibri" w:cstheme="minorHAnsi"/>
          <w:sz w:val="20"/>
          <w:szCs w:val="20"/>
        </w:rPr>
      </w:pPr>
      <w:r w:rsidRPr="00085973">
        <w:rPr>
          <w:rFonts w:eastAsia="Calibri" w:cstheme="minorHAnsi"/>
          <w:sz w:val="20"/>
          <w:szCs w:val="20"/>
          <w:u w:val="single"/>
        </w:rPr>
        <w:t>South Africa</w:t>
      </w:r>
      <w:r>
        <w:rPr>
          <w:rFonts w:eastAsia="Calibri" w:cstheme="minorHAnsi"/>
          <w:sz w:val="20"/>
          <w:szCs w:val="20"/>
        </w:rPr>
        <w:t xml:space="preserve">-Use </w:t>
      </w:r>
      <w:r w:rsidRPr="004F171A">
        <w:rPr>
          <w:rFonts w:eastAsia="Calibri" w:cstheme="minorHAnsi"/>
          <w:sz w:val="20"/>
          <w:szCs w:val="20"/>
        </w:rPr>
        <w:t>100% of the SAM SCR.</w:t>
      </w:r>
    </w:p>
    <w:p w14:paraId="00914751" w14:textId="487A2395" w:rsidR="004F171A" w:rsidRDefault="004F171A" w:rsidP="00647583">
      <w:pPr>
        <w:jc w:val="both"/>
        <w:rPr>
          <w:rFonts w:ascii="Calibri" w:eastAsia="SimSun" w:hAnsi="Calibri" w:cs="Calibri"/>
          <w:sz w:val="20"/>
          <w:szCs w:val="20"/>
        </w:rPr>
      </w:pPr>
    </w:p>
    <w:p w14:paraId="66F6291C" w14:textId="77777777" w:rsidR="002979BB" w:rsidRPr="00621A59" w:rsidRDefault="002979BB" w:rsidP="00085973">
      <w:pPr>
        <w:jc w:val="both"/>
        <w:rPr>
          <w:rFonts w:ascii="Calibri" w:eastAsia="SimSun" w:hAnsi="Calibri" w:cs="Calibri"/>
          <w:b/>
          <w:bCs/>
          <w:sz w:val="20"/>
          <w:szCs w:val="20"/>
          <w:u w:val="single"/>
        </w:rPr>
      </w:pPr>
      <w:r w:rsidRPr="00621A59">
        <w:rPr>
          <w:rFonts w:ascii="Calibri" w:eastAsia="SimSun" w:hAnsi="Calibri" w:cs="Calibri"/>
          <w:b/>
          <w:bCs/>
          <w:sz w:val="20"/>
          <w:szCs w:val="20"/>
          <w:u w:val="single"/>
        </w:rPr>
        <w:t>Non-Insurance Financial Entities Subject to a Specified Regulatory Capital Requirement</w:t>
      </w:r>
    </w:p>
    <w:p w14:paraId="68C41F63" w14:textId="77777777" w:rsidR="002979BB" w:rsidRDefault="002979BB" w:rsidP="00085973">
      <w:pPr>
        <w:jc w:val="both"/>
        <w:rPr>
          <w:rFonts w:ascii="Calibri" w:eastAsia="SimSun" w:hAnsi="Calibri" w:cs="Calibri"/>
          <w:sz w:val="20"/>
          <w:szCs w:val="20"/>
          <w:u w:val="single"/>
        </w:rPr>
      </w:pPr>
    </w:p>
    <w:p w14:paraId="1391D6A3" w14:textId="77777777" w:rsidR="002979BB" w:rsidRDefault="002979BB" w:rsidP="002979BB">
      <w:pPr>
        <w:jc w:val="both"/>
        <w:rPr>
          <w:rFonts w:eastAsia="Calibri" w:cstheme="minorHAnsi"/>
          <w:sz w:val="20"/>
          <w:szCs w:val="20"/>
        </w:rPr>
      </w:pPr>
      <w:r w:rsidRPr="002979BB">
        <w:rPr>
          <w:rFonts w:eastAsia="Calibri" w:cstheme="minorHAnsi"/>
          <w:sz w:val="20"/>
          <w:szCs w:val="20"/>
          <w:u w:val="single"/>
        </w:rPr>
        <w:t>Banks and other depository institutions</w:t>
      </w:r>
      <w:r w:rsidRPr="002979BB">
        <w:rPr>
          <w:rFonts w:eastAsia="Calibri" w:cstheme="minorHAnsi"/>
          <w:sz w:val="20"/>
          <w:szCs w:val="20"/>
        </w:rPr>
        <w:t>–</w:t>
      </w:r>
      <w:r>
        <w:rPr>
          <w:rFonts w:eastAsia="Calibri" w:cstheme="minorHAnsi"/>
          <w:sz w:val="20"/>
          <w:szCs w:val="20"/>
        </w:rPr>
        <w:t>Use the</w:t>
      </w:r>
      <w:r w:rsidRPr="002979BB">
        <w:rPr>
          <w:rFonts w:eastAsia="Calibri" w:cstheme="minorHAnsi"/>
          <w:sz w:val="20"/>
          <w:szCs w:val="20"/>
        </w:rPr>
        <w:t xml:space="preserve"> unscaled minimum required by their regulator. For U.S. banks, that is the Office of the Comptroller of the Currency (OCC) Tier 1 or other applicable capital requirement. This is understood to be consistent with how the Federal Reserve Board would apply its Building Block Approach.</w:t>
      </w:r>
    </w:p>
    <w:p w14:paraId="32D359F2" w14:textId="42640EA0" w:rsidR="002979BB" w:rsidRPr="002979BB" w:rsidRDefault="002979BB" w:rsidP="002979BB">
      <w:pPr>
        <w:jc w:val="both"/>
        <w:rPr>
          <w:rFonts w:eastAsia="Calibri" w:cstheme="minorHAnsi"/>
          <w:sz w:val="20"/>
          <w:szCs w:val="20"/>
        </w:rPr>
      </w:pPr>
      <w:r w:rsidRPr="002979BB">
        <w:rPr>
          <w:rFonts w:eastAsia="Calibri" w:cstheme="minorHAnsi"/>
          <w:sz w:val="20"/>
          <w:szCs w:val="20"/>
          <w:u w:val="single"/>
        </w:rPr>
        <w:t>Other</w:t>
      </w:r>
      <w:r>
        <w:rPr>
          <w:rFonts w:eastAsia="Calibri" w:cstheme="minorHAnsi"/>
          <w:sz w:val="20"/>
          <w:szCs w:val="20"/>
        </w:rPr>
        <w:t>-</w:t>
      </w:r>
      <w:r w:rsidRPr="002979BB">
        <w:rPr>
          <w:rFonts w:eastAsia="Calibri" w:cstheme="minorHAnsi"/>
          <w:sz w:val="20"/>
          <w:szCs w:val="20"/>
        </w:rPr>
        <w:t>Any other financial entity that is determined to be subject to a specified regulatory capital requirement will bring that requirement in the GCC at the first level of regulator intervention (if applicable).</w:t>
      </w:r>
    </w:p>
    <w:p w14:paraId="3EA633EA" w14:textId="09225F0B" w:rsidR="002979BB" w:rsidRPr="002979BB" w:rsidRDefault="002979BB" w:rsidP="002979BB">
      <w:pPr>
        <w:jc w:val="both"/>
        <w:rPr>
          <w:rFonts w:eastAsia="SimSun" w:cstheme="minorHAnsi"/>
          <w:sz w:val="20"/>
          <w:szCs w:val="20"/>
          <w:u w:val="single"/>
        </w:rPr>
      </w:pPr>
    </w:p>
    <w:p w14:paraId="06A4E3F8" w14:textId="643D8372" w:rsidR="002979BB" w:rsidRPr="00621A59" w:rsidRDefault="002979BB" w:rsidP="00085973">
      <w:pPr>
        <w:jc w:val="both"/>
        <w:rPr>
          <w:rFonts w:ascii="Calibri" w:eastAsia="SimSun" w:hAnsi="Calibri" w:cs="Calibri"/>
          <w:b/>
          <w:bCs/>
          <w:sz w:val="20"/>
          <w:szCs w:val="20"/>
          <w:u w:val="single"/>
        </w:rPr>
      </w:pPr>
      <w:r w:rsidRPr="00621A59">
        <w:rPr>
          <w:rFonts w:ascii="Calibri" w:eastAsia="SimSun" w:hAnsi="Calibri" w:cs="Calibri"/>
          <w:b/>
          <w:bCs/>
          <w:sz w:val="20"/>
          <w:szCs w:val="20"/>
          <w:u w:val="single"/>
        </w:rPr>
        <w:t>Non-Insurance Financial Entities NOT Subject to a Specified Regulatory Capital Requirement</w:t>
      </w:r>
    </w:p>
    <w:p w14:paraId="46F97DA8" w14:textId="6C56751D" w:rsidR="002979BB" w:rsidRDefault="002979BB" w:rsidP="00085973">
      <w:pPr>
        <w:jc w:val="both"/>
        <w:rPr>
          <w:rFonts w:ascii="Calibri" w:eastAsia="SimSun" w:hAnsi="Calibri" w:cs="Calibri"/>
          <w:sz w:val="20"/>
          <w:szCs w:val="20"/>
          <w:u w:val="single"/>
        </w:rPr>
      </w:pPr>
    </w:p>
    <w:p w14:paraId="0DB91DAC" w14:textId="187247A1" w:rsidR="002979BB" w:rsidRPr="00F93AE4" w:rsidRDefault="00F93AE4" w:rsidP="00F93AE4">
      <w:pPr>
        <w:jc w:val="both"/>
        <w:rPr>
          <w:rFonts w:eastAsia="Calibri" w:cstheme="minorHAnsi"/>
          <w:sz w:val="20"/>
          <w:szCs w:val="20"/>
        </w:rPr>
      </w:pPr>
      <w:r w:rsidRPr="00F93AE4">
        <w:rPr>
          <w:rFonts w:eastAsia="Calibri" w:cstheme="minorHAnsi"/>
          <w:sz w:val="20"/>
          <w:szCs w:val="20"/>
          <w:u w:val="single"/>
        </w:rPr>
        <w:t>A</w:t>
      </w:r>
      <w:r w:rsidR="002979BB" w:rsidRPr="00F93AE4">
        <w:rPr>
          <w:rFonts w:eastAsia="Calibri" w:cstheme="minorHAnsi"/>
          <w:sz w:val="20"/>
          <w:szCs w:val="20"/>
          <w:u w:val="single"/>
        </w:rPr>
        <w:t xml:space="preserve">sset </w:t>
      </w:r>
      <w:r w:rsidRPr="00F93AE4">
        <w:rPr>
          <w:rFonts w:eastAsia="Calibri" w:cstheme="minorHAnsi"/>
          <w:sz w:val="20"/>
          <w:szCs w:val="20"/>
          <w:u w:val="single"/>
        </w:rPr>
        <w:t>M</w:t>
      </w:r>
      <w:r w:rsidR="002979BB" w:rsidRPr="00F93AE4">
        <w:rPr>
          <w:rFonts w:eastAsia="Calibri" w:cstheme="minorHAnsi"/>
          <w:sz w:val="20"/>
          <w:szCs w:val="20"/>
          <w:u w:val="single"/>
        </w:rPr>
        <w:t>anagers</w:t>
      </w:r>
      <w:r w:rsidRPr="00F93AE4">
        <w:rPr>
          <w:rFonts w:eastAsia="Calibri" w:cstheme="minorHAnsi"/>
          <w:sz w:val="20"/>
          <w:szCs w:val="20"/>
          <w:u w:val="single"/>
        </w:rPr>
        <w:t>, R</w:t>
      </w:r>
      <w:r w:rsidR="002979BB" w:rsidRPr="00F93AE4">
        <w:rPr>
          <w:rFonts w:eastAsia="Calibri" w:cstheme="minorHAnsi"/>
          <w:sz w:val="20"/>
          <w:szCs w:val="20"/>
          <w:u w:val="single"/>
        </w:rPr>
        <w:t xml:space="preserve">egistered </w:t>
      </w:r>
      <w:r w:rsidRPr="00F93AE4">
        <w:rPr>
          <w:rFonts w:eastAsia="Calibri" w:cstheme="minorHAnsi"/>
          <w:sz w:val="20"/>
          <w:szCs w:val="20"/>
          <w:u w:val="single"/>
        </w:rPr>
        <w:t>I</w:t>
      </w:r>
      <w:r w:rsidR="002979BB" w:rsidRPr="00F93AE4">
        <w:rPr>
          <w:rFonts w:eastAsia="Calibri" w:cstheme="minorHAnsi"/>
          <w:sz w:val="20"/>
          <w:szCs w:val="20"/>
          <w:u w:val="single"/>
        </w:rPr>
        <w:t xml:space="preserve">nvestment </w:t>
      </w:r>
      <w:r w:rsidRPr="00F93AE4">
        <w:rPr>
          <w:rFonts w:eastAsia="Calibri" w:cstheme="minorHAnsi"/>
          <w:sz w:val="20"/>
          <w:szCs w:val="20"/>
          <w:u w:val="single"/>
        </w:rPr>
        <w:t>A</w:t>
      </w:r>
      <w:r w:rsidR="002979BB" w:rsidRPr="00F93AE4">
        <w:rPr>
          <w:rFonts w:eastAsia="Calibri" w:cstheme="minorHAnsi"/>
          <w:sz w:val="20"/>
          <w:szCs w:val="20"/>
          <w:u w:val="single"/>
        </w:rPr>
        <w:t xml:space="preserve">dvisors and </w:t>
      </w:r>
      <w:r w:rsidRPr="00F93AE4">
        <w:rPr>
          <w:rFonts w:eastAsia="Calibri" w:cstheme="minorHAnsi"/>
          <w:sz w:val="20"/>
          <w:szCs w:val="20"/>
          <w:u w:val="single"/>
        </w:rPr>
        <w:t>A</w:t>
      </w:r>
      <w:r w:rsidR="002979BB" w:rsidRPr="00F93AE4">
        <w:rPr>
          <w:rFonts w:eastAsia="Calibri" w:cstheme="minorHAnsi"/>
          <w:sz w:val="20"/>
          <w:szCs w:val="20"/>
          <w:u w:val="single"/>
        </w:rPr>
        <w:t xml:space="preserve">ll other </w:t>
      </w:r>
      <w:r w:rsidRPr="00F93AE4">
        <w:rPr>
          <w:rFonts w:eastAsia="Calibri" w:cstheme="minorHAnsi"/>
          <w:sz w:val="20"/>
          <w:szCs w:val="20"/>
          <w:u w:val="single"/>
        </w:rPr>
        <w:t>F</w:t>
      </w:r>
      <w:r w:rsidR="002979BB" w:rsidRPr="00F93AE4">
        <w:rPr>
          <w:rFonts w:eastAsia="Calibri" w:cstheme="minorHAnsi"/>
          <w:sz w:val="20"/>
          <w:szCs w:val="20"/>
          <w:u w:val="single"/>
        </w:rPr>
        <w:t xml:space="preserve">inancial </w:t>
      </w:r>
      <w:r w:rsidRPr="00F93AE4">
        <w:rPr>
          <w:rFonts w:eastAsia="Calibri" w:cstheme="minorHAnsi"/>
          <w:sz w:val="20"/>
          <w:szCs w:val="20"/>
          <w:u w:val="single"/>
        </w:rPr>
        <w:t>E</w:t>
      </w:r>
      <w:r w:rsidR="002979BB" w:rsidRPr="00F93AE4">
        <w:rPr>
          <w:rFonts w:eastAsia="Calibri" w:cstheme="minorHAnsi"/>
          <w:sz w:val="20"/>
          <w:szCs w:val="20"/>
          <w:u w:val="single"/>
        </w:rPr>
        <w:t>ntities</w:t>
      </w:r>
      <w:r>
        <w:rPr>
          <w:rFonts w:eastAsia="Calibri" w:cstheme="minorHAnsi"/>
          <w:sz w:val="20"/>
          <w:szCs w:val="20"/>
        </w:rPr>
        <w:t>-</w:t>
      </w:r>
      <w:r w:rsidR="002979BB" w:rsidRPr="00F93AE4">
        <w:rPr>
          <w:rFonts w:eastAsia="Calibri" w:cstheme="minorHAnsi"/>
          <w:sz w:val="20"/>
          <w:szCs w:val="20"/>
        </w:rPr>
        <w:t xml:space="preserve">Use the capital calculation specified below based the level of risk assigned to the entity by applying the material risk principles defined </w:t>
      </w:r>
      <w:r>
        <w:rPr>
          <w:rFonts w:eastAsia="Calibri" w:cstheme="minorHAnsi"/>
          <w:sz w:val="20"/>
          <w:szCs w:val="20"/>
        </w:rPr>
        <w:t>below</w:t>
      </w:r>
      <w:r w:rsidR="002979BB" w:rsidRPr="00F93AE4">
        <w:rPr>
          <w:rFonts w:eastAsia="Calibri" w:cstheme="minorHAnsi"/>
          <w:sz w:val="20"/>
          <w:szCs w:val="20"/>
        </w:rPr>
        <w:t>. However, asset managers and investment affiliates (not qualifying to be treated as non-financial entities</w:t>
      </w:r>
      <w:r w:rsidR="00621A59">
        <w:rPr>
          <w:rFonts w:eastAsia="Calibri" w:cstheme="minorHAnsi"/>
          <w:sz w:val="20"/>
          <w:szCs w:val="20"/>
        </w:rPr>
        <w:t xml:space="preserve"> as defined below</w:t>
      </w:r>
      <w:r w:rsidR="002979BB" w:rsidRPr="00F93AE4">
        <w:rPr>
          <w:rFonts w:eastAsia="Calibri" w:cstheme="minorHAnsi"/>
          <w:sz w:val="20"/>
          <w:szCs w:val="20"/>
        </w:rPr>
        <w:t>) will be reported at either medium or high risk. In certain cases, these entities may be subject to a layer of regulation (e.g., SEC or FINRA) but are not generally subject to a specified capital requirement.</w:t>
      </w:r>
    </w:p>
    <w:p w14:paraId="2C252B6C" w14:textId="77777777" w:rsidR="00F93AE4" w:rsidRDefault="00F93AE4" w:rsidP="00F93AE4">
      <w:pPr>
        <w:jc w:val="both"/>
        <w:rPr>
          <w:rFonts w:eastAsia="Calibri" w:cstheme="minorHAnsi"/>
          <w:sz w:val="20"/>
          <w:szCs w:val="20"/>
        </w:rPr>
      </w:pPr>
    </w:p>
    <w:p w14:paraId="11B40596" w14:textId="5DC00FA6" w:rsidR="002979BB" w:rsidRPr="00F93AE4" w:rsidRDefault="002979BB" w:rsidP="00F93AE4">
      <w:pPr>
        <w:jc w:val="both"/>
        <w:rPr>
          <w:rFonts w:eastAsia="Calibri" w:cstheme="minorHAnsi"/>
          <w:sz w:val="20"/>
          <w:szCs w:val="20"/>
        </w:rPr>
      </w:pPr>
      <w:r w:rsidRPr="00F93AE4">
        <w:rPr>
          <w:rFonts w:eastAsia="Calibri" w:cstheme="minorHAnsi"/>
          <w:sz w:val="20"/>
          <w:szCs w:val="20"/>
        </w:rPr>
        <w:t>High Risk: 10% x 3-year average revenue</w:t>
      </w:r>
    </w:p>
    <w:p w14:paraId="3984F832" w14:textId="70A0CC70" w:rsidR="002979BB" w:rsidRPr="00F93AE4" w:rsidRDefault="002979BB" w:rsidP="00F93AE4">
      <w:pPr>
        <w:jc w:val="both"/>
        <w:rPr>
          <w:rFonts w:eastAsia="Calibri" w:cstheme="minorHAnsi"/>
          <w:sz w:val="20"/>
          <w:szCs w:val="20"/>
        </w:rPr>
      </w:pPr>
      <w:r w:rsidRPr="00F93AE4">
        <w:rPr>
          <w:rFonts w:eastAsia="Calibri" w:cstheme="minorHAnsi"/>
          <w:sz w:val="20"/>
          <w:szCs w:val="20"/>
        </w:rPr>
        <w:t>Medium Risk: 5.0% x 3-year average revenue</w:t>
      </w:r>
    </w:p>
    <w:p w14:paraId="3D327181" w14:textId="165FFC20" w:rsidR="002979BB" w:rsidRDefault="002979BB" w:rsidP="00F93AE4">
      <w:pPr>
        <w:jc w:val="both"/>
        <w:rPr>
          <w:rFonts w:eastAsia="Calibri" w:cstheme="minorHAnsi"/>
          <w:sz w:val="20"/>
          <w:szCs w:val="20"/>
        </w:rPr>
      </w:pPr>
      <w:r w:rsidRPr="00F93AE4">
        <w:rPr>
          <w:rFonts w:eastAsia="Calibri" w:cstheme="minorHAnsi"/>
          <w:sz w:val="20"/>
          <w:szCs w:val="20"/>
        </w:rPr>
        <w:t>Low Risk: 2.5% x 3-year average revenue</w:t>
      </w:r>
    </w:p>
    <w:p w14:paraId="7B581EBB" w14:textId="7E9FD43B" w:rsidR="00F93AE4" w:rsidRDefault="00F93AE4" w:rsidP="00F93AE4">
      <w:pPr>
        <w:jc w:val="both"/>
        <w:rPr>
          <w:rFonts w:eastAsia="Calibri" w:cstheme="minorHAnsi"/>
          <w:sz w:val="20"/>
          <w:szCs w:val="20"/>
        </w:rPr>
      </w:pPr>
    </w:p>
    <w:p w14:paraId="4619D84F" w14:textId="77777777" w:rsidR="00F93AE4" w:rsidRPr="00F93AE4" w:rsidRDefault="00F93AE4" w:rsidP="00F93AE4">
      <w:pPr>
        <w:pStyle w:val="Default"/>
        <w:jc w:val="both"/>
        <w:rPr>
          <w:rFonts w:asciiTheme="minorHAnsi" w:hAnsiTheme="minorHAnsi" w:cstheme="minorHAnsi"/>
          <w:sz w:val="20"/>
          <w:szCs w:val="20"/>
        </w:rPr>
      </w:pPr>
      <w:r w:rsidRPr="00F93AE4">
        <w:rPr>
          <w:rFonts w:asciiTheme="minorHAnsi" w:hAnsiTheme="minorHAnsi" w:cstheme="minorHAnsi"/>
          <w:b/>
          <w:sz w:val="20"/>
          <w:szCs w:val="20"/>
          <w:u w:val="single"/>
        </w:rPr>
        <w:t>Financial Entity</w:t>
      </w:r>
      <w:r w:rsidRPr="00F93AE4">
        <w:rPr>
          <w:rFonts w:asciiTheme="minorHAnsi" w:hAnsiTheme="minorHAnsi" w:cstheme="minorHAnsi"/>
          <w:bCs/>
          <w:sz w:val="20"/>
          <w:szCs w:val="20"/>
        </w:rPr>
        <w:t xml:space="preserve">: </w:t>
      </w:r>
      <w:r w:rsidRPr="00F93AE4">
        <w:rPr>
          <w:rFonts w:asciiTheme="minorHAnsi" w:hAnsiTheme="minorHAnsi" w:cstheme="minorHAnsi"/>
          <w:sz w:val="20"/>
          <w:szCs w:val="20"/>
        </w:rPr>
        <w:t xml:space="preserve">A non-insurance entity that engages in or facilitates financial intermediary operations (e.g., accepting deposits, granting of credits, or making loans, managing, or holding investments, etc.). Such entities may or may not be subject to specified regulatory capital requirements of other sectoral supervisory authorities. For purposes of the GCC, entities that are not regulated by an insurance or banking authority [e.g., the U.S. Securities and Exchange Commission (SEC) or the Financial Industry Regulatory Authority (FINRA)] will be considered as not subject to a specified regulatory capital requirement. </w:t>
      </w:r>
    </w:p>
    <w:p w14:paraId="1931E7B1" w14:textId="77777777" w:rsidR="00F93AE4" w:rsidRDefault="00F93AE4" w:rsidP="00F93AE4">
      <w:pPr>
        <w:pStyle w:val="Default"/>
        <w:jc w:val="both"/>
        <w:rPr>
          <w:rFonts w:asciiTheme="minorHAnsi" w:hAnsiTheme="minorHAnsi" w:cstheme="minorHAnsi"/>
          <w:sz w:val="20"/>
          <w:szCs w:val="20"/>
        </w:rPr>
      </w:pPr>
    </w:p>
    <w:p w14:paraId="688C1F78" w14:textId="31D6D18D" w:rsidR="00F93AE4" w:rsidRPr="00F93AE4" w:rsidRDefault="00F93AE4" w:rsidP="00F93AE4">
      <w:pPr>
        <w:pStyle w:val="Default"/>
        <w:jc w:val="both"/>
        <w:rPr>
          <w:rFonts w:asciiTheme="minorHAnsi" w:hAnsiTheme="minorHAnsi" w:cstheme="minorHAnsi"/>
          <w:sz w:val="20"/>
          <w:szCs w:val="20"/>
        </w:rPr>
      </w:pPr>
      <w:r w:rsidRPr="00F93AE4">
        <w:rPr>
          <w:rFonts w:asciiTheme="minorHAnsi" w:hAnsiTheme="minorHAnsi" w:cstheme="minorHAnsi"/>
          <w:sz w:val="20"/>
          <w:szCs w:val="20"/>
        </w:rPr>
        <w:lastRenderedPageBreak/>
        <w:t xml:space="preserve">The primary examples of financial entities are commercial banks, intermediation banks, investment banks, saving banks, credit unions, savings and loan institutions, swap dealers, and the portion of special purpose and collective investment entities (e.g., investment companies, private funds, commodity pools, and mutual funds) that represents the Broader Group’s aggregate ownership in such entities, whether or not any member of the Broader Group is involved in that entity’s management responsibilities (e.g., via investment advisory or broker-dealer duties) for those entities. </w:t>
      </w:r>
    </w:p>
    <w:p w14:paraId="2F4CFEEB" w14:textId="77777777" w:rsidR="00F93AE4" w:rsidRDefault="00F93AE4" w:rsidP="00F93AE4">
      <w:pPr>
        <w:pStyle w:val="Default"/>
        <w:jc w:val="both"/>
        <w:rPr>
          <w:rFonts w:asciiTheme="minorHAnsi" w:hAnsiTheme="minorHAnsi" w:cstheme="minorHAnsi"/>
          <w:sz w:val="20"/>
          <w:szCs w:val="20"/>
        </w:rPr>
      </w:pPr>
    </w:p>
    <w:p w14:paraId="62A03774" w14:textId="4625B2E6" w:rsidR="00F93AE4" w:rsidRPr="00F93AE4" w:rsidRDefault="00F93AE4" w:rsidP="00F93AE4">
      <w:pPr>
        <w:pStyle w:val="Default"/>
        <w:jc w:val="both"/>
        <w:rPr>
          <w:rFonts w:asciiTheme="minorHAnsi" w:hAnsiTheme="minorHAnsi" w:cstheme="minorHAnsi"/>
          <w:sz w:val="20"/>
          <w:szCs w:val="20"/>
        </w:rPr>
      </w:pPr>
      <w:r w:rsidRPr="00F93AE4">
        <w:rPr>
          <w:rFonts w:asciiTheme="minorHAnsi" w:hAnsiTheme="minorHAnsi" w:cstheme="minorHAnsi"/>
          <w:sz w:val="20"/>
          <w:szCs w:val="20"/>
        </w:rPr>
        <w:t xml:space="preserve">For purposes of this definition, a subsidiary of an insurance company whose predominant purpose is to manage or hold investments or act as a broker-dealer for those investments on behalf of the insurance company and its affiliated insurance (greater than 90% of all such investment subsidiaries’ assets under management or held are owned by or for the benefit of these insurance affiliates) should NOT be considered a Financial Entity. In the case where an insurer sets up multiple subsidiaries for this purpose, the 90% may be measured in the aggregate for all such entities. Similarly, in the case of collective investment pools (e.g., private funds, commodity pools, and mutual funds) the 90% may be measured individually, or in the aggregate for each subtype (e.g., private funds, commodity pools, and mutual funds). </w:t>
      </w:r>
    </w:p>
    <w:p w14:paraId="1727F10A" w14:textId="77777777" w:rsidR="00F93AE4" w:rsidRDefault="00F93AE4" w:rsidP="00F93AE4">
      <w:pPr>
        <w:pStyle w:val="Default"/>
        <w:jc w:val="both"/>
        <w:rPr>
          <w:rFonts w:asciiTheme="minorHAnsi" w:hAnsiTheme="minorHAnsi" w:cstheme="minorHAnsi"/>
          <w:sz w:val="20"/>
          <w:szCs w:val="20"/>
        </w:rPr>
      </w:pPr>
    </w:p>
    <w:p w14:paraId="41FB3AC9" w14:textId="37DC3D49" w:rsidR="00F93AE4" w:rsidRPr="00F93AE4" w:rsidRDefault="00F93AE4" w:rsidP="00F93AE4">
      <w:pPr>
        <w:pStyle w:val="Default"/>
        <w:jc w:val="both"/>
        <w:rPr>
          <w:rFonts w:asciiTheme="minorHAnsi" w:eastAsia="Calibri" w:hAnsiTheme="minorHAnsi" w:cstheme="minorHAnsi"/>
          <w:sz w:val="20"/>
          <w:szCs w:val="20"/>
        </w:rPr>
      </w:pPr>
      <w:r w:rsidRPr="00F93AE4">
        <w:rPr>
          <w:rFonts w:asciiTheme="minorHAnsi" w:hAnsiTheme="minorHAnsi" w:cstheme="minorHAnsi"/>
          <w:sz w:val="20"/>
          <w:szCs w:val="20"/>
        </w:rPr>
        <w:t xml:space="preserve">In addition, other </w:t>
      </w:r>
      <w:r w:rsidRPr="00F93AE4">
        <w:rPr>
          <w:rFonts w:asciiTheme="minorHAnsi" w:eastAsia="Calibri" w:hAnsiTheme="minorHAnsi" w:cstheme="minorHAnsi"/>
          <w:sz w:val="20"/>
          <w:szCs w:val="20"/>
        </w:rPr>
        <w:t xml:space="preserve">financial entities without a regulatory capital requirement include those which are predominantly engaged in activities that </w:t>
      </w:r>
      <w:bookmarkStart w:id="0" w:name="_Hlk52264897"/>
      <w:r w:rsidRPr="00F93AE4">
        <w:rPr>
          <w:rFonts w:asciiTheme="minorHAnsi" w:eastAsia="Times New Roman" w:hAnsiTheme="minorHAnsi" w:cstheme="minorHAnsi"/>
          <w:sz w:val="20"/>
          <w:szCs w:val="20"/>
        </w:rPr>
        <w:t xml:space="preserve">depending on the nature of the transaction and the specific circumstances, </w:t>
      </w:r>
      <w:bookmarkEnd w:id="0"/>
      <w:r w:rsidRPr="00F93AE4">
        <w:rPr>
          <w:rFonts w:asciiTheme="minorHAnsi" w:eastAsia="Times New Roman" w:hAnsiTheme="minorHAnsi" w:cstheme="minorHAnsi"/>
          <w:sz w:val="20"/>
          <w:szCs w:val="20"/>
        </w:rPr>
        <w:t xml:space="preserve">could </w:t>
      </w:r>
      <w:r w:rsidRPr="00F93AE4">
        <w:rPr>
          <w:rFonts w:asciiTheme="minorHAnsi" w:eastAsia="Calibri" w:hAnsiTheme="minorHAnsi" w:cstheme="minorHAnsi"/>
          <w:sz w:val="20"/>
          <w:szCs w:val="20"/>
        </w:rPr>
        <w:t>create financial risks through the offering of products or transactions outside the group such as a mortgage, other credit offering or a derivative.</w:t>
      </w:r>
      <w:bookmarkStart w:id="1" w:name="_Hlk47511676"/>
    </w:p>
    <w:p w14:paraId="7F52B0CA" w14:textId="50CA91FE" w:rsidR="00F93AE4" w:rsidRPr="00F93AE4" w:rsidRDefault="00F93AE4" w:rsidP="00F93AE4">
      <w:pPr>
        <w:pStyle w:val="Default"/>
        <w:spacing w:before="120" w:after="220"/>
        <w:jc w:val="both"/>
        <w:rPr>
          <w:rFonts w:asciiTheme="minorHAnsi" w:hAnsiTheme="minorHAnsi" w:cstheme="minorHAnsi"/>
          <w:sz w:val="20"/>
          <w:szCs w:val="20"/>
        </w:rPr>
      </w:pPr>
      <w:r w:rsidRPr="00F93AE4">
        <w:rPr>
          <w:rFonts w:asciiTheme="minorHAnsi" w:hAnsiTheme="minorHAnsi" w:cstheme="minorHAnsi"/>
          <w:b/>
          <w:bCs/>
          <w:color w:val="auto"/>
          <w:sz w:val="20"/>
          <w:szCs w:val="20"/>
          <w:u w:val="single"/>
        </w:rPr>
        <w:t>Material Risk</w:t>
      </w:r>
      <w:r w:rsidRPr="00F93AE4">
        <w:rPr>
          <w:rFonts w:asciiTheme="minorHAnsi" w:hAnsiTheme="minorHAnsi" w:cstheme="minorHAnsi"/>
          <w:color w:val="auto"/>
          <w:sz w:val="20"/>
          <w:szCs w:val="20"/>
        </w:rPr>
        <w:t>:</w:t>
      </w:r>
      <w:bookmarkStart w:id="2" w:name="_Hlk51746974"/>
      <w:bookmarkEnd w:id="1"/>
      <w:r w:rsidRPr="00F93AE4">
        <w:rPr>
          <w:rFonts w:asciiTheme="minorHAnsi" w:hAnsiTheme="minorHAnsi" w:cstheme="minorHAnsi"/>
          <w:color w:val="auto"/>
          <w:sz w:val="20"/>
          <w:szCs w:val="20"/>
        </w:rPr>
        <w:t xml:space="preserve"> Risk that is of a magnitude that </w:t>
      </w:r>
      <w:bookmarkStart w:id="3" w:name="_Hlk54275187"/>
      <w:r w:rsidRPr="00F93AE4">
        <w:rPr>
          <w:rFonts w:asciiTheme="minorHAnsi" w:hAnsiTheme="minorHAnsi" w:cstheme="minorHAnsi"/>
          <w:color w:val="auto"/>
          <w:sz w:val="20"/>
          <w:szCs w:val="20"/>
        </w:rPr>
        <w:t xml:space="preserve">could adversely impact </w:t>
      </w:r>
      <w:r w:rsidR="00621A59" w:rsidRPr="00F93AE4">
        <w:rPr>
          <w:rFonts w:asciiTheme="minorHAnsi" w:hAnsiTheme="minorHAnsi" w:cstheme="minorHAnsi"/>
          <w:sz w:val="20"/>
          <w:szCs w:val="20"/>
        </w:rPr>
        <w:t>such</w:t>
      </w:r>
      <w:r w:rsidRPr="00F93AE4">
        <w:rPr>
          <w:rFonts w:asciiTheme="minorHAnsi" w:hAnsiTheme="minorHAnsi" w:cstheme="minorHAnsi"/>
          <w:sz w:val="20"/>
          <w:szCs w:val="20"/>
        </w:rPr>
        <w:t xml:space="preserve"> that</w:t>
      </w:r>
      <w:r w:rsidRPr="00F93AE4">
        <w:rPr>
          <w:rFonts w:asciiTheme="minorHAnsi" w:hAnsiTheme="minorHAnsi" w:cstheme="minorHAnsi"/>
          <w:b/>
          <w:bCs/>
          <w:sz w:val="20"/>
          <w:szCs w:val="20"/>
        </w:rPr>
        <w:t xml:space="preserve"> </w:t>
      </w:r>
      <w:r w:rsidRPr="00F93AE4">
        <w:rPr>
          <w:rFonts w:asciiTheme="minorHAnsi" w:hAnsiTheme="minorHAnsi" w:cstheme="minorHAnsi"/>
          <w:color w:val="auto"/>
          <w:sz w:val="20"/>
          <w:szCs w:val="20"/>
        </w:rPr>
        <w:t>the ability to pay policyholder claims or make other policy related payments (e.g., policy loan requests or annuity distributions)</w:t>
      </w:r>
      <w:bookmarkEnd w:id="3"/>
      <w:r w:rsidRPr="00F93AE4">
        <w:rPr>
          <w:rFonts w:asciiTheme="minorHAnsi" w:hAnsiTheme="minorHAnsi" w:cstheme="minorHAnsi"/>
          <w:color w:val="auto"/>
          <w:sz w:val="20"/>
          <w:szCs w:val="20"/>
        </w:rPr>
        <w:t xml:space="preserve"> may be impacted. </w:t>
      </w:r>
    </w:p>
    <w:p w14:paraId="22554206" w14:textId="448E5463" w:rsidR="00F93AE4" w:rsidRPr="00F93AE4" w:rsidRDefault="00F93AE4" w:rsidP="00F93AE4">
      <w:pPr>
        <w:pStyle w:val="Default"/>
        <w:spacing w:after="220"/>
        <w:jc w:val="both"/>
        <w:rPr>
          <w:rFonts w:asciiTheme="minorHAnsi" w:hAnsiTheme="minorHAnsi" w:cstheme="minorHAnsi"/>
          <w:sz w:val="20"/>
          <w:szCs w:val="20"/>
        </w:rPr>
      </w:pPr>
      <w:r w:rsidRPr="00F93AE4">
        <w:rPr>
          <w:rFonts w:asciiTheme="minorHAnsi" w:hAnsiTheme="minorHAnsi" w:cstheme="minorHAnsi"/>
          <w:sz w:val="20"/>
          <w:szCs w:val="20"/>
        </w:rPr>
        <w:t xml:space="preserve">To determine whether an entity poses material risk, the totality of the facts and circumstances must be considered. The determination of whether risk posed by an entity is material requires analysis of various aspects pertaining to the subject entity. A number of items as listed below should be considered in making such a determination, to the extent they apply. </w:t>
      </w:r>
    </w:p>
    <w:p w14:paraId="3BD2B7C5" w14:textId="61DCF083" w:rsidR="00F93AE4" w:rsidRPr="00F93AE4" w:rsidRDefault="00F93AE4" w:rsidP="00F93AE4">
      <w:pPr>
        <w:pStyle w:val="Default"/>
        <w:spacing w:after="220"/>
        <w:jc w:val="both"/>
        <w:rPr>
          <w:rFonts w:asciiTheme="minorHAnsi" w:hAnsiTheme="minorHAnsi" w:cstheme="minorHAnsi"/>
          <w:sz w:val="20"/>
          <w:szCs w:val="20"/>
        </w:rPr>
      </w:pPr>
      <w:r w:rsidRPr="00F93AE4">
        <w:rPr>
          <w:rFonts w:asciiTheme="minorHAnsi" w:hAnsiTheme="minorHAnsi" w:cstheme="minorHAnsi"/>
          <w:sz w:val="20"/>
          <w:szCs w:val="20"/>
        </w:rPr>
        <w:t xml:space="preserve">Caution is </w:t>
      </w:r>
      <w:r w:rsidR="00621A59" w:rsidRPr="00F93AE4">
        <w:rPr>
          <w:rFonts w:asciiTheme="minorHAnsi" w:hAnsiTheme="minorHAnsi" w:cstheme="minorHAnsi"/>
          <w:sz w:val="20"/>
          <w:szCs w:val="20"/>
        </w:rPr>
        <w:t>necessary,</w:t>
      </w:r>
      <w:r w:rsidRPr="00F93AE4">
        <w:rPr>
          <w:rFonts w:asciiTheme="minorHAnsi" w:hAnsiTheme="minorHAnsi" w:cstheme="minorHAnsi"/>
          <w:sz w:val="20"/>
          <w:szCs w:val="20"/>
        </w:rPr>
        <w:t xml:space="preserve"> however. The fact that one or more of these items may apply does not necessarily indicate risk to the Insurance Group is, or is not, material. The </w:t>
      </w:r>
      <w:r w:rsidR="008566CC">
        <w:rPr>
          <w:rFonts w:asciiTheme="minorHAnsi" w:hAnsiTheme="minorHAnsi" w:cstheme="minorHAnsi"/>
          <w:sz w:val="20"/>
          <w:szCs w:val="20"/>
        </w:rPr>
        <w:t xml:space="preserve">insurer </w:t>
      </w:r>
      <w:r w:rsidRPr="00F93AE4">
        <w:rPr>
          <w:rFonts w:asciiTheme="minorHAnsi" w:hAnsiTheme="minorHAnsi" w:cstheme="minorHAnsi"/>
          <w:sz w:val="20"/>
          <w:szCs w:val="20"/>
        </w:rPr>
        <w:t xml:space="preserve">should be able to support its determination of material risk if requested by the </w:t>
      </w:r>
      <w:r w:rsidR="008566CC">
        <w:rPr>
          <w:rFonts w:asciiTheme="minorHAnsi" w:hAnsiTheme="minorHAnsi" w:cstheme="minorHAnsi"/>
          <w:sz w:val="20"/>
          <w:szCs w:val="20"/>
        </w:rPr>
        <w:t>r</w:t>
      </w:r>
      <w:r w:rsidRPr="00F93AE4">
        <w:rPr>
          <w:rFonts w:asciiTheme="minorHAnsi" w:hAnsiTheme="minorHAnsi" w:cstheme="minorHAnsi"/>
          <w:sz w:val="20"/>
          <w:szCs w:val="20"/>
        </w:rPr>
        <w:t xml:space="preserve">egulator. This should not be used as a checklist or as a scorecard. Rather, the list is intended to illuminate relevant facts and circumstances about a subject entity, the risk it poses, how the </w:t>
      </w:r>
      <w:r w:rsidR="00621A59">
        <w:rPr>
          <w:rFonts w:asciiTheme="minorHAnsi" w:hAnsiTheme="minorHAnsi" w:cstheme="minorHAnsi"/>
          <w:sz w:val="20"/>
          <w:szCs w:val="20"/>
        </w:rPr>
        <w:t>i</w:t>
      </w:r>
      <w:r w:rsidR="00621A59" w:rsidRPr="00F93AE4">
        <w:rPr>
          <w:rFonts w:asciiTheme="minorHAnsi" w:hAnsiTheme="minorHAnsi" w:cstheme="minorHAnsi"/>
          <w:sz w:val="20"/>
          <w:szCs w:val="20"/>
        </w:rPr>
        <w:t>nsur</w:t>
      </w:r>
      <w:r w:rsidR="00621A59">
        <w:rPr>
          <w:rFonts w:asciiTheme="minorHAnsi" w:hAnsiTheme="minorHAnsi" w:cstheme="minorHAnsi"/>
          <w:sz w:val="20"/>
          <w:szCs w:val="20"/>
        </w:rPr>
        <w:t>er</w:t>
      </w:r>
      <w:r w:rsidRPr="00F93AE4">
        <w:rPr>
          <w:rFonts w:asciiTheme="minorHAnsi" w:hAnsiTheme="minorHAnsi" w:cstheme="minorHAnsi"/>
          <w:sz w:val="20"/>
          <w:szCs w:val="20"/>
        </w:rPr>
        <w:t xml:space="preserve"> might be exposed to that risk and means to mitigate that risk.</w:t>
      </w:r>
    </w:p>
    <w:p w14:paraId="1DE0E75F" w14:textId="77777777" w:rsidR="00F93AE4" w:rsidRPr="00F93AE4" w:rsidRDefault="00F93AE4" w:rsidP="00F93AE4">
      <w:pPr>
        <w:keepNext/>
        <w:widowControl w:val="0"/>
        <w:rPr>
          <w:rFonts w:cstheme="minorHAnsi"/>
          <w:sz w:val="20"/>
          <w:szCs w:val="20"/>
        </w:rPr>
      </w:pPr>
      <w:r w:rsidRPr="00F93AE4">
        <w:rPr>
          <w:rFonts w:cstheme="minorHAnsi"/>
          <w:sz w:val="20"/>
          <w:szCs w:val="20"/>
        </w:rPr>
        <w:t>Primary Considerations:</w:t>
      </w:r>
    </w:p>
    <w:p w14:paraId="5818E314" w14:textId="11613178" w:rsidR="00F93AE4" w:rsidRPr="00F93AE4" w:rsidRDefault="00F93AE4" w:rsidP="00F93AE4">
      <w:pPr>
        <w:pStyle w:val="Default"/>
        <w:keepNext/>
        <w:widowControl w:val="0"/>
        <w:numPr>
          <w:ilvl w:val="0"/>
          <w:numId w:val="6"/>
        </w:numPr>
        <w:adjustRightInd/>
        <w:ind w:left="360"/>
        <w:jc w:val="both"/>
        <w:rPr>
          <w:rFonts w:asciiTheme="minorHAnsi" w:hAnsiTheme="minorHAnsi" w:cstheme="minorHAnsi"/>
          <w:sz w:val="20"/>
          <w:szCs w:val="20"/>
        </w:rPr>
      </w:pPr>
      <w:r w:rsidRPr="00F93AE4">
        <w:rPr>
          <w:rFonts w:asciiTheme="minorHAnsi" w:hAnsiTheme="minorHAnsi" w:cstheme="minorHAnsi"/>
          <w:sz w:val="20"/>
          <w:szCs w:val="20"/>
        </w:rPr>
        <w:t xml:space="preserve">Past experience (i.e., the extent to which risk from the entity has impacted the </w:t>
      </w:r>
      <w:r w:rsidR="008566CC">
        <w:rPr>
          <w:rFonts w:asciiTheme="minorHAnsi" w:hAnsiTheme="minorHAnsi" w:cstheme="minorHAnsi"/>
          <w:sz w:val="20"/>
          <w:szCs w:val="20"/>
        </w:rPr>
        <w:t xml:space="preserve">insurer </w:t>
      </w:r>
      <w:r w:rsidRPr="00F93AE4">
        <w:rPr>
          <w:rFonts w:asciiTheme="minorHAnsi" w:hAnsiTheme="minorHAnsi" w:cstheme="minorHAnsi"/>
          <w:sz w:val="20"/>
          <w:szCs w:val="20"/>
        </w:rPr>
        <w:t xml:space="preserve">over prior years/cycles). </w:t>
      </w:r>
    </w:p>
    <w:p w14:paraId="347CF2B6" w14:textId="12D93D9C" w:rsidR="00F93AE4" w:rsidRPr="00F93AE4" w:rsidRDefault="00F93AE4" w:rsidP="00F93AE4">
      <w:pPr>
        <w:pStyle w:val="Default"/>
        <w:keepNext/>
        <w:widowControl w:val="0"/>
        <w:numPr>
          <w:ilvl w:val="0"/>
          <w:numId w:val="6"/>
        </w:numPr>
        <w:adjustRightInd/>
        <w:ind w:left="360"/>
        <w:jc w:val="both"/>
        <w:rPr>
          <w:rFonts w:asciiTheme="minorHAnsi" w:hAnsiTheme="minorHAnsi" w:cstheme="minorHAnsi"/>
          <w:sz w:val="20"/>
          <w:szCs w:val="20"/>
        </w:rPr>
      </w:pPr>
      <w:r w:rsidRPr="00F93AE4">
        <w:rPr>
          <w:rFonts w:asciiTheme="minorHAnsi" w:hAnsiTheme="minorHAnsi" w:cstheme="minorHAnsi"/>
          <w:sz w:val="20"/>
          <w:szCs w:val="20"/>
        </w:rPr>
        <w:t xml:space="preserve">The existence of </w:t>
      </w:r>
      <w:r w:rsidRPr="00F93AE4">
        <w:rPr>
          <w:rFonts w:asciiTheme="minorHAnsi" w:eastAsia="Calibri" w:hAnsiTheme="minorHAnsi" w:cstheme="minorHAnsi"/>
          <w:sz w:val="20"/>
          <w:szCs w:val="20"/>
        </w:rPr>
        <w:t xml:space="preserve">intragroup </w:t>
      </w:r>
      <w:r w:rsidRPr="00F93AE4">
        <w:rPr>
          <w:rFonts w:asciiTheme="minorHAnsi" w:hAnsiTheme="minorHAnsi" w:cstheme="minorHAnsi"/>
          <w:sz w:val="20"/>
          <w:szCs w:val="20"/>
        </w:rPr>
        <w:t xml:space="preserve">cross-support mechanisms </w:t>
      </w:r>
      <w:r w:rsidRPr="00F93AE4">
        <w:rPr>
          <w:rFonts w:asciiTheme="minorHAnsi" w:eastAsia="Calibri" w:hAnsiTheme="minorHAnsi" w:cstheme="minorHAnsi"/>
          <w:sz w:val="20"/>
          <w:szCs w:val="20"/>
        </w:rPr>
        <w:t>(as defined below)</w:t>
      </w:r>
      <w:r w:rsidRPr="00F93AE4">
        <w:rPr>
          <w:rFonts w:asciiTheme="minorHAnsi" w:hAnsiTheme="minorHAnsi" w:cstheme="minorHAnsi"/>
          <w:sz w:val="20"/>
          <w:szCs w:val="20"/>
        </w:rPr>
        <w:t xml:space="preserve"> between the entity and the </w:t>
      </w:r>
      <w:r w:rsidR="008566CC">
        <w:rPr>
          <w:rFonts w:asciiTheme="minorHAnsi" w:hAnsiTheme="minorHAnsi" w:cstheme="minorHAnsi"/>
          <w:sz w:val="20"/>
          <w:szCs w:val="20"/>
        </w:rPr>
        <w:t>i</w:t>
      </w:r>
      <w:r w:rsidRPr="00F93AE4">
        <w:rPr>
          <w:rFonts w:asciiTheme="minorHAnsi" w:hAnsiTheme="minorHAnsi" w:cstheme="minorHAnsi"/>
          <w:sz w:val="20"/>
          <w:szCs w:val="20"/>
        </w:rPr>
        <w:t>nsur</w:t>
      </w:r>
      <w:r w:rsidR="008566CC">
        <w:rPr>
          <w:rFonts w:asciiTheme="minorHAnsi" w:hAnsiTheme="minorHAnsi" w:cstheme="minorHAnsi"/>
          <w:sz w:val="20"/>
          <w:szCs w:val="20"/>
        </w:rPr>
        <w:t>er</w:t>
      </w:r>
      <w:r w:rsidRPr="00F93AE4">
        <w:rPr>
          <w:rFonts w:asciiTheme="minorHAnsi" w:hAnsiTheme="minorHAnsi" w:cstheme="minorHAnsi"/>
          <w:sz w:val="20"/>
          <w:szCs w:val="20"/>
        </w:rPr>
        <w:t xml:space="preserve">. </w:t>
      </w:r>
    </w:p>
    <w:p w14:paraId="38780071" w14:textId="6BC357A7" w:rsidR="00F93AE4" w:rsidRPr="00F93AE4" w:rsidRDefault="00F93AE4" w:rsidP="00F93AE4">
      <w:pPr>
        <w:pStyle w:val="Default"/>
        <w:numPr>
          <w:ilvl w:val="0"/>
          <w:numId w:val="6"/>
        </w:numPr>
        <w:adjustRightInd/>
        <w:ind w:left="360"/>
        <w:jc w:val="both"/>
        <w:rPr>
          <w:rFonts w:asciiTheme="minorHAnsi" w:hAnsiTheme="minorHAnsi" w:cstheme="minorHAnsi"/>
          <w:sz w:val="20"/>
          <w:szCs w:val="20"/>
        </w:rPr>
      </w:pPr>
      <w:r w:rsidRPr="00F93AE4">
        <w:rPr>
          <w:rFonts w:asciiTheme="minorHAnsi" w:hAnsiTheme="minorHAnsi" w:cstheme="minorHAnsi"/>
          <w:sz w:val="20"/>
          <w:szCs w:val="20"/>
        </w:rPr>
        <w:t xml:space="preserve">The means by which risk can be </w:t>
      </w:r>
      <w:r w:rsidR="00621A59" w:rsidRPr="00F93AE4">
        <w:rPr>
          <w:rFonts w:asciiTheme="minorHAnsi" w:hAnsiTheme="minorHAnsi" w:cstheme="minorHAnsi"/>
          <w:sz w:val="20"/>
          <w:szCs w:val="20"/>
        </w:rPr>
        <w:t>transmitted,</w:t>
      </w:r>
      <w:r w:rsidRPr="00F93AE4">
        <w:rPr>
          <w:rFonts w:asciiTheme="minorHAnsi" w:hAnsiTheme="minorHAnsi" w:cstheme="minorHAnsi"/>
          <w:sz w:val="20"/>
          <w:szCs w:val="20"/>
        </w:rPr>
        <w:t xml:space="preserve"> i.e., the existence of sufficient capital within the entity itself to absorb losses under stress</w:t>
      </w:r>
      <w:r w:rsidR="008566CC">
        <w:rPr>
          <w:rFonts w:asciiTheme="minorHAnsi" w:hAnsiTheme="minorHAnsi" w:cstheme="minorHAnsi"/>
          <w:sz w:val="20"/>
          <w:szCs w:val="20"/>
        </w:rPr>
        <w:t>.</w:t>
      </w:r>
    </w:p>
    <w:p w14:paraId="6EB5BE19" w14:textId="48C04ED6" w:rsidR="00F93AE4" w:rsidRPr="00F93AE4" w:rsidRDefault="00F93AE4" w:rsidP="00F93AE4">
      <w:pPr>
        <w:pStyle w:val="Default"/>
        <w:numPr>
          <w:ilvl w:val="0"/>
          <w:numId w:val="6"/>
        </w:numPr>
        <w:ind w:left="360"/>
        <w:jc w:val="both"/>
        <w:rPr>
          <w:rFonts w:asciiTheme="minorHAnsi" w:hAnsiTheme="minorHAnsi" w:cstheme="minorHAnsi"/>
          <w:sz w:val="20"/>
          <w:szCs w:val="20"/>
        </w:rPr>
      </w:pPr>
      <w:r w:rsidRPr="00F93AE4">
        <w:rPr>
          <w:rFonts w:asciiTheme="minorHAnsi" w:hAnsiTheme="minorHAnsi" w:cstheme="minorHAnsi"/>
          <w:sz w:val="20"/>
          <w:szCs w:val="20"/>
        </w:rPr>
        <w:t xml:space="preserve">The degree of risk correlation or diversification between the subject entity and the </w:t>
      </w:r>
      <w:r w:rsidR="008566CC">
        <w:rPr>
          <w:rFonts w:asciiTheme="minorHAnsi" w:hAnsiTheme="minorHAnsi" w:cstheme="minorHAnsi"/>
          <w:sz w:val="20"/>
          <w:szCs w:val="20"/>
        </w:rPr>
        <w:t>other entities owned by the insurer</w:t>
      </w:r>
      <w:r w:rsidRPr="00F93AE4">
        <w:rPr>
          <w:rFonts w:asciiTheme="minorHAnsi" w:hAnsiTheme="minorHAnsi" w:cstheme="minorHAnsi"/>
          <w:sz w:val="20"/>
          <w:szCs w:val="20"/>
        </w:rPr>
        <w:t xml:space="preserve"> (e.g., where risks of one or more entities are potentially offset (or </w:t>
      </w:r>
      <w:r w:rsidRPr="00F93AE4">
        <w:rPr>
          <w:rFonts w:asciiTheme="minorHAnsi" w:hAnsiTheme="minorHAnsi" w:cstheme="minorHAnsi"/>
          <w:sz w:val="20"/>
          <w:szCs w:val="20"/>
        </w:rPr>
        <w:lastRenderedPageBreak/>
        <w:t xml:space="preserve">exacerbated) by risks of other entities) and whether the corporate structure or agreements allow for the benefits of such diversification to protect the </w:t>
      </w:r>
      <w:r w:rsidR="008566CC">
        <w:rPr>
          <w:rFonts w:asciiTheme="minorHAnsi" w:hAnsiTheme="minorHAnsi" w:cstheme="minorHAnsi"/>
          <w:sz w:val="20"/>
          <w:szCs w:val="20"/>
        </w:rPr>
        <w:t>i</w:t>
      </w:r>
      <w:r w:rsidRPr="00F93AE4">
        <w:rPr>
          <w:rFonts w:asciiTheme="minorHAnsi" w:hAnsiTheme="minorHAnsi" w:cstheme="minorHAnsi"/>
          <w:sz w:val="20"/>
          <w:szCs w:val="20"/>
        </w:rPr>
        <w:t>nsur</w:t>
      </w:r>
      <w:r w:rsidR="008566CC">
        <w:rPr>
          <w:rFonts w:asciiTheme="minorHAnsi" w:hAnsiTheme="minorHAnsi" w:cstheme="minorHAnsi"/>
          <w:sz w:val="20"/>
          <w:szCs w:val="20"/>
        </w:rPr>
        <w:t>er</w:t>
      </w:r>
      <w:r w:rsidRPr="00F93AE4">
        <w:rPr>
          <w:rFonts w:asciiTheme="minorHAnsi" w:hAnsiTheme="minorHAnsi" w:cstheme="minorHAnsi"/>
          <w:sz w:val="20"/>
          <w:szCs w:val="20"/>
        </w:rPr>
        <w:t>.</w:t>
      </w:r>
    </w:p>
    <w:p w14:paraId="4D4AB71F" w14:textId="6FF26269" w:rsidR="00F93AE4" w:rsidRPr="00F93AE4" w:rsidRDefault="00F93AE4" w:rsidP="00F93AE4">
      <w:pPr>
        <w:pStyle w:val="Default"/>
        <w:numPr>
          <w:ilvl w:val="0"/>
          <w:numId w:val="6"/>
        </w:numPr>
        <w:adjustRightInd/>
        <w:ind w:left="360"/>
        <w:jc w:val="both"/>
        <w:rPr>
          <w:rFonts w:asciiTheme="minorHAnsi" w:hAnsiTheme="minorHAnsi" w:cstheme="minorHAnsi"/>
          <w:sz w:val="20"/>
          <w:szCs w:val="20"/>
        </w:rPr>
      </w:pPr>
      <w:r w:rsidRPr="00F93AE4">
        <w:rPr>
          <w:rFonts w:asciiTheme="minorHAnsi" w:hAnsiTheme="minorHAnsi" w:cstheme="minorHAnsi"/>
          <w:sz w:val="20"/>
          <w:szCs w:val="20"/>
        </w:rPr>
        <w:t>The existence and relative strength or effectiveness of structural safeguards that could minimize the transmission of risk.</w:t>
      </w:r>
    </w:p>
    <w:p w14:paraId="46600BC9" w14:textId="77777777" w:rsidR="00F93AE4" w:rsidRPr="00F93AE4" w:rsidRDefault="00F93AE4" w:rsidP="00F93AE4">
      <w:pPr>
        <w:pStyle w:val="Default"/>
        <w:adjustRightInd/>
        <w:jc w:val="both"/>
        <w:rPr>
          <w:rFonts w:asciiTheme="minorHAnsi" w:hAnsiTheme="minorHAnsi" w:cstheme="minorHAnsi"/>
          <w:sz w:val="20"/>
          <w:szCs w:val="20"/>
        </w:rPr>
      </w:pPr>
    </w:p>
    <w:p w14:paraId="6DB0EA98" w14:textId="77777777" w:rsidR="00F93AE4" w:rsidRPr="00F93AE4" w:rsidRDefault="00F93AE4" w:rsidP="00F93AE4">
      <w:pPr>
        <w:pStyle w:val="Default"/>
        <w:adjustRightInd/>
        <w:jc w:val="both"/>
        <w:rPr>
          <w:rFonts w:asciiTheme="minorHAnsi" w:hAnsiTheme="minorHAnsi" w:cstheme="minorHAnsi"/>
          <w:sz w:val="20"/>
          <w:szCs w:val="20"/>
        </w:rPr>
      </w:pPr>
      <w:r w:rsidRPr="00F93AE4">
        <w:rPr>
          <w:rFonts w:asciiTheme="minorHAnsi" w:hAnsiTheme="minorHAnsi" w:cstheme="minorHAnsi"/>
          <w:sz w:val="20"/>
          <w:szCs w:val="20"/>
        </w:rPr>
        <w:t>Other Considerations (</w:t>
      </w:r>
      <w:r w:rsidRPr="00F93AE4">
        <w:rPr>
          <w:rFonts w:asciiTheme="minorHAnsi" w:hAnsiTheme="minorHAnsi" w:cstheme="minorHAnsi"/>
          <w:i/>
          <w:iCs/>
          <w:sz w:val="20"/>
          <w:szCs w:val="20"/>
        </w:rPr>
        <w:t>if primary considerations suggest exclusion may be reasonable, these can be used to further support exclusions</w:t>
      </w:r>
      <w:r w:rsidRPr="00F93AE4">
        <w:rPr>
          <w:rFonts w:asciiTheme="minorHAnsi" w:hAnsiTheme="minorHAnsi" w:cstheme="minorHAnsi"/>
          <w:sz w:val="20"/>
          <w:szCs w:val="20"/>
        </w:rPr>
        <w:t>):</w:t>
      </w:r>
    </w:p>
    <w:p w14:paraId="3724BB7C" w14:textId="77777777" w:rsidR="00F93AE4" w:rsidRPr="00F93AE4" w:rsidRDefault="00F93AE4" w:rsidP="00F93AE4">
      <w:pPr>
        <w:pStyle w:val="Default"/>
        <w:adjustRightInd/>
        <w:jc w:val="both"/>
        <w:rPr>
          <w:rFonts w:asciiTheme="minorHAnsi" w:hAnsiTheme="minorHAnsi" w:cstheme="minorHAnsi"/>
          <w:sz w:val="20"/>
          <w:szCs w:val="20"/>
        </w:rPr>
      </w:pPr>
    </w:p>
    <w:p w14:paraId="0ED95EE2" w14:textId="7640A28C" w:rsidR="00F93AE4" w:rsidRPr="00F93AE4" w:rsidRDefault="00F93AE4" w:rsidP="00F93AE4">
      <w:pPr>
        <w:pStyle w:val="Default"/>
        <w:numPr>
          <w:ilvl w:val="0"/>
          <w:numId w:val="6"/>
        </w:numPr>
        <w:adjustRightInd/>
        <w:ind w:left="360"/>
        <w:jc w:val="both"/>
        <w:rPr>
          <w:rFonts w:asciiTheme="minorHAnsi" w:hAnsiTheme="minorHAnsi" w:cstheme="minorHAnsi"/>
          <w:sz w:val="20"/>
          <w:szCs w:val="20"/>
        </w:rPr>
      </w:pPr>
      <w:r w:rsidRPr="00F93AE4">
        <w:rPr>
          <w:rFonts w:asciiTheme="minorHAnsi" w:hAnsiTheme="minorHAnsi" w:cstheme="minorHAnsi"/>
          <w:sz w:val="20"/>
          <w:szCs w:val="20"/>
        </w:rPr>
        <w:t xml:space="preserve">The activities of the entity and the degree of losses that the entity could pose to the </w:t>
      </w:r>
      <w:r w:rsidR="008566CC">
        <w:rPr>
          <w:rFonts w:asciiTheme="minorHAnsi" w:hAnsiTheme="minorHAnsi" w:cstheme="minorHAnsi"/>
          <w:sz w:val="20"/>
          <w:szCs w:val="20"/>
        </w:rPr>
        <w:t>insurer</w:t>
      </w:r>
      <w:r w:rsidRPr="00F93AE4">
        <w:rPr>
          <w:rFonts w:asciiTheme="minorHAnsi" w:hAnsiTheme="minorHAnsi" w:cstheme="minorHAnsi"/>
          <w:sz w:val="20"/>
          <w:szCs w:val="20"/>
        </w:rPr>
        <w:t xml:space="preserve"> under the current economic environment or economic </w:t>
      </w:r>
      <w:r w:rsidR="00621A59" w:rsidRPr="00F93AE4">
        <w:rPr>
          <w:rFonts w:asciiTheme="minorHAnsi" w:hAnsiTheme="minorHAnsi" w:cstheme="minorHAnsi"/>
          <w:sz w:val="20"/>
          <w:szCs w:val="20"/>
        </w:rPr>
        <w:t>outlook.</w:t>
      </w:r>
      <w:r w:rsidRPr="00F93AE4">
        <w:rPr>
          <w:rFonts w:asciiTheme="minorHAnsi" w:hAnsiTheme="minorHAnsi" w:cstheme="minorHAnsi"/>
          <w:sz w:val="20"/>
          <w:szCs w:val="20"/>
        </w:rPr>
        <w:t xml:space="preserve"> </w:t>
      </w:r>
    </w:p>
    <w:bookmarkEnd w:id="2"/>
    <w:p w14:paraId="4419AEE3" w14:textId="77777777" w:rsidR="00F93AE4" w:rsidRPr="00F93AE4" w:rsidRDefault="00F93AE4" w:rsidP="00F93AE4">
      <w:pPr>
        <w:rPr>
          <w:rFonts w:cstheme="minorHAnsi"/>
          <w:sz w:val="20"/>
          <w:szCs w:val="20"/>
        </w:rPr>
      </w:pPr>
    </w:p>
    <w:p w14:paraId="28570971" w14:textId="65980F97" w:rsidR="00F93AE4" w:rsidRPr="00F93AE4" w:rsidRDefault="00F93AE4" w:rsidP="00F93AE4">
      <w:pPr>
        <w:jc w:val="both"/>
        <w:rPr>
          <w:rFonts w:cstheme="minorHAnsi"/>
          <w:sz w:val="20"/>
          <w:szCs w:val="20"/>
        </w:rPr>
      </w:pPr>
      <w:r w:rsidRPr="00F93AE4">
        <w:rPr>
          <w:rFonts w:cstheme="minorHAnsi"/>
          <w:sz w:val="20"/>
          <w:szCs w:val="20"/>
        </w:rPr>
        <w:t>The guidance above recognizes that there are diverse structures and business models of insurers that make it impracticable to apply a one-size-fits-all checklist that would work for materiality determinations</w:t>
      </w:r>
      <w:r w:rsidR="008566CC">
        <w:rPr>
          <w:rFonts w:cstheme="minorHAnsi"/>
          <w:sz w:val="20"/>
          <w:szCs w:val="20"/>
        </w:rPr>
        <w:t>.</w:t>
      </w:r>
      <w:r w:rsidRPr="00F93AE4">
        <w:rPr>
          <w:rFonts w:cstheme="minorHAnsi"/>
          <w:sz w:val="20"/>
          <w:szCs w:val="20"/>
        </w:rPr>
        <w:t xml:space="preserve"> Strict or formulaic quantitative measures based on size of the </w:t>
      </w:r>
      <w:r w:rsidR="00621A59" w:rsidRPr="00F93AE4">
        <w:rPr>
          <w:rFonts w:cstheme="minorHAnsi"/>
          <w:sz w:val="20"/>
          <w:szCs w:val="20"/>
        </w:rPr>
        <w:t>entity,</w:t>
      </w:r>
      <w:r w:rsidRPr="00F93AE4">
        <w:rPr>
          <w:rFonts w:cstheme="minorHAnsi"/>
          <w:sz w:val="20"/>
          <w:szCs w:val="20"/>
        </w:rPr>
        <w:t xml:space="preserve"> or its operations of a non-insurance affiliate are an insufficient proxy for materiality of risk to the insurance operations. </w:t>
      </w:r>
    </w:p>
    <w:p w14:paraId="549DD5A4" w14:textId="77777777" w:rsidR="00F93AE4" w:rsidRPr="00F93AE4" w:rsidRDefault="00F93AE4" w:rsidP="00F93AE4">
      <w:pPr>
        <w:ind w:left="-1800"/>
        <w:jc w:val="both"/>
        <w:rPr>
          <w:rFonts w:eastAsia="Calibri" w:cstheme="minorHAnsi"/>
          <w:sz w:val="20"/>
          <w:szCs w:val="20"/>
        </w:rPr>
      </w:pPr>
    </w:p>
    <w:sectPr w:rsidR="00F93AE4" w:rsidRPr="00F93AE4" w:rsidSect="00703816">
      <w:headerReference w:type="even" r:id="rId7"/>
      <w:headerReference w:type="default" r:id="rId8"/>
      <w:footerReference w:type="even" r:id="rId9"/>
      <w:footerReference w:type="default" r:id="rId10"/>
      <w:headerReference w:type="first" r:id="rId11"/>
      <w:footerReference w:type="first" r:id="rId12"/>
      <w:pgSz w:w="12240" w:h="15840"/>
      <w:pgMar w:top="2030" w:right="1080" w:bottom="2477" w:left="28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49BD" w14:textId="77777777" w:rsidR="004D0FF3" w:rsidRDefault="004D0FF3" w:rsidP="008C402F">
      <w:r>
        <w:separator/>
      </w:r>
    </w:p>
  </w:endnote>
  <w:endnote w:type="continuationSeparator" w:id="0">
    <w:p w14:paraId="281DD2FA" w14:textId="77777777" w:rsidR="004D0FF3" w:rsidRDefault="004D0FF3" w:rsidP="008C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F430" w14:textId="77777777" w:rsidR="000934D3" w:rsidRDefault="00093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A420" w14:textId="77777777" w:rsidR="000934D3" w:rsidRDefault="00093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9611" w14:textId="62BF1846" w:rsidR="008C402F" w:rsidRDefault="008C402F">
    <w:pPr>
      <w:pStyle w:val="Footer"/>
    </w:pPr>
    <w:r>
      <w:rPr>
        <w:noProof/>
      </w:rPr>
      <w:drawing>
        <wp:anchor distT="0" distB="0" distL="114300" distR="114300" simplePos="0" relativeHeight="251656192" behindDoc="1" locked="0" layoutInCell="1" allowOverlap="1" wp14:anchorId="4E461455" wp14:editId="0297AE7B">
          <wp:simplePos x="0" y="0"/>
          <wp:positionH relativeFrom="page">
            <wp:posOffset>0</wp:posOffset>
          </wp:positionH>
          <wp:positionV relativeFrom="page">
            <wp:posOffset>8686800</wp:posOffset>
          </wp:positionV>
          <wp:extent cx="7772400" cy="13716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B930" w14:textId="77777777" w:rsidR="004D0FF3" w:rsidRDefault="004D0FF3" w:rsidP="008C402F">
      <w:r>
        <w:separator/>
      </w:r>
    </w:p>
  </w:footnote>
  <w:footnote w:type="continuationSeparator" w:id="0">
    <w:p w14:paraId="32C450E2" w14:textId="77777777" w:rsidR="004D0FF3" w:rsidRDefault="004D0FF3" w:rsidP="008C4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56C7" w14:textId="77777777" w:rsidR="000934D3" w:rsidRDefault="00093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0F5C" w14:textId="1ED00158" w:rsidR="00703816" w:rsidRDefault="00703816">
    <w:pPr>
      <w:pStyle w:val="Header"/>
    </w:pPr>
    <w:r>
      <w:rPr>
        <w:noProof/>
      </w:rPr>
      <w:drawing>
        <wp:anchor distT="0" distB="0" distL="114300" distR="114300" simplePos="0" relativeHeight="251658240" behindDoc="1" locked="1" layoutInCell="1" allowOverlap="1" wp14:anchorId="2CD047F0" wp14:editId="1479FA37">
          <wp:simplePos x="0" y="0"/>
          <wp:positionH relativeFrom="page">
            <wp:posOffset>0</wp:posOffset>
          </wp:positionH>
          <wp:positionV relativeFrom="page">
            <wp:posOffset>0</wp:posOffset>
          </wp:positionV>
          <wp:extent cx="7774114" cy="1152144"/>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774114" cy="115214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2BD0" w14:textId="59EFE444" w:rsidR="008C402F" w:rsidRDefault="00DB40BC">
    <w:pPr>
      <w:pStyle w:val="Header"/>
    </w:pPr>
    <w:sdt>
      <w:sdtPr>
        <w:id w:val="-970431625"/>
        <w:docPartObj>
          <w:docPartGallery w:val="Watermarks"/>
          <w:docPartUnique/>
        </w:docPartObj>
      </w:sdtPr>
      <w:sdtEndPr/>
      <w:sdtContent>
        <w:r>
          <w:rPr>
            <w:noProof/>
          </w:rPr>
          <w:pict w14:anchorId="1DD8B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03816">
      <w:rPr>
        <w:noProof/>
      </w:rPr>
      <w:drawing>
        <wp:anchor distT="0" distB="0" distL="114300" distR="114300" simplePos="0" relativeHeight="251657216" behindDoc="1" locked="1" layoutInCell="1" allowOverlap="1" wp14:anchorId="73CBC8A4" wp14:editId="5B918660">
          <wp:simplePos x="0" y="0"/>
          <wp:positionH relativeFrom="page">
            <wp:posOffset>0</wp:posOffset>
          </wp:positionH>
          <wp:positionV relativeFrom="page">
            <wp:posOffset>0</wp:posOffset>
          </wp:positionV>
          <wp:extent cx="7772400" cy="1152144"/>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772400" cy="11521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D0B2F"/>
    <w:multiLevelType w:val="hybridMultilevel"/>
    <w:tmpl w:val="10641FB4"/>
    <w:lvl w:ilvl="0" w:tplc="BA501898">
      <w:start w:val="1"/>
      <w:numFmt w:val="decimal"/>
      <w:lvlText w:val="%1."/>
      <w:lvlJc w:val="left"/>
      <w:pPr>
        <w:ind w:left="1800" w:hanging="360"/>
      </w:pPr>
      <w:rPr>
        <w:rFonts w:hint="default"/>
        <w:b w:val="0"/>
        <w:i w:val="0"/>
        <w:color w:val="auto"/>
      </w:rPr>
    </w:lvl>
    <w:lvl w:ilvl="1" w:tplc="04090001">
      <w:start w:val="1"/>
      <w:numFmt w:val="bullet"/>
      <w:lvlText w:val=""/>
      <w:lvlJc w:val="left"/>
      <w:pPr>
        <w:ind w:left="2340" w:hanging="360"/>
      </w:pPr>
      <w:rPr>
        <w:rFonts w:ascii="Symbol" w:hAnsi="Symbol" w:hint="default"/>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31B11DE3"/>
    <w:multiLevelType w:val="hybridMultilevel"/>
    <w:tmpl w:val="51ACC48A"/>
    <w:lvl w:ilvl="0" w:tplc="BA501898">
      <w:start w:val="1"/>
      <w:numFmt w:val="decimal"/>
      <w:lvlText w:val="%1."/>
      <w:lvlJc w:val="left"/>
      <w:pPr>
        <w:ind w:left="1980" w:hanging="360"/>
      </w:pPr>
      <w:rPr>
        <w:rFonts w:hint="default"/>
        <w:b w:val="0"/>
        <w:i w:val="0"/>
        <w:color w:val="auto"/>
      </w:rPr>
    </w:lvl>
    <w:lvl w:ilvl="1" w:tplc="04090001">
      <w:start w:val="1"/>
      <w:numFmt w:val="bullet"/>
      <w:lvlText w:val=""/>
      <w:lvlJc w:val="left"/>
      <w:pPr>
        <w:ind w:left="1530" w:hanging="360"/>
      </w:pPr>
      <w:rPr>
        <w:rFonts w:ascii="Symbol" w:hAnsi="Symbol" w:cs="Symbol" w:hint="default"/>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322B4AF5"/>
    <w:multiLevelType w:val="hybridMultilevel"/>
    <w:tmpl w:val="259AFF8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4A2C352C"/>
    <w:multiLevelType w:val="hybridMultilevel"/>
    <w:tmpl w:val="2FE6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82D63"/>
    <w:multiLevelType w:val="hybridMultilevel"/>
    <w:tmpl w:val="EE5CF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78923FC"/>
    <w:multiLevelType w:val="multilevel"/>
    <w:tmpl w:val="4FC2495E"/>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hint="default"/>
        <w:b w:val="0"/>
        <w:i w:val="0"/>
      </w:rPr>
    </w:lvl>
    <w:lvl w:ilvl="2">
      <w:start w:val="1"/>
      <w:numFmt w:val="lowerRoman"/>
      <w:lvlText w:val="%3."/>
      <w:lvlJc w:val="left"/>
      <w:pPr>
        <w:ind w:left="1080" w:hanging="360"/>
      </w:pPr>
      <w:rPr>
        <w:i w:val="0"/>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02F"/>
    <w:rsid w:val="000569A9"/>
    <w:rsid w:val="00085973"/>
    <w:rsid w:val="0009041B"/>
    <w:rsid w:val="000934D3"/>
    <w:rsid w:val="000E26BC"/>
    <w:rsid w:val="000E4A7F"/>
    <w:rsid w:val="00101BBC"/>
    <w:rsid w:val="00141C0A"/>
    <w:rsid w:val="001A468B"/>
    <w:rsid w:val="001A5229"/>
    <w:rsid w:val="001D24EB"/>
    <w:rsid w:val="001D3DA9"/>
    <w:rsid w:val="00204F1F"/>
    <w:rsid w:val="00236179"/>
    <w:rsid w:val="002922D7"/>
    <w:rsid w:val="002979BB"/>
    <w:rsid w:val="002D0B57"/>
    <w:rsid w:val="00335474"/>
    <w:rsid w:val="003A0D20"/>
    <w:rsid w:val="003B5480"/>
    <w:rsid w:val="00464B3F"/>
    <w:rsid w:val="004A0E3B"/>
    <w:rsid w:val="004D0FF3"/>
    <w:rsid w:val="004F171A"/>
    <w:rsid w:val="005000DD"/>
    <w:rsid w:val="00515ABE"/>
    <w:rsid w:val="00580063"/>
    <w:rsid w:val="005C5E39"/>
    <w:rsid w:val="006047D7"/>
    <w:rsid w:val="00621A59"/>
    <w:rsid w:val="00630BE1"/>
    <w:rsid w:val="00635F28"/>
    <w:rsid w:val="00647583"/>
    <w:rsid w:val="0068311C"/>
    <w:rsid w:val="00685280"/>
    <w:rsid w:val="006F3C5D"/>
    <w:rsid w:val="00703816"/>
    <w:rsid w:val="00716C42"/>
    <w:rsid w:val="00782D16"/>
    <w:rsid w:val="007930BB"/>
    <w:rsid w:val="007B4DDC"/>
    <w:rsid w:val="008039C4"/>
    <w:rsid w:val="008566CC"/>
    <w:rsid w:val="00875FA4"/>
    <w:rsid w:val="00894ABA"/>
    <w:rsid w:val="008C402F"/>
    <w:rsid w:val="008D0746"/>
    <w:rsid w:val="009056A5"/>
    <w:rsid w:val="009363D3"/>
    <w:rsid w:val="00937D67"/>
    <w:rsid w:val="009A1DCE"/>
    <w:rsid w:val="009A4DF5"/>
    <w:rsid w:val="00A26307"/>
    <w:rsid w:val="00A56EE8"/>
    <w:rsid w:val="00AB6351"/>
    <w:rsid w:val="00B31870"/>
    <w:rsid w:val="00C44721"/>
    <w:rsid w:val="00C449E1"/>
    <w:rsid w:val="00C66FD2"/>
    <w:rsid w:val="00C76568"/>
    <w:rsid w:val="00C947BE"/>
    <w:rsid w:val="00C9765B"/>
    <w:rsid w:val="00CD1B19"/>
    <w:rsid w:val="00D46112"/>
    <w:rsid w:val="00DA6CCA"/>
    <w:rsid w:val="00DB3B07"/>
    <w:rsid w:val="00DB40BC"/>
    <w:rsid w:val="00DC6ADF"/>
    <w:rsid w:val="00E00551"/>
    <w:rsid w:val="00E849F3"/>
    <w:rsid w:val="00E921D0"/>
    <w:rsid w:val="00E9225D"/>
    <w:rsid w:val="00EC48BB"/>
    <w:rsid w:val="00F10A62"/>
    <w:rsid w:val="00F208C0"/>
    <w:rsid w:val="00F93AE4"/>
    <w:rsid w:val="00F93C6A"/>
    <w:rsid w:val="00FA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0CB45E34"/>
  <w15:chartTrackingRefBased/>
  <w15:docId w15:val="{DE5B3034-FEA7-6B45-8409-2BE6D061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02F"/>
    <w:pPr>
      <w:tabs>
        <w:tab w:val="center" w:pos="4680"/>
        <w:tab w:val="right" w:pos="9360"/>
      </w:tabs>
    </w:pPr>
  </w:style>
  <w:style w:type="character" w:customStyle="1" w:styleId="HeaderChar">
    <w:name w:val="Header Char"/>
    <w:basedOn w:val="DefaultParagraphFont"/>
    <w:link w:val="Header"/>
    <w:uiPriority w:val="99"/>
    <w:rsid w:val="008C402F"/>
  </w:style>
  <w:style w:type="paragraph" w:styleId="Footer">
    <w:name w:val="footer"/>
    <w:basedOn w:val="Normal"/>
    <w:link w:val="FooterChar"/>
    <w:uiPriority w:val="99"/>
    <w:unhideWhenUsed/>
    <w:rsid w:val="008C402F"/>
    <w:pPr>
      <w:tabs>
        <w:tab w:val="center" w:pos="4680"/>
        <w:tab w:val="right" w:pos="9360"/>
      </w:tabs>
    </w:pPr>
  </w:style>
  <w:style w:type="character" w:customStyle="1" w:styleId="FooterChar">
    <w:name w:val="Footer Char"/>
    <w:basedOn w:val="DefaultParagraphFont"/>
    <w:link w:val="Footer"/>
    <w:uiPriority w:val="99"/>
    <w:rsid w:val="008C402F"/>
  </w:style>
  <w:style w:type="character" w:styleId="Hyperlink">
    <w:name w:val="Hyperlink"/>
    <w:basedOn w:val="DefaultParagraphFont"/>
    <w:uiPriority w:val="99"/>
    <w:unhideWhenUsed/>
    <w:rsid w:val="00647583"/>
    <w:rPr>
      <w:color w:val="0563C1" w:themeColor="hyperlink"/>
      <w:u w:val="single"/>
    </w:rPr>
  </w:style>
  <w:style w:type="paragraph" w:styleId="ListParagraph">
    <w:name w:val="List Paragraph"/>
    <w:basedOn w:val="Normal"/>
    <w:link w:val="ListParagraphChar"/>
    <w:uiPriority w:val="34"/>
    <w:qFormat/>
    <w:rsid w:val="002979BB"/>
    <w:pPr>
      <w:spacing w:after="200" w:line="276" w:lineRule="auto"/>
      <w:ind w:left="720"/>
      <w:contextualSpacing/>
    </w:pPr>
    <w:rPr>
      <w:sz w:val="22"/>
      <w:szCs w:val="22"/>
    </w:rPr>
  </w:style>
  <w:style w:type="paragraph" w:styleId="CommentText">
    <w:name w:val="annotation text"/>
    <w:basedOn w:val="Normal"/>
    <w:link w:val="CommentTextChar"/>
    <w:uiPriority w:val="99"/>
    <w:unhideWhenUsed/>
    <w:rsid w:val="002979BB"/>
    <w:pPr>
      <w:spacing w:after="200"/>
    </w:pPr>
    <w:rPr>
      <w:sz w:val="20"/>
      <w:szCs w:val="20"/>
    </w:rPr>
  </w:style>
  <w:style w:type="character" w:customStyle="1" w:styleId="CommentTextChar">
    <w:name w:val="Comment Text Char"/>
    <w:basedOn w:val="DefaultParagraphFont"/>
    <w:link w:val="CommentText"/>
    <w:uiPriority w:val="99"/>
    <w:rsid w:val="002979BB"/>
    <w:rPr>
      <w:sz w:val="20"/>
      <w:szCs w:val="20"/>
    </w:rPr>
  </w:style>
  <w:style w:type="character" w:customStyle="1" w:styleId="ListParagraphChar">
    <w:name w:val="List Paragraph Char"/>
    <w:basedOn w:val="DefaultParagraphFont"/>
    <w:link w:val="ListParagraph"/>
    <w:uiPriority w:val="34"/>
    <w:rsid w:val="002979BB"/>
    <w:rPr>
      <w:sz w:val="22"/>
      <w:szCs w:val="22"/>
    </w:rPr>
  </w:style>
  <w:style w:type="paragraph" w:customStyle="1" w:styleId="Default">
    <w:name w:val="Default"/>
    <w:rsid w:val="00F93AE4"/>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F93AE4"/>
    <w:pPr>
      <w:spacing w:before="100" w:beforeAutospacing="1" w:after="100" w:afterAutospacing="1"/>
    </w:pPr>
    <w:rPr>
      <w:rFonts w:ascii="Times New Roman" w:eastAsia="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Draft Referral - 2021 Summer National Meeting</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Referral - 2021 Summer National Meeting</dc:title>
  <dc:subject>GCC Consistency - 2021 Summer National Meeting</dc:subject>
  <dc:creator>Draft Referral - 2021 Summer National Meeting</dc:creator>
  <cp:keywords/>
  <dc:description/>
  <cp:lastModifiedBy>Daveline, Dan</cp:lastModifiedBy>
  <cp:revision>15</cp:revision>
  <dcterms:created xsi:type="dcterms:W3CDTF">2021-06-02T12:16:00Z</dcterms:created>
  <dcterms:modified xsi:type="dcterms:W3CDTF">2021-07-26T18:36:00Z</dcterms:modified>
</cp:coreProperties>
</file>