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29105" w14:textId="3F429D7E" w:rsidR="000B6E39" w:rsidRPr="001F052E" w:rsidRDefault="000B6E39" w:rsidP="0023400A">
      <w:pPr>
        <w:jc w:val="both"/>
        <w:rPr>
          <w:rFonts w:ascii="Calibri" w:hAnsi="Calibri" w:cs="Calibri"/>
          <w:b/>
          <w:bCs/>
          <w:color w:val="00B050"/>
        </w:rPr>
      </w:pPr>
      <w:r w:rsidRPr="001F052E">
        <w:rPr>
          <w:rFonts w:ascii="Calibri" w:hAnsi="Calibri" w:cs="Calibri"/>
          <w:b/>
          <w:bCs/>
        </w:rPr>
        <w:t xml:space="preserve">Draft </w:t>
      </w:r>
      <w:r w:rsidR="00F87CE4">
        <w:rPr>
          <w:rFonts w:ascii="Calibri" w:hAnsi="Calibri" w:cs="Calibri"/>
          <w:b/>
          <w:bCs/>
        </w:rPr>
        <w:t>June 3</w:t>
      </w:r>
      <w:r w:rsidR="0029777D">
        <w:rPr>
          <w:rFonts w:ascii="Calibri" w:hAnsi="Calibri" w:cs="Calibri"/>
          <w:b/>
          <w:bCs/>
        </w:rPr>
        <w:t>, 2024</w:t>
      </w:r>
    </w:p>
    <w:p w14:paraId="56B827AA" w14:textId="77777777" w:rsidR="0079744E" w:rsidRPr="001F052E" w:rsidRDefault="0079744E" w:rsidP="0023400A">
      <w:pPr>
        <w:jc w:val="both"/>
        <w:rPr>
          <w:rFonts w:ascii="Calibri" w:hAnsi="Calibri" w:cs="Calibri"/>
          <w:b/>
          <w:bCs/>
        </w:rPr>
      </w:pPr>
    </w:p>
    <w:p w14:paraId="6F10135B" w14:textId="3D4677A1" w:rsidR="00946B7C" w:rsidRPr="001F052E" w:rsidRDefault="00946B7C" w:rsidP="0023400A">
      <w:pPr>
        <w:jc w:val="both"/>
        <w:rPr>
          <w:rFonts w:ascii="Calibri" w:hAnsi="Calibri" w:cs="Calibri"/>
          <w:b/>
          <w:bCs/>
        </w:rPr>
      </w:pPr>
      <w:r w:rsidRPr="001F052E">
        <w:rPr>
          <w:rFonts w:ascii="Calibri" w:hAnsi="Calibri" w:cs="Calibri"/>
          <w:b/>
          <w:bCs/>
        </w:rPr>
        <w:t>Accelerated Underwriting (A) Working Group</w:t>
      </w:r>
    </w:p>
    <w:p w14:paraId="00DBA2EB" w14:textId="5EBBF784" w:rsidR="00946B7C" w:rsidRPr="001F052E" w:rsidRDefault="00946B7C" w:rsidP="0023400A">
      <w:pPr>
        <w:jc w:val="both"/>
        <w:rPr>
          <w:rFonts w:ascii="Calibri" w:hAnsi="Calibri" w:cs="Calibri"/>
          <w:b/>
          <w:bCs/>
        </w:rPr>
      </w:pPr>
      <w:r w:rsidRPr="001F052E">
        <w:rPr>
          <w:rFonts w:ascii="Calibri" w:hAnsi="Calibri" w:cs="Calibri"/>
          <w:b/>
          <w:bCs/>
        </w:rPr>
        <w:t>Ad Hoc Drafting Subgroup</w:t>
      </w:r>
    </w:p>
    <w:p w14:paraId="0AB24F5F" w14:textId="5AAD388D" w:rsidR="00946B7C" w:rsidRPr="001F052E" w:rsidRDefault="00946B7C" w:rsidP="0023400A">
      <w:pPr>
        <w:jc w:val="both"/>
        <w:rPr>
          <w:rFonts w:ascii="Calibri" w:hAnsi="Calibri" w:cs="Calibri"/>
          <w:b/>
          <w:bCs/>
        </w:rPr>
      </w:pPr>
      <w:r w:rsidRPr="001F052E">
        <w:rPr>
          <w:rFonts w:ascii="Calibri" w:hAnsi="Calibri" w:cs="Calibri"/>
          <w:b/>
          <w:bCs/>
        </w:rPr>
        <w:t xml:space="preserve">Regulatory Guidance and </w:t>
      </w:r>
      <w:r w:rsidR="009C26D9" w:rsidRPr="001F052E">
        <w:rPr>
          <w:rFonts w:ascii="Calibri" w:hAnsi="Calibri" w:cs="Calibri"/>
          <w:b/>
          <w:bCs/>
        </w:rPr>
        <w:t>Consideration</w:t>
      </w:r>
      <w:r w:rsidRPr="001F052E">
        <w:rPr>
          <w:rFonts w:ascii="Calibri" w:hAnsi="Calibri" w:cs="Calibri"/>
          <w:b/>
          <w:bCs/>
        </w:rPr>
        <w:t xml:space="preserve">s </w:t>
      </w:r>
    </w:p>
    <w:p w14:paraId="7DF864F8" w14:textId="77777777" w:rsidR="00946B7C" w:rsidRDefault="00946B7C" w:rsidP="0023400A">
      <w:pPr>
        <w:jc w:val="both"/>
        <w:rPr>
          <w:rFonts w:ascii="Calibri" w:hAnsi="Calibri" w:cs="Calibri"/>
          <w:b/>
          <w:bCs/>
        </w:rPr>
      </w:pPr>
    </w:p>
    <w:p w14:paraId="7EBA33D8" w14:textId="77777777" w:rsidR="0011182F" w:rsidRPr="009B5957" w:rsidRDefault="0011182F" w:rsidP="0011182F">
      <w:pPr>
        <w:jc w:val="both"/>
        <w:rPr>
          <w:rFonts w:ascii="Calibri" w:hAnsi="Calibri" w:cs="Calibri"/>
        </w:rPr>
      </w:pPr>
    </w:p>
    <w:p w14:paraId="4863D99C" w14:textId="0DC84B74" w:rsidR="0011182F" w:rsidRPr="009B5957" w:rsidRDefault="00CB36DD" w:rsidP="0011182F">
      <w:pPr>
        <w:jc w:val="both"/>
        <w:rPr>
          <w:rFonts w:ascii="Calibri" w:hAnsi="Calibri" w:cs="Calibri"/>
        </w:rPr>
      </w:pPr>
      <w:r>
        <w:rPr>
          <w:rFonts w:ascii="Calibri" w:hAnsi="Calibri" w:cs="Calibri"/>
        </w:rPr>
        <w:t>The Accelerated Underwriting (A) Working Group offers the following</w:t>
      </w:r>
      <w:r w:rsidR="00F1245D">
        <w:rPr>
          <w:rFonts w:ascii="Calibri" w:hAnsi="Calibri" w:cs="Calibri"/>
        </w:rPr>
        <w:t xml:space="preserve"> regulatory guidance for state </w:t>
      </w:r>
      <w:r w:rsidR="00355FDC">
        <w:rPr>
          <w:rFonts w:ascii="Calibri" w:hAnsi="Calibri" w:cs="Calibri"/>
        </w:rPr>
        <w:t>Departments</w:t>
      </w:r>
      <w:r w:rsidR="00F1245D">
        <w:rPr>
          <w:rFonts w:ascii="Calibri" w:hAnsi="Calibri" w:cs="Calibri"/>
        </w:rPr>
        <w:t xml:space="preserve"> of Insurance </w:t>
      </w:r>
      <w:r w:rsidR="0011182F" w:rsidRPr="009B5957">
        <w:rPr>
          <w:rFonts w:ascii="Calibri" w:hAnsi="Calibri" w:cs="Calibri"/>
        </w:rPr>
        <w:t xml:space="preserve"> </w:t>
      </w:r>
      <w:r w:rsidR="00355FDC">
        <w:rPr>
          <w:rFonts w:ascii="Calibri" w:hAnsi="Calibri" w:cs="Calibri"/>
        </w:rPr>
        <w:t>(</w:t>
      </w:r>
      <w:r w:rsidR="0011182F" w:rsidRPr="009B5957">
        <w:rPr>
          <w:rFonts w:ascii="Calibri" w:hAnsi="Calibri" w:cs="Calibri"/>
        </w:rPr>
        <w:t>DOIs</w:t>
      </w:r>
      <w:r w:rsidR="00355FDC">
        <w:rPr>
          <w:rFonts w:ascii="Calibri" w:hAnsi="Calibri" w:cs="Calibri"/>
        </w:rPr>
        <w:t>)</w:t>
      </w:r>
      <w:r w:rsidR="0011182F" w:rsidRPr="009B5957">
        <w:rPr>
          <w:rFonts w:ascii="Calibri" w:hAnsi="Calibri" w:cs="Calibri"/>
        </w:rPr>
        <w:t xml:space="preserve"> to use when reviewing</w:t>
      </w:r>
      <w:r w:rsidR="00BA7C18">
        <w:rPr>
          <w:rFonts w:ascii="Calibri" w:hAnsi="Calibri" w:cs="Calibri"/>
        </w:rPr>
        <w:t xml:space="preserve"> life insurer’s</w:t>
      </w:r>
      <w:r w:rsidR="0011182F" w:rsidRPr="009B5957">
        <w:rPr>
          <w:rFonts w:ascii="Calibri" w:hAnsi="Calibri" w:cs="Calibri"/>
        </w:rPr>
        <w:t xml:space="preserve"> </w:t>
      </w:r>
      <w:r w:rsidR="00C60152">
        <w:rPr>
          <w:rFonts w:ascii="Calibri" w:hAnsi="Calibri" w:cs="Calibri"/>
        </w:rPr>
        <w:t xml:space="preserve">use of </w:t>
      </w:r>
      <w:r w:rsidR="0011182F" w:rsidRPr="009B5957">
        <w:rPr>
          <w:rFonts w:ascii="Calibri" w:hAnsi="Calibri" w:cs="Calibri"/>
        </w:rPr>
        <w:t xml:space="preserve">accelerated underwriting programs. </w:t>
      </w:r>
      <w:r w:rsidR="004A20C3">
        <w:rPr>
          <w:rFonts w:ascii="Calibri" w:hAnsi="Calibri" w:cs="Calibri"/>
        </w:rPr>
        <w:t xml:space="preserve">The </w:t>
      </w:r>
      <w:r w:rsidR="005D4443">
        <w:rPr>
          <w:rFonts w:ascii="Calibri" w:hAnsi="Calibri" w:cs="Calibri"/>
        </w:rPr>
        <w:t>regulatory</w:t>
      </w:r>
      <w:r w:rsidR="001812B4">
        <w:rPr>
          <w:rFonts w:ascii="Calibri" w:hAnsi="Calibri" w:cs="Calibri"/>
        </w:rPr>
        <w:t xml:space="preserve"> guidance is </w:t>
      </w:r>
      <w:r w:rsidR="005D4443">
        <w:rPr>
          <w:rFonts w:ascii="Calibri" w:hAnsi="Calibri" w:cs="Calibri"/>
        </w:rPr>
        <w:t xml:space="preserve">designed to provide a </w:t>
      </w:r>
      <w:r w:rsidR="006F509B">
        <w:rPr>
          <w:rFonts w:ascii="Calibri" w:hAnsi="Calibri" w:cs="Calibri"/>
        </w:rPr>
        <w:t>framework</w:t>
      </w:r>
      <w:r w:rsidR="00ED1A1D">
        <w:rPr>
          <w:rFonts w:ascii="Calibri" w:hAnsi="Calibri" w:cs="Calibri"/>
        </w:rPr>
        <w:t xml:space="preserve"> </w:t>
      </w:r>
      <w:r w:rsidR="002E1596">
        <w:rPr>
          <w:rFonts w:ascii="Calibri" w:hAnsi="Calibri" w:cs="Calibri"/>
        </w:rPr>
        <w:t xml:space="preserve">for regulators </w:t>
      </w:r>
      <w:r w:rsidR="00ED1A1D">
        <w:rPr>
          <w:rFonts w:ascii="Calibri" w:hAnsi="Calibri" w:cs="Calibri"/>
        </w:rPr>
        <w:t>to reference</w:t>
      </w:r>
      <w:r w:rsidR="002E1596">
        <w:rPr>
          <w:rFonts w:ascii="Calibri" w:hAnsi="Calibri" w:cs="Calibri"/>
        </w:rPr>
        <w:t xml:space="preserve"> and</w:t>
      </w:r>
      <w:r w:rsidR="002554A3">
        <w:rPr>
          <w:rFonts w:ascii="Calibri" w:hAnsi="Calibri" w:cs="Calibri"/>
        </w:rPr>
        <w:t xml:space="preserve"> is divided </w:t>
      </w:r>
      <w:r w:rsidR="00296CB9">
        <w:rPr>
          <w:rFonts w:ascii="Calibri" w:hAnsi="Calibri" w:cs="Calibri"/>
        </w:rPr>
        <w:t>into</w:t>
      </w:r>
      <w:r w:rsidR="002554A3">
        <w:rPr>
          <w:rFonts w:ascii="Calibri" w:hAnsi="Calibri" w:cs="Calibri"/>
        </w:rPr>
        <w:t xml:space="preserve"> three areas of focus: </w:t>
      </w:r>
      <w:r w:rsidR="006F509B">
        <w:rPr>
          <w:rFonts w:ascii="Calibri" w:hAnsi="Calibri" w:cs="Calibri"/>
        </w:rPr>
        <w:t xml:space="preserve"> </w:t>
      </w:r>
      <w:r w:rsidR="002554A3">
        <w:rPr>
          <w:rFonts w:ascii="Calibri" w:hAnsi="Calibri" w:cs="Calibri"/>
        </w:rPr>
        <w:t xml:space="preserve">A) </w:t>
      </w:r>
      <w:r w:rsidR="004A20C3">
        <w:rPr>
          <w:rFonts w:ascii="Calibri" w:hAnsi="Calibri" w:cs="Calibri"/>
        </w:rPr>
        <w:t>regulatory considerations</w:t>
      </w:r>
      <w:r w:rsidR="001966DC">
        <w:rPr>
          <w:rFonts w:ascii="Calibri" w:hAnsi="Calibri" w:cs="Calibri"/>
        </w:rPr>
        <w:t>;</w:t>
      </w:r>
      <w:r w:rsidR="00693102">
        <w:rPr>
          <w:rFonts w:ascii="Calibri" w:hAnsi="Calibri" w:cs="Calibri"/>
        </w:rPr>
        <w:t xml:space="preserve"> </w:t>
      </w:r>
      <w:r w:rsidR="002554A3">
        <w:rPr>
          <w:rFonts w:ascii="Calibri" w:hAnsi="Calibri" w:cs="Calibri"/>
        </w:rPr>
        <w:t>B)</w:t>
      </w:r>
      <w:r w:rsidR="004A20C3">
        <w:rPr>
          <w:rFonts w:ascii="Calibri" w:hAnsi="Calibri" w:cs="Calibri"/>
        </w:rPr>
        <w:t xml:space="preserve"> strategies for review</w:t>
      </w:r>
      <w:r w:rsidR="001966DC">
        <w:rPr>
          <w:rFonts w:ascii="Calibri" w:hAnsi="Calibri" w:cs="Calibri"/>
        </w:rPr>
        <w:t>;</w:t>
      </w:r>
      <w:r w:rsidR="004A20C3">
        <w:rPr>
          <w:rFonts w:ascii="Calibri" w:hAnsi="Calibri" w:cs="Calibri"/>
        </w:rPr>
        <w:t xml:space="preserve"> and </w:t>
      </w:r>
      <w:r w:rsidR="002554A3">
        <w:rPr>
          <w:rFonts w:ascii="Calibri" w:hAnsi="Calibri" w:cs="Calibri"/>
        </w:rPr>
        <w:t xml:space="preserve">C) </w:t>
      </w:r>
      <w:r w:rsidR="004A20C3">
        <w:rPr>
          <w:rFonts w:ascii="Calibri" w:hAnsi="Calibri" w:cs="Calibri"/>
        </w:rPr>
        <w:t>requests for information</w:t>
      </w:r>
      <w:r w:rsidR="001966DC">
        <w:rPr>
          <w:rFonts w:ascii="Calibri" w:hAnsi="Calibri" w:cs="Calibri"/>
        </w:rPr>
        <w:t>.</w:t>
      </w:r>
    </w:p>
    <w:p w14:paraId="399FFE21" w14:textId="77777777" w:rsidR="0011182F" w:rsidRPr="009B5957" w:rsidRDefault="0011182F" w:rsidP="0011182F">
      <w:pPr>
        <w:jc w:val="both"/>
        <w:rPr>
          <w:rFonts w:ascii="Calibri" w:hAnsi="Calibri" w:cs="Calibri"/>
        </w:rPr>
      </w:pPr>
    </w:p>
    <w:p w14:paraId="49E50444" w14:textId="05AAAC43" w:rsidR="0011182F" w:rsidRDefault="003C2E11" w:rsidP="0011182F">
      <w:pPr>
        <w:jc w:val="both"/>
        <w:rPr>
          <w:rFonts w:ascii="Calibri" w:hAnsi="Calibri" w:cs="Calibri"/>
        </w:rPr>
      </w:pPr>
      <w:r>
        <w:rPr>
          <w:rFonts w:ascii="Calibri" w:hAnsi="Calibri" w:cs="Calibri"/>
        </w:rPr>
        <w:t>Regulators should ensure that accelerated underwriting progra</w:t>
      </w:r>
      <w:r w:rsidR="00D866D0">
        <w:rPr>
          <w:rFonts w:ascii="Calibri" w:hAnsi="Calibri" w:cs="Calibri"/>
        </w:rPr>
        <w:t>m</w:t>
      </w:r>
      <w:r>
        <w:rPr>
          <w:rFonts w:ascii="Calibri" w:hAnsi="Calibri" w:cs="Calibri"/>
        </w:rPr>
        <w:t>s are</w:t>
      </w:r>
      <w:r w:rsidR="00D866D0">
        <w:rPr>
          <w:rFonts w:ascii="Calibri" w:hAnsi="Calibri" w:cs="Calibri"/>
        </w:rPr>
        <w:t xml:space="preserve"> fair, transparent</w:t>
      </w:r>
      <w:r w:rsidR="005C7805">
        <w:rPr>
          <w:rFonts w:ascii="Calibri" w:hAnsi="Calibri" w:cs="Calibri"/>
        </w:rPr>
        <w:t>, safe</w:t>
      </w:r>
      <w:r w:rsidR="00E66B4D">
        <w:rPr>
          <w:rFonts w:ascii="Calibri" w:hAnsi="Calibri" w:cs="Calibri"/>
        </w:rPr>
        <w:t>,</w:t>
      </w:r>
      <w:r w:rsidR="00D866D0">
        <w:rPr>
          <w:rFonts w:ascii="Calibri" w:hAnsi="Calibri" w:cs="Calibri"/>
        </w:rPr>
        <w:t xml:space="preserve"> and secure</w:t>
      </w:r>
      <w:r w:rsidR="00620658">
        <w:rPr>
          <w:rFonts w:ascii="Calibri" w:hAnsi="Calibri" w:cs="Calibri"/>
        </w:rPr>
        <w:t xml:space="preserve"> and </w:t>
      </w:r>
      <w:r w:rsidR="00D866D0">
        <w:rPr>
          <w:rFonts w:ascii="Calibri" w:hAnsi="Calibri" w:cs="Calibri"/>
        </w:rPr>
        <w:t>in compliance with existing law.</w:t>
      </w:r>
      <w:r>
        <w:rPr>
          <w:rFonts w:ascii="Calibri" w:hAnsi="Calibri" w:cs="Calibri"/>
        </w:rPr>
        <w:t xml:space="preserve"> </w:t>
      </w:r>
      <w:r w:rsidR="0011182F" w:rsidRPr="009B5957">
        <w:rPr>
          <w:rFonts w:ascii="Calibri" w:hAnsi="Calibri" w:cs="Calibri"/>
        </w:rPr>
        <w:t>Making sure that the use of accelerated underwriting is fair to consumers is important because its use impacts the availability, access</w:t>
      </w:r>
      <w:r w:rsidR="00E66B4D">
        <w:rPr>
          <w:rFonts w:ascii="Calibri" w:hAnsi="Calibri" w:cs="Calibri"/>
        </w:rPr>
        <w:t>,</w:t>
      </w:r>
      <w:r w:rsidR="0011182F" w:rsidRPr="009B5957">
        <w:rPr>
          <w:rFonts w:ascii="Calibri" w:hAnsi="Calibri" w:cs="Calibri"/>
        </w:rPr>
        <w:t xml:space="preserve"> and affordability of life insurance to consumers. Ensuring that insurers use accelerated underwriting in a transparent manner is important because consumers should understand what personal data is being accessed by insurers and how that data is being used. </w:t>
      </w:r>
      <w:r w:rsidR="00462FEC">
        <w:rPr>
          <w:rFonts w:ascii="Calibri" w:hAnsi="Calibri" w:cs="Calibri"/>
        </w:rPr>
        <w:t>I</w:t>
      </w:r>
      <w:r w:rsidR="0011182F" w:rsidRPr="009B5957">
        <w:rPr>
          <w:rFonts w:ascii="Calibri" w:hAnsi="Calibri" w:cs="Calibri"/>
        </w:rPr>
        <w:t>nsurers accessing sensitive consumer data have a duty to secure that data to protect consumers from the harm of unauthorized disclosure.</w:t>
      </w:r>
      <w:r w:rsidR="00462FEC">
        <w:rPr>
          <w:rFonts w:ascii="Calibri" w:hAnsi="Calibri" w:cs="Calibri"/>
        </w:rPr>
        <w:t xml:space="preserve"> </w:t>
      </w:r>
      <w:r w:rsidR="00285D34">
        <w:rPr>
          <w:rFonts w:ascii="Calibri" w:hAnsi="Calibri" w:cs="Calibri"/>
        </w:rPr>
        <w:t xml:space="preserve">And finally, </w:t>
      </w:r>
      <w:r w:rsidR="00462FEC">
        <w:rPr>
          <w:rFonts w:eastAsia="Times New Roman"/>
        </w:rPr>
        <w:t xml:space="preserve">it is </w:t>
      </w:r>
      <w:r w:rsidR="00EB4674">
        <w:rPr>
          <w:rFonts w:eastAsia="Times New Roman"/>
        </w:rPr>
        <w:t xml:space="preserve">critical </w:t>
      </w:r>
      <w:r w:rsidR="00462FEC">
        <w:rPr>
          <w:rFonts w:eastAsia="Times New Roman"/>
        </w:rPr>
        <w:t xml:space="preserve">that </w:t>
      </w:r>
      <w:r w:rsidR="00E3692B">
        <w:rPr>
          <w:rFonts w:eastAsia="Times New Roman"/>
        </w:rPr>
        <w:t xml:space="preserve">insurers’ </w:t>
      </w:r>
      <w:r w:rsidR="00462FEC">
        <w:rPr>
          <w:rFonts w:eastAsia="Times New Roman"/>
        </w:rPr>
        <w:t xml:space="preserve">use of accelerated underwriting is </w:t>
      </w:r>
      <w:r w:rsidR="00E3692B">
        <w:rPr>
          <w:rFonts w:eastAsia="Times New Roman"/>
        </w:rPr>
        <w:t>in compliance</w:t>
      </w:r>
      <w:r w:rsidR="00462FEC">
        <w:rPr>
          <w:rFonts w:eastAsia="Times New Roman"/>
        </w:rPr>
        <w:t xml:space="preserve"> with all applicable insurance laws and regulation</w:t>
      </w:r>
      <w:r w:rsidR="00E66B4D">
        <w:rPr>
          <w:rFonts w:eastAsia="Times New Roman"/>
        </w:rPr>
        <w:t xml:space="preserve">s. </w:t>
      </w:r>
    </w:p>
    <w:p w14:paraId="6D295105" w14:textId="77777777" w:rsidR="00D91936" w:rsidRDefault="00D91936" w:rsidP="0011182F">
      <w:pPr>
        <w:jc w:val="both"/>
        <w:rPr>
          <w:rFonts w:ascii="Calibri" w:hAnsi="Calibri" w:cs="Calibri"/>
        </w:rPr>
      </w:pPr>
    </w:p>
    <w:p w14:paraId="27AC0D08" w14:textId="0372E906" w:rsidR="00E67E32" w:rsidRPr="001F052E" w:rsidRDefault="00F61F48" w:rsidP="00E67E32">
      <w:pPr>
        <w:jc w:val="both"/>
        <w:rPr>
          <w:rFonts w:ascii="Calibri" w:hAnsi="Calibri" w:cs="Calibri"/>
          <w:iCs/>
        </w:rPr>
      </w:pPr>
      <w:r>
        <w:rPr>
          <w:rFonts w:ascii="Calibri" w:hAnsi="Calibri" w:cs="Calibri"/>
        </w:rPr>
        <w:t>A</w:t>
      </w:r>
      <w:r w:rsidR="00D91936">
        <w:rPr>
          <w:rFonts w:ascii="Calibri" w:hAnsi="Calibri" w:cs="Calibri"/>
        </w:rPr>
        <w:t xml:space="preserve"> “Background”</w:t>
      </w:r>
      <w:r w:rsidR="000064A1">
        <w:rPr>
          <w:rFonts w:ascii="Calibri" w:hAnsi="Calibri" w:cs="Calibri"/>
        </w:rPr>
        <w:t xml:space="preserve"> section </w:t>
      </w:r>
      <w:r>
        <w:rPr>
          <w:rFonts w:ascii="Calibri" w:hAnsi="Calibri" w:cs="Calibri"/>
        </w:rPr>
        <w:t xml:space="preserve">has been included </w:t>
      </w:r>
      <w:r w:rsidR="00E66B4D">
        <w:rPr>
          <w:rFonts w:ascii="Calibri" w:hAnsi="Calibri" w:cs="Calibri"/>
        </w:rPr>
        <w:t xml:space="preserve">starting on page 5 </w:t>
      </w:r>
      <w:r>
        <w:rPr>
          <w:rFonts w:ascii="Calibri" w:hAnsi="Calibri" w:cs="Calibri"/>
        </w:rPr>
        <w:t>to explain the</w:t>
      </w:r>
      <w:r w:rsidR="000064A1">
        <w:rPr>
          <w:rFonts w:ascii="Calibri" w:hAnsi="Calibri" w:cs="Calibri"/>
        </w:rPr>
        <w:t xml:space="preserve"> history of the development of this regulatory guidance</w:t>
      </w:r>
      <w:r w:rsidR="00E775EE">
        <w:rPr>
          <w:rFonts w:ascii="Calibri" w:hAnsi="Calibri" w:cs="Calibri"/>
        </w:rPr>
        <w:t>.</w:t>
      </w:r>
      <w:r w:rsidR="00E86E98">
        <w:rPr>
          <w:rFonts w:ascii="Calibri" w:hAnsi="Calibri" w:cs="Calibri"/>
        </w:rPr>
        <w:t xml:space="preserve"> A chronological list </w:t>
      </w:r>
      <w:r w:rsidR="00764660">
        <w:rPr>
          <w:rFonts w:ascii="Calibri" w:hAnsi="Calibri" w:cs="Calibri"/>
        </w:rPr>
        <w:t xml:space="preserve">of the </w:t>
      </w:r>
      <w:r w:rsidR="00301006">
        <w:rPr>
          <w:rFonts w:ascii="Calibri" w:hAnsi="Calibri" w:cs="Calibri"/>
        </w:rPr>
        <w:t xml:space="preserve">work product from </w:t>
      </w:r>
      <w:r w:rsidR="00301006" w:rsidRPr="00301006">
        <w:rPr>
          <w:rFonts w:ascii="Calibri" w:hAnsi="Calibri" w:cs="Calibri"/>
          <w:iCs/>
        </w:rPr>
        <w:t xml:space="preserve">other NAIC groups </w:t>
      </w:r>
      <w:r w:rsidR="00E86E98">
        <w:rPr>
          <w:rFonts w:ascii="Calibri" w:hAnsi="Calibri" w:cs="Calibri"/>
          <w:iCs/>
        </w:rPr>
        <w:t>addressing</w:t>
      </w:r>
      <w:r w:rsidR="00E86E98" w:rsidRPr="00301006">
        <w:rPr>
          <w:rFonts w:ascii="Calibri" w:hAnsi="Calibri" w:cs="Calibri"/>
          <w:iCs/>
        </w:rPr>
        <w:t xml:space="preserve"> similar</w:t>
      </w:r>
      <w:r w:rsidR="00301006" w:rsidRPr="00301006">
        <w:rPr>
          <w:rFonts w:ascii="Calibri" w:hAnsi="Calibri" w:cs="Calibri"/>
          <w:iCs/>
        </w:rPr>
        <w:t xml:space="preserve"> or overlapping issues related to accelerated underwritin</w:t>
      </w:r>
      <w:r w:rsidR="00292889">
        <w:rPr>
          <w:rFonts w:ascii="Calibri" w:hAnsi="Calibri" w:cs="Calibri"/>
          <w:iCs/>
        </w:rPr>
        <w:t>g</w:t>
      </w:r>
      <w:r w:rsidR="00E775EE">
        <w:rPr>
          <w:rFonts w:ascii="Calibri" w:hAnsi="Calibri" w:cs="Calibri"/>
          <w:iCs/>
        </w:rPr>
        <w:t xml:space="preserve"> also</w:t>
      </w:r>
      <w:r w:rsidR="00292889">
        <w:rPr>
          <w:rFonts w:ascii="Calibri" w:hAnsi="Calibri" w:cs="Calibri"/>
          <w:iCs/>
        </w:rPr>
        <w:t xml:space="preserve"> </w:t>
      </w:r>
      <w:r w:rsidR="00E86E98">
        <w:rPr>
          <w:rFonts w:ascii="Calibri" w:hAnsi="Calibri" w:cs="Calibri"/>
          <w:iCs/>
        </w:rPr>
        <w:t xml:space="preserve">has been included. </w:t>
      </w:r>
      <w:r w:rsidR="00353503">
        <w:rPr>
          <w:rFonts w:ascii="Calibri" w:hAnsi="Calibri" w:cs="Calibri"/>
          <w:iCs/>
        </w:rPr>
        <w:t xml:space="preserve">While this </w:t>
      </w:r>
      <w:r w:rsidR="00E86E98">
        <w:rPr>
          <w:rFonts w:ascii="Calibri" w:hAnsi="Calibri" w:cs="Calibri"/>
          <w:iCs/>
        </w:rPr>
        <w:t xml:space="preserve">entire body of work at the NAIC has </w:t>
      </w:r>
      <w:r w:rsidR="00292889">
        <w:rPr>
          <w:rFonts w:ascii="Calibri" w:hAnsi="Calibri" w:cs="Calibri"/>
          <w:iCs/>
        </w:rPr>
        <w:t>influenced this guidance document</w:t>
      </w:r>
      <w:r w:rsidR="00353503">
        <w:rPr>
          <w:rFonts w:ascii="Calibri" w:hAnsi="Calibri" w:cs="Calibri"/>
          <w:iCs/>
        </w:rPr>
        <w:t>,</w:t>
      </w:r>
      <w:r w:rsidR="005C3B3C">
        <w:rPr>
          <w:rFonts w:ascii="Calibri" w:hAnsi="Calibri" w:cs="Calibri"/>
          <w:iCs/>
        </w:rPr>
        <w:t xml:space="preserve"> </w:t>
      </w:r>
      <w:r w:rsidR="00353503">
        <w:rPr>
          <w:rFonts w:ascii="Calibri" w:hAnsi="Calibri" w:cs="Calibri"/>
          <w:iCs/>
        </w:rPr>
        <w:t>i</w:t>
      </w:r>
      <w:r w:rsidR="00A97D3D">
        <w:rPr>
          <w:rFonts w:ascii="Calibri" w:hAnsi="Calibri" w:cs="Calibri"/>
          <w:iCs/>
        </w:rPr>
        <w:t>n the interest of clarity in this rapidly evolving area, t</w:t>
      </w:r>
      <w:r w:rsidR="00E86E98">
        <w:rPr>
          <w:rFonts w:ascii="Calibri" w:hAnsi="Calibri" w:cs="Calibri"/>
          <w:iCs/>
        </w:rPr>
        <w:t xml:space="preserve">his guidance document </w:t>
      </w:r>
      <w:r w:rsidR="00A97D3D">
        <w:rPr>
          <w:rFonts w:ascii="Calibri" w:hAnsi="Calibri" w:cs="Calibri"/>
          <w:iCs/>
        </w:rPr>
        <w:t xml:space="preserve">includes </w:t>
      </w:r>
      <w:r w:rsidR="00353503">
        <w:rPr>
          <w:rFonts w:ascii="Calibri" w:hAnsi="Calibri" w:cs="Calibri"/>
          <w:iCs/>
        </w:rPr>
        <w:t xml:space="preserve">specific </w:t>
      </w:r>
      <w:r w:rsidR="00A97D3D">
        <w:rPr>
          <w:rFonts w:ascii="Calibri" w:hAnsi="Calibri" w:cs="Calibri"/>
          <w:iCs/>
        </w:rPr>
        <w:t xml:space="preserve">references to the definitions from other work product on which </w:t>
      </w:r>
      <w:r w:rsidR="00C23F70">
        <w:rPr>
          <w:rFonts w:ascii="Calibri" w:hAnsi="Calibri" w:cs="Calibri"/>
          <w:iCs/>
        </w:rPr>
        <w:t xml:space="preserve">the regulatory guidance </w:t>
      </w:r>
      <w:r w:rsidR="00A97D3D">
        <w:rPr>
          <w:rFonts w:ascii="Calibri" w:hAnsi="Calibri" w:cs="Calibri"/>
          <w:iCs/>
        </w:rPr>
        <w:t xml:space="preserve">relies. </w:t>
      </w:r>
    </w:p>
    <w:p w14:paraId="2EC9058D" w14:textId="467F9D6D" w:rsidR="00A97D3D" w:rsidRDefault="00301006" w:rsidP="00301006">
      <w:pPr>
        <w:jc w:val="both"/>
        <w:rPr>
          <w:rFonts w:ascii="Calibri" w:hAnsi="Calibri" w:cs="Calibri"/>
          <w:iCs/>
        </w:rPr>
      </w:pPr>
      <w:r>
        <w:rPr>
          <w:rFonts w:ascii="Calibri" w:hAnsi="Calibri" w:cs="Calibri"/>
          <w:iCs/>
        </w:rPr>
        <w:t xml:space="preserve"> </w:t>
      </w:r>
    </w:p>
    <w:p w14:paraId="6B5C1431" w14:textId="1D1C287D" w:rsidR="00301006" w:rsidRPr="00301006" w:rsidRDefault="00A97D3D" w:rsidP="00E66B4D">
      <w:pPr>
        <w:spacing w:after="160" w:line="259" w:lineRule="auto"/>
        <w:rPr>
          <w:rFonts w:ascii="Calibri" w:hAnsi="Calibri" w:cs="Calibri"/>
          <w:iCs/>
        </w:rPr>
      </w:pPr>
      <w:r>
        <w:rPr>
          <w:rFonts w:ascii="Calibri" w:hAnsi="Calibri" w:cs="Calibri"/>
          <w:iCs/>
        </w:rPr>
        <w:br w:type="page"/>
      </w:r>
    </w:p>
    <w:p w14:paraId="657726E8" w14:textId="77777777" w:rsidR="000064A1" w:rsidRPr="000064A1" w:rsidRDefault="000064A1" w:rsidP="00B875CC">
      <w:pPr>
        <w:jc w:val="center"/>
        <w:rPr>
          <w:rFonts w:ascii="Calibri" w:hAnsi="Calibri" w:cs="Calibri"/>
          <w:b/>
          <w:bCs/>
        </w:rPr>
      </w:pPr>
      <w:r w:rsidRPr="000064A1">
        <w:rPr>
          <w:rFonts w:ascii="Calibri" w:hAnsi="Calibri" w:cs="Calibri"/>
          <w:b/>
          <w:bCs/>
        </w:rPr>
        <w:lastRenderedPageBreak/>
        <w:t>Regulatory Guidance</w:t>
      </w:r>
    </w:p>
    <w:p w14:paraId="65EBD021" w14:textId="77777777" w:rsidR="000064A1" w:rsidRPr="009B5957" w:rsidRDefault="000064A1" w:rsidP="0011182F">
      <w:pPr>
        <w:jc w:val="both"/>
        <w:rPr>
          <w:rFonts w:ascii="Calibri" w:hAnsi="Calibri" w:cs="Calibri"/>
        </w:rPr>
      </w:pPr>
    </w:p>
    <w:p w14:paraId="723C321D" w14:textId="3B4CE8BE" w:rsidR="0011182F" w:rsidRPr="009553B2" w:rsidRDefault="0011182F" w:rsidP="0011182F">
      <w:pPr>
        <w:jc w:val="both"/>
        <w:rPr>
          <w:rFonts w:ascii="Calibri" w:hAnsi="Calibri" w:cs="Calibri"/>
        </w:rPr>
      </w:pPr>
      <w:r w:rsidRPr="009553B2">
        <w:rPr>
          <w:rFonts w:ascii="Calibri" w:hAnsi="Calibri" w:cs="Calibri"/>
          <w:b/>
          <w:bCs/>
        </w:rPr>
        <w:t>A</w:t>
      </w:r>
      <w:r w:rsidR="006D40EB">
        <w:rPr>
          <w:rFonts w:ascii="Calibri" w:hAnsi="Calibri" w:cs="Calibri"/>
          <w:b/>
          <w:bCs/>
        </w:rPr>
        <w:t>)</w:t>
      </w:r>
      <w:r w:rsidRPr="009553B2">
        <w:rPr>
          <w:rFonts w:ascii="Calibri" w:hAnsi="Calibri" w:cs="Calibri"/>
          <w:b/>
          <w:bCs/>
        </w:rPr>
        <w:t xml:space="preserve"> Regulatory Considerations</w:t>
      </w:r>
    </w:p>
    <w:p w14:paraId="0A5B800B" w14:textId="77777777" w:rsidR="0011182F" w:rsidRPr="009B5957" w:rsidRDefault="0011182F" w:rsidP="0011182F">
      <w:pPr>
        <w:jc w:val="both"/>
        <w:rPr>
          <w:rFonts w:ascii="Calibri" w:hAnsi="Calibri" w:cs="Calibri"/>
          <w:color w:val="000000" w:themeColor="text1"/>
        </w:rPr>
      </w:pPr>
    </w:p>
    <w:p w14:paraId="734BE30F" w14:textId="07ABF939" w:rsidR="0011182F" w:rsidRPr="009B5957" w:rsidRDefault="0011182F" w:rsidP="0011182F">
      <w:pPr>
        <w:jc w:val="both"/>
        <w:rPr>
          <w:rFonts w:ascii="Calibri" w:hAnsi="Calibri" w:cs="Calibri"/>
          <w:color w:val="000000" w:themeColor="text1"/>
        </w:rPr>
      </w:pPr>
      <w:r w:rsidRPr="009B5957">
        <w:rPr>
          <w:rFonts w:ascii="Calibri" w:hAnsi="Calibri" w:cs="Calibri"/>
          <w:color w:val="000000" w:themeColor="text1"/>
        </w:rPr>
        <w:t xml:space="preserve">The AUWG developed the following regulatory </w:t>
      </w:r>
      <w:r>
        <w:rPr>
          <w:rFonts w:ascii="Calibri" w:hAnsi="Calibri" w:cs="Calibri"/>
          <w:color w:val="000000" w:themeColor="text1"/>
        </w:rPr>
        <w:t>factors</w:t>
      </w:r>
      <w:r w:rsidRPr="009B5957">
        <w:rPr>
          <w:rFonts w:ascii="Calibri" w:hAnsi="Calibri" w:cs="Calibri"/>
          <w:color w:val="000000" w:themeColor="text1"/>
        </w:rPr>
        <w:t xml:space="preserve"> for DOIs </w:t>
      </w:r>
      <w:r>
        <w:rPr>
          <w:rFonts w:ascii="Calibri" w:hAnsi="Calibri" w:cs="Calibri"/>
          <w:color w:val="000000" w:themeColor="text1"/>
        </w:rPr>
        <w:t xml:space="preserve">to consider </w:t>
      </w:r>
      <w:r w:rsidRPr="009B5957">
        <w:rPr>
          <w:rFonts w:ascii="Calibri" w:hAnsi="Calibri" w:cs="Calibri"/>
          <w:color w:val="000000" w:themeColor="text1"/>
        </w:rPr>
        <w:t xml:space="preserve">when reviewing a life insurer’s use of </w:t>
      </w:r>
      <w:r w:rsidR="00E66B4D">
        <w:rPr>
          <w:rFonts w:ascii="Calibri" w:hAnsi="Calibri" w:cs="Calibri"/>
          <w:color w:val="000000" w:themeColor="text1"/>
        </w:rPr>
        <w:t>A</w:t>
      </w:r>
      <w:r w:rsidRPr="009B5957">
        <w:rPr>
          <w:rFonts w:ascii="Calibri" w:hAnsi="Calibri" w:cs="Calibri"/>
          <w:color w:val="000000" w:themeColor="text1"/>
        </w:rPr>
        <w:t xml:space="preserve">ccelerated </w:t>
      </w:r>
      <w:r w:rsidR="00E66B4D">
        <w:rPr>
          <w:rFonts w:ascii="Calibri" w:hAnsi="Calibri" w:cs="Calibri"/>
          <w:color w:val="000000" w:themeColor="text1"/>
        </w:rPr>
        <w:t>U</w:t>
      </w:r>
      <w:r w:rsidRPr="009B5957">
        <w:rPr>
          <w:rFonts w:ascii="Calibri" w:hAnsi="Calibri" w:cs="Calibri"/>
          <w:color w:val="000000" w:themeColor="text1"/>
        </w:rPr>
        <w:t>nderwriting</w:t>
      </w:r>
      <w:r w:rsidR="001F6FF7">
        <w:rPr>
          <w:rStyle w:val="FootnoteReference"/>
          <w:rFonts w:ascii="Calibri" w:hAnsi="Calibri" w:cs="Calibri"/>
          <w:color w:val="000000" w:themeColor="text1"/>
        </w:rPr>
        <w:footnoteReference w:id="1"/>
      </w:r>
      <w:r w:rsidRPr="009B5957">
        <w:rPr>
          <w:rFonts w:ascii="Calibri" w:hAnsi="Calibri" w:cs="Calibri"/>
          <w:color w:val="000000" w:themeColor="text1"/>
        </w:rPr>
        <w:t xml:space="preserve"> programs:</w:t>
      </w:r>
    </w:p>
    <w:p w14:paraId="4152B813" w14:textId="77777777" w:rsidR="0011182F" w:rsidRPr="009B5957" w:rsidRDefault="0011182F" w:rsidP="0011182F">
      <w:pPr>
        <w:jc w:val="both"/>
        <w:rPr>
          <w:rFonts w:ascii="Calibri" w:hAnsi="Calibri" w:cs="Calibri"/>
          <w:color w:val="000000" w:themeColor="text1"/>
        </w:rPr>
      </w:pPr>
    </w:p>
    <w:p w14:paraId="1D6C9409" w14:textId="77777777" w:rsidR="0011182F" w:rsidRPr="009B5957" w:rsidRDefault="0011182F" w:rsidP="0011182F">
      <w:pPr>
        <w:ind w:left="270" w:hanging="270"/>
        <w:jc w:val="both"/>
        <w:rPr>
          <w:rFonts w:ascii="Calibri" w:hAnsi="Calibri" w:cs="Calibri"/>
        </w:rPr>
      </w:pPr>
      <w:r w:rsidRPr="009B5957">
        <w:rPr>
          <w:rFonts w:ascii="Calibri" w:hAnsi="Calibri" w:cs="Calibri"/>
        </w:rPr>
        <w:t xml:space="preserve">1. Data inputs are transparent, accurate, reliable, and the data itself is evaluated for potential unfair discrimination. </w:t>
      </w:r>
    </w:p>
    <w:p w14:paraId="6977DCA8" w14:textId="77777777" w:rsidR="0011182F" w:rsidRPr="009B5957" w:rsidRDefault="0011182F" w:rsidP="0011182F">
      <w:pPr>
        <w:ind w:left="270" w:hanging="270"/>
        <w:jc w:val="both"/>
        <w:rPr>
          <w:rFonts w:ascii="Calibri" w:hAnsi="Calibri" w:cs="Calibri"/>
        </w:rPr>
      </w:pPr>
    </w:p>
    <w:p w14:paraId="36590C7F" w14:textId="77777777" w:rsidR="0011182F" w:rsidRDefault="0011182F" w:rsidP="0011182F">
      <w:pPr>
        <w:ind w:left="270" w:hanging="270"/>
        <w:contextualSpacing/>
        <w:jc w:val="both"/>
        <w:rPr>
          <w:rFonts w:ascii="Calibri" w:eastAsia="Calibri" w:hAnsi="Calibri" w:cs="Calibri"/>
        </w:rPr>
      </w:pPr>
      <w:r w:rsidRPr="009B5957">
        <w:rPr>
          <w:rFonts w:ascii="Calibri" w:eastAsia="Calibri" w:hAnsi="Calibri" w:cs="Calibri"/>
        </w:rPr>
        <w:t xml:space="preserve">2. External data sources, </w:t>
      </w:r>
      <w:r>
        <w:rPr>
          <w:rFonts w:ascii="Calibri" w:eastAsia="Calibri" w:hAnsi="Calibri" w:cs="Calibri"/>
        </w:rPr>
        <w:t>A</w:t>
      </w:r>
      <w:r w:rsidRPr="009B5957">
        <w:rPr>
          <w:rFonts w:ascii="Calibri" w:eastAsia="Calibri" w:hAnsi="Calibri" w:cs="Calibri"/>
        </w:rPr>
        <w:t>lgorithms</w:t>
      </w:r>
      <w:r>
        <w:rPr>
          <w:rStyle w:val="FootnoteReference"/>
          <w:rFonts w:ascii="Calibri" w:eastAsia="Calibri" w:hAnsi="Calibri" w:cs="Calibri"/>
        </w:rPr>
        <w:footnoteReference w:id="2"/>
      </w:r>
      <w:r w:rsidRPr="009B5957">
        <w:rPr>
          <w:rFonts w:ascii="Calibri" w:eastAsia="Calibri" w:hAnsi="Calibri" w:cs="Calibri"/>
        </w:rPr>
        <w:t xml:space="preserve"> or </w:t>
      </w:r>
      <w:r>
        <w:rPr>
          <w:rFonts w:ascii="Calibri" w:eastAsia="Calibri" w:hAnsi="Calibri" w:cs="Calibri"/>
        </w:rPr>
        <w:t>P</w:t>
      </w:r>
      <w:r w:rsidRPr="009B5957">
        <w:rPr>
          <w:rFonts w:ascii="Calibri" w:eastAsia="Calibri" w:hAnsi="Calibri" w:cs="Calibri"/>
        </w:rPr>
        <w:t xml:space="preserve">redictive </w:t>
      </w:r>
      <w:r>
        <w:rPr>
          <w:rFonts w:ascii="Calibri" w:eastAsia="Calibri" w:hAnsi="Calibri" w:cs="Calibri"/>
        </w:rPr>
        <w:t>M</w:t>
      </w:r>
      <w:r w:rsidRPr="009B5957">
        <w:rPr>
          <w:rFonts w:ascii="Calibri" w:eastAsia="Calibri" w:hAnsi="Calibri" w:cs="Calibri"/>
        </w:rPr>
        <w:t>odels</w:t>
      </w:r>
      <w:r>
        <w:rPr>
          <w:rStyle w:val="FootnoteReference"/>
          <w:rFonts w:ascii="Calibri" w:eastAsia="Calibri" w:hAnsi="Calibri" w:cs="Calibri"/>
        </w:rPr>
        <w:footnoteReference w:id="3"/>
      </w:r>
      <w:r w:rsidRPr="009B5957">
        <w:rPr>
          <w:rFonts w:ascii="Calibri" w:eastAsia="Calibri" w:hAnsi="Calibri" w:cs="Calibri"/>
        </w:rPr>
        <w:t xml:space="preserve"> are based on sound actuarial principles, including a rational explanation why a rating variable is correlated to expected loss or expense, and why that correlation is consistent with the expected direction of the relationship.</w:t>
      </w:r>
      <w:r w:rsidRPr="009B5957">
        <w:rPr>
          <w:rStyle w:val="FootnoteReference"/>
          <w:rFonts w:ascii="Calibri" w:eastAsia="Calibri" w:hAnsi="Calibri" w:cs="Calibri"/>
        </w:rPr>
        <w:footnoteReference w:id="4"/>
      </w:r>
    </w:p>
    <w:p w14:paraId="11413A75" w14:textId="77777777" w:rsidR="0011182F" w:rsidRPr="009B5957" w:rsidRDefault="0011182F" w:rsidP="0011182F">
      <w:pPr>
        <w:ind w:left="270" w:hanging="270"/>
        <w:contextualSpacing/>
        <w:jc w:val="both"/>
        <w:rPr>
          <w:rFonts w:ascii="Calibri" w:eastAsia="Calibri" w:hAnsi="Calibri" w:cs="Calibri"/>
        </w:rPr>
      </w:pPr>
    </w:p>
    <w:p w14:paraId="0E6C5793" w14:textId="08110A49" w:rsidR="0011182F" w:rsidRPr="009B5957" w:rsidRDefault="0011182F" w:rsidP="0011182F">
      <w:pPr>
        <w:ind w:left="270" w:hanging="270"/>
        <w:contextualSpacing/>
        <w:jc w:val="both"/>
        <w:rPr>
          <w:rFonts w:ascii="Calibri" w:eastAsia="Calibri" w:hAnsi="Calibri" w:cs="Calibri"/>
        </w:rPr>
      </w:pPr>
      <w:r w:rsidRPr="009B5957">
        <w:rPr>
          <w:rFonts w:ascii="Calibri" w:eastAsia="Calibri" w:hAnsi="Calibri" w:cs="Calibri"/>
        </w:rPr>
        <w:t xml:space="preserve">3. Predictive </w:t>
      </w:r>
      <w:r>
        <w:rPr>
          <w:rFonts w:ascii="Calibri" w:eastAsia="Calibri" w:hAnsi="Calibri" w:cs="Calibri"/>
        </w:rPr>
        <w:t>M</w:t>
      </w:r>
      <w:r w:rsidRPr="009B5957">
        <w:rPr>
          <w:rFonts w:ascii="Calibri" w:eastAsia="Calibri" w:hAnsi="Calibri" w:cs="Calibri"/>
        </w:rPr>
        <w:t xml:space="preserve">odels or </w:t>
      </w:r>
      <w:r>
        <w:rPr>
          <w:rFonts w:ascii="Calibri" w:eastAsia="Calibri" w:hAnsi="Calibri" w:cs="Calibri"/>
        </w:rPr>
        <w:t>M</w:t>
      </w:r>
      <w:r w:rsidRPr="009B5957">
        <w:rPr>
          <w:rFonts w:ascii="Calibri" w:eastAsia="Calibri" w:hAnsi="Calibri" w:cs="Calibri"/>
        </w:rPr>
        <w:t xml:space="preserve">achine </w:t>
      </w:r>
      <w:r>
        <w:rPr>
          <w:rFonts w:ascii="Calibri" w:eastAsia="Calibri" w:hAnsi="Calibri" w:cs="Calibri"/>
        </w:rPr>
        <w:t>L</w:t>
      </w:r>
      <w:r w:rsidRPr="009B5957">
        <w:rPr>
          <w:rFonts w:ascii="Calibri" w:eastAsia="Calibri" w:hAnsi="Calibri" w:cs="Calibri"/>
        </w:rPr>
        <w:t>earning</w:t>
      </w:r>
      <w:r>
        <w:rPr>
          <w:rStyle w:val="FootnoteReference"/>
          <w:rFonts w:ascii="Calibri" w:eastAsia="Calibri" w:hAnsi="Calibri" w:cs="Calibri"/>
        </w:rPr>
        <w:footnoteReference w:id="5"/>
      </w:r>
      <w:r w:rsidRPr="009B5957">
        <w:rPr>
          <w:rFonts w:ascii="Calibri" w:eastAsia="Calibri" w:hAnsi="Calibri" w:cs="Calibri"/>
        </w:rPr>
        <w:t xml:space="preserve"> </w:t>
      </w:r>
      <w:r>
        <w:rPr>
          <w:rFonts w:ascii="Calibri" w:eastAsia="Calibri" w:hAnsi="Calibri" w:cs="Calibri"/>
        </w:rPr>
        <w:t>A</w:t>
      </w:r>
      <w:r w:rsidRPr="009B5957">
        <w:rPr>
          <w:rFonts w:ascii="Calibri" w:eastAsia="Calibri" w:hAnsi="Calibri" w:cs="Calibri"/>
        </w:rPr>
        <w:t xml:space="preserve">lgorithm(s) within </w:t>
      </w:r>
      <w:r w:rsidR="00E66B4D">
        <w:rPr>
          <w:rFonts w:ascii="Calibri" w:eastAsia="Calibri" w:hAnsi="Calibri" w:cs="Calibri"/>
        </w:rPr>
        <w:t>A</w:t>
      </w:r>
      <w:r w:rsidRPr="009B5957">
        <w:rPr>
          <w:rFonts w:ascii="Calibri" w:eastAsia="Calibri" w:hAnsi="Calibri" w:cs="Calibri"/>
        </w:rPr>
        <w:t xml:space="preserve">ccelerated </w:t>
      </w:r>
      <w:r w:rsidR="00E66B4D">
        <w:rPr>
          <w:rFonts w:ascii="Calibri" w:eastAsia="Calibri" w:hAnsi="Calibri" w:cs="Calibri"/>
        </w:rPr>
        <w:t>U</w:t>
      </w:r>
      <w:r w:rsidRPr="009B5957">
        <w:rPr>
          <w:rFonts w:ascii="Calibri" w:eastAsia="Calibri" w:hAnsi="Calibri" w:cs="Calibri"/>
        </w:rPr>
        <w:t xml:space="preserve">nderwriting accurately assess and price risk. </w:t>
      </w:r>
    </w:p>
    <w:p w14:paraId="6D68574D" w14:textId="77777777" w:rsidR="0011182F" w:rsidRPr="009B5957" w:rsidRDefault="0011182F" w:rsidP="0011182F">
      <w:pPr>
        <w:ind w:left="270" w:hanging="270"/>
        <w:contextualSpacing/>
        <w:jc w:val="both"/>
        <w:rPr>
          <w:rFonts w:ascii="Calibri" w:eastAsia="Calibri" w:hAnsi="Calibri" w:cs="Calibri"/>
        </w:rPr>
      </w:pPr>
    </w:p>
    <w:p w14:paraId="56EA07F4" w14:textId="77777777" w:rsidR="0011182F" w:rsidRPr="009B5957" w:rsidRDefault="0011182F" w:rsidP="0011182F">
      <w:pPr>
        <w:ind w:left="270" w:hanging="270"/>
        <w:contextualSpacing/>
        <w:jc w:val="both"/>
        <w:rPr>
          <w:rFonts w:ascii="Calibri" w:eastAsia="Calibri" w:hAnsi="Calibri" w:cs="Calibri"/>
        </w:rPr>
      </w:pPr>
      <w:r w:rsidRPr="009B5957">
        <w:rPr>
          <w:rFonts w:ascii="Calibri" w:eastAsia="Calibri" w:hAnsi="Calibri" w:cs="Calibri"/>
        </w:rPr>
        <w:t xml:space="preserve">4. Predictive </w:t>
      </w:r>
      <w:r>
        <w:rPr>
          <w:rFonts w:ascii="Calibri" w:eastAsia="Calibri" w:hAnsi="Calibri" w:cs="Calibri"/>
        </w:rPr>
        <w:t>M</w:t>
      </w:r>
      <w:r w:rsidRPr="009B5957">
        <w:rPr>
          <w:rFonts w:ascii="Calibri" w:eastAsia="Calibri" w:hAnsi="Calibri" w:cs="Calibri"/>
        </w:rPr>
        <w:t xml:space="preserve">odels or </w:t>
      </w:r>
      <w:r>
        <w:rPr>
          <w:rFonts w:ascii="Calibri" w:eastAsia="Calibri" w:hAnsi="Calibri" w:cs="Calibri"/>
        </w:rPr>
        <w:t>M</w:t>
      </w:r>
      <w:r w:rsidRPr="009B5957">
        <w:rPr>
          <w:rFonts w:ascii="Calibri" w:eastAsia="Calibri" w:hAnsi="Calibri" w:cs="Calibri"/>
        </w:rPr>
        <w:t xml:space="preserve">achine </w:t>
      </w:r>
      <w:r>
        <w:rPr>
          <w:rFonts w:ascii="Calibri" w:eastAsia="Calibri" w:hAnsi="Calibri" w:cs="Calibri"/>
        </w:rPr>
        <w:t>L</w:t>
      </w:r>
      <w:r w:rsidRPr="009B5957">
        <w:rPr>
          <w:rFonts w:ascii="Calibri" w:eastAsia="Calibri" w:hAnsi="Calibri" w:cs="Calibri"/>
        </w:rPr>
        <w:t xml:space="preserve">earning </w:t>
      </w:r>
      <w:r>
        <w:rPr>
          <w:rFonts w:ascii="Calibri" w:eastAsia="Calibri" w:hAnsi="Calibri" w:cs="Calibri"/>
        </w:rPr>
        <w:t>A</w:t>
      </w:r>
      <w:r w:rsidRPr="009B5957">
        <w:rPr>
          <w:rFonts w:ascii="Calibri" w:eastAsia="Calibri" w:hAnsi="Calibri" w:cs="Calibri"/>
        </w:rPr>
        <w:t xml:space="preserve">lgorithm(s) achieve an outcome that is not unfairly discriminatory. </w:t>
      </w:r>
    </w:p>
    <w:p w14:paraId="6B3FF387" w14:textId="77777777" w:rsidR="0011182F" w:rsidRPr="009B5957" w:rsidRDefault="0011182F" w:rsidP="0011182F">
      <w:pPr>
        <w:ind w:left="270" w:hanging="270"/>
        <w:contextualSpacing/>
        <w:jc w:val="both"/>
        <w:rPr>
          <w:rFonts w:ascii="Calibri" w:eastAsia="Calibri" w:hAnsi="Calibri" w:cs="Calibri"/>
        </w:rPr>
      </w:pPr>
    </w:p>
    <w:p w14:paraId="0F6E84B9" w14:textId="4A67E7E5" w:rsidR="0011182F" w:rsidRPr="009B5957" w:rsidRDefault="0011182F" w:rsidP="0011182F">
      <w:pPr>
        <w:ind w:left="270" w:hanging="270"/>
        <w:contextualSpacing/>
        <w:jc w:val="both"/>
        <w:rPr>
          <w:rFonts w:ascii="Calibri" w:eastAsia="Calibri" w:hAnsi="Calibri" w:cs="Calibri"/>
        </w:rPr>
      </w:pPr>
      <w:r w:rsidRPr="009B5957">
        <w:rPr>
          <w:rFonts w:ascii="Calibri" w:eastAsia="Calibri" w:hAnsi="Calibri" w:cs="Calibri"/>
        </w:rPr>
        <w:t xml:space="preserve">5. Reason(s) for an </w:t>
      </w:r>
      <w:r w:rsidR="00E66B4D">
        <w:rPr>
          <w:rFonts w:ascii="Calibri" w:eastAsia="Calibri" w:hAnsi="Calibri" w:cs="Calibri"/>
        </w:rPr>
        <w:t>A</w:t>
      </w:r>
      <w:r w:rsidRPr="009B5957">
        <w:rPr>
          <w:rFonts w:ascii="Calibri" w:eastAsia="Calibri" w:hAnsi="Calibri" w:cs="Calibri"/>
        </w:rPr>
        <w:t xml:space="preserve">dverse </w:t>
      </w:r>
      <w:r w:rsidR="00E66B4D">
        <w:rPr>
          <w:rFonts w:ascii="Calibri" w:eastAsia="Calibri" w:hAnsi="Calibri" w:cs="Calibri"/>
        </w:rPr>
        <w:t>U</w:t>
      </w:r>
      <w:r w:rsidRPr="009B5957">
        <w:rPr>
          <w:rFonts w:ascii="Calibri" w:eastAsia="Calibri" w:hAnsi="Calibri" w:cs="Calibri"/>
        </w:rPr>
        <w:t xml:space="preserve">nderwriting </w:t>
      </w:r>
      <w:r w:rsidR="00E66B4D">
        <w:rPr>
          <w:rFonts w:ascii="Calibri" w:eastAsia="Calibri" w:hAnsi="Calibri" w:cs="Calibri"/>
        </w:rPr>
        <w:t>D</w:t>
      </w:r>
      <w:r w:rsidRPr="009B5957">
        <w:rPr>
          <w:rFonts w:ascii="Calibri" w:eastAsia="Calibri" w:hAnsi="Calibri" w:cs="Calibri"/>
        </w:rPr>
        <w:t>ecision</w:t>
      </w:r>
      <w:r>
        <w:rPr>
          <w:rStyle w:val="FootnoteReference"/>
          <w:rFonts w:ascii="Calibri" w:hAnsi="Calibri" w:cs="Calibri"/>
          <w:color w:val="000000" w:themeColor="text1"/>
        </w:rPr>
        <w:footnoteReference w:id="6"/>
      </w:r>
      <w:r w:rsidRPr="009B5957">
        <w:rPr>
          <w:rFonts w:ascii="Calibri" w:eastAsia="Calibri" w:hAnsi="Calibri" w:cs="Calibri"/>
        </w:rPr>
        <w:t xml:space="preserve"> are provided to the consumer along with all information upon which the insurer based its </w:t>
      </w:r>
      <w:r w:rsidR="002E0C4B">
        <w:rPr>
          <w:rFonts w:ascii="Calibri" w:eastAsia="Calibri" w:hAnsi="Calibri" w:cs="Calibri"/>
        </w:rPr>
        <w:t>A</w:t>
      </w:r>
      <w:r w:rsidRPr="009B5957">
        <w:rPr>
          <w:rFonts w:ascii="Calibri" w:eastAsia="Calibri" w:hAnsi="Calibri" w:cs="Calibri"/>
        </w:rPr>
        <w:t xml:space="preserve">dverse </w:t>
      </w:r>
      <w:r w:rsidR="002E0C4B">
        <w:rPr>
          <w:rFonts w:ascii="Calibri" w:eastAsia="Calibri" w:hAnsi="Calibri" w:cs="Calibri"/>
        </w:rPr>
        <w:t>U</w:t>
      </w:r>
      <w:r w:rsidRPr="009B5957">
        <w:rPr>
          <w:rFonts w:ascii="Calibri" w:eastAsia="Calibri" w:hAnsi="Calibri" w:cs="Calibri"/>
        </w:rPr>
        <w:t xml:space="preserve">nderwriting </w:t>
      </w:r>
      <w:r w:rsidR="002E0C4B">
        <w:rPr>
          <w:rFonts w:ascii="Calibri" w:eastAsia="Calibri" w:hAnsi="Calibri" w:cs="Calibri"/>
        </w:rPr>
        <w:t>D</w:t>
      </w:r>
      <w:r w:rsidRPr="009B5957">
        <w:rPr>
          <w:rFonts w:ascii="Calibri" w:eastAsia="Calibri" w:hAnsi="Calibri" w:cs="Calibri"/>
        </w:rPr>
        <w:t>ecision.</w:t>
      </w:r>
    </w:p>
    <w:p w14:paraId="1DE6584B" w14:textId="77777777" w:rsidR="0011182F" w:rsidRPr="009B5957" w:rsidRDefault="0011182F" w:rsidP="0011182F">
      <w:pPr>
        <w:ind w:left="270" w:hanging="270"/>
        <w:contextualSpacing/>
        <w:jc w:val="both"/>
        <w:rPr>
          <w:rFonts w:ascii="Calibri" w:eastAsia="Calibri" w:hAnsi="Calibri" w:cs="Calibri"/>
        </w:rPr>
      </w:pPr>
    </w:p>
    <w:p w14:paraId="28D5F9BB" w14:textId="77777777" w:rsidR="0011182F" w:rsidRPr="009B5957" w:rsidRDefault="0011182F" w:rsidP="0011182F">
      <w:pPr>
        <w:ind w:left="270" w:hanging="270"/>
        <w:contextualSpacing/>
        <w:jc w:val="both"/>
        <w:rPr>
          <w:rFonts w:ascii="Calibri" w:eastAsia="Calibri" w:hAnsi="Calibri" w:cs="Calibri"/>
        </w:rPr>
      </w:pPr>
      <w:r w:rsidRPr="009B5957">
        <w:rPr>
          <w:rFonts w:ascii="Calibri" w:eastAsia="Calibri" w:hAnsi="Calibri" w:cs="Calibri"/>
        </w:rPr>
        <w:t xml:space="preserve">6. The insurer establishes and follows procedures to protect the consumer’s privacy and the consumer’s data.  </w:t>
      </w:r>
    </w:p>
    <w:p w14:paraId="33DA5586" w14:textId="77777777" w:rsidR="0011182F" w:rsidRPr="009B5957" w:rsidRDefault="0011182F" w:rsidP="0011182F">
      <w:pPr>
        <w:ind w:left="270" w:hanging="270"/>
        <w:contextualSpacing/>
        <w:jc w:val="both"/>
        <w:rPr>
          <w:rFonts w:ascii="Calibri" w:eastAsia="Calibri" w:hAnsi="Calibri" w:cs="Calibri"/>
        </w:rPr>
      </w:pPr>
    </w:p>
    <w:p w14:paraId="5A0FC04F" w14:textId="77777777" w:rsidR="0011182F" w:rsidRPr="009B5957" w:rsidRDefault="0011182F" w:rsidP="0011182F">
      <w:pPr>
        <w:ind w:left="270" w:hanging="270"/>
        <w:contextualSpacing/>
        <w:jc w:val="both"/>
        <w:rPr>
          <w:rFonts w:ascii="Calibri" w:eastAsia="Calibri" w:hAnsi="Calibri" w:cs="Calibri"/>
        </w:rPr>
      </w:pPr>
      <w:r w:rsidRPr="009B5957">
        <w:rPr>
          <w:rFonts w:ascii="Calibri" w:eastAsia="Calibri" w:hAnsi="Calibri" w:cs="Calibri"/>
        </w:rPr>
        <w:t xml:space="preserve">7. The insurer has a mechanism in place to correct mistakes if found in consumer data.  </w:t>
      </w:r>
    </w:p>
    <w:p w14:paraId="29516D3E" w14:textId="77777777" w:rsidR="0011182F" w:rsidRPr="009B5957" w:rsidRDefault="0011182F" w:rsidP="0011182F">
      <w:pPr>
        <w:ind w:left="270" w:hanging="270"/>
        <w:contextualSpacing/>
        <w:jc w:val="both"/>
        <w:rPr>
          <w:rFonts w:ascii="Calibri" w:eastAsia="Calibri" w:hAnsi="Calibri" w:cs="Calibri"/>
        </w:rPr>
      </w:pPr>
    </w:p>
    <w:p w14:paraId="33D8B57F" w14:textId="77777777" w:rsidR="0011182F" w:rsidRPr="009B5957" w:rsidRDefault="0011182F" w:rsidP="0011182F">
      <w:pPr>
        <w:ind w:left="270" w:hanging="270"/>
        <w:contextualSpacing/>
        <w:jc w:val="both"/>
        <w:rPr>
          <w:rFonts w:ascii="Calibri" w:eastAsia="Calibri" w:hAnsi="Calibri" w:cs="Calibri"/>
        </w:rPr>
      </w:pPr>
      <w:r w:rsidRPr="009B5957">
        <w:rPr>
          <w:rFonts w:ascii="Calibri" w:eastAsia="Calibri" w:hAnsi="Calibri" w:cs="Calibri"/>
        </w:rPr>
        <w:lastRenderedPageBreak/>
        <w:t xml:space="preserve">8. The insurer will produce information upon request as part of regular filing submission reviews or market conduct examinations </w:t>
      </w:r>
      <w:r>
        <w:rPr>
          <w:rFonts w:ascii="Calibri" w:eastAsia="Calibri" w:hAnsi="Calibri" w:cs="Calibri"/>
        </w:rPr>
        <w:t>or actions</w:t>
      </w:r>
      <w:r w:rsidRPr="009B5957">
        <w:rPr>
          <w:rFonts w:ascii="Calibri" w:eastAsia="Calibri" w:hAnsi="Calibri" w:cs="Calibri"/>
        </w:rPr>
        <w:t xml:space="preserve">. </w:t>
      </w:r>
    </w:p>
    <w:p w14:paraId="1BB7980A" w14:textId="77777777" w:rsidR="0011182F" w:rsidRPr="009B5957" w:rsidRDefault="0011182F" w:rsidP="0011182F">
      <w:pPr>
        <w:ind w:left="270" w:hanging="270"/>
        <w:contextualSpacing/>
        <w:jc w:val="both"/>
        <w:rPr>
          <w:rFonts w:ascii="Calibri" w:eastAsia="Calibri" w:hAnsi="Calibri" w:cs="Calibri"/>
        </w:rPr>
      </w:pPr>
    </w:p>
    <w:p w14:paraId="6D50755F" w14:textId="77777777" w:rsidR="0011182F" w:rsidRPr="009B5957" w:rsidRDefault="0011182F" w:rsidP="0011182F">
      <w:pPr>
        <w:ind w:left="270" w:hanging="270"/>
        <w:contextualSpacing/>
        <w:jc w:val="both"/>
        <w:rPr>
          <w:rFonts w:ascii="Calibri" w:eastAsia="Calibri" w:hAnsi="Calibri" w:cs="Calibri"/>
          <w:bCs/>
        </w:rPr>
      </w:pPr>
      <w:r w:rsidRPr="009B5957">
        <w:rPr>
          <w:rFonts w:ascii="Calibri" w:eastAsia="Calibri" w:hAnsi="Calibri" w:cs="Calibri"/>
        </w:rPr>
        <w:t xml:space="preserve">9. The insurer has procedures in place to address the following requirements pertaining to the consumer: </w:t>
      </w:r>
      <w:r w:rsidRPr="009B5957">
        <w:rPr>
          <w:rFonts w:ascii="Calibri" w:eastAsia="Calibri" w:hAnsi="Calibri" w:cs="Calibri"/>
          <w:bCs/>
        </w:rPr>
        <w:t xml:space="preserve">Notice Requirements, </w:t>
      </w:r>
      <w:proofErr w:type="gramStart"/>
      <w:r w:rsidRPr="009B5957">
        <w:rPr>
          <w:rFonts w:ascii="Calibri" w:eastAsia="Calibri" w:hAnsi="Calibri" w:cs="Calibri"/>
          <w:bCs/>
        </w:rPr>
        <w:t>Opting-Out</w:t>
      </w:r>
      <w:proofErr w:type="gramEnd"/>
      <w:r w:rsidRPr="009B5957">
        <w:rPr>
          <w:rFonts w:ascii="Calibri" w:eastAsia="Calibri" w:hAnsi="Calibri" w:cs="Calibri"/>
          <w:bCs/>
        </w:rPr>
        <w:t xml:space="preserve"> of Data Sharing, Correcting or Deleting Information, Data Portability, and Restricting the use of Data.</w:t>
      </w:r>
    </w:p>
    <w:p w14:paraId="42B3B120" w14:textId="77777777" w:rsidR="0011182F" w:rsidRPr="009B5957" w:rsidRDefault="0011182F" w:rsidP="0011182F">
      <w:pPr>
        <w:jc w:val="both"/>
        <w:rPr>
          <w:rFonts w:ascii="Calibri" w:hAnsi="Calibri" w:cs="Calibri"/>
        </w:rPr>
      </w:pPr>
    </w:p>
    <w:p w14:paraId="029EFCF5" w14:textId="047480A9" w:rsidR="0011182F" w:rsidRPr="009B5957" w:rsidRDefault="0011182F" w:rsidP="0011182F">
      <w:pPr>
        <w:jc w:val="both"/>
        <w:rPr>
          <w:rFonts w:ascii="Calibri" w:hAnsi="Calibri" w:cs="Calibri"/>
          <w:b/>
          <w:bCs/>
        </w:rPr>
      </w:pPr>
      <w:r w:rsidRPr="00DA3801">
        <w:rPr>
          <w:rFonts w:ascii="Calibri" w:hAnsi="Calibri" w:cs="Calibri"/>
          <w:b/>
          <w:bCs/>
        </w:rPr>
        <w:t>B</w:t>
      </w:r>
      <w:r w:rsidR="006D40EB">
        <w:rPr>
          <w:rFonts w:ascii="Calibri" w:hAnsi="Calibri" w:cs="Calibri"/>
          <w:b/>
          <w:bCs/>
        </w:rPr>
        <w:t>)</w:t>
      </w:r>
      <w:r w:rsidRPr="00DA3801">
        <w:rPr>
          <w:rFonts w:ascii="Calibri" w:hAnsi="Calibri" w:cs="Calibri"/>
          <w:b/>
          <w:bCs/>
        </w:rPr>
        <w:t xml:space="preserve"> </w:t>
      </w:r>
      <w:r w:rsidRPr="009B5957">
        <w:rPr>
          <w:rFonts w:ascii="Calibri" w:hAnsi="Calibri" w:cs="Calibri"/>
          <w:b/>
          <w:bCs/>
        </w:rPr>
        <w:t>Strategies for Review</w:t>
      </w:r>
    </w:p>
    <w:p w14:paraId="285AFECC" w14:textId="77777777" w:rsidR="0011182F" w:rsidRPr="009B5957" w:rsidRDefault="0011182F" w:rsidP="0011182F">
      <w:pPr>
        <w:jc w:val="both"/>
        <w:rPr>
          <w:rFonts w:ascii="Calibri" w:hAnsi="Calibri" w:cs="Calibri"/>
        </w:rPr>
      </w:pPr>
    </w:p>
    <w:p w14:paraId="45EDB001" w14:textId="1D653B80" w:rsidR="0011182F" w:rsidRPr="009B5957" w:rsidRDefault="0011182F" w:rsidP="0011182F">
      <w:pPr>
        <w:jc w:val="both"/>
        <w:rPr>
          <w:rFonts w:ascii="Calibri" w:hAnsi="Calibri" w:cs="Calibri"/>
        </w:rPr>
      </w:pPr>
      <w:r w:rsidRPr="009B5957">
        <w:rPr>
          <w:rFonts w:ascii="Calibri" w:hAnsi="Calibri" w:cs="Calibri"/>
        </w:rPr>
        <w:t xml:space="preserve">Using the regulatory </w:t>
      </w:r>
      <w:r>
        <w:rPr>
          <w:rFonts w:ascii="Calibri" w:hAnsi="Calibri" w:cs="Calibri"/>
        </w:rPr>
        <w:t>considerations</w:t>
      </w:r>
      <w:r w:rsidR="00752140">
        <w:rPr>
          <w:rFonts w:ascii="Calibri" w:hAnsi="Calibri" w:cs="Calibri"/>
        </w:rPr>
        <w:t xml:space="preserve"> in A. above</w:t>
      </w:r>
      <w:r w:rsidRPr="009B5957">
        <w:rPr>
          <w:rFonts w:ascii="Calibri" w:hAnsi="Calibri" w:cs="Calibri"/>
        </w:rPr>
        <w:t xml:space="preserve"> as a baseline for review, DOIs may </w:t>
      </w:r>
      <w:r>
        <w:rPr>
          <w:rFonts w:ascii="Calibri" w:hAnsi="Calibri" w:cs="Calibri"/>
        </w:rPr>
        <w:t>consider the following</w:t>
      </w:r>
      <w:r w:rsidRPr="009B5957">
        <w:rPr>
          <w:rFonts w:ascii="Calibri" w:hAnsi="Calibri" w:cs="Calibri"/>
        </w:rPr>
        <w:t xml:space="preserve">: </w:t>
      </w:r>
    </w:p>
    <w:p w14:paraId="4A85E350" w14:textId="77777777" w:rsidR="0011182F" w:rsidRPr="009B5957" w:rsidRDefault="0011182F" w:rsidP="0011182F">
      <w:pPr>
        <w:jc w:val="both"/>
        <w:rPr>
          <w:rFonts w:ascii="Calibri" w:hAnsi="Calibri" w:cs="Calibri"/>
        </w:rPr>
      </w:pPr>
    </w:p>
    <w:p w14:paraId="0D6E62CF" w14:textId="77777777" w:rsidR="0011182F" w:rsidRPr="009B5957" w:rsidRDefault="0011182F" w:rsidP="0011182F">
      <w:pPr>
        <w:ind w:left="270" w:hanging="270"/>
        <w:jc w:val="both"/>
        <w:rPr>
          <w:rFonts w:ascii="Calibri" w:hAnsi="Calibri" w:cs="Calibri"/>
        </w:rPr>
      </w:pPr>
      <w:r w:rsidRPr="009B5957">
        <w:rPr>
          <w:rFonts w:ascii="Calibri" w:hAnsi="Calibri" w:cs="Calibri"/>
        </w:rPr>
        <w:t>1. Review a life insurer’s underwriting programs/guidelines to confirm the proper use of data elements.</w:t>
      </w:r>
    </w:p>
    <w:p w14:paraId="5ED16482" w14:textId="77777777" w:rsidR="0011182F" w:rsidRPr="009B5957" w:rsidRDefault="0011182F" w:rsidP="0011182F">
      <w:pPr>
        <w:ind w:left="270" w:hanging="270"/>
        <w:jc w:val="both"/>
        <w:rPr>
          <w:rFonts w:ascii="Calibri" w:hAnsi="Calibri" w:cs="Calibri"/>
        </w:rPr>
      </w:pPr>
    </w:p>
    <w:p w14:paraId="2209A9BE" w14:textId="7FF7D788" w:rsidR="0011182F" w:rsidRPr="009B5957" w:rsidRDefault="0011182F" w:rsidP="0011182F">
      <w:pPr>
        <w:ind w:left="270" w:hanging="270"/>
        <w:jc w:val="both"/>
        <w:rPr>
          <w:rFonts w:ascii="Calibri" w:hAnsi="Calibri" w:cs="Calibri"/>
        </w:rPr>
      </w:pPr>
      <w:r w:rsidRPr="009B5957">
        <w:rPr>
          <w:rFonts w:ascii="Calibri" w:hAnsi="Calibri" w:cs="Calibri"/>
        </w:rPr>
        <w:t xml:space="preserve">2. Request a life insurer </w:t>
      </w:r>
      <w:proofErr w:type="gramStart"/>
      <w:r w:rsidRPr="009B5957">
        <w:rPr>
          <w:rFonts w:ascii="Calibri" w:hAnsi="Calibri" w:cs="Calibri"/>
        </w:rPr>
        <w:t>provide</w:t>
      </w:r>
      <w:proofErr w:type="gramEnd"/>
      <w:r w:rsidRPr="009B5957">
        <w:rPr>
          <w:rFonts w:ascii="Calibri" w:hAnsi="Calibri" w:cs="Calibri"/>
        </w:rPr>
        <w:t xml:space="preserve"> </w:t>
      </w:r>
      <w:r w:rsidR="002E0C4B">
        <w:rPr>
          <w:rFonts w:ascii="Calibri" w:hAnsi="Calibri" w:cs="Calibri"/>
        </w:rPr>
        <w:t>A</w:t>
      </w:r>
      <w:r w:rsidRPr="009B5957">
        <w:rPr>
          <w:rFonts w:ascii="Calibri" w:hAnsi="Calibri" w:cs="Calibri"/>
        </w:rPr>
        <w:t xml:space="preserve">ccelerated </w:t>
      </w:r>
      <w:r w:rsidR="002E0C4B">
        <w:rPr>
          <w:rFonts w:ascii="Calibri" w:hAnsi="Calibri" w:cs="Calibri"/>
        </w:rPr>
        <w:t>U</w:t>
      </w:r>
      <w:r w:rsidRPr="009B5957">
        <w:rPr>
          <w:rFonts w:ascii="Calibri" w:hAnsi="Calibri" w:cs="Calibri"/>
        </w:rPr>
        <w:t xml:space="preserve">nderwriting data sources, </w:t>
      </w:r>
      <w:r>
        <w:rPr>
          <w:rFonts w:ascii="Calibri" w:hAnsi="Calibri" w:cs="Calibri"/>
        </w:rPr>
        <w:t>P</w:t>
      </w:r>
      <w:r w:rsidRPr="009B5957">
        <w:rPr>
          <w:rFonts w:ascii="Calibri" w:hAnsi="Calibri" w:cs="Calibri"/>
        </w:rPr>
        <w:t xml:space="preserve">redictive </w:t>
      </w:r>
      <w:r>
        <w:rPr>
          <w:rFonts w:ascii="Calibri" w:hAnsi="Calibri" w:cs="Calibri"/>
        </w:rPr>
        <w:t>M</w:t>
      </w:r>
      <w:r w:rsidRPr="009B5957">
        <w:rPr>
          <w:rFonts w:ascii="Calibri" w:hAnsi="Calibri" w:cs="Calibri"/>
        </w:rPr>
        <w:t xml:space="preserve">odels, and </w:t>
      </w:r>
      <w:r>
        <w:rPr>
          <w:rFonts w:ascii="Calibri" w:hAnsi="Calibri" w:cs="Calibri"/>
        </w:rPr>
        <w:t>A</w:t>
      </w:r>
      <w:r w:rsidRPr="009B5957">
        <w:rPr>
          <w:rFonts w:ascii="Calibri" w:hAnsi="Calibri" w:cs="Calibri"/>
        </w:rPr>
        <w:t>lgorithms or summaries for analysis.</w:t>
      </w:r>
    </w:p>
    <w:p w14:paraId="67C1A1AE" w14:textId="77777777" w:rsidR="0011182F" w:rsidRPr="009B5957" w:rsidRDefault="0011182F" w:rsidP="0011182F">
      <w:pPr>
        <w:ind w:left="270" w:hanging="270"/>
        <w:jc w:val="both"/>
        <w:rPr>
          <w:rFonts w:ascii="Calibri" w:hAnsi="Calibri" w:cs="Calibri"/>
        </w:rPr>
      </w:pPr>
    </w:p>
    <w:p w14:paraId="0A64913E" w14:textId="30BBCA00" w:rsidR="0011182F" w:rsidRPr="009B5957" w:rsidRDefault="0011182F" w:rsidP="0011182F">
      <w:pPr>
        <w:ind w:left="270" w:hanging="270"/>
        <w:jc w:val="both"/>
        <w:rPr>
          <w:rFonts w:ascii="Calibri" w:hAnsi="Calibri" w:cs="Calibri"/>
        </w:rPr>
      </w:pPr>
      <w:r w:rsidRPr="009B5957">
        <w:rPr>
          <w:rFonts w:ascii="Calibri" w:hAnsi="Calibri" w:cs="Calibri"/>
        </w:rPr>
        <w:t xml:space="preserve">3. Request a life insurer provide additional information about how a particular </w:t>
      </w:r>
      <w:r>
        <w:rPr>
          <w:rFonts w:ascii="Calibri" w:hAnsi="Calibri" w:cs="Calibri"/>
        </w:rPr>
        <w:t>P</w:t>
      </w:r>
      <w:r w:rsidRPr="009B5957">
        <w:rPr>
          <w:rFonts w:ascii="Calibri" w:hAnsi="Calibri" w:cs="Calibri"/>
        </w:rPr>
        <w:t xml:space="preserve">redictive </w:t>
      </w:r>
      <w:r>
        <w:rPr>
          <w:rFonts w:ascii="Calibri" w:hAnsi="Calibri" w:cs="Calibri"/>
        </w:rPr>
        <w:t>M</w:t>
      </w:r>
      <w:r w:rsidRPr="009B5957">
        <w:rPr>
          <w:rFonts w:ascii="Calibri" w:hAnsi="Calibri" w:cs="Calibri"/>
        </w:rPr>
        <w:t xml:space="preserve">odel or </w:t>
      </w:r>
      <w:r>
        <w:rPr>
          <w:rFonts w:ascii="Calibri" w:hAnsi="Calibri" w:cs="Calibri"/>
        </w:rPr>
        <w:t>M</w:t>
      </w:r>
      <w:r w:rsidRPr="009B5957">
        <w:rPr>
          <w:rFonts w:ascii="Calibri" w:hAnsi="Calibri" w:cs="Calibri"/>
        </w:rPr>
        <w:t xml:space="preserve">achine </w:t>
      </w:r>
      <w:r>
        <w:rPr>
          <w:rFonts w:ascii="Calibri" w:hAnsi="Calibri" w:cs="Calibri"/>
        </w:rPr>
        <w:t>L</w:t>
      </w:r>
      <w:r w:rsidRPr="009B5957">
        <w:rPr>
          <w:rFonts w:ascii="Calibri" w:hAnsi="Calibri" w:cs="Calibri"/>
        </w:rPr>
        <w:t xml:space="preserve">earning </w:t>
      </w:r>
      <w:r>
        <w:rPr>
          <w:rFonts w:ascii="Calibri" w:hAnsi="Calibri" w:cs="Calibri"/>
        </w:rPr>
        <w:t>A</w:t>
      </w:r>
      <w:r w:rsidRPr="009B5957">
        <w:rPr>
          <w:rFonts w:ascii="Calibri" w:hAnsi="Calibri" w:cs="Calibri"/>
        </w:rPr>
        <w:t xml:space="preserve">lgorithm is used in an </w:t>
      </w:r>
      <w:r w:rsidR="002E0C4B">
        <w:rPr>
          <w:rFonts w:ascii="Calibri" w:hAnsi="Calibri" w:cs="Calibri"/>
        </w:rPr>
        <w:t>A</w:t>
      </w:r>
      <w:r w:rsidRPr="009B5957">
        <w:rPr>
          <w:rFonts w:ascii="Calibri" w:hAnsi="Calibri" w:cs="Calibri"/>
        </w:rPr>
        <w:t xml:space="preserve">ccelerated </w:t>
      </w:r>
      <w:r w:rsidR="002E0C4B">
        <w:rPr>
          <w:rFonts w:ascii="Calibri" w:hAnsi="Calibri" w:cs="Calibri"/>
        </w:rPr>
        <w:t>U</w:t>
      </w:r>
      <w:r w:rsidRPr="009B5957">
        <w:rPr>
          <w:rFonts w:ascii="Calibri" w:hAnsi="Calibri" w:cs="Calibri"/>
        </w:rPr>
        <w:t>nderwriting program.</w:t>
      </w:r>
    </w:p>
    <w:p w14:paraId="4F24A2C2" w14:textId="77777777" w:rsidR="0011182F" w:rsidRPr="009B5957" w:rsidRDefault="0011182F" w:rsidP="0011182F">
      <w:pPr>
        <w:ind w:left="270" w:hanging="270"/>
        <w:jc w:val="both"/>
        <w:rPr>
          <w:rFonts w:ascii="Calibri" w:hAnsi="Calibri" w:cs="Calibri"/>
        </w:rPr>
      </w:pPr>
    </w:p>
    <w:p w14:paraId="4B84BEE6" w14:textId="5AF6B299" w:rsidR="0011182F" w:rsidRPr="009B5957" w:rsidRDefault="0011182F" w:rsidP="0011182F">
      <w:pPr>
        <w:ind w:left="270" w:hanging="270"/>
        <w:jc w:val="both"/>
        <w:rPr>
          <w:rFonts w:ascii="Calibri" w:hAnsi="Calibri" w:cs="Calibri"/>
        </w:rPr>
      </w:pPr>
      <w:r w:rsidRPr="009B5957">
        <w:rPr>
          <w:rFonts w:ascii="Calibri" w:hAnsi="Calibri" w:cs="Calibri"/>
        </w:rPr>
        <w:t xml:space="preserve">4. Request a life insurer provide information about source data used as part of its </w:t>
      </w:r>
      <w:r w:rsidR="002E0C4B">
        <w:rPr>
          <w:rFonts w:ascii="Calibri" w:hAnsi="Calibri" w:cs="Calibri"/>
        </w:rPr>
        <w:t>A</w:t>
      </w:r>
      <w:r w:rsidRPr="009B5957">
        <w:rPr>
          <w:rFonts w:ascii="Calibri" w:hAnsi="Calibri" w:cs="Calibri"/>
        </w:rPr>
        <w:t xml:space="preserve">ccelerated </w:t>
      </w:r>
      <w:r w:rsidR="002E0C4B">
        <w:rPr>
          <w:rFonts w:ascii="Calibri" w:hAnsi="Calibri" w:cs="Calibri"/>
        </w:rPr>
        <w:t>U</w:t>
      </w:r>
      <w:r w:rsidRPr="009B5957">
        <w:rPr>
          <w:rFonts w:ascii="Calibri" w:hAnsi="Calibri" w:cs="Calibri"/>
        </w:rPr>
        <w:t xml:space="preserve">nderwriting programs regardless of whether the data or score is provided by a third party </w:t>
      </w:r>
      <w:r>
        <w:rPr>
          <w:rFonts w:ascii="Calibri" w:hAnsi="Calibri" w:cs="Calibri"/>
        </w:rPr>
        <w:t>or via a model</w:t>
      </w:r>
      <w:r w:rsidRPr="009B5957">
        <w:rPr>
          <w:rFonts w:ascii="Calibri" w:hAnsi="Calibri" w:cs="Calibri"/>
        </w:rPr>
        <w:t>.</w:t>
      </w:r>
    </w:p>
    <w:p w14:paraId="3E9C4FE7" w14:textId="77777777" w:rsidR="0011182F" w:rsidRPr="009B5957" w:rsidRDefault="0011182F" w:rsidP="0011182F">
      <w:pPr>
        <w:ind w:left="270" w:hanging="270"/>
        <w:jc w:val="both"/>
        <w:rPr>
          <w:rFonts w:ascii="Calibri" w:hAnsi="Calibri" w:cs="Calibri"/>
        </w:rPr>
      </w:pPr>
    </w:p>
    <w:p w14:paraId="0DB21C4D" w14:textId="77777777" w:rsidR="0011182F" w:rsidRPr="009B5957" w:rsidRDefault="0011182F" w:rsidP="0011182F">
      <w:pPr>
        <w:ind w:left="270" w:hanging="270"/>
        <w:jc w:val="both"/>
        <w:rPr>
          <w:rFonts w:ascii="Calibri" w:hAnsi="Calibri" w:cs="Calibri"/>
        </w:rPr>
      </w:pPr>
      <w:r w:rsidRPr="009B5957">
        <w:rPr>
          <w:rFonts w:ascii="Calibri" w:hAnsi="Calibri" w:cs="Calibri"/>
        </w:rPr>
        <w:t xml:space="preserve">5. Request a life insurer provide information about its auditing of data sets, </w:t>
      </w:r>
      <w:r>
        <w:rPr>
          <w:rFonts w:ascii="Calibri" w:hAnsi="Calibri" w:cs="Calibri"/>
        </w:rPr>
        <w:t>P</w:t>
      </w:r>
      <w:r w:rsidRPr="009B5957">
        <w:rPr>
          <w:rFonts w:ascii="Calibri" w:hAnsi="Calibri" w:cs="Calibri"/>
        </w:rPr>
        <w:t xml:space="preserve">redictive </w:t>
      </w:r>
      <w:r>
        <w:rPr>
          <w:rFonts w:ascii="Calibri" w:hAnsi="Calibri" w:cs="Calibri"/>
        </w:rPr>
        <w:t>M</w:t>
      </w:r>
      <w:r w:rsidRPr="009B5957">
        <w:rPr>
          <w:rFonts w:ascii="Calibri" w:hAnsi="Calibri" w:cs="Calibri"/>
        </w:rPr>
        <w:t xml:space="preserve">odels, and </w:t>
      </w:r>
      <w:r>
        <w:rPr>
          <w:rFonts w:ascii="Calibri" w:hAnsi="Calibri" w:cs="Calibri"/>
        </w:rPr>
        <w:t>M</w:t>
      </w:r>
      <w:r w:rsidRPr="009B5957">
        <w:rPr>
          <w:rFonts w:ascii="Calibri" w:hAnsi="Calibri" w:cs="Calibri"/>
        </w:rPr>
        <w:t xml:space="preserve">achine </w:t>
      </w:r>
      <w:r>
        <w:rPr>
          <w:rFonts w:ascii="Calibri" w:hAnsi="Calibri" w:cs="Calibri"/>
        </w:rPr>
        <w:t>L</w:t>
      </w:r>
      <w:r w:rsidRPr="009B5957">
        <w:rPr>
          <w:rFonts w:ascii="Calibri" w:hAnsi="Calibri" w:cs="Calibri"/>
        </w:rPr>
        <w:t xml:space="preserve">earning </w:t>
      </w:r>
      <w:r>
        <w:rPr>
          <w:rFonts w:ascii="Calibri" w:hAnsi="Calibri" w:cs="Calibri"/>
        </w:rPr>
        <w:t>A</w:t>
      </w:r>
      <w:r w:rsidRPr="009B5957">
        <w:rPr>
          <w:rFonts w:ascii="Calibri" w:hAnsi="Calibri" w:cs="Calibri"/>
        </w:rPr>
        <w:t xml:space="preserve">lgorithms to ensure they are accurate, reliable, and do not result in unfairly discriminatory outcomes. </w:t>
      </w:r>
    </w:p>
    <w:p w14:paraId="04F45F1D" w14:textId="77777777" w:rsidR="0011182F" w:rsidRPr="009553B2" w:rsidRDefault="0011182F" w:rsidP="0011182F">
      <w:pPr>
        <w:jc w:val="both"/>
        <w:rPr>
          <w:rFonts w:ascii="Calibri" w:hAnsi="Calibri" w:cs="Calibri"/>
        </w:rPr>
      </w:pPr>
    </w:p>
    <w:p w14:paraId="2DF1844C" w14:textId="4FA84F2D" w:rsidR="0011182F" w:rsidRPr="009553B2" w:rsidRDefault="0011182F" w:rsidP="0011182F">
      <w:pPr>
        <w:jc w:val="both"/>
        <w:rPr>
          <w:rFonts w:ascii="Calibri" w:hAnsi="Calibri" w:cs="Calibri"/>
          <w:b/>
          <w:bCs/>
        </w:rPr>
      </w:pPr>
      <w:r w:rsidRPr="009553B2">
        <w:rPr>
          <w:rFonts w:ascii="Calibri" w:hAnsi="Calibri" w:cs="Calibri"/>
          <w:b/>
          <w:bCs/>
        </w:rPr>
        <w:t>C</w:t>
      </w:r>
      <w:r w:rsidR="006D40EB">
        <w:rPr>
          <w:rFonts w:ascii="Calibri" w:hAnsi="Calibri" w:cs="Calibri"/>
          <w:b/>
          <w:bCs/>
        </w:rPr>
        <w:t>)</w:t>
      </w:r>
      <w:r w:rsidRPr="009553B2">
        <w:rPr>
          <w:rFonts w:ascii="Calibri" w:hAnsi="Calibri" w:cs="Calibri"/>
          <w:b/>
          <w:bCs/>
        </w:rPr>
        <w:t xml:space="preserve">  Requests for Information </w:t>
      </w:r>
    </w:p>
    <w:p w14:paraId="256D2A42" w14:textId="77777777" w:rsidR="0011182F" w:rsidRPr="009B5957" w:rsidRDefault="0011182F" w:rsidP="0011182F">
      <w:pPr>
        <w:jc w:val="both"/>
        <w:rPr>
          <w:rFonts w:ascii="Calibri" w:hAnsi="Calibri" w:cs="Calibri"/>
        </w:rPr>
      </w:pPr>
    </w:p>
    <w:p w14:paraId="67FAE6DD" w14:textId="78D0C14C" w:rsidR="0011182F" w:rsidRPr="009B5957" w:rsidRDefault="0011182F" w:rsidP="0011182F">
      <w:pPr>
        <w:jc w:val="both"/>
        <w:rPr>
          <w:rFonts w:ascii="Calibri" w:hAnsi="Calibri" w:cs="Calibri"/>
        </w:rPr>
      </w:pPr>
      <w:r w:rsidRPr="009B5957">
        <w:rPr>
          <w:rFonts w:ascii="Calibri" w:hAnsi="Calibri" w:cs="Calibri"/>
        </w:rPr>
        <w:t xml:space="preserve">The following are examples of questions and requests for information DOIs may want to submit to life insurers when reviewing </w:t>
      </w:r>
      <w:r w:rsidR="002E0C4B">
        <w:rPr>
          <w:rFonts w:ascii="Calibri" w:hAnsi="Calibri" w:cs="Calibri"/>
        </w:rPr>
        <w:t>A</w:t>
      </w:r>
      <w:r>
        <w:rPr>
          <w:rFonts w:ascii="Calibri" w:hAnsi="Calibri" w:cs="Calibri"/>
        </w:rPr>
        <w:t xml:space="preserve">ccelerated </w:t>
      </w:r>
      <w:r w:rsidR="002E0C4B">
        <w:rPr>
          <w:rFonts w:ascii="Calibri" w:hAnsi="Calibri" w:cs="Calibri"/>
        </w:rPr>
        <w:t>U</w:t>
      </w:r>
      <w:r>
        <w:rPr>
          <w:rFonts w:ascii="Calibri" w:hAnsi="Calibri" w:cs="Calibri"/>
        </w:rPr>
        <w:t xml:space="preserve">nderwriting </w:t>
      </w:r>
      <w:r w:rsidRPr="009B5957">
        <w:rPr>
          <w:rFonts w:ascii="Calibri" w:hAnsi="Calibri" w:cs="Calibri"/>
        </w:rPr>
        <w:t>programs:</w:t>
      </w:r>
    </w:p>
    <w:p w14:paraId="1F7791AA" w14:textId="77777777" w:rsidR="0011182F" w:rsidRPr="009B5957" w:rsidRDefault="0011182F" w:rsidP="0011182F">
      <w:pPr>
        <w:jc w:val="both"/>
        <w:rPr>
          <w:rFonts w:ascii="Calibri" w:hAnsi="Calibri" w:cs="Calibri"/>
        </w:rPr>
      </w:pPr>
    </w:p>
    <w:p w14:paraId="491BF761" w14:textId="3001AEF1" w:rsidR="0011182F" w:rsidRPr="009B5957" w:rsidRDefault="0011182F" w:rsidP="0011182F">
      <w:pPr>
        <w:ind w:left="360" w:hanging="360"/>
        <w:jc w:val="both"/>
        <w:rPr>
          <w:rFonts w:ascii="Calibri" w:hAnsi="Calibri" w:cs="Calibri"/>
        </w:rPr>
      </w:pPr>
      <w:r w:rsidRPr="009B5957">
        <w:rPr>
          <w:rFonts w:ascii="Calibri" w:hAnsi="Calibri" w:cs="Calibri"/>
        </w:rPr>
        <w:t xml:space="preserve">1. What specific external data or information about life insurance applicants is being utilized by the </w:t>
      </w:r>
      <w:r w:rsidR="002E0C4B">
        <w:rPr>
          <w:rFonts w:ascii="Calibri" w:hAnsi="Calibri" w:cs="Calibri"/>
        </w:rPr>
        <w:t>A</w:t>
      </w:r>
      <w:r w:rsidRPr="009B5957">
        <w:rPr>
          <w:rFonts w:ascii="Calibri" w:hAnsi="Calibri" w:cs="Calibri"/>
        </w:rPr>
        <w:t xml:space="preserve">ccelerated </w:t>
      </w:r>
      <w:r w:rsidR="002E0C4B">
        <w:rPr>
          <w:rFonts w:ascii="Calibri" w:hAnsi="Calibri" w:cs="Calibri"/>
        </w:rPr>
        <w:t>U</w:t>
      </w:r>
      <w:r w:rsidRPr="009B5957">
        <w:rPr>
          <w:rFonts w:ascii="Calibri" w:hAnsi="Calibri" w:cs="Calibri"/>
        </w:rPr>
        <w:t xml:space="preserve">nderwriting program? </w:t>
      </w:r>
    </w:p>
    <w:p w14:paraId="50EE2F29" w14:textId="77777777" w:rsidR="0011182F" w:rsidRPr="009B5957" w:rsidRDefault="0011182F" w:rsidP="0011182F">
      <w:pPr>
        <w:ind w:left="360" w:hanging="360"/>
        <w:jc w:val="both"/>
        <w:rPr>
          <w:rFonts w:ascii="Calibri" w:hAnsi="Calibri" w:cs="Calibri"/>
        </w:rPr>
      </w:pPr>
    </w:p>
    <w:p w14:paraId="5C941973" w14:textId="3D01B28D" w:rsidR="0011182F" w:rsidRPr="009B5957" w:rsidRDefault="0011182F" w:rsidP="0011182F">
      <w:pPr>
        <w:ind w:left="360" w:hanging="360"/>
        <w:jc w:val="both"/>
        <w:rPr>
          <w:rFonts w:ascii="Calibri" w:hAnsi="Calibri" w:cs="Calibri"/>
        </w:rPr>
      </w:pPr>
      <w:r w:rsidRPr="009B5957">
        <w:rPr>
          <w:rFonts w:ascii="Calibri" w:hAnsi="Calibri" w:cs="Calibri"/>
        </w:rPr>
        <w:t xml:space="preserve">2. How does the company obtain any external data or information used as part of its life insurance </w:t>
      </w:r>
      <w:r w:rsidR="002E0C4B">
        <w:rPr>
          <w:rFonts w:ascii="Calibri" w:hAnsi="Calibri" w:cs="Calibri"/>
        </w:rPr>
        <w:t>A</w:t>
      </w:r>
      <w:r w:rsidRPr="009B5957">
        <w:rPr>
          <w:rFonts w:ascii="Calibri" w:hAnsi="Calibri" w:cs="Calibri"/>
        </w:rPr>
        <w:t xml:space="preserve">ccelerated </w:t>
      </w:r>
      <w:r w:rsidR="002E0C4B">
        <w:rPr>
          <w:rFonts w:ascii="Calibri" w:hAnsi="Calibri" w:cs="Calibri"/>
        </w:rPr>
        <w:t>U</w:t>
      </w:r>
      <w:r w:rsidRPr="009B5957">
        <w:rPr>
          <w:rFonts w:ascii="Calibri" w:hAnsi="Calibri" w:cs="Calibri"/>
        </w:rPr>
        <w:t xml:space="preserve">nderwriting program? </w:t>
      </w:r>
    </w:p>
    <w:p w14:paraId="38A13DA6" w14:textId="77777777" w:rsidR="0011182F" w:rsidRPr="009B5957" w:rsidRDefault="0011182F" w:rsidP="0011182F">
      <w:pPr>
        <w:ind w:left="360" w:hanging="360"/>
        <w:jc w:val="both"/>
        <w:rPr>
          <w:rFonts w:ascii="Calibri" w:hAnsi="Calibri" w:cs="Calibri"/>
        </w:rPr>
      </w:pPr>
    </w:p>
    <w:p w14:paraId="1CC6E039" w14:textId="77EF8334" w:rsidR="0011182F" w:rsidRPr="009B5957" w:rsidRDefault="0011182F" w:rsidP="0011182F">
      <w:pPr>
        <w:ind w:left="360" w:hanging="360"/>
        <w:jc w:val="both"/>
        <w:rPr>
          <w:rFonts w:ascii="Calibri" w:hAnsi="Calibri" w:cs="Calibri"/>
          <w:color w:val="000000" w:themeColor="text1"/>
        </w:rPr>
      </w:pPr>
      <w:r w:rsidRPr="009B5957">
        <w:rPr>
          <w:rFonts w:ascii="Calibri" w:hAnsi="Calibri" w:cs="Calibri"/>
        </w:rPr>
        <w:t xml:space="preserve">3. Explain </w:t>
      </w:r>
      <w:r w:rsidRPr="009B5957">
        <w:rPr>
          <w:rFonts w:ascii="Calibri" w:hAnsi="Calibri" w:cs="Calibri"/>
          <w:color w:val="000000" w:themeColor="text1"/>
        </w:rPr>
        <w:t xml:space="preserve">in detail how the company discloses to applicants for life insurance what external information is used in its </w:t>
      </w:r>
      <w:r w:rsidR="002E0C4B">
        <w:rPr>
          <w:rFonts w:ascii="Calibri" w:hAnsi="Calibri" w:cs="Calibri"/>
          <w:color w:val="000000" w:themeColor="text1"/>
        </w:rPr>
        <w:t>A</w:t>
      </w:r>
      <w:r w:rsidRPr="009B5957">
        <w:rPr>
          <w:rFonts w:ascii="Calibri" w:hAnsi="Calibri" w:cs="Calibri"/>
          <w:color w:val="000000" w:themeColor="text1"/>
        </w:rPr>
        <w:t xml:space="preserve">ccelerated </w:t>
      </w:r>
      <w:r w:rsidR="002E0C4B">
        <w:rPr>
          <w:rFonts w:ascii="Calibri" w:hAnsi="Calibri" w:cs="Calibri"/>
          <w:color w:val="000000" w:themeColor="text1"/>
        </w:rPr>
        <w:t>U</w:t>
      </w:r>
      <w:r w:rsidRPr="009B5957">
        <w:rPr>
          <w:rFonts w:ascii="Calibri" w:hAnsi="Calibri" w:cs="Calibri"/>
          <w:color w:val="000000" w:themeColor="text1"/>
        </w:rPr>
        <w:t xml:space="preserve">nderwriting program and how this external information </w:t>
      </w:r>
      <w:proofErr w:type="gramStart"/>
      <w:r>
        <w:rPr>
          <w:rFonts w:ascii="Calibri" w:hAnsi="Calibri" w:cs="Calibri"/>
          <w:color w:val="000000" w:themeColor="text1"/>
        </w:rPr>
        <w:t xml:space="preserve">actually </w:t>
      </w:r>
      <w:r w:rsidRPr="009B5957">
        <w:rPr>
          <w:rFonts w:ascii="Calibri" w:hAnsi="Calibri" w:cs="Calibri"/>
          <w:color w:val="000000" w:themeColor="text1"/>
        </w:rPr>
        <w:t>is</w:t>
      </w:r>
      <w:proofErr w:type="gramEnd"/>
      <w:r w:rsidRPr="009B5957">
        <w:rPr>
          <w:rFonts w:ascii="Calibri" w:hAnsi="Calibri" w:cs="Calibri"/>
          <w:color w:val="000000" w:themeColor="text1"/>
        </w:rPr>
        <w:t xml:space="preserve"> used in the </w:t>
      </w:r>
      <w:r w:rsidR="002E0C4B">
        <w:rPr>
          <w:rFonts w:ascii="Calibri" w:hAnsi="Calibri" w:cs="Calibri"/>
          <w:color w:val="000000" w:themeColor="text1"/>
        </w:rPr>
        <w:t>A</w:t>
      </w:r>
      <w:r w:rsidRPr="009B5957">
        <w:rPr>
          <w:rFonts w:ascii="Calibri" w:hAnsi="Calibri" w:cs="Calibri"/>
          <w:color w:val="000000" w:themeColor="text1"/>
        </w:rPr>
        <w:t xml:space="preserve">ccelerated </w:t>
      </w:r>
      <w:r w:rsidR="002E0C4B">
        <w:rPr>
          <w:rFonts w:ascii="Calibri" w:hAnsi="Calibri" w:cs="Calibri"/>
          <w:color w:val="000000" w:themeColor="text1"/>
        </w:rPr>
        <w:t>U</w:t>
      </w:r>
      <w:r w:rsidRPr="009B5957">
        <w:rPr>
          <w:rFonts w:ascii="Calibri" w:hAnsi="Calibri" w:cs="Calibri"/>
          <w:color w:val="000000" w:themeColor="text1"/>
        </w:rPr>
        <w:t xml:space="preserve">nderwriting program. </w:t>
      </w:r>
    </w:p>
    <w:p w14:paraId="1494B929" w14:textId="77777777" w:rsidR="0011182F" w:rsidRPr="009B5957" w:rsidRDefault="0011182F" w:rsidP="0011182F">
      <w:pPr>
        <w:ind w:left="360" w:hanging="360"/>
        <w:jc w:val="both"/>
        <w:rPr>
          <w:rFonts w:ascii="Calibri" w:hAnsi="Calibri" w:cs="Calibri"/>
          <w:color w:val="000000" w:themeColor="text1"/>
        </w:rPr>
      </w:pPr>
    </w:p>
    <w:p w14:paraId="28901431" w14:textId="06ECA6A9" w:rsidR="0011182F" w:rsidRPr="009B5957" w:rsidRDefault="0011182F" w:rsidP="0011182F">
      <w:pPr>
        <w:ind w:left="360" w:hanging="360"/>
        <w:jc w:val="both"/>
        <w:rPr>
          <w:rFonts w:ascii="Calibri" w:hAnsi="Calibri" w:cs="Calibri"/>
        </w:rPr>
      </w:pPr>
      <w:r w:rsidRPr="009B5957">
        <w:rPr>
          <w:rFonts w:ascii="Calibri" w:hAnsi="Calibri" w:cs="Calibri"/>
        </w:rPr>
        <w:lastRenderedPageBreak/>
        <w:t xml:space="preserve">4. Ask for a copy of all company disclosures provided to applicants regarding the company’s </w:t>
      </w:r>
      <w:r w:rsidR="002E0C4B">
        <w:rPr>
          <w:rFonts w:ascii="Calibri" w:hAnsi="Calibri" w:cs="Calibri"/>
        </w:rPr>
        <w:t>A</w:t>
      </w:r>
      <w:r w:rsidRPr="009B5957">
        <w:rPr>
          <w:rFonts w:ascii="Calibri" w:hAnsi="Calibri" w:cs="Calibri"/>
        </w:rPr>
        <w:t xml:space="preserve">ccelerated </w:t>
      </w:r>
      <w:r w:rsidR="002E0C4B">
        <w:rPr>
          <w:rFonts w:ascii="Calibri" w:hAnsi="Calibri" w:cs="Calibri"/>
        </w:rPr>
        <w:t>U</w:t>
      </w:r>
      <w:r w:rsidRPr="009B5957">
        <w:rPr>
          <w:rFonts w:ascii="Calibri" w:hAnsi="Calibri" w:cs="Calibri"/>
        </w:rPr>
        <w:t xml:space="preserve">nderwriting program. </w:t>
      </w:r>
    </w:p>
    <w:p w14:paraId="3A635B6A" w14:textId="77777777" w:rsidR="0011182F" w:rsidRPr="009B5957" w:rsidRDefault="0011182F" w:rsidP="0011182F">
      <w:pPr>
        <w:ind w:left="360" w:hanging="360"/>
        <w:jc w:val="both"/>
        <w:rPr>
          <w:rFonts w:ascii="Calibri" w:hAnsi="Calibri" w:cs="Calibri"/>
          <w:color w:val="000000" w:themeColor="text1"/>
        </w:rPr>
      </w:pPr>
    </w:p>
    <w:p w14:paraId="10B6D384" w14:textId="2055B107" w:rsidR="0011182F" w:rsidRPr="009B5957" w:rsidRDefault="0011182F" w:rsidP="0011182F">
      <w:pPr>
        <w:ind w:left="360" w:hanging="360"/>
        <w:jc w:val="both"/>
        <w:rPr>
          <w:rFonts w:ascii="Calibri" w:hAnsi="Calibri" w:cs="Calibri"/>
          <w:color w:val="000000" w:themeColor="text1"/>
        </w:rPr>
      </w:pPr>
      <w:r w:rsidRPr="009B5957">
        <w:rPr>
          <w:rFonts w:ascii="Calibri" w:hAnsi="Calibri" w:cs="Calibri"/>
          <w:color w:val="000000" w:themeColor="text1"/>
        </w:rPr>
        <w:t xml:space="preserve">5. What process or recourse does the company provide to </w:t>
      </w:r>
      <w:r>
        <w:rPr>
          <w:rFonts w:ascii="Calibri" w:hAnsi="Calibri" w:cs="Calibri"/>
          <w:color w:val="000000" w:themeColor="text1"/>
        </w:rPr>
        <w:t>an</w:t>
      </w:r>
      <w:r w:rsidRPr="009B5957">
        <w:rPr>
          <w:rFonts w:ascii="Calibri" w:hAnsi="Calibri" w:cs="Calibri"/>
          <w:color w:val="000000" w:themeColor="text1"/>
        </w:rPr>
        <w:t xml:space="preserve"> applicant for life insurance should they receive an </w:t>
      </w:r>
      <w:r w:rsidR="002E0C4B">
        <w:rPr>
          <w:rFonts w:ascii="Calibri" w:hAnsi="Calibri" w:cs="Calibri"/>
          <w:color w:val="000000" w:themeColor="text1"/>
        </w:rPr>
        <w:t>A</w:t>
      </w:r>
      <w:r w:rsidRPr="009B5957">
        <w:rPr>
          <w:rFonts w:ascii="Calibri" w:hAnsi="Calibri" w:cs="Calibri"/>
          <w:color w:val="000000" w:themeColor="text1"/>
        </w:rPr>
        <w:t xml:space="preserve">dverse </w:t>
      </w:r>
      <w:r w:rsidR="002E0C4B">
        <w:rPr>
          <w:rFonts w:ascii="Calibri" w:hAnsi="Calibri" w:cs="Calibri"/>
          <w:color w:val="000000" w:themeColor="text1"/>
        </w:rPr>
        <w:t>U</w:t>
      </w:r>
      <w:r w:rsidRPr="009B5957">
        <w:rPr>
          <w:rFonts w:ascii="Calibri" w:hAnsi="Calibri" w:cs="Calibri"/>
          <w:color w:val="000000" w:themeColor="text1"/>
        </w:rPr>
        <w:t xml:space="preserve">nderwriting decision </w:t>
      </w:r>
      <w:r>
        <w:rPr>
          <w:rFonts w:ascii="Calibri" w:hAnsi="Calibri" w:cs="Calibri"/>
          <w:color w:val="000000" w:themeColor="text1"/>
        </w:rPr>
        <w:t>based on external data or information</w:t>
      </w:r>
      <w:r w:rsidRPr="009B5957">
        <w:rPr>
          <w:rFonts w:ascii="Calibri" w:hAnsi="Calibri" w:cs="Calibri"/>
          <w:color w:val="000000" w:themeColor="text1"/>
        </w:rPr>
        <w:t xml:space="preserve">? </w:t>
      </w:r>
    </w:p>
    <w:p w14:paraId="50DD38E8" w14:textId="77777777" w:rsidR="0011182F" w:rsidRPr="009B5957" w:rsidRDefault="0011182F" w:rsidP="0011182F">
      <w:pPr>
        <w:ind w:left="360" w:hanging="360"/>
        <w:jc w:val="both"/>
        <w:rPr>
          <w:rFonts w:ascii="Calibri" w:hAnsi="Calibri" w:cs="Calibri"/>
          <w:color w:val="000000" w:themeColor="text1"/>
        </w:rPr>
      </w:pPr>
    </w:p>
    <w:p w14:paraId="51DD00D6" w14:textId="77777777" w:rsidR="0011182F" w:rsidRPr="009B5957" w:rsidRDefault="0011182F" w:rsidP="0011182F">
      <w:pPr>
        <w:ind w:left="360" w:hanging="360"/>
        <w:jc w:val="both"/>
        <w:rPr>
          <w:rFonts w:ascii="Calibri" w:hAnsi="Calibri" w:cs="Calibri"/>
        </w:rPr>
      </w:pPr>
      <w:r w:rsidRPr="009B5957">
        <w:rPr>
          <w:rFonts w:ascii="Calibri" w:hAnsi="Calibri" w:cs="Calibri"/>
          <w:color w:val="000000" w:themeColor="text1"/>
        </w:rPr>
        <w:t xml:space="preserve">6. What process or recourse does the company provide to applicants </w:t>
      </w:r>
      <w:r w:rsidRPr="009B5957">
        <w:rPr>
          <w:rFonts w:ascii="Calibri" w:hAnsi="Calibri" w:cs="Calibri"/>
        </w:rPr>
        <w:t xml:space="preserve">for life insurance to correct mistakes in the external data or information? </w:t>
      </w:r>
    </w:p>
    <w:p w14:paraId="2675E271" w14:textId="77777777" w:rsidR="0011182F" w:rsidRPr="009B5957" w:rsidRDefault="0011182F" w:rsidP="0011182F">
      <w:pPr>
        <w:ind w:left="360" w:hanging="360"/>
        <w:jc w:val="both"/>
        <w:rPr>
          <w:rFonts w:ascii="Calibri" w:hAnsi="Calibri" w:cs="Calibri"/>
        </w:rPr>
      </w:pPr>
    </w:p>
    <w:p w14:paraId="137CD495" w14:textId="77777777" w:rsidR="0011182F" w:rsidRPr="009B5957" w:rsidRDefault="0011182F" w:rsidP="0011182F">
      <w:pPr>
        <w:ind w:left="360" w:hanging="360"/>
        <w:jc w:val="both"/>
        <w:rPr>
          <w:rFonts w:ascii="Calibri" w:hAnsi="Calibri" w:cs="Calibri"/>
        </w:rPr>
      </w:pPr>
      <w:r w:rsidRPr="009B5957">
        <w:rPr>
          <w:rFonts w:ascii="Calibri" w:hAnsi="Calibri" w:cs="Calibri"/>
        </w:rPr>
        <w:t xml:space="preserve">7. How is external data or information about life applicants utilized, stored, and destroyed after the completion of the underwriting process? </w:t>
      </w:r>
    </w:p>
    <w:p w14:paraId="36F40F34" w14:textId="77777777" w:rsidR="0011182F" w:rsidRPr="009B5957" w:rsidRDefault="0011182F" w:rsidP="0011182F">
      <w:pPr>
        <w:ind w:left="360" w:hanging="360"/>
        <w:jc w:val="both"/>
        <w:rPr>
          <w:rFonts w:ascii="Calibri" w:hAnsi="Calibri" w:cs="Calibri"/>
        </w:rPr>
      </w:pPr>
    </w:p>
    <w:p w14:paraId="4BF804C6" w14:textId="77777777" w:rsidR="0011182F" w:rsidRPr="003578F8" w:rsidRDefault="0011182F" w:rsidP="0011182F">
      <w:pPr>
        <w:ind w:left="360" w:hanging="360"/>
        <w:jc w:val="both"/>
        <w:rPr>
          <w:rFonts w:ascii="Calibri" w:hAnsi="Calibri" w:cs="Calibri"/>
        </w:rPr>
      </w:pPr>
      <w:r w:rsidRPr="009B5957">
        <w:rPr>
          <w:rFonts w:ascii="Calibri" w:hAnsi="Calibri" w:cs="Calibri"/>
        </w:rPr>
        <w:t xml:space="preserve">8. How does the company </w:t>
      </w:r>
      <w:r>
        <w:rPr>
          <w:rFonts w:ascii="Calibri" w:hAnsi="Calibri" w:cs="Calibri"/>
        </w:rPr>
        <w:t xml:space="preserve">validate, test, and/or </w:t>
      </w:r>
      <w:r w:rsidRPr="009B5957">
        <w:rPr>
          <w:rFonts w:ascii="Calibri" w:hAnsi="Calibri" w:cs="Calibri"/>
        </w:rPr>
        <w:t xml:space="preserve">audit data sets, </w:t>
      </w:r>
      <w:r>
        <w:rPr>
          <w:rFonts w:ascii="Calibri" w:hAnsi="Calibri" w:cs="Calibri"/>
        </w:rPr>
        <w:t>P</w:t>
      </w:r>
      <w:r w:rsidRPr="009B5957">
        <w:rPr>
          <w:rFonts w:ascii="Calibri" w:hAnsi="Calibri" w:cs="Calibri"/>
        </w:rPr>
        <w:t xml:space="preserve">redictive </w:t>
      </w:r>
      <w:r>
        <w:rPr>
          <w:rFonts w:ascii="Calibri" w:hAnsi="Calibri" w:cs="Calibri"/>
        </w:rPr>
        <w:t>M</w:t>
      </w:r>
      <w:r w:rsidRPr="009B5957">
        <w:rPr>
          <w:rFonts w:ascii="Calibri" w:hAnsi="Calibri" w:cs="Calibri"/>
        </w:rPr>
        <w:t xml:space="preserve">odels, and </w:t>
      </w:r>
      <w:r>
        <w:rPr>
          <w:rFonts w:ascii="Calibri" w:hAnsi="Calibri" w:cs="Calibri"/>
        </w:rPr>
        <w:t>M</w:t>
      </w:r>
      <w:r w:rsidRPr="009B5957">
        <w:rPr>
          <w:rFonts w:ascii="Calibri" w:hAnsi="Calibri" w:cs="Calibri"/>
        </w:rPr>
        <w:t xml:space="preserve">achine </w:t>
      </w:r>
      <w:r>
        <w:rPr>
          <w:rFonts w:ascii="Calibri" w:hAnsi="Calibri" w:cs="Calibri"/>
        </w:rPr>
        <w:t>L</w:t>
      </w:r>
      <w:r w:rsidRPr="009B5957">
        <w:rPr>
          <w:rFonts w:ascii="Calibri" w:hAnsi="Calibri" w:cs="Calibri"/>
        </w:rPr>
        <w:t xml:space="preserve">earning </w:t>
      </w:r>
      <w:r>
        <w:rPr>
          <w:rFonts w:ascii="Calibri" w:hAnsi="Calibri" w:cs="Calibri"/>
        </w:rPr>
        <w:t>A</w:t>
      </w:r>
      <w:r w:rsidRPr="009B5957">
        <w:rPr>
          <w:rFonts w:ascii="Calibri" w:hAnsi="Calibri" w:cs="Calibri"/>
        </w:rPr>
        <w:t xml:space="preserve">lgorithms </w:t>
      </w:r>
      <w:r>
        <w:rPr>
          <w:rFonts w:ascii="Calibri" w:hAnsi="Calibri" w:cs="Calibri"/>
        </w:rPr>
        <w:t xml:space="preserve">for </w:t>
      </w:r>
      <w:r w:rsidRPr="009B5957">
        <w:rPr>
          <w:rFonts w:ascii="Calibri" w:hAnsi="Calibri" w:cs="Calibri"/>
        </w:rPr>
        <w:t>accuracy</w:t>
      </w:r>
      <w:r>
        <w:rPr>
          <w:rFonts w:ascii="Calibri" w:hAnsi="Calibri" w:cs="Calibri"/>
        </w:rPr>
        <w:t xml:space="preserve"> and </w:t>
      </w:r>
      <w:r w:rsidRPr="009B5957">
        <w:rPr>
          <w:rFonts w:ascii="Calibri" w:hAnsi="Calibri" w:cs="Calibri"/>
        </w:rPr>
        <w:t xml:space="preserve">reliability, and </w:t>
      </w:r>
      <w:r>
        <w:rPr>
          <w:rFonts w:ascii="Calibri" w:hAnsi="Calibri" w:cs="Calibri"/>
        </w:rPr>
        <w:t>for potential Adverse Consumer Outcomes</w:t>
      </w:r>
      <w:r>
        <w:rPr>
          <w:rStyle w:val="FootnoteReference"/>
          <w:rFonts w:ascii="Calibri" w:hAnsi="Calibri" w:cs="Calibri"/>
        </w:rPr>
        <w:footnoteReference w:id="7"/>
      </w:r>
      <w:r w:rsidRPr="003578F8">
        <w:rPr>
          <w:rFonts w:ascii="Calibri" w:hAnsi="Calibri" w:cs="Calibri"/>
        </w:rPr>
        <w:t xml:space="preserve">? </w:t>
      </w:r>
    </w:p>
    <w:p w14:paraId="04DBF354" w14:textId="77777777" w:rsidR="0011182F" w:rsidRPr="003578F8" w:rsidRDefault="0011182F" w:rsidP="0011182F">
      <w:pPr>
        <w:ind w:left="360" w:hanging="360"/>
        <w:jc w:val="both"/>
        <w:rPr>
          <w:rFonts w:ascii="Calibri" w:hAnsi="Calibri" w:cs="Calibri"/>
        </w:rPr>
      </w:pPr>
    </w:p>
    <w:p w14:paraId="354586F4" w14:textId="646841E5" w:rsidR="0011182F" w:rsidRPr="003578F8" w:rsidRDefault="002E0C4B" w:rsidP="00B875CC">
      <w:pPr>
        <w:ind w:left="360" w:hanging="360"/>
        <w:jc w:val="both"/>
        <w:rPr>
          <w:rFonts w:ascii="Calibri" w:hAnsi="Calibri" w:cs="Calibri"/>
        </w:rPr>
      </w:pPr>
      <w:r>
        <w:rPr>
          <w:rFonts w:ascii="Calibri" w:hAnsi="Calibri" w:cs="Calibri"/>
        </w:rPr>
        <w:t>9</w:t>
      </w:r>
      <w:r w:rsidR="0011182F" w:rsidRPr="003578F8">
        <w:rPr>
          <w:rFonts w:ascii="Calibri" w:hAnsi="Calibri" w:cs="Calibri"/>
        </w:rPr>
        <w:t xml:space="preserve">. Does the company </w:t>
      </w:r>
      <w:r w:rsidR="0011182F">
        <w:rPr>
          <w:rFonts w:ascii="Calibri" w:hAnsi="Calibri" w:cs="Calibri"/>
        </w:rPr>
        <w:t>validate, test, and/or audit data sets, Predictive Models, and Machine Learning Algorithms</w:t>
      </w:r>
      <w:r w:rsidR="0011182F" w:rsidRPr="003578F8">
        <w:rPr>
          <w:rFonts w:ascii="Calibri" w:hAnsi="Calibri" w:cs="Calibri"/>
        </w:rPr>
        <w:t xml:space="preserve"> internally or does it utilize a third-party to perform </w:t>
      </w:r>
      <w:r w:rsidR="0011182F">
        <w:rPr>
          <w:rFonts w:ascii="Calibri" w:hAnsi="Calibri" w:cs="Calibri"/>
        </w:rPr>
        <w:t>these functions</w:t>
      </w:r>
      <w:r w:rsidR="0011182F" w:rsidRPr="003578F8">
        <w:rPr>
          <w:rFonts w:ascii="Calibri" w:hAnsi="Calibri" w:cs="Calibri"/>
        </w:rPr>
        <w:t xml:space="preserve">? </w:t>
      </w:r>
    </w:p>
    <w:p w14:paraId="469EEF33" w14:textId="6CFC52FC" w:rsidR="0011182F" w:rsidRPr="003578F8" w:rsidRDefault="0011182F" w:rsidP="00B875CC">
      <w:pPr>
        <w:jc w:val="both"/>
        <w:rPr>
          <w:rFonts w:ascii="Calibri" w:hAnsi="Calibri" w:cs="Calibri"/>
        </w:rPr>
      </w:pPr>
    </w:p>
    <w:p w14:paraId="5A4B5E2E" w14:textId="5D7B0C06" w:rsidR="0011182F" w:rsidRPr="003578F8" w:rsidRDefault="0011182F" w:rsidP="0011182F">
      <w:pPr>
        <w:ind w:left="360" w:hanging="360"/>
        <w:jc w:val="both"/>
        <w:rPr>
          <w:rFonts w:ascii="Calibri" w:hAnsi="Calibri" w:cs="Calibri"/>
        </w:rPr>
      </w:pPr>
      <w:r w:rsidRPr="003578F8">
        <w:rPr>
          <w:rFonts w:ascii="Calibri" w:hAnsi="Calibri" w:cs="Calibri"/>
        </w:rPr>
        <w:t>1</w:t>
      </w:r>
      <w:r w:rsidR="002E0C4B">
        <w:rPr>
          <w:rFonts w:ascii="Calibri" w:hAnsi="Calibri" w:cs="Calibri"/>
        </w:rPr>
        <w:t>0</w:t>
      </w:r>
      <w:r w:rsidRPr="003578F8">
        <w:rPr>
          <w:rFonts w:ascii="Calibri" w:hAnsi="Calibri" w:cs="Calibri"/>
        </w:rPr>
        <w:t>. How does the company ensure that the model(s) it uses are based on sound actuarial principles?</w:t>
      </w:r>
    </w:p>
    <w:p w14:paraId="1868DEB5" w14:textId="77777777" w:rsidR="0011182F" w:rsidRPr="003578F8" w:rsidRDefault="0011182F" w:rsidP="0011182F">
      <w:pPr>
        <w:ind w:left="360" w:hanging="360"/>
        <w:jc w:val="both"/>
        <w:rPr>
          <w:rFonts w:ascii="Calibri" w:hAnsi="Calibri" w:cs="Calibri"/>
        </w:rPr>
      </w:pPr>
    </w:p>
    <w:p w14:paraId="0A3490FC" w14:textId="60427C03" w:rsidR="0011182F" w:rsidRPr="003578F8" w:rsidRDefault="0011182F" w:rsidP="0011182F">
      <w:pPr>
        <w:ind w:left="360" w:hanging="360"/>
        <w:jc w:val="both"/>
        <w:rPr>
          <w:rFonts w:ascii="Calibri" w:hAnsi="Calibri" w:cs="Calibri"/>
        </w:rPr>
      </w:pPr>
      <w:r w:rsidRPr="003578F8">
        <w:rPr>
          <w:rFonts w:ascii="Calibri" w:hAnsi="Calibri" w:cs="Calibri"/>
        </w:rPr>
        <w:t>1</w:t>
      </w:r>
      <w:r w:rsidR="002E0C4B">
        <w:rPr>
          <w:rFonts w:ascii="Calibri" w:hAnsi="Calibri" w:cs="Calibri"/>
        </w:rPr>
        <w:t>1</w:t>
      </w:r>
      <w:r w:rsidRPr="003578F8">
        <w:rPr>
          <w:rFonts w:ascii="Calibri" w:hAnsi="Calibri" w:cs="Calibri"/>
        </w:rPr>
        <w:t>. How does the company address potential unfair discrimination by ensuring that external consumer data’s correlation to risk is not outweighed by any correlation to a protected class(es).</w:t>
      </w:r>
    </w:p>
    <w:p w14:paraId="1DAAD51D" w14:textId="77777777" w:rsidR="0011182F" w:rsidRPr="003578F8" w:rsidRDefault="0011182F" w:rsidP="0011182F">
      <w:pPr>
        <w:jc w:val="both"/>
        <w:rPr>
          <w:rFonts w:ascii="Calibri" w:hAnsi="Calibri" w:cs="Calibri"/>
        </w:rPr>
      </w:pPr>
    </w:p>
    <w:p w14:paraId="3DBE6A8A" w14:textId="5C56A031" w:rsidR="0011182F" w:rsidRPr="003578F8" w:rsidRDefault="0011182F" w:rsidP="0011182F">
      <w:pPr>
        <w:jc w:val="both"/>
        <w:rPr>
          <w:rFonts w:ascii="Calibri" w:hAnsi="Calibri" w:cs="Calibri"/>
        </w:rPr>
      </w:pPr>
      <w:r w:rsidRPr="003578F8">
        <w:rPr>
          <w:rFonts w:ascii="Calibri" w:hAnsi="Calibri" w:cs="Calibri"/>
        </w:rPr>
        <w:t xml:space="preserve">The AUWG offers this guidance to the state DOIs for consideration, while recognizing that there is more work to come. The AUWG anticipates that the work of the other NAIC groups on this topic will lead to additional guidance regarding </w:t>
      </w:r>
      <w:r w:rsidR="002E0C4B">
        <w:rPr>
          <w:rFonts w:ascii="Calibri" w:hAnsi="Calibri" w:cs="Calibri"/>
        </w:rPr>
        <w:t>A</w:t>
      </w:r>
      <w:r w:rsidRPr="003578F8">
        <w:rPr>
          <w:rFonts w:ascii="Calibri" w:hAnsi="Calibri" w:cs="Calibri"/>
        </w:rPr>
        <w:t xml:space="preserve">ccelerated </w:t>
      </w:r>
      <w:r w:rsidR="002E0C4B">
        <w:rPr>
          <w:rFonts w:ascii="Calibri" w:hAnsi="Calibri" w:cs="Calibri"/>
        </w:rPr>
        <w:t>U</w:t>
      </w:r>
      <w:r w:rsidRPr="003578F8">
        <w:rPr>
          <w:rFonts w:ascii="Calibri" w:hAnsi="Calibri" w:cs="Calibri"/>
        </w:rPr>
        <w:t xml:space="preserve">nderwriting in life insurance.  </w:t>
      </w:r>
    </w:p>
    <w:p w14:paraId="1BF8FED6" w14:textId="77777777" w:rsidR="0029777D" w:rsidRPr="001F052E" w:rsidRDefault="0029777D" w:rsidP="0023400A">
      <w:pPr>
        <w:jc w:val="both"/>
        <w:rPr>
          <w:rFonts w:ascii="Calibri" w:hAnsi="Calibri" w:cs="Calibri"/>
          <w:b/>
          <w:bCs/>
        </w:rPr>
      </w:pPr>
    </w:p>
    <w:p w14:paraId="5193C348" w14:textId="77777777" w:rsidR="00EF12E6" w:rsidRDefault="00EF12E6">
      <w:pPr>
        <w:spacing w:after="160" w:line="259" w:lineRule="auto"/>
        <w:rPr>
          <w:rFonts w:ascii="Calibri" w:hAnsi="Calibri" w:cs="Calibri"/>
          <w:b/>
          <w:bCs/>
        </w:rPr>
      </w:pPr>
      <w:r>
        <w:rPr>
          <w:rFonts w:ascii="Calibri" w:hAnsi="Calibri" w:cs="Calibri"/>
          <w:b/>
          <w:bCs/>
        </w:rPr>
        <w:br w:type="page"/>
      </w:r>
    </w:p>
    <w:p w14:paraId="427D0F47" w14:textId="2E2EB99F" w:rsidR="00845D03" w:rsidRPr="001F052E" w:rsidRDefault="00385428" w:rsidP="00385428">
      <w:pPr>
        <w:jc w:val="center"/>
        <w:rPr>
          <w:rFonts w:ascii="Calibri" w:hAnsi="Calibri" w:cs="Calibri"/>
          <w:b/>
          <w:bCs/>
        </w:rPr>
      </w:pPr>
      <w:r>
        <w:rPr>
          <w:rFonts w:ascii="Calibri" w:hAnsi="Calibri" w:cs="Calibri"/>
          <w:b/>
          <w:bCs/>
        </w:rPr>
        <w:lastRenderedPageBreak/>
        <w:t>Background</w:t>
      </w:r>
    </w:p>
    <w:p w14:paraId="681E6649" w14:textId="77777777" w:rsidR="00845D03" w:rsidRPr="001F052E" w:rsidRDefault="00845D03" w:rsidP="0023400A">
      <w:pPr>
        <w:jc w:val="both"/>
        <w:rPr>
          <w:rFonts w:ascii="Calibri" w:hAnsi="Calibri" w:cs="Calibri"/>
        </w:rPr>
      </w:pPr>
    </w:p>
    <w:p w14:paraId="4A0EA33E" w14:textId="60CB5C6D" w:rsidR="00845D03" w:rsidRPr="001F052E" w:rsidRDefault="00845D03" w:rsidP="0023400A">
      <w:pPr>
        <w:jc w:val="both"/>
        <w:rPr>
          <w:rFonts w:ascii="Calibri" w:hAnsi="Calibri" w:cs="Calibri"/>
        </w:rPr>
      </w:pPr>
      <w:r w:rsidRPr="001F052E">
        <w:rPr>
          <w:rFonts w:ascii="Calibri" w:hAnsi="Calibri" w:cs="Calibri"/>
        </w:rPr>
        <w:t>The Accelerated Underwriting Working Group (AUWG) was created by</w:t>
      </w:r>
      <w:r w:rsidR="002A1341" w:rsidRPr="001F052E">
        <w:rPr>
          <w:rFonts w:ascii="Calibri" w:hAnsi="Calibri" w:cs="Calibri"/>
        </w:rPr>
        <w:t xml:space="preserve"> the Life Insurance and Annuities</w:t>
      </w:r>
      <w:r w:rsidRPr="001F052E">
        <w:rPr>
          <w:rFonts w:ascii="Calibri" w:hAnsi="Calibri" w:cs="Calibri"/>
        </w:rPr>
        <w:t xml:space="preserve"> (A) Committee at the </w:t>
      </w:r>
      <w:r w:rsidR="000826DA" w:rsidRPr="001F052E">
        <w:rPr>
          <w:rFonts w:ascii="Calibri" w:hAnsi="Calibri" w:cs="Calibri"/>
        </w:rPr>
        <w:t xml:space="preserve">NAIC </w:t>
      </w:r>
      <w:r w:rsidRPr="001F052E">
        <w:rPr>
          <w:rFonts w:ascii="Calibri" w:hAnsi="Calibri" w:cs="Calibri"/>
        </w:rPr>
        <w:t xml:space="preserve">2019 Summer National Meeting. One of the original charges given to the Working Group was to “… consider the use of external data and data analytics in accelerated life underwriting </w:t>
      </w:r>
      <w:r w:rsidR="00570CF0">
        <w:rPr>
          <w:rFonts w:ascii="Calibri" w:hAnsi="Calibri" w:cs="Calibri"/>
        </w:rPr>
        <w:t xml:space="preserve">. . . </w:t>
      </w:r>
      <w:r w:rsidRPr="001F052E">
        <w:rPr>
          <w:rFonts w:ascii="Calibri" w:hAnsi="Calibri" w:cs="Calibri"/>
        </w:rPr>
        <w:t xml:space="preserve">and, if appropriate, drafting guidance for the states.” </w:t>
      </w:r>
      <w:r w:rsidR="00624304">
        <w:rPr>
          <w:rFonts w:ascii="Calibri" w:hAnsi="Calibri" w:cs="Calibri"/>
        </w:rPr>
        <w:t xml:space="preserve">The Working Group has been considering the effects of accelerated </w:t>
      </w:r>
      <w:r w:rsidR="00105F6C">
        <w:rPr>
          <w:rFonts w:ascii="Calibri" w:hAnsi="Calibri" w:cs="Calibri"/>
        </w:rPr>
        <w:t>u</w:t>
      </w:r>
      <w:r w:rsidR="00624304">
        <w:rPr>
          <w:rFonts w:ascii="Calibri" w:hAnsi="Calibri" w:cs="Calibri"/>
        </w:rPr>
        <w:t>nderwriting in life insurance since 2019, a</w:t>
      </w:r>
      <w:r w:rsidR="007F525F">
        <w:rPr>
          <w:rFonts w:ascii="Calibri" w:hAnsi="Calibri" w:cs="Calibri"/>
        </w:rPr>
        <w:t xml:space="preserve">nd </w:t>
      </w:r>
      <w:r w:rsidR="00105F6C">
        <w:rPr>
          <w:rFonts w:ascii="Calibri" w:hAnsi="Calibri" w:cs="Calibri"/>
        </w:rPr>
        <w:t xml:space="preserve">during that time </w:t>
      </w:r>
      <w:r w:rsidR="007F525F">
        <w:rPr>
          <w:rFonts w:ascii="Calibri" w:hAnsi="Calibri" w:cs="Calibri"/>
        </w:rPr>
        <w:t>the definition</w:t>
      </w:r>
      <w:r w:rsidR="00DB0FBE">
        <w:rPr>
          <w:rFonts w:ascii="Calibri" w:hAnsi="Calibri" w:cs="Calibri"/>
        </w:rPr>
        <w:t>s</w:t>
      </w:r>
      <w:r w:rsidR="007F525F">
        <w:rPr>
          <w:rFonts w:ascii="Calibri" w:hAnsi="Calibri" w:cs="Calibri"/>
        </w:rPr>
        <w:t xml:space="preserve"> of </w:t>
      </w:r>
      <w:r w:rsidR="00C70F3C">
        <w:rPr>
          <w:rFonts w:ascii="Calibri" w:hAnsi="Calibri" w:cs="Calibri"/>
        </w:rPr>
        <w:t>artificial intelligence and</w:t>
      </w:r>
      <w:r w:rsidR="009F75E6">
        <w:rPr>
          <w:rFonts w:ascii="Calibri" w:hAnsi="Calibri" w:cs="Calibri"/>
        </w:rPr>
        <w:t xml:space="preserve"> </w:t>
      </w:r>
      <w:r w:rsidR="007F525F">
        <w:rPr>
          <w:rFonts w:ascii="Calibri" w:hAnsi="Calibri" w:cs="Calibri"/>
        </w:rPr>
        <w:t xml:space="preserve">accelerated underwriting </w:t>
      </w:r>
      <w:r w:rsidR="00CB7A0B">
        <w:rPr>
          <w:rFonts w:ascii="Calibri" w:hAnsi="Calibri" w:cs="Calibri"/>
        </w:rPr>
        <w:t xml:space="preserve">and </w:t>
      </w:r>
      <w:r w:rsidR="006726CD">
        <w:rPr>
          <w:rFonts w:ascii="Calibri" w:hAnsi="Calibri" w:cs="Calibri"/>
        </w:rPr>
        <w:t>their</w:t>
      </w:r>
      <w:r w:rsidR="007F525F">
        <w:rPr>
          <w:rFonts w:ascii="Calibri" w:hAnsi="Calibri" w:cs="Calibri"/>
        </w:rPr>
        <w:t xml:space="preserve"> use in life insurance has evolved.</w:t>
      </w:r>
    </w:p>
    <w:p w14:paraId="4DB7406C" w14:textId="77777777" w:rsidR="00845D03" w:rsidRPr="001F052E" w:rsidRDefault="00845D03" w:rsidP="0023400A">
      <w:pPr>
        <w:jc w:val="both"/>
        <w:rPr>
          <w:rFonts w:ascii="Calibri" w:hAnsi="Calibri" w:cs="Calibri"/>
        </w:rPr>
      </w:pPr>
    </w:p>
    <w:p w14:paraId="5B681E27" w14:textId="7AC4E5BE" w:rsidR="00845D03" w:rsidRPr="001F052E" w:rsidRDefault="00456CD3" w:rsidP="0023400A">
      <w:pPr>
        <w:jc w:val="both"/>
        <w:rPr>
          <w:rFonts w:ascii="Calibri" w:hAnsi="Calibri" w:cs="Calibri"/>
        </w:rPr>
      </w:pPr>
      <w:r w:rsidRPr="001F052E">
        <w:rPr>
          <w:rFonts w:ascii="Calibri" w:hAnsi="Calibri" w:cs="Calibri"/>
        </w:rPr>
        <w:t xml:space="preserve">A significant portion of the </w:t>
      </w:r>
      <w:r w:rsidR="00B710AC">
        <w:rPr>
          <w:rFonts w:ascii="Calibri" w:hAnsi="Calibri" w:cs="Calibri"/>
        </w:rPr>
        <w:t xml:space="preserve">early work of the </w:t>
      </w:r>
      <w:r w:rsidRPr="001F052E">
        <w:rPr>
          <w:rFonts w:ascii="Calibri" w:hAnsi="Calibri" w:cs="Calibri"/>
        </w:rPr>
        <w:t xml:space="preserve">AUWG benefitted from a multitude of </w:t>
      </w:r>
      <w:r w:rsidR="00845D03" w:rsidRPr="001F052E">
        <w:rPr>
          <w:rFonts w:ascii="Calibri" w:hAnsi="Calibri" w:cs="Calibri"/>
        </w:rPr>
        <w:t>presentations from the life insurance industry, actuarial consulting firms,</w:t>
      </w:r>
      <w:r w:rsidR="00AB03BF" w:rsidRPr="001F052E">
        <w:rPr>
          <w:rFonts w:ascii="Calibri" w:hAnsi="Calibri" w:cs="Calibri"/>
        </w:rPr>
        <w:t xml:space="preserve"> a</w:t>
      </w:r>
      <w:r w:rsidR="00845D03" w:rsidRPr="001F052E">
        <w:rPr>
          <w:rFonts w:ascii="Calibri" w:hAnsi="Calibri" w:cs="Calibri"/>
        </w:rPr>
        <w:t xml:space="preserve"> machine learning assurance compan</w:t>
      </w:r>
      <w:r w:rsidR="001D530A" w:rsidRPr="001F052E">
        <w:rPr>
          <w:rFonts w:ascii="Calibri" w:hAnsi="Calibri" w:cs="Calibri"/>
        </w:rPr>
        <w:t>y</w:t>
      </w:r>
      <w:r w:rsidR="00845D03" w:rsidRPr="001F052E">
        <w:rPr>
          <w:rFonts w:ascii="Calibri" w:hAnsi="Calibri" w:cs="Calibri"/>
        </w:rPr>
        <w:t xml:space="preserve">, and consumer advocate groups. These presentations </w:t>
      </w:r>
      <w:r w:rsidR="00AB5E5F" w:rsidRPr="001F052E">
        <w:rPr>
          <w:rFonts w:ascii="Calibri" w:hAnsi="Calibri" w:cs="Calibri"/>
        </w:rPr>
        <w:t>are</w:t>
      </w:r>
      <w:r w:rsidR="00845D03" w:rsidRPr="001F052E">
        <w:rPr>
          <w:rFonts w:ascii="Calibri" w:hAnsi="Calibri" w:cs="Calibri"/>
        </w:rPr>
        <w:t xml:space="preserve"> summarized in an </w:t>
      </w:r>
      <w:hyperlink r:id="rId8" w:history="1">
        <w:r w:rsidR="00845D03" w:rsidRPr="001F052E">
          <w:rPr>
            <w:rStyle w:val="Hyperlink"/>
            <w:rFonts w:ascii="Calibri" w:hAnsi="Calibri" w:cs="Calibri"/>
          </w:rPr>
          <w:t>educational paper</w:t>
        </w:r>
      </w:hyperlink>
      <w:r w:rsidR="009C47E8">
        <w:rPr>
          <w:rFonts w:ascii="Calibri" w:hAnsi="Calibri" w:cs="Calibri"/>
        </w:rPr>
        <w:t xml:space="preserve"> (Appendix 1)</w:t>
      </w:r>
      <w:r w:rsidR="00845D03" w:rsidRPr="001F052E">
        <w:rPr>
          <w:rFonts w:ascii="Calibri" w:hAnsi="Calibri" w:cs="Calibri"/>
        </w:rPr>
        <w:t xml:space="preserve"> </w:t>
      </w:r>
      <w:r w:rsidR="008715A3" w:rsidRPr="001F052E">
        <w:rPr>
          <w:rFonts w:ascii="Calibri" w:hAnsi="Calibri" w:cs="Calibri"/>
        </w:rPr>
        <w:t>adopted by</w:t>
      </w:r>
      <w:r w:rsidR="00845D03" w:rsidRPr="001F052E">
        <w:rPr>
          <w:rFonts w:ascii="Calibri" w:hAnsi="Calibri" w:cs="Calibri"/>
        </w:rPr>
        <w:t xml:space="preserve"> the Life Insurance and Annuities (A) Committee at the </w:t>
      </w:r>
      <w:r w:rsidR="000826DA" w:rsidRPr="001F052E">
        <w:rPr>
          <w:rFonts w:ascii="Calibri" w:hAnsi="Calibri" w:cs="Calibri"/>
        </w:rPr>
        <w:t xml:space="preserve">NAIC </w:t>
      </w:r>
      <w:r w:rsidR="00845D03" w:rsidRPr="001F052E">
        <w:rPr>
          <w:rFonts w:ascii="Calibri" w:hAnsi="Calibri" w:cs="Calibri"/>
        </w:rPr>
        <w:t xml:space="preserve">2022 Spring National Meeting. </w:t>
      </w:r>
    </w:p>
    <w:p w14:paraId="2F263354" w14:textId="77777777" w:rsidR="00845D03" w:rsidRPr="001F052E" w:rsidRDefault="00845D03" w:rsidP="0023400A">
      <w:pPr>
        <w:jc w:val="both"/>
        <w:rPr>
          <w:rFonts w:ascii="Calibri" w:hAnsi="Calibri" w:cs="Calibri"/>
        </w:rPr>
      </w:pPr>
    </w:p>
    <w:p w14:paraId="678BFA80" w14:textId="658B18C6" w:rsidR="00845D03" w:rsidRPr="001F052E" w:rsidRDefault="00845D03" w:rsidP="0023400A">
      <w:pPr>
        <w:jc w:val="both"/>
        <w:rPr>
          <w:rFonts w:ascii="Calibri" w:hAnsi="Calibri" w:cs="Calibri"/>
        </w:rPr>
      </w:pPr>
      <w:r w:rsidRPr="001F052E">
        <w:rPr>
          <w:rFonts w:ascii="Calibri" w:hAnsi="Calibri" w:cs="Calibri"/>
        </w:rPr>
        <w:t>The educational paper includes recommendations for insurers and regulators designed to ensure new technologies are utilized by life insurers in ways that comply with existing</w:t>
      </w:r>
      <w:r w:rsidR="0025479B" w:rsidRPr="001F052E">
        <w:rPr>
          <w:rFonts w:ascii="Calibri" w:hAnsi="Calibri" w:cs="Calibri"/>
        </w:rPr>
        <w:t xml:space="preserve"> insurance</w:t>
      </w:r>
      <w:r w:rsidRPr="001F052E">
        <w:rPr>
          <w:rFonts w:ascii="Calibri" w:hAnsi="Calibri" w:cs="Calibri"/>
        </w:rPr>
        <w:t xml:space="preserve"> law. While existing insurance laws vary from state to state, </w:t>
      </w:r>
      <w:r w:rsidR="00237F7E" w:rsidRPr="001F052E">
        <w:rPr>
          <w:rFonts w:ascii="Calibri" w:hAnsi="Calibri" w:cs="Calibri"/>
        </w:rPr>
        <w:t xml:space="preserve">the recommendations acknowledge that </w:t>
      </w:r>
      <w:r w:rsidRPr="001F052E">
        <w:rPr>
          <w:rFonts w:ascii="Calibri" w:hAnsi="Calibri" w:cs="Calibri"/>
        </w:rPr>
        <w:t>most states</w:t>
      </w:r>
      <w:r w:rsidR="00D31011" w:rsidRPr="001F052E">
        <w:rPr>
          <w:rFonts w:ascii="Calibri" w:hAnsi="Calibri" w:cs="Calibri"/>
        </w:rPr>
        <w:t>: 1)</w:t>
      </w:r>
      <w:r w:rsidRPr="001F052E">
        <w:rPr>
          <w:rFonts w:ascii="Calibri" w:hAnsi="Calibri" w:cs="Calibri"/>
        </w:rPr>
        <w:t xml:space="preserve"> require life insurance underwriting to be based on expected losses and expenses</w:t>
      </w:r>
      <w:r w:rsidR="00237F7E" w:rsidRPr="001F052E">
        <w:rPr>
          <w:rFonts w:ascii="Calibri" w:hAnsi="Calibri" w:cs="Calibri"/>
        </w:rPr>
        <w:t xml:space="preserve">; </w:t>
      </w:r>
      <w:r w:rsidR="00D31011" w:rsidRPr="001F052E">
        <w:rPr>
          <w:rFonts w:ascii="Calibri" w:hAnsi="Calibri" w:cs="Calibri"/>
        </w:rPr>
        <w:t xml:space="preserve">2) </w:t>
      </w:r>
      <w:r w:rsidR="00237F7E" w:rsidRPr="001F052E">
        <w:rPr>
          <w:rFonts w:ascii="Calibri" w:hAnsi="Calibri" w:cs="Calibri"/>
        </w:rPr>
        <w:t xml:space="preserve">require </w:t>
      </w:r>
      <w:r w:rsidRPr="001F052E">
        <w:rPr>
          <w:rFonts w:ascii="Calibri" w:hAnsi="Calibri" w:cs="Calibri"/>
        </w:rPr>
        <w:t xml:space="preserve">insurers that collect consumer data </w:t>
      </w:r>
      <w:r w:rsidRPr="001F052E">
        <w:rPr>
          <w:rFonts w:ascii="Calibri" w:hAnsi="Calibri" w:cs="Calibri"/>
          <w:color w:val="000000" w:themeColor="text1"/>
        </w:rPr>
        <w:t xml:space="preserve">to </w:t>
      </w:r>
      <w:r w:rsidRPr="001F052E">
        <w:rPr>
          <w:rFonts w:ascii="Calibri" w:hAnsi="Calibri" w:cs="Calibri"/>
        </w:rPr>
        <w:t>maintain that data in secure systems</w:t>
      </w:r>
      <w:r w:rsidR="00237F7E" w:rsidRPr="001F052E">
        <w:rPr>
          <w:rFonts w:ascii="Calibri" w:hAnsi="Calibri" w:cs="Calibri"/>
        </w:rPr>
        <w:t>; and</w:t>
      </w:r>
      <w:r w:rsidR="009F101C" w:rsidRPr="001F052E">
        <w:rPr>
          <w:rFonts w:ascii="Calibri" w:hAnsi="Calibri" w:cs="Calibri"/>
        </w:rPr>
        <w:t xml:space="preserve"> </w:t>
      </w:r>
      <w:r w:rsidR="00353EDE" w:rsidRPr="001F052E">
        <w:rPr>
          <w:rFonts w:ascii="Calibri" w:hAnsi="Calibri" w:cs="Calibri"/>
        </w:rPr>
        <w:t xml:space="preserve">3) </w:t>
      </w:r>
      <w:r w:rsidRPr="001F052E">
        <w:rPr>
          <w:rFonts w:ascii="Calibri" w:hAnsi="Calibri" w:cs="Calibri"/>
        </w:rPr>
        <w:t>prohibit unfair discrimination in insurance underwriting.</w:t>
      </w:r>
    </w:p>
    <w:p w14:paraId="48BFEFE8" w14:textId="3EAF0860" w:rsidR="00845D03" w:rsidRPr="001F052E" w:rsidRDefault="00845D03" w:rsidP="0023400A">
      <w:pPr>
        <w:jc w:val="both"/>
        <w:rPr>
          <w:rFonts w:ascii="Calibri" w:hAnsi="Calibri" w:cs="Calibri"/>
        </w:rPr>
      </w:pPr>
    </w:p>
    <w:p w14:paraId="2CB40B3E" w14:textId="68ABDE8F" w:rsidR="00946B7C" w:rsidRPr="001F052E" w:rsidRDefault="005357D7" w:rsidP="0023400A">
      <w:pPr>
        <w:jc w:val="both"/>
        <w:rPr>
          <w:rFonts w:ascii="Calibri" w:hAnsi="Calibri" w:cs="Calibri"/>
        </w:rPr>
      </w:pPr>
      <w:r>
        <w:rPr>
          <w:rFonts w:ascii="Calibri" w:hAnsi="Calibri" w:cs="Calibri"/>
        </w:rPr>
        <w:t>T</w:t>
      </w:r>
      <w:r w:rsidR="00237F7E" w:rsidRPr="001F052E">
        <w:rPr>
          <w:rFonts w:ascii="Calibri" w:hAnsi="Calibri" w:cs="Calibri"/>
        </w:rPr>
        <w:t xml:space="preserve">he </w:t>
      </w:r>
      <w:r w:rsidR="00946B7C" w:rsidRPr="001F052E">
        <w:rPr>
          <w:rFonts w:ascii="Calibri" w:hAnsi="Calibri" w:cs="Calibri"/>
        </w:rPr>
        <w:t>AUWG</w:t>
      </w:r>
      <w:r w:rsidR="00237F7E" w:rsidRPr="001F052E">
        <w:rPr>
          <w:rFonts w:ascii="Calibri" w:hAnsi="Calibri" w:cs="Calibri"/>
        </w:rPr>
        <w:t xml:space="preserve"> presents regulatory guidance for </w:t>
      </w:r>
      <w:r w:rsidR="00F037EA" w:rsidRPr="001F052E">
        <w:rPr>
          <w:rFonts w:ascii="Calibri" w:hAnsi="Calibri" w:cs="Calibri"/>
        </w:rPr>
        <w:t>S</w:t>
      </w:r>
      <w:r w:rsidR="00237F7E" w:rsidRPr="001F052E">
        <w:rPr>
          <w:rFonts w:ascii="Calibri" w:hAnsi="Calibri" w:cs="Calibri"/>
        </w:rPr>
        <w:t xml:space="preserve">tate Departments of Insurance </w:t>
      </w:r>
      <w:r w:rsidR="00702863" w:rsidRPr="001F052E">
        <w:rPr>
          <w:rFonts w:ascii="Calibri" w:hAnsi="Calibri" w:cs="Calibri"/>
        </w:rPr>
        <w:t xml:space="preserve">(DOIs) </w:t>
      </w:r>
      <w:r w:rsidR="00237F7E" w:rsidRPr="001F052E">
        <w:rPr>
          <w:rFonts w:ascii="Calibri" w:hAnsi="Calibri" w:cs="Calibri"/>
        </w:rPr>
        <w:t xml:space="preserve">when reviewing </w:t>
      </w:r>
      <w:r w:rsidR="007B1DE7">
        <w:rPr>
          <w:rFonts w:ascii="Calibri" w:hAnsi="Calibri" w:cs="Calibri"/>
        </w:rPr>
        <w:t>A</w:t>
      </w:r>
      <w:r w:rsidR="00237F7E" w:rsidRPr="001F052E">
        <w:rPr>
          <w:rFonts w:ascii="Calibri" w:hAnsi="Calibri" w:cs="Calibri"/>
        </w:rPr>
        <w:t xml:space="preserve">ccelerated </w:t>
      </w:r>
      <w:r w:rsidR="007B1DE7">
        <w:rPr>
          <w:rFonts w:ascii="Calibri" w:hAnsi="Calibri" w:cs="Calibri"/>
        </w:rPr>
        <w:t>U</w:t>
      </w:r>
      <w:r w:rsidR="00237F7E" w:rsidRPr="001F052E">
        <w:rPr>
          <w:rFonts w:ascii="Calibri" w:hAnsi="Calibri" w:cs="Calibri"/>
        </w:rPr>
        <w:t>nderwritin</w:t>
      </w:r>
      <w:r w:rsidR="00237F7E" w:rsidRPr="001F052E">
        <w:rPr>
          <w:rFonts w:ascii="Calibri" w:hAnsi="Calibri" w:cs="Calibri"/>
          <w:color w:val="000000" w:themeColor="text1"/>
        </w:rPr>
        <w:t xml:space="preserve">g programs used by life insurers. </w:t>
      </w:r>
      <w:r w:rsidR="00946B7C" w:rsidRPr="001F052E">
        <w:rPr>
          <w:rFonts w:ascii="Calibri" w:hAnsi="Calibri" w:cs="Calibri"/>
          <w:color w:val="000000" w:themeColor="text1"/>
        </w:rPr>
        <w:t xml:space="preserve">The regulatory guidance expounds on the recommendations </w:t>
      </w:r>
      <w:r w:rsidR="00CB673B" w:rsidRPr="001F052E">
        <w:rPr>
          <w:rFonts w:ascii="Calibri" w:hAnsi="Calibri" w:cs="Calibri"/>
          <w:color w:val="000000" w:themeColor="text1"/>
        </w:rPr>
        <w:t xml:space="preserve">the </w:t>
      </w:r>
      <w:r w:rsidR="00946B7C" w:rsidRPr="001F052E">
        <w:rPr>
          <w:rFonts w:ascii="Calibri" w:hAnsi="Calibri" w:cs="Calibri"/>
          <w:color w:val="000000" w:themeColor="text1"/>
        </w:rPr>
        <w:t xml:space="preserve">AUWG made in its educational paper and provides sample questions and areas for review </w:t>
      </w:r>
      <w:r w:rsidR="00946B7C" w:rsidRPr="001F052E">
        <w:rPr>
          <w:rFonts w:ascii="Calibri" w:hAnsi="Calibri" w:cs="Calibri"/>
        </w:rPr>
        <w:t xml:space="preserve">for DOIs. </w:t>
      </w:r>
    </w:p>
    <w:p w14:paraId="71B52999" w14:textId="77777777" w:rsidR="00946B7C" w:rsidRPr="001F052E" w:rsidRDefault="00946B7C" w:rsidP="0023400A">
      <w:pPr>
        <w:jc w:val="both"/>
        <w:rPr>
          <w:rFonts w:ascii="Calibri" w:hAnsi="Calibri" w:cs="Calibri"/>
        </w:rPr>
      </w:pPr>
    </w:p>
    <w:p w14:paraId="7513E19A" w14:textId="3E03E19F" w:rsidR="00796A5D" w:rsidRPr="001F052E" w:rsidRDefault="003530BA" w:rsidP="0023400A">
      <w:pPr>
        <w:jc w:val="both"/>
        <w:rPr>
          <w:rFonts w:ascii="Calibri" w:hAnsi="Calibri" w:cs="Calibri"/>
          <w:iCs/>
        </w:rPr>
      </w:pPr>
      <w:r w:rsidRPr="001F052E">
        <w:rPr>
          <w:rFonts w:ascii="Calibri" w:hAnsi="Calibri" w:cs="Calibri"/>
        </w:rPr>
        <w:t>Also</w:t>
      </w:r>
      <w:r w:rsidR="00733404" w:rsidRPr="001F052E">
        <w:rPr>
          <w:rFonts w:ascii="Calibri" w:hAnsi="Calibri" w:cs="Calibri"/>
        </w:rPr>
        <w:t xml:space="preserve">, the AUWG </w:t>
      </w:r>
      <w:r w:rsidRPr="001F052E">
        <w:rPr>
          <w:rFonts w:ascii="Calibri" w:hAnsi="Calibri" w:cs="Calibri"/>
        </w:rPr>
        <w:t xml:space="preserve">is </w:t>
      </w:r>
      <w:r w:rsidR="002F6239" w:rsidRPr="001F052E">
        <w:rPr>
          <w:rFonts w:ascii="Calibri" w:hAnsi="Calibri" w:cs="Calibri"/>
        </w:rPr>
        <w:t xml:space="preserve">making </w:t>
      </w:r>
      <w:r w:rsidRPr="001F052E">
        <w:rPr>
          <w:rFonts w:ascii="Calibri" w:hAnsi="Calibri" w:cs="Calibri"/>
        </w:rPr>
        <w:t xml:space="preserve">a referral </w:t>
      </w:r>
      <w:r w:rsidR="00B772B2" w:rsidRPr="00B772B2">
        <w:rPr>
          <w:rFonts w:ascii="Calibri" w:hAnsi="Calibri" w:cs="Calibri"/>
        </w:rPr>
        <w:t xml:space="preserve"> (Appendix 2)</w:t>
      </w:r>
      <w:r w:rsidR="00B772B2">
        <w:rPr>
          <w:rFonts w:ascii="Calibri" w:hAnsi="Calibri" w:cs="Calibri"/>
        </w:rPr>
        <w:t xml:space="preserve"> </w:t>
      </w:r>
      <w:r w:rsidRPr="001F052E">
        <w:rPr>
          <w:rFonts w:ascii="Calibri" w:hAnsi="Calibri" w:cs="Calibri"/>
        </w:rPr>
        <w:t xml:space="preserve">to the Market Conduct Examination Guidelines (D) Working Group of the Market Regulation and Consumer Affairs (D) Committee with suggested additions to the </w:t>
      </w:r>
      <w:r w:rsidR="00946B7C" w:rsidRPr="001F052E">
        <w:rPr>
          <w:rFonts w:ascii="Calibri" w:hAnsi="Calibri" w:cs="Calibri"/>
        </w:rPr>
        <w:t xml:space="preserve">NAIC’s </w:t>
      </w:r>
      <w:r w:rsidR="00946B7C" w:rsidRPr="001F052E">
        <w:rPr>
          <w:rFonts w:ascii="Calibri" w:hAnsi="Calibri" w:cs="Calibri"/>
          <w:i/>
        </w:rPr>
        <w:t>Market Regulation Handbook</w:t>
      </w:r>
      <w:r w:rsidR="00946B7C" w:rsidRPr="001F052E">
        <w:rPr>
          <w:rFonts w:ascii="Calibri" w:hAnsi="Calibri" w:cs="Calibri"/>
        </w:rPr>
        <w:t xml:space="preserve"> (MRH)</w:t>
      </w:r>
      <w:r w:rsidRPr="001F052E">
        <w:rPr>
          <w:rFonts w:ascii="Calibri" w:hAnsi="Calibri" w:cs="Calibri"/>
        </w:rPr>
        <w:t xml:space="preserve">. </w:t>
      </w:r>
      <w:r w:rsidR="00237F7E" w:rsidRPr="001F052E">
        <w:rPr>
          <w:rFonts w:ascii="Calibri" w:hAnsi="Calibri" w:cs="Calibri"/>
        </w:rPr>
        <w:t xml:space="preserve">The </w:t>
      </w:r>
      <w:r w:rsidR="00946B7C" w:rsidRPr="001F052E">
        <w:rPr>
          <w:rFonts w:ascii="Calibri" w:hAnsi="Calibri" w:cs="Calibri"/>
        </w:rPr>
        <w:t>AUWG</w:t>
      </w:r>
      <w:r w:rsidR="00237F7E" w:rsidRPr="001F052E">
        <w:rPr>
          <w:rFonts w:ascii="Calibri" w:hAnsi="Calibri" w:cs="Calibri"/>
        </w:rPr>
        <w:t xml:space="preserve"> </w:t>
      </w:r>
      <w:r w:rsidR="0083440E" w:rsidRPr="001F052E">
        <w:rPr>
          <w:rFonts w:ascii="Calibri" w:hAnsi="Calibri" w:cs="Calibri"/>
        </w:rPr>
        <w:t xml:space="preserve">has concluded </w:t>
      </w:r>
      <w:r w:rsidR="009910E0" w:rsidRPr="001F052E">
        <w:rPr>
          <w:rFonts w:ascii="Calibri" w:hAnsi="Calibri" w:cs="Calibri"/>
        </w:rPr>
        <w:t>that it</w:t>
      </w:r>
      <w:r w:rsidR="00964E8F" w:rsidRPr="001F052E">
        <w:rPr>
          <w:rFonts w:ascii="Calibri" w:hAnsi="Calibri" w:cs="Calibri"/>
        </w:rPr>
        <w:t xml:space="preserve"> </w:t>
      </w:r>
      <w:r w:rsidR="00790071" w:rsidRPr="001F052E">
        <w:rPr>
          <w:rFonts w:ascii="Calibri" w:hAnsi="Calibri" w:cs="Calibri"/>
        </w:rPr>
        <w:t>w</w:t>
      </w:r>
      <w:r w:rsidR="009910E0" w:rsidRPr="001F052E">
        <w:rPr>
          <w:rFonts w:ascii="Calibri" w:hAnsi="Calibri" w:cs="Calibri"/>
        </w:rPr>
        <w:t xml:space="preserve">ould be beneficial </w:t>
      </w:r>
      <w:r w:rsidR="00237F7E" w:rsidRPr="001F052E">
        <w:rPr>
          <w:rFonts w:ascii="Calibri" w:hAnsi="Calibri" w:cs="Calibri"/>
        </w:rPr>
        <w:t>to include additional guidance in the NAIC’s MRH that address</w:t>
      </w:r>
      <w:r w:rsidR="0083440E" w:rsidRPr="001F052E">
        <w:rPr>
          <w:rFonts w:ascii="Calibri" w:hAnsi="Calibri" w:cs="Calibri"/>
        </w:rPr>
        <w:t>es</w:t>
      </w:r>
      <w:r w:rsidR="00237F7E" w:rsidRPr="001F052E">
        <w:rPr>
          <w:rFonts w:ascii="Calibri" w:hAnsi="Calibri" w:cs="Calibri"/>
        </w:rPr>
        <w:t xml:space="preserve"> questions involving </w:t>
      </w:r>
      <w:r w:rsidR="007B1DE7">
        <w:rPr>
          <w:rFonts w:ascii="Calibri" w:hAnsi="Calibri" w:cs="Calibri"/>
        </w:rPr>
        <w:t>A</w:t>
      </w:r>
      <w:r w:rsidR="00237F7E" w:rsidRPr="001F052E">
        <w:rPr>
          <w:rFonts w:ascii="Calibri" w:hAnsi="Calibri" w:cs="Calibri"/>
        </w:rPr>
        <w:t xml:space="preserve">ccelerated </w:t>
      </w:r>
      <w:r w:rsidR="007B1DE7">
        <w:rPr>
          <w:rFonts w:ascii="Calibri" w:hAnsi="Calibri" w:cs="Calibri"/>
        </w:rPr>
        <w:t>U</w:t>
      </w:r>
      <w:r w:rsidR="00237F7E" w:rsidRPr="001F052E">
        <w:rPr>
          <w:rFonts w:ascii="Calibri" w:hAnsi="Calibri" w:cs="Calibri"/>
        </w:rPr>
        <w:t xml:space="preserve">nderwriting in life insurance. </w:t>
      </w:r>
      <w:r w:rsidR="00964E8F" w:rsidRPr="001F052E">
        <w:rPr>
          <w:rFonts w:ascii="Calibri" w:hAnsi="Calibri" w:cs="Calibri"/>
          <w:iCs/>
        </w:rPr>
        <w:t xml:space="preserve"> </w:t>
      </w:r>
    </w:p>
    <w:p w14:paraId="6CF2205F" w14:textId="49034CAA" w:rsidR="0034772F" w:rsidRPr="001F052E" w:rsidRDefault="0034772F" w:rsidP="0023400A">
      <w:pPr>
        <w:jc w:val="both"/>
        <w:rPr>
          <w:rFonts w:ascii="Calibri" w:hAnsi="Calibri" w:cs="Calibri"/>
          <w:iCs/>
        </w:rPr>
      </w:pPr>
    </w:p>
    <w:p w14:paraId="261B854A" w14:textId="08ADDF4B" w:rsidR="00116F25" w:rsidRPr="001F052E" w:rsidRDefault="00AE5F98" w:rsidP="001F052E">
      <w:pPr>
        <w:jc w:val="both"/>
        <w:rPr>
          <w:rFonts w:ascii="Calibri" w:hAnsi="Calibri" w:cs="Calibri"/>
          <w:iCs/>
        </w:rPr>
      </w:pPr>
      <w:r>
        <w:rPr>
          <w:rFonts w:ascii="Calibri" w:hAnsi="Calibri" w:cs="Calibri"/>
          <w:iCs/>
        </w:rPr>
        <w:t>T</w:t>
      </w:r>
      <w:r w:rsidR="004A71FD" w:rsidRPr="001F052E">
        <w:rPr>
          <w:rFonts w:ascii="Calibri" w:hAnsi="Calibri" w:cs="Calibri"/>
          <w:iCs/>
        </w:rPr>
        <w:t xml:space="preserve">here are other NAIC groups working on similar or overlapping issues related to </w:t>
      </w:r>
      <w:r w:rsidR="007B1DE7">
        <w:rPr>
          <w:rFonts w:ascii="Calibri" w:hAnsi="Calibri" w:cs="Calibri"/>
          <w:iCs/>
        </w:rPr>
        <w:t>A</w:t>
      </w:r>
      <w:r w:rsidR="004A71FD" w:rsidRPr="001F052E">
        <w:rPr>
          <w:rFonts w:ascii="Calibri" w:hAnsi="Calibri" w:cs="Calibri"/>
          <w:iCs/>
        </w:rPr>
        <w:t xml:space="preserve">ccelerated </w:t>
      </w:r>
      <w:r w:rsidR="007B1DE7">
        <w:rPr>
          <w:rFonts w:ascii="Calibri" w:hAnsi="Calibri" w:cs="Calibri"/>
          <w:iCs/>
        </w:rPr>
        <w:t>U</w:t>
      </w:r>
      <w:r w:rsidR="004A71FD" w:rsidRPr="001F052E">
        <w:rPr>
          <w:rFonts w:ascii="Calibri" w:hAnsi="Calibri" w:cs="Calibri"/>
          <w:iCs/>
        </w:rPr>
        <w:t xml:space="preserve">nderwriting. </w:t>
      </w:r>
      <w:r w:rsidR="00832070" w:rsidRPr="001F052E">
        <w:rPr>
          <w:rFonts w:ascii="Calibri" w:hAnsi="Calibri" w:cs="Calibri"/>
          <w:iCs/>
        </w:rPr>
        <w:t>The</w:t>
      </w:r>
      <w:r w:rsidR="009A65B1" w:rsidRPr="001F052E">
        <w:rPr>
          <w:rFonts w:ascii="Calibri" w:hAnsi="Calibri" w:cs="Calibri"/>
          <w:iCs/>
        </w:rPr>
        <w:t xml:space="preserve"> AUWG </w:t>
      </w:r>
      <w:r w:rsidR="00DF3DD8">
        <w:rPr>
          <w:rFonts w:ascii="Calibri" w:hAnsi="Calibri" w:cs="Calibri"/>
          <w:iCs/>
        </w:rPr>
        <w:t>has considered and incorporated relevant content from</w:t>
      </w:r>
      <w:r w:rsidR="009A65B1" w:rsidRPr="001F052E">
        <w:rPr>
          <w:rFonts w:ascii="Calibri" w:hAnsi="Calibri" w:cs="Calibri"/>
          <w:iCs/>
        </w:rPr>
        <w:t xml:space="preserve"> the following:</w:t>
      </w:r>
    </w:p>
    <w:p w14:paraId="527EB02D" w14:textId="77777777" w:rsidR="00C43161" w:rsidRDefault="00C43161" w:rsidP="0023400A">
      <w:pPr>
        <w:jc w:val="both"/>
        <w:rPr>
          <w:rFonts w:ascii="Calibri" w:hAnsi="Calibri" w:cs="Calibri"/>
          <w:iCs/>
        </w:rPr>
      </w:pPr>
    </w:p>
    <w:p w14:paraId="0480FD12" w14:textId="32C88AB9" w:rsidR="00C43161" w:rsidRPr="00675181" w:rsidRDefault="00C43161" w:rsidP="0023400A">
      <w:pPr>
        <w:jc w:val="both"/>
        <w:rPr>
          <w:rFonts w:ascii="Calibri" w:hAnsi="Calibri" w:cs="Calibri"/>
          <w:iCs/>
        </w:rPr>
      </w:pPr>
      <w:r w:rsidRPr="00675181">
        <w:rPr>
          <w:rFonts w:ascii="Calibri" w:hAnsi="Calibri" w:cs="Calibri"/>
          <w:iCs/>
        </w:rPr>
        <w:t>From 2020:</w:t>
      </w:r>
    </w:p>
    <w:p w14:paraId="6379402D" w14:textId="77777777" w:rsidR="00C43161" w:rsidRPr="00675181" w:rsidRDefault="00C43161" w:rsidP="0023400A">
      <w:pPr>
        <w:pStyle w:val="ListParagraph"/>
        <w:numPr>
          <w:ilvl w:val="0"/>
          <w:numId w:val="7"/>
        </w:numPr>
        <w:spacing w:line="259" w:lineRule="auto"/>
        <w:rPr>
          <w:rFonts w:cs="Calibri"/>
          <w:b/>
          <w:bCs/>
          <w:i/>
        </w:rPr>
      </w:pPr>
      <w:r w:rsidRPr="00675181">
        <w:rPr>
          <w:rFonts w:cs="Calibri"/>
          <w:b/>
          <w:bCs/>
          <w:i/>
        </w:rPr>
        <w:t>The National Association of Insurance Commissioners (NAIC) Principles on Artificial Intelligence (AI)</w:t>
      </w:r>
    </w:p>
    <w:p w14:paraId="3D9FF7BB" w14:textId="248607C2" w:rsidR="00C43161" w:rsidRPr="00675181" w:rsidRDefault="00C43161" w:rsidP="0023400A">
      <w:pPr>
        <w:jc w:val="both"/>
        <w:rPr>
          <w:rFonts w:ascii="Calibri" w:hAnsi="Calibri" w:cs="Calibri"/>
        </w:rPr>
      </w:pPr>
      <w:r w:rsidRPr="2625DD17">
        <w:rPr>
          <w:rFonts w:ascii="Calibri" w:hAnsi="Calibri" w:cs="Calibri"/>
        </w:rPr>
        <w:t xml:space="preserve">On August 14, 2020, the NAIC membership adopted the </w:t>
      </w:r>
      <w:hyperlink r:id="rId9">
        <w:r w:rsidRPr="2625DD17">
          <w:rPr>
            <w:rStyle w:val="Hyperlink"/>
            <w:rFonts w:ascii="Calibri" w:hAnsi="Calibri" w:cs="Calibri"/>
            <w:i/>
            <w:iCs/>
            <w:color w:val="0070C0"/>
          </w:rPr>
          <w:t>NAIC Principles on AI</w:t>
        </w:r>
      </w:hyperlink>
      <w:r w:rsidRPr="2625DD17">
        <w:rPr>
          <w:rFonts w:ascii="Calibri" w:hAnsi="Calibri" w:cs="Calibri"/>
          <w:color w:val="FFC000" w:themeColor="accent4"/>
        </w:rPr>
        <w:t xml:space="preserve"> </w:t>
      </w:r>
      <w:r w:rsidRPr="2625DD17">
        <w:rPr>
          <w:rFonts w:ascii="Calibri" w:hAnsi="Calibri" w:cs="Calibri"/>
        </w:rPr>
        <w:t>(</w:t>
      </w:r>
      <w:r w:rsidRPr="00C24ABC">
        <w:rPr>
          <w:rFonts w:ascii="Calibri" w:hAnsi="Calibri" w:cs="Calibri"/>
        </w:rPr>
        <w:t>AI Principles</w:t>
      </w:r>
      <w:r w:rsidRPr="2625DD17">
        <w:rPr>
          <w:rFonts w:ascii="Calibri" w:hAnsi="Calibri" w:cs="Calibri"/>
        </w:rPr>
        <w:t xml:space="preserve">) (Appendix </w:t>
      </w:r>
      <w:r w:rsidR="00BC6B63">
        <w:rPr>
          <w:rFonts w:ascii="Calibri" w:hAnsi="Calibri" w:cs="Calibri"/>
        </w:rPr>
        <w:t>3</w:t>
      </w:r>
      <w:r w:rsidRPr="2625DD17">
        <w:rPr>
          <w:rFonts w:ascii="Calibri" w:hAnsi="Calibri" w:cs="Calibri"/>
        </w:rPr>
        <w:t xml:space="preserve">). These AI Principles apply to insurance companies and all persons or entities facilitating the business of insurance that play an active role in the AI system life cycle, including third parties such as rating, data providers and advisory organizations (AI actors). The purpose of </w:t>
      </w:r>
      <w:r w:rsidRPr="2625DD17">
        <w:rPr>
          <w:rFonts w:ascii="Calibri" w:hAnsi="Calibri" w:cs="Calibri"/>
        </w:rPr>
        <w:lastRenderedPageBreak/>
        <w:t>the principles is to inform and establish general expectations for AI actors and systems, emphasizing the importance of developing AI systems that are fair and ethical, accountable, compliant with insurance laws and regulations, transparent, and safe, secure, and robust. Both the educational paper and this regulatory guidance and referral rely on the expectations articulated in the AI Principles.</w:t>
      </w:r>
      <w:r w:rsidR="00C47B26">
        <w:rPr>
          <w:rStyle w:val="FootnoteReference"/>
          <w:rFonts w:ascii="Calibri" w:hAnsi="Calibri" w:cs="Calibri"/>
        </w:rPr>
        <w:footnoteReference w:id="8"/>
      </w:r>
      <w:r w:rsidRPr="2625DD17">
        <w:rPr>
          <w:rFonts w:ascii="Calibri" w:hAnsi="Calibri" w:cs="Calibri"/>
        </w:rPr>
        <w:t xml:space="preserve"> </w:t>
      </w:r>
    </w:p>
    <w:p w14:paraId="3CEFA4AA" w14:textId="77777777" w:rsidR="00C43161" w:rsidRPr="00675181" w:rsidRDefault="00C43161" w:rsidP="0023400A">
      <w:pPr>
        <w:jc w:val="both"/>
        <w:rPr>
          <w:rFonts w:ascii="Calibri" w:hAnsi="Calibri" w:cs="Calibri"/>
          <w:iCs/>
        </w:rPr>
      </w:pPr>
    </w:p>
    <w:p w14:paraId="508CDE88" w14:textId="613E74AE" w:rsidR="00C43161" w:rsidRPr="00675181" w:rsidRDefault="00C43161" w:rsidP="0023400A">
      <w:pPr>
        <w:rPr>
          <w:rFonts w:ascii="Calibri" w:hAnsi="Calibri" w:cs="Calibri"/>
          <w:iCs/>
        </w:rPr>
      </w:pPr>
      <w:r w:rsidRPr="00675181">
        <w:rPr>
          <w:rFonts w:ascii="Calibri" w:hAnsi="Calibri" w:cs="Calibri"/>
          <w:iCs/>
        </w:rPr>
        <w:t>From 2021</w:t>
      </w:r>
      <w:r w:rsidR="008E29EF">
        <w:rPr>
          <w:rFonts w:ascii="Calibri" w:hAnsi="Calibri" w:cs="Calibri"/>
          <w:iCs/>
        </w:rPr>
        <w:t>:</w:t>
      </w:r>
    </w:p>
    <w:p w14:paraId="4741D9E7" w14:textId="77777777" w:rsidR="00C43161" w:rsidRPr="00675181" w:rsidRDefault="00C43161" w:rsidP="0023400A">
      <w:pPr>
        <w:numPr>
          <w:ilvl w:val="0"/>
          <w:numId w:val="7"/>
        </w:numPr>
        <w:spacing w:line="259" w:lineRule="auto"/>
        <w:rPr>
          <w:rFonts w:ascii="Calibri" w:hAnsi="Calibri" w:cs="Calibri"/>
          <w:iCs/>
        </w:rPr>
      </w:pPr>
      <w:r w:rsidRPr="00675181">
        <w:rPr>
          <w:rFonts w:ascii="Calibri" w:hAnsi="Calibri" w:cs="Calibri"/>
          <w:b/>
          <w:bCs/>
          <w:iCs/>
        </w:rPr>
        <w:t xml:space="preserve">The Casualty Actuarial and Statistical Task Force </w:t>
      </w:r>
      <w:r w:rsidRPr="00675181">
        <w:rPr>
          <w:rFonts w:ascii="Calibri" w:hAnsi="Calibri" w:cs="Calibri"/>
          <w:b/>
          <w:bCs/>
          <w:i/>
          <w:iCs/>
        </w:rPr>
        <w:t>Regulatory Review of Predictive Models White Paper</w:t>
      </w:r>
      <w:r w:rsidRPr="00675181">
        <w:rPr>
          <w:rFonts w:ascii="Calibri" w:hAnsi="Calibri" w:cs="Calibri"/>
          <w:b/>
          <w:bCs/>
          <w:iCs/>
        </w:rPr>
        <w:t xml:space="preserve">: </w:t>
      </w:r>
    </w:p>
    <w:p w14:paraId="44514C3C" w14:textId="07D1A8E0" w:rsidR="00C43161" w:rsidRPr="00675181" w:rsidRDefault="00C43161" w:rsidP="0023400A">
      <w:pPr>
        <w:jc w:val="both"/>
        <w:rPr>
          <w:rFonts w:ascii="Calibri" w:hAnsi="Calibri" w:cs="Calibri"/>
          <w:iCs/>
        </w:rPr>
      </w:pPr>
      <w:r w:rsidRPr="00675181">
        <w:rPr>
          <w:rFonts w:ascii="Calibri" w:hAnsi="Calibri" w:cs="Calibri"/>
          <w:iCs/>
        </w:rPr>
        <w:t xml:space="preserve">The NAIC adopted the Casualty Actuarial and Statistical Task Force of Property and Casualty </w:t>
      </w:r>
      <w:r w:rsidR="00F87241">
        <w:rPr>
          <w:rFonts w:ascii="Calibri" w:hAnsi="Calibri" w:cs="Calibri"/>
          <w:iCs/>
        </w:rPr>
        <w:t>I</w:t>
      </w:r>
      <w:r w:rsidRPr="00675181">
        <w:rPr>
          <w:rFonts w:ascii="Calibri" w:hAnsi="Calibri" w:cs="Calibri"/>
          <w:iCs/>
        </w:rPr>
        <w:t xml:space="preserve"> Committee’s </w:t>
      </w:r>
      <w:hyperlink r:id="rId10" w:history="1">
        <w:r w:rsidRPr="00675181">
          <w:rPr>
            <w:rStyle w:val="Hyperlink"/>
            <w:rFonts w:ascii="Calibri" w:hAnsi="Calibri" w:cs="Calibri"/>
            <w:i/>
            <w:iCs/>
          </w:rPr>
          <w:t>Regulatory Review of Predictive Models White Paper</w:t>
        </w:r>
      </w:hyperlink>
      <w:r w:rsidRPr="00675181">
        <w:rPr>
          <w:rFonts w:ascii="Calibri" w:hAnsi="Calibri" w:cs="Calibri"/>
          <w:i/>
          <w:iCs/>
        </w:rPr>
        <w:t xml:space="preserve"> </w:t>
      </w:r>
      <w:r w:rsidRPr="00152844">
        <w:rPr>
          <w:rFonts w:ascii="Calibri" w:hAnsi="Calibri" w:cs="Calibri"/>
          <w:iCs/>
        </w:rPr>
        <w:t>(</w:t>
      </w:r>
      <w:r w:rsidRPr="00B07CC3">
        <w:rPr>
          <w:rFonts w:ascii="Calibri" w:hAnsi="Calibri" w:cs="Calibri"/>
          <w:i/>
        </w:rPr>
        <w:t>R</w:t>
      </w:r>
      <w:r w:rsidRPr="00675181">
        <w:rPr>
          <w:rFonts w:ascii="Calibri" w:hAnsi="Calibri" w:cs="Calibri"/>
          <w:i/>
          <w:iCs/>
        </w:rPr>
        <w:t>egulatory Review White Paper</w:t>
      </w:r>
      <w:r w:rsidRPr="00675181">
        <w:rPr>
          <w:rFonts w:ascii="Calibri" w:hAnsi="Calibri" w:cs="Calibri"/>
          <w:iCs/>
        </w:rPr>
        <w:t xml:space="preserve">) on April 14, 2021. The </w:t>
      </w:r>
      <w:r w:rsidRPr="00675181">
        <w:rPr>
          <w:rFonts w:ascii="Calibri" w:hAnsi="Calibri" w:cs="Calibri"/>
          <w:i/>
          <w:iCs/>
        </w:rPr>
        <w:t>Regulatory Review White Paper</w:t>
      </w:r>
      <w:r w:rsidRPr="00675181">
        <w:rPr>
          <w:rFonts w:ascii="Calibri" w:hAnsi="Calibri" w:cs="Calibri"/>
          <w:iCs/>
        </w:rPr>
        <w:t xml:space="preserve"> was issued to help bring more consistency to the art of reviewing predictive models within property/casualty rate filings and make the review process more efficient.</w:t>
      </w:r>
    </w:p>
    <w:p w14:paraId="7DE6610D" w14:textId="77777777" w:rsidR="00C43161" w:rsidRPr="00675181" w:rsidRDefault="00C43161" w:rsidP="0023400A">
      <w:pPr>
        <w:rPr>
          <w:rFonts w:ascii="Calibri" w:hAnsi="Calibri" w:cs="Calibri"/>
          <w:iCs/>
        </w:rPr>
      </w:pPr>
    </w:p>
    <w:p w14:paraId="0A2625F7" w14:textId="77777777" w:rsidR="00C43161" w:rsidRPr="00675181" w:rsidRDefault="00C43161" w:rsidP="0023400A">
      <w:pPr>
        <w:rPr>
          <w:rFonts w:ascii="Calibri" w:hAnsi="Calibri" w:cs="Calibri"/>
          <w:iCs/>
        </w:rPr>
      </w:pPr>
      <w:r w:rsidRPr="00675181">
        <w:rPr>
          <w:rFonts w:ascii="Calibri" w:hAnsi="Calibri" w:cs="Calibri"/>
          <w:iCs/>
        </w:rPr>
        <w:t>From 2022:</w:t>
      </w:r>
    </w:p>
    <w:p w14:paraId="748B1A1E" w14:textId="77777777" w:rsidR="00C43161" w:rsidRPr="00675181" w:rsidRDefault="00C43161" w:rsidP="0023400A">
      <w:pPr>
        <w:pStyle w:val="ListParagraph"/>
        <w:numPr>
          <w:ilvl w:val="0"/>
          <w:numId w:val="7"/>
        </w:numPr>
        <w:spacing w:line="259" w:lineRule="auto"/>
        <w:jc w:val="both"/>
        <w:rPr>
          <w:rFonts w:cs="Calibri"/>
          <w:iCs/>
        </w:rPr>
      </w:pPr>
      <w:r w:rsidRPr="00675181">
        <w:rPr>
          <w:rFonts w:cs="Calibri"/>
          <w:b/>
          <w:bCs/>
          <w:iCs/>
        </w:rPr>
        <w:t>The Market Conduct Annual Statement (MCAS) definition of Accelerated Underwriting</w:t>
      </w:r>
    </w:p>
    <w:p w14:paraId="1775E33E" w14:textId="29F014FD" w:rsidR="00C43161" w:rsidRPr="00675181" w:rsidRDefault="00C43161" w:rsidP="0023400A">
      <w:pPr>
        <w:jc w:val="both"/>
        <w:rPr>
          <w:rFonts w:ascii="Calibri" w:hAnsi="Calibri" w:cs="Calibri"/>
        </w:rPr>
      </w:pPr>
      <w:r w:rsidRPr="2625DD17">
        <w:rPr>
          <w:rFonts w:ascii="Calibri" w:hAnsi="Calibri" w:cs="Calibri"/>
        </w:rPr>
        <w:t xml:space="preserve">The Market Conduct Annual Statement (MCAS) (D) Working Group under Market Regulation and Consumer Affairs (D) Committee is the national forum for states to </w:t>
      </w:r>
      <w:r w:rsidRPr="00675181">
        <w:rPr>
          <w:rFonts w:ascii="Calibri" w:hAnsi="Calibri" w:cs="Calibri"/>
          <w:color w:val="111822"/>
        </w:rPr>
        <w:t xml:space="preserve">define and revise the Market Conduct Annual Statement (MCAS) data elements and definitions.  In 2022, the MCAS Working Group </w:t>
      </w:r>
      <w:r w:rsidRPr="00675181">
        <w:rPr>
          <w:rStyle w:val="normaltextrun"/>
          <w:rFonts w:ascii="Calibri" w:hAnsi="Calibri" w:cs="Calibri"/>
          <w:color w:val="000000"/>
          <w:shd w:val="clear" w:color="auto" w:fill="FFFFFF"/>
        </w:rPr>
        <w:t xml:space="preserve">adopted additions to the Life and Annuity MCAS to collect basic information about products subject to </w:t>
      </w:r>
      <w:r w:rsidR="007B1DE7">
        <w:rPr>
          <w:rStyle w:val="normaltextrun"/>
          <w:rFonts w:ascii="Calibri" w:hAnsi="Calibri" w:cs="Calibri"/>
          <w:color w:val="000000"/>
          <w:shd w:val="clear" w:color="auto" w:fill="FFFFFF"/>
        </w:rPr>
        <w:t>A</w:t>
      </w:r>
      <w:r w:rsidRPr="00675181">
        <w:rPr>
          <w:rStyle w:val="normaltextrun"/>
          <w:rFonts w:ascii="Calibri" w:hAnsi="Calibri" w:cs="Calibri"/>
          <w:color w:val="000000"/>
          <w:shd w:val="clear" w:color="auto" w:fill="FFFFFF"/>
        </w:rPr>
        <w:t xml:space="preserve">ccelerated </w:t>
      </w:r>
      <w:r w:rsidR="007B1DE7">
        <w:rPr>
          <w:rStyle w:val="normaltextrun"/>
          <w:rFonts w:ascii="Calibri" w:hAnsi="Calibri" w:cs="Calibri"/>
          <w:color w:val="000000"/>
          <w:shd w:val="clear" w:color="auto" w:fill="FFFFFF"/>
        </w:rPr>
        <w:t>U</w:t>
      </w:r>
      <w:r w:rsidRPr="00675181">
        <w:rPr>
          <w:rStyle w:val="normaltextrun"/>
          <w:rFonts w:ascii="Calibri" w:hAnsi="Calibri" w:cs="Calibri"/>
          <w:color w:val="000000"/>
          <w:shd w:val="clear" w:color="auto" w:fill="FFFFFF"/>
        </w:rPr>
        <w:t xml:space="preserve">nderwriting, as well as the types of data the company uses in its </w:t>
      </w:r>
      <w:r w:rsidR="007B1DE7">
        <w:rPr>
          <w:rStyle w:val="normaltextrun"/>
          <w:rFonts w:ascii="Calibri" w:hAnsi="Calibri" w:cs="Calibri"/>
          <w:color w:val="000000"/>
          <w:shd w:val="clear" w:color="auto" w:fill="FFFFFF"/>
        </w:rPr>
        <w:t>A</w:t>
      </w:r>
      <w:r w:rsidRPr="00675181">
        <w:rPr>
          <w:rStyle w:val="normaltextrun"/>
          <w:rFonts w:ascii="Calibri" w:hAnsi="Calibri" w:cs="Calibri"/>
          <w:color w:val="000000"/>
          <w:shd w:val="clear" w:color="auto" w:fill="FFFFFF"/>
        </w:rPr>
        <w:t xml:space="preserve">ccelerated </w:t>
      </w:r>
      <w:r w:rsidR="007B1DE7">
        <w:rPr>
          <w:rStyle w:val="normaltextrun"/>
          <w:rFonts w:ascii="Calibri" w:hAnsi="Calibri" w:cs="Calibri"/>
          <w:color w:val="000000"/>
          <w:shd w:val="clear" w:color="auto" w:fill="FFFFFF"/>
        </w:rPr>
        <w:t>U</w:t>
      </w:r>
      <w:r w:rsidRPr="00675181">
        <w:rPr>
          <w:rStyle w:val="normaltextrun"/>
          <w:rFonts w:ascii="Calibri" w:hAnsi="Calibri" w:cs="Calibri"/>
          <w:color w:val="000000"/>
          <w:shd w:val="clear" w:color="auto" w:fill="FFFFFF"/>
        </w:rPr>
        <w:t>nderwriting. </w:t>
      </w:r>
      <w:r w:rsidRPr="00675181">
        <w:rPr>
          <w:rStyle w:val="eop"/>
          <w:rFonts w:ascii="Calibri" w:hAnsi="Calibri" w:cs="Calibri"/>
          <w:color w:val="000000"/>
          <w:shd w:val="clear" w:color="auto" w:fill="FFFFFF"/>
        </w:rPr>
        <w:t xml:space="preserve"> The MCAS includes the following</w:t>
      </w:r>
      <w:r w:rsidRPr="2625DD17">
        <w:rPr>
          <w:rFonts w:ascii="Calibri" w:hAnsi="Calibri" w:cs="Calibri"/>
        </w:rPr>
        <w:t>:</w:t>
      </w:r>
    </w:p>
    <w:p w14:paraId="209B7C32" w14:textId="77777777" w:rsidR="00C43161" w:rsidRPr="00675181" w:rsidRDefault="00C43161" w:rsidP="0023400A">
      <w:pPr>
        <w:rPr>
          <w:rFonts w:ascii="Calibri" w:hAnsi="Calibri" w:cs="Calibri"/>
          <w:iCs/>
        </w:rPr>
      </w:pPr>
    </w:p>
    <w:p w14:paraId="07F84643" w14:textId="77777777" w:rsidR="00C43161" w:rsidRDefault="00C43161" w:rsidP="0023400A">
      <w:pPr>
        <w:ind w:left="720" w:right="810"/>
        <w:jc w:val="both"/>
        <w:rPr>
          <w:rFonts w:ascii="Calibri" w:hAnsi="Calibri" w:cs="Calibri"/>
          <w:iCs/>
        </w:rPr>
      </w:pPr>
      <w:r w:rsidRPr="00675181">
        <w:rPr>
          <w:rFonts w:ascii="Calibri" w:hAnsi="Calibri" w:cs="Calibri"/>
          <w:iCs/>
        </w:rPr>
        <w:t>For this MCAS, data should be reported as Accelerated Underwriting when artificial intelligence and/or machine learning which utilizes, in whole or in part, Other Non-medical Third-party Data and/or FCRA Compliant Non-medical Third-party Data in the underwriting of life insurance is applied; including when that data is used in combination with Application Data or Medical Data.</w:t>
      </w:r>
    </w:p>
    <w:p w14:paraId="65E26BFD" w14:textId="77777777" w:rsidR="00F76840" w:rsidRPr="00675181" w:rsidRDefault="00F76840" w:rsidP="0023400A">
      <w:pPr>
        <w:ind w:left="720" w:right="810"/>
        <w:jc w:val="both"/>
        <w:rPr>
          <w:rFonts w:ascii="Calibri" w:hAnsi="Calibri" w:cs="Calibri"/>
          <w:iCs/>
        </w:rPr>
      </w:pPr>
    </w:p>
    <w:p w14:paraId="711189A4" w14:textId="1D6E5E58" w:rsidR="0076581F" w:rsidRPr="0076581F" w:rsidRDefault="00F76840" w:rsidP="0023400A">
      <w:pPr>
        <w:jc w:val="both"/>
        <w:rPr>
          <w:rFonts w:ascii="Calibri" w:eastAsia="Aptos" w:hAnsi="Calibri" w:cs="Calibri"/>
          <w:kern w:val="2"/>
          <w14:ligatures w14:val="standardContextual"/>
        </w:rPr>
      </w:pPr>
      <w:r w:rsidRPr="00F76840">
        <w:rPr>
          <w:rFonts w:ascii="Calibri" w:eastAsia="Aptos" w:hAnsi="Calibri" w:cs="Calibri"/>
          <w:kern w:val="2"/>
          <w14:ligatures w14:val="standardContextual"/>
        </w:rPr>
        <w:t>The AUWG believes that the MCAS</w:t>
      </w:r>
      <w:r w:rsidR="001D66EE">
        <w:rPr>
          <w:rFonts w:ascii="Calibri" w:eastAsia="Aptos" w:hAnsi="Calibri" w:cs="Calibri"/>
          <w:kern w:val="2"/>
          <w14:ligatures w14:val="standardContextual"/>
        </w:rPr>
        <w:t xml:space="preserve"> definition</w:t>
      </w:r>
      <w:r w:rsidRPr="00F76840">
        <w:rPr>
          <w:rFonts w:ascii="Calibri" w:eastAsia="Aptos" w:hAnsi="Calibri" w:cs="Calibri"/>
          <w:kern w:val="2"/>
          <w14:ligatures w14:val="standardContextual"/>
        </w:rPr>
        <w:t xml:space="preserve"> is consistent with the more detailed definition of </w:t>
      </w:r>
      <w:r w:rsidR="007B1DE7">
        <w:rPr>
          <w:rFonts w:ascii="Calibri" w:eastAsia="Aptos" w:hAnsi="Calibri" w:cs="Calibri"/>
          <w:kern w:val="2"/>
          <w14:ligatures w14:val="standardContextual"/>
        </w:rPr>
        <w:t>A</w:t>
      </w:r>
      <w:r w:rsidRPr="00F76840">
        <w:rPr>
          <w:rFonts w:ascii="Calibri" w:eastAsia="Aptos" w:hAnsi="Calibri" w:cs="Calibri"/>
          <w:kern w:val="2"/>
          <w14:ligatures w14:val="standardContextual"/>
        </w:rPr>
        <w:t xml:space="preserve">ccelerated </w:t>
      </w:r>
      <w:r w:rsidR="007B1DE7">
        <w:rPr>
          <w:rFonts w:ascii="Calibri" w:eastAsia="Aptos" w:hAnsi="Calibri" w:cs="Calibri"/>
          <w:kern w:val="2"/>
          <w14:ligatures w14:val="standardContextual"/>
        </w:rPr>
        <w:t>U</w:t>
      </w:r>
      <w:r w:rsidRPr="00F76840">
        <w:rPr>
          <w:rFonts w:ascii="Calibri" w:eastAsia="Aptos" w:hAnsi="Calibri" w:cs="Calibri"/>
          <w:kern w:val="2"/>
          <w14:ligatures w14:val="standardContextual"/>
        </w:rPr>
        <w:t>nderwriting that informed the educational paper.</w:t>
      </w:r>
      <w:r w:rsidRPr="00F76840">
        <w:rPr>
          <w:rFonts w:ascii="Calibri" w:eastAsia="Aptos" w:hAnsi="Calibri" w:cs="Calibri"/>
          <w:kern w:val="2"/>
          <w:vertAlign w:val="superscript"/>
          <w14:ligatures w14:val="standardContextual"/>
        </w:rPr>
        <w:footnoteReference w:id="9"/>
      </w:r>
      <w:r w:rsidRPr="00F76840">
        <w:rPr>
          <w:rFonts w:ascii="Calibri" w:eastAsia="Aptos" w:hAnsi="Calibri" w:cs="Calibri"/>
          <w:kern w:val="2"/>
          <w14:ligatures w14:val="standardContextual"/>
        </w:rPr>
        <w:t xml:space="preserve">  </w:t>
      </w:r>
      <w:r w:rsidR="0076581F" w:rsidRPr="0076581F">
        <w:rPr>
          <w:rFonts w:ascii="Calibri" w:eastAsia="Aptos" w:hAnsi="Calibri" w:cs="Calibri"/>
          <w:kern w:val="2"/>
          <w14:ligatures w14:val="standardContextual"/>
        </w:rPr>
        <w:t xml:space="preserve">Given that the AUWG regulatory </w:t>
      </w:r>
      <w:r w:rsidR="0076581F" w:rsidRPr="0076581F">
        <w:rPr>
          <w:rFonts w:ascii="Calibri" w:eastAsia="Aptos" w:hAnsi="Calibri" w:cs="Calibri"/>
          <w:kern w:val="2"/>
          <w14:ligatures w14:val="standardContextual"/>
        </w:rPr>
        <w:lastRenderedPageBreak/>
        <w:t xml:space="preserve">guidance is contemplated for use by insurance departments during market conduct reviews and for inclusion in the MRH, the AUWG </w:t>
      </w:r>
      <w:r w:rsidR="00B971F4">
        <w:rPr>
          <w:rFonts w:ascii="Calibri" w:eastAsia="Aptos" w:hAnsi="Calibri" w:cs="Calibri"/>
          <w:kern w:val="2"/>
          <w14:ligatures w14:val="standardContextual"/>
        </w:rPr>
        <w:t>uses</w:t>
      </w:r>
      <w:r w:rsidR="00105F6C">
        <w:rPr>
          <w:rFonts w:ascii="Calibri" w:eastAsia="Aptos" w:hAnsi="Calibri" w:cs="Calibri"/>
          <w:kern w:val="2"/>
          <w14:ligatures w14:val="standardContextual"/>
        </w:rPr>
        <w:t xml:space="preserve"> </w:t>
      </w:r>
      <w:r w:rsidR="0076581F" w:rsidRPr="0076581F">
        <w:rPr>
          <w:rFonts w:ascii="Calibri" w:eastAsia="Aptos" w:hAnsi="Calibri" w:cs="Calibri"/>
          <w:kern w:val="2"/>
          <w14:ligatures w14:val="standardContextual"/>
        </w:rPr>
        <w:t xml:space="preserve">the MCAS definition </w:t>
      </w:r>
      <w:r w:rsidR="00105F6C">
        <w:rPr>
          <w:rFonts w:ascii="Calibri" w:eastAsia="Aptos" w:hAnsi="Calibri" w:cs="Calibri"/>
          <w:kern w:val="2"/>
          <w14:ligatures w14:val="standardContextual"/>
        </w:rPr>
        <w:t xml:space="preserve">for purposes of </w:t>
      </w:r>
      <w:r w:rsidR="007B1D12">
        <w:rPr>
          <w:rFonts w:ascii="Calibri" w:eastAsia="Aptos" w:hAnsi="Calibri" w:cs="Calibri"/>
          <w:kern w:val="2"/>
          <w14:ligatures w14:val="standardContextual"/>
        </w:rPr>
        <w:t xml:space="preserve">its </w:t>
      </w:r>
      <w:r w:rsidR="00105F6C">
        <w:rPr>
          <w:rFonts w:ascii="Calibri" w:eastAsia="Aptos" w:hAnsi="Calibri" w:cs="Calibri"/>
          <w:kern w:val="2"/>
          <w14:ligatures w14:val="standardContextual"/>
        </w:rPr>
        <w:t xml:space="preserve">regulatory guidance </w:t>
      </w:r>
      <w:r w:rsidR="007B1D12">
        <w:rPr>
          <w:rFonts w:ascii="Calibri" w:eastAsia="Aptos" w:hAnsi="Calibri" w:cs="Calibri"/>
          <w:kern w:val="2"/>
          <w14:ligatures w14:val="standardContextual"/>
        </w:rPr>
        <w:t>document</w:t>
      </w:r>
      <w:r w:rsidR="00F87241">
        <w:rPr>
          <w:rFonts w:ascii="Calibri" w:eastAsia="Aptos" w:hAnsi="Calibri" w:cs="Calibri"/>
          <w:kern w:val="2"/>
          <w14:ligatures w14:val="standardContextual"/>
        </w:rPr>
        <w:t xml:space="preserve"> </w:t>
      </w:r>
      <w:r w:rsidR="0076581F" w:rsidRPr="0076581F">
        <w:rPr>
          <w:rFonts w:ascii="Calibri" w:eastAsia="Aptos" w:hAnsi="Calibri" w:cs="Calibri"/>
          <w:kern w:val="2"/>
          <w14:ligatures w14:val="standardContextual"/>
        </w:rPr>
        <w:t xml:space="preserve">to avoid any unintended confusion. </w:t>
      </w:r>
    </w:p>
    <w:p w14:paraId="48DA3BA2" w14:textId="77777777" w:rsidR="0076581F" w:rsidRPr="0076581F" w:rsidRDefault="0076581F" w:rsidP="0023400A">
      <w:pPr>
        <w:spacing w:line="259" w:lineRule="auto"/>
        <w:rPr>
          <w:rFonts w:ascii="Calibri" w:eastAsia="Aptos" w:hAnsi="Calibri" w:cs="Calibri"/>
          <w:iCs/>
          <w:kern w:val="2"/>
          <w14:ligatures w14:val="standardContextual"/>
        </w:rPr>
      </w:pPr>
    </w:p>
    <w:p w14:paraId="772E94C8" w14:textId="0EF4D775" w:rsidR="0076581F" w:rsidRPr="0076581F" w:rsidRDefault="0076581F" w:rsidP="0023400A">
      <w:pPr>
        <w:spacing w:line="259" w:lineRule="auto"/>
        <w:rPr>
          <w:rFonts w:ascii="Calibri" w:eastAsia="Aptos" w:hAnsi="Calibri" w:cs="Calibri"/>
          <w:iCs/>
          <w:kern w:val="2"/>
          <w14:ligatures w14:val="standardContextual"/>
        </w:rPr>
      </w:pPr>
      <w:r w:rsidRPr="0076581F">
        <w:rPr>
          <w:rFonts w:ascii="Calibri" w:eastAsia="Aptos" w:hAnsi="Calibri" w:cs="Calibri"/>
          <w:iCs/>
          <w:kern w:val="2"/>
          <w14:ligatures w14:val="standardContextual"/>
        </w:rPr>
        <w:t>From 2023</w:t>
      </w:r>
      <w:r w:rsidR="00683A64">
        <w:rPr>
          <w:rStyle w:val="FootnoteReference"/>
          <w:rFonts w:ascii="Calibri" w:eastAsia="Aptos" w:hAnsi="Calibri" w:cs="Calibri"/>
          <w:iCs/>
          <w:kern w:val="2"/>
          <w14:ligatures w14:val="standardContextual"/>
        </w:rPr>
        <w:footnoteReference w:id="10"/>
      </w:r>
      <w:r w:rsidRPr="0076581F">
        <w:rPr>
          <w:rFonts w:ascii="Calibri" w:eastAsia="Aptos" w:hAnsi="Calibri" w:cs="Calibri"/>
          <w:iCs/>
          <w:kern w:val="2"/>
          <w14:ligatures w14:val="standardContextual"/>
        </w:rPr>
        <w:t>:</w:t>
      </w:r>
    </w:p>
    <w:p w14:paraId="2F0DDE13" w14:textId="77777777" w:rsidR="0076581F" w:rsidRPr="0076581F" w:rsidRDefault="0076581F" w:rsidP="0023400A">
      <w:pPr>
        <w:numPr>
          <w:ilvl w:val="0"/>
          <w:numId w:val="7"/>
        </w:numPr>
        <w:spacing w:line="259" w:lineRule="auto"/>
        <w:contextualSpacing/>
        <w:rPr>
          <w:rFonts w:ascii="Calibri" w:eastAsia="Aptos" w:hAnsi="Calibri" w:cs="Calibri"/>
          <w:b/>
          <w:bCs/>
          <w:iCs/>
          <w:kern w:val="2"/>
          <w14:ligatures w14:val="standardContextual"/>
        </w:rPr>
      </w:pPr>
      <w:bookmarkStart w:id="1" w:name="_Hlk164949244"/>
      <w:r w:rsidRPr="0076581F">
        <w:rPr>
          <w:rFonts w:ascii="Calibri" w:eastAsia="Aptos" w:hAnsi="Calibri" w:cs="Calibri"/>
          <w:b/>
          <w:bCs/>
          <w:i/>
          <w:kern w:val="2"/>
          <w14:ligatures w14:val="standardContextual"/>
        </w:rPr>
        <w:t>NAIC Model Bulletin: Use of Artificial Intelligence Systems by Insurers</w:t>
      </w:r>
    </w:p>
    <w:bookmarkEnd w:id="1"/>
    <w:p w14:paraId="420D5DE9" w14:textId="7D70189E" w:rsidR="0076581F" w:rsidRPr="0076581F" w:rsidRDefault="0076581F" w:rsidP="0023400A">
      <w:pPr>
        <w:spacing w:line="259" w:lineRule="auto"/>
        <w:jc w:val="both"/>
        <w:rPr>
          <w:rFonts w:ascii="Calibri" w:eastAsia="Aptos" w:hAnsi="Calibri" w:cs="Calibri"/>
          <w:iCs/>
          <w:kern w:val="2"/>
          <w14:ligatures w14:val="standardContextual"/>
        </w:rPr>
      </w:pPr>
      <w:r w:rsidRPr="0076581F">
        <w:rPr>
          <w:rFonts w:ascii="Calibri" w:eastAsia="Aptos" w:hAnsi="Calibri" w:cs="Calibri"/>
          <w:iCs/>
          <w:kern w:val="2"/>
          <w14:ligatures w14:val="standardContextual"/>
        </w:rPr>
        <w:t>On December 4, 2023, the NAIC adopted the</w:t>
      </w:r>
      <w:r w:rsidRPr="0076581F">
        <w:rPr>
          <w:rFonts w:ascii="Calibri" w:eastAsia="Aptos" w:hAnsi="Calibri" w:cs="Calibri"/>
          <w:i/>
          <w:color w:val="0070C0"/>
          <w:kern w:val="2"/>
          <w14:ligatures w14:val="standardContextual"/>
        </w:rPr>
        <w:t xml:space="preserve"> </w:t>
      </w:r>
      <w:hyperlink r:id="rId11" w:history="1">
        <w:r w:rsidRPr="0076581F">
          <w:rPr>
            <w:rFonts w:ascii="Calibri" w:eastAsia="Aptos" w:hAnsi="Calibri" w:cs="Calibri"/>
            <w:i/>
            <w:color w:val="0070C0"/>
            <w:kern w:val="2"/>
            <w:u w:val="single"/>
            <w14:ligatures w14:val="standardContextual"/>
          </w:rPr>
          <w:t>NAIC Model Bulletin: Use of Artificial Intelligence Systems by Insurers</w:t>
        </w:r>
      </w:hyperlink>
      <w:r w:rsidRPr="0076581F">
        <w:rPr>
          <w:rFonts w:ascii="Calibri" w:eastAsia="Aptos" w:hAnsi="Calibri" w:cs="Calibri"/>
          <w:iCs/>
          <w:kern w:val="2"/>
          <w14:ligatures w14:val="standardContextual"/>
        </w:rPr>
        <w:t xml:space="preserve"> (AI Model Bulletin) (A</w:t>
      </w:r>
      <w:r w:rsidR="00E00A0F">
        <w:rPr>
          <w:rFonts w:ascii="Calibri" w:eastAsia="Aptos" w:hAnsi="Calibri" w:cs="Calibri"/>
          <w:iCs/>
          <w:kern w:val="2"/>
          <w14:ligatures w14:val="standardContextual"/>
        </w:rPr>
        <w:t>ppendix</w:t>
      </w:r>
      <w:r w:rsidR="005B6015">
        <w:rPr>
          <w:rFonts w:ascii="Calibri" w:eastAsia="Aptos" w:hAnsi="Calibri" w:cs="Calibri"/>
          <w:iCs/>
          <w:kern w:val="2"/>
          <w14:ligatures w14:val="standardContextual"/>
        </w:rPr>
        <w:t xml:space="preserve"> </w:t>
      </w:r>
      <w:r w:rsidR="00E00A0F">
        <w:rPr>
          <w:rFonts w:ascii="Calibri" w:eastAsia="Aptos" w:hAnsi="Calibri" w:cs="Calibri"/>
          <w:iCs/>
          <w:kern w:val="2"/>
          <w14:ligatures w14:val="standardContextual"/>
        </w:rPr>
        <w:t>4</w:t>
      </w:r>
      <w:r w:rsidRPr="0076581F">
        <w:rPr>
          <w:rFonts w:ascii="Calibri" w:eastAsia="Aptos" w:hAnsi="Calibri" w:cs="Calibri"/>
          <w:iCs/>
          <w:kern w:val="2"/>
          <w14:ligatures w14:val="standardContextual"/>
        </w:rPr>
        <w:t>). The bulletin, when issued by a Department of Insurance</w:t>
      </w:r>
      <w:r w:rsidR="00753D52">
        <w:rPr>
          <w:rFonts w:ascii="Calibri" w:eastAsia="Aptos" w:hAnsi="Calibri" w:cs="Calibri"/>
          <w:iCs/>
          <w:kern w:val="2"/>
          <w14:ligatures w14:val="standardContextual"/>
        </w:rPr>
        <w:t xml:space="preserve">: 1) </w:t>
      </w:r>
      <w:r w:rsidR="00447413" w:rsidRPr="00447413">
        <w:rPr>
          <w:rFonts w:ascii="Calibri" w:eastAsia="Aptos" w:hAnsi="Calibri" w:cs="Calibri"/>
          <w:iCs/>
          <w:kern w:val="2"/>
          <w14:ligatures w14:val="standardContextual"/>
        </w:rPr>
        <w:t>reminds insurers that decisions or actions made or supported by AI must comply with all applicable insurance laws and regulations</w:t>
      </w:r>
      <w:r w:rsidR="007E4ADE">
        <w:rPr>
          <w:rFonts w:ascii="Calibri" w:eastAsia="Aptos" w:hAnsi="Calibri" w:cs="Calibri"/>
          <w:iCs/>
          <w:kern w:val="2"/>
          <w14:ligatures w14:val="standardContextual"/>
        </w:rPr>
        <w:t>;</w:t>
      </w:r>
      <w:r w:rsidRPr="0076581F">
        <w:rPr>
          <w:rFonts w:ascii="Calibri" w:eastAsia="Aptos" w:hAnsi="Calibri" w:cs="Calibri"/>
          <w:iCs/>
          <w:kern w:val="2"/>
          <w14:ligatures w14:val="standardContextual"/>
        </w:rPr>
        <w:t xml:space="preserve"> </w:t>
      </w:r>
      <w:r w:rsidR="00753D52">
        <w:rPr>
          <w:rFonts w:ascii="Calibri" w:eastAsia="Aptos" w:hAnsi="Calibri" w:cs="Calibri"/>
          <w:iCs/>
          <w:kern w:val="2"/>
          <w14:ligatures w14:val="standardContextual"/>
        </w:rPr>
        <w:t xml:space="preserve">2) </w:t>
      </w:r>
      <w:r w:rsidRPr="0076581F">
        <w:rPr>
          <w:rFonts w:ascii="Calibri" w:eastAsia="Aptos" w:hAnsi="Calibri" w:cs="Calibri"/>
          <w:iCs/>
          <w:kern w:val="2"/>
          <w14:ligatures w14:val="standardContextual"/>
        </w:rPr>
        <w:t xml:space="preserve">sets forth expectations as to how insurers will govern the development/acquisition and use of AI technologies and systems; and </w:t>
      </w:r>
      <w:r w:rsidR="00753D52">
        <w:rPr>
          <w:rFonts w:ascii="Calibri" w:eastAsia="Aptos" w:hAnsi="Calibri" w:cs="Calibri"/>
          <w:iCs/>
          <w:kern w:val="2"/>
          <w14:ligatures w14:val="standardContextual"/>
        </w:rPr>
        <w:t xml:space="preserve">3) </w:t>
      </w:r>
      <w:r w:rsidRPr="0076581F">
        <w:rPr>
          <w:rFonts w:ascii="Calibri" w:eastAsia="Aptos" w:hAnsi="Calibri" w:cs="Calibri"/>
          <w:iCs/>
          <w:kern w:val="2"/>
          <w14:ligatures w14:val="standardContextual"/>
        </w:rPr>
        <w:t xml:space="preserve">also advises insurers of the type of information and documentation that the Department may request during an investigation or examination of any insurer regarding its use of AI technologies and systems. </w:t>
      </w:r>
    </w:p>
    <w:p w14:paraId="15D899C6" w14:textId="77777777" w:rsidR="0076581F" w:rsidRPr="0076581F" w:rsidRDefault="0076581F" w:rsidP="0023400A">
      <w:pPr>
        <w:spacing w:line="259" w:lineRule="auto"/>
        <w:rPr>
          <w:rFonts w:ascii="Calibri" w:eastAsia="Aptos" w:hAnsi="Calibri" w:cs="Calibri"/>
          <w:iCs/>
          <w:kern w:val="2"/>
          <w14:ligatures w14:val="standardContextual"/>
        </w:rPr>
      </w:pPr>
    </w:p>
    <w:p w14:paraId="31900A83" w14:textId="2C4E1D43" w:rsidR="0076581F" w:rsidRDefault="0076581F" w:rsidP="0023400A">
      <w:pPr>
        <w:spacing w:line="259" w:lineRule="auto"/>
        <w:jc w:val="both"/>
        <w:rPr>
          <w:rFonts w:ascii="Calibri" w:eastAsia="Aptos" w:hAnsi="Calibri" w:cs="Calibri"/>
          <w:iCs/>
          <w:kern w:val="2"/>
          <w14:ligatures w14:val="standardContextual"/>
        </w:rPr>
      </w:pPr>
      <w:r w:rsidRPr="0076581F">
        <w:rPr>
          <w:rFonts w:ascii="Calibri" w:eastAsia="Aptos" w:hAnsi="Calibri" w:cs="Calibri"/>
          <w:iCs/>
          <w:kern w:val="2"/>
          <w14:ligatures w14:val="standardContextual"/>
        </w:rPr>
        <w:t xml:space="preserve">The regulatory guidance follows the AI Model Bulletin. Specifically, the considerations, expectations, and questions about </w:t>
      </w:r>
      <w:r w:rsidR="00BD74E1">
        <w:rPr>
          <w:rFonts w:ascii="Calibri" w:eastAsia="Aptos" w:hAnsi="Calibri" w:cs="Calibri"/>
          <w:iCs/>
          <w:kern w:val="2"/>
          <w14:ligatures w14:val="standardContextual"/>
        </w:rPr>
        <w:t>A</w:t>
      </w:r>
      <w:r w:rsidRPr="0076581F">
        <w:rPr>
          <w:rFonts w:ascii="Calibri" w:eastAsia="Aptos" w:hAnsi="Calibri" w:cs="Calibri"/>
          <w:iCs/>
          <w:kern w:val="2"/>
          <w14:ligatures w14:val="standardContextual"/>
        </w:rPr>
        <w:t xml:space="preserve">ccelerated </w:t>
      </w:r>
      <w:r w:rsidR="00BD74E1">
        <w:rPr>
          <w:rFonts w:ascii="Calibri" w:eastAsia="Aptos" w:hAnsi="Calibri" w:cs="Calibri"/>
          <w:iCs/>
          <w:kern w:val="2"/>
          <w14:ligatures w14:val="standardContextual"/>
        </w:rPr>
        <w:t>U</w:t>
      </w:r>
      <w:r w:rsidRPr="0076581F">
        <w:rPr>
          <w:rFonts w:ascii="Calibri" w:eastAsia="Aptos" w:hAnsi="Calibri" w:cs="Calibri"/>
          <w:iCs/>
          <w:kern w:val="2"/>
          <w14:ligatures w14:val="standardContextual"/>
        </w:rPr>
        <w:t xml:space="preserve">nderwriting in life insurance contained in the regulatory guidance follow the expectations articulated in the first sentence of the AI Model Bulletin: “that decisions or actions impacting consumers that are made or supported by advanced analytical and computational technologies, including Artificial Intelligence (AI) Systems (as defined [in the bulletin]), must comply with all applicable insurance laws and regulations.” The defined terms in the AI Model Bulletin also apply to the AUWG regulatory guidance. </w:t>
      </w:r>
    </w:p>
    <w:p w14:paraId="3A1AD166" w14:textId="77777777" w:rsidR="001923A9" w:rsidRPr="0076581F" w:rsidRDefault="001923A9" w:rsidP="0023400A">
      <w:pPr>
        <w:spacing w:line="259" w:lineRule="auto"/>
        <w:jc w:val="both"/>
        <w:rPr>
          <w:rFonts w:ascii="Calibri" w:eastAsia="Aptos" w:hAnsi="Calibri" w:cs="Calibri"/>
          <w:iCs/>
          <w:kern w:val="2"/>
          <w14:ligatures w14:val="standardContextual"/>
        </w:rPr>
      </w:pPr>
    </w:p>
    <w:p w14:paraId="4004B26E" w14:textId="565FF5FB" w:rsidR="003216C8" w:rsidRPr="003216C8" w:rsidRDefault="0076581F" w:rsidP="00B875CC">
      <w:pPr>
        <w:spacing w:after="160" w:line="259" w:lineRule="auto"/>
        <w:rPr>
          <w:rFonts w:ascii="Calibri" w:eastAsia="Aptos" w:hAnsi="Calibri" w:cs="Calibri"/>
          <w:iCs/>
          <w:kern w:val="2"/>
          <w14:ligatures w14:val="standardContextual"/>
        </w:rPr>
      </w:pPr>
      <w:r w:rsidRPr="003216C8">
        <w:rPr>
          <w:rFonts w:ascii="Calibri" w:eastAsia="Aptos" w:hAnsi="Calibri" w:cs="Calibri"/>
          <w:b/>
          <w:bCs/>
          <w:iCs/>
          <w:kern w:val="2"/>
          <w14:ligatures w14:val="standardContextual"/>
        </w:rPr>
        <w:t>Big Data and AI (H) Working Group 2023 Life Artificial Intelligence/Machine Learning Survey</w:t>
      </w:r>
    </w:p>
    <w:p w14:paraId="6396AD72" w14:textId="4AC9EFE3" w:rsidR="0076581F" w:rsidRPr="003216C8" w:rsidRDefault="0076581F" w:rsidP="00DE425A">
      <w:pPr>
        <w:spacing w:line="259" w:lineRule="auto"/>
        <w:contextualSpacing/>
        <w:jc w:val="both"/>
        <w:rPr>
          <w:rFonts w:ascii="Calibri" w:eastAsia="Aptos" w:hAnsi="Calibri" w:cs="Calibri"/>
          <w:iCs/>
          <w:kern w:val="2"/>
          <w14:ligatures w14:val="standardContextual"/>
        </w:rPr>
      </w:pPr>
      <w:r w:rsidRPr="003216C8">
        <w:rPr>
          <w:rFonts w:ascii="Calibri" w:eastAsia="Aptos" w:hAnsi="Calibri" w:cs="Calibri"/>
          <w:iCs/>
          <w:kern w:val="2"/>
          <w14:ligatures w14:val="standardContextual"/>
        </w:rPr>
        <w:t xml:space="preserve">The 2023 Life Artificial Intelligence/Machine Learning Survey (Life AI/ML Survey) was conducted to inform the work of the Big Data and Artificial Intelligence (H) Working Group in support of its charge to: </w:t>
      </w:r>
    </w:p>
    <w:p w14:paraId="2688DD89" w14:textId="77777777" w:rsidR="0076581F" w:rsidRPr="0076581F" w:rsidRDefault="0076581F" w:rsidP="0023400A">
      <w:pPr>
        <w:spacing w:line="259" w:lineRule="auto"/>
        <w:rPr>
          <w:rFonts w:ascii="Calibri" w:eastAsia="Aptos" w:hAnsi="Calibri" w:cs="Calibri"/>
          <w:iCs/>
          <w:kern w:val="2"/>
          <w14:ligatures w14:val="standardContextual"/>
        </w:rPr>
      </w:pPr>
    </w:p>
    <w:p w14:paraId="6BA7928E" w14:textId="77777777" w:rsidR="0076581F" w:rsidRPr="0076581F" w:rsidRDefault="0076581F" w:rsidP="0023400A">
      <w:pPr>
        <w:spacing w:line="259" w:lineRule="auto"/>
        <w:ind w:left="720" w:right="720"/>
        <w:jc w:val="both"/>
        <w:rPr>
          <w:rFonts w:ascii="Calibri" w:eastAsia="Aptos" w:hAnsi="Calibri" w:cs="Calibri"/>
          <w:iCs/>
          <w:kern w:val="2"/>
          <w14:ligatures w14:val="standardContextual"/>
        </w:rPr>
      </w:pPr>
      <w:r w:rsidRPr="0076581F">
        <w:rPr>
          <w:rFonts w:ascii="Calibri" w:eastAsia="Aptos" w:hAnsi="Calibri" w:cs="Calibri"/>
          <w:iCs/>
          <w:kern w:val="2"/>
          <w14:ligatures w14:val="standardContextual"/>
        </w:rPr>
        <w:t xml:space="preserve">Research the use of big data and artificial intelligence (AI) in the business of </w:t>
      </w:r>
      <w:proofErr w:type="gramStart"/>
      <w:r w:rsidRPr="0076581F">
        <w:rPr>
          <w:rFonts w:ascii="Calibri" w:eastAsia="Aptos" w:hAnsi="Calibri" w:cs="Calibri"/>
          <w:iCs/>
          <w:kern w:val="2"/>
          <w14:ligatures w14:val="standardContextual"/>
        </w:rPr>
        <w:t>insurance, and</w:t>
      </w:r>
      <w:proofErr w:type="gramEnd"/>
      <w:r w:rsidRPr="0076581F">
        <w:rPr>
          <w:rFonts w:ascii="Calibri" w:eastAsia="Aptos" w:hAnsi="Calibri" w:cs="Calibri"/>
          <w:iCs/>
          <w:kern w:val="2"/>
          <w14:ligatures w14:val="standardContextual"/>
        </w:rPr>
        <w:t xml:space="preserve"> evaluate existing regulatory frameworks for overseeing and monitoring their use. Present findings and recommended next steps, if any, to the Innovation and Technology (EX) Task Force, which may include model governance for the use of big data and AI for the insurance industry.</w:t>
      </w:r>
    </w:p>
    <w:p w14:paraId="16AE3DDC" w14:textId="77777777" w:rsidR="0076581F" w:rsidRPr="0076581F" w:rsidRDefault="0076581F" w:rsidP="0023400A">
      <w:pPr>
        <w:spacing w:line="259" w:lineRule="auto"/>
        <w:rPr>
          <w:rFonts w:ascii="Calibri" w:eastAsia="Aptos" w:hAnsi="Calibri" w:cs="Calibri"/>
          <w:b/>
          <w:bCs/>
          <w:iCs/>
          <w:kern w:val="2"/>
          <w14:ligatures w14:val="standardContextual"/>
        </w:rPr>
      </w:pPr>
    </w:p>
    <w:p w14:paraId="3587E688" w14:textId="03333561" w:rsidR="0076581F" w:rsidRPr="0076581F" w:rsidRDefault="0076581F" w:rsidP="0023400A">
      <w:pPr>
        <w:spacing w:line="259" w:lineRule="auto"/>
        <w:jc w:val="both"/>
        <w:rPr>
          <w:rFonts w:ascii="Calibri" w:eastAsia="Aptos" w:hAnsi="Calibri" w:cs="Calibri"/>
          <w:kern w:val="2"/>
          <w14:ligatures w14:val="standardContextual"/>
        </w:rPr>
      </w:pPr>
      <w:r w:rsidRPr="0076581F">
        <w:rPr>
          <w:rFonts w:ascii="Calibri" w:eastAsia="Aptos" w:hAnsi="Calibri" w:cs="Calibri"/>
          <w:kern w:val="2"/>
          <w14:ligatures w14:val="standardContextual"/>
        </w:rPr>
        <w:lastRenderedPageBreak/>
        <w:t xml:space="preserve">The results of the survey, summarized in a </w:t>
      </w:r>
      <w:hyperlink r:id="rId12">
        <w:r w:rsidRPr="0076581F">
          <w:rPr>
            <w:rFonts w:ascii="Calibri" w:eastAsia="Aptos" w:hAnsi="Calibri" w:cs="Calibri"/>
            <w:color w:val="0070C0"/>
            <w:kern w:val="2"/>
            <w:u w:val="single"/>
            <w14:ligatures w14:val="standardContextual"/>
          </w:rPr>
          <w:t>Nov. 30, 2023 memorandum</w:t>
        </w:r>
      </w:hyperlink>
      <w:r w:rsidRPr="0076581F">
        <w:rPr>
          <w:rFonts w:ascii="Calibri" w:eastAsia="Aptos" w:hAnsi="Calibri" w:cs="Calibri"/>
          <w:kern w:val="2"/>
          <w14:ligatures w14:val="standardContextual"/>
        </w:rPr>
        <w:t xml:space="preserve"> (Appendix </w:t>
      </w:r>
      <w:r w:rsidR="00FC7EA2">
        <w:rPr>
          <w:rFonts w:ascii="Calibri" w:eastAsia="Aptos" w:hAnsi="Calibri" w:cs="Calibri"/>
          <w:kern w:val="2"/>
          <w14:ligatures w14:val="standardContextual"/>
        </w:rPr>
        <w:t>5</w:t>
      </w:r>
      <w:r w:rsidRPr="0076581F">
        <w:rPr>
          <w:rFonts w:ascii="Calibri" w:eastAsia="Aptos" w:hAnsi="Calibri" w:cs="Calibri"/>
          <w:kern w:val="2"/>
          <w14:ligatures w14:val="standardContextual"/>
        </w:rPr>
        <w:t xml:space="preserve">) and in the </w:t>
      </w:r>
      <w:r w:rsidRPr="001D66EE">
        <w:rPr>
          <w:rFonts w:ascii="Calibri" w:eastAsia="Aptos" w:hAnsi="Calibri" w:cs="Calibri"/>
          <w:kern w:val="2"/>
          <w14:ligatures w14:val="standardContextual"/>
        </w:rPr>
        <w:t xml:space="preserve">summary results chart (Appendix </w:t>
      </w:r>
      <w:r w:rsidR="00FC7EA2" w:rsidRPr="001D66EE">
        <w:rPr>
          <w:rFonts w:ascii="Calibri" w:eastAsia="Aptos" w:hAnsi="Calibri" w:cs="Calibri"/>
          <w:kern w:val="2"/>
          <w14:ligatures w14:val="standardContextual"/>
        </w:rPr>
        <w:t>6</w:t>
      </w:r>
      <w:r w:rsidRPr="001D66EE">
        <w:rPr>
          <w:rFonts w:ascii="Calibri" w:eastAsia="Aptos" w:hAnsi="Calibri" w:cs="Calibri"/>
          <w:kern w:val="2"/>
          <w14:ligatures w14:val="standardContextual"/>
        </w:rPr>
        <w:t>),</w:t>
      </w:r>
      <w:r w:rsidRPr="0076581F">
        <w:rPr>
          <w:rFonts w:ascii="Calibri" w:eastAsia="Aptos" w:hAnsi="Calibri" w:cs="Calibri"/>
          <w:kern w:val="2"/>
          <w14:ligatures w14:val="standardContextual"/>
        </w:rPr>
        <w:t xml:space="preserve"> confirm the importance of the development of regulatory guidance specific to the use of </w:t>
      </w:r>
      <w:r w:rsidR="007B1DE7">
        <w:rPr>
          <w:rFonts w:ascii="Calibri" w:eastAsia="Aptos" w:hAnsi="Calibri" w:cs="Calibri"/>
          <w:kern w:val="2"/>
          <w14:ligatures w14:val="standardContextual"/>
        </w:rPr>
        <w:t>A</w:t>
      </w:r>
      <w:r w:rsidRPr="0076581F">
        <w:rPr>
          <w:rFonts w:ascii="Calibri" w:eastAsia="Aptos" w:hAnsi="Calibri" w:cs="Calibri"/>
          <w:kern w:val="2"/>
          <w14:ligatures w14:val="standardContextual"/>
        </w:rPr>
        <w:t xml:space="preserve">ccelerated </w:t>
      </w:r>
      <w:r w:rsidR="007B1DE7">
        <w:rPr>
          <w:rFonts w:ascii="Calibri" w:eastAsia="Aptos" w:hAnsi="Calibri" w:cs="Calibri"/>
          <w:kern w:val="2"/>
          <w14:ligatures w14:val="standardContextual"/>
        </w:rPr>
        <w:t>U</w:t>
      </w:r>
      <w:r w:rsidRPr="0076581F">
        <w:rPr>
          <w:rFonts w:ascii="Calibri" w:eastAsia="Aptos" w:hAnsi="Calibri" w:cs="Calibri"/>
          <w:kern w:val="2"/>
          <w14:ligatures w14:val="standardContextual"/>
        </w:rPr>
        <w:t xml:space="preserve">nderwriting in life insurance. </w:t>
      </w:r>
    </w:p>
    <w:p w14:paraId="39A3BF6E" w14:textId="77777777" w:rsidR="0076581F" w:rsidRPr="0076581F" w:rsidRDefault="0076581F" w:rsidP="0023400A">
      <w:pPr>
        <w:spacing w:line="259" w:lineRule="auto"/>
        <w:rPr>
          <w:rFonts w:ascii="Calibri" w:eastAsia="Aptos" w:hAnsi="Calibri" w:cs="Calibri"/>
          <w:iCs/>
          <w:kern w:val="2"/>
          <w14:ligatures w14:val="standardContextual"/>
        </w:rPr>
      </w:pPr>
    </w:p>
    <w:p w14:paraId="59F3B880" w14:textId="77777777" w:rsidR="0076581F" w:rsidRDefault="0076581F" w:rsidP="0023400A">
      <w:pPr>
        <w:spacing w:line="259" w:lineRule="auto"/>
        <w:rPr>
          <w:rFonts w:ascii="Calibri" w:eastAsia="Aptos" w:hAnsi="Calibri" w:cs="Calibri"/>
          <w:iCs/>
          <w:kern w:val="2"/>
          <w14:ligatures w14:val="standardContextual"/>
        </w:rPr>
      </w:pPr>
      <w:r w:rsidRPr="0076581F">
        <w:rPr>
          <w:rFonts w:ascii="Calibri" w:eastAsia="Aptos" w:hAnsi="Calibri" w:cs="Calibri"/>
          <w:iCs/>
          <w:kern w:val="2"/>
          <w14:ligatures w14:val="standardContextual"/>
        </w:rPr>
        <w:t>In 2024 and ongoing…</w:t>
      </w:r>
    </w:p>
    <w:p w14:paraId="75F9E2A9" w14:textId="77777777" w:rsidR="0076581F" w:rsidRPr="0076581F" w:rsidRDefault="0076581F" w:rsidP="0023400A">
      <w:pPr>
        <w:numPr>
          <w:ilvl w:val="0"/>
          <w:numId w:val="7"/>
        </w:numPr>
        <w:spacing w:line="259" w:lineRule="auto"/>
        <w:contextualSpacing/>
        <w:rPr>
          <w:rFonts w:ascii="Calibri" w:eastAsia="Aptos" w:hAnsi="Calibri" w:cs="Calibri"/>
          <w:b/>
          <w:bCs/>
          <w:iCs/>
          <w:kern w:val="2"/>
          <w14:ligatures w14:val="standardContextual"/>
        </w:rPr>
      </w:pPr>
      <w:r w:rsidRPr="0076581F">
        <w:rPr>
          <w:rFonts w:ascii="Calibri" w:eastAsia="Aptos" w:hAnsi="Calibri" w:cs="Calibri"/>
          <w:b/>
          <w:bCs/>
          <w:iCs/>
          <w:kern w:val="2"/>
          <w14:ligatures w14:val="standardContextual"/>
        </w:rPr>
        <w:t>Third-Party Data and Models (H) Task Force</w:t>
      </w:r>
    </w:p>
    <w:p w14:paraId="0E795746" w14:textId="77777777" w:rsidR="0076581F" w:rsidRPr="0076581F" w:rsidRDefault="0076581F" w:rsidP="0023400A">
      <w:pPr>
        <w:spacing w:line="259" w:lineRule="auto"/>
        <w:jc w:val="both"/>
        <w:rPr>
          <w:rFonts w:ascii="Calibri" w:eastAsia="Aptos" w:hAnsi="Calibri" w:cs="Calibri"/>
          <w:iCs/>
          <w:kern w:val="2"/>
          <w14:ligatures w14:val="standardContextual"/>
        </w:rPr>
      </w:pPr>
      <w:r w:rsidRPr="0076581F">
        <w:rPr>
          <w:rFonts w:ascii="Calibri" w:eastAsia="Aptos" w:hAnsi="Calibri" w:cs="Calibri"/>
          <w:iCs/>
          <w:kern w:val="2"/>
          <w14:ligatures w14:val="standardContextual"/>
        </w:rPr>
        <w:t>In 2024, the Third-Party Data and Models (H) Task Force was formed.  The Task Force is charged to:</w:t>
      </w:r>
    </w:p>
    <w:p w14:paraId="6015BEDE" w14:textId="77777777" w:rsidR="0076581F" w:rsidRPr="0076581F" w:rsidRDefault="0076581F" w:rsidP="009553B2">
      <w:pPr>
        <w:numPr>
          <w:ilvl w:val="0"/>
          <w:numId w:val="12"/>
        </w:numPr>
        <w:tabs>
          <w:tab w:val="clear" w:pos="1080"/>
        </w:tabs>
        <w:spacing w:line="259" w:lineRule="auto"/>
        <w:ind w:left="720"/>
        <w:contextualSpacing/>
        <w:jc w:val="both"/>
        <w:rPr>
          <w:rFonts w:ascii="Calibri" w:eastAsia="Aptos" w:hAnsi="Calibri" w:cs="Calibri"/>
          <w:iCs/>
          <w:kern w:val="2"/>
          <w14:ligatures w14:val="standardContextual"/>
        </w:rPr>
      </w:pPr>
      <w:r w:rsidRPr="0076581F">
        <w:rPr>
          <w:rFonts w:ascii="Calibri" w:eastAsia="Aptos" w:hAnsi="Calibri" w:cs="Calibri"/>
          <w:iCs/>
          <w:kern w:val="2"/>
          <w14:ligatures w14:val="standardContextual"/>
        </w:rPr>
        <w:t>Develop and propose a framework for the regulatory oversight of third-party data and predictive models.</w:t>
      </w:r>
    </w:p>
    <w:p w14:paraId="3D482B75" w14:textId="77777777" w:rsidR="0076581F" w:rsidRPr="0076581F" w:rsidRDefault="0076581F" w:rsidP="009553B2">
      <w:pPr>
        <w:numPr>
          <w:ilvl w:val="0"/>
          <w:numId w:val="12"/>
        </w:numPr>
        <w:tabs>
          <w:tab w:val="clear" w:pos="1080"/>
        </w:tabs>
        <w:spacing w:line="259" w:lineRule="auto"/>
        <w:ind w:left="720"/>
        <w:contextualSpacing/>
        <w:jc w:val="both"/>
        <w:rPr>
          <w:rFonts w:ascii="Calibri" w:eastAsia="Aptos" w:hAnsi="Calibri" w:cs="Calibri"/>
          <w:iCs/>
          <w:kern w:val="2"/>
          <w14:ligatures w14:val="standardContextual"/>
        </w:rPr>
      </w:pPr>
      <w:r w:rsidRPr="0076581F">
        <w:rPr>
          <w:rFonts w:ascii="Calibri" w:eastAsia="Aptos" w:hAnsi="Calibri" w:cs="Calibri"/>
          <w:iCs/>
          <w:kern w:val="2"/>
          <w14:ligatures w14:val="standardContextual"/>
        </w:rPr>
        <w:t>Monitor and report on state, federal, and international activities related to governmental oversight and regulation of third-party data and model vendors and their products and services. Provide recommendations to the Innovation, Cybersecurity, and Technology (H) Committee regarding responses to such activities.</w:t>
      </w:r>
    </w:p>
    <w:p w14:paraId="14B7F50F" w14:textId="77777777" w:rsidR="0076581F" w:rsidRPr="0076581F" w:rsidRDefault="0076581F" w:rsidP="0023400A">
      <w:pPr>
        <w:spacing w:line="259" w:lineRule="auto"/>
        <w:rPr>
          <w:rFonts w:ascii="Calibri" w:eastAsia="Aptos" w:hAnsi="Calibri" w:cs="Calibri"/>
          <w:iCs/>
          <w:kern w:val="2"/>
          <w14:ligatures w14:val="standardContextual"/>
        </w:rPr>
      </w:pPr>
    </w:p>
    <w:p w14:paraId="7040F3D9" w14:textId="77777777" w:rsidR="0076581F" w:rsidRPr="0076581F" w:rsidRDefault="0076581F" w:rsidP="0023400A">
      <w:pPr>
        <w:spacing w:line="259" w:lineRule="auto"/>
        <w:jc w:val="both"/>
        <w:rPr>
          <w:rFonts w:ascii="Calibri" w:eastAsia="Aptos" w:hAnsi="Calibri" w:cs="Calibri"/>
          <w:kern w:val="2"/>
          <w14:ligatures w14:val="standardContextual"/>
        </w:rPr>
      </w:pPr>
      <w:r w:rsidRPr="0076581F">
        <w:rPr>
          <w:rFonts w:ascii="Calibri" w:eastAsia="Aptos" w:hAnsi="Calibri" w:cs="Calibri"/>
          <w:kern w:val="2"/>
          <w14:ligatures w14:val="standardContextual"/>
        </w:rPr>
        <w:t>The goal of this Task Force is to develop and propose an optimal regulatory framework for the regulatory oversight of third-party data and predictive models. The proposed regulatory framework may require new or modification of adopted model laws or regulations in 2025. The Third-Party Data and Models (H) Task Force will coordinate with other Innovation, Cybersecurity, and Technology (H) Committee activities and forums and place emphasis on transparency during the process.</w:t>
      </w:r>
    </w:p>
    <w:p w14:paraId="06D7BCE7" w14:textId="77777777" w:rsidR="0076581F" w:rsidRPr="0076581F" w:rsidRDefault="0076581F" w:rsidP="0023400A">
      <w:pPr>
        <w:spacing w:line="259" w:lineRule="auto"/>
        <w:rPr>
          <w:rFonts w:ascii="Calibri" w:eastAsia="Aptos" w:hAnsi="Calibri" w:cs="Calibri"/>
          <w:iCs/>
          <w:kern w:val="2"/>
          <w14:ligatures w14:val="standardContextual"/>
        </w:rPr>
      </w:pPr>
    </w:p>
    <w:p w14:paraId="1D76A124" w14:textId="77777777" w:rsidR="0076581F" w:rsidRPr="0076581F" w:rsidRDefault="0076581F" w:rsidP="0023400A">
      <w:pPr>
        <w:numPr>
          <w:ilvl w:val="0"/>
          <w:numId w:val="7"/>
        </w:numPr>
        <w:spacing w:line="259" w:lineRule="auto"/>
        <w:contextualSpacing/>
        <w:rPr>
          <w:rFonts w:ascii="Calibri" w:eastAsia="Aptos" w:hAnsi="Calibri" w:cs="Calibri"/>
          <w:iCs/>
          <w:kern w:val="2"/>
          <w14:ligatures w14:val="standardContextual"/>
        </w:rPr>
      </w:pPr>
      <w:r w:rsidRPr="0076581F">
        <w:rPr>
          <w:rFonts w:ascii="Calibri" w:eastAsia="Aptos" w:hAnsi="Calibri" w:cs="Calibri"/>
          <w:b/>
          <w:bCs/>
          <w:kern w:val="2"/>
          <w14:ligatures w14:val="standardContextual"/>
        </w:rPr>
        <w:t>Artificial Intelligence Systems Evaluation and Training Collaboration Forum</w:t>
      </w:r>
    </w:p>
    <w:p w14:paraId="6B10B6E5" w14:textId="20954ECC" w:rsidR="0076581F" w:rsidRPr="0076581F" w:rsidRDefault="0076581F" w:rsidP="0023400A">
      <w:pPr>
        <w:spacing w:line="259" w:lineRule="auto"/>
        <w:jc w:val="both"/>
        <w:rPr>
          <w:rFonts w:ascii="Calibri" w:eastAsia="Aptos" w:hAnsi="Calibri" w:cs="Calibri"/>
          <w:color w:val="000000"/>
          <w:kern w:val="2"/>
          <w14:ligatures w14:val="standardContextual"/>
        </w:rPr>
      </w:pPr>
      <w:r w:rsidRPr="0076581F">
        <w:rPr>
          <w:rFonts w:ascii="Calibri" w:eastAsia="Aptos" w:hAnsi="Calibri" w:cs="Calibri"/>
          <w:color w:val="000000"/>
          <w:kern w:val="2"/>
          <w14:ligatures w14:val="standardContextual"/>
        </w:rPr>
        <w:t>The Innovation, Cybersecurity, and Technology (H) Committee established the concept of Collaboration Forums (CFs) as platforms for multiple NAIC groups to work together to identify and address foundational issues and develop a common framework that can inform the various workstreams across the NAIC Committee structure. CFs typically result in a series of events which may include webinars, or in-person components intended to advance an important policy matter.</w:t>
      </w:r>
    </w:p>
    <w:p w14:paraId="7B4560B4" w14:textId="77777777" w:rsidR="0076581F" w:rsidRPr="0076581F" w:rsidRDefault="0076581F" w:rsidP="0023400A">
      <w:pPr>
        <w:spacing w:line="259" w:lineRule="auto"/>
        <w:jc w:val="both"/>
        <w:rPr>
          <w:rFonts w:ascii="Calibri" w:eastAsia="Aptos" w:hAnsi="Calibri" w:cs="Calibri"/>
          <w:color w:val="000000"/>
          <w:kern w:val="2"/>
          <w14:ligatures w14:val="standardContextual"/>
        </w:rPr>
      </w:pPr>
    </w:p>
    <w:p w14:paraId="2F9BE0CA" w14:textId="52C6CB5E" w:rsidR="0076581F" w:rsidRPr="0076581F" w:rsidRDefault="0076581F" w:rsidP="0023400A">
      <w:pPr>
        <w:spacing w:line="259" w:lineRule="auto"/>
        <w:jc w:val="both"/>
        <w:rPr>
          <w:rFonts w:ascii="Calibri" w:eastAsia="Aptos" w:hAnsi="Calibri" w:cs="Calibri"/>
          <w:color w:val="000000"/>
          <w:kern w:val="2"/>
          <w14:ligatures w14:val="standardContextual"/>
        </w:rPr>
      </w:pPr>
      <w:r w:rsidRPr="0076581F">
        <w:rPr>
          <w:rFonts w:ascii="Calibri" w:eastAsia="Aptos" w:hAnsi="Calibri" w:cs="Calibri"/>
          <w:color w:val="000000"/>
          <w:kern w:val="2"/>
          <w14:ligatures w14:val="standardContextual"/>
        </w:rPr>
        <w:t xml:space="preserve">An emerging CF is the </w:t>
      </w:r>
      <w:r w:rsidRPr="0076581F">
        <w:rPr>
          <w:rFonts w:ascii="Calibri" w:eastAsia="Aptos" w:hAnsi="Calibri" w:cs="Calibri"/>
          <w:kern w:val="2"/>
          <w14:ligatures w14:val="standardContextual"/>
        </w:rPr>
        <w:t>Artificial Intelligence Systems Evaluation and Training Collaboration Forum, which includes</w:t>
      </w:r>
      <w:r w:rsidRPr="0076581F">
        <w:rPr>
          <w:rFonts w:ascii="Calibri" w:eastAsia="Aptos" w:hAnsi="Calibri" w:cs="Calibri"/>
          <w:color w:val="000000"/>
          <w:kern w:val="2"/>
          <w14:ligatures w14:val="standardContextual"/>
        </w:rPr>
        <w:t xml:space="preserve"> several working groups and task force leads coming together for the purpose of developing exam standards for insurers using AI. The CF is also planning to oversee the development of AI training for regulators. The AUWG leadership is involved in this CF and in this role will help ensure that there is consistency around this topic across all lines of insurance. </w:t>
      </w:r>
    </w:p>
    <w:p w14:paraId="0A0B618E" w14:textId="36ACCD4A" w:rsidR="0076581F" w:rsidRPr="0076581F" w:rsidRDefault="0076581F" w:rsidP="0023400A">
      <w:pPr>
        <w:spacing w:line="259" w:lineRule="auto"/>
        <w:rPr>
          <w:rFonts w:ascii="Calibri" w:eastAsia="Aptos" w:hAnsi="Calibri" w:cs="Calibri"/>
          <w:color w:val="000000"/>
          <w:kern w:val="2"/>
          <w14:ligatures w14:val="standardContextual"/>
        </w:rPr>
      </w:pPr>
    </w:p>
    <w:p w14:paraId="71AA3297" w14:textId="77777777" w:rsidR="0076581F" w:rsidRDefault="0076581F" w:rsidP="0023400A">
      <w:pPr>
        <w:numPr>
          <w:ilvl w:val="0"/>
          <w:numId w:val="10"/>
        </w:numPr>
        <w:spacing w:line="259" w:lineRule="auto"/>
        <w:rPr>
          <w:rFonts w:ascii="Calibri" w:eastAsia="Aptos" w:hAnsi="Calibri" w:cs="Calibri"/>
          <w:b/>
          <w:bCs/>
          <w:iCs/>
          <w:kern w:val="2"/>
          <w14:ligatures w14:val="standardContextual"/>
        </w:rPr>
      </w:pPr>
      <w:r w:rsidRPr="0076581F">
        <w:rPr>
          <w:rFonts w:ascii="Calibri" w:eastAsia="Aptos" w:hAnsi="Calibri" w:cs="Calibri"/>
          <w:b/>
          <w:bCs/>
          <w:iCs/>
          <w:kern w:val="2"/>
          <w14:ligatures w14:val="standardContextual"/>
        </w:rPr>
        <w:t>The Privacy Protections (H) Working Group under the Innovation, Cybersecurity and Technology (H) Committee</w:t>
      </w:r>
    </w:p>
    <w:p w14:paraId="32731484" w14:textId="77777777" w:rsidR="001923A9" w:rsidRPr="0076581F" w:rsidRDefault="001923A9" w:rsidP="001923A9">
      <w:pPr>
        <w:spacing w:line="259" w:lineRule="auto"/>
        <w:ind w:left="360"/>
        <w:rPr>
          <w:rFonts w:ascii="Calibri" w:eastAsia="Aptos" w:hAnsi="Calibri" w:cs="Calibri"/>
          <w:b/>
          <w:bCs/>
          <w:iCs/>
          <w:kern w:val="2"/>
          <w14:ligatures w14:val="standardContextual"/>
        </w:rPr>
      </w:pPr>
    </w:p>
    <w:p w14:paraId="0EBCD4FC" w14:textId="1496606E" w:rsidR="0076581F" w:rsidRPr="0076581F" w:rsidRDefault="0076581F" w:rsidP="00B07CC3">
      <w:pPr>
        <w:spacing w:line="259" w:lineRule="auto"/>
        <w:jc w:val="both"/>
        <w:rPr>
          <w:rFonts w:ascii="Calibri" w:eastAsia="Aptos" w:hAnsi="Calibri" w:cs="Calibri"/>
          <w:kern w:val="2"/>
          <w14:ligatures w14:val="standardContextual"/>
        </w:rPr>
      </w:pPr>
      <w:r w:rsidRPr="0076581F">
        <w:rPr>
          <w:rFonts w:ascii="Calibri" w:eastAsia="Aptos" w:hAnsi="Calibri" w:cs="Calibri"/>
          <w:iCs/>
          <w:kern w:val="2"/>
          <w14:ligatures w14:val="standardContextual"/>
        </w:rPr>
        <w:t xml:space="preserve">The Privacy Protections (H) Working Group is working on replacing the </w:t>
      </w:r>
      <w:r w:rsidRPr="0076581F">
        <w:rPr>
          <w:rFonts w:ascii="Calibri" w:eastAsia="Aptos" w:hAnsi="Calibri" w:cs="Calibri"/>
          <w:kern w:val="2"/>
          <w14:ligatures w14:val="standardContextual"/>
        </w:rPr>
        <w:t xml:space="preserve">NAIC’s Insurance Information and Privacy Protection Model Act (#670) and the Privacy of Consumer Financial and </w:t>
      </w:r>
      <w:r w:rsidRPr="0076581F">
        <w:rPr>
          <w:rFonts w:ascii="Calibri" w:eastAsia="Aptos" w:hAnsi="Calibri" w:cs="Calibri"/>
          <w:kern w:val="2"/>
          <w14:ligatures w14:val="standardContextual"/>
        </w:rPr>
        <w:lastRenderedPageBreak/>
        <w:t xml:space="preserve">Health Information Regulation (#672) with one new model, </w:t>
      </w:r>
      <w:r w:rsidRPr="0076581F">
        <w:rPr>
          <w:rFonts w:ascii="Calibri" w:eastAsia="Aptos" w:hAnsi="Calibri" w:cs="Calibri"/>
          <w:i/>
          <w:iCs/>
          <w:kern w:val="2"/>
          <w14:ligatures w14:val="standardContextual"/>
        </w:rPr>
        <w:t>Consumer Privacy Protections Model Law</w:t>
      </w:r>
      <w:r w:rsidRPr="0076581F">
        <w:rPr>
          <w:rFonts w:ascii="Calibri" w:eastAsia="Aptos" w:hAnsi="Calibri" w:cs="Calibri"/>
          <w:kern w:val="2"/>
          <w14:ligatures w14:val="standardContextual"/>
        </w:rPr>
        <w:t xml:space="preserve"> (#674). Model #674 is intended to address issues confronting state insurance regulators applying current model law and regulation requirements to consumer privacy notifications relative to insurance companies, insurance producers, and their third-party vendors access to consumer data via the internet, telematics, and other data tracking technology used in complex algorithms, including machine learning (ML) and artificial intelligence (AI). Although this group is addressing a unique set of issues, it will require coordination, especially with regard to definitions. </w:t>
      </w:r>
    </w:p>
    <w:p w14:paraId="0BCCB830" w14:textId="77777777" w:rsidR="00BF251B" w:rsidRDefault="00BF251B" w:rsidP="00B07CC3">
      <w:pPr>
        <w:spacing w:line="259" w:lineRule="auto"/>
        <w:jc w:val="both"/>
        <w:rPr>
          <w:rFonts w:ascii="Calibri" w:hAnsi="Calibri" w:cs="Calibri"/>
          <w:iCs/>
        </w:rPr>
      </w:pPr>
    </w:p>
    <w:p w14:paraId="550CA036" w14:textId="70784B87" w:rsidR="00306C6E" w:rsidRDefault="004A71FD" w:rsidP="00EF12E6">
      <w:pPr>
        <w:spacing w:line="259" w:lineRule="auto"/>
        <w:jc w:val="both"/>
        <w:rPr>
          <w:rFonts w:ascii="Calibri" w:eastAsia="Calibri" w:hAnsi="Calibri" w:cs="Calibri"/>
          <w:iCs/>
        </w:rPr>
      </w:pPr>
      <w:r w:rsidRPr="00B07CC3">
        <w:rPr>
          <w:rFonts w:ascii="Calibri" w:hAnsi="Calibri" w:cs="Calibri"/>
          <w:iCs/>
        </w:rPr>
        <w:t xml:space="preserve"> </w:t>
      </w:r>
      <w:r w:rsidR="009B344A">
        <w:rPr>
          <w:rFonts w:ascii="Calibri" w:hAnsi="Calibri" w:cs="Calibri"/>
          <w:iCs/>
        </w:rPr>
        <w:t>The AUWG supports the NAIC</w:t>
      </w:r>
      <w:r w:rsidR="00496100">
        <w:rPr>
          <w:rFonts w:ascii="Calibri" w:hAnsi="Calibri" w:cs="Calibri"/>
          <w:iCs/>
        </w:rPr>
        <w:t xml:space="preserve"> further developing regulatory guidance regarding the use of artificial intelligence in the insurance industry to help </w:t>
      </w:r>
      <w:r w:rsidRPr="00B07CC3">
        <w:rPr>
          <w:rFonts w:ascii="Calibri" w:hAnsi="Calibri" w:cs="Calibri"/>
          <w:iCs/>
        </w:rPr>
        <w:t xml:space="preserve">DOIs appropriately monitor the use of </w:t>
      </w:r>
      <w:r w:rsidR="007B1DE7">
        <w:rPr>
          <w:rFonts w:ascii="Calibri" w:hAnsi="Calibri" w:cs="Calibri"/>
          <w:iCs/>
        </w:rPr>
        <w:t>A</w:t>
      </w:r>
      <w:r w:rsidRPr="00B07CC3">
        <w:rPr>
          <w:rFonts w:ascii="Calibri" w:hAnsi="Calibri" w:cs="Calibri"/>
          <w:iCs/>
        </w:rPr>
        <w:t xml:space="preserve">ccelerated </w:t>
      </w:r>
      <w:r w:rsidR="007B1DE7">
        <w:rPr>
          <w:rFonts w:ascii="Calibri" w:hAnsi="Calibri" w:cs="Calibri"/>
          <w:iCs/>
        </w:rPr>
        <w:t>U</w:t>
      </w:r>
      <w:r w:rsidRPr="00B07CC3">
        <w:rPr>
          <w:rFonts w:ascii="Calibri" w:hAnsi="Calibri" w:cs="Calibri"/>
          <w:iCs/>
        </w:rPr>
        <w:t xml:space="preserve">nderwriting programs used by life insurers. </w:t>
      </w:r>
      <w:r w:rsidR="00AF53AF">
        <w:rPr>
          <w:rFonts w:ascii="Calibri" w:hAnsi="Calibri" w:cs="Calibri"/>
          <w:iCs/>
        </w:rPr>
        <w:t xml:space="preserve">As noted above, there is work currently underway which will inform future efforts on this topic. </w:t>
      </w:r>
    </w:p>
    <w:sectPr w:rsidR="00306C6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F46DCE" w14:textId="77777777" w:rsidR="00B74696" w:rsidRDefault="00B74696" w:rsidP="00CB673B">
      <w:r>
        <w:separator/>
      </w:r>
    </w:p>
  </w:endnote>
  <w:endnote w:type="continuationSeparator" w:id="0">
    <w:p w14:paraId="06E369B6" w14:textId="77777777" w:rsidR="00B74696" w:rsidRDefault="00B74696" w:rsidP="00CB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1384668"/>
      <w:docPartObj>
        <w:docPartGallery w:val="Page Numbers (Bottom of Page)"/>
        <w:docPartUnique/>
      </w:docPartObj>
    </w:sdtPr>
    <w:sdtEndPr>
      <w:rPr>
        <w:rFonts w:ascii="Calibri" w:hAnsi="Calibri" w:cs="Calibri"/>
        <w:sz w:val="16"/>
        <w:szCs w:val="16"/>
      </w:rPr>
    </w:sdtEndPr>
    <w:sdtContent>
      <w:sdt>
        <w:sdtPr>
          <w:id w:val="-1769616900"/>
          <w:docPartObj>
            <w:docPartGallery w:val="Page Numbers (Top of Page)"/>
            <w:docPartUnique/>
          </w:docPartObj>
        </w:sdtPr>
        <w:sdtEndPr>
          <w:rPr>
            <w:rFonts w:ascii="Calibri" w:hAnsi="Calibri" w:cs="Calibri"/>
            <w:sz w:val="16"/>
            <w:szCs w:val="16"/>
          </w:rPr>
        </w:sdtEndPr>
        <w:sdtContent>
          <w:p w14:paraId="70349795" w14:textId="77777777" w:rsidR="00A27BBF" w:rsidRPr="00EA02F1" w:rsidRDefault="00CB673B">
            <w:pPr>
              <w:pStyle w:val="Footer"/>
              <w:jc w:val="right"/>
              <w:rPr>
                <w:rFonts w:cstheme="minorHAnsi"/>
                <w:bCs/>
              </w:rPr>
            </w:pPr>
            <w:r w:rsidRPr="00EA02F1">
              <w:rPr>
                <w:rFonts w:cstheme="minorHAnsi"/>
              </w:rPr>
              <w:t xml:space="preserve">Page </w:t>
            </w:r>
            <w:r w:rsidRPr="00EA02F1">
              <w:rPr>
                <w:rFonts w:cstheme="minorHAnsi"/>
                <w:bCs/>
              </w:rPr>
              <w:fldChar w:fldCharType="begin"/>
            </w:r>
            <w:r w:rsidRPr="00EA02F1">
              <w:rPr>
                <w:rFonts w:cstheme="minorHAnsi"/>
                <w:bCs/>
              </w:rPr>
              <w:instrText xml:space="preserve"> PAGE </w:instrText>
            </w:r>
            <w:r w:rsidRPr="00EA02F1">
              <w:rPr>
                <w:rFonts w:cstheme="minorHAnsi"/>
                <w:bCs/>
              </w:rPr>
              <w:fldChar w:fldCharType="separate"/>
            </w:r>
            <w:r w:rsidR="00475CCE" w:rsidRPr="00EA02F1">
              <w:rPr>
                <w:rFonts w:cstheme="minorHAnsi"/>
                <w:bCs/>
                <w:noProof/>
              </w:rPr>
              <w:t>6</w:t>
            </w:r>
            <w:r w:rsidRPr="00EA02F1">
              <w:rPr>
                <w:rFonts w:cstheme="minorHAnsi"/>
                <w:bCs/>
              </w:rPr>
              <w:fldChar w:fldCharType="end"/>
            </w:r>
            <w:r w:rsidRPr="00EA02F1">
              <w:rPr>
                <w:rFonts w:cstheme="minorHAnsi"/>
              </w:rPr>
              <w:t xml:space="preserve"> of </w:t>
            </w:r>
            <w:r w:rsidRPr="00EA02F1">
              <w:rPr>
                <w:rFonts w:cstheme="minorHAnsi"/>
                <w:bCs/>
              </w:rPr>
              <w:fldChar w:fldCharType="begin"/>
            </w:r>
            <w:r w:rsidRPr="00EA02F1">
              <w:rPr>
                <w:rFonts w:cstheme="minorHAnsi"/>
                <w:bCs/>
              </w:rPr>
              <w:instrText xml:space="preserve"> NUMPAGES  </w:instrText>
            </w:r>
            <w:r w:rsidRPr="00EA02F1">
              <w:rPr>
                <w:rFonts w:cstheme="minorHAnsi"/>
                <w:bCs/>
              </w:rPr>
              <w:fldChar w:fldCharType="separate"/>
            </w:r>
            <w:r w:rsidR="00475CCE" w:rsidRPr="00EA02F1">
              <w:rPr>
                <w:rFonts w:cstheme="minorHAnsi"/>
                <w:bCs/>
                <w:noProof/>
              </w:rPr>
              <w:t>6</w:t>
            </w:r>
            <w:r w:rsidRPr="00EA02F1">
              <w:rPr>
                <w:rFonts w:cstheme="minorHAnsi"/>
                <w:bCs/>
              </w:rPr>
              <w:fldChar w:fldCharType="end"/>
            </w:r>
          </w:p>
          <w:p w14:paraId="4BA3E5CF" w14:textId="44BBF9E4" w:rsidR="00CB673B" w:rsidRPr="00EA02F1" w:rsidRDefault="006C5621" w:rsidP="006C5621">
            <w:pPr>
              <w:pStyle w:val="Footer"/>
              <w:rPr>
                <w:rFonts w:ascii="Calibri" w:hAnsi="Calibri" w:cs="Calibri"/>
                <w:sz w:val="16"/>
                <w:szCs w:val="16"/>
              </w:rPr>
            </w:pPr>
            <w:r w:rsidRPr="00EA02F1">
              <w:rPr>
                <w:rFonts w:ascii="Calibri" w:hAnsi="Calibri" w:cs="Calibri"/>
                <w:bCs/>
                <w:sz w:val="16"/>
                <w:szCs w:val="16"/>
              </w:rPr>
              <w:t>© 202</w:t>
            </w:r>
            <w:r w:rsidR="00EA02F1" w:rsidRPr="00EA02F1">
              <w:rPr>
                <w:rFonts w:ascii="Calibri" w:hAnsi="Calibri" w:cs="Calibri"/>
                <w:bCs/>
                <w:sz w:val="16"/>
                <w:szCs w:val="16"/>
              </w:rPr>
              <w:t>4</w:t>
            </w:r>
            <w:r w:rsidRPr="00EA02F1">
              <w:rPr>
                <w:rFonts w:ascii="Calibri" w:hAnsi="Calibri" w:cs="Calibri"/>
                <w:bCs/>
                <w:sz w:val="16"/>
                <w:szCs w:val="16"/>
              </w:rPr>
              <w:t xml:space="preserve"> National Association of Insurance Commissioners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7CC0B" w14:textId="77777777" w:rsidR="00B74696" w:rsidRDefault="00B74696" w:rsidP="00CB673B">
      <w:r>
        <w:separator/>
      </w:r>
    </w:p>
  </w:footnote>
  <w:footnote w:type="continuationSeparator" w:id="0">
    <w:p w14:paraId="01EE76C2" w14:textId="77777777" w:rsidR="00B74696" w:rsidRDefault="00B74696" w:rsidP="00CB673B">
      <w:r>
        <w:continuationSeparator/>
      </w:r>
    </w:p>
  </w:footnote>
  <w:footnote w:id="1">
    <w:p w14:paraId="3BCEAC7F" w14:textId="65CA0565" w:rsidR="001F6FF7" w:rsidRDefault="001F6FF7">
      <w:pPr>
        <w:pStyle w:val="FootnoteText"/>
      </w:pPr>
      <w:r>
        <w:rPr>
          <w:rStyle w:val="FootnoteReference"/>
        </w:rPr>
        <w:footnoteRef/>
      </w:r>
      <w:r>
        <w:t xml:space="preserve"> </w:t>
      </w:r>
      <w:r w:rsidR="00B419CA" w:rsidRPr="00B419CA">
        <w:t>For purposes of this Regulatory Guidance, “A</w:t>
      </w:r>
      <w:r w:rsidR="00FD6811">
        <w:t>ccelerated Underwriting</w:t>
      </w:r>
      <w:r w:rsidR="00B419CA" w:rsidRPr="00B419CA">
        <w:t xml:space="preserve">” has the meaning set forth in the </w:t>
      </w:r>
      <w:r w:rsidR="00B17710" w:rsidRPr="00675181">
        <w:rPr>
          <w:rStyle w:val="normaltextrun"/>
          <w:rFonts w:ascii="Calibri" w:hAnsi="Calibri" w:cs="Calibri"/>
          <w:color w:val="000000"/>
          <w:shd w:val="clear" w:color="auto" w:fill="FFFFFF"/>
        </w:rPr>
        <w:t xml:space="preserve">Life and Annuity </w:t>
      </w:r>
      <w:r w:rsidR="00B17710">
        <w:rPr>
          <w:rStyle w:val="normaltextrun"/>
          <w:rFonts w:ascii="Calibri" w:hAnsi="Calibri" w:cs="Calibri"/>
          <w:color w:val="000000"/>
          <w:shd w:val="clear" w:color="auto" w:fill="FFFFFF"/>
        </w:rPr>
        <w:t>Market Conduct Annual Statement (</w:t>
      </w:r>
      <w:r w:rsidR="00B17710" w:rsidRPr="00675181">
        <w:rPr>
          <w:rStyle w:val="normaltextrun"/>
          <w:rFonts w:ascii="Calibri" w:hAnsi="Calibri" w:cs="Calibri"/>
          <w:color w:val="000000"/>
          <w:shd w:val="clear" w:color="auto" w:fill="FFFFFF"/>
        </w:rPr>
        <w:t>MCAS</w:t>
      </w:r>
      <w:r w:rsidR="00B17710">
        <w:rPr>
          <w:rStyle w:val="normaltextrun"/>
          <w:rFonts w:ascii="Calibri" w:hAnsi="Calibri" w:cs="Calibri"/>
          <w:color w:val="000000"/>
          <w:shd w:val="clear" w:color="auto" w:fill="FFFFFF"/>
        </w:rPr>
        <w:t>)</w:t>
      </w:r>
      <w:r w:rsidR="00B419CA" w:rsidRPr="00B419CA">
        <w:t>.</w:t>
      </w:r>
      <w:r w:rsidR="004D492A">
        <w:t xml:space="preserve"> See page 6 below “From 2022.”</w:t>
      </w:r>
      <w:r w:rsidR="00B17710">
        <w:t xml:space="preserve"> </w:t>
      </w:r>
    </w:p>
  </w:footnote>
  <w:footnote w:id="2">
    <w:p w14:paraId="35CBBFF9" w14:textId="7236C106" w:rsidR="0011182F" w:rsidRDefault="0011182F" w:rsidP="0011182F">
      <w:pPr>
        <w:pStyle w:val="FootnoteText"/>
      </w:pPr>
      <w:r>
        <w:rPr>
          <w:rStyle w:val="FootnoteReference"/>
        </w:rPr>
        <w:footnoteRef/>
      </w:r>
      <w:r>
        <w:t xml:space="preserve"> </w:t>
      </w:r>
      <w:bookmarkStart w:id="0" w:name="_Hlk165272286"/>
      <w:r>
        <w:t>For purposes of this Regulatory Guidance, “Algorithm” has the meaning set forth in the AI Model Bulletin</w:t>
      </w:r>
      <w:r w:rsidR="004B6A62">
        <w:t xml:space="preserve"> (</w:t>
      </w:r>
      <w:r w:rsidR="004B6A62" w:rsidRPr="00B875CC">
        <w:rPr>
          <w:i/>
          <w:iCs/>
        </w:rPr>
        <w:t>See</w:t>
      </w:r>
      <w:r w:rsidR="004B6A62">
        <w:t xml:space="preserve"> Appen</w:t>
      </w:r>
      <w:r w:rsidR="00381BC3">
        <w:t xml:space="preserve">dix </w:t>
      </w:r>
      <w:r w:rsidR="004506D5">
        <w:t>4)</w:t>
      </w:r>
      <w:r>
        <w:t>.</w:t>
      </w:r>
      <w:bookmarkEnd w:id="0"/>
    </w:p>
  </w:footnote>
  <w:footnote w:id="3">
    <w:p w14:paraId="649074DE" w14:textId="61E1BC36" w:rsidR="0011182F" w:rsidRDefault="0011182F" w:rsidP="0011182F">
      <w:pPr>
        <w:pStyle w:val="FootnoteText"/>
      </w:pPr>
      <w:r>
        <w:rPr>
          <w:rStyle w:val="FootnoteReference"/>
        </w:rPr>
        <w:footnoteRef/>
      </w:r>
      <w:r>
        <w:t xml:space="preserve"> </w:t>
      </w:r>
      <w:r w:rsidRPr="0019208E">
        <w:t>For purposes of this Regulatory Guidance, “</w:t>
      </w:r>
      <w:r>
        <w:t>Predictive Model</w:t>
      </w:r>
      <w:r w:rsidRPr="0019208E">
        <w:t>” has the meaning set forth in the AI Model Bulletin</w:t>
      </w:r>
      <w:r w:rsidR="004506D5">
        <w:t xml:space="preserve"> (</w:t>
      </w:r>
      <w:r w:rsidR="004506D5" w:rsidRPr="00B875CC">
        <w:rPr>
          <w:i/>
          <w:iCs/>
        </w:rPr>
        <w:t>See</w:t>
      </w:r>
      <w:r w:rsidR="004506D5">
        <w:t xml:space="preserve"> Appendix 4)</w:t>
      </w:r>
      <w:r w:rsidRPr="0019208E">
        <w:t>.</w:t>
      </w:r>
    </w:p>
  </w:footnote>
  <w:footnote w:id="4">
    <w:p w14:paraId="14E05872" w14:textId="77777777" w:rsidR="0011182F" w:rsidRDefault="0011182F" w:rsidP="0011182F">
      <w:pPr>
        <w:pStyle w:val="FootnoteText"/>
      </w:pPr>
      <w:r w:rsidRPr="004F1006">
        <w:rPr>
          <w:rStyle w:val="FootnoteReference"/>
          <w:rFonts w:ascii="Times New Roman" w:hAnsi="Times New Roman" w:cs="Times New Roman"/>
        </w:rPr>
        <w:footnoteRef/>
      </w:r>
      <w:r w:rsidRPr="004F1006">
        <w:rPr>
          <w:rFonts w:ascii="Times New Roman" w:hAnsi="Times New Roman" w:cs="Times New Roman"/>
        </w:rPr>
        <w:t xml:space="preserve"> </w:t>
      </w:r>
      <w:r w:rsidRPr="001F052E">
        <w:rPr>
          <w:rFonts w:ascii="Calibri" w:hAnsi="Calibri" w:cs="Times New Roman"/>
        </w:rPr>
        <w:t xml:space="preserve">For clarity and consistency, this bullet borrows language from the Casualty Actuarial and Statistical (C) Task Force </w:t>
      </w:r>
      <w:r w:rsidRPr="001F052E">
        <w:rPr>
          <w:rFonts w:ascii="Calibri" w:hAnsi="Calibri" w:cs="Times New Roman"/>
          <w:i/>
          <w:iCs/>
        </w:rPr>
        <w:t>Regulatory Review of Predictive Models White Paper</w:t>
      </w:r>
      <w:r w:rsidRPr="001F052E">
        <w:rPr>
          <w:rFonts w:ascii="Calibri" w:hAnsi="Calibri" w:cs="Times New Roman"/>
        </w:rPr>
        <w:t xml:space="preserve"> to describe this concept, replacing the language from the Accelerated Underwriting Educational Paper recommendation, which said: “External data sources, algorithms or predictive models are based on sound actuarial principles, including a valid explanation or rationale for any claimed correlation or causal connection</w:t>
      </w:r>
      <w:r w:rsidRPr="004F1006">
        <w:rPr>
          <w:rFonts w:ascii="Times New Roman" w:hAnsi="Times New Roman" w:cs="Times New Roman"/>
        </w:rPr>
        <w:t>.”</w:t>
      </w:r>
    </w:p>
  </w:footnote>
  <w:footnote w:id="5">
    <w:p w14:paraId="7DADC130" w14:textId="1A6DC00F" w:rsidR="0011182F" w:rsidRDefault="0011182F" w:rsidP="0011182F">
      <w:pPr>
        <w:pStyle w:val="FootnoteText"/>
      </w:pPr>
      <w:r>
        <w:rPr>
          <w:rStyle w:val="FootnoteReference"/>
        </w:rPr>
        <w:footnoteRef/>
      </w:r>
      <w:r>
        <w:t xml:space="preserve"> </w:t>
      </w:r>
      <w:r w:rsidRPr="0035188F">
        <w:t>For purposes of this Regulatory Guidance, “</w:t>
      </w:r>
      <w:r>
        <w:t>Machine Learning</w:t>
      </w:r>
      <w:r w:rsidRPr="0035188F">
        <w:t>” has the meaning set forth in the AI Model Bulletin</w:t>
      </w:r>
      <w:r w:rsidR="004506D5">
        <w:t xml:space="preserve"> (</w:t>
      </w:r>
      <w:r w:rsidR="004506D5" w:rsidRPr="00B875CC">
        <w:rPr>
          <w:i/>
          <w:iCs/>
        </w:rPr>
        <w:t>See</w:t>
      </w:r>
      <w:r w:rsidR="004506D5">
        <w:t xml:space="preserve"> Appendix 4)</w:t>
      </w:r>
      <w:r w:rsidRPr="0035188F">
        <w:t>.</w:t>
      </w:r>
    </w:p>
  </w:footnote>
  <w:footnote w:id="6">
    <w:p w14:paraId="0DD93BFC" w14:textId="70C665E1" w:rsidR="0011182F" w:rsidRDefault="0011182F" w:rsidP="0011182F">
      <w:pPr>
        <w:pStyle w:val="FootnoteText"/>
      </w:pPr>
      <w:r>
        <w:rPr>
          <w:rStyle w:val="FootnoteReference"/>
        </w:rPr>
        <w:footnoteRef/>
      </w:r>
      <w:r>
        <w:t xml:space="preserve"> For purposes of this Regulatory Guidance, </w:t>
      </w:r>
      <w:r w:rsidRPr="00707CF7">
        <w:t>“</w:t>
      </w:r>
      <w:r>
        <w:t>A</w:t>
      </w:r>
      <w:r w:rsidRPr="00707CF7">
        <w:t xml:space="preserve">dverse </w:t>
      </w:r>
      <w:r>
        <w:t>U</w:t>
      </w:r>
      <w:r w:rsidRPr="00707CF7">
        <w:t xml:space="preserve">nderwriting </w:t>
      </w:r>
      <w:r>
        <w:t>D</w:t>
      </w:r>
      <w:r w:rsidRPr="00707CF7">
        <w:t xml:space="preserve">ecision” </w:t>
      </w:r>
      <w:r>
        <w:t xml:space="preserve">has </w:t>
      </w:r>
      <w:r w:rsidRPr="00707CF7">
        <w:t xml:space="preserve">the meaning articulated in the most recent draft of Model #674, which came from </w:t>
      </w:r>
      <w:hyperlink r:id="rId1" w:history="1">
        <w:r w:rsidRPr="004F7A0A">
          <w:rPr>
            <w:rStyle w:val="Hyperlink"/>
          </w:rPr>
          <w:t>Model #670</w:t>
        </w:r>
      </w:hyperlink>
      <w:r w:rsidRPr="00707CF7">
        <w:t xml:space="preserve"> and is consistent with the Fair Credit Reporting Act.  </w:t>
      </w:r>
    </w:p>
  </w:footnote>
  <w:footnote w:id="7">
    <w:p w14:paraId="61DEFB9A" w14:textId="0F80E459" w:rsidR="0011182F" w:rsidRDefault="0011182F" w:rsidP="0011182F">
      <w:pPr>
        <w:pStyle w:val="FootnoteText"/>
      </w:pPr>
      <w:r>
        <w:rPr>
          <w:rStyle w:val="FootnoteReference"/>
        </w:rPr>
        <w:footnoteRef/>
      </w:r>
      <w:r>
        <w:t xml:space="preserve"> For purposes of this Regulatory Guidance, “Adverse Consumer Outcomes” has the meaning set forth in the </w:t>
      </w:r>
      <w:r w:rsidR="00611F99">
        <w:t xml:space="preserve">Model AI </w:t>
      </w:r>
      <w:r>
        <w:t>Bulletin</w:t>
      </w:r>
      <w:r w:rsidR="00471098">
        <w:t xml:space="preserve"> </w:t>
      </w:r>
      <w:r w:rsidR="002757AE">
        <w:t>(</w:t>
      </w:r>
      <w:r w:rsidR="006F57AB">
        <w:t>See Appendix 4</w:t>
      </w:r>
      <w:proofErr w:type="gramStart"/>
      <w:r w:rsidR="002757AE">
        <w:t>)</w:t>
      </w:r>
      <w:r w:rsidR="00471098">
        <w:t>.</w:t>
      </w:r>
      <w:r>
        <w:t>.</w:t>
      </w:r>
      <w:proofErr w:type="gramEnd"/>
      <w:r>
        <w:t xml:space="preserve"> </w:t>
      </w:r>
    </w:p>
  </w:footnote>
  <w:footnote w:id="8">
    <w:p w14:paraId="0E3EBF2E" w14:textId="0838DDDE" w:rsidR="00C47B26" w:rsidRPr="00C47B26" w:rsidRDefault="00C47B26" w:rsidP="00C47B26">
      <w:pPr>
        <w:pStyle w:val="FootnoteText"/>
      </w:pPr>
      <w:r>
        <w:rPr>
          <w:rStyle w:val="FootnoteReference"/>
        </w:rPr>
        <w:footnoteRef/>
      </w:r>
      <w:r>
        <w:t xml:space="preserve"> </w:t>
      </w:r>
      <w:r w:rsidRPr="00C47B26">
        <w:t xml:space="preserve">The AUWG relied on the NAIC’s </w:t>
      </w:r>
      <w:r w:rsidRPr="001F052E">
        <w:rPr>
          <w:iCs/>
        </w:rPr>
        <w:t>AI Principles</w:t>
      </w:r>
      <w:r w:rsidRPr="00C47B26">
        <w:t xml:space="preserve"> for the recommendations contained in its educational paper and believes that these </w:t>
      </w:r>
      <w:r w:rsidR="00F22B14" w:rsidRPr="00C24ABC">
        <w:t xml:space="preserve">AI </w:t>
      </w:r>
      <w:r w:rsidRPr="001F052E">
        <w:t>Principles</w:t>
      </w:r>
      <w:r w:rsidRPr="00C24ABC">
        <w:t>,</w:t>
      </w:r>
      <w:r w:rsidRPr="00C47B26">
        <w:t xml:space="preserve"> coupled with the NAIC model references listed in the M</w:t>
      </w:r>
      <w:r w:rsidR="008434F3">
        <w:t>RH</w:t>
      </w:r>
      <w:r w:rsidRPr="00C47B26">
        <w:t xml:space="preserve"> Section F. Underwriting and Rating of Chapter 20—General Examination Standards, and Section F. Underwriting and Rating of Chapter 23—Conducting the Life and Annuity Examination, form the basis for additional examination review criteria that focus on </w:t>
      </w:r>
      <w:r w:rsidR="007B1DE7">
        <w:t>A</w:t>
      </w:r>
      <w:r w:rsidR="008434F3">
        <w:t xml:space="preserve">ccelerated </w:t>
      </w:r>
      <w:r w:rsidR="007B1DE7">
        <w:t>U</w:t>
      </w:r>
      <w:r w:rsidR="008434F3">
        <w:t>nderwriting</w:t>
      </w:r>
      <w:r w:rsidRPr="00C47B26">
        <w:t xml:space="preserve"> in life insurance.</w:t>
      </w:r>
    </w:p>
    <w:p w14:paraId="44E4713F" w14:textId="1838F39F" w:rsidR="00C47B26" w:rsidRDefault="00C47B26">
      <w:pPr>
        <w:pStyle w:val="FootnoteText"/>
      </w:pPr>
    </w:p>
  </w:footnote>
  <w:footnote w:id="9">
    <w:p w14:paraId="5BB5D2EA" w14:textId="408B6C9C" w:rsidR="00F76840" w:rsidRPr="00F80C7E" w:rsidRDefault="00F76840" w:rsidP="00F76840">
      <w:pPr>
        <w:pStyle w:val="FootnoteText"/>
        <w:jc w:val="both"/>
      </w:pPr>
      <w:r>
        <w:rPr>
          <w:rStyle w:val="FootnoteReference"/>
        </w:rPr>
        <w:footnoteRef/>
      </w:r>
      <w:r>
        <w:t xml:space="preserve"> </w:t>
      </w:r>
      <w:r w:rsidR="00105F6C">
        <w:t>AUWG’s educational paper adopted the following definition: “</w:t>
      </w:r>
      <w:r w:rsidRPr="00F80C7E">
        <w:t>Accelerated underwriting (AU) is the use of big data, artificial intelligence, and machine learning to underwrite life insurance in an expedited manner. The process generally uses predictive models and machine learning algorithms to analyze applicant data, which may include the use of non-traditional, non-medical data, provided either by the applicant directly or obtained through external sources. The process is typically used to replace all or part of traditional underwriting in life insurance and to allow some applicants to have certain medical requirements waived, such as paramedical exams and fluid collection.</w:t>
      </w:r>
      <w:r w:rsidR="00105F6C">
        <w:t>”</w:t>
      </w:r>
    </w:p>
    <w:p w14:paraId="69694CD2" w14:textId="77777777" w:rsidR="00F76840" w:rsidRDefault="00F76840" w:rsidP="00F76840">
      <w:pPr>
        <w:pStyle w:val="FootnoteText"/>
      </w:pPr>
    </w:p>
  </w:footnote>
  <w:footnote w:id="10">
    <w:p w14:paraId="3B00A12F" w14:textId="19451FC6" w:rsidR="00683A64" w:rsidRPr="00683A64" w:rsidRDefault="00683A64" w:rsidP="00683A64">
      <w:pPr>
        <w:pStyle w:val="FootnoteText"/>
        <w:rPr>
          <w:iCs/>
        </w:rPr>
      </w:pPr>
      <w:r>
        <w:rPr>
          <w:rStyle w:val="FootnoteReference"/>
        </w:rPr>
        <w:footnoteRef/>
      </w:r>
      <w:r>
        <w:t xml:space="preserve"> </w:t>
      </w:r>
      <w:r w:rsidR="00655C86">
        <w:rPr>
          <w:iCs/>
        </w:rPr>
        <w:t xml:space="preserve">In 2023, </w:t>
      </w:r>
      <w:r w:rsidRPr="00683A64">
        <w:rPr>
          <w:iCs/>
        </w:rPr>
        <w:t xml:space="preserve">Draft Model and Data Questions were developed </w:t>
      </w:r>
      <w:r w:rsidR="00C812A1">
        <w:rPr>
          <w:iCs/>
        </w:rPr>
        <w:t xml:space="preserve">and exposed for comment </w:t>
      </w:r>
      <w:r w:rsidRPr="00683A64">
        <w:rPr>
          <w:iCs/>
        </w:rPr>
        <w:t xml:space="preserve">by the Big Data and AI (H) Working Group to help regulators assess whether, to what extent, and in what capacity AI and ML algorithms were used in insurer operations. The Questions are intended to help regulators perform regulatory oversight during an investigation or as related to rate model reviews. The document includes a spreadsheet to gather responses in a structured format. An initial draft was exposed for comment in 2023, however, the project was put on hold </w:t>
      </w:r>
      <w:r w:rsidR="009D5B7B">
        <w:rPr>
          <w:iCs/>
        </w:rPr>
        <w:t xml:space="preserve">to focus efforts </w:t>
      </w:r>
      <w:r w:rsidR="0068793C">
        <w:rPr>
          <w:iCs/>
        </w:rPr>
        <w:t xml:space="preserve">on developing the </w:t>
      </w:r>
      <w:r w:rsidR="002F67AA">
        <w:rPr>
          <w:iCs/>
        </w:rPr>
        <w:t xml:space="preserve">AI </w:t>
      </w:r>
      <w:r w:rsidRPr="00683A64">
        <w:rPr>
          <w:iCs/>
        </w:rPr>
        <w:t xml:space="preserve">Model Bulletin. </w:t>
      </w:r>
    </w:p>
    <w:p w14:paraId="61FA6092" w14:textId="22346D01" w:rsidR="00683A64" w:rsidRDefault="00683A6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30BA5"/>
    <w:multiLevelType w:val="hybridMultilevel"/>
    <w:tmpl w:val="E55E0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EA2BDD"/>
    <w:multiLevelType w:val="hybridMultilevel"/>
    <w:tmpl w:val="BCDA9940"/>
    <w:lvl w:ilvl="0" w:tplc="A5E86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76EE8"/>
    <w:multiLevelType w:val="hybridMultilevel"/>
    <w:tmpl w:val="0E3C6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F66633"/>
    <w:multiLevelType w:val="hybridMultilevel"/>
    <w:tmpl w:val="E258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156A0F"/>
    <w:multiLevelType w:val="hybridMultilevel"/>
    <w:tmpl w:val="25F4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39630C"/>
    <w:multiLevelType w:val="hybridMultilevel"/>
    <w:tmpl w:val="0ADA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3F6285"/>
    <w:multiLevelType w:val="hybridMultilevel"/>
    <w:tmpl w:val="38800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A64AAF"/>
    <w:multiLevelType w:val="hybridMultilevel"/>
    <w:tmpl w:val="7F72D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FB4433"/>
    <w:multiLevelType w:val="hybridMultilevel"/>
    <w:tmpl w:val="25DE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E5853"/>
    <w:multiLevelType w:val="multilevel"/>
    <w:tmpl w:val="79AE92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22E3138"/>
    <w:multiLevelType w:val="multilevel"/>
    <w:tmpl w:val="CA48D5CA"/>
    <w:lvl w:ilvl="0">
      <w:start w:val="1"/>
      <w:numFmt w:val="upperLetter"/>
      <w:lvlText w:val="%1."/>
      <w:lvlJc w:val="left"/>
      <w:pPr>
        <w:tabs>
          <w:tab w:val="num" w:pos="1080"/>
        </w:tabs>
        <w:ind w:left="1080" w:hanging="360"/>
      </w:pPr>
      <w:rPr>
        <w:rFonts w:ascii="Calibri" w:eastAsiaTheme="minorHAnsi" w:hAnsi="Calibri" w:cs="Calibri"/>
      </w:rPr>
    </w:lvl>
    <w:lvl w:ilvl="1">
      <w:start w:val="1"/>
      <w:numFmt w:val="upperLetter"/>
      <w:lvlText w:val="%2."/>
      <w:lvlJc w:val="left"/>
      <w:pPr>
        <w:tabs>
          <w:tab w:val="num" w:pos="1800"/>
        </w:tabs>
        <w:ind w:left="1800" w:hanging="360"/>
      </w:pPr>
    </w:lvl>
    <w:lvl w:ilvl="2">
      <w:start w:val="1"/>
      <w:numFmt w:val="upperLetter"/>
      <w:lvlText w:val="%3."/>
      <w:lvlJc w:val="left"/>
      <w:pPr>
        <w:tabs>
          <w:tab w:val="num" w:pos="2520"/>
        </w:tabs>
        <w:ind w:left="2520" w:hanging="360"/>
      </w:pPr>
      <w:rPr>
        <w:rFonts w:ascii="Tahoma" w:eastAsiaTheme="minorEastAsia" w:hAnsi="Tahoma" w:cs="Tahoma"/>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16cid:durableId="985278268">
    <w:abstractNumId w:val="7"/>
  </w:num>
  <w:num w:numId="2" w16cid:durableId="1813719031">
    <w:abstractNumId w:val="5"/>
  </w:num>
  <w:num w:numId="3" w16cid:durableId="1158418995">
    <w:abstractNumId w:val="4"/>
  </w:num>
  <w:num w:numId="4" w16cid:durableId="1417676232">
    <w:abstractNumId w:val="4"/>
  </w:num>
  <w:num w:numId="5" w16cid:durableId="1209609531">
    <w:abstractNumId w:val="8"/>
  </w:num>
  <w:num w:numId="6" w16cid:durableId="1009870087">
    <w:abstractNumId w:val="0"/>
  </w:num>
  <w:num w:numId="7" w16cid:durableId="2124573002">
    <w:abstractNumId w:val="6"/>
  </w:num>
  <w:num w:numId="8" w16cid:durableId="737480913">
    <w:abstractNumId w:val="1"/>
  </w:num>
  <w:num w:numId="9" w16cid:durableId="704259659">
    <w:abstractNumId w:val="3"/>
  </w:num>
  <w:num w:numId="10" w16cid:durableId="325208799">
    <w:abstractNumId w:val="2"/>
  </w:num>
  <w:num w:numId="11" w16cid:durableId="401997861">
    <w:abstractNumId w:val="9"/>
  </w:num>
  <w:num w:numId="12" w16cid:durableId="9108501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D03"/>
    <w:rsid w:val="00002AFB"/>
    <w:rsid w:val="000064A1"/>
    <w:rsid w:val="00015434"/>
    <w:rsid w:val="000208C8"/>
    <w:rsid w:val="00020A6F"/>
    <w:rsid w:val="000233D4"/>
    <w:rsid w:val="00024AF9"/>
    <w:rsid w:val="00031898"/>
    <w:rsid w:val="000357BE"/>
    <w:rsid w:val="00042913"/>
    <w:rsid w:val="00043CC2"/>
    <w:rsid w:val="00047256"/>
    <w:rsid w:val="00047A98"/>
    <w:rsid w:val="000507D5"/>
    <w:rsid w:val="00051664"/>
    <w:rsid w:val="000534C6"/>
    <w:rsid w:val="00056E72"/>
    <w:rsid w:val="00063236"/>
    <w:rsid w:val="000760AB"/>
    <w:rsid w:val="000772B2"/>
    <w:rsid w:val="00080D61"/>
    <w:rsid w:val="000826DA"/>
    <w:rsid w:val="00090709"/>
    <w:rsid w:val="000915AD"/>
    <w:rsid w:val="00091CC5"/>
    <w:rsid w:val="000A693A"/>
    <w:rsid w:val="000B1900"/>
    <w:rsid w:val="000B26B7"/>
    <w:rsid w:val="000B6E39"/>
    <w:rsid w:val="000C2C73"/>
    <w:rsid w:val="000D2377"/>
    <w:rsid w:val="000E23F9"/>
    <w:rsid w:val="000E2572"/>
    <w:rsid w:val="000E5DF3"/>
    <w:rsid w:val="00100079"/>
    <w:rsid w:val="00100EB6"/>
    <w:rsid w:val="00105F6C"/>
    <w:rsid w:val="001076AD"/>
    <w:rsid w:val="0011182F"/>
    <w:rsid w:val="00113CD3"/>
    <w:rsid w:val="00116F25"/>
    <w:rsid w:val="00117064"/>
    <w:rsid w:val="001237CC"/>
    <w:rsid w:val="00136899"/>
    <w:rsid w:val="001445DA"/>
    <w:rsid w:val="00145880"/>
    <w:rsid w:val="00152844"/>
    <w:rsid w:val="00153796"/>
    <w:rsid w:val="00156DE3"/>
    <w:rsid w:val="00160629"/>
    <w:rsid w:val="001621F1"/>
    <w:rsid w:val="0016354D"/>
    <w:rsid w:val="001712D4"/>
    <w:rsid w:val="001812B4"/>
    <w:rsid w:val="00181C90"/>
    <w:rsid w:val="00184F19"/>
    <w:rsid w:val="00185EBA"/>
    <w:rsid w:val="00190DE2"/>
    <w:rsid w:val="00191F04"/>
    <w:rsid w:val="0019208E"/>
    <w:rsid w:val="001923A9"/>
    <w:rsid w:val="00195233"/>
    <w:rsid w:val="001966DC"/>
    <w:rsid w:val="001B3EA7"/>
    <w:rsid w:val="001D530A"/>
    <w:rsid w:val="001D66EE"/>
    <w:rsid w:val="001E457E"/>
    <w:rsid w:val="001F052E"/>
    <w:rsid w:val="001F6FF7"/>
    <w:rsid w:val="002011DC"/>
    <w:rsid w:val="00205999"/>
    <w:rsid w:val="00205B65"/>
    <w:rsid w:val="00206673"/>
    <w:rsid w:val="00206DB6"/>
    <w:rsid w:val="00212F14"/>
    <w:rsid w:val="00212F8C"/>
    <w:rsid w:val="00221EF0"/>
    <w:rsid w:val="00222432"/>
    <w:rsid w:val="00231B91"/>
    <w:rsid w:val="00233110"/>
    <w:rsid w:val="0023400A"/>
    <w:rsid w:val="00234C2E"/>
    <w:rsid w:val="00235A81"/>
    <w:rsid w:val="002370BB"/>
    <w:rsid w:val="00237F7E"/>
    <w:rsid w:val="00243057"/>
    <w:rsid w:val="00247538"/>
    <w:rsid w:val="00247A92"/>
    <w:rsid w:val="0025479B"/>
    <w:rsid w:val="002554A3"/>
    <w:rsid w:val="00257877"/>
    <w:rsid w:val="00264712"/>
    <w:rsid w:val="002722F5"/>
    <w:rsid w:val="002757AE"/>
    <w:rsid w:val="00285D34"/>
    <w:rsid w:val="00287A4D"/>
    <w:rsid w:val="00291CA2"/>
    <w:rsid w:val="00291E94"/>
    <w:rsid w:val="00292889"/>
    <w:rsid w:val="00294482"/>
    <w:rsid w:val="00296CB9"/>
    <w:rsid w:val="00297001"/>
    <w:rsid w:val="0029777D"/>
    <w:rsid w:val="002A1341"/>
    <w:rsid w:val="002A531D"/>
    <w:rsid w:val="002B098E"/>
    <w:rsid w:val="002B1C24"/>
    <w:rsid w:val="002B1C93"/>
    <w:rsid w:val="002B1D3D"/>
    <w:rsid w:val="002B2A10"/>
    <w:rsid w:val="002B5A4F"/>
    <w:rsid w:val="002C3F70"/>
    <w:rsid w:val="002D0CE8"/>
    <w:rsid w:val="002D1AD4"/>
    <w:rsid w:val="002D3D31"/>
    <w:rsid w:val="002D40B3"/>
    <w:rsid w:val="002D59C2"/>
    <w:rsid w:val="002E0C4B"/>
    <w:rsid w:val="002E1596"/>
    <w:rsid w:val="002E2837"/>
    <w:rsid w:val="002F0F4D"/>
    <w:rsid w:val="002F216F"/>
    <w:rsid w:val="002F6239"/>
    <w:rsid w:val="002F67AA"/>
    <w:rsid w:val="00301006"/>
    <w:rsid w:val="00306C6E"/>
    <w:rsid w:val="0031129B"/>
    <w:rsid w:val="00316920"/>
    <w:rsid w:val="00316BFD"/>
    <w:rsid w:val="003177C2"/>
    <w:rsid w:val="00317A55"/>
    <w:rsid w:val="003216C8"/>
    <w:rsid w:val="00323EEA"/>
    <w:rsid w:val="0032429E"/>
    <w:rsid w:val="00331BB7"/>
    <w:rsid w:val="00332EEE"/>
    <w:rsid w:val="0034012E"/>
    <w:rsid w:val="0034355A"/>
    <w:rsid w:val="0034772F"/>
    <w:rsid w:val="003511E8"/>
    <w:rsid w:val="0035166C"/>
    <w:rsid w:val="0035188F"/>
    <w:rsid w:val="00351AE4"/>
    <w:rsid w:val="003530BA"/>
    <w:rsid w:val="00353503"/>
    <w:rsid w:val="00353EDE"/>
    <w:rsid w:val="00354458"/>
    <w:rsid w:val="00354628"/>
    <w:rsid w:val="003546AF"/>
    <w:rsid w:val="00355D74"/>
    <w:rsid w:val="00355FDC"/>
    <w:rsid w:val="0035729F"/>
    <w:rsid w:val="003578F8"/>
    <w:rsid w:val="003615AD"/>
    <w:rsid w:val="0037251F"/>
    <w:rsid w:val="003746CA"/>
    <w:rsid w:val="0038192D"/>
    <w:rsid w:val="00381BC3"/>
    <w:rsid w:val="00385428"/>
    <w:rsid w:val="0039028A"/>
    <w:rsid w:val="003911FC"/>
    <w:rsid w:val="0039422B"/>
    <w:rsid w:val="003A1711"/>
    <w:rsid w:val="003A54D0"/>
    <w:rsid w:val="003A602D"/>
    <w:rsid w:val="003B0D98"/>
    <w:rsid w:val="003C0D13"/>
    <w:rsid w:val="003C2E11"/>
    <w:rsid w:val="003C3991"/>
    <w:rsid w:val="003C426A"/>
    <w:rsid w:val="003C486B"/>
    <w:rsid w:val="003C7CC0"/>
    <w:rsid w:val="003D31CD"/>
    <w:rsid w:val="003D37D3"/>
    <w:rsid w:val="003E5D36"/>
    <w:rsid w:val="003F1907"/>
    <w:rsid w:val="003F22CC"/>
    <w:rsid w:val="003F27C8"/>
    <w:rsid w:val="003F478F"/>
    <w:rsid w:val="00400C76"/>
    <w:rsid w:val="00401EDC"/>
    <w:rsid w:val="004142D3"/>
    <w:rsid w:val="00414FE1"/>
    <w:rsid w:val="00416422"/>
    <w:rsid w:val="00421A2A"/>
    <w:rsid w:val="0042257D"/>
    <w:rsid w:val="00440B74"/>
    <w:rsid w:val="00442363"/>
    <w:rsid w:val="004443C6"/>
    <w:rsid w:val="00447413"/>
    <w:rsid w:val="0044760A"/>
    <w:rsid w:val="004506D5"/>
    <w:rsid w:val="00450B15"/>
    <w:rsid w:val="00450C8A"/>
    <w:rsid w:val="004540C7"/>
    <w:rsid w:val="004546FE"/>
    <w:rsid w:val="00456CD3"/>
    <w:rsid w:val="00460DF5"/>
    <w:rsid w:val="00462FEC"/>
    <w:rsid w:val="00470EBB"/>
    <w:rsid w:val="00471098"/>
    <w:rsid w:val="00471C3F"/>
    <w:rsid w:val="00475CCE"/>
    <w:rsid w:val="00476910"/>
    <w:rsid w:val="00476A95"/>
    <w:rsid w:val="00480E09"/>
    <w:rsid w:val="0048345E"/>
    <w:rsid w:val="00483869"/>
    <w:rsid w:val="004909FE"/>
    <w:rsid w:val="00490D64"/>
    <w:rsid w:val="00496100"/>
    <w:rsid w:val="004A1B0C"/>
    <w:rsid w:val="004A20C3"/>
    <w:rsid w:val="004A71FD"/>
    <w:rsid w:val="004A7345"/>
    <w:rsid w:val="004B2ED7"/>
    <w:rsid w:val="004B5FF4"/>
    <w:rsid w:val="004B6A62"/>
    <w:rsid w:val="004B6C2F"/>
    <w:rsid w:val="004C178D"/>
    <w:rsid w:val="004C266A"/>
    <w:rsid w:val="004C79F0"/>
    <w:rsid w:val="004D492A"/>
    <w:rsid w:val="004E0633"/>
    <w:rsid w:val="004F1006"/>
    <w:rsid w:val="004F2245"/>
    <w:rsid w:val="004F6E42"/>
    <w:rsid w:val="004F7A0A"/>
    <w:rsid w:val="0050237F"/>
    <w:rsid w:val="00503A0C"/>
    <w:rsid w:val="00512DB1"/>
    <w:rsid w:val="00512F0D"/>
    <w:rsid w:val="00513F54"/>
    <w:rsid w:val="005218F4"/>
    <w:rsid w:val="005233A3"/>
    <w:rsid w:val="00527E19"/>
    <w:rsid w:val="005310F9"/>
    <w:rsid w:val="005341BF"/>
    <w:rsid w:val="00534346"/>
    <w:rsid w:val="005357D7"/>
    <w:rsid w:val="00536BF1"/>
    <w:rsid w:val="00541305"/>
    <w:rsid w:val="00543054"/>
    <w:rsid w:val="00543251"/>
    <w:rsid w:val="00544612"/>
    <w:rsid w:val="00544DD9"/>
    <w:rsid w:val="00554871"/>
    <w:rsid w:val="00556811"/>
    <w:rsid w:val="00560B7C"/>
    <w:rsid w:val="005659A6"/>
    <w:rsid w:val="00570CF0"/>
    <w:rsid w:val="00573B57"/>
    <w:rsid w:val="0057452C"/>
    <w:rsid w:val="005757C6"/>
    <w:rsid w:val="005763EF"/>
    <w:rsid w:val="005775B8"/>
    <w:rsid w:val="005810C7"/>
    <w:rsid w:val="005812EB"/>
    <w:rsid w:val="00586D24"/>
    <w:rsid w:val="005875DC"/>
    <w:rsid w:val="00591311"/>
    <w:rsid w:val="00592991"/>
    <w:rsid w:val="005A27A7"/>
    <w:rsid w:val="005B000D"/>
    <w:rsid w:val="005B5462"/>
    <w:rsid w:val="005B6015"/>
    <w:rsid w:val="005C3B3C"/>
    <w:rsid w:val="005C3C07"/>
    <w:rsid w:val="005C7805"/>
    <w:rsid w:val="005D1205"/>
    <w:rsid w:val="005D3149"/>
    <w:rsid w:val="005D3FBB"/>
    <w:rsid w:val="005D3FF7"/>
    <w:rsid w:val="005D4443"/>
    <w:rsid w:val="005D4C18"/>
    <w:rsid w:val="005F58D5"/>
    <w:rsid w:val="00610ABB"/>
    <w:rsid w:val="006110B4"/>
    <w:rsid w:val="0061173B"/>
    <w:rsid w:val="00611F99"/>
    <w:rsid w:val="00613661"/>
    <w:rsid w:val="00620658"/>
    <w:rsid w:val="00620CB7"/>
    <w:rsid w:val="00621B2D"/>
    <w:rsid w:val="00624304"/>
    <w:rsid w:val="006334ED"/>
    <w:rsid w:val="006443D9"/>
    <w:rsid w:val="00645C05"/>
    <w:rsid w:val="00645FEF"/>
    <w:rsid w:val="00647469"/>
    <w:rsid w:val="00655C86"/>
    <w:rsid w:val="00657A2E"/>
    <w:rsid w:val="00661DE0"/>
    <w:rsid w:val="006655CF"/>
    <w:rsid w:val="00665C54"/>
    <w:rsid w:val="0067103A"/>
    <w:rsid w:val="006726CD"/>
    <w:rsid w:val="006809D8"/>
    <w:rsid w:val="00680F70"/>
    <w:rsid w:val="00683A64"/>
    <w:rsid w:val="0068783E"/>
    <w:rsid w:val="0068793C"/>
    <w:rsid w:val="0069080D"/>
    <w:rsid w:val="00690B15"/>
    <w:rsid w:val="00693102"/>
    <w:rsid w:val="0069704C"/>
    <w:rsid w:val="006A15E8"/>
    <w:rsid w:val="006B3703"/>
    <w:rsid w:val="006B3928"/>
    <w:rsid w:val="006B4DC1"/>
    <w:rsid w:val="006C439A"/>
    <w:rsid w:val="006C5621"/>
    <w:rsid w:val="006D1CAD"/>
    <w:rsid w:val="006D40EB"/>
    <w:rsid w:val="006E32DF"/>
    <w:rsid w:val="006E392C"/>
    <w:rsid w:val="006F509B"/>
    <w:rsid w:val="006F57AB"/>
    <w:rsid w:val="0070128E"/>
    <w:rsid w:val="00701BBF"/>
    <w:rsid w:val="00702863"/>
    <w:rsid w:val="00704088"/>
    <w:rsid w:val="0070439A"/>
    <w:rsid w:val="00704774"/>
    <w:rsid w:val="0070477E"/>
    <w:rsid w:val="00707CF7"/>
    <w:rsid w:val="00710A0B"/>
    <w:rsid w:val="00710B45"/>
    <w:rsid w:val="00710DA5"/>
    <w:rsid w:val="0072540A"/>
    <w:rsid w:val="00727B57"/>
    <w:rsid w:val="00733404"/>
    <w:rsid w:val="00734C95"/>
    <w:rsid w:val="007369A9"/>
    <w:rsid w:val="007377E5"/>
    <w:rsid w:val="00744257"/>
    <w:rsid w:val="00752140"/>
    <w:rsid w:val="00753D52"/>
    <w:rsid w:val="007637BE"/>
    <w:rsid w:val="0076380D"/>
    <w:rsid w:val="00764660"/>
    <w:rsid w:val="0076581F"/>
    <w:rsid w:val="00780751"/>
    <w:rsid w:val="0078613A"/>
    <w:rsid w:val="00790071"/>
    <w:rsid w:val="00795FC5"/>
    <w:rsid w:val="00796A5D"/>
    <w:rsid w:val="0079744E"/>
    <w:rsid w:val="007A2B1A"/>
    <w:rsid w:val="007A458C"/>
    <w:rsid w:val="007A475D"/>
    <w:rsid w:val="007B0F1E"/>
    <w:rsid w:val="007B1A77"/>
    <w:rsid w:val="007B1D12"/>
    <w:rsid w:val="007B1DE7"/>
    <w:rsid w:val="007C079F"/>
    <w:rsid w:val="007C153D"/>
    <w:rsid w:val="007C16E0"/>
    <w:rsid w:val="007C1DA7"/>
    <w:rsid w:val="007D091C"/>
    <w:rsid w:val="007D3B18"/>
    <w:rsid w:val="007E4ADE"/>
    <w:rsid w:val="007E5D3E"/>
    <w:rsid w:val="007E76BC"/>
    <w:rsid w:val="007F2582"/>
    <w:rsid w:val="007F525F"/>
    <w:rsid w:val="00813DFE"/>
    <w:rsid w:val="0081416D"/>
    <w:rsid w:val="008149D6"/>
    <w:rsid w:val="00831DA3"/>
    <w:rsid w:val="00832070"/>
    <w:rsid w:val="0083440E"/>
    <w:rsid w:val="008419E5"/>
    <w:rsid w:val="008434F3"/>
    <w:rsid w:val="00843BA1"/>
    <w:rsid w:val="00845947"/>
    <w:rsid w:val="00845D03"/>
    <w:rsid w:val="0085675C"/>
    <w:rsid w:val="00860A67"/>
    <w:rsid w:val="008674A2"/>
    <w:rsid w:val="00867E05"/>
    <w:rsid w:val="008709A0"/>
    <w:rsid w:val="008715A3"/>
    <w:rsid w:val="0088298F"/>
    <w:rsid w:val="00882E9E"/>
    <w:rsid w:val="0089105A"/>
    <w:rsid w:val="008A28E1"/>
    <w:rsid w:val="008A34D8"/>
    <w:rsid w:val="008B3427"/>
    <w:rsid w:val="008B4467"/>
    <w:rsid w:val="008C046B"/>
    <w:rsid w:val="008C7D61"/>
    <w:rsid w:val="008D4F4C"/>
    <w:rsid w:val="008E0614"/>
    <w:rsid w:val="008E077B"/>
    <w:rsid w:val="008E29EF"/>
    <w:rsid w:val="008E76F9"/>
    <w:rsid w:val="008F0843"/>
    <w:rsid w:val="008F5FE1"/>
    <w:rsid w:val="009126A4"/>
    <w:rsid w:val="00912C8A"/>
    <w:rsid w:val="009172B2"/>
    <w:rsid w:val="0092387A"/>
    <w:rsid w:val="00934D25"/>
    <w:rsid w:val="009367C5"/>
    <w:rsid w:val="0093707F"/>
    <w:rsid w:val="00946B7C"/>
    <w:rsid w:val="009538CA"/>
    <w:rsid w:val="009553B2"/>
    <w:rsid w:val="00957C8E"/>
    <w:rsid w:val="0096443B"/>
    <w:rsid w:val="00964E8F"/>
    <w:rsid w:val="0097314E"/>
    <w:rsid w:val="009751B4"/>
    <w:rsid w:val="009910E0"/>
    <w:rsid w:val="0099244A"/>
    <w:rsid w:val="0099246E"/>
    <w:rsid w:val="00995952"/>
    <w:rsid w:val="009A3204"/>
    <w:rsid w:val="009A3B8E"/>
    <w:rsid w:val="009A65B1"/>
    <w:rsid w:val="009B079F"/>
    <w:rsid w:val="009B0CD3"/>
    <w:rsid w:val="009B344A"/>
    <w:rsid w:val="009B3578"/>
    <w:rsid w:val="009B5957"/>
    <w:rsid w:val="009B69D4"/>
    <w:rsid w:val="009C26D9"/>
    <w:rsid w:val="009C47E8"/>
    <w:rsid w:val="009D0DC3"/>
    <w:rsid w:val="009D4041"/>
    <w:rsid w:val="009D5B7B"/>
    <w:rsid w:val="009E2C9F"/>
    <w:rsid w:val="009F101C"/>
    <w:rsid w:val="009F272D"/>
    <w:rsid w:val="009F366A"/>
    <w:rsid w:val="009F4B4E"/>
    <w:rsid w:val="009F75E6"/>
    <w:rsid w:val="00A005A6"/>
    <w:rsid w:val="00A035E4"/>
    <w:rsid w:val="00A10E39"/>
    <w:rsid w:val="00A1345A"/>
    <w:rsid w:val="00A14A42"/>
    <w:rsid w:val="00A1626F"/>
    <w:rsid w:val="00A21BE2"/>
    <w:rsid w:val="00A23554"/>
    <w:rsid w:val="00A27BBF"/>
    <w:rsid w:val="00A27D55"/>
    <w:rsid w:val="00A317A6"/>
    <w:rsid w:val="00A334A1"/>
    <w:rsid w:val="00A361A4"/>
    <w:rsid w:val="00A4221C"/>
    <w:rsid w:val="00A550EC"/>
    <w:rsid w:val="00A67D16"/>
    <w:rsid w:val="00A72B14"/>
    <w:rsid w:val="00A73135"/>
    <w:rsid w:val="00A7355B"/>
    <w:rsid w:val="00A81177"/>
    <w:rsid w:val="00A909BE"/>
    <w:rsid w:val="00A93627"/>
    <w:rsid w:val="00A969CC"/>
    <w:rsid w:val="00A97D3D"/>
    <w:rsid w:val="00AA2F03"/>
    <w:rsid w:val="00AB03BF"/>
    <w:rsid w:val="00AB3245"/>
    <w:rsid w:val="00AB48DC"/>
    <w:rsid w:val="00AB4BC3"/>
    <w:rsid w:val="00AB5E5F"/>
    <w:rsid w:val="00AC22E7"/>
    <w:rsid w:val="00AC394C"/>
    <w:rsid w:val="00AC7066"/>
    <w:rsid w:val="00AC7205"/>
    <w:rsid w:val="00AD4669"/>
    <w:rsid w:val="00AE5F98"/>
    <w:rsid w:val="00AF199D"/>
    <w:rsid w:val="00AF22B2"/>
    <w:rsid w:val="00AF3163"/>
    <w:rsid w:val="00AF53AF"/>
    <w:rsid w:val="00AF5598"/>
    <w:rsid w:val="00B00E6F"/>
    <w:rsid w:val="00B02025"/>
    <w:rsid w:val="00B07CC3"/>
    <w:rsid w:val="00B10963"/>
    <w:rsid w:val="00B11F5C"/>
    <w:rsid w:val="00B12340"/>
    <w:rsid w:val="00B17710"/>
    <w:rsid w:val="00B2748B"/>
    <w:rsid w:val="00B346F1"/>
    <w:rsid w:val="00B37889"/>
    <w:rsid w:val="00B419CA"/>
    <w:rsid w:val="00B436EA"/>
    <w:rsid w:val="00B542F6"/>
    <w:rsid w:val="00B57CC3"/>
    <w:rsid w:val="00B60023"/>
    <w:rsid w:val="00B66F93"/>
    <w:rsid w:val="00B710AC"/>
    <w:rsid w:val="00B71A03"/>
    <w:rsid w:val="00B74696"/>
    <w:rsid w:val="00B772B2"/>
    <w:rsid w:val="00B77376"/>
    <w:rsid w:val="00B8130B"/>
    <w:rsid w:val="00B86600"/>
    <w:rsid w:val="00B875CC"/>
    <w:rsid w:val="00B8761E"/>
    <w:rsid w:val="00B90C34"/>
    <w:rsid w:val="00B93EC1"/>
    <w:rsid w:val="00B953A4"/>
    <w:rsid w:val="00B971F4"/>
    <w:rsid w:val="00BA6BA4"/>
    <w:rsid w:val="00BA7997"/>
    <w:rsid w:val="00BA7C18"/>
    <w:rsid w:val="00BB002D"/>
    <w:rsid w:val="00BB552F"/>
    <w:rsid w:val="00BB5F85"/>
    <w:rsid w:val="00BC01CA"/>
    <w:rsid w:val="00BC0F98"/>
    <w:rsid w:val="00BC2004"/>
    <w:rsid w:val="00BC6B63"/>
    <w:rsid w:val="00BD74E1"/>
    <w:rsid w:val="00BE02DE"/>
    <w:rsid w:val="00BE0460"/>
    <w:rsid w:val="00BE105A"/>
    <w:rsid w:val="00BE2480"/>
    <w:rsid w:val="00BE3E26"/>
    <w:rsid w:val="00BE44AC"/>
    <w:rsid w:val="00BE4721"/>
    <w:rsid w:val="00BE61D9"/>
    <w:rsid w:val="00BF251B"/>
    <w:rsid w:val="00BF3865"/>
    <w:rsid w:val="00BF4D7D"/>
    <w:rsid w:val="00C0286F"/>
    <w:rsid w:val="00C06B64"/>
    <w:rsid w:val="00C10CBB"/>
    <w:rsid w:val="00C13267"/>
    <w:rsid w:val="00C22017"/>
    <w:rsid w:val="00C23F70"/>
    <w:rsid w:val="00C24ABC"/>
    <w:rsid w:val="00C2588B"/>
    <w:rsid w:val="00C27510"/>
    <w:rsid w:val="00C27EFE"/>
    <w:rsid w:val="00C333C4"/>
    <w:rsid w:val="00C334BE"/>
    <w:rsid w:val="00C41776"/>
    <w:rsid w:val="00C41CF7"/>
    <w:rsid w:val="00C43161"/>
    <w:rsid w:val="00C44100"/>
    <w:rsid w:val="00C4442D"/>
    <w:rsid w:val="00C47B26"/>
    <w:rsid w:val="00C53E80"/>
    <w:rsid w:val="00C60152"/>
    <w:rsid w:val="00C63666"/>
    <w:rsid w:val="00C64745"/>
    <w:rsid w:val="00C64A41"/>
    <w:rsid w:val="00C705E4"/>
    <w:rsid w:val="00C707A1"/>
    <w:rsid w:val="00C70F3C"/>
    <w:rsid w:val="00C7252F"/>
    <w:rsid w:val="00C7353C"/>
    <w:rsid w:val="00C76E47"/>
    <w:rsid w:val="00C812A1"/>
    <w:rsid w:val="00C824A4"/>
    <w:rsid w:val="00C90DEE"/>
    <w:rsid w:val="00C97113"/>
    <w:rsid w:val="00CA6B67"/>
    <w:rsid w:val="00CB36DD"/>
    <w:rsid w:val="00CB3F40"/>
    <w:rsid w:val="00CB673B"/>
    <w:rsid w:val="00CB7A0B"/>
    <w:rsid w:val="00CE0ED3"/>
    <w:rsid w:val="00CE43CC"/>
    <w:rsid w:val="00CE688B"/>
    <w:rsid w:val="00CF68C3"/>
    <w:rsid w:val="00D06FD7"/>
    <w:rsid w:val="00D15724"/>
    <w:rsid w:val="00D20FFF"/>
    <w:rsid w:val="00D2187D"/>
    <w:rsid w:val="00D22036"/>
    <w:rsid w:val="00D31011"/>
    <w:rsid w:val="00D32958"/>
    <w:rsid w:val="00D35A98"/>
    <w:rsid w:val="00D368BA"/>
    <w:rsid w:val="00D37BFD"/>
    <w:rsid w:val="00D40D61"/>
    <w:rsid w:val="00D4116C"/>
    <w:rsid w:val="00D43C15"/>
    <w:rsid w:val="00D4520E"/>
    <w:rsid w:val="00D46A84"/>
    <w:rsid w:val="00D501EB"/>
    <w:rsid w:val="00D54E37"/>
    <w:rsid w:val="00D553E1"/>
    <w:rsid w:val="00D55C7F"/>
    <w:rsid w:val="00D65B08"/>
    <w:rsid w:val="00D6778A"/>
    <w:rsid w:val="00D743B0"/>
    <w:rsid w:val="00D74F3B"/>
    <w:rsid w:val="00D75A61"/>
    <w:rsid w:val="00D81C73"/>
    <w:rsid w:val="00D82FCB"/>
    <w:rsid w:val="00D85FFF"/>
    <w:rsid w:val="00D866D0"/>
    <w:rsid w:val="00D91936"/>
    <w:rsid w:val="00D930F9"/>
    <w:rsid w:val="00DA3801"/>
    <w:rsid w:val="00DA73D2"/>
    <w:rsid w:val="00DB0FBE"/>
    <w:rsid w:val="00DB2327"/>
    <w:rsid w:val="00DC0380"/>
    <w:rsid w:val="00DC2E8B"/>
    <w:rsid w:val="00DC6B40"/>
    <w:rsid w:val="00DE425A"/>
    <w:rsid w:val="00DE5B2F"/>
    <w:rsid w:val="00DF3DD8"/>
    <w:rsid w:val="00DF6478"/>
    <w:rsid w:val="00DF69E2"/>
    <w:rsid w:val="00E00A0F"/>
    <w:rsid w:val="00E0344A"/>
    <w:rsid w:val="00E03C09"/>
    <w:rsid w:val="00E052A3"/>
    <w:rsid w:val="00E07001"/>
    <w:rsid w:val="00E15308"/>
    <w:rsid w:val="00E252F9"/>
    <w:rsid w:val="00E357C5"/>
    <w:rsid w:val="00E3692B"/>
    <w:rsid w:val="00E37B2B"/>
    <w:rsid w:val="00E43D50"/>
    <w:rsid w:val="00E510D2"/>
    <w:rsid w:val="00E51E7A"/>
    <w:rsid w:val="00E57C35"/>
    <w:rsid w:val="00E6157D"/>
    <w:rsid w:val="00E63076"/>
    <w:rsid w:val="00E6487A"/>
    <w:rsid w:val="00E66B4D"/>
    <w:rsid w:val="00E67E32"/>
    <w:rsid w:val="00E76261"/>
    <w:rsid w:val="00E76C79"/>
    <w:rsid w:val="00E775EE"/>
    <w:rsid w:val="00E86E98"/>
    <w:rsid w:val="00E917C5"/>
    <w:rsid w:val="00E96AA0"/>
    <w:rsid w:val="00EA02F1"/>
    <w:rsid w:val="00EA4CAD"/>
    <w:rsid w:val="00EB04B1"/>
    <w:rsid w:val="00EB1006"/>
    <w:rsid w:val="00EB2551"/>
    <w:rsid w:val="00EB434B"/>
    <w:rsid w:val="00EB4674"/>
    <w:rsid w:val="00EB4BFC"/>
    <w:rsid w:val="00EB5E93"/>
    <w:rsid w:val="00EC12F7"/>
    <w:rsid w:val="00EC4C9A"/>
    <w:rsid w:val="00EC5658"/>
    <w:rsid w:val="00ED1A1D"/>
    <w:rsid w:val="00ED251A"/>
    <w:rsid w:val="00ED2ACB"/>
    <w:rsid w:val="00EE5751"/>
    <w:rsid w:val="00EF005E"/>
    <w:rsid w:val="00EF12E6"/>
    <w:rsid w:val="00EF43AD"/>
    <w:rsid w:val="00EF58C2"/>
    <w:rsid w:val="00EF67A2"/>
    <w:rsid w:val="00F02F9B"/>
    <w:rsid w:val="00F037EA"/>
    <w:rsid w:val="00F03DE9"/>
    <w:rsid w:val="00F06124"/>
    <w:rsid w:val="00F10B84"/>
    <w:rsid w:val="00F1245D"/>
    <w:rsid w:val="00F22B14"/>
    <w:rsid w:val="00F22FFC"/>
    <w:rsid w:val="00F2370D"/>
    <w:rsid w:val="00F34DCE"/>
    <w:rsid w:val="00F359FC"/>
    <w:rsid w:val="00F535F5"/>
    <w:rsid w:val="00F61F16"/>
    <w:rsid w:val="00F61F48"/>
    <w:rsid w:val="00F66205"/>
    <w:rsid w:val="00F70A71"/>
    <w:rsid w:val="00F71525"/>
    <w:rsid w:val="00F756F0"/>
    <w:rsid w:val="00F76840"/>
    <w:rsid w:val="00F81D2E"/>
    <w:rsid w:val="00F87241"/>
    <w:rsid w:val="00F87CE4"/>
    <w:rsid w:val="00F94077"/>
    <w:rsid w:val="00FA189B"/>
    <w:rsid w:val="00FA4EEA"/>
    <w:rsid w:val="00FA5420"/>
    <w:rsid w:val="00FB00FB"/>
    <w:rsid w:val="00FB181F"/>
    <w:rsid w:val="00FC1F0C"/>
    <w:rsid w:val="00FC26F5"/>
    <w:rsid w:val="00FC4E2E"/>
    <w:rsid w:val="00FC7EA2"/>
    <w:rsid w:val="00FD6811"/>
    <w:rsid w:val="00FE05DE"/>
    <w:rsid w:val="00FE2AB5"/>
    <w:rsid w:val="00FE6A94"/>
    <w:rsid w:val="00FF08FD"/>
    <w:rsid w:val="00FF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ABE96"/>
  <w15:chartTrackingRefBased/>
  <w15:docId w15:val="{EFD93C8C-BFB2-41F6-B73B-D196C668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0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910"/>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470EBB"/>
    <w:rPr>
      <w:sz w:val="16"/>
      <w:szCs w:val="16"/>
    </w:rPr>
  </w:style>
  <w:style w:type="paragraph" w:styleId="CommentText">
    <w:name w:val="annotation text"/>
    <w:basedOn w:val="Normal"/>
    <w:link w:val="CommentTextChar"/>
    <w:uiPriority w:val="99"/>
    <w:unhideWhenUsed/>
    <w:rsid w:val="00470EBB"/>
    <w:rPr>
      <w:sz w:val="20"/>
      <w:szCs w:val="20"/>
    </w:rPr>
  </w:style>
  <w:style w:type="character" w:customStyle="1" w:styleId="CommentTextChar">
    <w:name w:val="Comment Text Char"/>
    <w:basedOn w:val="DefaultParagraphFont"/>
    <w:link w:val="CommentText"/>
    <w:uiPriority w:val="99"/>
    <w:rsid w:val="00470EBB"/>
    <w:rPr>
      <w:sz w:val="20"/>
      <w:szCs w:val="20"/>
    </w:rPr>
  </w:style>
  <w:style w:type="paragraph" w:styleId="CommentSubject">
    <w:name w:val="annotation subject"/>
    <w:basedOn w:val="CommentText"/>
    <w:next w:val="CommentText"/>
    <w:link w:val="CommentSubjectChar"/>
    <w:uiPriority w:val="99"/>
    <w:semiHidden/>
    <w:unhideWhenUsed/>
    <w:rsid w:val="00470EBB"/>
    <w:rPr>
      <w:b/>
      <w:bCs/>
    </w:rPr>
  </w:style>
  <w:style w:type="character" w:customStyle="1" w:styleId="CommentSubjectChar">
    <w:name w:val="Comment Subject Char"/>
    <w:basedOn w:val="CommentTextChar"/>
    <w:link w:val="CommentSubject"/>
    <w:uiPriority w:val="99"/>
    <w:semiHidden/>
    <w:rsid w:val="00470EBB"/>
    <w:rPr>
      <w:b/>
      <w:bCs/>
      <w:sz w:val="20"/>
      <w:szCs w:val="20"/>
    </w:rPr>
  </w:style>
  <w:style w:type="paragraph" w:styleId="Revision">
    <w:name w:val="Revision"/>
    <w:hidden/>
    <w:uiPriority w:val="99"/>
    <w:semiHidden/>
    <w:rsid w:val="002B1D3D"/>
    <w:pPr>
      <w:spacing w:after="0" w:line="240" w:lineRule="auto"/>
    </w:pPr>
    <w:rPr>
      <w:sz w:val="24"/>
      <w:szCs w:val="24"/>
    </w:rPr>
  </w:style>
  <w:style w:type="paragraph" w:styleId="Header">
    <w:name w:val="header"/>
    <w:basedOn w:val="Normal"/>
    <w:link w:val="HeaderChar"/>
    <w:uiPriority w:val="99"/>
    <w:unhideWhenUsed/>
    <w:rsid w:val="00CB673B"/>
    <w:pPr>
      <w:tabs>
        <w:tab w:val="center" w:pos="4680"/>
        <w:tab w:val="right" w:pos="9360"/>
      </w:tabs>
    </w:pPr>
  </w:style>
  <w:style w:type="character" w:customStyle="1" w:styleId="HeaderChar">
    <w:name w:val="Header Char"/>
    <w:basedOn w:val="DefaultParagraphFont"/>
    <w:link w:val="Header"/>
    <w:uiPriority w:val="99"/>
    <w:rsid w:val="00CB673B"/>
    <w:rPr>
      <w:sz w:val="24"/>
      <w:szCs w:val="24"/>
    </w:rPr>
  </w:style>
  <w:style w:type="paragraph" w:styleId="Footer">
    <w:name w:val="footer"/>
    <w:basedOn w:val="Normal"/>
    <w:link w:val="FooterChar"/>
    <w:uiPriority w:val="99"/>
    <w:unhideWhenUsed/>
    <w:rsid w:val="00CB673B"/>
    <w:pPr>
      <w:tabs>
        <w:tab w:val="center" w:pos="4680"/>
        <w:tab w:val="right" w:pos="9360"/>
      </w:tabs>
    </w:pPr>
  </w:style>
  <w:style w:type="character" w:customStyle="1" w:styleId="FooterChar">
    <w:name w:val="Footer Char"/>
    <w:basedOn w:val="DefaultParagraphFont"/>
    <w:link w:val="Footer"/>
    <w:uiPriority w:val="99"/>
    <w:rsid w:val="00CB673B"/>
    <w:rPr>
      <w:sz w:val="24"/>
      <w:szCs w:val="24"/>
    </w:rPr>
  </w:style>
  <w:style w:type="character" w:styleId="Emphasis">
    <w:name w:val="Emphasis"/>
    <w:basedOn w:val="DefaultParagraphFont"/>
    <w:uiPriority w:val="20"/>
    <w:qFormat/>
    <w:rsid w:val="00233110"/>
    <w:rPr>
      <w:i/>
      <w:iCs/>
    </w:rPr>
  </w:style>
  <w:style w:type="paragraph" w:styleId="FootnoteText">
    <w:name w:val="footnote text"/>
    <w:basedOn w:val="Normal"/>
    <w:link w:val="FootnoteTextChar"/>
    <w:uiPriority w:val="99"/>
    <w:semiHidden/>
    <w:unhideWhenUsed/>
    <w:rsid w:val="005B000D"/>
    <w:rPr>
      <w:sz w:val="20"/>
      <w:szCs w:val="20"/>
    </w:rPr>
  </w:style>
  <w:style w:type="character" w:customStyle="1" w:styleId="FootnoteTextChar">
    <w:name w:val="Footnote Text Char"/>
    <w:basedOn w:val="DefaultParagraphFont"/>
    <w:link w:val="FootnoteText"/>
    <w:uiPriority w:val="99"/>
    <w:semiHidden/>
    <w:rsid w:val="005B000D"/>
    <w:rPr>
      <w:sz w:val="20"/>
      <w:szCs w:val="20"/>
    </w:rPr>
  </w:style>
  <w:style w:type="character" w:styleId="FootnoteReference">
    <w:name w:val="footnote reference"/>
    <w:basedOn w:val="DefaultParagraphFont"/>
    <w:uiPriority w:val="99"/>
    <w:semiHidden/>
    <w:unhideWhenUsed/>
    <w:rsid w:val="005B000D"/>
    <w:rPr>
      <w:vertAlign w:val="superscript"/>
    </w:rPr>
  </w:style>
  <w:style w:type="character" w:customStyle="1" w:styleId="cf01">
    <w:name w:val="cf01"/>
    <w:basedOn w:val="DefaultParagraphFont"/>
    <w:rsid w:val="005659A6"/>
    <w:rPr>
      <w:rFonts w:ascii="Segoe UI" w:hAnsi="Segoe UI" w:cs="Segoe UI" w:hint="default"/>
      <w:sz w:val="18"/>
      <w:szCs w:val="18"/>
    </w:rPr>
  </w:style>
  <w:style w:type="paragraph" w:styleId="EndnoteText">
    <w:name w:val="endnote text"/>
    <w:basedOn w:val="Normal"/>
    <w:link w:val="EndnoteTextChar"/>
    <w:uiPriority w:val="99"/>
    <w:semiHidden/>
    <w:unhideWhenUsed/>
    <w:rsid w:val="00E15308"/>
    <w:rPr>
      <w:sz w:val="20"/>
      <w:szCs w:val="20"/>
    </w:rPr>
  </w:style>
  <w:style w:type="character" w:customStyle="1" w:styleId="EndnoteTextChar">
    <w:name w:val="Endnote Text Char"/>
    <w:basedOn w:val="DefaultParagraphFont"/>
    <w:link w:val="EndnoteText"/>
    <w:uiPriority w:val="99"/>
    <w:semiHidden/>
    <w:rsid w:val="00E15308"/>
    <w:rPr>
      <w:sz w:val="20"/>
      <w:szCs w:val="20"/>
    </w:rPr>
  </w:style>
  <w:style w:type="character" w:styleId="EndnoteReference">
    <w:name w:val="endnote reference"/>
    <w:basedOn w:val="DefaultParagraphFont"/>
    <w:uiPriority w:val="99"/>
    <w:semiHidden/>
    <w:unhideWhenUsed/>
    <w:rsid w:val="00E15308"/>
    <w:rPr>
      <w:vertAlign w:val="superscript"/>
    </w:rPr>
  </w:style>
  <w:style w:type="character" w:styleId="Hyperlink">
    <w:name w:val="Hyperlink"/>
    <w:basedOn w:val="DefaultParagraphFont"/>
    <w:uiPriority w:val="99"/>
    <w:unhideWhenUsed/>
    <w:rsid w:val="00F359FC"/>
    <w:rPr>
      <w:color w:val="0563C1" w:themeColor="hyperlink"/>
      <w:u w:val="single"/>
    </w:rPr>
  </w:style>
  <w:style w:type="character" w:styleId="UnresolvedMention">
    <w:name w:val="Unresolved Mention"/>
    <w:basedOn w:val="DefaultParagraphFont"/>
    <w:uiPriority w:val="99"/>
    <w:semiHidden/>
    <w:unhideWhenUsed/>
    <w:rsid w:val="00F359FC"/>
    <w:rPr>
      <w:color w:val="605E5C"/>
      <w:shd w:val="clear" w:color="auto" w:fill="E1DFDD"/>
    </w:rPr>
  </w:style>
  <w:style w:type="character" w:customStyle="1" w:styleId="normaltextrun">
    <w:name w:val="normaltextrun"/>
    <w:basedOn w:val="DefaultParagraphFont"/>
    <w:rsid w:val="00C43161"/>
  </w:style>
  <w:style w:type="character" w:customStyle="1" w:styleId="eop">
    <w:name w:val="eop"/>
    <w:basedOn w:val="DefaultParagraphFont"/>
    <w:rsid w:val="00C43161"/>
  </w:style>
  <w:style w:type="character" w:styleId="FollowedHyperlink">
    <w:name w:val="FollowedHyperlink"/>
    <w:basedOn w:val="DefaultParagraphFont"/>
    <w:uiPriority w:val="99"/>
    <w:semiHidden/>
    <w:unhideWhenUsed/>
    <w:rsid w:val="00FC7E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551019">
      <w:bodyDiv w:val="1"/>
      <w:marLeft w:val="0"/>
      <w:marRight w:val="0"/>
      <w:marTop w:val="0"/>
      <w:marBottom w:val="0"/>
      <w:divBdr>
        <w:top w:val="none" w:sz="0" w:space="0" w:color="auto"/>
        <w:left w:val="none" w:sz="0" w:space="0" w:color="auto"/>
        <w:bottom w:val="none" w:sz="0" w:space="0" w:color="auto"/>
        <w:right w:val="none" w:sz="0" w:space="0" w:color="auto"/>
      </w:divBdr>
    </w:div>
    <w:div w:id="286742373">
      <w:bodyDiv w:val="1"/>
      <w:marLeft w:val="0"/>
      <w:marRight w:val="0"/>
      <w:marTop w:val="0"/>
      <w:marBottom w:val="0"/>
      <w:divBdr>
        <w:top w:val="none" w:sz="0" w:space="0" w:color="auto"/>
        <w:left w:val="none" w:sz="0" w:space="0" w:color="auto"/>
        <w:bottom w:val="none" w:sz="0" w:space="0" w:color="auto"/>
        <w:right w:val="none" w:sz="0" w:space="0" w:color="auto"/>
      </w:divBdr>
    </w:div>
    <w:div w:id="366833830">
      <w:bodyDiv w:val="1"/>
      <w:marLeft w:val="0"/>
      <w:marRight w:val="0"/>
      <w:marTop w:val="0"/>
      <w:marBottom w:val="0"/>
      <w:divBdr>
        <w:top w:val="none" w:sz="0" w:space="0" w:color="auto"/>
        <w:left w:val="none" w:sz="0" w:space="0" w:color="auto"/>
        <w:bottom w:val="none" w:sz="0" w:space="0" w:color="auto"/>
        <w:right w:val="none" w:sz="0" w:space="0" w:color="auto"/>
      </w:divBdr>
    </w:div>
    <w:div w:id="482235481">
      <w:bodyDiv w:val="1"/>
      <w:marLeft w:val="0"/>
      <w:marRight w:val="0"/>
      <w:marTop w:val="0"/>
      <w:marBottom w:val="0"/>
      <w:divBdr>
        <w:top w:val="none" w:sz="0" w:space="0" w:color="auto"/>
        <w:left w:val="none" w:sz="0" w:space="0" w:color="auto"/>
        <w:bottom w:val="none" w:sz="0" w:space="0" w:color="auto"/>
        <w:right w:val="none" w:sz="0" w:space="0" w:color="auto"/>
      </w:divBdr>
    </w:div>
    <w:div w:id="588851101">
      <w:bodyDiv w:val="1"/>
      <w:marLeft w:val="0"/>
      <w:marRight w:val="0"/>
      <w:marTop w:val="0"/>
      <w:marBottom w:val="0"/>
      <w:divBdr>
        <w:top w:val="none" w:sz="0" w:space="0" w:color="auto"/>
        <w:left w:val="none" w:sz="0" w:space="0" w:color="auto"/>
        <w:bottom w:val="none" w:sz="0" w:space="0" w:color="auto"/>
        <w:right w:val="none" w:sz="0" w:space="0" w:color="auto"/>
      </w:divBdr>
    </w:div>
    <w:div w:id="624889911">
      <w:bodyDiv w:val="1"/>
      <w:marLeft w:val="0"/>
      <w:marRight w:val="0"/>
      <w:marTop w:val="0"/>
      <w:marBottom w:val="0"/>
      <w:divBdr>
        <w:top w:val="none" w:sz="0" w:space="0" w:color="auto"/>
        <w:left w:val="none" w:sz="0" w:space="0" w:color="auto"/>
        <w:bottom w:val="none" w:sz="0" w:space="0" w:color="auto"/>
        <w:right w:val="none" w:sz="0" w:space="0" w:color="auto"/>
      </w:divBdr>
    </w:div>
    <w:div w:id="725030386">
      <w:bodyDiv w:val="1"/>
      <w:marLeft w:val="0"/>
      <w:marRight w:val="0"/>
      <w:marTop w:val="0"/>
      <w:marBottom w:val="0"/>
      <w:divBdr>
        <w:top w:val="none" w:sz="0" w:space="0" w:color="auto"/>
        <w:left w:val="none" w:sz="0" w:space="0" w:color="auto"/>
        <w:bottom w:val="none" w:sz="0" w:space="0" w:color="auto"/>
        <w:right w:val="none" w:sz="0" w:space="0" w:color="auto"/>
      </w:divBdr>
    </w:div>
    <w:div w:id="836458241">
      <w:bodyDiv w:val="1"/>
      <w:marLeft w:val="0"/>
      <w:marRight w:val="0"/>
      <w:marTop w:val="0"/>
      <w:marBottom w:val="0"/>
      <w:divBdr>
        <w:top w:val="none" w:sz="0" w:space="0" w:color="auto"/>
        <w:left w:val="none" w:sz="0" w:space="0" w:color="auto"/>
        <w:bottom w:val="none" w:sz="0" w:space="0" w:color="auto"/>
        <w:right w:val="none" w:sz="0" w:space="0" w:color="auto"/>
      </w:divBdr>
    </w:div>
    <w:div w:id="956257197">
      <w:bodyDiv w:val="1"/>
      <w:marLeft w:val="0"/>
      <w:marRight w:val="0"/>
      <w:marTop w:val="0"/>
      <w:marBottom w:val="0"/>
      <w:divBdr>
        <w:top w:val="none" w:sz="0" w:space="0" w:color="auto"/>
        <w:left w:val="none" w:sz="0" w:space="0" w:color="auto"/>
        <w:bottom w:val="none" w:sz="0" w:space="0" w:color="auto"/>
        <w:right w:val="none" w:sz="0" w:space="0" w:color="auto"/>
      </w:divBdr>
    </w:div>
    <w:div w:id="996810529">
      <w:bodyDiv w:val="1"/>
      <w:marLeft w:val="0"/>
      <w:marRight w:val="0"/>
      <w:marTop w:val="0"/>
      <w:marBottom w:val="0"/>
      <w:divBdr>
        <w:top w:val="none" w:sz="0" w:space="0" w:color="auto"/>
        <w:left w:val="none" w:sz="0" w:space="0" w:color="auto"/>
        <w:bottom w:val="none" w:sz="0" w:space="0" w:color="auto"/>
        <w:right w:val="none" w:sz="0" w:space="0" w:color="auto"/>
      </w:divBdr>
    </w:div>
    <w:div w:id="1267928619">
      <w:bodyDiv w:val="1"/>
      <w:marLeft w:val="0"/>
      <w:marRight w:val="0"/>
      <w:marTop w:val="0"/>
      <w:marBottom w:val="0"/>
      <w:divBdr>
        <w:top w:val="none" w:sz="0" w:space="0" w:color="auto"/>
        <w:left w:val="none" w:sz="0" w:space="0" w:color="auto"/>
        <w:bottom w:val="none" w:sz="0" w:space="0" w:color="auto"/>
        <w:right w:val="none" w:sz="0" w:space="0" w:color="auto"/>
      </w:divBdr>
    </w:div>
    <w:div w:id="1424566672">
      <w:bodyDiv w:val="1"/>
      <w:marLeft w:val="0"/>
      <w:marRight w:val="0"/>
      <w:marTop w:val="0"/>
      <w:marBottom w:val="0"/>
      <w:divBdr>
        <w:top w:val="none" w:sz="0" w:space="0" w:color="auto"/>
        <w:left w:val="none" w:sz="0" w:space="0" w:color="auto"/>
        <w:bottom w:val="none" w:sz="0" w:space="0" w:color="auto"/>
        <w:right w:val="none" w:sz="0" w:space="0" w:color="auto"/>
      </w:divBdr>
    </w:div>
    <w:div w:id="1450586074">
      <w:bodyDiv w:val="1"/>
      <w:marLeft w:val="0"/>
      <w:marRight w:val="0"/>
      <w:marTop w:val="0"/>
      <w:marBottom w:val="0"/>
      <w:divBdr>
        <w:top w:val="none" w:sz="0" w:space="0" w:color="auto"/>
        <w:left w:val="none" w:sz="0" w:space="0" w:color="auto"/>
        <w:bottom w:val="none" w:sz="0" w:space="0" w:color="auto"/>
        <w:right w:val="none" w:sz="0" w:space="0" w:color="auto"/>
      </w:divBdr>
    </w:div>
    <w:div w:id="1471434095">
      <w:bodyDiv w:val="1"/>
      <w:marLeft w:val="0"/>
      <w:marRight w:val="0"/>
      <w:marTop w:val="0"/>
      <w:marBottom w:val="0"/>
      <w:divBdr>
        <w:top w:val="none" w:sz="0" w:space="0" w:color="auto"/>
        <w:left w:val="none" w:sz="0" w:space="0" w:color="auto"/>
        <w:bottom w:val="none" w:sz="0" w:space="0" w:color="auto"/>
        <w:right w:val="none" w:sz="0" w:space="0" w:color="auto"/>
      </w:divBdr>
    </w:div>
    <w:div w:id="1700810443">
      <w:bodyDiv w:val="1"/>
      <w:marLeft w:val="0"/>
      <w:marRight w:val="0"/>
      <w:marTop w:val="0"/>
      <w:marBottom w:val="0"/>
      <w:divBdr>
        <w:top w:val="none" w:sz="0" w:space="0" w:color="auto"/>
        <w:left w:val="none" w:sz="0" w:space="0" w:color="auto"/>
        <w:bottom w:val="none" w:sz="0" w:space="0" w:color="auto"/>
        <w:right w:val="none" w:sz="0" w:space="0" w:color="auto"/>
      </w:divBdr>
    </w:div>
    <w:div w:id="20510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naic.org/sites/default/files/inline-files/AUWG%20DRAFT%203-4-22%20for%20SNM_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nt.naic.org/sites/default/files/inline-files/Life%20Survey%20Memo%20to%20BDAIWG_Posted12142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nt.naic.org/sites/default/files/inline-files/2023-12-4%20Model%20Bulletin_Adopted_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tent.naic.org/sites/default/files/inline-files/9-15%20CASTF%20-%20Predictive%20Model%20White%20Paper%209-09-2020_1.pdf" TargetMode="External"/><Relationship Id="rId4" Type="http://schemas.openxmlformats.org/officeDocument/2006/relationships/settings" Target="settings.xml"/><Relationship Id="rId9" Type="http://schemas.openxmlformats.org/officeDocument/2006/relationships/hyperlink" Target="https://content.naic.org/sites/default/files/inline-files/AI%20principles%20as%20Adopted%20by%20the%20TF_0807.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ntent.naic.org/sites/default/files/model-law-6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0D15-CC74-4CF8-AD85-FB873E467CEE}">
  <ds:schemaRefs>
    <ds:schemaRef ds:uri="http://schemas.openxmlformats.org/officeDocument/2006/bibliography"/>
  </ds:schemaRefs>
</ds:datastoreItem>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Gillaspey, Sarah (COMM)</dc:creator>
  <cp:keywords/>
  <dc:description/>
  <cp:lastModifiedBy>Jennifer Cook</cp:lastModifiedBy>
  <cp:revision>4</cp:revision>
  <dcterms:created xsi:type="dcterms:W3CDTF">2024-06-04T14:20:00Z</dcterms:created>
  <dcterms:modified xsi:type="dcterms:W3CDTF">2024-06-04T14:34:00Z</dcterms:modified>
</cp:coreProperties>
</file>