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F862" w14:textId="6C1DB5B4" w:rsidR="00377D2D" w:rsidRPr="000B3701" w:rsidRDefault="008839F3" w:rsidP="008839F3">
      <w:pPr>
        <w:keepNext/>
        <w:keepLines/>
        <w:spacing w:after="0"/>
        <w:outlineLvl w:val="0"/>
        <w:rPr>
          <w:rFonts w:ascii="Arial" w:eastAsiaTheme="majorEastAsia" w:hAnsi="Arial" w:cs="Arial"/>
          <w:b/>
          <w:bCs/>
          <w:color w:val="C00000"/>
          <w:sz w:val="28"/>
          <w:szCs w:val="28"/>
        </w:rPr>
      </w:pPr>
      <w:r w:rsidRPr="000B3701">
        <w:rPr>
          <w:rFonts w:ascii="Arial" w:eastAsiaTheme="majorEastAsia" w:hAnsi="Arial" w:cs="Arial"/>
          <w:b/>
          <w:bCs/>
          <w:color w:val="C00000"/>
          <w:sz w:val="28"/>
          <w:szCs w:val="28"/>
        </w:rPr>
        <w:t xml:space="preserve">PIR </w:t>
      </w:r>
      <w:r w:rsidR="00047A49" w:rsidRPr="000B3701">
        <w:rPr>
          <w:rFonts w:ascii="Arial" w:eastAsiaTheme="majorEastAsia" w:hAnsi="Arial" w:cs="Arial"/>
          <w:b/>
          <w:bCs/>
          <w:color w:val="C00000"/>
          <w:sz w:val="28"/>
          <w:szCs w:val="28"/>
        </w:rPr>
        <w:t>Admissions Eligibility</w:t>
      </w:r>
      <w:bookmarkStart w:id="0" w:name="_Toc495065563"/>
    </w:p>
    <w:p w14:paraId="7EA3E732" w14:textId="16260EFC" w:rsidR="00903749" w:rsidRPr="000B3701" w:rsidRDefault="00047A49" w:rsidP="008839F3">
      <w:pPr>
        <w:keepNext/>
        <w:keepLines/>
        <w:spacing w:after="0"/>
        <w:outlineLvl w:val="0"/>
        <w:rPr>
          <w:rFonts w:ascii="Arial" w:eastAsiaTheme="majorEastAsia" w:hAnsi="Arial" w:cs="Arial"/>
          <w:b/>
          <w:bCs/>
          <w:color w:val="002060"/>
          <w:sz w:val="28"/>
          <w:szCs w:val="28"/>
        </w:rPr>
      </w:pPr>
      <w:r w:rsidRPr="000B3701">
        <w:rPr>
          <w:rFonts w:ascii="Arial" w:eastAsiaTheme="majorEastAsia" w:hAnsi="Arial" w:cs="Arial"/>
          <w:b/>
          <w:bCs/>
          <w:color w:val="002060"/>
          <w:sz w:val="26"/>
          <w:szCs w:val="26"/>
        </w:rPr>
        <w:t>Prospective Professional in Insurance Regulation (PIR) Candidates must</w:t>
      </w:r>
      <w:bookmarkEnd w:id="0"/>
      <w:r w:rsidR="008839F3" w:rsidRPr="000B3701">
        <w:rPr>
          <w:rFonts w:ascii="Arial" w:eastAsiaTheme="majorEastAsia" w:hAnsi="Arial" w:cs="Arial"/>
          <w:b/>
          <w:bCs/>
          <w:color w:val="002060"/>
          <w:sz w:val="26"/>
          <w:szCs w:val="26"/>
        </w:rPr>
        <w:t>:</w:t>
      </w:r>
      <w:r w:rsidRPr="000B3701">
        <w:rPr>
          <w:rFonts w:ascii="Arial" w:eastAsiaTheme="majorEastAsia" w:hAnsi="Arial" w:cs="Arial"/>
          <w:b/>
          <w:bCs/>
          <w:color w:val="002060"/>
          <w:sz w:val="26"/>
          <w:szCs w:val="26"/>
        </w:rPr>
        <w:t xml:space="preserve"> </w:t>
      </w:r>
    </w:p>
    <w:p w14:paraId="5277B9F4" w14:textId="77777777" w:rsidR="00430F88" w:rsidRDefault="00430F88" w:rsidP="00430F88">
      <w:pPr>
        <w:spacing w:after="0" w:line="240" w:lineRule="auto"/>
        <w:ind w:left="720"/>
        <w:contextualSpacing/>
        <w:rPr>
          <w:rFonts w:cstheme="minorHAnsi"/>
          <w:sz w:val="24"/>
          <w:szCs w:val="24"/>
        </w:rPr>
      </w:pPr>
    </w:p>
    <w:p w14:paraId="7E9AF68A" w14:textId="3623CE90" w:rsidR="00903749" w:rsidRPr="002F0241" w:rsidRDefault="00903749" w:rsidP="002F0241">
      <w:pPr>
        <w:pStyle w:val="ListParagraph"/>
        <w:numPr>
          <w:ilvl w:val="0"/>
          <w:numId w:val="24"/>
        </w:numPr>
        <w:spacing w:after="0" w:line="240" w:lineRule="auto"/>
        <w:rPr>
          <w:rFonts w:cstheme="minorHAnsi"/>
          <w:sz w:val="24"/>
          <w:szCs w:val="24"/>
        </w:rPr>
      </w:pPr>
      <w:r w:rsidRPr="002F0241">
        <w:rPr>
          <w:rFonts w:cstheme="minorHAnsi"/>
          <w:sz w:val="24"/>
          <w:szCs w:val="24"/>
        </w:rPr>
        <w:t>Be currently employed by a state DOI.</w:t>
      </w:r>
    </w:p>
    <w:p w14:paraId="3B3624D7" w14:textId="77777777" w:rsidR="00430F88" w:rsidRPr="0069252C" w:rsidRDefault="00430F88" w:rsidP="00430F88">
      <w:pPr>
        <w:spacing w:after="0" w:line="240" w:lineRule="auto"/>
        <w:ind w:left="720"/>
        <w:contextualSpacing/>
        <w:rPr>
          <w:rFonts w:cstheme="minorHAnsi"/>
          <w:sz w:val="24"/>
          <w:szCs w:val="24"/>
        </w:rPr>
      </w:pPr>
    </w:p>
    <w:p w14:paraId="1C422EE8" w14:textId="1FBE6CEA" w:rsidR="0069252C" w:rsidRDefault="0069252C" w:rsidP="002F0241">
      <w:pPr>
        <w:pStyle w:val="ListParagraph"/>
        <w:numPr>
          <w:ilvl w:val="0"/>
          <w:numId w:val="24"/>
        </w:numPr>
        <w:rPr>
          <w:rFonts w:cstheme="minorHAnsi"/>
        </w:rPr>
      </w:pPr>
      <w:r w:rsidRPr="0069252C">
        <w:rPr>
          <w:rFonts w:cstheme="minorHAnsi"/>
          <w:sz w:val="24"/>
          <w:szCs w:val="24"/>
        </w:rPr>
        <w:t>Have obtained the APIR Designation through required coursework or by passing the APIR comprehensive exam.</w:t>
      </w:r>
      <w:r w:rsidRPr="0069252C">
        <w:rPr>
          <w:rFonts w:cstheme="minorHAnsi"/>
        </w:rPr>
        <w:t xml:space="preserve"> </w:t>
      </w:r>
    </w:p>
    <w:p w14:paraId="49B958DE" w14:textId="77777777" w:rsidR="000B3701" w:rsidRPr="0069252C" w:rsidRDefault="000B3701" w:rsidP="00430F88">
      <w:pPr>
        <w:pStyle w:val="ListParagraph"/>
        <w:rPr>
          <w:rFonts w:cstheme="minorHAnsi"/>
        </w:rPr>
      </w:pPr>
    </w:p>
    <w:p w14:paraId="4462B197" w14:textId="01F34DF4" w:rsidR="002973D2" w:rsidRPr="000B3701" w:rsidRDefault="00377D2D" w:rsidP="002973D2">
      <w:pPr>
        <w:keepNext/>
        <w:keepLines/>
        <w:spacing w:before="480" w:after="0"/>
        <w:outlineLvl w:val="0"/>
        <w:rPr>
          <w:rFonts w:ascii="Arial" w:eastAsiaTheme="majorEastAsia" w:hAnsi="Arial" w:cs="Arial"/>
          <w:b/>
          <w:bCs/>
          <w:color w:val="C00000"/>
          <w:sz w:val="28"/>
          <w:szCs w:val="28"/>
        </w:rPr>
      </w:pPr>
      <w:bookmarkStart w:id="1" w:name="_Toc522793134"/>
      <w:r w:rsidRPr="000B3701">
        <w:rPr>
          <w:rFonts w:ascii="Arial" w:eastAsiaTheme="majorEastAsia" w:hAnsi="Arial" w:cs="Arial"/>
          <w:b/>
          <w:bCs/>
          <w:color w:val="C00000"/>
          <w:sz w:val="28"/>
          <w:szCs w:val="28"/>
        </w:rPr>
        <w:t>PIR</w:t>
      </w:r>
      <w:r w:rsidR="002973D2" w:rsidRPr="000B3701">
        <w:rPr>
          <w:rFonts w:ascii="Arial" w:eastAsiaTheme="majorEastAsia" w:hAnsi="Arial" w:cs="Arial"/>
          <w:b/>
          <w:bCs/>
          <w:color w:val="C00000"/>
          <w:sz w:val="28"/>
          <w:szCs w:val="28"/>
        </w:rPr>
        <w:t xml:space="preserve"> Requirements</w:t>
      </w:r>
      <w:bookmarkEnd w:id="1"/>
      <w:r w:rsidR="002973D2" w:rsidRPr="000B3701">
        <w:rPr>
          <w:rFonts w:ascii="Arial" w:eastAsiaTheme="majorEastAsia" w:hAnsi="Arial" w:cs="Arial"/>
          <w:b/>
          <w:bCs/>
          <w:color w:val="C00000"/>
          <w:sz w:val="28"/>
          <w:szCs w:val="28"/>
        </w:rPr>
        <w:t xml:space="preserve"> </w:t>
      </w:r>
    </w:p>
    <w:p w14:paraId="1943D33C" w14:textId="7A2C8C58" w:rsidR="002973D2" w:rsidRPr="002973D2" w:rsidRDefault="00377D2D" w:rsidP="002973D2">
      <w:pPr>
        <w:rPr>
          <w:rFonts w:cs="Arial"/>
          <w:sz w:val="24"/>
        </w:rPr>
      </w:pPr>
      <w:r>
        <w:rPr>
          <w:rFonts w:cs="Arial"/>
          <w:sz w:val="24"/>
        </w:rPr>
        <w:t xml:space="preserve">PIR </w:t>
      </w:r>
      <w:r w:rsidR="008839F3">
        <w:rPr>
          <w:rFonts w:cs="Arial"/>
          <w:sz w:val="24"/>
        </w:rPr>
        <w:t>d</w:t>
      </w:r>
      <w:r w:rsidR="002973D2" w:rsidRPr="002973D2">
        <w:rPr>
          <w:rFonts w:cs="Arial"/>
          <w:sz w:val="24"/>
        </w:rPr>
        <w:t xml:space="preserve">esignation </w:t>
      </w:r>
      <w:r w:rsidR="008839F3">
        <w:rPr>
          <w:rFonts w:cs="Arial"/>
          <w:sz w:val="24"/>
        </w:rPr>
        <w:t>c</w:t>
      </w:r>
      <w:r w:rsidR="002973D2" w:rsidRPr="002973D2">
        <w:rPr>
          <w:rFonts w:cs="Arial"/>
          <w:sz w:val="24"/>
        </w:rPr>
        <w:t>andidates must</w:t>
      </w:r>
      <w:r>
        <w:rPr>
          <w:rFonts w:cs="Arial"/>
          <w:sz w:val="24"/>
        </w:rPr>
        <w:t>:</w:t>
      </w:r>
      <w:r w:rsidR="002973D2" w:rsidRPr="002973D2">
        <w:rPr>
          <w:rFonts w:cs="Arial"/>
          <w:sz w:val="24"/>
        </w:rPr>
        <w:t xml:space="preserve"> </w:t>
      </w:r>
    </w:p>
    <w:p w14:paraId="7CF026A7" w14:textId="77777777" w:rsidR="0069252C" w:rsidRPr="0069252C" w:rsidRDefault="0069252C" w:rsidP="0069252C">
      <w:pPr>
        <w:numPr>
          <w:ilvl w:val="0"/>
          <w:numId w:val="21"/>
        </w:numPr>
        <w:contextualSpacing/>
        <w:rPr>
          <w:rFonts w:cs="Arial"/>
          <w:sz w:val="24"/>
        </w:rPr>
      </w:pPr>
      <w:r w:rsidRPr="0069252C">
        <w:rPr>
          <w:rFonts w:cs="Arial"/>
          <w:sz w:val="24"/>
        </w:rPr>
        <w:t>Have at least three years of full-time work experience with a state DOI.</w:t>
      </w:r>
    </w:p>
    <w:p w14:paraId="2407D446" w14:textId="77777777" w:rsidR="0069252C" w:rsidRPr="0069252C" w:rsidRDefault="0069252C" w:rsidP="0069252C">
      <w:pPr>
        <w:ind w:left="720"/>
        <w:rPr>
          <w:rFonts w:cs="Arial"/>
          <w:sz w:val="24"/>
          <w:u w:val="single"/>
        </w:rPr>
      </w:pPr>
      <w:r w:rsidRPr="0069252C">
        <w:rPr>
          <w:rFonts w:cs="Arial"/>
          <w:sz w:val="24"/>
          <w:u w:val="single"/>
        </w:rPr>
        <w:t>and</w:t>
      </w:r>
    </w:p>
    <w:p w14:paraId="5B6741CB" w14:textId="3DF68BB2" w:rsidR="0069252C" w:rsidRPr="00634858"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five</w:t>
      </w:r>
      <w:r w:rsidRPr="0069252C">
        <w:rPr>
          <w:rFonts w:cs="Arial"/>
          <w:sz w:val="24"/>
        </w:rPr>
        <w:t xml:space="preserve"> of the qualifying NAIC courses</w:t>
      </w:r>
      <w:r>
        <w:rPr>
          <w:rFonts w:cs="Arial"/>
          <w:sz w:val="24"/>
        </w:rPr>
        <w:t xml:space="preserve"> *</w:t>
      </w:r>
      <w:r w:rsidRPr="0069252C">
        <w:rPr>
          <w:rFonts w:cs="Arial"/>
          <w:sz w:val="24"/>
        </w:rPr>
        <w:t xml:space="preserve"> listed below and achieve a passing score of 70% or better on the exam for each course.</w:t>
      </w:r>
      <w:r w:rsidRPr="00634858">
        <w:rPr>
          <w:rFonts w:cs="Arial"/>
          <w:sz w:val="24"/>
          <w:szCs w:val="24"/>
          <w:vertAlign w:val="superscript"/>
        </w:rPr>
        <w:t xml:space="preserve"> </w:t>
      </w:r>
      <w:r w:rsidR="00634858" w:rsidRPr="00634858">
        <w:rPr>
          <w:rFonts w:cs="Arial"/>
          <w:sz w:val="24"/>
          <w:szCs w:val="24"/>
        </w:rPr>
        <w:t>**</w:t>
      </w:r>
    </w:p>
    <w:p w14:paraId="2353E3B6" w14:textId="77777777" w:rsidR="0069252C" w:rsidRPr="0069252C" w:rsidRDefault="0069252C" w:rsidP="0069252C">
      <w:pPr>
        <w:numPr>
          <w:ilvl w:val="1"/>
          <w:numId w:val="21"/>
        </w:numPr>
        <w:contextualSpacing/>
        <w:rPr>
          <w:rFonts w:cs="Arial"/>
          <w:i/>
          <w:sz w:val="24"/>
        </w:rPr>
      </w:pPr>
      <w:r w:rsidRPr="0069252C">
        <w:rPr>
          <w:rFonts w:cs="Arial"/>
          <w:i/>
          <w:sz w:val="24"/>
        </w:rPr>
        <w:t>Regulating for Solvency</w:t>
      </w:r>
    </w:p>
    <w:p w14:paraId="64538439" w14:textId="77777777" w:rsidR="0069252C" w:rsidRPr="0069252C" w:rsidRDefault="0069252C" w:rsidP="0069252C">
      <w:pPr>
        <w:numPr>
          <w:ilvl w:val="1"/>
          <w:numId w:val="21"/>
        </w:numPr>
        <w:contextualSpacing/>
        <w:rPr>
          <w:rFonts w:cs="Arial"/>
          <w:i/>
          <w:sz w:val="24"/>
        </w:rPr>
      </w:pPr>
      <w:r w:rsidRPr="0069252C">
        <w:rPr>
          <w:rFonts w:cs="Arial"/>
          <w:i/>
          <w:sz w:val="24"/>
        </w:rPr>
        <w:t>Risk Based Capital</w:t>
      </w:r>
    </w:p>
    <w:p w14:paraId="73046701" w14:textId="77777777" w:rsidR="0069252C" w:rsidRPr="0069252C" w:rsidRDefault="0069252C" w:rsidP="0069252C">
      <w:pPr>
        <w:numPr>
          <w:ilvl w:val="1"/>
          <w:numId w:val="21"/>
        </w:numPr>
        <w:contextualSpacing/>
        <w:rPr>
          <w:rFonts w:cs="Arial"/>
          <w:i/>
          <w:sz w:val="24"/>
        </w:rPr>
      </w:pPr>
      <w:r w:rsidRPr="0069252C">
        <w:rPr>
          <w:rFonts w:cs="Arial"/>
          <w:i/>
          <w:sz w:val="24"/>
        </w:rPr>
        <w:t>Surplus Lines</w:t>
      </w:r>
    </w:p>
    <w:p w14:paraId="0AF08B93" w14:textId="77777777" w:rsidR="0069252C" w:rsidRPr="0069252C" w:rsidRDefault="0069252C" w:rsidP="0069252C">
      <w:pPr>
        <w:numPr>
          <w:ilvl w:val="1"/>
          <w:numId w:val="21"/>
        </w:numPr>
        <w:contextualSpacing/>
        <w:rPr>
          <w:rFonts w:cs="Arial"/>
          <w:i/>
          <w:sz w:val="24"/>
        </w:rPr>
      </w:pPr>
      <w:r w:rsidRPr="0069252C">
        <w:rPr>
          <w:rFonts w:cs="Arial"/>
          <w:i/>
          <w:sz w:val="24"/>
        </w:rPr>
        <w:t>Risk-Focused IT Review</w:t>
      </w:r>
    </w:p>
    <w:p w14:paraId="492743C5" w14:textId="78A7C55F" w:rsidR="0069252C" w:rsidRPr="0069252C" w:rsidRDefault="0069252C" w:rsidP="0069252C">
      <w:pPr>
        <w:numPr>
          <w:ilvl w:val="1"/>
          <w:numId w:val="21"/>
        </w:numPr>
        <w:contextualSpacing/>
        <w:rPr>
          <w:rFonts w:cs="Arial"/>
          <w:i/>
          <w:sz w:val="24"/>
        </w:rPr>
      </w:pPr>
      <w:r w:rsidRPr="0069252C">
        <w:rPr>
          <w:rFonts w:cs="Arial"/>
          <w:i/>
          <w:sz w:val="24"/>
        </w:rPr>
        <w:t>Risk-Focused Examinations (self -study)</w:t>
      </w:r>
    </w:p>
    <w:p w14:paraId="025FAD58" w14:textId="77777777" w:rsidR="0069252C" w:rsidRPr="0069252C" w:rsidRDefault="0069252C" w:rsidP="0069252C">
      <w:pPr>
        <w:numPr>
          <w:ilvl w:val="1"/>
          <w:numId w:val="21"/>
        </w:numPr>
        <w:contextualSpacing/>
        <w:rPr>
          <w:rFonts w:cs="Arial"/>
          <w:i/>
          <w:sz w:val="24"/>
        </w:rPr>
      </w:pPr>
      <w:r w:rsidRPr="0069252C">
        <w:rPr>
          <w:rFonts w:cs="Arial"/>
          <w:i/>
          <w:sz w:val="24"/>
        </w:rPr>
        <w:t>Regulating Risk Retention Groups</w:t>
      </w:r>
    </w:p>
    <w:p w14:paraId="2B89B51A" w14:textId="77777777" w:rsidR="0069252C" w:rsidRPr="0069252C" w:rsidRDefault="0069252C" w:rsidP="0069252C">
      <w:pPr>
        <w:numPr>
          <w:ilvl w:val="1"/>
          <w:numId w:val="21"/>
        </w:numPr>
        <w:contextualSpacing/>
        <w:rPr>
          <w:rFonts w:cs="Arial"/>
          <w:i/>
          <w:sz w:val="24"/>
        </w:rPr>
      </w:pPr>
      <w:r w:rsidRPr="0069252C">
        <w:rPr>
          <w:rFonts w:cs="Arial"/>
          <w:i/>
          <w:sz w:val="24"/>
        </w:rPr>
        <w:t>Basic Reinsurance</w:t>
      </w:r>
    </w:p>
    <w:p w14:paraId="5CF57FC3" w14:textId="77777777" w:rsidR="0069252C" w:rsidRPr="0069252C" w:rsidRDefault="0069252C" w:rsidP="0069252C">
      <w:pPr>
        <w:numPr>
          <w:ilvl w:val="1"/>
          <w:numId w:val="21"/>
        </w:numPr>
        <w:contextualSpacing/>
        <w:rPr>
          <w:rFonts w:cs="Arial"/>
          <w:i/>
          <w:sz w:val="24"/>
        </w:rPr>
      </w:pPr>
      <w:r w:rsidRPr="0069252C">
        <w:rPr>
          <w:rFonts w:cs="Arial"/>
          <w:i/>
          <w:sz w:val="24"/>
        </w:rPr>
        <w:t>The Basics of Investing</w:t>
      </w:r>
    </w:p>
    <w:p w14:paraId="51333A19" w14:textId="77777777" w:rsidR="0069252C" w:rsidRPr="0069252C" w:rsidRDefault="0069252C" w:rsidP="0069252C">
      <w:pPr>
        <w:numPr>
          <w:ilvl w:val="1"/>
          <w:numId w:val="21"/>
        </w:numPr>
        <w:contextualSpacing/>
        <w:rPr>
          <w:rFonts w:cs="Arial"/>
          <w:i/>
          <w:sz w:val="24"/>
        </w:rPr>
      </w:pPr>
      <w:r w:rsidRPr="0069252C">
        <w:rPr>
          <w:rFonts w:cs="Arial"/>
          <w:i/>
          <w:sz w:val="24"/>
        </w:rPr>
        <w:t>How to Analyze Insurer Investment Portfolios</w:t>
      </w:r>
    </w:p>
    <w:p w14:paraId="3548BE41" w14:textId="77777777" w:rsidR="0069252C" w:rsidRPr="0069252C" w:rsidRDefault="0069252C" w:rsidP="0069252C">
      <w:pPr>
        <w:numPr>
          <w:ilvl w:val="1"/>
          <w:numId w:val="21"/>
        </w:numPr>
        <w:contextualSpacing/>
        <w:rPr>
          <w:rFonts w:cs="Arial"/>
          <w:i/>
          <w:sz w:val="24"/>
        </w:rPr>
      </w:pPr>
      <w:r w:rsidRPr="0069252C">
        <w:rPr>
          <w:rFonts w:cs="Arial"/>
          <w:i/>
          <w:sz w:val="24"/>
        </w:rPr>
        <w:t>Corporate Governance</w:t>
      </w:r>
    </w:p>
    <w:p w14:paraId="42B7900A" w14:textId="77777777" w:rsidR="0069252C" w:rsidRPr="0069252C" w:rsidRDefault="0069252C" w:rsidP="0069252C">
      <w:pPr>
        <w:numPr>
          <w:ilvl w:val="0"/>
          <w:numId w:val="22"/>
        </w:numPr>
        <w:contextualSpacing/>
        <w:rPr>
          <w:rFonts w:cs="Arial"/>
          <w:i/>
          <w:sz w:val="24"/>
        </w:rPr>
      </w:pPr>
      <w:r w:rsidRPr="0069252C">
        <w:rPr>
          <w:rFonts w:cs="Arial"/>
          <w:i/>
          <w:sz w:val="24"/>
        </w:rPr>
        <w:t>Core Legal (self-study)</w:t>
      </w:r>
    </w:p>
    <w:p w14:paraId="171DB3F7" w14:textId="77777777" w:rsidR="0069252C" w:rsidRPr="0069252C" w:rsidRDefault="0069252C" w:rsidP="0069252C">
      <w:pPr>
        <w:numPr>
          <w:ilvl w:val="0"/>
          <w:numId w:val="22"/>
        </w:numPr>
        <w:contextualSpacing/>
        <w:rPr>
          <w:rFonts w:cs="Arial"/>
          <w:i/>
          <w:sz w:val="24"/>
        </w:rPr>
      </w:pPr>
      <w:r w:rsidRPr="0069252C">
        <w:rPr>
          <w:rFonts w:cs="Arial"/>
          <w:i/>
          <w:sz w:val="24"/>
        </w:rPr>
        <w:t>Basic Fraud (self-study)</w:t>
      </w:r>
    </w:p>
    <w:p w14:paraId="698DC685" w14:textId="77777777" w:rsidR="0069252C" w:rsidRPr="0069252C" w:rsidRDefault="0069252C" w:rsidP="0069252C">
      <w:pPr>
        <w:numPr>
          <w:ilvl w:val="0"/>
          <w:numId w:val="22"/>
        </w:numPr>
        <w:contextualSpacing/>
        <w:rPr>
          <w:rFonts w:cs="Arial"/>
          <w:i/>
          <w:sz w:val="24"/>
        </w:rPr>
      </w:pPr>
      <w:r w:rsidRPr="0069252C">
        <w:rPr>
          <w:rFonts w:cs="Arial"/>
          <w:i/>
          <w:sz w:val="24"/>
        </w:rPr>
        <w:t>Understanding the Federal Legislative Process</w:t>
      </w:r>
    </w:p>
    <w:p w14:paraId="7F05DA91" w14:textId="77777777" w:rsidR="0069252C" w:rsidRPr="0069252C" w:rsidRDefault="0069252C" w:rsidP="0069252C">
      <w:pPr>
        <w:numPr>
          <w:ilvl w:val="0"/>
          <w:numId w:val="22"/>
        </w:numPr>
        <w:contextualSpacing/>
        <w:rPr>
          <w:rFonts w:cs="Arial"/>
          <w:i/>
          <w:sz w:val="24"/>
        </w:rPr>
      </w:pPr>
      <w:r w:rsidRPr="0069252C">
        <w:rPr>
          <w:rFonts w:cs="Arial"/>
          <w:i/>
          <w:sz w:val="24"/>
        </w:rPr>
        <w:t>Consumer Assistance</w:t>
      </w:r>
    </w:p>
    <w:p w14:paraId="1E9EEF5A" w14:textId="77777777" w:rsidR="0069252C" w:rsidRPr="0069252C" w:rsidRDefault="0069252C" w:rsidP="0069252C">
      <w:pPr>
        <w:numPr>
          <w:ilvl w:val="0"/>
          <w:numId w:val="22"/>
        </w:numPr>
        <w:contextualSpacing/>
        <w:rPr>
          <w:rFonts w:cs="Arial"/>
          <w:i/>
          <w:sz w:val="24"/>
        </w:rPr>
      </w:pPr>
      <w:r w:rsidRPr="0069252C">
        <w:rPr>
          <w:rFonts w:cs="Arial"/>
          <w:i/>
          <w:sz w:val="24"/>
        </w:rPr>
        <w:t>Market Analysis Techniques</w:t>
      </w:r>
    </w:p>
    <w:p w14:paraId="52512124" w14:textId="77777777" w:rsidR="0069252C" w:rsidRPr="0069252C" w:rsidRDefault="0069252C" w:rsidP="0069252C">
      <w:pPr>
        <w:numPr>
          <w:ilvl w:val="0"/>
          <w:numId w:val="22"/>
        </w:numPr>
        <w:contextualSpacing/>
        <w:rPr>
          <w:rFonts w:cs="Arial"/>
          <w:i/>
          <w:sz w:val="24"/>
        </w:rPr>
      </w:pPr>
      <w:r w:rsidRPr="0069252C">
        <w:rPr>
          <w:rFonts w:cs="Arial"/>
          <w:i/>
          <w:sz w:val="24"/>
        </w:rPr>
        <w:t>Market Conduct Examinations</w:t>
      </w:r>
    </w:p>
    <w:p w14:paraId="0D714CEE" w14:textId="77777777" w:rsidR="0069252C" w:rsidRPr="0069252C" w:rsidRDefault="0069252C" w:rsidP="0069252C">
      <w:pPr>
        <w:numPr>
          <w:ilvl w:val="0"/>
          <w:numId w:val="22"/>
        </w:numPr>
        <w:contextualSpacing/>
        <w:rPr>
          <w:rFonts w:cs="Arial"/>
          <w:i/>
          <w:sz w:val="24"/>
        </w:rPr>
      </w:pPr>
      <w:r w:rsidRPr="0069252C">
        <w:rPr>
          <w:rFonts w:cs="Arial"/>
          <w:i/>
          <w:sz w:val="24"/>
        </w:rPr>
        <w:t>Producer Licensing</w:t>
      </w:r>
    </w:p>
    <w:p w14:paraId="4EA0FAAF" w14:textId="2889823A" w:rsidR="0069252C" w:rsidRDefault="0069252C" w:rsidP="0069252C">
      <w:pPr>
        <w:numPr>
          <w:ilvl w:val="0"/>
          <w:numId w:val="22"/>
        </w:numPr>
        <w:contextualSpacing/>
        <w:rPr>
          <w:rFonts w:cs="Arial"/>
          <w:i/>
          <w:sz w:val="24"/>
        </w:rPr>
      </w:pPr>
      <w:r w:rsidRPr="0069252C">
        <w:rPr>
          <w:rFonts w:cs="Arial"/>
          <w:i/>
          <w:sz w:val="24"/>
        </w:rPr>
        <w:t xml:space="preserve">Best Practices in Company Licensing </w:t>
      </w:r>
    </w:p>
    <w:p w14:paraId="3E55B0D4" w14:textId="59135FA6" w:rsidR="0086644B" w:rsidRPr="0069252C" w:rsidRDefault="0086644B" w:rsidP="0069252C">
      <w:pPr>
        <w:numPr>
          <w:ilvl w:val="0"/>
          <w:numId w:val="22"/>
        </w:numPr>
        <w:contextualSpacing/>
        <w:rPr>
          <w:rFonts w:cs="Arial"/>
          <w:i/>
          <w:sz w:val="24"/>
        </w:rPr>
      </w:pPr>
      <w:r>
        <w:rPr>
          <w:rFonts w:cs="Arial"/>
          <w:i/>
          <w:sz w:val="24"/>
        </w:rPr>
        <w:t>Company Licensing Application Review Process</w:t>
      </w:r>
    </w:p>
    <w:p w14:paraId="7F3CF634" w14:textId="77777777" w:rsidR="00430F88" w:rsidRDefault="00430F88" w:rsidP="0069252C">
      <w:pPr>
        <w:ind w:left="720"/>
        <w:contextualSpacing/>
        <w:rPr>
          <w:rFonts w:cs="Arial"/>
          <w:b/>
          <w:bCs/>
          <w:sz w:val="28"/>
          <w:szCs w:val="28"/>
          <w:u w:val="single"/>
        </w:rPr>
      </w:pPr>
    </w:p>
    <w:p w14:paraId="10BDFC92" w14:textId="5A89349E" w:rsidR="0069252C" w:rsidRDefault="00430F88" w:rsidP="0069252C">
      <w:pPr>
        <w:ind w:left="720"/>
        <w:contextualSpacing/>
        <w:rPr>
          <w:rFonts w:cs="Arial"/>
          <w:b/>
          <w:bCs/>
          <w:sz w:val="28"/>
          <w:szCs w:val="28"/>
          <w:u w:val="single"/>
        </w:rPr>
      </w:pPr>
      <w:r w:rsidRPr="00430F88">
        <w:rPr>
          <w:rFonts w:cs="Arial"/>
          <w:b/>
          <w:bCs/>
          <w:sz w:val="28"/>
          <w:szCs w:val="28"/>
          <w:u w:val="single"/>
        </w:rPr>
        <w:t>O</w:t>
      </w:r>
      <w:r w:rsidR="0069252C" w:rsidRPr="00430F88">
        <w:rPr>
          <w:rFonts w:cs="Arial"/>
          <w:b/>
          <w:bCs/>
          <w:sz w:val="28"/>
          <w:szCs w:val="28"/>
          <w:u w:val="single"/>
        </w:rPr>
        <w:t>r</w:t>
      </w:r>
    </w:p>
    <w:p w14:paraId="7C1879FE" w14:textId="77777777" w:rsidR="00430F88" w:rsidRPr="00430F88" w:rsidRDefault="00430F88" w:rsidP="0069252C">
      <w:pPr>
        <w:ind w:left="720"/>
        <w:contextualSpacing/>
        <w:rPr>
          <w:rFonts w:cs="Arial"/>
          <w:b/>
          <w:bCs/>
          <w:sz w:val="28"/>
          <w:szCs w:val="28"/>
          <w:u w:val="single"/>
        </w:rPr>
      </w:pPr>
    </w:p>
    <w:p w14:paraId="15A2E0D3" w14:textId="77777777" w:rsidR="00634858" w:rsidRPr="0069252C" w:rsidRDefault="00634858" w:rsidP="0069252C">
      <w:pPr>
        <w:ind w:left="720"/>
        <w:contextualSpacing/>
        <w:rPr>
          <w:rFonts w:cs="Arial"/>
          <w:sz w:val="24"/>
          <w:u w:val="single"/>
        </w:rPr>
      </w:pPr>
    </w:p>
    <w:p w14:paraId="638F1D37" w14:textId="04DCCF79" w:rsidR="0069252C" w:rsidRPr="0069252C" w:rsidRDefault="0069252C" w:rsidP="0069252C">
      <w:pPr>
        <w:numPr>
          <w:ilvl w:val="0"/>
          <w:numId w:val="21"/>
        </w:numPr>
        <w:contextualSpacing/>
        <w:rPr>
          <w:rFonts w:cs="Arial"/>
          <w:sz w:val="24"/>
        </w:rPr>
      </w:pPr>
      <w:r w:rsidRPr="0069252C">
        <w:rPr>
          <w:rFonts w:cs="Arial"/>
          <w:sz w:val="24"/>
        </w:rPr>
        <w:lastRenderedPageBreak/>
        <w:t xml:space="preserve">Satisfactorily complete </w:t>
      </w:r>
      <w:r w:rsidRPr="0069252C">
        <w:rPr>
          <w:rFonts w:cs="Arial"/>
          <w:sz w:val="24"/>
          <w:u w:val="single"/>
        </w:rPr>
        <w:t>four</w:t>
      </w:r>
      <w:r w:rsidRPr="0069252C">
        <w:rPr>
          <w:rFonts w:cs="Arial"/>
          <w:sz w:val="24"/>
        </w:rPr>
        <w:t xml:space="preserve"> of the NAIC courses listed above and </w:t>
      </w:r>
      <w:r w:rsidRPr="0069252C">
        <w:rPr>
          <w:rFonts w:cs="Arial"/>
          <w:sz w:val="24"/>
          <w:u w:val="single"/>
        </w:rPr>
        <w:t>one</w:t>
      </w:r>
      <w:r w:rsidRPr="0069252C">
        <w:rPr>
          <w:rFonts w:cs="Arial"/>
          <w:sz w:val="24"/>
        </w:rPr>
        <w:t xml:space="preserve"> PIR elective course selected from the list of pre-qualified courses provided in the NAIC Designation Program Catalog of Electives. A passing score must be achieved on each applicable course exam. To earn Designation credit for a non-NAIC elective course, that course must have been completed no more than three years prior to application for the PIR.</w:t>
      </w:r>
    </w:p>
    <w:p w14:paraId="5A5D55D2" w14:textId="2C2D5BBF" w:rsidR="002973D2" w:rsidRDefault="002973D2" w:rsidP="0069252C">
      <w:pPr>
        <w:rPr>
          <w:rFonts w:ascii="Arial" w:hAnsi="Arial" w:cs="Arial"/>
          <w:sz w:val="18"/>
          <w:szCs w:val="18"/>
        </w:rPr>
      </w:pPr>
    </w:p>
    <w:p w14:paraId="63257B1D" w14:textId="39D07CDA" w:rsidR="00634858" w:rsidRDefault="00634858" w:rsidP="00634858">
      <w:pPr>
        <w:rPr>
          <w:rFonts w:ascii="Arial" w:hAnsi="Arial" w:cs="Arial"/>
          <w:sz w:val="18"/>
          <w:szCs w:val="18"/>
        </w:rPr>
      </w:pPr>
      <w:r w:rsidRPr="00634858">
        <w:rPr>
          <w:noProof/>
        </w:rPr>
        <mc:AlternateContent>
          <mc:Choice Requires="wps">
            <w:drawing>
              <wp:anchor distT="45720" distB="45720" distL="114300" distR="114300" simplePos="0" relativeHeight="251660288" behindDoc="1" locked="0" layoutInCell="1" allowOverlap="1" wp14:anchorId="146FCC10" wp14:editId="1586F8F9">
                <wp:simplePos x="0" y="0"/>
                <wp:positionH relativeFrom="margin">
                  <wp:posOffset>0</wp:posOffset>
                </wp:positionH>
                <wp:positionV relativeFrom="paragraph">
                  <wp:posOffset>141605</wp:posOffset>
                </wp:positionV>
                <wp:extent cx="6287135" cy="2505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505075"/>
                        </a:xfrm>
                        <a:prstGeom prst="rect">
                          <a:avLst/>
                        </a:prstGeom>
                        <a:solidFill>
                          <a:sysClr val="window" lastClr="FFFFFF"/>
                        </a:solidFill>
                        <a:ln w="9525">
                          <a:noFill/>
                          <a:miter lim="800000"/>
                          <a:headEnd/>
                          <a:tailEnd/>
                        </a:ln>
                      </wps:spPr>
                      <wps:txbx>
                        <w:txbxContent>
                          <w:p w14:paraId="49023643" w14:textId="3F4B7F95" w:rsidR="00664513" w:rsidRDefault="00664513" w:rsidP="00634858">
                            <w:pPr>
                              <w:rPr>
                                <w:sz w:val="24"/>
                                <w:szCs w:val="24"/>
                              </w:rPr>
                            </w:pPr>
                            <w:r w:rsidRPr="00377D2D">
                              <w:rPr>
                                <w:rFonts w:cstheme="minorHAnsi"/>
                                <w:sz w:val="24"/>
                                <w:szCs w:val="24"/>
                              </w:rPr>
                              <w:t>*</w:t>
                            </w:r>
                            <w:r w:rsidRPr="00377D2D">
                              <w:rPr>
                                <w:sz w:val="24"/>
                                <w:szCs w:val="24"/>
                              </w:rPr>
                              <w:t xml:space="preserve"> To earn Designation Program credit for a PIR-level course, candidates must first be</w:t>
                            </w:r>
                            <w:r w:rsidR="00997386">
                              <w:rPr>
                                <w:sz w:val="24"/>
                                <w:szCs w:val="24"/>
                              </w:rPr>
                              <w:t xml:space="preserve"> enrolled in</w:t>
                            </w:r>
                            <w:r w:rsidRPr="00377D2D">
                              <w:rPr>
                                <w:sz w:val="24"/>
                                <w:szCs w:val="24"/>
                              </w:rPr>
                              <w:t xml:space="preserve"> the Designation Program and enroll </w:t>
                            </w:r>
                            <w:r w:rsidR="00997386">
                              <w:rPr>
                                <w:sz w:val="24"/>
                                <w:szCs w:val="24"/>
                              </w:rPr>
                              <w:t>in the PIR designation</w:t>
                            </w:r>
                            <w:r w:rsidRPr="00377D2D">
                              <w:rPr>
                                <w:sz w:val="24"/>
                                <w:szCs w:val="24"/>
                              </w:rPr>
                              <w:t xml:space="preserve"> level within three years of completing the PIR-level course and its exam. APIR candidates are not prohibited from taking PIR-level classes</w:t>
                            </w:r>
                            <w:r w:rsidR="00997386">
                              <w:rPr>
                                <w:sz w:val="24"/>
                                <w:szCs w:val="24"/>
                              </w:rPr>
                              <w:t xml:space="preserve"> and exams</w:t>
                            </w:r>
                            <w:bookmarkStart w:id="2" w:name="_GoBack"/>
                            <w:bookmarkEnd w:id="2"/>
                            <w:r w:rsidRPr="00377D2D">
                              <w:rPr>
                                <w:sz w:val="24"/>
                                <w:szCs w:val="24"/>
                              </w:rPr>
                              <w:t>.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3DFC36E2" w14:textId="77777777" w:rsidR="00430F88" w:rsidRPr="00377D2D" w:rsidRDefault="00430F88" w:rsidP="00634858">
                            <w:pPr>
                              <w:rPr>
                                <w:rFonts w:cstheme="minorHAnsi"/>
                                <w:sz w:val="24"/>
                                <w:szCs w:val="24"/>
                              </w:rPr>
                            </w:pP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CC10" id="_x0000_t202" coordsize="21600,21600" o:spt="202" path="m,l,21600r21600,l21600,xe">
                <v:stroke joinstyle="miter"/>
                <v:path gradientshapeok="t" o:connecttype="rect"/>
              </v:shapetype>
              <v:shape id="Text Box 2" o:spid="_x0000_s1026" type="#_x0000_t202" style="position:absolute;margin-left:0;margin-top:11.15pt;width:495.05pt;height:19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" fillcolor="window" stroked="f">
                <v:textbox>
                  <w:txbxContent>
                    <w:p w14:paraId="49023643" w14:textId="3F4B7F95" w:rsidR="00664513" w:rsidRDefault="00664513" w:rsidP="00634858">
                      <w:pPr>
                        <w:rPr>
                          <w:sz w:val="24"/>
                          <w:szCs w:val="24"/>
                        </w:rPr>
                      </w:pPr>
                      <w:r w:rsidRPr="00377D2D">
                        <w:rPr>
                          <w:rFonts w:cstheme="minorHAnsi"/>
                          <w:sz w:val="24"/>
                          <w:szCs w:val="24"/>
                        </w:rPr>
                        <w:t>*</w:t>
                      </w:r>
                      <w:r w:rsidRPr="00377D2D">
                        <w:rPr>
                          <w:sz w:val="24"/>
                          <w:szCs w:val="24"/>
                        </w:rPr>
                        <w:t xml:space="preserve"> To earn Designation Program credit for a PIR-level course, candidates must first be</w:t>
                      </w:r>
                      <w:r w:rsidR="00997386">
                        <w:rPr>
                          <w:sz w:val="24"/>
                          <w:szCs w:val="24"/>
                        </w:rPr>
                        <w:t xml:space="preserve"> enrolled in</w:t>
                      </w:r>
                      <w:r w:rsidRPr="00377D2D">
                        <w:rPr>
                          <w:sz w:val="24"/>
                          <w:szCs w:val="24"/>
                        </w:rPr>
                        <w:t xml:space="preserve"> the Designation Program and enroll </w:t>
                      </w:r>
                      <w:r w:rsidR="00997386">
                        <w:rPr>
                          <w:sz w:val="24"/>
                          <w:szCs w:val="24"/>
                        </w:rPr>
                        <w:t>in the PIR designation</w:t>
                      </w:r>
                      <w:r w:rsidRPr="00377D2D">
                        <w:rPr>
                          <w:sz w:val="24"/>
                          <w:szCs w:val="24"/>
                        </w:rPr>
                        <w:t xml:space="preserve"> level within three years of completing the PIR-level course and its exam. APIR candidates are not prohibited from taking PIR-level classes</w:t>
                      </w:r>
                      <w:r w:rsidR="00997386">
                        <w:rPr>
                          <w:sz w:val="24"/>
                          <w:szCs w:val="24"/>
                        </w:rPr>
                        <w:t xml:space="preserve"> and exams</w:t>
                      </w:r>
                      <w:bookmarkStart w:id="3" w:name="_GoBack"/>
                      <w:bookmarkEnd w:id="3"/>
                      <w:r w:rsidRPr="00377D2D">
                        <w:rPr>
                          <w:sz w:val="24"/>
                          <w:szCs w:val="24"/>
                        </w:rPr>
                        <w:t>.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3DFC36E2" w14:textId="77777777" w:rsidR="00430F88" w:rsidRPr="00377D2D" w:rsidRDefault="00430F88" w:rsidP="00634858">
                      <w:pPr>
                        <w:rPr>
                          <w:rFonts w:cstheme="minorHAnsi"/>
                          <w:sz w:val="24"/>
                          <w:szCs w:val="24"/>
                        </w:rPr>
                      </w:pP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v:textbox>
                <w10:wrap anchorx="margin"/>
              </v:shape>
            </w:pict>
          </mc:Fallback>
        </mc:AlternateContent>
      </w:r>
    </w:p>
    <w:p w14:paraId="0E52971B" w14:textId="07C801C3" w:rsidR="00634858" w:rsidRPr="00634858" w:rsidRDefault="00634858" w:rsidP="00634858">
      <w:pPr>
        <w:rPr>
          <w:rFonts w:ascii="Arial" w:hAnsi="Arial" w:cs="Arial"/>
          <w:sz w:val="18"/>
          <w:szCs w:val="18"/>
        </w:rPr>
      </w:pPr>
    </w:p>
    <w:p w14:paraId="1EF84EA3" w14:textId="36ED90EB" w:rsidR="00634858" w:rsidRPr="00634858" w:rsidRDefault="00634858" w:rsidP="00634858">
      <w:pPr>
        <w:rPr>
          <w:rFonts w:ascii="Arial" w:hAnsi="Arial" w:cs="Arial"/>
          <w:sz w:val="18"/>
          <w:szCs w:val="18"/>
        </w:rPr>
      </w:pPr>
    </w:p>
    <w:p w14:paraId="52DD48B5" w14:textId="0E3B3095" w:rsidR="00634858" w:rsidRPr="00634858" w:rsidRDefault="00634858" w:rsidP="00634858">
      <w:pPr>
        <w:rPr>
          <w:rFonts w:ascii="Arial" w:hAnsi="Arial" w:cs="Arial"/>
          <w:sz w:val="18"/>
          <w:szCs w:val="18"/>
        </w:rPr>
      </w:pPr>
    </w:p>
    <w:p w14:paraId="0FC37C07" w14:textId="5979DF59" w:rsidR="00634858" w:rsidRPr="00634858" w:rsidRDefault="00634858" w:rsidP="00634858">
      <w:pPr>
        <w:rPr>
          <w:rFonts w:ascii="Arial" w:hAnsi="Arial" w:cs="Arial"/>
          <w:sz w:val="18"/>
          <w:szCs w:val="18"/>
        </w:rPr>
      </w:pPr>
    </w:p>
    <w:p w14:paraId="337A4C20" w14:textId="75C72596" w:rsidR="00634858" w:rsidRPr="00634858" w:rsidRDefault="00634858" w:rsidP="00634858">
      <w:pPr>
        <w:rPr>
          <w:rFonts w:ascii="Arial" w:hAnsi="Arial" w:cs="Arial"/>
          <w:sz w:val="18"/>
          <w:szCs w:val="18"/>
        </w:rPr>
      </w:pPr>
    </w:p>
    <w:p w14:paraId="0C6CAF51" w14:textId="54F7ECF0" w:rsidR="00634858" w:rsidRPr="00634858" w:rsidRDefault="00377D2D" w:rsidP="00377D2D">
      <w:pPr>
        <w:tabs>
          <w:tab w:val="left" w:pos="7436"/>
        </w:tabs>
        <w:rPr>
          <w:rFonts w:ascii="Arial" w:hAnsi="Arial" w:cs="Arial"/>
          <w:sz w:val="18"/>
          <w:szCs w:val="18"/>
        </w:rPr>
      </w:pPr>
      <w:r>
        <w:rPr>
          <w:rFonts w:ascii="Arial" w:hAnsi="Arial" w:cs="Arial"/>
          <w:sz w:val="18"/>
          <w:szCs w:val="18"/>
        </w:rPr>
        <w:tab/>
      </w:r>
    </w:p>
    <w:p w14:paraId="310EC546" w14:textId="1EB2E25A" w:rsidR="00634858" w:rsidRPr="00634858" w:rsidRDefault="00634858" w:rsidP="00634858">
      <w:pPr>
        <w:rPr>
          <w:rFonts w:ascii="Arial" w:hAnsi="Arial" w:cs="Arial"/>
          <w:sz w:val="18"/>
          <w:szCs w:val="18"/>
        </w:rPr>
      </w:pPr>
    </w:p>
    <w:p w14:paraId="4FA25AF4" w14:textId="22882EB0" w:rsidR="00634858" w:rsidRPr="00634858" w:rsidRDefault="00634858" w:rsidP="00634858">
      <w:pPr>
        <w:rPr>
          <w:rFonts w:ascii="Arial" w:hAnsi="Arial" w:cs="Arial"/>
          <w:sz w:val="18"/>
          <w:szCs w:val="18"/>
        </w:rPr>
      </w:pPr>
    </w:p>
    <w:p w14:paraId="5D73ECEE" w14:textId="43553BE1" w:rsidR="00634858" w:rsidRPr="00634858" w:rsidRDefault="00634858" w:rsidP="00634858">
      <w:pPr>
        <w:rPr>
          <w:rFonts w:ascii="Arial" w:hAnsi="Arial" w:cs="Arial"/>
          <w:sz w:val="18"/>
          <w:szCs w:val="18"/>
        </w:rPr>
      </w:pPr>
    </w:p>
    <w:p w14:paraId="37E70347" w14:textId="34757AC8" w:rsidR="00634858" w:rsidRPr="00634858" w:rsidRDefault="00634858" w:rsidP="00634858">
      <w:pPr>
        <w:rPr>
          <w:rFonts w:ascii="Arial" w:hAnsi="Arial" w:cs="Arial"/>
          <w:sz w:val="18"/>
          <w:szCs w:val="18"/>
        </w:rPr>
      </w:pPr>
    </w:p>
    <w:p w14:paraId="19F42925" w14:textId="46DB25CA" w:rsidR="00634858" w:rsidRPr="00634858" w:rsidRDefault="00634858" w:rsidP="00634858">
      <w:pPr>
        <w:rPr>
          <w:rFonts w:ascii="Arial" w:hAnsi="Arial" w:cs="Arial"/>
          <w:sz w:val="18"/>
          <w:szCs w:val="18"/>
        </w:rPr>
      </w:pPr>
    </w:p>
    <w:p w14:paraId="60459CCF" w14:textId="699D96A6" w:rsidR="00634858" w:rsidRPr="00634858" w:rsidRDefault="00634858" w:rsidP="00634858">
      <w:pPr>
        <w:rPr>
          <w:rFonts w:ascii="Arial" w:hAnsi="Arial" w:cs="Arial"/>
          <w:sz w:val="18"/>
          <w:szCs w:val="18"/>
        </w:rPr>
      </w:pPr>
    </w:p>
    <w:p w14:paraId="5DA95C42" w14:textId="454536C7" w:rsidR="00634858" w:rsidRPr="00634858" w:rsidRDefault="00634858" w:rsidP="00634858">
      <w:pPr>
        <w:rPr>
          <w:rFonts w:ascii="Arial" w:hAnsi="Arial" w:cs="Arial"/>
          <w:sz w:val="18"/>
          <w:szCs w:val="18"/>
        </w:rPr>
      </w:pPr>
    </w:p>
    <w:p w14:paraId="0B53523A" w14:textId="16863E0F" w:rsidR="00634858" w:rsidRPr="00634858" w:rsidRDefault="00634858" w:rsidP="00634858">
      <w:pPr>
        <w:rPr>
          <w:rFonts w:ascii="Arial" w:hAnsi="Arial" w:cs="Arial"/>
          <w:sz w:val="18"/>
          <w:szCs w:val="18"/>
        </w:rPr>
      </w:pPr>
    </w:p>
    <w:p w14:paraId="370787C3" w14:textId="36F0142A" w:rsidR="00634858" w:rsidRPr="00634858" w:rsidRDefault="00634858" w:rsidP="00634858">
      <w:pPr>
        <w:rPr>
          <w:rFonts w:ascii="Arial" w:hAnsi="Arial" w:cs="Arial"/>
          <w:sz w:val="18"/>
          <w:szCs w:val="18"/>
        </w:rPr>
      </w:pPr>
    </w:p>
    <w:p w14:paraId="33425E4F" w14:textId="1428C861" w:rsidR="00634858" w:rsidRPr="00634858" w:rsidRDefault="00634858" w:rsidP="00634858">
      <w:pPr>
        <w:rPr>
          <w:rFonts w:ascii="Arial" w:hAnsi="Arial" w:cs="Arial"/>
          <w:sz w:val="18"/>
          <w:szCs w:val="18"/>
        </w:rPr>
      </w:pPr>
    </w:p>
    <w:p w14:paraId="7B9BF63E" w14:textId="2942B3E4" w:rsidR="00634858" w:rsidRPr="00634858" w:rsidRDefault="00634858" w:rsidP="00634858">
      <w:pPr>
        <w:rPr>
          <w:rFonts w:ascii="Arial" w:hAnsi="Arial" w:cs="Arial"/>
          <w:sz w:val="18"/>
          <w:szCs w:val="18"/>
        </w:rPr>
      </w:pPr>
    </w:p>
    <w:p w14:paraId="7EFC05F8" w14:textId="257DFAA0" w:rsidR="00634858" w:rsidRPr="00634858" w:rsidRDefault="00634858" w:rsidP="00634858">
      <w:pPr>
        <w:rPr>
          <w:rFonts w:ascii="Arial" w:hAnsi="Arial" w:cs="Arial"/>
          <w:sz w:val="18"/>
          <w:szCs w:val="18"/>
        </w:rPr>
      </w:pPr>
    </w:p>
    <w:p w14:paraId="6D048598" w14:textId="6185FE45" w:rsidR="00634858" w:rsidRPr="00634858" w:rsidRDefault="00634858" w:rsidP="00634858">
      <w:pPr>
        <w:rPr>
          <w:rFonts w:ascii="Arial" w:hAnsi="Arial" w:cs="Arial"/>
          <w:sz w:val="18"/>
          <w:szCs w:val="18"/>
        </w:rPr>
      </w:pPr>
    </w:p>
    <w:p w14:paraId="6C788630" w14:textId="66C0D992" w:rsidR="00634858" w:rsidRPr="00634858" w:rsidRDefault="00634858" w:rsidP="00634858">
      <w:pPr>
        <w:rPr>
          <w:rFonts w:ascii="Arial" w:hAnsi="Arial" w:cs="Arial"/>
          <w:sz w:val="18"/>
          <w:szCs w:val="18"/>
        </w:rPr>
      </w:pPr>
    </w:p>
    <w:p w14:paraId="0F6792E1" w14:textId="137A773D" w:rsidR="00634858" w:rsidRDefault="00634858" w:rsidP="00634858">
      <w:pPr>
        <w:rPr>
          <w:rFonts w:ascii="Arial" w:hAnsi="Arial" w:cs="Arial"/>
          <w:sz w:val="18"/>
          <w:szCs w:val="18"/>
        </w:rPr>
      </w:pPr>
    </w:p>
    <w:p w14:paraId="5C3D2D29" w14:textId="31FA5B1B" w:rsidR="00634858" w:rsidRDefault="00634858" w:rsidP="00634858">
      <w:pPr>
        <w:rPr>
          <w:rFonts w:ascii="Arial" w:hAnsi="Arial" w:cs="Arial"/>
          <w:sz w:val="18"/>
          <w:szCs w:val="18"/>
        </w:rPr>
      </w:pPr>
    </w:p>
    <w:sectPr w:rsidR="00634858" w:rsidSect="00541EFA">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F171" w14:textId="77777777" w:rsidR="00664513" w:rsidRDefault="00664513" w:rsidP="000C39AA">
      <w:pPr>
        <w:spacing w:after="0" w:line="240" w:lineRule="auto"/>
      </w:pPr>
      <w:r>
        <w:separator/>
      </w:r>
    </w:p>
  </w:endnote>
  <w:endnote w:type="continuationSeparator" w:id="0">
    <w:p w14:paraId="51619F4F" w14:textId="77777777" w:rsidR="00664513" w:rsidRDefault="00664513" w:rsidP="000C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91809"/>
      <w:docPartObj>
        <w:docPartGallery w:val="Page Numbers (Bottom of Page)"/>
        <w:docPartUnique/>
      </w:docPartObj>
    </w:sdtPr>
    <w:sdtEndPr>
      <w:rPr>
        <w:noProof/>
      </w:rPr>
    </w:sdtEndPr>
    <w:sdtContent>
      <w:p w14:paraId="3916A637" w14:textId="77777777" w:rsidR="00664513" w:rsidRDefault="00664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362AC" w14:textId="77777777" w:rsidR="00664513" w:rsidRDefault="006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5E54" w14:textId="77777777" w:rsidR="00664513" w:rsidRDefault="00664513" w:rsidP="000C39AA">
      <w:pPr>
        <w:spacing w:after="0" w:line="240" w:lineRule="auto"/>
      </w:pPr>
      <w:r>
        <w:separator/>
      </w:r>
    </w:p>
  </w:footnote>
  <w:footnote w:type="continuationSeparator" w:id="0">
    <w:p w14:paraId="46DB9132" w14:textId="77777777" w:rsidR="00664513" w:rsidRDefault="00664513" w:rsidP="000C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AE"/>
    <w:multiLevelType w:val="hybridMultilevel"/>
    <w:tmpl w:val="79C61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671"/>
    <w:multiLevelType w:val="hybridMultilevel"/>
    <w:tmpl w:val="B2FC037C"/>
    <w:lvl w:ilvl="0" w:tplc="2EE2DDDA">
      <w:start w:val="2"/>
      <w:numFmt w:val="bullet"/>
      <w:lvlText w:val=""/>
      <w:lvlJc w:val="left"/>
      <w:pPr>
        <w:ind w:left="360" w:hanging="360"/>
      </w:pPr>
      <w:rPr>
        <w:rFonts w:ascii="Webdings" w:eastAsia="Gill Sans MT Condensed" w:hAnsi="Webdings" w:cs="Gill Sans MT Condens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A7E30"/>
    <w:multiLevelType w:val="hybridMultilevel"/>
    <w:tmpl w:val="557CF0F0"/>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00ED"/>
    <w:multiLevelType w:val="hybridMultilevel"/>
    <w:tmpl w:val="97587108"/>
    <w:lvl w:ilvl="0" w:tplc="37367D8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10"/>
    <w:multiLevelType w:val="hybridMultilevel"/>
    <w:tmpl w:val="70B08984"/>
    <w:lvl w:ilvl="0" w:tplc="04090019">
      <w:start w:val="1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6B8378D"/>
    <w:multiLevelType w:val="hybridMultilevel"/>
    <w:tmpl w:val="C40C91C4"/>
    <w:lvl w:ilvl="0" w:tplc="C06EC6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E3548"/>
    <w:multiLevelType w:val="hybridMultilevel"/>
    <w:tmpl w:val="A16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1B8C"/>
    <w:multiLevelType w:val="hybridMultilevel"/>
    <w:tmpl w:val="75302312"/>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C3ED7"/>
    <w:multiLevelType w:val="hybridMultilevel"/>
    <w:tmpl w:val="F7D08E72"/>
    <w:lvl w:ilvl="0" w:tplc="656A2300">
      <w:start w:val="1"/>
      <w:numFmt w:val="lowerLetter"/>
      <w:lvlText w:val="%1."/>
      <w:lvlJc w:val="left"/>
      <w:pPr>
        <w:tabs>
          <w:tab w:val="num" w:pos="720"/>
        </w:tabs>
        <w:ind w:left="72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A3120"/>
    <w:multiLevelType w:val="hybridMultilevel"/>
    <w:tmpl w:val="08CA9D06"/>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BB9"/>
    <w:multiLevelType w:val="hybridMultilevel"/>
    <w:tmpl w:val="5B8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833E0"/>
    <w:multiLevelType w:val="hybridMultilevel"/>
    <w:tmpl w:val="C90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E2856"/>
    <w:multiLevelType w:val="hybridMultilevel"/>
    <w:tmpl w:val="695E9978"/>
    <w:lvl w:ilvl="0" w:tplc="67583A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1061"/>
    <w:multiLevelType w:val="hybridMultilevel"/>
    <w:tmpl w:val="0A7A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360E"/>
    <w:multiLevelType w:val="hybridMultilevel"/>
    <w:tmpl w:val="08A4DE0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F072A4"/>
    <w:multiLevelType w:val="hybridMultilevel"/>
    <w:tmpl w:val="8344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F758A"/>
    <w:multiLevelType w:val="hybridMultilevel"/>
    <w:tmpl w:val="323E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E7DF0"/>
    <w:multiLevelType w:val="hybridMultilevel"/>
    <w:tmpl w:val="4CAE01A2"/>
    <w:lvl w:ilvl="0" w:tplc="445867E2">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07892"/>
    <w:multiLevelType w:val="hybridMultilevel"/>
    <w:tmpl w:val="C66C9804"/>
    <w:lvl w:ilvl="0" w:tplc="88967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5488D"/>
    <w:multiLevelType w:val="hybridMultilevel"/>
    <w:tmpl w:val="127EC7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6311639"/>
    <w:multiLevelType w:val="hybridMultilevel"/>
    <w:tmpl w:val="704A6610"/>
    <w:lvl w:ilvl="0" w:tplc="857C8828">
      <w:start w:val="1"/>
      <w:numFmt w:val="decimal"/>
      <w:lvlText w:val="%1."/>
      <w:lvlJc w:val="left"/>
      <w:pPr>
        <w:tabs>
          <w:tab w:val="num" w:pos="720"/>
        </w:tabs>
        <w:ind w:left="720" w:hanging="360"/>
      </w:pPr>
      <w:rPr>
        <w:rFonts w:hint="default"/>
      </w:rPr>
    </w:lvl>
    <w:lvl w:ilvl="1" w:tplc="900CA572">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50A7520">
      <w:start w:val="1"/>
      <w:numFmt w:val="bullet"/>
      <w:lvlText w:val="-"/>
      <w:lvlJc w:val="left"/>
      <w:pPr>
        <w:ind w:left="3600" w:hanging="360"/>
      </w:pPr>
      <w:rPr>
        <w:rFonts w:ascii="Verdana" w:eastAsia="Times New Roman" w:hAnsi="Verdana" w:cs="Verdan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5951C2"/>
    <w:multiLevelType w:val="hybridMultilevel"/>
    <w:tmpl w:val="970E9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C3EB5"/>
    <w:multiLevelType w:val="hybridMultilevel"/>
    <w:tmpl w:val="BE5A31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4ECA14A">
      <w:start w:val="1"/>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E24116"/>
    <w:multiLevelType w:val="hybridMultilevel"/>
    <w:tmpl w:val="DF963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14"/>
  </w:num>
  <w:num w:numId="5">
    <w:abstractNumId w:val="4"/>
  </w:num>
  <w:num w:numId="6">
    <w:abstractNumId w:val="9"/>
  </w:num>
  <w:num w:numId="7">
    <w:abstractNumId w:val="2"/>
  </w:num>
  <w:num w:numId="8">
    <w:abstractNumId w:val="7"/>
  </w:num>
  <w:num w:numId="9">
    <w:abstractNumId w:val="22"/>
  </w:num>
  <w:num w:numId="10">
    <w:abstractNumId w:val="20"/>
  </w:num>
  <w:num w:numId="11">
    <w:abstractNumId w:val="1"/>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6"/>
  </w:num>
  <w:num w:numId="17">
    <w:abstractNumId w:val="11"/>
  </w:num>
  <w:num w:numId="18">
    <w:abstractNumId w:val="6"/>
  </w:num>
  <w:num w:numId="19">
    <w:abstractNumId w:val="3"/>
  </w:num>
  <w:num w:numId="20">
    <w:abstractNumId w:val="0"/>
  </w:num>
  <w:num w:numId="21">
    <w:abstractNumId w:val="13"/>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62"/>
    <w:rsid w:val="00047A49"/>
    <w:rsid w:val="000536EA"/>
    <w:rsid w:val="000B3701"/>
    <w:rsid w:val="000C39AA"/>
    <w:rsid w:val="0019617A"/>
    <w:rsid w:val="002368A1"/>
    <w:rsid w:val="0027291F"/>
    <w:rsid w:val="002973D2"/>
    <w:rsid w:val="002F0241"/>
    <w:rsid w:val="00323E62"/>
    <w:rsid w:val="00377D2D"/>
    <w:rsid w:val="00430F88"/>
    <w:rsid w:val="00541EFA"/>
    <w:rsid w:val="00566E0D"/>
    <w:rsid w:val="0061561C"/>
    <w:rsid w:val="00616436"/>
    <w:rsid w:val="00634858"/>
    <w:rsid w:val="00664513"/>
    <w:rsid w:val="0069252C"/>
    <w:rsid w:val="006A26EA"/>
    <w:rsid w:val="00787A9B"/>
    <w:rsid w:val="00840A6A"/>
    <w:rsid w:val="0086644B"/>
    <w:rsid w:val="008839F3"/>
    <w:rsid w:val="008B3036"/>
    <w:rsid w:val="008E39F0"/>
    <w:rsid w:val="00903749"/>
    <w:rsid w:val="00997386"/>
    <w:rsid w:val="009B2752"/>
    <w:rsid w:val="009E0053"/>
    <w:rsid w:val="009E2218"/>
    <w:rsid w:val="00A2177C"/>
    <w:rsid w:val="00A90582"/>
    <w:rsid w:val="00AB5ABD"/>
    <w:rsid w:val="00B70183"/>
    <w:rsid w:val="00C370B4"/>
    <w:rsid w:val="00CC1261"/>
    <w:rsid w:val="00D52A4F"/>
    <w:rsid w:val="00DA2FA5"/>
    <w:rsid w:val="00F955EF"/>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785"/>
  <w15:docId w15:val="{BED8FA63-80E8-4AFB-BE1C-A059C62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62"/>
    <w:pPr>
      <w:ind w:left="720"/>
      <w:contextualSpacing/>
    </w:pPr>
  </w:style>
  <w:style w:type="paragraph" w:styleId="FootnoteText">
    <w:name w:val="footnote text"/>
    <w:basedOn w:val="Normal"/>
    <w:link w:val="FootnoteTextChar"/>
    <w:uiPriority w:val="99"/>
    <w:semiHidden/>
    <w:unhideWhenUsed/>
    <w:rsid w:val="000C3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9AA"/>
    <w:rPr>
      <w:sz w:val="20"/>
      <w:szCs w:val="20"/>
    </w:rPr>
  </w:style>
  <w:style w:type="character" w:styleId="FootnoteReference">
    <w:name w:val="footnote reference"/>
    <w:basedOn w:val="DefaultParagraphFont"/>
    <w:uiPriority w:val="99"/>
    <w:semiHidden/>
    <w:unhideWhenUsed/>
    <w:rsid w:val="000C39AA"/>
    <w:rPr>
      <w:vertAlign w:val="superscript"/>
    </w:rPr>
  </w:style>
  <w:style w:type="paragraph" w:styleId="Header">
    <w:name w:val="header"/>
    <w:basedOn w:val="Normal"/>
    <w:link w:val="HeaderChar"/>
    <w:uiPriority w:val="99"/>
    <w:unhideWhenUsed/>
    <w:rsid w:val="009B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52"/>
  </w:style>
  <w:style w:type="paragraph" w:styleId="Footer">
    <w:name w:val="footer"/>
    <w:basedOn w:val="Normal"/>
    <w:link w:val="FooterChar"/>
    <w:uiPriority w:val="99"/>
    <w:unhideWhenUsed/>
    <w:rsid w:val="009B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1561">
      <w:bodyDiv w:val="1"/>
      <w:marLeft w:val="0"/>
      <w:marRight w:val="0"/>
      <w:marTop w:val="0"/>
      <w:marBottom w:val="0"/>
      <w:divBdr>
        <w:top w:val="none" w:sz="0" w:space="0" w:color="auto"/>
        <w:left w:val="none" w:sz="0" w:space="0" w:color="auto"/>
        <w:bottom w:val="none" w:sz="0" w:space="0" w:color="auto"/>
        <w:right w:val="none" w:sz="0" w:space="0" w:color="auto"/>
      </w:divBdr>
    </w:div>
    <w:div w:id="1100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D84D-2936-4357-AB39-2377FA60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19015CFC</Template>
  <TotalTime>21</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 Debra R.</dc:creator>
  <cp:lastModifiedBy>Kunkel, Hope</cp:lastModifiedBy>
  <cp:revision>11</cp:revision>
  <cp:lastPrinted>2018-12-04T13:59:00Z</cp:lastPrinted>
  <dcterms:created xsi:type="dcterms:W3CDTF">2019-09-19T19:05:00Z</dcterms:created>
  <dcterms:modified xsi:type="dcterms:W3CDTF">2020-02-07T17:20:00Z</dcterms:modified>
</cp:coreProperties>
</file>