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3116" w14:textId="77777777" w:rsidR="00151D4F" w:rsidRDefault="00151D4F" w:rsidP="00C672E9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688DE2E1" w14:textId="77636F7F" w:rsidR="00C672E9" w:rsidRPr="00C672E9" w:rsidRDefault="00C672E9" w:rsidP="00C672E9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To</w:t>
      </w:r>
      <w:r w:rsidRPr="00C672E9">
        <w:rPr>
          <w:rFonts w:ascii="Calibri" w:hAnsi="Calibri" w:cs="Calibri"/>
          <w:b/>
          <w:bCs/>
          <w:u w:val="single"/>
        </w:rPr>
        <w:t xml:space="preserve"> Receivership &amp; Insolvency (E) Task Force</w:t>
      </w:r>
      <w:r>
        <w:rPr>
          <w:rFonts w:ascii="Calibri" w:hAnsi="Calibri" w:cs="Calibri"/>
          <w:b/>
          <w:bCs/>
          <w:u w:val="single"/>
        </w:rPr>
        <w:t xml:space="preserve"> Members, Interested Regulators and Interested Parties:</w:t>
      </w:r>
    </w:p>
    <w:p w14:paraId="49FA9B5A" w14:textId="54404476" w:rsidR="00DD40CB" w:rsidRPr="00DD40CB" w:rsidRDefault="00C672E9" w:rsidP="00C672E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Feedback is requested on </w:t>
      </w:r>
      <w:r w:rsidR="00DD40CB" w:rsidRPr="00DD40CB">
        <w:rPr>
          <w:rFonts w:ascii="Calibri" w:hAnsi="Calibri" w:cs="Calibri"/>
        </w:rPr>
        <w:t xml:space="preserve">the following questions related to </w:t>
      </w:r>
      <w:r w:rsidR="00DD40CB">
        <w:rPr>
          <w:rFonts w:ascii="Calibri" w:hAnsi="Calibri" w:cs="Calibri"/>
        </w:rPr>
        <w:t>the handling of F</w:t>
      </w:r>
      <w:r>
        <w:rPr>
          <w:rFonts w:ascii="Calibri" w:hAnsi="Calibri" w:cs="Calibri"/>
        </w:rPr>
        <w:t xml:space="preserve">unding </w:t>
      </w:r>
      <w:r w:rsidR="00DD40CB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greement </w:t>
      </w:r>
      <w:r w:rsidR="00DD40CB">
        <w:rPr>
          <w:rFonts w:ascii="Calibri" w:hAnsi="Calibri" w:cs="Calibri"/>
        </w:rPr>
        <w:t>B</w:t>
      </w:r>
      <w:r>
        <w:rPr>
          <w:rFonts w:ascii="Calibri" w:hAnsi="Calibri" w:cs="Calibri"/>
        </w:rPr>
        <w:t>acked Notes,</w:t>
      </w:r>
      <w:r w:rsidR="00DD40CB">
        <w:rPr>
          <w:rFonts w:ascii="Calibri" w:hAnsi="Calibri" w:cs="Calibri"/>
        </w:rPr>
        <w:t xml:space="preserve"> similar structures and the underlying notes in</w:t>
      </w:r>
      <w:r w:rsidR="00DD40CB" w:rsidRPr="00DD40CB">
        <w:rPr>
          <w:rFonts w:ascii="Calibri" w:hAnsi="Calibri" w:cs="Calibri"/>
        </w:rPr>
        <w:t xml:space="preserve"> receivership and insolvency</w:t>
      </w:r>
      <w:r w:rsidR="00DD40CB">
        <w:rPr>
          <w:rFonts w:ascii="Calibri" w:hAnsi="Calibri" w:cs="Calibri"/>
        </w:rPr>
        <w:t>.</w:t>
      </w:r>
      <w:r w:rsidR="00DD40CB" w:rsidRPr="00DD40CB">
        <w:rPr>
          <w:rFonts w:ascii="Calibri" w:hAnsi="Calibri" w:cs="Calibri"/>
        </w:rPr>
        <w:t xml:space="preserve"> </w:t>
      </w:r>
      <w:r w:rsidR="00A7190D">
        <w:rPr>
          <w:rFonts w:ascii="Calibri" w:hAnsi="Calibri" w:cs="Calibri"/>
        </w:rPr>
        <w:t xml:space="preserve">Please also refer to the Macroprudential (E) Working Group </w:t>
      </w:r>
      <w:r w:rsidR="009B1734">
        <w:rPr>
          <w:rFonts w:ascii="Calibri" w:hAnsi="Calibri" w:cs="Calibri"/>
        </w:rPr>
        <w:t xml:space="preserve">referral </w:t>
      </w:r>
      <w:r w:rsidR="00A7190D">
        <w:rPr>
          <w:rFonts w:ascii="Calibri" w:hAnsi="Calibri" w:cs="Calibri"/>
        </w:rPr>
        <w:t>and other materials provided on th</w:t>
      </w:r>
      <w:r w:rsidR="00E615C5">
        <w:rPr>
          <w:rFonts w:ascii="Calibri" w:hAnsi="Calibri" w:cs="Calibri"/>
        </w:rPr>
        <w:t>is</w:t>
      </w:r>
      <w:r w:rsidR="00A7190D">
        <w:rPr>
          <w:rFonts w:ascii="Calibri" w:hAnsi="Calibri" w:cs="Calibri"/>
        </w:rPr>
        <w:t xml:space="preserve"> topic on the Task Force’s webpage </w:t>
      </w:r>
      <w:hyperlink r:id="rId11" w:history="1">
        <w:r w:rsidR="00E20B02" w:rsidRPr="001837A0">
          <w:rPr>
            <w:rStyle w:val="Hyperlink"/>
            <w:rFonts w:ascii="Calibri" w:hAnsi="Calibri" w:cs="Calibri"/>
          </w:rPr>
          <w:t>https://content.naic.org/committees/e/receivership-insolvency-tf</w:t>
        </w:r>
      </w:hyperlink>
      <w:r w:rsidR="00E20B02">
        <w:rPr>
          <w:rFonts w:ascii="Calibri" w:hAnsi="Calibri" w:cs="Calibri"/>
        </w:rPr>
        <w:t xml:space="preserve">. </w:t>
      </w:r>
    </w:p>
    <w:p w14:paraId="005A8D7B" w14:textId="77777777" w:rsidR="00DD40CB" w:rsidRDefault="00DD40CB" w:rsidP="00C672E9">
      <w:pPr>
        <w:pStyle w:val="ListParagraph"/>
        <w:spacing w:after="0" w:line="240" w:lineRule="auto"/>
        <w:ind w:left="0"/>
        <w:contextualSpacing w:val="0"/>
        <w:jc w:val="both"/>
        <w:rPr>
          <w:rStyle w:val="normaltextrun"/>
          <w:rFonts w:ascii="Calibri" w:hAnsi="Calibri" w:cs="Calibri"/>
          <w:i/>
          <w:iCs/>
        </w:rPr>
      </w:pPr>
    </w:p>
    <w:p w14:paraId="0D3D79A3" w14:textId="4A68914A" w:rsidR="00DD40CB" w:rsidRDefault="00C672E9" w:rsidP="00C672E9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Comments are due to </w:t>
      </w:r>
      <w:hyperlink r:id="rId12" w:history="1">
        <w:r w:rsidRPr="001837A0">
          <w:rPr>
            <w:rStyle w:val="Hyperlink"/>
            <w:rFonts w:ascii="Calibri" w:hAnsi="Calibri" w:cs="Calibri"/>
          </w:rPr>
          <w:t>jkoenigsman@naic.org</w:t>
        </w:r>
      </w:hyperlink>
      <w:r>
        <w:rPr>
          <w:rFonts w:ascii="Calibri" w:hAnsi="Calibri" w:cs="Calibri"/>
        </w:rPr>
        <w:t xml:space="preserve"> by </w:t>
      </w:r>
      <w:r w:rsidR="001B516E">
        <w:rPr>
          <w:rFonts w:ascii="Calibri" w:hAnsi="Calibri" w:cs="Calibri"/>
        </w:rPr>
        <w:t>May 20, 2026</w:t>
      </w:r>
      <w:r>
        <w:rPr>
          <w:rFonts w:ascii="Calibri" w:hAnsi="Calibri" w:cs="Calibri"/>
        </w:rPr>
        <w:t>.</w:t>
      </w:r>
    </w:p>
    <w:p w14:paraId="4C73BCA2" w14:textId="77777777" w:rsidR="00C672E9" w:rsidRPr="00DD40CB" w:rsidRDefault="00C672E9" w:rsidP="00C672E9">
      <w:pPr>
        <w:spacing w:after="0" w:line="240" w:lineRule="auto"/>
        <w:jc w:val="both"/>
        <w:rPr>
          <w:rFonts w:ascii="Calibri" w:hAnsi="Calibri" w:cs="Calibri"/>
        </w:rPr>
      </w:pPr>
    </w:p>
    <w:p w14:paraId="3976371B" w14:textId="289AA045" w:rsidR="00DD40CB" w:rsidRDefault="00DD40CB" w:rsidP="00C672E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Style w:val="normaltextrun"/>
          <w:rFonts w:ascii="Calibri" w:hAnsi="Calibri" w:cs="Calibri"/>
        </w:rPr>
      </w:pPr>
      <w:r w:rsidRPr="00DD40CB">
        <w:rPr>
          <w:rStyle w:val="normaltextrun"/>
          <w:rFonts w:ascii="Calibri" w:hAnsi="Calibri" w:cs="Calibri"/>
        </w:rPr>
        <w:t xml:space="preserve">How does </w:t>
      </w:r>
      <w:r w:rsidR="00C1515A">
        <w:rPr>
          <w:rStyle w:val="normaltextrun"/>
          <w:rFonts w:ascii="Calibri" w:hAnsi="Calibri" w:cs="Calibri"/>
        </w:rPr>
        <w:t>your</w:t>
      </w:r>
      <w:r w:rsidRPr="00DD40CB">
        <w:rPr>
          <w:rStyle w:val="normaltextrun"/>
          <w:rFonts w:ascii="Calibri" w:hAnsi="Calibri" w:cs="Calibri"/>
        </w:rPr>
        <w:t xml:space="preserve"> state interpret </w:t>
      </w:r>
      <w:r w:rsidR="00C1515A">
        <w:rPr>
          <w:rStyle w:val="normaltextrun"/>
          <w:rFonts w:ascii="Calibri" w:hAnsi="Calibri" w:cs="Calibri"/>
        </w:rPr>
        <w:t>your</w:t>
      </w:r>
      <w:r w:rsidRPr="00DD40CB">
        <w:rPr>
          <w:rStyle w:val="normaltextrun"/>
          <w:rFonts w:ascii="Calibri" w:hAnsi="Calibri" w:cs="Calibri"/>
        </w:rPr>
        <w:t xml:space="preserve"> state’s priority of claims provision</w:t>
      </w:r>
      <w:r w:rsidR="00014204">
        <w:rPr>
          <w:rStyle w:val="normaltextrun"/>
          <w:rFonts w:ascii="Calibri" w:hAnsi="Calibri" w:cs="Calibri"/>
        </w:rPr>
        <w:t xml:space="preserve"> within your receivership law</w:t>
      </w:r>
      <w:r w:rsidRPr="00DD40CB">
        <w:rPr>
          <w:rStyle w:val="normaltextrun"/>
          <w:rFonts w:ascii="Calibri" w:hAnsi="Calibri" w:cs="Calibri"/>
        </w:rPr>
        <w:t xml:space="preserve"> </w:t>
      </w:r>
      <w:proofErr w:type="gramStart"/>
      <w:r w:rsidRPr="00DD40CB">
        <w:rPr>
          <w:rStyle w:val="normaltextrun"/>
          <w:rFonts w:ascii="Calibri" w:hAnsi="Calibri" w:cs="Calibri"/>
        </w:rPr>
        <w:t>with regard to</w:t>
      </w:r>
      <w:proofErr w:type="gramEnd"/>
      <w:r w:rsidRPr="00DD40CB">
        <w:rPr>
          <w:rStyle w:val="normaltextrun"/>
          <w:rFonts w:ascii="Calibri" w:hAnsi="Calibri" w:cs="Calibri"/>
        </w:rPr>
        <w:t xml:space="preserve"> FABNs and similar structures</w:t>
      </w:r>
      <w:r w:rsidR="00A33B4A">
        <w:rPr>
          <w:rStyle w:val="normaltextrun"/>
          <w:rFonts w:ascii="Calibri" w:hAnsi="Calibri" w:cs="Calibri"/>
        </w:rPr>
        <w:t>.</w:t>
      </w:r>
      <w:r w:rsidRPr="00DD40CB">
        <w:rPr>
          <w:rStyle w:val="normaltextrun"/>
          <w:rFonts w:ascii="Calibri" w:hAnsi="Calibri" w:cs="Calibri"/>
        </w:rPr>
        <w:t xml:space="preserve"> </w:t>
      </w:r>
      <w:r w:rsidR="00A33B4A">
        <w:rPr>
          <w:rStyle w:val="normaltextrun"/>
          <w:rFonts w:ascii="Calibri" w:hAnsi="Calibri" w:cs="Calibri"/>
        </w:rPr>
        <w:t>For example,</w:t>
      </w:r>
      <w:r w:rsidRPr="00DD40CB">
        <w:rPr>
          <w:rStyle w:val="normaltextrun"/>
          <w:rFonts w:ascii="Calibri" w:hAnsi="Calibri" w:cs="Calibri"/>
        </w:rPr>
        <w:t xml:space="preserve"> in which class of claims would FABNs or similar structures fall</w:t>
      </w:r>
      <w:r w:rsidR="005E59AD">
        <w:rPr>
          <w:rStyle w:val="normaltextrun"/>
          <w:rFonts w:ascii="Calibri" w:hAnsi="Calibri" w:cs="Calibri"/>
        </w:rPr>
        <w:t>;</w:t>
      </w:r>
      <w:r w:rsidR="00856A42">
        <w:rPr>
          <w:rStyle w:val="normaltextrun"/>
          <w:rFonts w:ascii="Calibri" w:hAnsi="Calibri" w:cs="Calibri"/>
        </w:rPr>
        <w:t xml:space="preserve"> how would collateral held in the trust account be </w:t>
      </w:r>
      <w:r w:rsidR="00A33B4A">
        <w:rPr>
          <w:rStyle w:val="normaltextrun"/>
          <w:rFonts w:ascii="Calibri" w:hAnsi="Calibri" w:cs="Calibri"/>
        </w:rPr>
        <w:t>handled</w:t>
      </w:r>
      <w:r w:rsidR="00974588">
        <w:rPr>
          <w:rStyle w:val="normaltextrun"/>
          <w:rFonts w:ascii="Calibri" w:hAnsi="Calibri" w:cs="Calibri"/>
        </w:rPr>
        <w:t xml:space="preserve">; </w:t>
      </w:r>
      <w:r w:rsidR="005E59AD">
        <w:rPr>
          <w:rStyle w:val="normaltextrun"/>
          <w:rFonts w:ascii="Calibri" w:hAnsi="Calibri" w:cs="Calibri"/>
        </w:rPr>
        <w:t>are funding agreements considered policies</w:t>
      </w:r>
      <w:r w:rsidRPr="00DD40CB">
        <w:rPr>
          <w:rStyle w:val="normaltextrun"/>
          <w:rFonts w:ascii="Calibri" w:hAnsi="Calibri" w:cs="Calibri"/>
        </w:rPr>
        <w:t>?</w:t>
      </w:r>
    </w:p>
    <w:p w14:paraId="687DCECC" w14:textId="77777777" w:rsidR="00C672E9" w:rsidRPr="00DD40CB" w:rsidRDefault="00C672E9" w:rsidP="00C672E9">
      <w:pPr>
        <w:pStyle w:val="ListParagraph"/>
        <w:spacing w:after="0" w:line="240" w:lineRule="auto"/>
        <w:contextualSpacing w:val="0"/>
        <w:jc w:val="both"/>
        <w:rPr>
          <w:rStyle w:val="normaltextrun"/>
          <w:rFonts w:ascii="Calibri" w:hAnsi="Calibri" w:cs="Calibri"/>
        </w:rPr>
      </w:pPr>
    </w:p>
    <w:p w14:paraId="077EAA2D" w14:textId="19448E6A" w:rsidR="00DD40CB" w:rsidRPr="00DD40CB" w:rsidRDefault="00F6541D" w:rsidP="00C672E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H</w:t>
      </w:r>
      <w:r w:rsidR="00DD40CB" w:rsidRPr="00DD40CB">
        <w:rPr>
          <w:rStyle w:val="normaltextrun"/>
          <w:rFonts w:ascii="Calibri" w:hAnsi="Calibri" w:cs="Calibri"/>
        </w:rPr>
        <w:t xml:space="preserve">ow </w:t>
      </w:r>
      <w:r>
        <w:rPr>
          <w:rStyle w:val="normaltextrun"/>
          <w:rFonts w:ascii="Calibri" w:hAnsi="Calibri" w:cs="Calibri"/>
        </w:rPr>
        <w:t xml:space="preserve">would </w:t>
      </w:r>
      <w:r w:rsidR="00DD40CB" w:rsidRPr="00DD40CB">
        <w:rPr>
          <w:rStyle w:val="normaltextrun"/>
          <w:rFonts w:ascii="Calibri" w:hAnsi="Calibri" w:cs="Calibri"/>
        </w:rPr>
        <w:t>the underlying Notes be handled under your state’s receivership laws?</w:t>
      </w:r>
      <w:r w:rsidR="00F17567">
        <w:rPr>
          <w:rStyle w:val="normaltextrun"/>
          <w:rFonts w:ascii="Calibri" w:hAnsi="Calibri" w:cs="Calibri"/>
        </w:rPr>
        <w:t xml:space="preserve"> </w:t>
      </w:r>
      <w:r w:rsidR="00A33B4A">
        <w:rPr>
          <w:rStyle w:val="normaltextrun"/>
          <w:rFonts w:ascii="Calibri" w:hAnsi="Calibri" w:cs="Calibri"/>
        </w:rPr>
        <w:t>For example, w</w:t>
      </w:r>
      <w:r w:rsidR="00F17567">
        <w:rPr>
          <w:rStyle w:val="normaltextrun"/>
          <w:rFonts w:ascii="Calibri" w:hAnsi="Calibri" w:cs="Calibri"/>
        </w:rPr>
        <w:t xml:space="preserve">ill receivers be required to continue to fund </w:t>
      </w:r>
      <w:r w:rsidR="00FF0584">
        <w:rPr>
          <w:rStyle w:val="normaltextrun"/>
          <w:rFonts w:ascii="Calibri" w:hAnsi="Calibri" w:cs="Calibri"/>
        </w:rPr>
        <w:t>the executory contract?</w:t>
      </w:r>
    </w:p>
    <w:p w14:paraId="091DFFCD" w14:textId="77777777" w:rsidR="00DD40CB" w:rsidRPr="00DD40CB" w:rsidRDefault="00DD40CB" w:rsidP="00C672E9">
      <w:pPr>
        <w:pStyle w:val="ListParagraph"/>
        <w:spacing w:after="0" w:line="240" w:lineRule="auto"/>
        <w:contextualSpacing w:val="0"/>
        <w:jc w:val="both"/>
        <w:rPr>
          <w:rStyle w:val="normaltextrun"/>
          <w:rFonts w:ascii="Calibri" w:hAnsi="Calibri" w:cs="Calibri"/>
        </w:rPr>
      </w:pPr>
    </w:p>
    <w:p w14:paraId="5DFB45C3" w14:textId="4B9BEF58" w:rsidR="00DD40CB" w:rsidRPr="00DD40CB" w:rsidRDefault="00DD40CB" w:rsidP="00C672E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Style w:val="normaltextrun"/>
          <w:rFonts w:ascii="Calibri" w:hAnsi="Calibri" w:cs="Calibri"/>
        </w:rPr>
      </w:pPr>
      <w:r w:rsidRPr="00DD40CB">
        <w:rPr>
          <w:rStyle w:val="normaltextrun"/>
          <w:rFonts w:ascii="Calibri" w:hAnsi="Calibri" w:cs="Calibri"/>
        </w:rPr>
        <w:t xml:space="preserve">How do we interpret IRMA’s priority of claims for </w:t>
      </w:r>
      <w:r w:rsidR="002E4FC8" w:rsidRPr="00DD40CB">
        <w:rPr>
          <w:rStyle w:val="normaltextrun"/>
          <w:rFonts w:ascii="Calibri" w:hAnsi="Calibri" w:cs="Calibri"/>
        </w:rPr>
        <w:t>FABNs or similar structures</w:t>
      </w:r>
      <w:r w:rsidRPr="00DD40CB">
        <w:rPr>
          <w:rStyle w:val="normaltextrun"/>
          <w:rFonts w:ascii="Calibri" w:hAnsi="Calibri" w:cs="Calibri"/>
        </w:rPr>
        <w:t xml:space="preserve"> – i.e., is it different from what state ha</w:t>
      </w:r>
      <w:r w:rsidR="000F1947">
        <w:rPr>
          <w:rStyle w:val="normaltextrun"/>
          <w:rFonts w:ascii="Calibri" w:hAnsi="Calibri" w:cs="Calibri"/>
        </w:rPr>
        <w:t xml:space="preserve">s </w:t>
      </w:r>
      <w:r w:rsidRPr="00DD40CB">
        <w:rPr>
          <w:rStyle w:val="normaltextrun"/>
          <w:rFonts w:ascii="Calibri" w:hAnsi="Calibri" w:cs="Calibri"/>
        </w:rPr>
        <w:t>adopted?</w:t>
      </w:r>
    </w:p>
    <w:p w14:paraId="7C359A37" w14:textId="77777777" w:rsidR="00DD40CB" w:rsidRPr="00DD40CB" w:rsidRDefault="00DD40CB" w:rsidP="00C672E9">
      <w:pPr>
        <w:pStyle w:val="ListParagraph"/>
        <w:spacing w:after="0" w:line="240" w:lineRule="auto"/>
        <w:contextualSpacing w:val="0"/>
        <w:jc w:val="both"/>
        <w:rPr>
          <w:rStyle w:val="normaltextrun"/>
          <w:rFonts w:ascii="Calibri" w:hAnsi="Calibri" w:cs="Calibri"/>
        </w:rPr>
      </w:pPr>
    </w:p>
    <w:p w14:paraId="0BB033F1" w14:textId="71DA3FC2" w:rsidR="00DD40CB" w:rsidRPr="00DD40CB" w:rsidRDefault="00810C31" w:rsidP="00C672E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If you have</w:t>
      </w:r>
      <w:r w:rsidR="00DD40CB" w:rsidRPr="00DD40CB">
        <w:rPr>
          <w:rStyle w:val="normaltextrun"/>
          <w:rFonts w:ascii="Calibri" w:hAnsi="Calibri" w:cs="Calibri"/>
        </w:rPr>
        <w:t xml:space="preserve"> experience in dealing with FABNs in a receivership</w:t>
      </w:r>
      <w:r>
        <w:rPr>
          <w:rStyle w:val="normaltextrun"/>
          <w:rFonts w:ascii="Calibri" w:hAnsi="Calibri" w:cs="Calibri"/>
        </w:rPr>
        <w:t xml:space="preserve">, </w:t>
      </w:r>
      <w:r w:rsidR="000F1947">
        <w:rPr>
          <w:rStyle w:val="normaltextrun"/>
          <w:rFonts w:ascii="Calibri" w:hAnsi="Calibri" w:cs="Calibri"/>
        </w:rPr>
        <w:t>describe</w:t>
      </w:r>
      <w:r>
        <w:rPr>
          <w:rStyle w:val="normaltextrun"/>
          <w:rFonts w:ascii="Calibri" w:hAnsi="Calibri" w:cs="Calibri"/>
        </w:rPr>
        <w:t xml:space="preserve"> </w:t>
      </w:r>
      <w:r w:rsidR="00DD40CB" w:rsidRPr="00DD40CB">
        <w:rPr>
          <w:rStyle w:val="normaltextrun"/>
          <w:rFonts w:ascii="Calibri" w:hAnsi="Calibri" w:cs="Calibri"/>
        </w:rPr>
        <w:t xml:space="preserve">how </w:t>
      </w:r>
      <w:r w:rsidR="000F1947">
        <w:rPr>
          <w:rStyle w:val="normaltextrun"/>
          <w:rFonts w:ascii="Calibri" w:hAnsi="Calibri" w:cs="Calibri"/>
        </w:rPr>
        <w:t xml:space="preserve">it </w:t>
      </w:r>
      <w:r w:rsidR="00DD40CB" w:rsidRPr="00DD40CB">
        <w:rPr>
          <w:rStyle w:val="normaltextrun"/>
          <w:rFonts w:ascii="Calibri" w:hAnsi="Calibri" w:cs="Calibri"/>
        </w:rPr>
        <w:t>was handled</w:t>
      </w:r>
      <w:r w:rsidR="000F1947">
        <w:rPr>
          <w:rStyle w:val="normaltextrun"/>
          <w:rFonts w:ascii="Calibri" w:hAnsi="Calibri" w:cs="Calibri"/>
        </w:rPr>
        <w:t xml:space="preserve"> or any challenges</w:t>
      </w:r>
      <w:r w:rsidR="00DD40CB" w:rsidRPr="00DD40CB">
        <w:rPr>
          <w:rStyle w:val="normaltextrun"/>
          <w:rFonts w:ascii="Calibri" w:hAnsi="Calibri" w:cs="Calibri"/>
        </w:rPr>
        <w:t>?</w:t>
      </w:r>
    </w:p>
    <w:p w14:paraId="184E66D2" w14:textId="77777777" w:rsidR="00DD40CB" w:rsidRPr="00DD40CB" w:rsidRDefault="00DD40CB" w:rsidP="00C672E9">
      <w:pPr>
        <w:pStyle w:val="ListParagraph"/>
        <w:spacing w:after="0" w:line="240" w:lineRule="auto"/>
        <w:contextualSpacing w:val="0"/>
        <w:jc w:val="both"/>
        <w:rPr>
          <w:rStyle w:val="normaltextrun"/>
          <w:rFonts w:ascii="Calibri" w:hAnsi="Calibri" w:cs="Calibri"/>
        </w:rPr>
      </w:pPr>
    </w:p>
    <w:p w14:paraId="01C55FD3" w14:textId="2F6A33B5" w:rsidR="00DD40CB" w:rsidRPr="00DD40CB" w:rsidRDefault="00DD40CB" w:rsidP="00C672E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Style w:val="normaltextrun"/>
          <w:rFonts w:ascii="Calibri" w:hAnsi="Calibri" w:cs="Calibri"/>
        </w:rPr>
      </w:pPr>
      <w:r w:rsidRPr="00DD40CB">
        <w:rPr>
          <w:rStyle w:val="normaltextrun"/>
          <w:rFonts w:ascii="Calibri" w:hAnsi="Calibri" w:cs="Calibri"/>
        </w:rPr>
        <w:t>Are there any unique aspects of the various FABNs or how they are structured, that would result in different treatment?</w:t>
      </w:r>
    </w:p>
    <w:p w14:paraId="1B3171D5" w14:textId="77777777" w:rsidR="00DD40CB" w:rsidRPr="00DD40CB" w:rsidRDefault="00DD40CB" w:rsidP="00C672E9">
      <w:pPr>
        <w:pStyle w:val="ListParagraph"/>
        <w:spacing w:after="0" w:line="240" w:lineRule="auto"/>
        <w:contextualSpacing w:val="0"/>
        <w:jc w:val="both"/>
        <w:rPr>
          <w:rStyle w:val="normaltextrun"/>
          <w:rFonts w:ascii="Calibri" w:hAnsi="Calibri" w:cs="Calibri"/>
        </w:rPr>
      </w:pPr>
    </w:p>
    <w:p w14:paraId="0BF9C8C5" w14:textId="12CB4562" w:rsidR="00DD40CB" w:rsidRPr="00DD40CB" w:rsidRDefault="00DD40CB" w:rsidP="00C672E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Style w:val="normaltextrun"/>
          <w:rFonts w:ascii="Calibri" w:hAnsi="Calibri" w:cs="Calibri"/>
        </w:rPr>
      </w:pPr>
      <w:r w:rsidRPr="00DD40CB">
        <w:rPr>
          <w:rStyle w:val="normaltextrun"/>
          <w:rFonts w:ascii="Calibri" w:hAnsi="Calibri" w:cs="Calibri"/>
        </w:rPr>
        <w:t>Is there guaranty fund coverage?</w:t>
      </w:r>
    </w:p>
    <w:p w14:paraId="45070BDB" w14:textId="77777777" w:rsidR="00DD40CB" w:rsidRPr="00DD40CB" w:rsidRDefault="00DD40CB" w:rsidP="00C672E9">
      <w:pPr>
        <w:pStyle w:val="ListParagraph"/>
        <w:spacing w:after="0" w:line="240" w:lineRule="auto"/>
        <w:contextualSpacing w:val="0"/>
        <w:jc w:val="both"/>
        <w:rPr>
          <w:rStyle w:val="normaltextrun"/>
          <w:rFonts w:ascii="Calibri" w:hAnsi="Calibri" w:cs="Calibri"/>
        </w:rPr>
      </w:pPr>
    </w:p>
    <w:p w14:paraId="0897DA01" w14:textId="213CD209" w:rsidR="00DD40CB" w:rsidRPr="00DD40CB" w:rsidRDefault="00DD40CB" w:rsidP="00C672E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Style w:val="normaltextrun"/>
          <w:rFonts w:ascii="Calibri" w:hAnsi="Calibri" w:cs="Calibri"/>
        </w:rPr>
      </w:pPr>
      <w:r w:rsidRPr="00DD40CB">
        <w:rPr>
          <w:rStyle w:val="normaltextrun"/>
          <w:rFonts w:ascii="Calibri" w:hAnsi="Calibri" w:cs="Calibri"/>
        </w:rPr>
        <w:t xml:space="preserve">Are there concerns regarding sophisticated investors receiving the same priority of claims treatment as </w:t>
      </w:r>
      <w:r w:rsidR="00885369">
        <w:rPr>
          <w:rStyle w:val="normaltextrun"/>
          <w:rFonts w:ascii="Calibri" w:hAnsi="Calibri" w:cs="Calibri"/>
        </w:rPr>
        <w:t xml:space="preserve">“traditional” </w:t>
      </w:r>
      <w:r w:rsidRPr="00DD40CB">
        <w:rPr>
          <w:rStyle w:val="normaltextrun"/>
          <w:rFonts w:ascii="Calibri" w:hAnsi="Calibri" w:cs="Calibri"/>
        </w:rPr>
        <w:t>policyholders?</w:t>
      </w:r>
    </w:p>
    <w:p w14:paraId="5F0EE1F4" w14:textId="77777777" w:rsidR="00DD40CB" w:rsidRPr="00DD40CB" w:rsidRDefault="00DD40CB" w:rsidP="00C672E9">
      <w:pPr>
        <w:pStyle w:val="ListParagraph"/>
        <w:spacing w:after="0" w:line="240" w:lineRule="auto"/>
        <w:contextualSpacing w:val="0"/>
        <w:jc w:val="both"/>
        <w:rPr>
          <w:rStyle w:val="normaltextrun"/>
          <w:rFonts w:ascii="Calibri" w:hAnsi="Calibri" w:cs="Calibri"/>
        </w:rPr>
      </w:pPr>
    </w:p>
    <w:p w14:paraId="449317D1" w14:textId="41AD117B" w:rsidR="00DD40CB" w:rsidRPr="00DD40CB" w:rsidRDefault="00DD40CB" w:rsidP="00C672E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Style w:val="normaltextrun"/>
          <w:rFonts w:ascii="Calibri" w:hAnsi="Calibri" w:cs="Calibri"/>
        </w:rPr>
      </w:pPr>
      <w:r w:rsidRPr="00DD40CB">
        <w:rPr>
          <w:rStyle w:val="normaltextrun"/>
          <w:rFonts w:ascii="Calibri" w:hAnsi="Calibri" w:cs="Calibri"/>
        </w:rPr>
        <w:t xml:space="preserve">Any other comments </w:t>
      </w:r>
      <w:r>
        <w:rPr>
          <w:rStyle w:val="normaltextrun"/>
          <w:rFonts w:ascii="Calibri" w:hAnsi="Calibri" w:cs="Calibri"/>
        </w:rPr>
        <w:t>about</w:t>
      </w:r>
      <w:r w:rsidRPr="00DD40CB">
        <w:rPr>
          <w:rStyle w:val="normaltextrun"/>
          <w:rFonts w:ascii="Calibri" w:hAnsi="Calibri" w:cs="Calibri"/>
        </w:rPr>
        <w:t xml:space="preserve"> FABNs and similar financial instruments treatment along with (pari passu) “traditional” policyholders in a receivership or insolvency?</w:t>
      </w:r>
    </w:p>
    <w:p w14:paraId="53ED1990" w14:textId="77777777" w:rsidR="00DD40CB" w:rsidRPr="00DD40CB" w:rsidRDefault="00DD40CB" w:rsidP="00C672E9">
      <w:pPr>
        <w:pStyle w:val="ListParagraph"/>
        <w:spacing w:after="0" w:line="276" w:lineRule="auto"/>
        <w:jc w:val="both"/>
        <w:rPr>
          <w:rStyle w:val="normaltextrun"/>
          <w:rFonts w:ascii="Calibri" w:hAnsi="Calibri" w:cs="Calibri"/>
        </w:rPr>
      </w:pPr>
    </w:p>
    <w:p w14:paraId="5A05981A" w14:textId="58FF4453" w:rsidR="00DD40CB" w:rsidRPr="00DD40CB" w:rsidRDefault="00DD40CB" w:rsidP="00C672E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Style w:val="normaltextrun"/>
          <w:rFonts w:ascii="Calibri" w:hAnsi="Calibri" w:cs="Calibri"/>
        </w:rPr>
      </w:pPr>
      <w:r w:rsidRPr="00DD40CB">
        <w:rPr>
          <w:rStyle w:val="normaltextrun"/>
          <w:rFonts w:ascii="Calibri" w:hAnsi="Calibri" w:cs="Calibri"/>
        </w:rPr>
        <w:t>Any recommendations or conclusions for the Task Force’s consideration?</w:t>
      </w:r>
    </w:p>
    <w:p w14:paraId="39032E1A" w14:textId="77777777" w:rsidR="00837DC9" w:rsidRPr="00DD40CB" w:rsidRDefault="00837DC9" w:rsidP="00C672E9">
      <w:pPr>
        <w:jc w:val="both"/>
        <w:rPr>
          <w:rFonts w:ascii="Calibri" w:hAnsi="Calibri" w:cs="Calibri"/>
        </w:rPr>
      </w:pPr>
    </w:p>
    <w:p w14:paraId="2F5844B5" w14:textId="77777777" w:rsidR="00DD40CB" w:rsidRPr="00DD40CB" w:rsidRDefault="00DD40CB" w:rsidP="00C672E9">
      <w:pPr>
        <w:jc w:val="both"/>
        <w:rPr>
          <w:rFonts w:ascii="Calibri" w:hAnsi="Calibri" w:cs="Calibri"/>
        </w:rPr>
      </w:pPr>
    </w:p>
    <w:sectPr w:rsidR="00DD40CB" w:rsidRPr="00DD40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B758" w14:textId="77777777" w:rsidR="00407BCC" w:rsidRDefault="00407BCC" w:rsidP="00C1515A">
      <w:pPr>
        <w:spacing w:after="0" w:line="240" w:lineRule="auto"/>
      </w:pPr>
      <w:r>
        <w:separator/>
      </w:r>
    </w:p>
  </w:endnote>
  <w:endnote w:type="continuationSeparator" w:id="0">
    <w:p w14:paraId="7F59F02B" w14:textId="77777777" w:rsidR="00407BCC" w:rsidRDefault="00407BCC" w:rsidP="00C1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48CD" w14:textId="77777777" w:rsidR="00C1515A" w:rsidRDefault="00C15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3FB3" w14:textId="77777777" w:rsidR="00C1515A" w:rsidRDefault="00C15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F07D" w14:textId="77777777" w:rsidR="00C1515A" w:rsidRDefault="00C15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86A1" w14:textId="77777777" w:rsidR="00407BCC" w:rsidRDefault="00407BCC" w:rsidP="00C1515A">
      <w:pPr>
        <w:spacing w:after="0" w:line="240" w:lineRule="auto"/>
      </w:pPr>
      <w:r>
        <w:separator/>
      </w:r>
    </w:p>
  </w:footnote>
  <w:footnote w:type="continuationSeparator" w:id="0">
    <w:p w14:paraId="6F59B15E" w14:textId="77777777" w:rsidR="00407BCC" w:rsidRDefault="00407BCC" w:rsidP="00C15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7469" w14:textId="77777777" w:rsidR="00C1515A" w:rsidRDefault="00C15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BD8" w14:textId="2BAD5462" w:rsidR="00C1515A" w:rsidRDefault="00C151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FCF6" w14:textId="77777777" w:rsidR="00C1515A" w:rsidRDefault="00C15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C4F51"/>
    <w:multiLevelType w:val="hybridMultilevel"/>
    <w:tmpl w:val="0CD6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B4FAE"/>
    <w:multiLevelType w:val="hybridMultilevel"/>
    <w:tmpl w:val="01D6E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89387">
    <w:abstractNumId w:val="0"/>
  </w:num>
  <w:num w:numId="2" w16cid:durableId="1359433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CB"/>
    <w:rsid w:val="00014204"/>
    <w:rsid w:val="00024D0C"/>
    <w:rsid w:val="000C6E6A"/>
    <w:rsid w:val="000F1947"/>
    <w:rsid w:val="001141B3"/>
    <w:rsid w:val="00151D4F"/>
    <w:rsid w:val="00162FE4"/>
    <w:rsid w:val="001B516E"/>
    <w:rsid w:val="001C6562"/>
    <w:rsid w:val="002A20BB"/>
    <w:rsid w:val="002E4FC8"/>
    <w:rsid w:val="00407BCC"/>
    <w:rsid w:val="00415B61"/>
    <w:rsid w:val="00515D88"/>
    <w:rsid w:val="005E59AD"/>
    <w:rsid w:val="00810C31"/>
    <w:rsid w:val="00837DC9"/>
    <w:rsid w:val="00856A42"/>
    <w:rsid w:val="00885369"/>
    <w:rsid w:val="008877C8"/>
    <w:rsid w:val="008E3368"/>
    <w:rsid w:val="00974588"/>
    <w:rsid w:val="009B1734"/>
    <w:rsid w:val="009D510F"/>
    <w:rsid w:val="00A33B4A"/>
    <w:rsid w:val="00A63790"/>
    <w:rsid w:val="00A7190D"/>
    <w:rsid w:val="00A9083E"/>
    <w:rsid w:val="00B45977"/>
    <w:rsid w:val="00B62D77"/>
    <w:rsid w:val="00BD78F7"/>
    <w:rsid w:val="00C1515A"/>
    <w:rsid w:val="00C17171"/>
    <w:rsid w:val="00C672E9"/>
    <w:rsid w:val="00D64D1B"/>
    <w:rsid w:val="00DD40CB"/>
    <w:rsid w:val="00E20B02"/>
    <w:rsid w:val="00E615C5"/>
    <w:rsid w:val="00E81AE4"/>
    <w:rsid w:val="00EA5FF9"/>
    <w:rsid w:val="00F17567"/>
    <w:rsid w:val="00F6541D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58038"/>
  <w15:chartTrackingRefBased/>
  <w15:docId w15:val="{ED04A943-13E6-4975-A9F7-4101CC4C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0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0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0C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DD40CB"/>
  </w:style>
  <w:style w:type="character" w:styleId="Hyperlink">
    <w:name w:val="Hyperlink"/>
    <w:basedOn w:val="DefaultParagraphFont"/>
    <w:uiPriority w:val="99"/>
    <w:unhideWhenUsed/>
    <w:rsid w:val="00C672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2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5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15A"/>
  </w:style>
  <w:style w:type="paragraph" w:styleId="Footer">
    <w:name w:val="footer"/>
    <w:basedOn w:val="Normal"/>
    <w:link w:val="FooterChar"/>
    <w:uiPriority w:val="99"/>
    <w:unhideWhenUsed/>
    <w:rsid w:val="00C15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15A"/>
  </w:style>
  <w:style w:type="paragraph" w:styleId="Revision">
    <w:name w:val="Revision"/>
    <w:hidden/>
    <w:uiPriority w:val="99"/>
    <w:semiHidden/>
    <w:rsid w:val="00EA5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koenigsman@naic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ent.naic.org/committees/e/receivership-insolvency-t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8647894A4B847963D2E22C2E3790C" ma:contentTypeVersion="8" ma:contentTypeDescription="Create a new document." ma:contentTypeScope="" ma:versionID="b89887265cb630c1085c64acb4d71b9b">
  <xsd:schema xmlns:xsd="http://www.w3.org/2001/XMLSchema" xmlns:xs="http://www.w3.org/2001/XMLSchema" xmlns:p="http://schemas.microsoft.com/office/2006/metadata/properties" xmlns:ns2="3f2ed602-2a42-4749-82ce-7c284120e13f" targetNamespace="http://schemas.microsoft.com/office/2006/metadata/properties" ma:root="true" ma:fieldsID="1d908b5314df6d4fe723f431cede98fb" ns2:_="">
    <xsd:import namespace="3f2ed602-2a42-4749-82ce-7c284120e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d602-2a42-4749-82ce-7c284120e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B81E6-00C4-4F23-93BF-4D8E9E5AF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75C82A-A7F1-4D9D-826F-0BFBCA9A4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12D46F-E406-45AA-8E7B-82105998D7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F025BC-9C79-4A9C-8F20-FCDAD5E32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d602-2a42-4749-82ce-7c284120e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282</Words>
  <Characters>1651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Koenigsman, Jane</dc:creator>
  <cp:keywords/>
  <dc:description/>
  <cp:lastModifiedBy>Koenigsman, Jane</cp:lastModifiedBy>
  <cp:revision>29</cp:revision>
  <cp:lastPrinted>2026-04-20T14:29:00Z</cp:lastPrinted>
  <dcterms:created xsi:type="dcterms:W3CDTF">2026-04-01T18:31:00Z</dcterms:created>
  <dcterms:modified xsi:type="dcterms:W3CDTF">2026-04-20T19:38:00Z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0x0101008CE8647894A4B847963D2E22C2E3790C</vt:lpwstr>
  </property>
</Properties>
</file>