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DC" w:rsidRDefault="00D368F3">
      <w:pPr>
        <w:rPr>
          <w:b/>
        </w:rPr>
      </w:pPr>
      <w:r>
        <w:rPr>
          <w:b/>
        </w:rPr>
        <w:t xml:space="preserve">SURVEY 1:  </w:t>
      </w:r>
      <w:r w:rsidR="00960853" w:rsidRPr="00DB683E">
        <w:rPr>
          <w:b/>
        </w:rPr>
        <w:t>State Law Survey –</w:t>
      </w:r>
      <w:r>
        <w:rPr>
          <w:b/>
        </w:rPr>
        <w:t xml:space="preserve"> UETA Adoption/Additional </w:t>
      </w:r>
      <w:r w:rsidR="00960853" w:rsidRPr="00DB683E">
        <w:rPr>
          <w:b/>
        </w:rPr>
        <w:t>E</w:t>
      </w:r>
      <w:r w:rsidR="00DB683E">
        <w:rPr>
          <w:b/>
        </w:rPr>
        <w:t>-C</w:t>
      </w:r>
      <w:r w:rsidR="00960853" w:rsidRPr="00DB683E">
        <w:rPr>
          <w:b/>
        </w:rPr>
        <w:t>ommerce</w:t>
      </w:r>
      <w:r>
        <w:rPr>
          <w:b/>
        </w:rPr>
        <w:t xml:space="preserve"> Statutes</w:t>
      </w:r>
    </w:p>
    <w:p w:rsidR="00D368F3" w:rsidRDefault="00D368F3">
      <w:pPr>
        <w:rPr>
          <w:b/>
        </w:rPr>
      </w:pPr>
      <w:r>
        <w:rPr>
          <w:b/>
        </w:rPr>
        <w:t xml:space="preserve">Each jurisdiction is requested to provide the information requested in each heading for that jurisdiction. </w:t>
      </w:r>
      <w:r w:rsidR="008F70BA">
        <w:rPr>
          <w:b/>
        </w:rPr>
        <w:t xml:space="preserve">  </w:t>
      </w:r>
    </w:p>
    <w:p w:rsidR="00B84DEA" w:rsidRPr="00DB683E" w:rsidRDefault="00B84DEA">
      <w:pPr>
        <w:rPr>
          <w:b/>
        </w:rPr>
      </w:pPr>
    </w:p>
    <w:tbl>
      <w:tblPr>
        <w:tblStyle w:val="TableGrid"/>
        <w:tblW w:w="13225" w:type="dxa"/>
        <w:tblLook w:val="04A0" w:firstRow="1" w:lastRow="0" w:firstColumn="1" w:lastColumn="0" w:noHBand="0" w:noVBand="1"/>
      </w:tblPr>
      <w:tblGrid>
        <w:gridCol w:w="715"/>
        <w:gridCol w:w="1260"/>
        <w:gridCol w:w="2520"/>
        <w:gridCol w:w="1737"/>
        <w:gridCol w:w="2313"/>
        <w:gridCol w:w="4680"/>
      </w:tblGrid>
      <w:tr w:rsidR="00F72226" w:rsidTr="00DB683E">
        <w:tc>
          <w:tcPr>
            <w:tcW w:w="715" w:type="dxa"/>
          </w:tcPr>
          <w:p w:rsidR="00F72226" w:rsidRDefault="00F72226">
            <w:r>
              <w:t>State</w:t>
            </w:r>
          </w:p>
        </w:tc>
        <w:tc>
          <w:tcPr>
            <w:tcW w:w="1260" w:type="dxa"/>
          </w:tcPr>
          <w:p w:rsidR="00F72226" w:rsidRDefault="00960853">
            <w:r>
              <w:t xml:space="preserve">Date of </w:t>
            </w:r>
            <w:r w:rsidR="00F72226">
              <w:t>UETA Adoption</w:t>
            </w:r>
          </w:p>
        </w:tc>
        <w:tc>
          <w:tcPr>
            <w:tcW w:w="2520" w:type="dxa"/>
          </w:tcPr>
          <w:p w:rsidR="00F72226" w:rsidRDefault="00960853" w:rsidP="00960853">
            <w:r>
              <w:t xml:space="preserve">State specific deviations or exceptions to the </w:t>
            </w:r>
            <w:r w:rsidR="00F72226">
              <w:t xml:space="preserve">UETA </w:t>
            </w:r>
            <w:r w:rsidR="0095244C">
              <w:t xml:space="preserve">Model </w:t>
            </w:r>
            <w:r>
              <w:t>at enactment or by amendment (including a description and effective date)</w:t>
            </w:r>
            <w:r w:rsidR="008F70BA">
              <w:t>*</w:t>
            </w:r>
          </w:p>
        </w:tc>
        <w:tc>
          <w:tcPr>
            <w:tcW w:w="1737" w:type="dxa"/>
          </w:tcPr>
          <w:p w:rsidR="00F72226" w:rsidRDefault="00F72226">
            <w:r>
              <w:t>Other relevant state-wide laws</w:t>
            </w:r>
            <w:r w:rsidR="00960853">
              <w:t xml:space="preserve"> that impact e-commerce and electronic transactions</w:t>
            </w:r>
            <w:r w:rsidR="008F70BA">
              <w:t>*</w:t>
            </w:r>
          </w:p>
        </w:tc>
        <w:tc>
          <w:tcPr>
            <w:tcW w:w="2313" w:type="dxa"/>
          </w:tcPr>
          <w:p w:rsidR="00F72226" w:rsidRDefault="00F72226" w:rsidP="00960853">
            <w:r>
              <w:t xml:space="preserve">Other relevant </w:t>
            </w:r>
            <w:r w:rsidR="00960853">
              <w:t xml:space="preserve">laws specific to the business of </w:t>
            </w:r>
            <w:r>
              <w:t xml:space="preserve">insurance </w:t>
            </w:r>
            <w:r w:rsidR="00960853">
              <w:t>that impact e-commerce and electronic transactions</w:t>
            </w:r>
          </w:p>
        </w:tc>
        <w:tc>
          <w:tcPr>
            <w:tcW w:w="4680" w:type="dxa"/>
          </w:tcPr>
          <w:p w:rsidR="00F72226" w:rsidRDefault="00F72226">
            <w:r>
              <w:t>Insurance regulatory guidance, practice or decisions</w:t>
            </w:r>
            <w:r w:rsidR="00960853">
              <w:t xml:space="preserve"> of the DOI that impact the practice of e-commerce and electronic transactions in the state</w:t>
            </w:r>
          </w:p>
        </w:tc>
      </w:tr>
      <w:tr w:rsidR="00F72226" w:rsidTr="00DB683E">
        <w:tc>
          <w:tcPr>
            <w:tcW w:w="715" w:type="dxa"/>
          </w:tcPr>
          <w:p w:rsidR="00F72226" w:rsidRDefault="00F72226"/>
        </w:tc>
        <w:tc>
          <w:tcPr>
            <w:tcW w:w="1260" w:type="dxa"/>
          </w:tcPr>
          <w:p w:rsidR="00F72226" w:rsidRDefault="00F72226"/>
        </w:tc>
        <w:tc>
          <w:tcPr>
            <w:tcW w:w="2520" w:type="dxa"/>
          </w:tcPr>
          <w:p w:rsidR="00F72226" w:rsidRDefault="00F72226"/>
        </w:tc>
        <w:tc>
          <w:tcPr>
            <w:tcW w:w="1737" w:type="dxa"/>
          </w:tcPr>
          <w:p w:rsidR="00F72226" w:rsidRDefault="00F72226"/>
        </w:tc>
        <w:tc>
          <w:tcPr>
            <w:tcW w:w="2313" w:type="dxa"/>
          </w:tcPr>
          <w:p w:rsidR="00F72226" w:rsidRDefault="00F72226"/>
        </w:tc>
        <w:tc>
          <w:tcPr>
            <w:tcW w:w="4680" w:type="dxa"/>
          </w:tcPr>
          <w:p w:rsidR="00F72226" w:rsidRDefault="00F72226"/>
        </w:tc>
      </w:tr>
    </w:tbl>
    <w:p w:rsidR="00D368F3" w:rsidRDefault="00D368F3">
      <w:pPr>
        <w:rPr>
          <w:b/>
        </w:rPr>
      </w:pPr>
    </w:p>
    <w:p w:rsidR="008F70BA" w:rsidRDefault="008F70BA">
      <w:pPr>
        <w:rPr>
          <w:b/>
        </w:rPr>
      </w:pPr>
      <w:r>
        <w:rPr>
          <w:b/>
        </w:rPr>
        <w:t>*  For Departments – please provide such information on these points as you believe will be useful to the working group when addressing the legal framework applicable to the electronic transactions related to the business of insurance.</w:t>
      </w:r>
      <w:bookmarkStart w:id="0" w:name="_GoBack"/>
      <w:bookmarkEnd w:id="0"/>
    </w:p>
    <w:p w:rsidR="00D368F3" w:rsidRDefault="00D368F3">
      <w:pPr>
        <w:rPr>
          <w:b/>
        </w:rPr>
      </w:pPr>
    </w:p>
    <w:p w:rsidR="00F72226" w:rsidRDefault="00D368F3">
      <w:pPr>
        <w:rPr>
          <w:b/>
        </w:rPr>
      </w:pPr>
      <w:r>
        <w:rPr>
          <w:b/>
        </w:rPr>
        <w:t xml:space="preserve">SURVEY 2:  </w:t>
      </w:r>
      <w:r w:rsidR="00F72226" w:rsidRPr="00DB683E">
        <w:rPr>
          <w:b/>
        </w:rPr>
        <w:t>State Action Survey -  COVID Exceptions</w:t>
      </w:r>
    </w:p>
    <w:p w:rsidR="00D368F3" w:rsidRPr="00DB683E" w:rsidRDefault="00D368F3">
      <w:pPr>
        <w:rPr>
          <w:b/>
        </w:rPr>
      </w:pPr>
      <w:r>
        <w:rPr>
          <w:b/>
        </w:rPr>
        <w:t xml:space="preserve">Each jurisdiction is requested to provide the information for that jurisdiction.  We appreciate that not every exception may have been accompanied by bulletin or guide and may have involved enforcement discretion.  </w:t>
      </w:r>
    </w:p>
    <w:tbl>
      <w:tblPr>
        <w:tblStyle w:val="TableGrid"/>
        <w:tblW w:w="0" w:type="auto"/>
        <w:tblLook w:val="04A0" w:firstRow="1" w:lastRow="0" w:firstColumn="1" w:lastColumn="0" w:noHBand="0" w:noVBand="1"/>
      </w:tblPr>
      <w:tblGrid>
        <w:gridCol w:w="692"/>
        <w:gridCol w:w="1742"/>
        <w:gridCol w:w="1619"/>
        <w:gridCol w:w="2193"/>
        <w:gridCol w:w="2122"/>
        <w:gridCol w:w="1597"/>
        <w:gridCol w:w="1371"/>
        <w:gridCol w:w="1614"/>
      </w:tblGrid>
      <w:tr w:rsidR="00960853" w:rsidTr="00D368F3">
        <w:tc>
          <w:tcPr>
            <w:tcW w:w="692" w:type="dxa"/>
          </w:tcPr>
          <w:p w:rsidR="00960853" w:rsidRPr="00DB683E" w:rsidRDefault="00960853">
            <w:pPr>
              <w:rPr>
                <w:b/>
              </w:rPr>
            </w:pPr>
            <w:r w:rsidRPr="00DB683E">
              <w:rPr>
                <w:b/>
              </w:rPr>
              <w:t>State</w:t>
            </w:r>
          </w:p>
        </w:tc>
        <w:tc>
          <w:tcPr>
            <w:tcW w:w="1742" w:type="dxa"/>
          </w:tcPr>
          <w:p w:rsidR="00960853" w:rsidRPr="00960853" w:rsidRDefault="00960853">
            <w:pPr>
              <w:rPr>
                <w:b/>
              </w:rPr>
            </w:pPr>
            <w:r w:rsidRPr="00960853">
              <w:rPr>
                <w:b/>
              </w:rPr>
              <w:t xml:space="preserve">Exception: Action Allowed </w:t>
            </w:r>
          </w:p>
          <w:p w:rsidR="00960853" w:rsidRDefault="00960853"/>
        </w:tc>
        <w:tc>
          <w:tcPr>
            <w:tcW w:w="1619" w:type="dxa"/>
          </w:tcPr>
          <w:p w:rsidR="00960853" w:rsidRDefault="00960853" w:rsidP="00960853">
            <w:r w:rsidRPr="00960853">
              <w:rPr>
                <w:b/>
              </w:rPr>
              <w:t>Prohibition</w:t>
            </w:r>
            <w:r>
              <w:t xml:space="preserve"> (Identify the law that prohibited the action and required an exception)</w:t>
            </w:r>
          </w:p>
        </w:tc>
        <w:tc>
          <w:tcPr>
            <w:tcW w:w="2193" w:type="dxa"/>
          </w:tcPr>
          <w:p w:rsidR="00960853" w:rsidRPr="00960853" w:rsidRDefault="00960853">
            <w:pPr>
              <w:rPr>
                <w:b/>
              </w:rPr>
            </w:pPr>
            <w:r w:rsidRPr="00960853">
              <w:rPr>
                <w:b/>
              </w:rPr>
              <w:t xml:space="preserve">Basis for Allowance </w:t>
            </w:r>
          </w:p>
          <w:p w:rsidR="00960853" w:rsidRDefault="00960853">
            <w:r>
              <w:t xml:space="preserve">(Identify the legal authority relied upon to grant the exception, including whether it was dependent on the actions of the executive through the declaration of a state of emergency or </w:t>
            </w:r>
            <w:r>
              <w:lastRenderedPageBreak/>
              <w:t>other executive order)</w:t>
            </w:r>
          </w:p>
        </w:tc>
        <w:tc>
          <w:tcPr>
            <w:tcW w:w="2122" w:type="dxa"/>
          </w:tcPr>
          <w:p w:rsidR="00960853" w:rsidRDefault="00960853">
            <w:r w:rsidRPr="00960853">
              <w:rPr>
                <w:b/>
              </w:rPr>
              <w:lastRenderedPageBreak/>
              <w:t>Bulletin, guidance or other written communication</w:t>
            </w:r>
            <w:r>
              <w:t xml:space="preserve"> relating to the exception.  Note whether this was issued in response to requests or proactively.</w:t>
            </w:r>
          </w:p>
        </w:tc>
        <w:tc>
          <w:tcPr>
            <w:tcW w:w="1597" w:type="dxa"/>
          </w:tcPr>
          <w:p w:rsidR="00960853" w:rsidRPr="00960853" w:rsidRDefault="00960853">
            <w:pPr>
              <w:rPr>
                <w:b/>
              </w:rPr>
            </w:pPr>
            <w:r w:rsidRPr="00960853">
              <w:rPr>
                <w:b/>
              </w:rPr>
              <w:t>Current Status</w:t>
            </w:r>
          </w:p>
          <w:p w:rsidR="00960853" w:rsidRDefault="00960853" w:rsidP="00960853">
            <w:r>
              <w:t>(Does the exception remain in place; if not, why not?)</w:t>
            </w:r>
          </w:p>
        </w:tc>
        <w:tc>
          <w:tcPr>
            <w:tcW w:w="1371" w:type="dxa"/>
          </w:tcPr>
          <w:p w:rsidR="00960853" w:rsidRPr="00960853" w:rsidRDefault="00960853">
            <w:r w:rsidRPr="00960853">
              <w:rPr>
                <w:b/>
              </w:rPr>
              <w:t>Should the Exception be permanent in some form?</w:t>
            </w:r>
            <w:r>
              <w:t xml:space="preserve"> (Why or why not)</w:t>
            </w:r>
          </w:p>
        </w:tc>
        <w:tc>
          <w:tcPr>
            <w:tcW w:w="1614" w:type="dxa"/>
          </w:tcPr>
          <w:p w:rsidR="00960853" w:rsidRPr="00960853" w:rsidRDefault="00960853">
            <w:pPr>
              <w:rPr>
                <w:b/>
              </w:rPr>
            </w:pPr>
            <w:r w:rsidRPr="00960853">
              <w:rPr>
                <w:b/>
              </w:rPr>
              <w:t>Action Necessary to Continue</w:t>
            </w:r>
          </w:p>
          <w:p w:rsidR="00960853" w:rsidRDefault="00960853" w:rsidP="00960853">
            <w:r>
              <w:t xml:space="preserve">(What additional action – e.g. change in law or regulation -- would be necessary to make the </w:t>
            </w:r>
            <w:r>
              <w:lastRenderedPageBreak/>
              <w:t>exception permanent</w:t>
            </w:r>
          </w:p>
        </w:tc>
      </w:tr>
      <w:tr w:rsidR="00960853" w:rsidTr="00D368F3">
        <w:tc>
          <w:tcPr>
            <w:tcW w:w="692" w:type="dxa"/>
          </w:tcPr>
          <w:p w:rsidR="00960853" w:rsidRDefault="00960853"/>
        </w:tc>
        <w:tc>
          <w:tcPr>
            <w:tcW w:w="1742" w:type="dxa"/>
          </w:tcPr>
          <w:p w:rsidR="00960853" w:rsidRDefault="00960853"/>
        </w:tc>
        <w:tc>
          <w:tcPr>
            <w:tcW w:w="1619" w:type="dxa"/>
          </w:tcPr>
          <w:p w:rsidR="00960853" w:rsidRDefault="00960853"/>
        </w:tc>
        <w:tc>
          <w:tcPr>
            <w:tcW w:w="2193" w:type="dxa"/>
          </w:tcPr>
          <w:p w:rsidR="00960853" w:rsidRDefault="00960853"/>
        </w:tc>
        <w:tc>
          <w:tcPr>
            <w:tcW w:w="2122" w:type="dxa"/>
          </w:tcPr>
          <w:p w:rsidR="00960853" w:rsidRDefault="00960853"/>
        </w:tc>
        <w:tc>
          <w:tcPr>
            <w:tcW w:w="1597" w:type="dxa"/>
          </w:tcPr>
          <w:p w:rsidR="00960853" w:rsidRDefault="00960853"/>
        </w:tc>
        <w:tc>
          <w:tcPr>
            <w:tcW w:w="1371" w:type="dxa"/>
          </w:tcPr>
          <w:p w:rsidR="00960853" w:rsidRDefault="00960853"/>
        </w:tc>
        <w:tc>
          <w:tcPr>
            <w:tcW w:w="1614" w:type="dxa"/>
          </w:tcPr>
          <w:p w:rsidR="00960853" w:rsidRDefault="00960853"/>
        </w:tc>
      </w:tr>
      <w:tr w:rsidR="00960853" w:rsidTr="00D368F3">
        <w:tc>
          <w:tcPr>
            <w:tcW w:w="692" w:type="dxa"/>
          </w:tcPr>
          <w:p w:rsidR="00960853" w:rsidRDefault="00960853"/>
        </w:tc>
        <w:tc>
          <w:tcPr>
            <w:tcW w:w="1742" w:type="dxa"/>
          </w:tcPr>
          <w:p w:rsidR="00960853" w:rsidRDefault="00960853"/>
        </w:tc>
        <w:tc>
          <w:tcPr>
            <w:tcW w:w="1619" w:type="dxa"/>
          </w:tcPr>
          <w:p w:rsidR="00960853" w:rsidRDefault="00960853"/>
        </w:tc>
        <w:tc>
          <w:tcPr>
            <w:tcW w:w="2193" w:type="dxa"/>
          </w:tcPr>
          <w:p w:rsidR="00960853" w:rsidRDefault="00960853"/>
        </w:tc>
        <w:tc>
          <w:tcPr>
            <w:tcW w:w="2122" w:type="dxa"/>
          </w:tcPr>
          <w:p w:rsidR="00960853" w:rsidRDefault="00960853"/>
        </w:tc>
        <w:tc>
          <w:tcPr>
            <w:tcW w:w="1597" w:type="dxa"/>
          </w:tcPr>
          <w:p w:rsidR="00960853" w:rsidRDefault="00960853"/>
        </w:tc>
        <w:tc>
          <w:tcPr>
            <w:tcW w:w="1371" w:type="dxa"/>
          </w:tcPr>
          <w:p w:rsidR="00960853" w:rsidRDefault="00960853"/>
        </w:tc>
        <w:tc>
          <w:tcPr>
            <w:tcW w:w="1614" w:type="dxa"/>
          </w:tcPr>
          <w:p w:rsidR="00960853" w:rsidRDefault="00960853"/>
        </w:tc>
      </w:tr>
      <w:tr w:rsidR="00960853" w:rsidTr="00D368F3">
        <w:tc>
          <w:tcPr>
            <w:tcW w:w="692" w:type="dxa"/>
          </w:tcPr>
          <w:p w:rsidR="00960853" w:rsidRDefault="00960853"/>
        </w:tc>
        <w:tc>
          <w:tcPr>
            <w:tcW w:w="1742" w:type="dxa"/>
          </w:tcPr>
          <w:p w:rsidR="00960853" w:rsidRDefault="00960853"/>
        </w:tc>
        <w:tc>
          <w:tcPr>
            <w:tcW w:w="1619" w:type="dxa"/>
          </w:tcPr>
          <w:p w:rsidR="00960853" w:rsidRDefault="00960853"/>
        </w:tc>
        <w:tc>
          <w:tcPr>
            <w:tcW w:w="2193" w:type="dxa"/>
          </w:tcPr>
          <w:p w:rsidR="00960853" w:rsidRDefault="00960853"/>
        </w:tc>
        <w:tc>
          <w:tcPr>
            <w:tcW w:w="2122" w:type="dxa"/>
          </w:tcPr>
          <w:p w:rsidR="00960853" w:rsidRDefault="00960853"/>
        </w:tc>
        <w:tc>
          <w:tcPr>
            <w:tcW w:w="1597" w:type="dxa"/>
          </w:tcPr>
          <w:p w:rsidR="00960853" w:rsidRDefault="00960853"/>
        </w:tc>
        <w:tc>
          <w:tcPr>
            <w:tcW w:w="1371" w:type="dxa"/>
          </w:tcPr>
          <w:p w:rsidR="00960853" w:rsidRDefault="00960853"/>
        </w:tc>
        <w:tc>
          <w:tcPr>
            <w:tcW w:w="1614" w:type="dxa"/>
          </w:tcPr>
          <w:p w:rsidR="00960853" w:rsidRDefault="00960853"/>
        </w:tc>
      </w:tr>
      <w:tr w:rsidR="00960853" w:rsidTr="00D368F3">
        <w:tc>
          <w:tcPr>
            <w:tcW w:w="692" w:type="dxa"/>
          </w:tcPr>
          <w:p w:rsidR="00960853" w:rsidRDefault="00960853"/>
        </w:tc>
        <w:tc>
          <w:tcPr>
            <w:tcW w:w="1742" w:type="dxa"/>
          </w:tcPr>
          <w:p w:rsidR="00960853" w:rsidRDefault="00960853"/>
        </w:tc>
        <w:tc>
          <w:tcPr>
            <w:tcW w:w="1619" w:type="dxa"/>
          </w:tcPr>
          <w:p w:rsidR="00960853" w:rsidRDefault="00960853"/>
        </w:tc>
        <w:tc>
          <w:tcPr>
            <w:tcW w:w="2193" w:type="dxa"/>
          </w:tcPr>
          <w:p w:rsidR="00960853" w:rsidRDefault="00960853"/>
        </w:tc>
        <w:tc>
          <w:tcPr>
            <w:tcW w:w="2122" w:type="dxa"/>
          </w:tcPr>
          <w:p w:rsidR="00960853" w:rsidRDefault="00960853"/>
        </w:tc>
        <w:tc>
          <w:tcPr>
            <w:tcW w:w="1597" w:type="dxa"/>
          </w:tcPr>
          <w:p w:rsidR="00960853" w:rsidRDefault="00960853"/>
        </w:tc>
        <w:tc>
          <w:tcPr>
            <w:tcW w:w="1371" w:type="dxa"/>
          </w:tcPr>
          <w:p w:rsidR="00960853" w:rsidRDefault="00960853"/>
        </w:tc>
        <w:tc>
          <w:tcPr>
            <w:tcW w:w="1614" w:type="dxa"/>
          </w:tcPr>
          <w:p w:rsidR="00960853" w:rsidRDefault="00960853"/>
        </w:tc>
      </w:tr>
    </w:tbl>
    <w:p w:rsidR="00DB683E" w:rsidRDefault="00DB683E">
      <w:pPr>
        <w:rPr>
          <w:b/>
        </w:rPr>
      </w:pPr>
    </w:p>
    <w:p w:rsidR="00566A37" w:rsidRDefault="00D368F3">
      <w:pPr>
        <w:rPr>
          <w:b/>
        </w:rPr>
      </w:pPr>
      <w:r>
        <w:rPr>
          <w:b/>
        </w:rPr>
        <w:t xml:space="preserve">SURVEY 3:  </w:t>
      </w:r>
      <w:r w:rsidR="00F72226" w:rsidRPr="00DB683E">
        <w:rPr>
          <w:b/>
        </w:rPr>
        <w:t>Business Impact Survey</w:t>
      </w:r>
    </w:p>
    <w:p w:rsidR="00D368F3" w:rsidRPr="00DB683E" w:rsidRDefault="00D368F3">
      <w:pPr>
        <w:rPr>
          <w:b/>
        </w:rPr>
      </w:pPr>
      <w:r>
        <w:rPr>
          <w:b/>
        </w:rPr>
        <w:t>This survey will be circulated to all interested person.</w:t>
      </w:r>
    </w:p>
    <w:p w:rsidR="00DB683E" w:rsidRDefault="00D368F3" w:rsidP="00D368F3">
      <w:pPr>
        <w:pStyle w:val="ListParagraph"/>
        <w:numPr>
          <w:ilvl w:val="0"/>
          <w:numId w:val="2"/>
        </w:numPr>
      </w:pPr>
      <w:r>
        <w:t xml:space="preserve"> </w:t>
      </w:r>
      <w:r w:rsidR="00566A37">
        <w:t>Identify specific (</w:t>
      </w:r>
      <w:proofErr w:type="spellStart"/>
      <w:r w:rsidR="00566A37">
        <w:t>i</w:t>
      </w:r>
      <w:proofErr w:type="spellEnd"/>
      <w:r w:rsidR="00566A37">
        <w:t xml:space="preserve">) technologies; (ii) electronic communications; (iii) electronic transactions; or (iv) forms and methods of electronic commerce that are prohibited </w:t>
      </w:r>
      <w:r w:rsidR="0095244C">
        <w:t xml:space="preserve">or </w:t>
      </w:r>
      <w:r w:rsidR="00566A37">
        <w:t>impeded by the statutes, regulations, interpretations or practice of spec</w:t>
      </w:r>
      <w:r w:rsidR="00DB683E">
        <w:t xml:space="preserve">ific insuring jurisdiction(s). </w:t>
      </w:r>
    </w:p>
    <w:p w:rsidR="00D368F3" w:rsidRDefault="00D368F3" w:rsidP="00D368F3">
      <w:pPr>
        <w:pStyle w:val="ListParagraph"/>
      </w:pPr>
    </w:p>
    <w:p w:rsidR="00A00C37" w:rsidRDefault="00A00C37" w:rsidP="00D368F3">
      <w:pPr>
        <w:pStyle w:val="ListParagraph"/>
      </w:pPr>
      <w:r>
        <w:t>Please use the template below.  The more specific you are both with respect to concrete examples of specific applications that you are unable to utilize in a regulated environment and what those impediments actually are, the more useful.  This includes examples from specific jurisdictions.  It also includes regulatory hesitancy because compliance teams or uncertain.  And it includes technologies and applications that are not used because of the desire for consistency across jurisdictions.</w:t>
      </w:r>
    </w:p>
    <w:p w:rsidR="00B84DEA" w:rsidRPr="00DB683E" w:rsidRDefault="00B84DEA" w:rsidP="00B84DEA">
      <w:pPr>
        <w:rPr>
          <w:b/>
        </w:rPr>
      </w:pPr>
    </w:p>
    <w:tbl>
      <w:tblPr>
        <w:tblStyle w:val="TableGrid"/>
        <w:tblW w:w="12521" w:type="dxa"/>
        <w:tblLook w:val="04A0" w:firstRow="1" w:lastRow="0" w:firstColumn="1" w:lastColumn="0" w:noHBand="0" w:noVBand="1"/>
      </w:tblPr>
      <w:tblGrid>
        <w:gridCol w:w="1705"/>
        <w:gridCol w:w="2340"/>
        <w:gridCol w:w="2880"/>
        <w:gridCol w:w="2520"/>
        <w:gridCol w:w="3076"/>
      </w:tblGrid>
      <w:tr w:rsidR="00B84DEA" w:rsidTr="00A00C37">
        <w:tc>
          <w:tcPr>
            <w:tcW w:w="1705" w:type="dxa"/>
          </w:tcPr>
          <w:p w:rsidR="00B84DEA" w:rsidRDefault="00B84DEA" w:rsidP="0094282E">
            <w:r>
              <w:t>Function</w:t>
            </w:r>
          </w:p>
        </w:tc>
        <w:tc>
          <w:tcPr>
            <w:tcW w:w="2340" w:type="dxa"/>
          </w:tcPr>
          <w:p w:rsidR="00B84DEA" w:rsidRDefault="00A00C37" w:rsidP="00B84DEA">
            <w:r>
              <w:t>Application</w:t>
            </w:r>
          </w:p>
        </w:tc>
        <w:tc>
          <w:tcPr>
            <w:tcW w:w="2880" w:type="dxa"/>
          </w:tcPr>
          <w:p w:rsidR="00B84DEA" w:rsidRDefault="00B84DEA" w:rsidP="0094282E">
            <w:r>
              <w:t>Current Impediments</w:t>
            </w:r>
          </w:p>
        </w:tc>
        <w:tc>
          <w:tcPr>
            <w:tcW w:w="2520" w:type="dxa"/>
          </w:tcPr>
          <w:p w:rsidR="00B84DEA" w:rsidRDefault="00B84DEA" w:rsidP="0094282E">
            <w:r>
              <w:t>Solution</w:t>
            </w:r>
          </w:p>
        </w:tc>
        <w:tc>
          <w:tcPr>
            <w:tcW w:w="3076" w:type="dxa"/>
          </w:tcPr>
          <w:p w:rsidR="00B84DEA" w:rsidRDefault="00B84DEA" w:rsidP="0094282E">
            <w:r>
              <w:t>Guardrails/Consumer Protection</w:t>
            </w:r>
            <w:r w:rsidR="00A00C37">
              <w:t>s</w:t>
            </w:r>
          </w:p>
        </w:tc>
      </w:tr>
      <w:tr w:rsidR="00B84DEA" w:rsidTr="00A00C37">
        <w:tc>
          <w:tcPr>
            <w:tcW w:w="1705" w:type="dxa"/>
          </w:tcPr>
          <w:p w:rsidR="00B84DEA" w:rsidRDefault="00B84DEA" w:rsidP="0094282E"/>
        </w:tc>
        <w:tc>
          <w:tcPr>
            <w:tcW w:w="2340" w:type="dxa"/>
          </w:tcPr>
          <w:p w:rsidR="00B84DEA" w:rsidRDefault="00B84DEA" w:rsidP="0094282E"/>
        </w:tc>
        <w:tc>
          <w:tcPr>
            <w:tcW w:w="2880" w:type="dxa"/>
          </w:tcPr>
          <w:p w:rsidR="00B84DEA" w:rsidRDefault="00B84DEA" w:rsidP="0094282E"/>
        </w:tc>
        <w:tc>
          <w:tcPr>
            <w:tcW w:w="2520" w:type="dxa"/>
          </w:tcPr>
          <w:p w:rsidR="00B84DEA" w:rsidRDefault="00B84DEA" w:rsidP="0094282E"/>
        </w:tc>
        <w:tc>
          <w:tcPr>
            <w:tcW w:w="3076" w:type="dxa"/>
          </w:tcPr>
          <w:p w:rsidR="00B84DEA" w:rsidRDefault="00B84DEA" w:rsidP="0094282E"/>
        </w:tc>
      </w:tr>
    </w:tbl>
    <w:p w:rsidR="00B84DEA" w:rsidRDefault="00B84DEA" w:rsidP="00D368F3">
      <w:pPr>
        <w:pStyle w:val="ListParagraph"/>
      </w:pPr>
    </w:p>
    <w:p w:rsidR="00566A37" w:rsidRPr="00DB683E" w:rsidRDefault="00566A37" w:rsidP="00D368F3">
      <w:pPr>
        <w:pStyle w:val="ListParagraph"/>
        <w:numPr>
          <w:ilvl w:val="0"/>
          <w:numId w:val="2"/>
        </w:numPr>
      </w:pPr>
      <w:r>
        <w:t>In what ways are your efforts to conduct business electronical</w:t>
      </w:r>
      <w:r w:rsidR="00DB683E">
        <w:t>ly impeded by law or practice</w:t>
      </w:r>
      <w:r w:rsidR="00A00C37">
        <w:t>, either as an insurer, a producer, or a consumer of insurance</w:t>
      </w:r>
      <w:r w:rsidR="00DB683E">
        <w:t>?</w:t>
      </w:r>
    </w:p>
    <w:sectPr w:rsidR="00566A37" w:rsidRPr="00DB683E" w:rsidSect="00F722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732"/>
    <w:multiLevelType w:val="hybridMultilevel"/>
    <w:tmpl w:val="CE1217E0"/>
    <w:lvl w:ilvl="0" w:tplc="1DFE1B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D4"/>
    <w:multiLevelType w:val="hybridMultilevel"/>
    <w:tmpl w:val="16DC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26"/>
    <w:rsid w:val="00433576"/>
    <w:rsid w:val="00566A37"/>
    <w:rsid w:val="008F70BA"/>
    <w:rsid w:val="0095244C"/>
    <w:rsid w:val="00960853"/>
    <w:rsid w:val="00A00C37"/>
    <w:rsid w:val="00B84DEA"/>
    <w:rsid w:val="00CD37DC"/>
    <w:rsid w:val="00D368F3"/>
    <w:rsid w:val="00DB683E"/>
    <w:rsid w:val="00F7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A607"/>
  <w15:chartTrackingRefBased/>
  <w15:docId w15:val="{5B685AAF-D901-4309-955A-8537A355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 Birrane</dc:creator>
  <cp:keywords/>
  <dc:description/>
  <cp:lastModifiedBy>Kathleen A. Birrane</cp:lastModifiedBy>
  <cp:revision>2</cp:revision>
  <dcterms:created xsi:type="dcterms:W3CDTF">2021-12-09T18:24:00Z</dcterms:created>
  <dcterms:modified xsi:type="dcterms:W3CDTF">2021-12-09T18:24:00Z</dcterms:modified>
</cp:coreProperties>
</file>