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288A" w14:textId="77777777" w:rsidR="00E639E7" w:rsidRPr="00904607" w:rsidRDefault="00E639E7" w:rsidP="00E639E7">
      <w:pPr>
        <w:pStyle w:val="BodyText"/>
        <w:spacing w:after="280"/>
        <w:jc w:val="center"/>
        <w:rPr>
          <w:rFonts w:ascii="Times New Roman" w:hAnsi="Times New Roman"/>
          <w:b/>
          <w:sz w:val="28"/>
          <w:szCs w:val="28"/>
        </w:rPr>
      </w:pPr>
      <w:r w:rsidRPr="00904607">
        <w:rPr>
          <w:rFonts w:ascii="Times New Roman" w:hAnsi="Times New Roman"/>
          <w:b/>
          <w:sz w:val="28"/>
          <w:szCs w:val="28"/>
        </w:rPr>
        <w:t>Interpretation of the Statutory Accounting Principles Working Group</w:t>
      </w:r>
    </w:p>
    <w:p w14:paraId="003E1885" w14:textId="77777777" w:rsidR="00E639E7" w:rsidRPr="00365B45" w:rsidRDefault="00E639E7" w:rsidP="00E639E7">
      <w:pPr>
        <w:spacing w:after="280"/>
        <w:jc w:val="center"/>
        <w:rPr>
          <w:b/>
          <w:sz w:val="28"/>
          <w:szCs w:val="28"/>
        </w:rPr>
      </w:pPr>
      <w:r w:rsidRPr="00365B45">
        <w:rPr>
          <w:b/>
          <w:sz w:val="28"/>
          <w:szCs w:val="28"/>
        </w:rPr>
        <w:t>INT 20-02T: Extension of Ninety-Day Rule for the Impact of COVID-19</w:t>
      </w:r>
    </w:p>
    <w:p w14:paraId="693F4675" w14:textId="77777777" w:rsidR="00E639E7" w:rsidRPr="00365B45" w:rsidRDefault="00E639E7" w:rsidP="00E639E7">
      <w:pPr>
        <w:pStyle w:val="Heading2"/>
        <w:keepNext w:val="0"/>
        <w:rPr>
          <w:rFonts w:ascii="Times New Roman" w:hAnsi="Times New Roman"/>
          <w:sz w:val="22"/>
          <w:szCs w:val="22"/>
        </w:rPr>
      </w:pPr>
    </w:p>
    <w:p w14:paraId="3B7EF3C9" w14:textId="77777777" w:rsidR="00E639E7" w:rsidRPr="00365B45" w:rsidRDefault="00E639E7" w:rsidP="00E639E7">
      <w:pPr>
        <w:pStyle w:val="Heading2"/>
        <w:keepNext w:val="0"/>
        <w:spacing w:after="220"/>
        <w:rPr>
          <w:rFonts w:ascii="Times New Roman" w:hAnsi="Times New Roman"/>
          <w:sz w:val="22"/>
          <w:szCs w:val="22"/>
        </w:rPr>
      </w:pPr>
      <w:r w:rsidRPr="00365B45">
        <w:rPr>
          <w:rFonts w:ascii="Times New Roman" w:hAnsi="Times New Roman"/>
          <w:sz w:val="22"/>
          <w:szCs w:val="22"/>
        </w:rPr>
        <w:t>INT 20-02T Dates Discussed</w:t>
      </w:r>
    </w:p>
    <w:p w14:paraId="6E6845AB" w14:textId="77777777" w:rsidR="00D92B88" w:rsidRPr="00F82CE0" w:rsidRDefault="00D92B88" w:rsidP="00D92B88">
      <w:pPr>
        <w:spacing w:after="220"/>
        <w:rPr>
          <w:sz w:val="22"/>
          <w:szCs w:val="22"/>
        </w:rPr>
      </w:pPr>
      <w:r w:rsidRPr="00F82CE0">
        <w:rPr>
          <w:sz w:val="22"/>
          <w:szCs w:val="22"/>
        </w:rPr>
        <w:t xml:space="preserve">Email Vote to Expose </w:t>
      </w:r>
      <w:r>
        <w:rPr>
          <w:sz w:val="22"/>
          <w:szCs w:val="22"/>
        </w:rPr>
        <w:t>March 26</w:t>
      </w:r>
      <w:r w:rsidRPr="00F82CE0">
        <w:rPr>
          <w:sz w:val="22"/>
          <w:szCs w:val="22"/>
        </w:rPr>
        <w:t>, 2020</w:t>
      </w:r>
    </w:p>
    <w:p w14:paraId="1820A76C" w14:textId="77777777" w:rsidR="00E639E7" w:rsidRPr="00904607" w:rsidRDefault="00E639E7" w:rsidP="00E639E7">
      <w:pPr>
        <w:pStyle w:val="Heading2"/>
        <w:keepNext w:val="0"/>
        <w:spacing w:after="220"/>
        <w:rPr>
          <w:rFonts w:ascii="Times New Roman" w:hAnsi="Times New Roman"/>
          <w:sz w:val="22"/>
          <w:szCs w:val="22"/>
        </w:rPr>
      </w:pPr>
      <w:r w:rsidRPr="00904607">
        <w:rPr>
          <w:rFonts w:ascii="Times New Roman" w:hAnsi="Times New Roman"/>
          <w:sz w:val="22"/>
          <w:szCs w:val="22"/>
        </w:rPr>
        <w:t xml:space="preserve">INT </w:t>
      </w:r>
      <w:r>
        <w:rPr>
          <w:rFonts w:ascii="Times New Roman" w:hAnsi="Times New Roman"/>
          <w:sz w:val="22"/>
          <w:szCs w:val="22"/>
        </w:rPr>
        <w:t>20</w:t>
      </w:r>
      <w:r w:rsidRPr="00904607">
        <w:rPr>
          <w:rFonts w:ascii="Times New Roman" w:hAnsi="Times New Roman"/>
          <w:sz w:val="22"/>
          <w:szCs w:val="22"/>
        </w:rPr>
        <w:t>-</w:t>
      </w:r>
      <w:r>
        <w:rPr>
          <w:rFonts w:ascii="Times New Roman" w:hAnsi="Times New Roman"/>
          <w:sz w:val="22"/>
          <w:szCs w:val="22"/>
        </w:rPr>
        <w:t>02T</w:t>
      </w:r>
      <w:r w:rsidRPr="00904607">
        <w:rPr>
          <w:rFonts w:ascii="Times New Roman" w:hAnsi="Times New Roman"/>
          <w:sz w:val="22"/>
          <w:szCs w:val="22"/>
        </w:rPr>
        <w:t xml:space="preserve"> References</w:t>
      </w:r>
    </w:p>
    <w:p w14:paraId="37C3A83C" w14:textId="77777777" w:rsidR="00E639E7" w:rsidRPr="00C27ACA" w:rsidRDefault="00E639E7" w:rsidP="00E639E7">
      <w:pPr>
        <w:spacing w:after="220"/>
        <w:rPr>
          <w:iCs/>
          <w:sz w:val="22"/>
          <w:szCs w:val="22"/>
        </w:rPr>
      </w:pPr>
      <w:r w:rsidRPr="00904607">
        <w:rPr>
          <w:i/>
          <w:iCs/>
          <w:sz w:val="22"/>
          <w:szCs w:val="22"/>
        </w:rPr>
        <w:t xml:space="preserve">SSAP No. 6—Uncollected </w:t>
      </w:r>
      <w:r w:rsidRPr="00C27ACA">
        <w:rPr>
          <w:i/>
          <w:iCs/>
          <w:sz w:val="22"/>
          <w:szCs w:val="22"/>
        </w:rPr>
        <w:t xml:space="preserve">Premium Balances, Bills Receivable for Premiums, and Amounts Due From Agents and Brokers </w:t>
      </w:r>
      <w:r w:rsidRPr="00C27ACA">
        <w:rPr>
          <w:iCs/>
          <w:sz w:val="22"/>
          <w:szCs w:val="22"/>
        </w:rPr>
        <w:t>(SSAP No. 6)</w:t>
      </w:r>
    </w:p>
    <w:p w14:paraId="6819E301" w14:textId="77777777" w:rsidR="00E639E7" w:rsidRPr="00C27ACA" w:rsidRDefault="00E639E7" w:rsidP="00E639E7">
      <w:pPr>
        <w:spacing w:after="220"/>
        <w:rPr>
          <w:sz w:val="22"/>
          <w:szCs w:val="22"/>
        </w:rPr>
      </w:pPr>
      <w:r w:rsidRPr="00C27ACA">
        <w:rPr>
          <w:i/>
          <w:iCs/>
          <w:sz w:val="22"/>
          <w:szCs w:val="22"/>
        </w:rPr>
        <w:t>SSAP No. 65</w:t>
      </w:r>
      <w:r>
        <w:rPr>
          <w:i/>
          <w:iCs/>
          <w:sz w:val="22"/>
          <w:szCs w:val="22"/>
        </w:rPr>
        <w:t>—</w:t>
      </w:r>
      <w:r w:rsidRPr="00C27ACA">
        <w:rPr>
          <w:i/>
          <w:iCs/>
          <w:sz w:val="22"/>
          <w:szCs w:val="22"/>
        </w:rPr>
        <w:t xml:space="preserve">Property and Casualty Contracts </w:t>
      </w:r>
      <w:r w:rsidRPr="00C27ACA">
        <w:rPr>
          <w:sz w:val="22"/>
          <w:szCs w:val="22"/>
        </w:rPr>
        <w:t>(SSAP No. 65)</w:t>
      </w:r>
    </w:p>
    <w:p w14:paraId="44269C11" w14:textId="77777777" w:rsidR="00E639E7" w:rsidRPr="00904607" w:rsidRDefault="00E639E7" w:rsidP="00E639E7">
      <w:pPr>
        <w:pStyle w:val="Heading1"/>
        <w:keepNext w:val="0"/>
        <w:spacing w:after="220"/>
        <w:jc w:val="both"/>
        <w:rPr>
          <w:b/>
          <w:sz w:val="22"/>
          <w:szCs w:val="22"/>
        </w:rPr>
      </w:pPr>
      <w:r w:rsidRPr="00C27ACA">
        <w:rPr>
          <w:b/>
          <w:sz w:val="22"/>
          <w:szCs w:val="22"/>
        </w:rPr>
        <w:t>INT 20-02T Issue</w:t>
      </w:r>
    </w:p>
    <w:p w14:paraId="183E17F0" w14:textId="6360B190" w:rsidR="00E639E7" w:rsidRPr="00C27ACA" w:rsidRDefault="00E639E7" w:rsidP="00E639E7">
      <w:pPr>
        <w:pStyle w:val="ListParagraph"/>
        <w:numPr>
          <w:ilvl w:val="0"/>
          <w:numId w:val="9"/>
        </w:numPr>
        <w:spacing w:after="220"/>
        <w:ind w:left="0" w:firstLine="0"/>
        <w:jc w:val="both"/>
        <w:rPr>
          <w:sz w:val="22"/>
          <w:szCs w:val="22"/>
        </w:rPr>
      </w:pPr>
      <w:r w:rsidRPr="00995B77">
        <w:rPr>
          <w:sz w:val="22"/>
          <w:szCs w:val="22"/>
        </w:rPr>
        <w:t xml:space="preserve">A previously unknown virus began transmitting between October 2019 and March 2020, with the first deaths in the U.S. reported in early March 2020. The disease caused by the virus is known as Coronavirus Disease </w:t>
      </w:r>
      <w:r w:rsidRPr="00C27ACA">
        <w:rPr>
          <w:sz w:val="22"/>
          <w:szCs w:val="22"/>
        </w:rPr>
        <w:t xml:space="preserve">2019 (COVID-19). Several states and cities have issued “stay home” orders and forced all non-essential businesses to </w:t>
      </w:r>
      <w:r w:rsidR="003D3B83">
        <w:rPr>
          <w:sz w:val="22"/>
          <w:szCs w:val="22"/>
        </w:rPr>
        <w:t xml:space="preserve">temporarily </w:t>
      </w:r>
      <w:r w:rsidRPr="00C27ACA">
        <w:rPr>
          <w:sz w:val="22"/>
          <w:szCs w:val="22"/>
        </w:rPr>
        <w:t xml:space="preserve">close. This has led to a significant increase in unemployment and, in certain states, mandatory closure of many businesses. Total economic damage is still being assessed </w:t>
      </w:r>
      <w:r w:rsidR="003D3B83">
        <w:rPr>
          <w:sz w:val="22"/>
          <w:szCs w:val="22"/>
        </w:rPr>
        <w:t>however,</w:t>
      </w:r>
      <w:r w:rsidR="003D3B83" w:rsidRPr="00C27ACA">
        <w:rPr>
          <w:sz w:val="22"/>
          <w:szCs w:val="22"/>
        </w:rPr>
        <w:t xml:space="preserve"> </w:t>
      </w:r>
      <w:r w:rsidRPr="00C27ACA">
        <w:rPr>
          <w:sz w:val="22"/>
          <w:szCs w:val="22"/>
        </w:rPr>
        <w:t>the total impact is likely to exceed $1 trillion in the U.S. alone.</w:t>
      </w:r>
      <w:r w:rsidRPr="00C27ACA" w:rsidDel="00F40DC9">
        <w:rPr>
          <w:sz w:val="22"/>
          <w:szCs w:val="22"/>
        </w:rPr>
        <w:t xml:space="preserve"> </w:t>
      </w:r>
      <w:r w:rsidRPr="00C27ACA">
        <w:rPr>
          <w:sz w:val="22"/>
          <w:szCs w:val="22"/>
        </w:rPr>
        <w:t xml:space="preserve">This interpretation is intended to cover policies impacted by COVID-19. </w:t>
      </w:r>
    </w:p>
    <w:p w14:paraId="21290AE9" w14:textId="77777777" w:rsidR="00E639E7" w:rsidRPr="00C27ACA" w:rsidRDefault="00E639E7" w:rsidP="00E639E7">
      <w:pPr>
        <w:pStyle w:val="ListParagraph"/>
        <w:spacing w:after="220"/>
        <w:ind w:left="0"/>
        <w:jc w:val="both"/>
        <w:rPr>
          <w:sz w:val="22"/>
          <w:szCs w:val="22"/>
        </w:rPr>
      </w:pPr>
    </w:p>
    <w:p w14:paraId="3E945361" w14:textId="77777777" w:rsidR="00E639E7" w:rsidRPr="00C27ACA" w:rsidRDefault="00E639E7" w:rsidP="00E639E7">
      <w:pPr>
        <w:pStyle w:val="ListParagraph"/>
        <w:numPr>
          <w:ilvl w:val="0"/>
          <w:numId w:val="9"/>
        </w:numPr>
        <w:spacing w:after="220"/>
        <w:ind w:left="0" w:firstLine="0"/>
        <w:jc w:val="both"/>
        <w:rPr>
          <w:sz w:val="22"/>
          <w:szCs w:val="22"/>
        </w:rPr>
      </w:pPr>
      <w:bookmarkStart w:id="0" w:name="_Hlk35943660"/>
      <w:r w:rsidRPr="00C27ACA">
        <w:rPr>
          <w:sz w:val="22"/>
          <w:szCs w:val="22"/>
        </w:rPr>
        <w:t>Should a temporary extension of the 90-day rule, extending the nonadmission guidance for premium receivables due from policyholders or agents and for amounts due from policyholders for high deductible policies</w:t>
      </w:r>
      <w:r w:rsidRPr="00C27ACA" w:rsidDel="0064326A">
        <w:rPr>
          <w:sz w:val="22"/>
          <w:szCs w:val="22"/>
        </w:rPr>
        <w:t xml:space="preserve"> </w:t>
      </w:r>
      <w:r w:rsidRPr="00C27ACA">
        <w:rPr>
          <w:sz w:val="22"/>
          <w:szCs w:val="22"/>
        </w:rPr>
        <w:t>to September 28, 2020, for policies in U.S. jurisdictions that have been impacted by COVID-19 be granted?</w:t>
      </w:r>
    </w:p>
    <w:bookmarkEnd w:id="0"/>
    <w:p w14:paraId="5B4F75B2" w14:textId="77777777" w:rsidR="00E639E7" w:rsidRPr="00DC2320" w:rsidRDefault="00E639E7" w:rsidP="00E639E7">
      <w:pPr>
        <w:pStyle w:val="Heading1"/>
        <w:keepNext w:val="0"/>
        <w:spacing w:after="220"/>
        <w:rPr>
          <w:b/>
          <w:sz w:val="22"/>
          <w:szCs w:val="22"/>
        </w:rPr>
      </w:pPr>
      <w:r w:rsidRPr="00DC2320">
        <w:rPr>
          <w:b/>
          <w:sz w:val="22"/>
          <w:szCs w:val="22"/>
        </w:rPr>
        <w:t>INT 20-</w:t>
      </w:r>
      <w:r>
        <w:rPr>
          <w:b/>
          <w:sz w:val="22"/>
          <w:szCs w:val="22"/>
        </w:rPr>
        <w:t>02T</w:t>
      </w:r>
      <w:r w:rsidRPr="00DC2320">
        <w:rPr>
          <w:b/>
          <w:sz w:val="22"/>
          <w:szCs w:val="22"/>
        </w:rPr>
        <w:t xml:space="preserve"> Discussion</w:t>
      </w:r>
    </w:p>
    <w:p w14:paraId="1263161E" w14:textId="473C5B70" w:rsidR="00E639E7" w:rsidRPr="00C27ACA" w:rsidRDefault="00E639E7" w:rsidP="00E639E7">
      <w:pPr>
        <w:pStyle w:val="ListParagraph"/>
        <w:numPr>
          <w:ilvl w:val="0"/>
          <w:numId w:val="9"/>
        </w:numPr>
        <w:spacing w:after="220"/>
        <w:ind w:left="0" w:firstLine="0"/>
        <w:jc w:val="both"/>
        <w:rPr>
          <w:sz w:val="22"/>
          <w:szCs w:val="22"/>
        </w:rPr>
      </w:pPr>
      <w:r w:rsidRPr="00DC2320">
        <w:rPr>
          <w:sz w:val="22"/>
          <w:szCs w:val="22"/>
        </w:rPr>
        <w:t xml:space="preserve">The Working Group reached a tentative consensus for a one-time optional extension of the ninety-day rule for </w:t>
      </w:r>
      <w:r w:rsidRPr="00C27ACA">
        <w:rPr>
          <w:sz w:val="22"/>
          <w:szCs w:val="22"/>
        </w:rPr>
        <w:t>uncollected premium balances, bills receivable for premiums and amounts due from agents and policyholders and for amounts due from policyholders for high deductible policies, as follows:</w:t>
      </w:r>
    </w:p>
    <w:p w14:paraId="7E543850" w14:textId="7667D324" w:rsidR="00E639E7" w:rsidRPr="00C27ACA" w:rsidRDefault="00E639E7" w:rsidP="00E639E7">
      <w:pPr>
        <w:numPr>
          <w:ilvl w:val="0"/>
          <w:numId w:val="4"/>
        </w:numPr>
        <w:spacing w:after="220"/>
        <w:ind w:hanging="720"/>
        <w:jc w:val="both"/>
        <w:rPr>
          <w:bCs/>
          <w:sz w:val="22"/>
          <w:szCs w:val="22"/>
        </w:rPr>
      </w:pPr>
      <w:bookmarkStart w:id="1" w:name="_Hlk36101050"/>
      <w:r w:rsidRPr="00C27ACA">
        <w:rPr>
          <w:sz w:val="22"/>
          <w:szCs w:val="22"/>
        </w:rPr>
        <w:t xml:space="preserve">For policies in effect and </w:t>
      </w:r>
      <w:r w:rsidR="00DD3D59">
        <w:rPr>
          <w:sz w:val="22"/>
          <w:szCs w:val="22"/>
        </w:rPr>
        <w:t>current prior to the date</w:t>
      </w:r>
      <w:r w:rsidRPr="00C27ACA">
        <w:rPr>
          <w:sz w:val="22"/>
          <w:szCs w:val="22"/>
        </w:rPr>
        <w:t xml:space="preserve"> as of the declaration of a state of emergency </w:t>
      </w:r>
      <w:bookmarkEnd w:id="1"/>
      <w:r w:rsidRPr="00C27ACA">
        <w:rPr>
          <w:sz w:val="22"/>
          <w:szCs w:val="22"/>
        </w:rPr>
        <w:t xml:space="preserve">by the U.S. federal government on March 13, 2020, insurers may wait until September 28, 2020 before nonadmitting premiums receivable from policyholders or agents as required per SSAP No. 6, paragraph 9. </w:t>
      </w:r>
    </w:p>
    <w:p w14:paraId="000156D8" w14:textId="6395137D" w:rsidR="00E639E7" w:rsidRPr="00C27ACA" w:rsidRDefault="00E639E7" w:rsidP="00E639E7">
      <w:pPr>
        <w:numPr>
          <w:ilvl w:val="0"/>
          <w:numId w:val="4"/>
        </w:numPr>
        <w:spacing w:after="220"/>
        <w:ind w:hanging="720"/>
        <w:jc w:val="both"/>
        <w:rPr>
          <w:bCs/>
          <w:sz w:val="22"/>
          <w:szCs w:val="22"/>
        </w:rPr>
      </w:pPr>
      <w:r w:rsidRPr="00C27ACA">
        <w:rPr>
          <w:sz w:val="22"/>
          <w:szCs w:val="22"/>
        </w:rPr>
        <w:t xml:space="preserve">For high deductible policies in effect and </w:t>
      </w:r>
      <w:r w:rsidR="00DD3D59">
        <w:rPr>
          <w:sz w:val="22"/>
          <w:szCs w:val="22"/>
        </w:rPr>
        <w:t xml:space="preserve">current prior to the date </w:t>
      </w:r>
      <w:r w:rsidRPr="00C27ACA">
        <w:rPr>
          <w:sz w:val="22"/>
          <w:szCs w:val="22"/>
        </w:rPr>
        <w:t>as of the declaration of a state of emergency by the U.S. federal government on March 13, 2020, insurers may wait until September 28, 2020 before nonadmitting amounts due from policyholders for high deductible policies</w:t>
      </w:r>
      <w:r w:rsidRPr="00C27ACA" w:rsidDel="0064326A">
        <w:rPr>
          <w:sz w:val="22"/>
          <w:szCs w:val="22"/>
        </w:rPr>
        <w:t xml:space="preserve"> </w:t>
      </w:r>
      <w:r w:rsidRPr="00C27ACA">
        <w:rPr>
          <w:sz w:val="22"/>
          <w:szCs w:val="22"/>
        </w:rPr>
        <w:t>as required per SSAP No. 65, paragraph 37.</w:t>
      </w:r>
    </w:p>
    <w:p w14:paraId="4E6D40A9" w14:textId="77777777" w:rsidR="00E639E7" w:rsidRPr="00904607" w:rsidRDefault="00E639E7" w:rsidP="00E639E7">
      <w:pPr>
        <w:numPr>
          <w:ilvl w:val="0"/>
          <w:numId w:val="4"/>
        </w:numPr>
        <w:spacing w:after="220"/>
        <w:ind w:hanging="720"/>
        <w:jc w:val="both"/>
        <w:rPr>
          <w:sz w:val="22"/>
          <w:szCs w:val="22"/>
        </w:rPr>
      </w:pPr>
      <w:r w:rsidRPr="00C27ACA">
        <w:rPr>
          <w:sz w:val="22"/>
          <w:szCs w:val="22"/>
        </w:rPr>
        <w:t>Existing impairment</w:t>
      </w:r>
      <w:r w:rsidRPr="00DC2320">
        <w:rPr>
          <w:sz w:val="22"/>
          <w:szCs w:val="22"/>
        </w:rPr>
        <w:t xml:space="preserve"> analysis remains in effect</w:t>
      </w:r>
      <w:r w:rsidRPr="00904607">
        <w:rPr>
          <w:sz w:val="22"/>
          <w:szCs w:val="22"/>
        </w:rPr>
        <w:t xml:space="preserve"> for these affected policies.</w:t>
      </w:r>
    </w:p>
    <w:p w14:paraId="505662F8" w14:textId="5D5CE2E3" w:rsidR="00E639E7" w:rsidRPr="00BC0FEB" w:rsidRDefault="00E639E7" w:rsidP="00E639E7">
      <w:pPr>
        <w:pStyle w:val="ListParagraph"/>
        <w:numPr>
          <w:ilvl w:val="0"/>
          <w:numId w:val="9"/>
        </w:numPr>
        <w:spacing w:after="220"/>
        <w:ind w:left="0" w:firstLine="0"/>
        <w:jc w:val="both"/>
        <w:rPr>
          <w:sz w:val="22"/>
          <w:szCs w:val="22"/>
        </w:rPr>
      </w:pPr>
      <w:r w:rsidRPr="00904607">
        <w:rPr>
          <w:sz w:val="22"/>
          <w:szCs w:val="22"/>
        </w:rPr>
        <w:t xml:space="preserve">The Working Group noted that a </w:t>
      </w:r>
      <w:r w:rsidRPr="00BC0FEB">
        <w:rPr>
          <w:sz w:val="22"/>
          <w:szCs w:val="22"/>
        </w:rPr>
        <w:t xml:space="preserve">60-day extension </w:t>
      </w:r>
      <w:r>
        <w:rPr>
          <w:sz w:val="22"/>
          <w:szCs w:val="22"/>
        </w:rPr>
        <w:t>had been granted</w:t>
      </w:r>
      <w:r w:rsidRPr="00BC0FEB">
        <w:rPr>
          <w:sz w:val="22"/>
          <w:szCs w:val="22"/>
        </w:rPr>
        <w:t xml:space="preserve"> previous</w:t>
      </w:r>
      <w:r>
        <w:rPr>
          <w:sz w:val="22"/>
          <w:szCs w:val="22"/>
        </w:rPr>
        <w:t>ly</w:t>
      </w:r>
      <w:r w:rsidRPr="00BC0FEB">
        <w:rPr>
          <w:sz w:val="22"/>
          <w:szCs w:val="22"/>
        </w:rPr>
        <w:t xml:space="preserve"> </w:t>
      </w:r>
      <w:r>
        <w:rPr>
          <w:sz w:val="22"/>
          <w:szCs w:val="22"/>
        </w:rPr>
        <w:t xml:space="preserve">for regionally </w:t>
      </w:r>
      <w:r w:rsidRPr="00BC0FEB">
        <w:rPr>
          <w:sz w:val="22"/>
          <w:szCs w:val="22"/>
        </w:rPr>
        <w:t>significant catastrophes</w:t>
      </w:r>
      <w:r>
        <w:rPr>
          <w:sz w:val="22"/>
          <w:szCs w:val="22"/>
        </w:rPr>
        <w:t>,</w:t>
      </w:r>
      <w:r w:rsidRPr="00BC0FEB">
        <w:rPr>
          <w:sz w:val="22"/>
          <w:szCs w:val="22"/>
        </w:rPr>
        <w:t xml:space="preserve"> including </w:t>
      </w:r>
      <w:r w:rsidRPr="00BC0FEB">
        <w:rPr>
          <w:i/>
          <w:sz w:val="22"/>
          <w:szCs w:val="22"/>
        </w:rPr>
        <w:t xml:space="preserve">INT 13-01: Extension of Ninety-Day Rule for the Impact of Hurricane/Superstorm Sandy; </w:t>
      </w:r>
      <w:r w:rsidRPr="00BC0FEB">
        <w:rPr>
          <w:sz w:val="22"/>
          <w:szCs w:val="22"/>
        </w:rPr>
        <w:t>and</w:t>
      </w:r>
      <w:r w:rsidRPr="00BC0FEB">
        <w:rPr>
          <w:i/>
          <w:sz w:val="22"/>
          <w:szCs w:val="22"/>
        </w:rPr>
        <w:t xml:space="preserve"> INT 05-04: Extension of Ninety-day Rule for the Impact of Hurricane Katrina, Hurricane Rita and Hurricane Wilma</w:t>
      </w:r>
      <w:r w:rsidRPr="00BC0FEB">
        <w:rPr>
          <w:iCs/>
          <w:sz w:val="22"/>
          <w:szCs w:val="22"/>
        </w:rPr>
        <w:t xml:space="preserve">, </w:t>
      </w:r>
      <w:r w:rsidRPr="00BC0FEB">
        <w:rPr>
          <w:i/>
          <w:sz w:val="22"/>
          <w:szCs w:val="22"/>
        </w:rPr>
        <w:t>INT 17-01: Extension of Ninety-Day Rule for the Impact of Hurricane Harvey, Hurricane Irma and Hurricane Maria</w:t>
      </w:r>
      <w:r w:rsidRPr="00BC0FEB">
        <w:rPr>
          <w:iCs/>
          <w:sz w:val="22"/>
          <w:szCs w:val="22"/>
        </w:rPr>
        <w:t xml:space="preserve">, and </w:t>
      </w:r>
      <w:r w:rsidRPr="00BC0FEB">
        <w:rPr>
          <w:i/>
          <w:sz w:val="22"/>
          <w:szCs w:val="22"/>
        </w:rPr>
        <w:t>INT 18-04: Extension of Ninety-Day Rule for the Impact of Hurricane Florence and Hurricane Michael</w:t>
      </w:r>
      <w:r w:rsidRPr="00BC0FEB">
        <w:rPr>
          <w:iCs/>
          <w:sz w:val="22"/>
          <w:szCs w:val="22"/>
        </w:rPr>
        <w:t>.</w:t>
      </w:r>
      <w:r>
        <w:rPr>
          <w:iCs/>
          <w:sz w:val="22"/>
          <w:szCs w:val="22"/>
        </w:rPr>
        <w:t xml:space="preserve"> </w:t>
      </w:r>
      <w:r w:rsidRPr="009E17F3">
        <w:rPr>
          <w:iCs/>
          <w:sz w:val="22"/>
          <w:szCs w:val="22"/>
        </w:rPr>
        <w:t xml:space="preserve">This recommendation is </w:t>
      </w:r>
      <w:r w:rsidR="00AD2DB4">
        <w:rPr>
          <w:iCs/>
          <w:sz w:val="22"/>
          <w:szCs w:val="22"/>
        </w:rPr>
        <w:t xml:space="preserve">for a </w:t>
      </w:r>
      <w:r w:rsidRPr="009E17F3">
        <w:rPr>
          <w:iCs/>
          <w:sz w:val="22"/>
          <w:szCs w:val="22"/>
        </w:rPr>
        <w:t>longer</w:t>
      </w:r>
      <w:r w:rsidR="00AD2DB4">
        <w:rPr>
          <w:iCs/>
          <w:sz w:val="22"/>
          <w:szCs w:val="22"/>
        </w:rPr>
        <w:t xml:space="preserve"> period </w:t>
      </w:r>
      <w:r w:rsidRPr="009E17F3">
        <w:rPr>
          <w:iCs/>
          <w:sz w:val="22"/>
          <w:szCs w:val="22"/>
        </w:rPr>
        <w:t>than the extensions that have been granted in the past as COVID-19 is a nationally significant event</w:t>
      </w:r>
      <w:r>
        <w:rPr>
          <w:iCs/>
          <w:sz w:val="22"/>
          <w:szCs w:val="22"/>
        </w:rPr>
        <w:t xml:space="preserve"> </w:t>
      </w:r>
      <w:r w:rsidRPr="008B02C4">
        <w:rPr>
          <w:iCs/>
          <w:sz w:val="22"/>
          <w:szCs w:val="22"/>
        </w:rPr>
        <w:t xml:space="preserve">due to the expected overall impact to </w:t>
      </w:r>
      <w:r w:rsidR="0028344A">
        <w:rPr>
          <w:iCs/>
          <w:sz w:val="22"/>
          <w:szCs w:val="22"/>
        </w:rPr>
        <w:t xml:space="preserve">the </w:t>
      </w:r>
      <w:r w:rsidRPr="008B02C4">
        <w:rPr>
          <w:iCs/>
          <w:sz w:val="22"/>
          <w:szCs w:val="22"/>
        </w:rPr>
        <w:t>U.S. econom</w:t>
      </w:r>
      <w:r>
        <w:rPr>
          <w:iCs/>
          <w:sz w:val="22"/>
          <w:szCs w:val="22"/>
        </w:rPr>
        <w:t>y.</w:t>
      </w:r>
    </w:p>
    <w:p w14:paraId="1D1FA80D" w14:textId="77777777" w:rsidR="00E639E7" w:rsidRPr="00BC0FEB" w:rsidRDefault="00E639E7" w:rsidP="00E639E7">
      <w:pPr>
        <w:pStyle w:val="ListParagraph"/>
        <w:spacing w:after="220"/>
        <w:ind w:left="0"/>
        <w:jc w:val="both"/>
        <w:rPr>
          <w:sz w:val="22"/>
          <w:szCs w:val="22"/>
        </w:rPr>
      </w:pPr>
    </w:p>
    <w:p w14:paraId="627EBA09" w14:textId="77777777" w:rsidR="00E639E7" w:rsidRPr="00904607" w:rsidRDefault="00E639E7" w:rsidP="00E639E7">
      <w:pPr>
        <w:pStyle w:val="ListParagraph"/>
        <w:numPr>
          <w:ilvl w:val="0"/>
          <w:numId w:val="9"/>
        </w:numPr>
        <w:spacing w:after="220"/>
        <w:ind w:left="0" w:firstLine="0"/>
        <w:jc w:val="both"/>
        <w:rPr>
          <w:sz w:val="22"/>
          <w:szCs w:val="22"/>
        </w:rPr>
      </w:pPr>
      <w:bookmarkStart w:id="2" w:name="_Hlk35943694"/>
      <w:r w:rsidRPr="00904607">
        <w:rPr>
          <w:sz w:val="22"/>
          <w:szCs w:val="22"/>
        </w:rPr>
        <w:t xml:space="preserve">Due to the short-term nature of the applicability of this extension, which expires </w:t>
      </w:r>
      <w:r>
        <w:rPr>
          <w:sz w:val="22"/>
          <w:szCs w:val="22"/>
        </w:rPr>
        <w:t>September 28</w:t>
      </w:r>
      <w:r w:rsidRPr="00904607">
        <w:rPr>
          <w:sz w:val="22"/>
          <w:szCs w:val="22"/>
        </w:rPr>
        <w:t>, 20</w:t>
      </w:r>
      <w:r>
        <w:rPr>
          <w:sz w:val="22"/>
          <w:szCs w:val="22"/>
        </w:rPr>
        <w:t>20</w:t>
      </w:r>
      <w:r w:rsidRPr="00904607">
        <w:rPr>
          <w:sz w:val="22"/>
          <w:szCs w:val="22"/>
        </w:rPr>
        <w:t xml:space="preserve">, this interpretation will be publicly posted on the Statutory Accounting Principles (E) Working Group’s website. This interpretation will be automatically nullified on </w:t>
      </w:r>
      <w:r>
        <w:rPr>
          <w:sz w:val="22"/>
          <w:szCs w:val="22"/>
        </w:rPr>
        <w:t xml:space="preserve">September 29, 2020 </w:t>
      </w:r>
      <w:r w:rsidRPr="00904607">
        <w:rPr>
          <w:sz w:val="22"/>
          <w:szCs w:val="22"/>
        </w:rPr>
        <w:t>and will be included as a nullified INT in Appendix H – Superseded SSAPs and Nullified Interpretations in the “as of March 20</w:t>
      </w:r>
      <w:r>
        <w:rPr>
          <w:sz w:val="22"/>
          <w:szCs w:val="22"/>
        </w:rPr>
        <w:t>21</w:t>
      </w:r>
      <w:r w:rsidRPr="00904607">
        <w:rPr>
          <w:sz w:val="22"/>
          <w:szCs w:val="22"/>
        </w:rPr>
        <w:t xml:space="preserve">” </w:t>
      </w:r>
      <w:r w:rsidRPr="00904607">
        <w:rPr>
          <w:i/>
          <w:sz w:val="22"/>
          <w:szCs w:val="22"/>
        </w:rPr>
        <w:t>Accounting Practices and Procedures Manual</w:t>
      </w:r>
      <w:r w:rsidRPr="00904607">
        <w:rPr>
          <w:sz w:val="22"/>
          <w:szCs w:val="22"/>
        </w:rPr>
        <w:t xml:space="preserve">. </w:t>
      </w:r>
    </w:p>
    <w:bookmarkEnd w:id="2"/>
    <w:p w14:paraId="32B3D7C4" w14:textId="77777777" w:rsidR="00E639E7" w:rsidRPr="00052F8B" w:rsidRDefault="00E639E7" w:rsidP="00E639E7">
      <w:pPr>
        <w:pStyle w:val="Heading1"/>
        <w:keepNext w:val="0"/>
        <w:spacing w:after="220"/>
        <w:rPr>
          <w:b/>
          <w:sz w:val="22"/>
          <w:szCs w:val="22"/>
        </w:rPr>
      </w:pPr>
      <w:r w:rsidRPr="00904607">
        <w:rPr>
          <w:b/>
          <w:sz w:val="22"/>
          <w:szCs w:val="22"/>
        </w:rPr>
        <w:t xml:space="preserve">INT </w:t>
      </w:r>
      <w:r>
        <w:rPr>
          <w:b/>
          <w:sz w:val="22"/>
          <w:szCs w:val="22"/>
        </w:rPr>
        <w:t>20</w:t>
      </w:r>
      <w:r w:rsidRPr="00904607">
        <w:rPr>
          <w:b/>
          <w:sz w:val="22"/>
          <w:szCs w:val="22"/>
        </w:rPr>
        <w:t>-</w:t>
      </w:r>
      <w:r>
        <w:rPr>
          <w:b/>
          <w:sz w:val="22"/>
          <w:szCs w:val="22"/>
        </w:rPr>
        <w:t>02T</w:t>
      </w:r>
      <w:r w:rsidRPr="00904607">
        <w:rPr>
          <w:b/>
          <w:sz w:val="22"/>
          <w:szCs w:val="22"/>
        </w:rPr>
        <w:t xml:space="preserve"> Status</w:t>
      </w:r>
    </w:p>
    <w:p w14:paraId="386954A4" w14:textId="6C3D9521" w:rsidR="00E639E7" w:rsidRDefault="00D92B88" w:rsidP="00E639E7">
      <w:pPr>
        <w:pStyle w:val="ListParagraph"/>
        <w:numPr>
          <w:ilvl w:val="0"/>
          <w:numId w:val="9"/>
        </w:numPr>
        <w:spacing w:after="220"/>
        <w:ind w:left="0" w:firstLine="0"/>
        <w:jc w:val="both"/>
        <w:rPr>
          <w:sz w:val="22"/>
          <w:szCs w:val="22"/>
        </w:rPr>
      </w:pPr>
      <w:bookmarkStart w:id="3" w:name="_GoBack"/>
      <w:r>
        <w:rPr>
          <w:sz w:val="22"/>
          <w:szCs w:val="22"/>
        </w:rPr>
        <w:t>F</w:t>
      </w:r>
      <w:r w:rsidR="00E639E7">
        <w:rPr>
          <w:sz w:val="22"/>
          <w:szCs w:val="22"/>
        </w:rPr>
        <w:t xml:space="preserve">urther </w:t>
      </w:r>
      <w:bookmarkEnd w:id="3"/>
      <w:r w:rsidR="00E639E7">
        <w:rPr>
          <w:sz w:val="22"/>
          <w:szCs w:val="22"/>
        </w:rPr>
        <w:t>discussion is planned.</w:t>
      </w:r>
    </w:p>
    <w:p w14:paraId="3BE0FAA2" w14:textId="1E42EE71" w:rsidR="00E639E7" w:rsidRPr="00F152DC" w:rsidRDefault="00E639E7" w:rsidP="00E639E7">
      <w:pPr>
        <w:spacing w:after="220"/>
        <w:jc w:val="both"/>
        <w:rPr>
          <w:sz w:val="16"/>
          <w:szCs w:val="16"/>
        </w:rPr>
      </w:pPr>
      <w:r w:rsidRPr="00F152DC">
        <w:rPr>
          <w:sz w:val="16"/>
          <w:szCs w:val="16"/>
        </w:rPr>
        <w:fldChar w:fldCharType="begin"/>
      </w:r>
      <w:r w:rsidRPr="00F152DC">
        <w:rPr>
          <w:sz w:val="16"/>
          <w:szCs w:val="16"/>
        </w:rPr>
        <w:instrText xml:space="preserve"> FILENAME  \p  \* MERGEFORMAT </w:instrText>
      </w:r>
      <w:r w:rsidRPr="00F152DC">
        <w:rPr>
          <w:sz w:val="16"/>
          <w:szCs w:val="16"/>
        </w:rPr>
        <w:fldChar w:fldCharType="separate"/>
      </w:r>
      <w:r>
        <w:rPr>
          <w:noProof/>
          <w:sz w:val="16"/>
          <w:szCs w:val="16"/>
        </w:rPr>
        <w:t>G:\FRS\DATA\Stat Acctg\1. Statutory\A. Maintenance\a. Form A\1. Active Form A's\2020\20-XX - INT 20-XX Extend 90 Day Rule for Covid-19.docx</w:t>
      </w:r>
      <w:r w:rsidRPr="00F152DC">
        <w:rPr>
          <w:sz w:val="16"/>
          <w:szCs w:val="16"/>
        </w:rPr>
        <w:fldChar w:fldCharType="end"/>
      </w:r>
    </w:p>
    <w:p w14:paraId="17951317" w14:textId="77AAC78B" w:rsidR="00F152DC" w:rsidRPr="00E639E7" w:rsidRDefault="00F152DC" w:rsidP="00E639E7"/>
    <w:sectPr w:rsidR="00F152DC" w:rsidRPr="00E639E7" w:rsidSect="00184C49">
      <w:headerReference w:type="default" r:id="rId8"/>
      <w:footerReference w:type="default" r:id="rId9"/>
      <w:pgSz w:w="12240" w:h="15840" w:code="1"/>
      <w:pgMar w:top="108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9443" w14:textId="77777777" w:rsidR="0028344A" w:rsidRDefault="0028344A">
      <w:r>
        <w:separator/>
      </w:r>
    </w:p>
  </w:endnote>
  <w:endnote w:type="continuationSeparator" w:id="0">
    <w:p w14:paraId="51F8A4B4" w14:textId="77777777" w:rsidR="0028344A" w:rsidRDefault="0028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5B9ECC64" w:rsidR="0028344A" w:rsidRPr="00D32E80" w:rsidRDefault="0028344A">
    <w:pPr>
      <w:pStyle w:val="Footer"/>
      <w:rPr>
        <w:b/>
        <w:sz w:val="18"/>
        <w:szCs w:val="18"/>
      </w:rPr>
    </w:pPr>
    <w:r>
      <w:tab/>
    </w:r>
    <w:r>
      <w:rPr>
        <w:b/>
        <w:sz w:val="18"/>
        <w:szCs w:val="18"/>
      </w:rPr>
      <w:t>20</w:t>
    </w:r>
    <w:r w:rsidRPr="00D32E80">
      <w:rPr>
        <w:b/>
        <w:sz w:val="18"/>
        <w:szCs w:val="18"/>
      </w:rPr>
      <w:t>-</w:t>
    </w:r>
    <w:r>
      <w:rPr>
        <w:b/>
        <w:sz w:val="18"/>
        <w:szCs w:val="18"/>
      </w:rPr>
      <w:t>02T</w:t>
    </w:r>
    <w:r w:rsidRPr="00D32E80">
      <w:rPr>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1273" w14:textId="77777777" w:rsidR="0028344A" w:rsidRDefault="0028344A">
      <w:r>
        <w:separator/>
      </w:r>
    </w:p>
  </w:footnote>
  <w:footnote w:type="continuationSeparator" w:id="0">
    <w:p w14:paraId="48BDE6E9" w14:textId="77777777" w:rsidR="0028344A" w:rsidRDefault="0028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4B1C" w14:textId="77777777" w:rsidR="0028344A" w:rsidRPr="00A61442" w:rsidRDefault="0028344A">
    <w:pPr>
      <w:pStyle w:val="Header"/>
      <w:rPr>
        <w:b/>
      </w:rPr>
    </w:pPr>
    <w:r>
      <w:tab/>
    </w:r>
    <w:r w:rsidRPr="00D32E80">
      <w:rPr>
        <w:b/>
        <w:sz w:val="18"/>
        <w:szCs w:val="18"/>
      </w:rPr>
      <w:tab/>
    </w:r>
  </w:p>
  <w:p w14:paraId="623D4889" w14:textId="4DB95FD8" w:rsidR="0028344A" w:rsidRDefault="0028344A" w:rsidP="00A61442">
    <w:pPr>
      <w:pStyle w:val="Header"/>
      <w:jc w:val="right"/>
      <w:rPr>
        <w:b/>
      </w:rPr>
    </w:pPr>
    <w:r w:rsidRPr="00A61442">
      <w:rPr>
        <w:b/>
      </w:rPr>
      <w:t xml:space="preserve">INT </w:t>
    </w:r>
    <w:r>
      <w:rPr>
        <w:b/>
      </w:rPr>
      <w:t>20</w:t>
    </w:r>
    <w:r w:rsidRPr="00A61442">
      <w:rPr>
        <w:b/>
      </w:rPr>
      <w:t>-</w:t>
    </w:r>
    <w:r>
      <w:rPr>
        <w:b/>
      </w:rPr>
      <w:t>02T</w:t>
    </w:r>
  </w:p>
  <w:p w14:paraId="6414A807" w14:textId="77777777" w:rsidR="0028344A" w:rsidRPr="00A61442" w:rsidRDefault="0028344A"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3255F75"/>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0327E"/>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7"/>
  </w:num>
  <w:num w:numId="2">
    <w:abstractNumId w:val="7"/>
  </w:num>
  <w:num w:numId="3">
    <w:abstractNumId w:val="4"/>
  </w:num>
  <w:num w:numId="4">
    <w:abstractNumId w:val="6"/>
  </w:num>
  <w:num w:numId="5">
    <w:abstractNumId w:val="0"/>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isplayBackgroundShap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8A"/>
    <w:rsid w:val="0000510C"/>
    <w:rsid w:val="00030AB1"/>
    <w:rsid w:val="0005045E"/>
    <w:rsid w:val="00052F8B"/>
    <w:rsid w:val="00061C93"/>
    <w:rsid w:val="000A48C8"/>
    <w:rsid w:val="00116F9A"/>
    <w:rsid w:val="00184C49"/>
    <w:rsid w:val="00186172"/>
    <w:rsid w:val="001B1BE7"/>
    <w:rsid w:val="001C196C"/>
    <w:rsid w:val="001C7A3E"/>
    <w:rsid w:val="001E2E22"/>
    <w:rsid w:val="001F4024"/>
    <w:rsid w:val="001F76C4"/>
    <w:rsid w:val="00263DF3"/>
    <w:rsid w:val="002672A5"/>
    <w:rsid w:val="00273BFB"/>
    <w:rsid w:val="00281FA6"/>
    <w:rsid w:val="0028344A"/>
    <w:rsid w:val="0029506C"/>
    <w:rsid w:val="002D38A1"/>
    <w:rsid w:val="003014DD"/>
    <w:rsid w:val="00365B1A"/>
    <w:rsid w:val="003A7189"/>
    <w:rsid w:val="003A718A"/>
    <w:rsid w:val="003B14C7"/>
    <w:rsid w:val="003D3B83"/>
    <w:rsid w:val="003E4ACE"/>
    <w:rsid w:val="004044CA"/>
    <w:rsid w:val="0041537F"/>
    <w:rsid w:val="0046070F"/>
    <w:rsid w:val="00477DFF"/>
    <w:rsid w:val="00494B6B"/>
    <w:rsid w:val="004E5666"/>
    <w:rsid w:val="005375A5"/>
    <w:rsid w:val="005544DD"/>
    <w:rsid w:val="0059137B"/>
    <w:rsid w:val="005A72B7"/>
    <w:rsid w:val="005C5B20"/>
    <w:rsid w:val="005D0B3E"/>
    <w:rsid w:val="005D22F4"/>
    <w:rsid w:val="005F3704"/>
    <w:rsid w:val="006148B7"/>
    <w:rsid w:val="00634808"/>
    <w:rsid w:val="00645824"/>
    <w:rsid w:val="006A15EF"/>
    <w:rsid w:val="006C39BB"/>
    <w:rsid w:val="006F5F4D"/>
    <w:rsid w:val="0072239A"/>
    <w:rsid w:val="00754BC4"/>
    <w:rsid w:val="007554F6"/>
    <w:rsid w:val="007A15DB"/>
    <w:rsid w:val="007A7E1C"/>
    <w:rsid w:val="007C4C59"/>
    <w:rsid w:val="00823A06"/>
    <w:rsid w:val="00856512"/>
    <w:rsid w:val="00856B75"/>
    <w:rsid w:val="00863EB6"/>
    <w:rsid w:val="00871A55"/>
    <w:rsid w:val="0087692A"/>
    <w:rsid w:val="0089597C"/>
    <w:rsid w:val="008B02C4"/>
    <w:rsid w:val="008B3B09"/>
    <w:rsid w:val="008B6E08"/>
    <w:rsid w:val="008C66CA"/>
    <w:rsid w:val="008D1FA1"/>
    <w:rsid w:val="008F59D5"/>
    <w:rsid w:val="00904607"/>
    <w:rsid w:val="00904D68"/>
    <w:rsid w:val="00932533"/>
    <w:rsid w:val="00946718"/>
    <w:rsid w:val="00982052"/>
    <w:rsid w:val="00985762"/>
    <w:rsid w:val="00986382"/>
    <w:rsid w:val="00987B94"/>
    <w:rsid w:val="00995B77"/>
    <w:rsid w:val="009A5210"/>
    <w:rsid w:val="009E17F3"/>
    <w:rsid w:val="009E4A8E"/>
    <w:rsid w:val="00A40452"/>
    <w:rsid w:val="00A55036"/>
    <w:rsid w:val="00A57715"/>
    <w:rsid w:val="00A60937"/>
    <w:rsid w:val="00A61442"/>
    <w:rsid w:val="00A616BC"/>
    <w:rsid w:val="00A81336"/>
    <w:rsid w:val="00AD2DB4"/>
    <w:rsid w:val="00B14CF2"/>
    <w:rsid w:val="00B36AA6"/>
    <w:rsid w:val="00B43F90"/>
    <w:rsid w:val="00BC0FEB"/>
    <w:rsid w:val="00BC68EC"/>
    <w:rsid w:val="00BD41A8"/>
    <w:rsid w:val="00BF21A0"/>
    <w:rsid w:val="00C26D2C"/>
    <w:rsid w:val="00C56DFF"/>
    <w:rsid w:val="00C70DD0"/>
    <w:rsid w:val="00CD7A1B"/>
    <w:rsid w:val="00D017D6"/>
    <w:rsid w:val="00D12A84"/>
    <w:rsid w:val="00D23F5C"/>
    <w:rsid w:val="00D3120D"/>
    <w:rsid w:val="00D32E80"/>
    <w:rsid w:val="00D33380"/>
    <w:rsid w:val="00D71FDC"/>
    <w:rsid w:val="00D829B4"/>
    <w:rsid w:val="00D84107"/>
    <w:rsid w:val="00D92B88"/>
    <w:rsid w:val="00DC1273"/>
    <w:rsid w:val="00DC2320"/>
    <w:rsid w:val="00DC70DE"/>
    <w:rsid w:val="00DD3D59"/>
    <w:rsid w:val="00E639E7"/>
    <w:rsid w:val="00E83A87"/>
    <w:rsid w:val="00EC61FC"/>
    <w:rsid w:val="00EF0967"/>
    <w:rsid w:val="00EF471C"/>
    <w:rsid w:val="00F152DC"/>
    <w:rsid w:val="00F40DC9"/>
    <w:rsid w:val="00F420C7"/>
    <w:rsid w:val="00F472CB"/>
    <w:rsid w:val="00F9517B"/>
    <w:rsid w:val="00FD6ADC"/>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2BD4-09C4-4E0A-A030-D294C4CE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E7E09308.dotm</Template>
  <TotalTime>310</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Marcotte, Robin</cp:lastModifiedBy>
  <cp:revision>37</cp:revision>
  <cp:lastPrinted>2017-10-03T18:55:00Z</cp:lastPrinted>
  <dcterms:created xsi:type="dcterms:W3CDTF">2017-09-27T14:20:00Z</dcterms:created>
  <dcterms:modified xsi:type="dcterms:W3CDTF">2020-03-26T19:07:00Z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-1984605225</vt:i4>
  </property>
  <property fmtid="{D5CDD505-2E9C-101B-9397-08002B2CF9AE}" pid="3" name="_NewReviewCycle">
    <vt:lpwstr/>
  </property>
  <property fmtid="{D5CDD505-2E9C-101B-9397-08002B2CF9AE}" pid="4" name="_EmailSubject">
    <vt:lpwstr>Statutory Accounting Principles Working Group - Potential Temporary Waiver</vt:lpwstr>
  </property>
  <property fmtid="{D5CDD505-2E9C-101B-9397-08002B2CF9AE}" pid="5" name="_AuthorEmail">
    <vt:lpwstr>JGann@naic.org</vt:lpwstr>
  </property>
  <property fmtid="{D5CDD505-2E9C-101B-9397-08002B2CF9AE}" pid="6" name="_AuthorEmailDisplayName">
    <vt:lpwstr>Gann, Julie</vt:lpwstr>
  </property>
  <property fmtid="{D5CDD505-2E9C-101B-9397-08002B2CF9AE}" pid="7" name="_ReviewingToolsShownOnce">
    <vt:lpwstr/>
  </property>
</Properties>
</file>