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127BA" w14:textId="77777777" w:rsidR="00985762" w:rsidRPr="00610A44" w:rsidRDefault="00985762" w:rsidP="00A60937">
      <w:pPr>
        <w:pStyle w:val="BodyText"/>
        <w:spacing w:after="280"/>
        <w:jc w:val="center"/>
        <w:rPr>
          <w:rFonts w:ascii="Times New Roman" w:hAnsi="Times New Roman"/>
          <w:b/>
          <w:sz w:val="28"/>
          <w:szCs w:val="28"/>
        </w:rPr>
      </w:pPr>
      <w:r w:rsidRPr="00610A44">
        <w:rPr>
          <w:rFonts w:ascii="Times New Roman" w:hAnsi="Times New Roman"/>
          <w:b/>
          <w:sz w:val="28"/>
          <w:szCs w:val="28"/>
        </w:rPr>
        <w:t xml:space="preserve">Interpretation of the </w:t>
      </w:r>
      <w:r w:rsidR="00A60937" w:rsidRPr="00610A44">
        <w:rPr>
          <w:rFonts w:ascii="Times New Roman" w:hAnsi="Times New Roman"/>
          <w:b/>
          <w:sz w:val="28"/>
          <w:szCs w:val="28"/>
        </w:rPr>
        <w:t>Statutory</w:t>
      </w:r>
      <w:r w:rsidRPr="00610A44">
        <w:rPr>
          <w:rFonts w:ascii="Times New Roman" w:hAnsi="Times New Roman"/>
          <w:b/>
          <w:sz w:val="28"/>
          <w:szCs w:val="28"/>
        </w:rPr>
        <w:t xml:space="preserve"> Accounting </w:t>
      </w:r>
      <w:r w:rsidR="00CD7A1B" w:rsidRPr="00610A44">
        <w:rPr>
          <w:rFonts w:ascii="Times New Roman" w:hAnsi="Times New Roman"/>
          <w:b/>
          <w:sz w:val="28"/>
          <w:szCs w:val="28"/>
        </w:rPr>
        <w:t>Principles</w:t>
      </w:r>
      <w:r w:rsidRPr="00610A44">
        <w:rPr>
          <w:rFonts w:ascii="Times New Roman" w:hAnsi="Times New Roman"/>
          <w:b/>
          <w:sz w:val="28"/>
          <w:szCs w:val="28"/>
        </w:rPr>
        <w:t xml:space="preserve"> Working Group</w:t>
      </w:r>
    </w:p>
    <w:p w14:paraId="0A1C46A8" w14:textId="065544DB" w:rsidR="00273BFB" w:rsidRPr="00610A44" w:rsidRDefault="00985762" w:rsidP="00A60937">
      <w:pPr>
        <w:spacing w:after="280"/>
        <w:jc w:val="center"/>
        <w:rPr>
          <w:b/>
          <w:sz w:val="28"/>
          <w:szCs w:val="28"/>
        </w:rPr>
      </w:pPr>
      <w:r w:rsidRPr="00610A44">
        <w:rPr>
          <w:b/>
          <w:sz w:val="28"/>
          <w:szCs w:val="28"/>
        </w:rPr>
        <w:t xml:space="preserve">INT </w:t>
      </w:r>
      <w:r w:rsidR="00273BFB" w:rsidRPr="00610A44">
        <w:rPr>
          <w:b/>
          <w:sz w:val="28"/>
          <w:szCs w:val="28"/>
        </w:rPr>
        <w:t>20</w:t>
      </w:r>
      <w:r w:rsidRPr="00610A44">
        <w:rPr>
          <w:b/>
          <w:sz w:val="28"/>
          <w:szCs w:val="28"/>
        </w:rPr>
        <w:t>-</w:t>
      </w:r>
      <w:r w:rsidR="00116F9A" w:rsidRPr="00610A44">
        <w:rPr>
          <w:b/>
          <w:sz w:val="28"/>
          <w:szCs w:val="28"/>
        </w:rPr>
        <w:t>0</w:t>
      </w:r>
      <w:r w:rsidR="003B2D06" w:rsidRPr="00610A44">
        <w:rPr>
          <w:b/>
          <w:sz w:val="28"/>
          <w:szCs w:val="28"/>
        </w:rPr>
        <w:t>3</w:t>
      </w:r>
      <w:r w:rsidR="00116F9A" w:rsidRPr="00610A44">
        <w:rPr>
          <w:b/>
          <w:sz w:val="28"/>
          <w:szCs w:val="28"/>
        </w:rPr>
        <w:t>T</w:t>
      </w:r>
      <w:r w:rsidRPr="00610A44">
        <w:rPr>
          <w:b/>
          <w:sz w:val="28"/>
          <w:szCs w:val="28"/>
        </w:rPr>
        <w:t xml:space="preserve">: </w:t>
      </w:r>
      <w:r w:rsidR="00AC718E" w:rsidRPr="00610A44">
        <w:rPr>
          <w:b/>
          <w:sz w:val="28"/>
          <w:szCs w:val="28"/>
        </w:rPr>
        <w:t>Troubled Debt Restructuring</w:t>
      </w:r>
      <w:r w:rsidR="006035FA" w:rsidRPr="00610A44">
        <w:rPr>
          <w:b/>
          <w:sz w:val="28"/>
          <w:szCs w:val="28"/>
        </w:rPr>
        <w:t xml:space="preserve"> Due to </w:t>
      </w:r>
      <w:r w:rsidR="00273BFB" w:rsidRPr="00610A44">
        <w:rPr>
          <w:b/>
          <w:sz w:val="28"/>
          <w:szCs w:val="28"/>
        </w:rPr>
        <w:t>COVID-19</w:t>
      </w:r>
    </w:p>
    <w:p w14:paraId="553A3019" w14:textId="77777777" w:rsidR="00D32E80" w:rsidRPr="00610A44" w:rsidRDefault="00D32E80" w:rsidP="00A60937">
      <w:pPr>
        <w:pStyle w:val="Heading2"/>
        <w:keepNext w:val="0"/>
        <w:rPr>
          <w:rFonts w:ascii="Times New Roman" w:hAnsi="Times New Roman"/>
          <w:sz w:val="22"/>
          <w:szCs w:val="22"/>
        </w:rPr>
      </w:pPr>
    </w:p>
    <w:p w14:paraId="34541356" w14:textId="0B123480" w:rsidR="00985762" w:rsidRPr="00610A44" w:rsidRDefault="00DC1273" w:rsidP="00A60937">
      <w:pPr>
        <w:pStyle w:val="Heading2"/>
        <w:keepNext w:val="0"/>
        <w:spacing w:after="220"/>
        <w:rPr>
          <w:rFonts w:ascii="Times New Roman" w:hAnsi="Times New Roman"/>
          <w:sz w:val="22"/>
          <w:szCs w:val="22"/>
        </w:rPr>
      </w:pPr>
      <w:r w:rsidRPr="00610A44">
        <w:rPr>
          <w:rFonts w:ascii="Times New Roman" w:hAnsi="Times New Roman"/>
          <w:sz w:val="22"/>
          <w:szCs w:val="22"/>
        </w:rPr>
        <w:t xml:space="preserve">INT </w:t>
      </w:r>
      <w:r w:rsidR="00273BFB" w:rsidRPr="00610A44">
        <w:rPr>
          <w:rFonts w:ascii="Times New Roman" w:hAnsi="Times New Roman"/>
          <w:sz w:val="22"/>
          <w:szCs w:val="22"/>
        </w:rPr>
        <w:t>20</w:t>
      </w:r>
      <w:r w:rsidRPr="00610A44">
        <w:rPr>
          <w:rFonts w:ascii="Times New Roman" w:hAnsi="Times New Roman"/>
          <w:sz w:val="22"/>
          <w:szCs w:val="22"/>
        </w:rPr>
        <w:t>-</w:t>
      </w:r>
      <w:r w:rsidR="00116F9A" w:rsidRPr="00610A44">
        <w:rPr>
          <w:rFonts w:ascii="Times New Roman" w:hAnsi="Times New Roman"/>
          <w:sz w:val="22"/>
          <w:szCs w:val="22"/>
        </w:rPr>
        <w:t>0</w:t>
      </w:r>
      <w:r w:rsidR="003B2D06" w:rsidRPr="00610A44">
        <w:rPr>
          <w:rFonts w:ascii="Times New Roman" w:hAnsi="Times New Roman"/>
          <w:sz w:val="22"/>
          <w:szCs w:val="22"/>
        </w:rPr>
        <w:t>3</w:t>
      </w:r>
      <w:r w:rsidR="00116F9A" w:rsidRPr="00610A44">
        <w:rPr>
          <w:rFonts w:ascii="Times New Roman" w:hAnsi="Times New Roman"/>
          <w:sz w:val="22"/>
          <w:szCs w:val="22"/>
        </w:rPr>
        <w:t>T</w:t>
      </w:r>
      <w:r w:rsidR="00985762" w:rsidRPr="00610A44">
        <w:rPr>
          <w:rFonts w:ascii="Times New Roman" w:hAnsi="Times New Roman"/>
          <w:sz w:val="22"/>
          <w:szCs w:val="22"/>
        </w:rPr>
        <w:t xml:space="preserve"> Date</w:t>
      </w:r>
      <w:r w:rsidR="00263DF3" w:rsidRPr="00610A44">
        <w:rPr>
          <w:rFonts w:ascii="Times New Roman" w:hAnsi="Times New Roman"/>
          <w:sz w:val="22"/>
          <w:szCs w:val="22"/>
        </w:rPr>
        <w:t>s</w:t>
      </w:r>
      <w:r w:rsidR="00985762" w:rsidRPr="00610A44">
        <w:rPr>
          <w:rFonts w:ascii="Times New Roman" w:hAnsi="Times New Roman"/>
          <w:sz w:val="22"/>
          <w:szCs w:val="22"/>
        </w:rPr>
        <w:t xml:space="preserve"> Discussed</w:t>
      </w:r>
    </w:p>
    <w:p w14:paraId="25F487F2" w14:textId="77777777" w:rsidR="00006395" w:rsidRPr="00F82CE0" w:rsidRDefault="00006395" w:rsidP="00006395">
      <w:pPr>
        <w:spacing w:after="220"/>
        <w:rPr>
          <w:sz w:val="22"/>
          <w:szCs w:val="22"/>
        </w:rPr>
      </w:pPr>
      <w:r w:rsidRPr="00F82CE0">
        <w:rPr>
          <w:sz w:val="22"/>
          <w:szCs w:val="22"/>
        </w:rPr>
        <w:t xml:space="preserve">Email Vote to Expose </w:t>
      </w:r>
      <w:r>
        <w:rPr>
          <w:sz w:val="22"/>
          <w:szCs w:val="22"/>
        </w:rPr>
        <w:t>March 26</w:t>
      </w:r>
      <w:r w:rsidRPr="00F82CE0">
        <w:rPr>
          <w:sz w:val="22"/>
          <w:szCs w:val="22"/>
        </w:rPr>
        <w:t>, 2020</w:t>
      </w:r>
    </w:p>
    <w:p w14:paraId="1AB548FA" w14:textId="3D6ABFC1" w:rsidR="00985762" w:rsidRPr="00610A44" w:rsidRDefault="00985762" w:rsidP="00A60937">
      <w:pPr>
        <w:pStyle w:val="Heading2"/>
        <w:keepNext w:val="0"/>
        <w:spacing w:after="220"/>
        <w:rPr>
          <w:rFonts w:ascii="Times New Roman" w:hAnsi="Times New Roman"/>
          <w:sz w:val="22"/>
          <w:szCs w:val="22"/>
        </w:rPr>
      </w:pPr>
      <w:bookmarkStart w:id="0" w:name="_GoBack"/>
      <w:bookmarkEnd w:id="0"/>
      <w:r w:rsidRPr="00610A44">
        <w:rPr>
          <w:rFonts w:ascii="Times New Roman" w:hAnsi="Times New Roman"/>
          <w:sz w:val="22"/>
          <w:szCs w:val="22"/>
        </w:rPr>
        <w:t xml:space="preserve">INT </w:t>
      </w:r>
      <w:r w:rsidR="00273BFB" w:rsidRPr="00610A44">
        <w:rPr>
          <w:rFonts w:ascii="Times New Roman" w:hAnsi="Times New Roman"/>
          <w:sz w:val="22"/>
          <w:szCs w:val="22"/>
        </w:rPr>
        <w:t>20</w:t>
      </w:r>
      <w:r w:rsidRPr="00610A44">
        <w:rPr>
          <w:rFonts w:ascii="Times New Roman" w:hAnsi="Times New Roman"/>
          <w:sz w:val="22"/>
          <w:szCs w:val="22"/>
        </w:rPr>
        <w:t>-</w:t>
      </w:r>
      <w:r w:rsidR="00116F9A" w:rsidRPr="00610A44">
        <w:rPr>
          <w:rFonts w:ascii="Times New Roman" w:hAnsi="Times New Roman"/>
          <w:sz w:val="22"/>
          <w:szCs w:val="22"/>
        </w:rPr>
        <w:t>0</w:t>
      </w:r>
      <w:r w:rsidR="00BE3241" w:rsidRPr="00610A44">
        <w:rPr>
          <w:rFonts w:ascii="Times New Roman" w:hAnsi="Times New Roman"/>
          <w:sz w:val="22"/>
          <w:szCs w:val="22"/>
        </w:rPr>
        <w:t>3</w:t>
      </w:r>
      <w:r w:rsidR="00116F9A" w:rsidRPr="00610A44">
        <w:rPr>
          <w:rFonts w:ascii="Times New Roman" w:hAnsi="Times New Roman"/>
          <w:sz w:val="22"/>
          <w:szCs w:val="22"/>
        </w:rPr>
        <w:t>T</w:t>
      </w:r>
      <w:r w:rsidRPr="00610A44">
        <w:rPr>
          <w:rFonts w:ascii="Times New Roman" w:hAnsi="Times New Roman"/>
          <w:sz w:val="22"/>
          <w:szCs w:val="22"/>
        </w:rPr>
        <w:t xml:space="preserve"> References</w:t>
      </w:r>
    </w:p>
    <w:p w14:paraId="20AAA4AC" w14:textId="46576CF0" w:rsidR="003B2D06" w:rsidRPr="00610A44" w:rsidRDefault="003B2D06" w:rsidP="006035FA">
      <w:pPr>
        <w:numPr>
          <w:ilvl w:val="0"/>
          <w:numId w:val="10"/>
        </w:numPr>
        <w:jc w:val="both"/>
        <w:rPr>
          <w:i/>
          <w:iCs/>
          <w:sz w:val="22"/>
          <w:szCs w:val="22"/>
        </w:rPr>
      </w:pPr>
      <w:r w:rsidRPr="00610A44">
        <w:rPr>
          <w:i/>
          <w:iCs/>
          <w:sz w:val="22"/>
          <w:szCs w:val="22"/>
        </w:rPr>
        <w:t xml:space="preserve">SSAP No. 36—Troubled Debt Restructuring </w:t>
      </w:r>
    </w:p>
    <w:p w14:paraId="2878A4C9" w14:textId="77777777" w:rsidR="006035FA" w:rsidRPr="00610A44" w:rsidRDefault="006035FA" w:rsidP="006035FA">
      <w:pPr>
        <w:ind w:left="720"/>
        <w:jc w:val="both"/>
        <w:rPr>
          <w:i/>
          <w:iCs/>
          <w:sz w:val="22"/>
          <w:szCs w:val="22"/>
        </w:rPr>
      </w:pPr>
    </w:p>
    <w:p w14:paraId="755B7BA8" w14:textId="41EBE558" w:rsidR="00985762" w:rsidRPr="00610A44" w:rsidRDefault="00DC1273" w:rsidP="009E4A8E">
      <w:pPr>
        <w:pStyle w:val="Heading1"/>
        <w:keepNext w:val="0"/>
        <w:spacing w:after="220"/>
        <w:jc w:val="both"/>
        <w:rPr>
          <w:b/>
          <w:sz w:val="22"/>
          <w:szCs w:val="22"/>
        </w:rPr>
      </w:pPr>
      <w:r w:rsidRPr="00610A44">
        <w:rPr>
          <w:b/>
          <w:sz w:val="22"/>
          <w:szCs w:val="22"/>
        </w:rPr>
        <w:t xml:space="preserve">INT </w:t>
      </w:r>
      <w:r w:rsidR="00273BFB" w:rsidRPr="00610A44">
        <w:rPr>
          <w:b/>
          <w:sz w:val="22"/>
          <w:szCs w:val="22"/>
        </w:rPr>
        <w:t>20</w:t>
      </w:r>
      <w:r w:rsidRPr="00610A44">
        <w:rPr>
          <w:b/>
          <w:sz w:val="22"/>
          <w:szCs w:val="22"/>
        </w:rPr>
        <w:t>-</w:t>
      </w:r>
      <w:r w:rsidR="00116F9A" w:rsidRPr="00610A44">
        <w:rPr>
          <w:b/>
          <w:sz w:val="22"/>
          <w:szCs w:val="22"/>
        </w:rPr>
        <w:t>0</w:t>
      </w:r>
      <w:r w:rsidR="003B2D06" w:rsidRPr="00610A44">
        <w:rPr>
          <w:b/>
          <w:sz w:val="22"/>
          <w:szCs w:val="22"/>
        </w:rPr>
        <w:t>3</w:t>
      </w:r>
      <w:r w:rsidR="00116F9A" w:rsidRPr="00610A44">
        <w:rPr>
          <w:b/>
          <w:sz w:val="22"/>
          <w:szCs w:val="22"/>
        </w:rPr>
        <w:t>T</w:t>
      </w:r>
      <w:r w:rsidR="00985762" w:rsidRPr="00610A44">
        <w:rPr>
          <w:b/>
          <w:sz w:val="22"/>
          <w:szCs w:val="22"/>
        </w:rPr>
        <w:t xml:space="preserve"> Issue</w:t>
      </w:r>
    </w:p>
    <w:p w14:paraId="48C878E6" w14:textId="26D7952A" w:rsidR="006035FA" w:rsidRPr="00610A44" w:rsidRDefault="00995B77" w:rsidP="006035FA">
      <w:pPr>
        <w:pStyle w:val="ListParagraph"/>
        <w:numPr>
          <w:ilvl w:val="0"/>
          <w:numId w:val="9"/>
        </w:numPr>
        <w:spacing w:after="220"/>
        <w:ind w:left="0" w:firstLine="0"/>
        <w:jc w:val="both"/>
        <w:rPr>
          <w:sz w:val="22"/>
          <w:szCs w:val="22"/>
        </w:rPr>
      </w:pPr>
      <w:r w:rsidRPr="00610A44">
        <w:rPr>
          <w:sz w:val="22"/>
          <w:szCs w:val="22"/>
        </w:rPr>
        <w:t xml:space="preserve">A previously unknown virus began transmitting between October 2019 and March 2020, with the first deaths in the U.S. reported in early March 2020. The disease caused by the virus is known as Coronavirus Disease 2019 (COVID-19). </w:t>
      </w:r>
      <w:r w:rsidR="00BE3241" w:rsidRPr="00610A44">
        <w:rPr>
          <w:sz w:val="22"/>
          <w:szCs w:val="22"/>
        </w:rPr>
        <w:t>Several states and cities have issued “stay home” orders and forced all non-essential businesses to temporarily close. This led to a significant increase in unemployment and the potential permanent closure of many businesses. Total economic damage is still being assessed however the total impact is likely to exceed $1 trillion in the U.S. alone.</w:t>
      </w:r>
    </w:p>
    <w:p w14:paraId="62FF1DA9" w14:textId="77777777" w:rsidR="006035FA" w:rsidRPr="00610A44" w:rsidRDefault="006035FA" w:rsidP="006035FA">
      <w:pPr>
        <w:pStyle w:val="ListParagraph"/>
        <w:spacing w:after="220"/>
        <w:ind w:left="0"/>
        <w:jc w:val="both"/>
        <w:rPr>
          <w:sz w:val="22"/>
          <w:szCs w:val="22"/>
        </w:rPr>
      </w:pPr>
    </w:p>
    <w:p w14:paraId="4DD2D8E9" w14:textId="10B9FFC4" w:rsidR="006035FA" w:rsidRPr="00610A44" w:rsidRDefault="00AC718E" w:rsidP="00EA43E3">
      <w:pPr>
        <w:pStyle w:val="ListParagraph"/>
        <w:numPr>
          <w:ilvl w:val="0"/>
          <w:numId w:val="9"/>
        </w:numPr>
        <w:ind w:left="0" w:firstLine="0"/>
        <w:jc w:val="both"/>
        <w:rPr>
          <w:sz w:val="22"/>
          <w:szCs w:val="22"/>
        </w:rPr>
      </w:pPr>
      <w:bookmarkStart w:id="1" w:name="_Hlk35929183"/>
      <w:r w:rsidRPr="00610A44">
        <w:rPr>
          <w:sz w:val="22"/>
          <w:szCs w:val="22"/>
        </w:rPr>
        <w:t xml:space="preserve">In response to COVID-19, Congress and </w:t>
      </w:r>
      <w:r w:rsidR="00EA43E3" w:rsidRPr="00610A44">
        <w:rPr>
          <w:sz w:val="22"/>
          <w:szCs w:val="22"/>
        </w:rPr>
        <w:t>F</w:t>
      </w:r>
      <w:r w:rsidRPr="00610A44">
        <w:rPr>
          <w:sz w:val="22"/>
          <w:szCs w:val="22"/>
        </w:rPr>
        <w:t xml:space="preserve">ederal and </w:t>
      </w:r>
      <w:r w:rsidR="00EA43E3" w:rsidRPr="00610A44">
        <w:rPr>
          <w:sz w:val="22"/>
          <w:szCs w:val="22"/>
        </w:rPr>
        <w:t xml:space="preserve">state prudential banking regulators have considered provisions pertaining to mortgage loans as a result of the effects </w:t>
      </w:r>
      <w:r w:rsidR="006035FA" w:rsidRPr="00610A44">
        <w:rPr>
          <w:sz w:val="22"/>
          <w:szCs w:val="22"/>
        </w:rPr>
        <w:t xml:space="preserve">of the COVID-19. These provisions are intended to be applicable for the term of the loan modification, but solely with respect to a modification, including a forbearance arrangement, an interest rate modification, a repayment plan, and any other similar arrangement that defers or delays the payment of principal or interest, that occurs during the applicable period for a loan that was not more than 30 days past due as of December 31, 2019. </w:t>
      </w:r>
    </w:p>
    <w:p w14:paraId="2407F7CE" w14:textId="77777777" w:rsidR="00AC718E" w:rsidRPr="00610A44" w:rsidRDefault="00AC718E" w:rsidP="00AC718E">
      <w:pPr>
        <w:pStyle w:val="ListParagraph"/>
        <w:rPr>
          <w:sz w:val="22"/>
          <w:szCs w:val="22"/>
        </w:rPr>
      </w:pPr>
    </w:p>
    <w:p w14:paraId="3FB8A731" w14:textId="3F1F34C6" w:rsidR="00AC718E" w:rsidRPr="00610A44" w:rsidRDefault="00EA43E3" w:rsidP="00EA43E3">
      <w:pPr>
        <w:pStyle w:val="ListParagraph"/>
        <w:numPr>
          <w:ilvl w:val="0"/>
          <w:numId w:val="9"/>
        </w:numPr>
        <w:ind w:left="0" w:firstLine="0"/>
        <w:jc w:val="both"/>
        <w:rPr>
          <w:sz w:val="22"/>
          <w:szCs w:val="22"/>
        </w:rPr>
      </w:pPr>
      <w:r w:rsidRPr="00610A44">
        <w:rPr>
          <w:sz w:val="22"/>
          <w:szCs w:val="22"/>
        </w:rPr>
        <w:t xml:space="preserve">Furthermore, </w:t>
      </w:r>
      <w:r w:rsidR="00AC718E" w:rsidRPr="00610A44">
        <w:rPr>
          <w:sz w:val="22"/>
          <w:szCs w:val="22"/>
        </w:rPr>
        <w:t xml:space="preserve">guidance </w:t>
      </w:r>
      <w:r w:rsidRPr="00610A44">
        <w:rPr>
          <w:sz w:val="22"/>
          <w:szCs w:val="22"/>
        </w:rPr>
        <w:t>has been</w:t>
      </w:r>
      <w:r w:rsidR="00AC718E" w:rsidRPr="00610A44">
        <w:rPr>
          <w:sz w:val="22"/>
          <w:szCs w:val="22"/>
        </w:rPr>
        <w:t xml:space="preserve"> issued by the Financial Condition (E) Committee to all U.S. insurers filing with the NAIC in an effort to encourage insurers to work with borrowers who are unable to, or may become unable to meet their contractual payment obligations because of the effects of COVID-19. </w:t>
      </w:r>
      <w:r w:rsidRPr="00610A44">
        <w:rPr>
          <w:sz w:val="22"/>
          <w:szCs w:val="22"/>
        </w:rPr>
        <w:t>As detailed in that guidance, t</w:t>
      </w:r>
      <w:r w:rsidR="00AC718E" w:rsidRPr="00610A44">
        <w:rPr>
          <w:sz w:val="22"/>
          <w:szCs w:val="22"/>
        </w:rPr>
        <w:t xml:space="preserve">he Committee, which is the NAIC parent committee of all the solvency policy making task forces and working groups of the NAIC, supports the use of prudent loan modifications that can mitigate the impact of COVID-19. </w:t>
      </w:r>
    </w:p>
    <w:p w14:paraId="040AC50A" w14:textId="77777777" w:rsidR="006035FA" w:rsidRPr="00610A44" w:rsidRDefault="006035FA" w:rsidP="00EA43E3">
      <w:pPr>
        <w:rPr>
          <w:sz w:val="22"/>
          <w:szCs w:val="22"/>
        </w:rPr>
      </w:pPr>
    </w:p>
    <w:p w14:paraId="1A33380F" w14:textId="0EC051DD" w:rsidR="00EA43E3" w:rsidRPr="00610A44" w:rsidRDefault="00F67FC4" w:rsidP="00EA43E3">
      <w:pPr>
        <w:pStyle w:val="ListParagraph"/>
        <w:numPr>
          <w:ilvl w:val="0"/>
          <w:numId w:val="9"/>
        </w:numPr>
        <w:spacing w:after="220"/>
        <w:ind w:left="0" w:firstLine="0"/>
        <w:jc w:val="both"/>
        <w:rPr>
          <w:sz w:val="22"/>
          <w:szCs w:val="22"/>
        </w:rPr>
      </w:pPr>
      <w:r w:rsidRPr="00610A44">
        <w:rPr>
          <w:sz w:val="22"/>
          <w:szCs w:val="22"/>
        </w:rPr>
        <w:t>This</w:t>
      </w:r>
      <w:r w:rsidR="00EA43E3" w:rsidRPr="00610A44">
        <w:rPr>
          <w:sz w:val="22"/>
          <w:szCs w:val="22"/>
        </w:rPr>
        <w:t xml:space="preserve"> interpretation consider</w:t>
      </w:r>
      <w:r w:rsidRPr="00610A44">
        <w:rPr>
          <w:sz w:val="22"/>
          <w:szCs w:val="22"/>
        </w:rPr>
        <w:t>s</w:t>
      </w:r>
      <w:r w:rsidR="00EA43E3" w:rsidRPr="00610A44">
        <w:rPr>
          <w:sz w:val="22"/>
          <w:szCs w:val="22"/>
        </w:rPr>
        <w:t xml:space="preserve"> the interagency guidance issued by Federal and state prudential banking regulator on March 22, 2020 </w:t>
      </w:r>
      <w:r w:rsidRPr="00610A44">
        <w:rPr>
          <w:sz w:val="22"/>
          <w:szCs w:val="22"/>
        </w:rPr>
        <w:t xml:space="preserve">addressing </w:t>
      </w:r>
      <w:r w:rsidR="00EA43E3" w:rsidRPr="00610A44">
        <w:rPr>
          <w:sz w:val="22"/>
          <w:szCs w:val="22"/>
        </w:rPr>
        <w:t xml:space="preserve">whether the modification of mortgage loan terms in response to COVID-19 shall be considered a troubled debt restructuring. </w:t>
      </w:r>
    </w:p>
    <w:p w14:paraId="1817CC86" w14:textId="77777777" w:rsidR="00EA43E3" w:rsidRPr="00610A44" w:rsidRDefault="00EA43E3" w:rsidP="00EA43E3">
      <w:pPr>
        <w:pStyle w:val="ListParagraph"/>
        <w:rPr>
          <w:sz w:val="22"/>
          <w:szCs w:val="22"/>
        </w:rPr>
      </w:pPr>
    </w:p>
    <w:bookmarkEnd w:id="1"/>
    <w:p w14:paraId="152EB0A3" w14:textId="5A447D18" w:rsidR="00985762" w:rsidRPr="00610A44" w:rsidRDefault="0005045E" w:rsidP="00A60937">
      <w:pPr>
        <w:pStyle w:val="Heading1"/>
        <w:keepNext w:val="0"/>
        <w:spacing w:after="220"/>
        <w:rPr>
          <w:b/>
          <w:sz w:val="22"/>
          <w:szCs w:val="22"/>
        </w:rPr>
      </w:pPr>
      <w:r w:rsidRPr="00610A44">
        <w:rPr>
          <w:b/>
          <w:sz w:val="22"/>
          <w:szCs w:val="22"/>
        </w:rPr>
        <w:t xml:space="preserve">INT </w:t>
      </w:r>
      <w:r w:rsidR="00A81336" w:rsidRPr="00610A44">
        <w:rPr>
          <w:b/>
          <w:sz w:val="22"/>
          <w:szCs w:val="22"/>
        </w:rPr>
        <w:t>20</w:t>
      </w:r>
      <w:r w:rsidRPr="00610A44">
        <w:rPr>
          <w:b/>
          <w:sz w:val="22"/>
          <w:szCs w:val="22"/>
        </w:rPr>
        <w:t>-</w:t>
      </w:r>
      <w:r w:rsidR="00116F9A" w:rsidRPr="00610A44">
        <w:rPr>
          <w:b/>
          <w:sz w:val="22"/>
          <w:szCs w:val="22"/>
        </w:rPr>
        <w:t>0</w:t>
      </w:r>
      <w:r w:rsidR="00B27A0C" w:rsidRPr="00610A44">
        <w:rPr>
          <w:b/>
          <w:sz w:val="22"/>
          <w:szCs w:val="22"/>
        </w:rPr>
        <w:t>3</w:t>
      </w:r>
      <w:r w:rsidR="00116F9A" w:rsidRPr="00610A44">
        <w:rPr>
          <w:b/>
          <w:sz w:val="22"/>
          <w:szCs w:val="22"/>
        </w:rPr>
        <w:t>T</w:t>
      </w:r>
      <w:r w:rsidR="0045306D" w:rsidRPr="00610A44">
        <w:rPr>
          <w:b/>
          <w:sz w:val="22"/>
          <w:szCs w:val="22"/>
        </w:rPr>
        <w:t xml:space="preserve"> </w:t>
      </w:r>
      <w:r w:rsidR="00985762" w:rsidRPr="00610A44">
        <w:rPr>
          <w:b/>
          <w:sz w:val="22"/>
          <w:szCs w:val="22"/>
        </w:rPr>
        <w:t>Discussion</w:t>
      </w:r>
    </w:p>
    <w:p w14:paraId="19674CF7" w14:textId="4C92540C" w:rsidR="0045306D" w:rsidRPr="00610A44" w:rsidRDefault="0045306D" w:rsidP="009A592D">
      <w:pPr>
        <w:pStyle w:val="ListParagraph"/>
        <w:numPr>
          <w:ilvl w:val="0"/>
          <w:numId w:val="9"/>
        </w:numPr>
        <w:spacing w:after="220"/>
        <w:ind w:left="0" w:firstLine="0"/>
        <w:jc w:val="both"/>
        <w:rPr>
          <w:sz w:val="22"/>
          <w:szCs w:val="22"/>
        </w:rPr>
      </w:pPr>
      <w:r w:rsidRPr="00610A44">
        <w:rPr>
          <w:i/>
          <w:iCs/>
          <w:sz w:val="22"/>
          <w:szCs w:val="22"/>
        </w:rPr>
        <w:t>SSAP No. 36—Troubled Debt Restructuring</w:t>
      </w:r>
      <w:r w:rsidRPr="00610A44">
        <w:rPr>
          <w:sz w:val="22"/>
          <w:szCs w:val="22"/>
        </w:rPr>
        <w:t xml:space="preserve"> provides guidance, predominantly adopted from U.S. GAAP, in determining whether a debt restructuring is considered a troubled debt restructuring. Additionally, SSAP No. 36 provides accounting and disclosure guidance when a troubled debt restructuring has been deemed to occur. Pursuant to existing guidance in SSAP No. 36, a debt restructuring is not necessarily considered a troubled debt restructuring and a creditor must assess whether the debtor is experiencing financial difficulties. The guidance also indicates that a delay in payment that is insignificant is not a concession </w:t>
      </w:r>
    </w:p>
    <w:p w14:paraId="6D02AE7C" w14:textId="77777777" w:rsidR="009A592D" w:rsidRPr="00610A44" w:rsidRDefault="009A592D" w:rsidP="009A592D">
      <w:pPr>
        <w:pStyle w:val="ListParagraph"/>
        <w:rPr>
          <w:sz w:val="22"/>
          <w:szCs w:val="22"/>
        </w:rPr>
      </w:pPr>
    </w:p>
    <w:p w14:paraId="5DF6BC5E" w14:textId="3B79AB8D" w:rsidR="00F67FC4" w:rsidRPr="00610A44" w:rsidRDefault="009A592D" w:rsidP="00BE3241">
      <w:pPr>
        <w:pStyle w:val="ListParagraph"/>
        <w:numPr>
          <w:ilvl w:val="0"/>
          <w:numId w:val="9"/>
        </w:numPr>
        <w:spacing w:after="220"/>
        <w:ind w:left="0" w:firstLine="0"/>
        <w:jc w:val="both"/>
        <w:rPr>
          <w:sz w:val="22"/>
          <w:szCs w:val="22"/>
        </w:rPr>
      </w:pPr>
      <w:r w:rsidRPr="00610A44">
        <w:rPr>
          <w:sz w:val="22"/>
          <w:szCs w:val="22"/>
        </w:rPr>
        <w:t xml:space="preserve">On March 22, 2020, the Federal and state prudential banking regulators issued a joint statement that included guidance on their approach to the accounting for loan modifications in light of the economic impact of the coronavirus pandemic. The guidance was developed in consultation with the staff of the FASB who concur with the approach and indicated that they stand ready to assist stakeholders with any questions. </w:t>
      </w:r>
      <w:r w:rsidR="00AC718E" w:rsidRPr="00610A44">
        <w:rPr>
          <w:sz w:val="22"/>
          <w:szCs w:val="22"/>
        </w:rPr>
        <w:t xml:space="preserve">This </w:t>
      </w:r>
      <w:r w:rsidR="00AA5AF1" w:rsidRPr="00610A44">
        <w:rPr>
          <w:sz w:val="22"/>
          <w:szCs w:val="22"/>
        </w:rPr>
        <w:t xml:space="preserve">interagency </w:t>
      </w:r>
      <w:r w:rsidR="00AC718E" w:rsidRPr="00610A44">
        <w:rPr>
          <w:sz w:val="22"/>
          <w:szCs w:val="22"/>
        </w:rPr>
        <w:t>statement is provided below</w:t>
      </w:r>
      <w:r w:rsidR="00F67FC4" w:rsidRPr="00610A44">
        <w:rPr>
          <w:sz w:val="22"/>
          <w:szCs w:val="22"/>
        </w:rPr>
        <w:t xml:space="preserve"> and is accessible through the FASB </w:t>
      </w:r>
      <w:r w:rsidR="00AA5AF1" w:rsidRPr="00610A44">
        <w:rPr>
          <w:sz w:val="22"/>
          <w:szCs w:val="22"/>
        </w:rPr>
        <w:t>response</w:t>
      </w:r>
      <w:r w:rsidR="00F67FC4" w:rsidRPr="00610A44">
        <w:rPr>
          <w:sz w:val="22"/>
          <w:szCs w:val="22"/>
        </w:rPr>
        <w:t xml:space="preserve"> via the following link: </w:t>
      </w:r>
    </w:p>
    <w:p w14:paraId="329F7D91" w14:textId="77777777" w:rsidR="00F67FC4" w:rsidRPr="00610A44" w:rsidRDefault="00F67FC4" w:rsidP="00F67FC4">
      <w:pPr>
        <w:pStyle w:val="ListParagraph"/>
        <w:spacing w:after="220"/>
        <w:ind w:left="0"/>
        <w:jc w:val="both"/>
        <w:rPr>
          <w:sz w:val="22"/>
          <w:szCs w:val="22"/>
        </w:rPr>
      </w:pPr>
    </w:p>
    <w:p w14:paraId="387E8AA2" w14:textId="34F23157" w:rsidR="009A592D" w:rsidRPr="00610A44" w:rsidRDefault="00006395" w:rsidP="00F67FC4">
      <w:pPr>
        <w:pStyle w:val="ListParagraph"/>
        <w:spacing w:after="220"/>
        <w:ind w:left="0"/>
        <w:jc w:val="both"/>
        <w:rPr>
          <w:sz w:val="22"/>
          <w:szCs w:val="22"/>
        </w:rPr>
      </w:pPr>
      <w:hyperlink r:id="rId8" w:history="1">
        <w:r w:rsidR="00F67FC4" w:rsidRPr="00610A44">
          <w:rPr>
            <w:rStyle w:val="Hyperlink"/>
          </w:rPr>
          <w:t>https://fasb.org/cs/Satellite?c=FASBContent_C&amp;cid=1176174374016&amp;pagename=FASB%2FFASBContent_C%2FNewsPage</w:t>
        </w:r>
      </w:hyperlink>
      <w:r w:rsidR="00AC718E" w:rsidRPr="00610A44">
        <w:rPr>
          <w:sz w:val="22"/>
          <w:szCs w:val="22"/>
        </w:rPr>
        <w:t xml:space="preserve"> </w:t>
      </w:r>
    </w:p>
    <w:p w14:paraId="22A11318" w14:textId="77777777" w:rsidR="009A592D" w:rsidRPr="00610A44" w:rsidRDefault="009A592D" w:rsidP="009A592D">
      <w:pPr>
        <w:pStyle w:val="ListParagraph"/>
        <w:rPr>
          <w:sz w:val="22"/>
          <w:szCs w:val="22"/>
        </w:rPr>
      </w:pPr>
    </w:p>
    <w:p w14:paraId="2675F034" w14:textId="12793F8E" w:rsidR="00A82EBC" w:rsidRPr="00610A44" w:rsidRDefault="00A82EBC" w:rsidP="00A82EBC">
      <w:pPr>
        <w:pStyle w:val="ListParagraph"/>
        <w:spacing w:after="220"/>
        <w:jc w:val="center"/>
        <w:rPr>
          <w:rFonts w:ascii="Arial" w:hAnsi="Arial" w:cs="Arial"/>
        </w:rPr>
      </w:pPr>
      <w:r w:rsidRPr="00610A44">
        <w:rPr>
          <w:rFonts w:ascii="Arial" w:hAnsi="Arial" w:cs="Arial"/>
        </w:rPr>
        <w:t>Interagency Statement on Loan Modifications and Reporting for Financial Institutions Working with Customers Affected by the Coronavirus</w:t>
      </w:r>
    </w:p>
    <w:p w14:paraId="522F50A1" w14:textId="77777777" w:rsidR="00A82EBC" w:rsidRPr="00610A44" w:rsidRDefault="00A82EBC" w:rsidP="003872B7">
      <w:pPr>
        <w:pStyle w:val="ListParagraph"/>
        <w:spacing w:after="220"/>
        <w:jc w:val="both"/>
      </w:pPr>
    </w:p>
    <w:p w14:paraId="0AC285D5" w14:textId="7C350B86" w:rsidR="00A82EBC" w:rsidRPr="00610A44" w:rsidRDefault="00A82EBC" w:rsidP="003872B7">
      <w:pPr>
        <w:pStyle w:val="ListParagraph"/>
        <w:spacing w:after="220"/>
        <w:jc w:val="both"/>
        <w:rPr>
          <w:rFonts w:ascii="Arial" w:hAnsi="Arial" w:cs="Arial"/>
        </w:rPr>
      </w:pPr>
      <w:r w:rsidRPr="00610A44">
        <w:rPr>
          <w:rFonts w:ascii="Arial" w:hAnsi="Arial" w:cs="Arial"/>
        </w:rPr>
        <w:t xml:space="preserve">The Board of Governors of the Federal Reserve System (FRB), the Federal Deposit Insurance Corporation (FDIC), the National Credit Union Administration (NCUA), the Office of the Comptroller of the Currency (OCC), the Consumer Financial Protection Bureau (CFPB),and the State Banking Regulators (hereafter, the agencies), are issuing this interagency statement to provide additional information to financial institutions who are working with borrowers affected by the Coronavirus Disease 2019 (also referred to as COVID-19). The United States has been operating under a presidentially declared emergency since March 13, 2020, and financial institutions and their customers are affected by COVID-19. The agencies understand that this unique and evolving situation could pose temporary business disruptions and challenges that affect banks, credit unions, businesses, borrowers, and the economy. The agencies will continue to communicate with the industry as this situation unfolds, including through additional statements, webinars, frequently asked questions, and other means, as appropriate. </w:t>
      </w:r>
    </w:p>
    <w:p w14:paraId="1A08081F" w14:textId="412C4B3A" w:rsidR="00A82EBC" w:rsidRPr="00610A44" w:rsidRDefault="00A82EBC" w:rsidP="003872B7">
      <w:pPr>
        <w:pStyle w:val="ListParagraph"/>
        <w:spacing w:after="220"/>
        <w:jc w:val="both"/>
      </w:pPr>
    </w:p>
    <w:p w14:paraId="4801216B" w14:textId="77777777" w:rsidR="003F552B" w:rsidRPr="00610A44" w:rsidRDefault="00A82EBC" w:rsidP="003872B7">
      <w:pPr>
        <w:pStyle w:val="ListParagraph"/>
        <w:spacing w:after="220"/>
        <w:jc w:val="both"/>
        <w:rPr>
          <w:rFonts w:ascii="Arial" w:hAnsi="Arial" w:cs="Arial"/>
        </w:rPr>
      </w:pPr>
      <w:r w:rsidRPr="00610A44">
        <w:rPr>
          <w:rFonts w:ascii="Arial" w:hAnsi="Arial" w:cs="Arial"/>
        </w:rPr>
        <w:t>Working with Customers</w:t>
      </w:r>
    </w:p>
    <w:p w14:paraId="1AB58F00" w14:textId="0768513C" w:rsidR="003F552B" w:rsidRPr="00610A44" w:rsidRDefault="00A82EBC" w:rsidP="003872B7">
      <w:pPr>
        <w:pStyle w:val="ListParagraph"/>
        <w:spacing w:after="220"/>
        <w:jc w:val="both"/>
        <w:rPr>
          <w:rFonts w:ascii="Arial" w:hAnsi="Arial" w:cs="Arial"/>
        </w:rPr>
      </w:pPr>
      <w:r w:rsidRPr="00610A44">
        <w:rPr>
          <w:rFonts w:ascii="Arial" w:hAnsi="Arial" w:cs="Arial"/>
        </w:rPr>
        <w:t xml:space="preserve"> </w:t>
      </w:r>
    </w:p>
    <w:p w14:paraId="5B4ED23A" w14:textId="26B22155" w:rsidR="00A82EBC" w:rsidRPr="00610A44" w:rsidRDefault="00A82EBC" w:rsidP="003872B7">
      <w:pPr>
        <w:pStyle w:val="ListParagraph"/>
        <w:spacing w:after="220"/>
        <w:jc w:val="both"/>
        <w:rPr>
          <w:rFonts w:ascii="Arial" w:hAnsi="Arial" w:cs="Arial"/>
        </w:rPr>
      </w:pPr>
      <w:r w:rsidRPr="00610A44">
        <w:rPr>
          <w:rFonts w:ascii="Arial" w:hAnsi="Arial" w:cs="Arial"/>
        </w:rPr>
        <w:t xml:space="preserve">The agencies encourage financial institutions to work prudently with borrowers who are or may be unable to meet their contractual payment obligations because of the effects of COVID-19. The agencies view loan modification programs as positive actions that can mitigate </w:t>
      </w:r>
      <w:proofErr w:type="spellStart"/>
      <w:r w:rsidRPr="00610A44">
        <w:rPr>
          <w:rFonts w:ascii="Arial" w:hAnsi="Arial" w:cs="Arial"/>
        </w:rPr>
        <w:t>adverse affects</w:t>
      </w:r>
      <w:proofErr w:type="spellEnd"/>
      <w:r w:rsidRPr="00610A44">
        <w:rPr>
          <w:rFonts w:ascii="Arial" w:hAnsi="Arial" w:cs="Arial"/>
        </w:rPr>
        <w:t xml:space="preserve"> on borrowers due to COVID-19. The agencies will not criticize institutions for working with borrowers and will not direct supervised institutions to automatically categorize all COVID19 related loan modifications as troubled debt restructurings (TDRs). The agencies will not criticize financial institutions that mitigate credit risk through prudent actions consistent with safe and sound practices. The agencies consider such proactive actions to be in the best interest of institutions, their borrowers, and the economy. This approach is consistent with the agencies’ longstanding practice of encouraging financial institutions to assist borrowers in times of natural disaster and other extreme events. The agencies also will not criticize institutions that work with borrowers as part of a risk mitigation strategy intended to improve an existing non-pass loan.</w:t>
      </w:r>
    </w:p>
    <w:p w14:paraId="62D3EC77" w14:textId="77777777" w:rsidR="00A82EBC" w:rsidRPr="00610A44" w:rsidRDefault="00A82EBC" w:rsidP="003872B7">
      <w:pPr>
        <w:pStyle w:val="ListParagraph"/>
        <w:spacing w:after="220"/>
        <w:jc w:val="both"/>
      </w:pPr>
    </w:p>
    <w:p w14:paraId="029BE25E" w14:textId="6394E9A3" w:rsidR="002C30F4" w:rsidRPr="00610A44" w:rsidRDefault="002C30F4" w:rsidP="003872B7">
      <w:pPr>
        <w:pStyle w:val="ListParagraph"/>
        <w:spacing w:after="220"/>
        <w:jc w:val="both"/>
        <w:rPr>
          <w:rFonts w:ascii="Arial" w:hAnsi="Arial" w:cs="Arial"/>
        </w:rPr>
      </w:pPr>
      <w:r w:rsidRPr="00610A44">
        <w:rPr>
          <w:rFonts w:ascii="Arial" w:hAnsi="Arial" w:cs="Arial"/>
        </w:rPr>
        <w:t xml:space="preserve">Accounting for Loan Modifications </w:t>
      </w:r>
    </w:p>
    <w:p w14:paraId="4FA6966C" w14:textId="77777777" w:rsidR="002C30F4" w:rsidRPr="00610A44" w:rsidRDefault="002C30F4" w:rsidP="003872B7">
      <w:pPr>
        <w:pStyle w:val="ListParagraph"/>
        <w:spacing w:after="220"/>
        <w:jc w:val="both"/>
        <w:rPr>
          <w:rFonts w:ascii="Arial" w:hAnsi="Arial" w:cs="Arial"/>
        </w:rPr>
      </w:pPr>
    </w:p>
    <w:p w14:paraId="54EA2FFE" w14:textId="4A955929" w:rsidR="00817C15" w:rsidRPr="00610A44" w:rsidRDefault="009A592D" w:rsidP="003872B7">
      <w:pPr>
        <w:pStyle w:val="ListParagraph"/>
        <w:spacing w:after="220"/>
        <w:jc w:val="both"/>
        <w:rPr>
          <w:rFonts w:ascii="Arial" w:hAnsi="Arial" w:cs="Arial"/>
        </w:rPr>
      </w:pPr>
      <w:r w:rsidRPr="00610A44">
        <w:rPr>
          <w:rFonts w:ascii="Arial" w:hAnsi="Arial" w:cs="Arial"/>
        </w:rPr>
        <w:t>Modifications of loan terms do not automatically result in TDRs. According to U.S. GAAP, a restructuring of a debt constitutes a TDR if the creditor, for economic or legal reasons related to the debtor’s financial difficulties, grants a concession to the debtor that it would not otherwise consider. The agencies have confirmed with staff of the Financial Accounting Standards Board (FASB) that short-term modifications made on a good faith basis in response to COVID-19 to borrowers who were current prior to any relief, are not TDRs. This includes short-term (e.g., six months) modifications such as payment deferrals, fee waivers, extensions of repayment terms, or other delays in payment that are insignificant. Borrowers considered current are those that are less than 30 days past due on their contractual payments at the time a modification program is implemented.</w:t>
      </w:r>
    </w:p>
    <w:p w14:paraId="5E8A4A37" w14:textId="77777777" w:rsidR="003F552B" w:rsidRPr="00610A44" w:rsidRDefault="003F552B" w:rsidP="003872B7">
      <w:pPr>
        <w:pStyle w:val="ListParagraph"/>
        <w:spacing w:after="220"/>
        <w:jc w:val="both"/>
        <w:rPr>
          <w:rFonts w:ascii="Arial" w:hAnsi="Arial" w:cs="Arial"/>
        </w:rPr>
      </w:pPr>
    </w:p>
    <w:p w14:paraId="2BAD60EB" w14:textId="5A3E2D53" w:rsidR="00817C15" w:rsidRPr="00610A44" w:rsidRDefault="009A592D" w:rsidP="003872B7">
      <w:pPr>
        <w:pStyle w:val="ListParagraph"/>
        <w:spacing w:after="220"/>
        <w:jc w:val="both"/>
        <w:rPr>
          <w:rFonts w:ascii="Arial" w:hAnsi="Arial" w:cs="Arial"/>
        </w:rPr>
      </w:pPr>
      <w:r w:rsidRPr="00610A44">
        <w:rPr>
          <w:rFonts w:ascii="Arial" w:hAnsi="Arial" w:cs="Arial"/>
        </w:rPr>
        <w:t xml:space="preserve">Working with borrowers that are current on existing loans, either individually or as part of a program for creditworthy borrowers who are experiencing short-term financial or operational problems as a result of COVID-19, generally would not be considered TDRs. For modification programs designed to provide temporary relief for current borrowers affected by COVID-19, financial institutions may presume that borrowers that are current on payments are not experiencing financial difficulties at the time of the modification for purposes of determining TDR status, and thus no further TDR analysis is required for each loan modification in the program. </w:t>
      </w:r>
    </w:p>
    <w:p w14:paraId="05799FAD" w14:textId="77777777" w:rsidR="00817C15" w:rsidRPr="00610A44" w:rsidRDefault="00817C15" w:rsidP="003872B7">
      <w:pPr>
        <w:pStyle w:val="ListParagraph"/>
        <w:spacing w:after="220"/>
        <w:jc w:val="both"/>
        <w:rPr>
          <w:rFonts w:ascii="Arial" w:hAnsi="Arial" w:cs="Arial"/>
        </w:rPr>
      </w:pPr>
    </w:p>
    <w:p w14:paraId="6DD8E0C4" w14:textId="77777777" w:rsidR="00817C15" w:rsidRPr="00610A44" w:rsidRDefault="009A592D" w:rsidP="003872B7">
      <w:pPr>
        <w:pStyle w:val="ListParagraph"/>
        <w:spacing w:after="220"/>
        <w:jc w:val="both"/>
        <w:rPr>
          <w:rFonts w:ascii="Arial" w:hAnsi="Arial" w:cs="Arial"/>
        </w:rPr>
      </w:pPr>
      <w:r w:rsidRPr="00610A44">
        <w:rPr>
          <w:rFonts w:ascii="Arial" w:hAnsi="Arial" w:cs="Arial"/>
        </w:rPr>
        <w:t xml:space="preserve">Modification or deferral programs mandated by the federal or a state government related to COVID-19 would not be in the scope of ASC 310-40, e.g., a state program that requires all institutions within that state to suspend mortgage payments for a specified period. </w:t>
      </w:r>
    </w:p>
    <w:p w14:paraId="404E4A03" w14:textId="77777777" w:rsidR="00817C15" w:rsidRPr="00610A44" w:rsidRDefault="00817C15" w:rsidP="003872B7">
      <w:pPr>
        <w:pStyle w:val="ListParagraph"/>
        <w:spacing w:after="220"/>
        <w:jc w:val="both"/>
        <w:rPr>
          <w:rFonts w:ascii="Arial" w:hAnsi="Arial" w:cs="Arial"/>
        </w:rPr>
      </w:pPr>
    </w:p>
    <w:p w14:paraId="66E8E355" w14:textId="77777777" w:rsidR="00817C15" w:rsidRPr="00610A44" w:rsidRDefault="009A592D" w:rsidP="003872B7">
      <w:pPr>
        <w:pStyle w:val="ListParagraph"/>
        <w:spacing w:after="220"/>
        <w:jc w:val="both"/>
        <w:rPr>
          <w:rFonts w:ascii="Arial" w:hAnsi="Arial" w:cs="Arial"/>
        </w:rPr>
      </w:pPr>
      <w:r w:rsidRPr="00610A44">
        <w:rPr>
          <w:rFonts w:ascii="Arial" w:hAnsi="Arial" w:cs="Arial"/>
        </w:rPr>
        <w:t xml:space="preserve">The agencies’ examiners will exercise judgment in reviewing loan modifications, including TDRs, and will not automatically adversely risk rate credits that are affected by COVID-19, including those considered TDRs. Regardless of whether modifications result in loans that are considered TDRs or are adversely classified, agency examiners will not criticize prudent efforts to modify the terms on existing loans to affected customers. </w:t>
      </w:r>
    </w:p>
    <w:p w14:paraId="5ABE6B48" w14:textId="77777777" w:rsidR="00817C15" w:rsidRPr="00610A44" w:rsidRDefault="00817C15" w:rsidP="003872B7">
      <w:pPr>
        <w:pStyle w:val="ListParagraph"/>
        <w:spacing w:after="220"/>
        <w:jc w:val="both"/>
        <w:rPr>
          <w:rFonts w:ascii="Arial" w:hAnsi="Arial" w:cs="Arial"/>
        </w:rPr>
      </w:pPr>
    </w:p>
    <w:p w14:paraId="29F144F8" w14:textId="2EAA48F3" w:rsidR="002C30F4" w:rsidRPr="00610A44" w:rsidRDefault="009A592D" w:rsidP="003872B7">
      <w:pPr>
        <w:pStyle w:val="ListParagraph"/>
        <w:spacing w:after="220"/>
        <w:jc w:val="both"/>
      </w:pPr>
      <w:r w:rsidRPr="00610A44">
        <w:rPr>
          <w:rFonts w:ascii="Arial" w:hAnsi="Arial" w:cs="Arial"/>
        </w:rPr>
        <w:t>In addition, the FRB, the FDIC, and the OCC note that efforts to work with borrowers of one-to</w:t>
      </w:r>
      <w:r w:rsidR="003872B7" w:rsidRPr="00610A44">
        <w:rPr>
          <w:rFonts w:ascii="Arial" w:hAnsi="Arial" w:cs="Arial"/>
        </w:rPr>
        <w:t xml:space="preserve"> </w:t>
      </w:r>
      <w:r w:rsidRPr="00610A44">
        <w:rPr>
          <w:rFonts w:ascii="Arial" w:hAnsi="Arial" w:cs="Arial"/>
        </w:rPr>
        <w:t>four family residential mortgages as described in the modification section of this document, where the loans are prudently underwritten, and not past due or carried in nonaccrual status, will</w:t>
      </w:r>
      <w:r w:rsidR="00817C15" w:rsidRPr="00610A44">
        <w:rPr>
          <w:rFonts w:ascii="Arial" w:hAnsi="Arial" w:cs="Arial"/>
        </w:rPr>
        <w:t xml:space="preserve"> </w:t>
      </w:r>
      <w:r w:rsidR="003872B7" w:rsidRPr="00610A44">
        <w:rPr>
          <w:rFonts w:ascii="Arial" w:hAnsi="Arial" w:cs="Arial"/>
        </w:rPr>
        <w:t>not result in the loans being considered restructured or modified for the purposes of their respective risk-based capital rules.</w:t>
      </w:r>
    </w:p>
    <w:p w14:paraId="55BD6F43" w14:textId="77777777" w:rsidR="002C30F4" w:rsidRPr="00610A44" w:rsidRDefault="002C30F4" w:rsidP="003872B7">
      <w:pPr>
        <w:pStyle w:val="ListParagraph"/>
        <w:spacing w:after="220"/>
        <w:jc w:val="both"/>
      </w:pPr>
    </w:p>
    <w:p w14:paraId="330BD198" w14:textId="77777777" w:rsidR="002C30F4" w:rsidRPr="00610A44" w:rsidRDefault="003872B7" w:rsidP="003872B7">
      <w:pPr>
        <w:pStyle w:val="ListParagraph"/>
        <w:spacing w:after="220"/>
        <w:jc w:val="both"/>
        <w:rPr>
          <w:rFonts w:ascii="Arial" w:hAnsi="Arial" w:cs="Arial"/>
        </w:rPr>
      </w:pPr>
      <w:r w:rsidRPr="00610A44">
        <w:rPr>
          <w:rFonts w:ascii="Arial" w:hAnsi="Arial" w:cs="Arial"/>
        </w:rPr>
        <w:t xml:space="preserve"> Past Due Reporting </w:t>
      </w:r>
    </w:p>
    <w:p w14:paraId="7AC5E649" w14:textId="77777777" w:rsidR="002C30F4" w:rsidRPr="00610A44" w:rsidRDefault="002C30F4" w:rsidP="003872B7">
      <w:pPr>
        <w:pStyle w:val="ListParagraph"/>
        <w:spacing w:after="220"/>
        <w:jc w:val="both"/>
        <w:rPr>
          <w:rFonts w:ascii="Arial" w:hAnsi="Arial" w:cs="Arial"/>
        </w:rPr>
      </w:pPr>
    </w:p>
    <w:p w14:paraId="19F53907" w14:textId="77777777" w:rsidR="002C30F4" w:rsidRPr="00610A44" w:rsidRDefault="003872B7" w:rsidP="003872B7">
      <w:pPr>
        <w:pStyle w:val="ListParagraph"/>
        <w:spacing w:after="220"/>
        <w:jc w:val="both"/>
        <w:rPr>
          <w:rFonts w:ascii="Arial" w:hAnsi="Arial" w:cs="Arial"/>
        </w:rPr>
      </w:pPr>
      <w:r w:rsidRPr="00610A44">
        <w:rPr>
          <w:rFonts w:ascii="Arial" w:hAnsi="Arial" w:cs="Arial"/>
        </w:rPr>
        <w:t>With regard to loans not otherwise reportable as past due, financial institutions are not expected to designate loans with deferrals granted due to COVID-19 as past due because of the deferral. A loan’s payment date is governed by the due date stipulated in the legal loan documents. If a financial institution agrees to a payment deferral, this may result in no contractual payments being past due, and these loans are not considered past due during the period of the deferral.</w:t>
      </w:r>
    </w:p>
    <w:p w14:paraId="71838070" w14:textId="77777777" w:rsidR="002C30F4" w:rsidRPr="00610A44" w:rsidRDefault="002C30F4" w:rsidP="003872B7">
      <w:pPr>
        <w:pStyle w:val="ListParagraph"/>
        <w:spacing w:after="220"/>
        <w:jc w:val="both"/>
        <w:rPr>
          <w:rFonts w:ascii="Arial" w:hAnsi="Arial" w:cs="Arial"/>
        </w:rPr>
      </w:pPr>
    </w:p>
    <w:p w14:paraId="22C82915" w14:textId="77777777" w:rsidR="002C30F4" w:rsidRPr="00610A44" w:rsidRDefault="003872B7" w:rsidP="003872B7">
      <w:pPr>
        <w:pStyle w:val="ListParagraph"/>
        <w:spacing w:after="220"/>
        <w:jc w:val="both"/>
        <w:rPr>
          <w:rFonts w:ascii="Arial" w:hAnsi="Arial" w:cs="Arial"/>
        </w:rPr>
      </w:pPr>
      <w:r w:rsidRPr="00610A44">
        <w:rPr>
          <w:rFonts w:ascii="Arial" w:hAnsi="Arial" w:cs="Arial"/>
        </w:rPr>
        <w:t xml:space="preserve">Nonaccrual Status and Charge-offs </w:t>
      </w:r>
    </w:p>
    <w:p w14:paraId="79F0FB63" w14:textId="77777777" w:rsidR="002C30F4" w:rsidRPr="00610A44" w:rsidRDefault="002C30F4" w:rsidP="003872B7">
      <w:pPr>
        <w:pStyle w:val="ListParagraph"/>
        <w:spacing w:after="220"/>
        <w:jc w:val="both"/>
        <w:rPr>
          <w:rFonts w:ascii="Arial" w:hAnsi="Arial" w:cs="Arial"/>
        </w:rPr>
      </w:pPr>
    </w:p>
    <w:p w14:paraId="67C936E3" w14:textId="77777777" w:rsidR="002C30F4" w:rsidRPr="00610A44" w:rsidRDefault="003872B7" w:rsidP="003872B7">
      <w:pPr>
        <w:pStyle w:val="ListParagraph"/>
        <w:spacing w:after="220"/>
        <w:jc w:val="both"/>
        <w:rPr>
          <w:rFonts w:ascii="Arial" w:hAnsi="Arial" w:cs="Arial"/>
        </w:rPr>
      </w:pPr>
      <w:r w:rsidRPr="00610A44">
        <w:rPr>
          <w:rFonts w:ascii="Arial" w:hAnsi="Arial" w:cs="Arial"/>
        </w:rPr>
        <w:t xml:space="preserve">Each financial institution should refer to the applicable regulatory reporting instructions, as well as its internal accounting policies, to determine if loans to stressed borrowers should be reported as nonaccrual assets in regulatory reports. However, during the short-term arrangements discussed in this statement, these loans generally should not be reported as nonaccrual. As more information becomes available indicating a specific loan will not be repaid, institutions should refer to the charge-off guidance in the instructions for the Consolidated Reports of Condition and Income. </w:t>
      </w:r>
    </w:p>
    <w:p w14:paraId="478A245D" w14:textId="77777777" w:rsidR="002C30F4" w:rsidRPr="00610A44" w:rsidRDefault="002C30F4" w:rsidP="003872B7">
      <w:pPr>
        <w:pStyle w:val="ListParagraph"/>
        <w:spacing w:after="220"/>
        <w:jc w:val="both"/>
        <w:rPr>
          <w:rFonts w:ascii="Arial" w:hAnsi="Arial" w:cs="Arial"/>
        </w:rPr>
      </w:pPr>
    </w:p>
    <w:p w14:paraId="740A7A69" w14:textId="77777777" w:rsidR="002C30F4" w:rsidRPr="00610A44" w:rsidRDefault="003872B7" w:rsidP="003872B7">
      <w:pPr>
        <w:pStyle w:val="ListParagraph"/>
        <w:spacing w:after="220"/>
        <w:jc w:val="both"/>
        <w:rPr>
          <w:rFonts w:ascii="Arial" w:hAnsi="Arial" w:cs="Arial"/>
        </w:rPr>
      </w:pPr>
      <w:r w:rsidRPr="00610A44">
        <w:rPr>
          <w:rFonts w:ascii="Arial" w:hAnsi="Arial" w:cs="Arial"/>
        </w:rPr>
        <w:t xml:space="preserve">Discount Window Eligibility </w:t>
      </w:r>
    </w:p>
    <w:p w14:paraId="172B792B" w14:textId="77777777" w:rsidR="002C30F4" w:rsidRPr="00610A44" w:rsidRDefault="002C30F4" w:rsidP="003872B7">
      <w:pPr>
        <w:pStyle w:val="ListParagraph"/>
        <w:spacing w:after="220"/>
        <w:jc w:val="both"/>
        <w:rPr>
          <w:rFonts w:ascii="Arial" w:hAnsi="Arial" w:cs="Arial"/>
        </w:rPr>
      </w:pPr>
    </w:p>
    <w:p w14:paraId="4A3CC2DA" w14:textId="51071132" w:rsidR="003872B7" w:rsidRPr="00610A44" w:rsidRDefault="003872B7" w:rsidP="003872B7">
      <w:pPr>
        <w:pStyle w:val="ListParagraph"/>
        <w:spacing w:after="220"/>
        <w:jc w:val="both"/>
        <w:rPr>
          <w:rFonts w:ascii="Arial" w:hAnsi="Arial" w:cs="Arial"/>
          <w:sz w:val="22"/>
          <w:szCs w:val="22"/>
        </w:rPr>
      </w:pPr>
      <w:r w:rsidRPr="00610A44">
        <w:rPr>
          <w:rFonts w:ascii="Arial" w:hAnsi="Arial" w:cs="Arial"/>
        </w:rPr>
        <w:t>Institutions are reminded that loans that have been restructured as described under this statement will continue to be eligible as collateral at the FRB’s discount window based on the usual criteria.</w:t>
      </w:r>
    </w:p>
    <w:p w14:paraId="5BA237DB" w14:textId="368B5C56" w:rsidR="0029311F" w:rsidRPr="00610A44" w:rsidRDefault="00BE4AD5" w:rsidP="00AC718E">
      <w:pPr>
        <w:pStyle w:val="Heading1"/>
        <w:keepNext w:val="0"/>
        <w:spacing w:after="220"/>
        <w:rPr>
          <w:b/>
          <w:sz w:val="22"/>
          <w:szCs w:val="22"/>
        </w:rPr>
      </w:pPr>
      <w:r w:rsidRPr="00610A44">
        <w:rPr>
          <w:b/>
          <w:sz w:val="22"/>
          <w:szCs w:val="22"/>
        </w:rPr>
        <w:t>INT 20-0</w:t>
      </w:r>
      <w:r w:rsidR="00BE3241" w:rsidRPr="00610A44">
        <w:rPr>
          <w:b/>
          <w:sz w:val="22"/>
          <w:szCs w:val="22"/>
        </w:rPr>
        <w:t>3</w:t>
      </w:r>
      <w:r w:rsidRPr="00610A44">
        <w:rPr>
          <w:b/>
          <w:sz w:val="22"/>
          <w:szCs w:val="22"/>
        </w:rPr>
        <w:t>T Tentative Consensus</w:t>
      </w:r>
    </w:p>
    <w:p w14:paraId="22785CAE" w14:textId="1B6175A5" w:rsidR="003B2D06" w:rsidRPr="00610A44" w:rsidRDefault="00AC718E" w:rsidP="003B2D06">
      <w:pPr>
        <w:pStyle w:val="ListParagraph"/>
        <w:numPr>
          <w:ilvl w:val="0"/>
          <w:numId w:val="9"/>
        </w:numPr>
        <w:spacing w:after="220"/>
        <w:ind w:left="0" w:firstLine="0"/>
        <w:jc w:val="both"/>
        <w:rPr>
          <w:rFonts w:ascii="Arial" w:hAnsi="Arial" w:cs="Arial"/>
        </w:rPr>
      </w:pPr>
      <w:bookmarkStart w:id="2" w:name="_Hlk35943694"/>
      <w:r w:rsidRPr="00610A44">
        <w:rPr>
          <w:sz w:val="22"/>
          <w:szCs w:val="22"/>
        </w:rPr>
        <w:t>The</w:t>
      </w:r>
      <w:r w:rsidR="000134F6" w:rsidRPr="00610A44">
        <w:rPr>
          <w:sz w:val="22"/>
          <w:szCs w:val="22"/>
        </w:rPr>
        <w:t xml:space="preserve"> Working Group reached a tentative consensus to clarify that a modification of mortgage loan terms in response to COVID-19 </w:t>
      </w:r>
      <w:r w:rsidR="003B2D06" w:rsidRPr="00610A44">
        <w:rPr>
          <w:sz w:val="22"/>
          <w:szCs w:val="22"/>
        </w:rPr>
        <w:t xml:space="preserve">shall follow the provisions detailed in the March 22, 2020 “Interagency Statement on Loan Modifications and Reporting for Financial Institutions Working with Customers Affected by the Coronavirus” (detailed in paragraph </w:t>
      </w:r>
      <w:r w:rsidR="00AA5AF1" w:rsidRPr="00610A44">
        <w:rPr>
          <w:sz w:val="22"/>
          <w:szCs w:val="22"/>
        </w:rPr>
        <w:t>6</w:t>
      </w:r>
      <w:r w:rsidR="003B2D06" w:rsidRPr="00610A44">
        <w:rPr>
          <w:sz w:val="22"/>
          <w:szCs w:val="22"/>
        </w:rPr>
        <w:t>) in determining whether the modification shall be reported as a troubled debt restructuring within SSAP No. 36.</w:t>
      </w:r>
      <w:r w:rsidR="003B2D06" w:rsidRPr="00610A44">
        <w:rPr>
          <w:rFonts w:ascii="Arial" w:hAnsi="Arial" w:cs="Arial"/>
        </w:rPr>
        <w:t xml:space="preserve"> </w:t>
      </w:r>
    </w:p>
    <w:p w14:paraId="6A1428FB" w14:textId="77777777" w:rsidR="000134F6" w:rsidRPr="00610A44" w:rsidRDefault="000134F6" w:rsidP="000134F6">
      <w:pPr>
        <w:pStyle w:val="ListParagraph"/>
        <w:spacing w:after="220"/>
        <w:ind w:left="0"/>
        <w:jc w:val="both"/>
        <w:rPr>
          <w:sz w:val="22"/>
          <w:szCs w:val="22"/>
        </w:rPr>
      </w:pPr>
    </w:p>
    <w:p w14:paraId="074246E4" w14:textId="127725B0" w:rsidR="00985762" w:rsidRPr="00610A44" w:rsidRDefault="00F67FC4" w:rsidP="000134F6">
      <w:pPr>
        <w:pStyle w:val="ListParagraph"/>
        <w:numPr>
          <w:ilvl w:val="0"/>
          <w:numId w:val="9"/>
        </w:numPr>
        <w:spacing w:after="220"/>
        <w:ind w:left="0" w:firstLine="0"/>
        <w:jc w:val="both"/>
        <w:rPr>
          <w:sz w:val="22"/>
          <w:szCs w:val="22"/>
        </w:rPr>
      </w:pPr>
      <w:r w:rsidRPr="00610A44">
        <w:rPr>
          <w:sz w:val="22"/>
          <w:szCs w:val="22"/>
        </w:rPr>
        <w:t xml:space="preserve">This interpretation is effective for the specific purpose to address loan modifications in response to COVID-19. This interpretation will be considered for nullification when no longer applicable. </w:t>
      </w:r>
    </w:p>
    <w:bookmarkEnd w:id="2"/>
    <w:p w14:paraId="14A64FC1" w14:textId="532AE597" w:rsidR="00904607" w:rsidRPr="00610A44" w:rsidRDefault="00985762" w:rsidP="00052F8B">
      <w:pPr>
        <w:pStyle w:val="Heading1"/>
        <w:keepNext w:val="0"/>
        <w:spacing w:after="220"/>
        <w:rPr>
          <w:b/>
          <w:sz w:val="22"/>
          <w:szCs w:val="22"/>
        </w:rPr>
      </w:pPr>
      <w:r w:rsidRPr="00610A44">
        <w:rPr>
          <w:b/>
          <w:sz w:val="22"/>
          <w:szCs w:val="22"/>
        </w:rPr>
        <w:t xml:space="preserve">INT </w:t>
      </w:r>
      <w:r w:rsidR="00BC0FEB" w:rsidRPr="00610A44">
        <w:rPr>
          <w:b/>
          <w:sz w:val="22"/>
          <w:szCs w:val="22"/>
        </w:rPr>
        <w:t>20</w:t>
      </w:r>
      <w:r w:rsidR="0029506C" w:rsidRPr="00610A44">
        <w:rPr>
          <w:b/>
          <w:sz w:val="22"/>
          <w:szCs w:val="22"/>
        </w:rPr>
        <w:t>-</w:t>
      </w:r>
      <w:r w:rsidR="00116F9A" w:rsidRPr="00610A44">
        <w:rPr>
          <w:b/>
          <w:sz w:val="22"/>
          <w:szCs w:val="22"/>
        </w:rPr>
        <w:t>0</w:t>
      </w:r>
      <w:r w:rsidR="00A656D9" w:rsidRPr="00610A44">
        <w:rPr>
          <w:b/>
          <w:sz w:val="22"/>
          <w:szCs w:val="22"/>
        </w:rPr>
        <w:t>3</w:t>
      </w:r>
      <w:r w:rsidR="00116F9A" w:rsidRPr="00610A44">
        <w:rPr>
          <w:b/>
          <w:sz w:val="22"/>
          <w:szCs w:val="22"/>
        </w:rPr>
        <w:t>T</w:t>
      </w:r>
      <w:r w:rsidR="001F4024" w:rsidRPr="00610A44">
        <w:rPr>
          <w:b/>
          <w:sz w:val="22"/>
          <w:szCs w:val="22"/>
        </w:rPr>
        <w:t xml:space="preserve"> Status</w:t>
      </w:r>
    </w:p>
    <w:p w14:paraId="4B4E580F" w14:textId="2646B6DE" w:rsidR="00904607" w:rsidRPr="00610A44" w:rsidRDefault="002D6C87" w:rsidP="003B2D06">
      <w:pPr>
        <w:pStyle w:val="ListParagraph"/>
        <w:numPr>
          <w:ilvl w:val="0"/>
          <w:numId w:val="9"/>
        </w:numPr>
        <w:spacing w:after="220"/>
        <w:ind w:left="0" w:firstLine="0"/>
        <w:jc w:val="both"/>
        <w:rPr>
          <w:sz w:val="22"/>
          <w:szCs w:val="22"/>
        </w:rPr>
      </w:pPr>
      <w:r w:rsidRPr="00610A44">
        <w:rPr>
          <w:sz w:val="22"/>
          <w:szCs w:val="22"/>
        </w:rPr>
        <w:t>F</w:t>
      </w:r>
      <w:r w:rsidR="00904607" w:rsidRPr="00610A44">
        <w:rPr>
          <w:sz w:val="22"/>
          <w:szCs w:val="22"/>
        </w:rPr>
        <w:t>urther discussion is planned.</w:t>
      </w:r>
    </w:p>
    <w:p w14:paraId="17951317" w14:textId="03A436F8" w:rsidR="00F152DC" w:rsidRPr="00F152DC" w:rsidRDefault="00F152DC" w:rsidP="00F152DC">
      <w:pPr>
        <w:spacing w:after="220"/>
        <w:jc w:val="both"/>
        <w:rPr>
          <w:sz w:val="16"/>
          <w:szCs w:val="16"/>
        </w:rPr>
      </w:pPr>
      <w:r w:rsidRPr="00610A44">
        <w:rPr>
          <w:sz w:val="16"/>
          <w:szCs w:val="16"/>
        </w:rPr>
        <w:fldChar w:fldCharType="begin"/>
      </w:r>
      <w:r w:rsidRPr="00610A44">
        <w:rPr>
          <w:sz w:val="16"/>
          <w:szCs w:val="16"/>
        </w:rPr>
        <w:instrText xml:space="preserve"> FILENAME  \p  \* MERGEFORMAT </w:instrText>
      </w:r>
      <w:r w:rsidRPr="00610A44">
        <w:rPr>
          <w:sz w:val="16"/>
          <w:szCs w:val="16"/>
        </w:rPr>
        <w:fldChar w:fldCharType="separate"/>
      </w:r>
      <w:r w:rsidR="00610A44">
        <w:rPr>
          <w:noProof/>
          <w:sz w:val="16"/>
          <w:szCs w:val="16"/>
        </w:rPr>
        <w:t>G:\FRS\DATA\Stat Acctg\1. Statutory\A. Maintenance\a. Form A\1. Active Form A's\2020\INT 20-03 TDR for COVID-19.docx</w:t>
      </w:r>
      <w:r w:rsidRPr="00610A44">
        <w:rPr>
          <w:sz w:val="16"/>
          <w:szCs w:val="16"/>
        </w:rPr>
        <w:fldChar w:fldCharType="end"/>
      </w:r>
    </w:p>
    <w:sectPr w:rsidR="00F152DC" w:rsidRPr="00F152DC" w:rsidSect="00184C49">
      <w:headerReference w:type="default" r:id="rId9"/>
      <w:footerReference w:type="default" r:id="rId10"/>
      <w:pgSz w:w="12240" w:h="15840" w:code="1"/>
      <w:pgMar w:top="1080" w:right="1800" w:bottom="108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19443" w14:textId="77777777" w:rsidR="00BE3241" w:rsidRDefault="00BE3241">
      <w:r>
        <w:separator/>
      </w:r>
    </w:p>
  </w:endnote>
  <w:endnote w:type="continuationSeparator" w:id="0">
    <w:p w14:paraId="51F8A4B4" w14:textId="77777777" w:rsidR="00BE3241" w:rsidRDefault="00BE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CB3F8" w14:textId="649680F9" w:rsidR="00BE3241" w:rsidRPr="00D32E80" w:rsidRDefault="00BE3241">
    <w:pPr>
      <w:pStyle w:val="Footer"/>
      <w:rPr>
        <w:b/>
        <w:sz w:val="18"/>
        <w:szCs w:val="18"/>
      </w:rPr>
    </w:pPr>
    <w:r>
      <w:tab/>
    </w:r>
    <w:r>
      <w:rPr>
        <w:b/>
        <w:sz w:val="18"/>
        <w:szCs w:val="18"/>
      </w:rPr>
      <w:t>20</w:t>
    </w:r>
    <w:r w:rsidRPr="00D32E80">
      <w:rPr>
        <w:b/>
        <w:sz w:val="18"/>
        <w:szCs w:val="18"/>
      </w:rPr>
      <w:t>-</w:t>
    </w:r>
    <w:r>
      <w:rPr>
        <w:b/>
        <w:sz w:val="18"/>
        <w:szCs w:val="18"/>
      </w:rPr>
      <w:t>03T</w:t>
    </w:r>
    <w:r w:rsidRPr="00D32E80">
      <w:rPr>
        <w:b/>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A1273" w14:textId="77777777" w:rsidR="00BE3241" w:rsidRDefault="00BE3241">
      <w:r>
        <w:separator/>
      </w:r>
    </w:p>
  </w:footnote>
  <w:footnote w:type="continuationSeparator" w:id="0">
    <w:p w14:paraId="48BDE6E9" w14:textId="77777777" w:rsidR="00BE3241" w:rsidRDefault="00BE3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B4B1C" w14:textId="77777777" w:rsidR="00BE3241" w:rsidRPr="00A61442" w:rsidRDefault="00BE3241">
    <w:pPr>
      <w:pStyle w:val="Header"/>
      <w:rPr>
        <w:b/>
      </w:rPr>
    </w:pPr>
    <w:r>
      <w:tab/>
    </w:r>
    <w:r w:rsidRPr="00D32E80">
      <w:rPr>
        <w:b/>
        <w:sz w:val="18"/>
        <w:szCs w:val="18"/>
      </w:rPr>
      <w:tab/>
    </w:r>
  </w:p>
  <w:p w14:paraId="623D4889" w14:textId="3AB36C1A" w:rsidR="00BE3241" w:rsidRDefault="00BE3241" w:rsidP="00A61442">
    <w:pPr>
      <w:pStyle w:val="Header"/>
      <w:jc w:val="right"/>
      <w:rPr>
        <w:b/>
      </w:rPr>
    </w:pPr>
    <w:r w:rsidRPr="00A61442">
      <w:rPr>
        <w:b/>
      </w:rPr>
      <w:t xml:space="preserve">INT </w:t>
    </w:r>
    <w:r>
      <w:rPr>
        <w:b/>
      </w:rPr>
      <w:t>20</w:t>
    </w:r>
    <w:r w:rsidRPr="00A61442">
      <w:rPr>
        <w:b/>
      </w:rPr>
      <w:t>-</w:t>
    </w:r>
    <w:r>
      <w:rPr>
        <w:b/>
      </w:rPr>
      <w:t>03T</w:t>
    </w:r>
  </w:p>
  <w:p w14:paraId="6414A807" w14:textId="77777777" w:rsidR="00BE3241" w:rsidRPr="00A61442" w:rsidRDefault="00BE3241" w:rsidP="00A61442">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A149AEA"/>
    <w:lvl w:ilvl="0">
      <w:start w:val="1"/>
      <w:numFmt w:val="decimal"/>
      <w:pStyle w:val="ListNumber"/>
      <w:lvlText w:val="%1."/>
      <w:lvlJc w:val="left"/>
      <w:pPr>
        <w:tabs>
          <w:tab w:val="num" w:pos="360"/>
        </w:tabs>
        <w:ind w:left="0" w:firstLine="0"/>
      </w:pPr>
      <w:rPr>
        <w:rFonts w:hint="default"/>
        <w:b w:val="0"/>
        <w:i w:val="0"/>
        <w:sz w:val="22"/>
      </w:rPr>
    </w:lvl>
  </w:abstractNum>
  <w:abstractNum w:abstractNumId="1" w15:restartNumberingAfterBreak="0">
    <w:nsid w:val="03B56ADE"/>
    <w:multiLevelType w:val="hybridMultilevel"/>
    <w:tmpl w:val="321A7FF8"/>
    <w:lvl w:ilvl="0" w:tplc="25881B44">
      <w:start w:val="1"/>
      <w:numFmt w:val="lowerLetter"/>
      <w:lvlText w:val="%1."/>
      <w:lvlJc w:val="left"/>
      <w:pPr>
        <w:ind w:left="720" w:hanging="360"/>
      </w:pPr>
      <w:rPr>
        <w:rFonts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83E74"/>
    <w:multiLevelType w:val="hybridMultilevel"/>
    <w:tmpl w:val="70EC993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700929"/>
    <w:multiLevelType w:val="hybridMultilevel"/>
    <w:tmpl w:val="30B05040"/>
    <w:lvl w:ilvl="0" w:tplc="BF9C63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041A9"/>
    <w:multiLevelType w:val="hybridMultilevel"/>
    <w:tmpl w:val="D124E2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BC59B2"/>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30A7796"/>
    <w:multiLevelType w:val="hybridMultilevel"/>
    <w:tmpl w:val="A8E25BD6"/>
    <w:lvl w:ilvl="0" w:tplc="9CEC7D8E">
      <w:start w:val="1"/>
      <w:numFmt w:val="decimal"/>
      <w:lvlText w:val="%1."/>
      <w:lvlJc w:val="left"/>
      <w:pPr>
        <w:ind w:left="720" w:hanging="360"/>
      </w:pPr>
      <w:rPr>
        <w:rFonts w:ascii="Times New Roman" w:hAnsi="Times New Roman"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379E"/>
    <w:multiLevelType w:val="hybridMultilevel"/>
    <w:tmpl w:val="CB46DA2C"/>
    <w:lvl w:ilvl="0" w:tplc="7FD8F630">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8A5798"/>
    <w:multiLevelType w:val="hybridMultilevel"/>
    <w:tmpl w:val="713C759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425448F"/>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AD72FF9"/>
    <w:multiLevelType w:val="hybridMultilevel"/>
    <w:tmpl w:val="399A5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763517"/>
    <w:multiLevelType w:val="hybridMultilevel"/>
    <w:tmpl w:val="D124E2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255F75"/>
    <w:multiLevelType w:val="hybridMultilevel"/>
    <w:tmpl w:val="E6A257CA"/>
    <w:lvl w:ilvl="0" w:tplc="9CEC7D8E">
      <w:start w:val="1"/>
      <w:numFmt w:val="decimal"/>
      <w:lvlText w:val="%1."/>
      <w:lvlJc w:val="left"/>
      <w:pPr>
        <w:ind w:left="720" w:hanging="360"/>
      </w:pPr>
      <w:rPr>
        <w:rFonts w:ascii="Times New Roman" w:hAnsi="Times New Roman"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B0327E"/>
    <w:multiLevelType w:val="hybridMultilevel"/>
    <w:tmpl w:val="BBEA9BF4"/>
    <w:lvl w:ilvl="0" w:tplc="A1745D46">
      <w:start w:val="1"/>
      <w:numFmt w:val="lowerLetter"/>
      <w:lvlText w:val="%1."/>
      <w:lvlJc w:val="left"/>
      <w:pPr>
        <w:ind w:left="1440" w:hanging="360"/>
      </w:pPr>
      <w:rPr>
        <w:rFont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EE92D5A"/>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733B7F26"/>
    <w:multiLevelType w:val="multilevel"/>
    <w:tmpl w:val="47D4E4D8"/>
    <w:lvl w:ilvl="0">
      <w:start w:val="1"/>
      <w:numFmt w:val="decimal"/>
      <w:lvlText w:val="%1."/>
      <w:lvlJc w:val="left"/>
      <w:pPr>
        <w:tabs>
          <w:tab w:val="num" w:pos="360"/>
        </w:tabs>
        <w:ind w:left="0" w:firstLine="0"/>
      </w:pPr>
      <w:rPr>
        <w:rFonts w:hint="default"/>
        <w:b w:val="0"/>
        <w:i w:val="0"/>
        <w:sz w:val="22"/>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6" w15:restartNumberingAfterBreak="0">
    <w:nsid w:val="7DD5289E"/>
    <w:multiLevelType w:val="hybridMultilevel"/>
    <w:tmpl w:val="CFEE556A"/>
    <w:lvl w:ilvl="0" w:tplc="C680ADC6">
      <w:numFmt w:val="bullet"/>
      <w:lvlText w:val="-"/>
      <w:lvlJc w:val="left"/>
      <w:pPr>
        <w:ind w:left="1440" w:hanging="36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4"/>
  </w:num>
  <w:num w:numId="3">
    <w:abstractNumId w:val="9"/>
  </w:num>
  <w:num w:numId="4">
    <w:abstractNumId w:val="13"/>
  </w:num>
  <w:num w:numId="5">
    <w:abstractNumId w:val="0"/>
  </w:num>
  <w:num w:numId="6">
    <w:abstractNumId w:val="15"/>
  </w:num>
  <w:num w:numId="7">
    <w:abstractNumId w:val="7"/>
  </w:num>
  <w:num w:numId="8">
    <w:abstractNumId w:val="3"/>
  </w:num>
  <w:num w:numId="9">
    <w:abstractNumId w:val="12"/>
  </w:num>
  <w:num w:numId="10">
    <w:abstractNumId w:val="10"/>
  </w:num>
  <w:num w:numId="11">
    <w:abstractNumId w:val="2"/>
  </w:num>
  <w:num w:numId="12">
    <w:abstractNumId w:val="11"/>
  </w:num>
  <w:num w:numId="13">
    <w:abstractNumId w:val="16"/>
  </w:num>
  <w:num w:numId="14">
    <w:abstractNumId w:val="8"/>
  </w:num>
  <w:num w:numId="15">
    <w:abstractNumId w:val="1"/>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displayBackgroundShap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718A"/>
    <w:rsid w:val="0000510C"/>
    <w:rsid w:val="00006395"/>
    <w:rsid w:val="000134F6"/>
    <w:rsid w:val="00030AB1"/>
    <w:rsid w:val="00034724"/>
    <w:rsid w:val="0005045E"/>
    <w:rsid w:val="00052F8B"/>
    <w:rsid w:val="00053F98"/>
    <w:rsid w:val="00061C93"/>
    <w:rsid w:val="000865F4"/>
    <w:rsid w:val="00092A93"/>
    <w:rsid w:val="000A48C8"/>
    <w:rsid w:val="000C29C0"/>
    <w:rsid w:val="00116F9A"/>
    <w:rsid w:val="00141722"/>
    <w:rsid w:val="00184C49"/>
    <w:rsid w:val="00186172"/>
    <w:rsid w:val="001B1BE7"/>
    <w:rsid w:val="001C196C"/>
    <w:rsid w:val="001C7A3E"/>
    <w:rsid w:val="001D33B6"/>
    <w:rsid w:val="001E2E22"/>
    <w:rsid w:val="001E3619"/>
    <w:rsid w:val="001F4024"/>
    <w:rsid w:val="001F76C4"/>
    <w:rsid w:val="00241A21"/>
    <w:rsid w:val="00263DF3"/>
    <w:rsid w:val="002672A5"/>
    <w:rsid w:val="00273BFB"/>
    <w:rsid w:val="00281FA6"/>
    <w:rsid w:val="0029311F"/>
    <w:rsid w:val="0029506C"/>
    <w:rsid w:val="002C30F4"/>
    <w:rsid w:val="002D38A1"/>
    <w:rsid w:val="002D3D4D"/>
    <w:rsid w:val="002D6C87"/>
    <w:rsid w:val="003014DD"/>
    <w:rsid w:val="003348A1"/>
    <w:rsid w:val="003416BF"/>
    <w:rsid w:val="00365B1A"/>
    <w:rsid w:val="003738E4"/>
    <w:rsid w:val="00375BB9"/>
    <w:rsid w:val="003872B7"/>
    <w:rsid w:val="003A7189"/>
    <w:rsid w:val="003A718A"/>
    <w:rsid w:val="003B14C7"/>
    <w:rsid w:val="003B2D06"/>
    <w:rsid w:val="003C1720"/>
    <w:rsid w:val="003D1056"/>
    <w:rsid w:val="003E7E51"/>
    <w:rsid w:val="003F552B"/>
    <w:rsid w:val="004044CA"/>
    <w:rsid w:val="0041537F"/>
    <w:rsid w:val="00415F93"/>
    <w:rsid w:val="00442BCC"/>
    <w:rsid w:val="0045306D"/>
    <w:rsid w:val="0046070F"/>
    <w:rsid w:val="00477DFF"/>
    <w:rsid w:val="00490483"/>
    <w:rsid w:val="00494B6B"/>
    <w:rsid w:val="004D744A"/>
    <w:rsid w:val="004E5666"/>
    <w:rsid w:val="005037F6"/>
    <w:rsid w:val="0050609E"/>
    <w:rsid w:val="00521811"/>
    <w:rsid w:val="005375A5"/>
    <w:rsid w:val="005544DD"/>
    <w:rsid w:val="00571062"/>
    <w:rsid w:val="0059137B"/>
    <w:rsid w:val="005A72B7"/>
    <w:rsid w:val="005C5B20"/>
    <w:rsid w:val="005D0B3E"/>
    <w:rsid w:val="005D22F4"/>
    <w:rsid w:val="005F3704"/>
    <w:rsid w:val="006035FA"/>
    <w:rsid w:val="00610A44"/>
    <w:rsid w:val="006148B7"/>
    <w:rsid w:val="00634808"/>
    <w:rsid w:val="00645824"/>
    <w:rsid w:val="006A15EF"/>
    <w:rsid w:val="006A1C9F"/>
    <w:rsid w:val="006C39BB"/>
    <w:rsid w:val="006F5F4D"/>
    <w:rsid w:val="007014B1"/>
    <w:rsid w:val="00705161"/>
    <w:rsid w:val="0072239A"/>
    <w:rsid w:val="00754BC4"/>
    <w:rsid w:val="007554F6"/>
    <w:rsid w:val="007A15DB"/>
    <w:rsid w:val="007A7E1C"/>
    <w:rsid w:val="007C4C59"/>
    <w:rsid w:val="00817C15"/>
    <w:rsid w:val="00823A06"/>
    <w:rsid w:val="00844690"/>
    <w:rsid w:val="00856512"/>
    <w:rsid w:val="00856B75"/>
    <w:rsid w:val="00863EB6"/>
    <w:rsid w:val="00871A55"/>
    <w:rsid w:val="0087692A"/>
    <w:rsid w:val="0089597C"/>
    <w:rsid w:val="008B02C4"/>
    <w:rsid w:val="008B3B09"/>
    <w:rsid w:val="008B6E08"/>
    <w:rsid w:val="008C66CA"/>
    <w:rsid w:val="008D1FA1"/>
    <w:rsid w:val="008F59D5"/>
    <w:rsid w:val="00904607"/>
    <w:rsid w:val="00904D68"/>
    <w:rsid w:val="00921B3E"/>
    <w:rsid w:val="00932533"/>
    <w:rsid w:val="00940F84"/>
    <w:rsid w:val="00946718"/>
    <w:rsid w:val="00982052"/>
    <w:rsid w:val="00985762"/>
    <w:rsid w:val="00986382"/>
    <w:rsid w:val="00987B94"/>
    <w:rsid w:val="00995B77"/>
    <w:rsid w:val="009A5210"/>
    <w:rsid w:val="009A592D"/>
    <w:rsid w:val="009C4327"/>
    <w:rsid w:val="009E17F3"/>
    <w:rsid w:val="009E4A8E"/>
    <w:rsid w:val="00A17681"/>
    <w:rsid w:val="00A40452"/>
    <w:rsid w:val="00A55036"/>
    <w:rsid w:val="00A57715"/>
    <w:rsid w:val="00A60937"/>
    <w:rsid w:val="00A61442"/>
    <w:rsid w:val="00A616BC"/>
    <w:rsid w:val="00A656D9"/>
    <w:rsid w:val="00A70CD7"/>
    <w:rsid w:val="00A81336"/>
    <w:rsid w:val="00A82EBC"/>
    <w:rsid w:val="00AA5AF1"/>
    <w:rsid w:val="00AC718E"/>
    <w:rsid w:val="00B14CF2"/>
    <w:rsid w:val="00B22CF7"/>
    <w:rsid w:val="00B27A0C"/>
    <w:rsid w:val="00B36AA6"/>
    <w:rsid w:val="00B43F90"/>
    <w:rsid w:val="00B7462D"/>
    <w:rsid w:val="00BB0CDB"/>
    <w:rsid w:val="00BC0FEB"/>
    <w:rsid w:val="00BC68EC"/>
    <w:rsid w:val="00BD41A8"/>
    <w:rsid w:val="00BE3241"/>
    <w:rsid w:val="00BE4AD5"/>
    <w:rsid w:val="00BF1009"/>
    <w:rsid w:val="00BF21A0"/>
    <w:rsid w:val="00BF50C7"/>
    <w:rsid w:val="00C14E4E"/>
    <w:rsid w:val="00C26D2C"/>
    <w:rsid w:val="00C56DFF"/>
    <w:rsid w:val="00C70DD0"/>
    <w:rsid w:val="00C76F66"/>
    <w:rsid w:val="00C94885"/>
    <w:rsid w:val="00CA4B30"/>
    <w:rsid w:val="00CC7A79"/>
    <w:rsid w:val="00CD7A1B"/>
    <w:rsid w:val="00CE17C1"/>
    <w:rsid w:val="00CE5416"/>
    <w:rsid w:val="00D017D6"/>
    <w:rsid w:val="00D12A84"/>
    <w:rsid w:val="00D23F5C"/>
    <w:rsid w:val="00D3120D"/>
    <w:rsid w:val="00D32E80"/>
    <w:rsid w:val="00D33380"/>
    <w:rsid w:val="00D33DC6"/>
    <w:rsid w:val="00D71FDC"/>
    <w:rsid w:val="00D829B4"/>
    <w:rsid w:val="00D82FD5"/>
    <w:rsid w:val="00D84107"/>
    <w:rsid w:val="00DB1AC2"/>
    <w:rsid w:val="00DC1273"/>
    <w:rsid w:val="00DC2320"/>
    <w:rsid w:val="00DC70DE"/>
    <w:rsid w:val="00DE6A77"/>
    <w:rsid w:val="00E417EB"/>
    <w:rsid w:val="00E430BF"/>
    <w:rsid w:val="00E567E3"/>
    <w:rsid w:val="00E83A87"/>
    <w:rsid w:val="00E90CE2"/>
    <w:rsid w:val="00EA43E3"/>
    <w:rsid w:val="00EC440E"/>
    <w:rsid w:val="00EC61FC"/>
    <w:rsid w:val="00ED0A32"/>
    <w:rsid w:val="00EF0967"/>
    <w:rsid w:val="00EF471C"/>
    <w:rsid w:val="00F06BF4"/>
    <w:rsid w:val="00F152DC"/>
    <w:rsid w:val="00F40DC9"/>
    <w:rsid w:val="00F420C7"/>
    <w:rsid w:val="00F67FC4"/>
    <w:rsid w:val="00F72FC3"/>
    <w:rsid w:val="00F9517B"/>
    <w:rsid w:val="00FD6ADC"/>
    <w:rsid w:val="00FE0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2297F731"/>
  <w15:docId w15:val="{9AC68685-0601-40B8-AC59-60B9EAA0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link w:val="Heading3Char"/>
    <w:uiPriority w:val="9"/>
    <w:semiHidden/>
    <w:unhideWhenUsed/>
    <w:qFormat/>
    <w:rsid w:val="00E567E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24"/>
    </w:rPr>
  </w:style>
  <w:style w:type="paragraph" w:styleId="BodyTextIndent">
    <w:name w:val="Body Text Indent"/>
    <w:basedOn w:val="Normal"/>
    <w:semiHidden/>
    <w:pPr>
      <w:ind w:left="720"/>
      <w:jc w:val="both"/>
    </w:pPr>
    <w:rPr>
      <w:sz w:val="24"/>
    </w:rPr>
  </w:style>
  <w:style w:type="paragraph" w:styleId="BodyText2">
    <w:name w:val="Body Text 2"/>
    <w:basedOn w:val="Normal"/>
    <w:semiHidden/>
    <w:pPr>
      <w:jc w:val="both"/>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uiPriority w:val="99"/>
    <w:semiHidden/>
    <w:unhideWhenUsed/>
    <w:rsid w:val="00263DF3"/>
    <w:rPr>
      <w:sz w:val="16"/>
      <w:szCs w:val="16"/>
    </w:rPr>
  </w:style>
  <w:style w:type="paragraph" w:styleId="CommentText">
    <w:name w:val="annotation text"/>
    <w:basedOn w:val="Normal"/>
    <w:link w:val="CommentTextChar"/>
    <w:uiPriority w:val="99"/>
    <w:semiHidden/>
    <w:unhideWhenUsed/>
    <w:rsid w:val="00263DF3"/>
  </w:style>
  <w:style w:type="character" w:customStyle="1" w:styleId="CommentTextChar">
    <w:name w:val="Comment Text Char"/>
    <w:basedOn w:val="DefaultParagraphFont"/>
    <w:link w:val="CommentText"/>
    <w:uiPriority w:val="99"/>
    <w:semiHidden/>
    <w:rsid w:val="00263DF3"/>
  </w:style>
  <w:style w:type="paragraph" w:styleId="CommentSubject">
    <w:name w:val="annotation subject"/>
    <w:basedOn w:val="CommentText"/>
    <w:next w:val="CommentText"/>
    <w:link w:val="CommentSubjectChar"/>
    <w:uiPriority w:val="99"/>
    <w:semiHidden/>
    <w:unhideWhenUsed/>
    <w:rsid w:val="00263DF3"/>
    <w:rPr>
      <w:b/>
      <w:bCs/>
    </w:rPr>
  </w:style>
  <w:style w:type="character" w:customStyle="1" w:styleId="CommentSubjectChar">
    <w:name w:val="Comment Subject Char"/>
    <w:basedOn w:val="CommentTextChar"/>
    <w:link w:val="CommentSubject"/>
    <w:uiPriority w:val="99"/>
    <w:semiHidden/>
    <w:rsid w:val="00263DF3"/>
    <w:rPr>
      <w:b/>
      <w:bCs/>
    </w:rPr>
  </w:style>
  <w:style w:type="paragraph" w:styleId="Revision">
    <w:name w:val="Revision"/>
    <w:hidden/>
    <w:uiPriority w:val="99"/>
    <w:semiHidden/>
    <w:rsid w:val="00263DF3"/>
  </w:style>
  <w:style w:type="paragraph" w:styleId="BalloonText">
    <w:name w:val="Balloon Text"/>
    <w:basedOn w:val="Normal"/>
    <w:link w:val="BalloonTextChar"/>
    <w:uiPriority w:val="99"/>
    <w:semiHidden/>
    <w:unhideWhenUsed/>
    <w:rsid w:val="00263DF3"/>
    <w:rPr>
      <w:rFonts w:ascii="Tahoma" w:hAnsi="Tahoma" w:cs="Tahoma"/>
      <w:sz w:val="16"/>
      <w:szCs w:val="16"/>
    </w:rPr>
  </w:style>
  <w:style w:type="character" w:customStyle="1" w:styleId="BalloonTextChar">
    <w:name w:val="Balloon Text Char"/>
    <w:basedOn w:val="DefaultParagraphFont"/>
    <w:link w:val="BalloonText"/>
    <w:uiPriority w:val="99"/>
    <w:semiHidden/>
    <w:rsid w:val="00263DF3"/>
    <w:rPr>
      <w:rFonts w:ascii="Tahoma" w:hAnsi="Tahoma" w:cs="Tahoma"/>
      <w:sz w:val="16"/>
      <w:szCs w:val="16"/>
    </w:rPr>
  </w:style>
  <w:style w:type="paragraph" w:styleId="ListParagraph">
    <w:name w:val="List Paragraph"/>
    <w:basedOn w:val="Normal"/>
    <w:uiPriority w:val="34"/>
    <w:qFormat/>
    <w:rsid w:val="009E4A8E"/>
    <w:pPr>
      <w:ind w:left="720"/>
      <w:contextualSpacing/>
    </w:pPr>
  </w:style>
  <w:style w:type="paragraph" w:styleId="ListNumber">
    <w:name w:val="List Number"/>
    <w:aliases w:val="1.     SSAP,INT list number"/>
    <w:basedOn w:val="Normal"/>
    <w:rsid w:val="00A40452"/>
    <w:pPr>
      <w:numPr>
        <w:numId w:val="5"/>
      </w:numPr>
      <w:spacing w:after="100" w:afterAutospacing="1"/>
      <w:jc w:val="both"/>
    </w:pPr>
    <w:rPr>
      <w:sz w:val="22"/>
    </w:rPr>
  </w:style>
  <w:style w:type="character" w:customStyle="1" w:styleId="Heading3Char">
    <w:name w:val="Heading 3 Char"/>
    <w:basedOn w:val="DefaultParagraphFont"/>
    <w:link w:val="Heading3"/>
    <w:uiPriority w:val="9"/>
    <w:semiHidden/>
    <w:rsid w:val="00E567E3"/>
    <w:rPr>
      <w:rFonts w:asciiTheme="majorHAnsi" w:eastAsiaTheme="majorEastAsia" w:hAnsiTheme="majorHAnsi" w:cstheme="majorBidi"/>
      <w:color w:val="243F60" w:themeColor="accent1" w:themeShade="7F"/>
      <w:sz w:val="24"/>
      <w:szCs w:val="24"/>
    </w:rPr>
  </w:style>
  <w:style w:type="paragraph" w:styleId="ListContinue">
    <w:name w:val="List Continue"/>
    <w:basedOn w:val="Normal"/>
    <w:uiPriority w:val="99"/>
    <w:semiHidden/>
    <w:unhideWhenUsed/>
    <w:rsid w:val="00E567E3"/>
    <w:pPr>
      <w:spacing w:after="120"/>
      <w:ind w:left="360"/>
      <w:contextualSpacing/>
    </w:pPr>
  </w:style>
  <w:style w:type="character" w:styleId="Hyperlink">
    <w:name w:val="Hyperlink"/>
    <w:basedOn w:val="DefaultParagraphFont"/>
    <w:uiPriority w:val="99"/>
    <w:semiHidden/>
    <w:unhideWhenUsed/>
    <w:rsid w:val="009A59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486097">
      <w:bodyDiv w:val="1"/>
      <w:marLeft w:val="0"/>
      <w:marRight w:val="0"/>
      <w:marTop w:val="0"/>
      <w:marBottom w:val="0"/>
      <w:divBdr>
        <w:top w:val="none" w:sz="0" w:space="0" w:color="auto"/>
        <w:left w:val="none" w:sz="0" w:space="0" w:color="auto"/>
        <w:bottom w:val="none" w:sz="0" w:space="0" w:color="auto"/>
        <w:right w:val="none" w:sz="0" w:space="0" w:color="auto"/>
      </w:divBdr>
    </w:div>
    <w:div w:id="1127357392">
      <w:bodyDiv w:val="1"/>
      <w:marLeft w:val="0"/>
      <w:marRight w:val="0"/>
      <w:marTop w:val="0"/>
      <w:marBottom w:val="0"/>
      <w:divBdr>
        <w:top w:val="none" w:sz="0" w:space="0" w:color="auto"/>
        <w:left w:val="none" w:sz="0" w:space="0" w:color="auto"/>
        <w:bottom w:val="none" w:sz="0" w:space="0" w:color="auto"/>
        <w:right w:val="none" w:sz="0" w:space="0" w:color="auto"/>
      </w:divBdr>
    </w:div>
    <w:div w:id="1833526104">
      <w:bodyDiv w:val="1"/>
      <w:marLeft w:val="0"/>
      <w:marRight w:val="0"/>
      <w:marTop w:val="0"/>
      <w:marBottom w:val="0"/>
      <w:divBdr>
        <w:top w:val="none" w:sz="0" w:space="0" w:color="auto"/>
        <w:left w:val="none" w:sz="0" w:space="0" w:color="auto"/>
        <w:bottom w:val="none" w:sz="0" w:space="0" w:color="auto"/>
        <w:right w:val="none" w:sz="0" w:space="0" w:color="auto"/>
      </w:divBdr>
    </w:div>
    <w:div w:id="200339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sb.org/cs/Satellite?c=FASBContent_C&amp;cid=1176174374016&amp;pagename=FASB%2FFASBContent_C%2FNewsPa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610D6-AE3E-4729-BD90-5A90FDF51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E7E09308.dotm</Template>
  <TotalTime>35</TotalTime>
  <Pages>1</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Interpretation of the Emerging Accounting Issues Working Group</vt:lpstr>
    </vt:vector>
  </TitlesOfParts>
  <Company>NAIC</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of the Emerging Accounting Issues Working Group</dc:title>
  <dc:creator>NAIC</dc:creator>
  <cp:lastModifiedBy>Marcotte, Robin</cp:lastModifiedBy>
  <cp:revision>9</cp:revision>
  <cp:lastPrinted>2017-10-03T18:55:00Z</cp:lastPrinted>
  <dcterms:created xsi:type="dcterms:W3CDTF">2020-03-26T12:13:00Z</dcterms:created>
  <dcterms:modified xsi:type="dcterms:W3CDTF">2020-03-26T19:06:00Z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-1984605225</vt:i4>
  </property>
  <property fmtid="{D5CDD505-2E9C-101B-9397-08002B2CF9AE}" pid="3" name="_NewReviewCycle">
    <vt:lpwstr/>
  </property>
  <property fmtid="{D5CDD505-2E9C-101B-9397-08002B2CF9AE}" pid="4" name="_EmailSubject">
    <vt:lpwstr>Statutory Accounting Principles Working Group - Potential Temporary Waiver</vt:lpwstr>
  </property>
  <property fmtid="{D5CDD505-2E9C-101B-9397-08002B2CF9AE}" pid="5" name="_AuthorEmail">
    <vt:lpwstr>JGann@naic.org</vt:lpwstr>
  </property>
  <property fmtid="{D5CDD505-2E9C-101B-9397-08002B2CF9AE}" pid="6" name="_AuthorEmailDisplayName">
    <vt:lpwstr>Gann, Julie</vt:lpwstr>
  </property>
  <property fmtid="{D5CDD505-2E9C-101B-9397-08002B2CF9AE}" pid="7" name="_ReviewingToolsShownOnce">
    <vt:lpwstr/>
  </property>
</Properties>
</file>