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27BA" w14:textId="77777777" w:rsidR="00985762" w:rsidRPr="00F82CE0" w:rsidRDefault="00985762" w:rsidP="00A60937">
      <w:pPr>
        <w:pStyle w:val="BodyText"/>
        <w:spacing w:after="280"/>
        <w:jc w:val="center"/>
        <w:rPr>
          <w:rFonts w:ascii="Times New Roman" w:hAnsi="Times New Roman"/>
          <w:b/>
          <w:sz w:val="28"/>
          <w:szCs w:val="28"/>
        </w:rPr>
      </w:pPr>
      <w:r w:rsidRPr="00F82CE0">
        <w:rPr>
          <w:rFonts w:ascii="Times New Roman" w:hAnsi="Times New Roman"/>
          <w:b/>
          <w:sz w:val="28"/>
          <w:szCs w:val="28"/>
        </w:rPr>
        <w:t xml:space="preserve">Interpretation of the </w:t>
      </w:r>
      <w:r w:rsidR="00A60937" w:rsidRPr="00F82CE0">
        <w:rPr>
          <w:rFonts w:ascii="Times New Roman" w:hAnsi="Times New Roman"/>
          <w:b/>
          <w:sz w:val="28"/>
          <w:szCs w:val="28"/>
        </w:rPr>
        <w:t>Statutory</w:t>
      </w:r>
      <w:r w:rsidRPr="00F82CE0">
        <w:rPr>
          <w:rFonts w:ascii="Times New Roman" w:hAnsi="Times New Roman"/>
          <w:b/>
          <w:sz w:val="28"/>
          <w:szCs w:val="28"/>
        </w:rPr>
        <w:t xml:space="preserve"> Accounting </w:t>
      </w:r>
      <w:r w:rsidR="00CD7A1B" w:rsidRPr="00F82CE0">
        <w:rPr>
          <w:rFonts w:ascii="Times New Roman" w:hAnsi="Times New Roman"/>
          <w:b/>
          <w:sz w:val="28"/>
          <w:szCs w:val="28"/>
        </w:rPr>
        <w:t>Principles</w:t>
      </w:r>
      <w:r w:rsidRPr="00F82CE0">
        <w:rPr>
          <w:rFonts w:ascii="Times New Roman" w:hAnsi="Times New Roman"/>
          <w:b/>
          <w:sz w:val="28"/>
          <w:szCs w:val="28"/>
        </w:rPr>
        <w:t xml:space="preserve"> Working Group</w:t>
      </w:r>
    </w:p>
    <w:p w14:paraId="0A1C46A8" w14:textId="0AC0EEBD" w:rsidR="00273BFB" w:rsidRPr="00F82CE0" w:rsidRDefault="00985762" w:rsidP="00A60937">
      <w:pPr>
        <w:spacing w:after="280"/>
        <w:jc w:val="center"/>
        <w:rPr>
          <w:b/>
          <w:sz w:val="28"/>
          <w:szCs w:val="28"/>
        </w:rPr>
      </w:pPr>
      <w:r w:rsidRPr="00F82CE0">
        <w:rPr>
          <w:b/>
          <w:sz w:val="28"/>
          <w:szCs w:val="28"/>
        </w:rPr>
        <w:t xml:space="preserve">INT </w:t>
      </w:r>
      <w:r w:rsidR="00273BFB" w:rsidRPr="00F82CE0">
        <w:rPr>
          <w:b/>
          <w:sz w:val="28"/>
          <w:szCs w:val="28"/>
        </w:rPr>
        <w:t>20</w:t>
      </w:r>
      <w:r w:rsidRPr="00F82CE0">
        <w:rPr>
          <w:b/>
          <w:sz w:val="28"/>
          <w:szCs w:val="28"/>
        </w:rPr>
        <w:t>-</w:t>
      </w:r>
      <w:r w:rsidR="00116F9A" w:rsidRPr="00F82CE0">
        <w:rPr>
          <w:b/>
          <w:sz w:val="28"/>
          <w:szCs w:val="28"/>
        </w:rPr>
        <w:t>0</w:t>
      </w:r>
      <w:r w:rsidR="0005150F" w:rsidRPr="00F82CE0">
        <w:rPr>
          <w:b/>
          <w:sz w:val="28"/>
          <w:szCs w:val="28"/>
        </w:rPr>
        <w:t>4</w:t>
      </w:r>
      <w:r w:rsidR="00116F9A" w:rsidRPr="00F82CE0">
        <w:rPr>
          <w:b/>
          <w:sz w:val="28"/>
          <w:szCs w:val="28"/>
        </w:rPr>
        <w:t>T</w:t>
      </w:r>
      <w:r w:rsidRPr="00F82CE0">
        <w:rPr>
          <w:b/>
          <w:sz w:val="28"/>
          <w:szCs w:val="28"/>
        </w:rPr>
        <w:t xml:space="preserve">: </w:t>
      </w:r>
      <w:r w:rsidR="006035FA" w:rsidRPr="00F82CE0">
        <w:rPr>
          <w:b/>
          <w:sz w:val="28"/>
          <w:szCs w:val="28"/>
        </w:rPr>
        <w:t xml:space="preserve">Mortgage Loan Impairment Assessment Due to </w:t>
      </w:r>
      <w:r w:rsidR="00273BFB" w:rsidRPr="00F82CE0">
        <w:rPr>
          <w:b/>
          <w:sz w:val="28"/>
          <w:szCs w:val="28"/>
        </w:rPr>
        <w:t>COVID-19</w:t>
      </w:r>
    </w:p>
    <w:p w14:paraId="553A3019" w14:textId="77777777" w:rsidR="00D32E80" w:rsidRPr="00F82CE0" w:rsidRDefault="00D32E80" w:rsidP="00A60937">
      <w:pPr>
        <w:pStyle w:val="Heading2"/>
        <w:keepNext w:val="0"/>
        <w:rPr>
          <w:rFonts w:ascii="Times New Roman" w:hAnsi="Times New Roman"/>
          <w:sz w:val="22"/>
          <w:szCs w:val="22"/>
        </w:rPr>
      </w:pPr>
    </w:p>
    <w:p w14:paraId="34541356" w14:textId="445ACC8F" w:rsidR="00985762" w:rsidRPr="00F82CE0" w:rsidRDefault="00DC1273" w:rsidP="00A60937">
      <w:pPr>
        <w:pStyle w:val="Heading2"/>
        <w:keepNext w:val="0"/>
        <w:spacing w:after="220"/>
        <w:rPr>
          <w:rFonts w:ascii="Times New Roman" w:hAnsi="Times New Roman"/>
          <w:sz w:val="22"/>
          <w:szCs w:val="22"/>
        </w:rPr>
      </w:pPr>
      <w:r w:rsidRPr="00F82CE0">
        <w:rPr>
          <w:rFonts w:ascii="Times New Roman" w:hAnsi="Times New Roman"/>
          <w:sz w:val="22"/>
          <w:szCs w:val="22"/>
        </w:rPr>
        <w:t xml:space="preserve">INT </w:t>
      </w:r>
      <w:r w:rsidR="00273BFB" w:rsidRPr="00F82CE0">
        <w:rPr>
          <w:rFonts w:ascii="Times New Roman" w:hAnsi="Times New Roman"/>
          <w:sz w:val="22"/>
          <w:szCs w:val="22"/>
        </w:rPr>
        <w:t>20</w:t>
      </w:r>
      <w:r w:rsidRPr="00F82CE0">
        <w:rPr>
          <w:rFonts w:ascii="Times New Roman" w:hAnsi="Times New Roman"/>
          <w:sz w:val="22"/>
          <w:szCs w:val="22"/>
        </w:rPr>
        <w:t>-</w:t>
      </w:r>
      <w:r w:rsidR="00116F9A" w:rsidRPr="00F82CE0">
        <w:rPr>
          <w:rFonts w:ascii="Times New Roman" w:hAnsi="Times New Roman"/>
          <w:sz w:val="22"/>
          <w:szCs w:val="22"/>
        </w:rPr>
        <w:t>0</w:t>
      </w:r>
      <w:r w:rsidR="0005150F" w:rsidRPr="00F82CE0">
        <w:rPr>
          <w:rFonts w:ascii="Times New Roman" w:hAnsi="Times New Roman"/>
          <w:sz w:val="22"/>
          <w:szCs w:val="22"/>
        </w:rPr>
        <w:t>4</w:t>
      </w:r>
      <w:r w:rsidR="00116F9A" w:rsidRPr="00F82CE0">
        <w:rPr>
          <w:rFonts w:ascii="Times New Roman" w:hAnsi="Times New Roman"/>
          <w:sz w:val="22"/>
          <w:szCs w:val="22"/>
        </w:rPr>
        <w:t>T</w:t>
      </w:r>
      <w:r w:rsidR="00985762" w:rsidRPr="00F82CE0">
        <w:rPr>
          <w:rFonts w:ascii="Times New Roman" w:hAnsi="Times New Roman"/>
          <w:sz w:val="22"/>
          <w:szCs w:val="22"/>
        </w:rPr>
        <w:t xml:space="preserve"> Date</w:t>
      </w:r>
      <w:r w:rsidR="00263DF3" w:rsidRPr="00F82CE0">
        <w:rPr>
          <w:rFonts w:ascii="Times New Roman" w:hAnsi="Times New Roman"/>
          <w:sz w:val="22"/>
          <w:szCs w:val="22"/>
        </w:rPr>
        <w:t>s</w:t>
      </w:r>
      <w:r w:rsidR="00985762" w:rsidRPr="00F82CE0">
        <w:rPr>
          <w:rFonts w:ascii="Times New Roman" w:hAnsi="Times New Roman"/>
          <w:sz w:val="22"/>
          <w:szCs w:val="22"/>
        </w:rPr>
        <w:t xml:space="preserve"> Discussed</w:t>
      </w:r>
    </w:p>
    <w:p w14:paraId="1876A56F" w14:textId="033F2404" w:rsidR="00985762" w:rsidRPr="00F82CE0" w:rsidRDefault="00985762" w:rsidP="00A60937">
      <w:pPr>
        <w:spacing w:after="220"/>
        <w:rPr>
          <w:sz w:val="22"/>
          <w:szCs w:val="22"/>
        </w:rPr>
      </w:pPr>
      <w:bookmarkStart w:id="0" w:name="_GoBack"/>
      <w:r w:rsidRPr="00F82CE0">
        <w:rPr>
          <w:sz w:val="22"/>
          <w:szCs w:val="22"/>
        </w:rPr>
        <w:t xml:space="preserve">Email Vote to Expose </w:t>
      </w:r>
      <w:r w:rsidR="00543A1D">
        <w:rPr>
          <w:sz w:val="22"/>
          <w:szCs w:val="22"/>
        </w:rPr>
        <w:t>March 26</w:t>
      </w:r>
      <w:r w:rsidR="00D017D6" w:rsidRPr="00F82CE0">
        <w:rPr>
          <w:sz w:val="22"/>
          <w:szCs w:val="22"/>
        </w:rPr>
        <w:t>, 20</w:t>
      </w:r>
      <w:r w:rsidR="00273BFB" w:rsidRPr="00F82CE0">
        <w:rPr>
          <w:sz w:val="22"/>
          <w:szCs w:val="22"/>
        </w:rPr>
        <w:t>20</w:t>
      </w:r>
    </w:p>
    <w:bookmarkEnd w:id="0"/>
    <w:p w14:paraId="1AB548FA" w14:textId="74823464" w:rsidR="00985762" w:rsidRPr="00F82CE0" w:rsidRDefault="00985762" w:rsidP="00A60937">
      <w:pPr>
        <w:pStyle w:val="Heading2"/>
        <w:keepNext w:val="0"/>
        <w:spacing w:after="220"/>
        <w:rPr>
          <w:rFonts w:ascii="Times New Roman" w:hAnsi="Times New Roman"/>
          <w:sz w:val="22"/>
          <w:szCs w:val="22"/>
        </w:rPr>
      </w:pPr>
      <w:r w:rsidRPr="00F82CE0">
        <w:rPr>
          <w:rFonts w:ascii="Times New Roman" w:hAnsi="Times New Roman"/>
          <w:sz w:val="22"/>
          <w:szCs w:val="22"/>
        </w:rPr>
        <w:t xml:space="preserve">INT </w:t>
      </w:r>
      <w:r w:rsidR="00273BFB" w:rsidRPr="00F82CE0">
        <w:rPr>
          <w:rFonts w:ascii="Times New Roman" w:hAnsi="Times New Roman"/>
          <w:sz w:val="22"/>
          <w:szCs w:val="22"/>
        </w:rPr>
        <w:t>20</w:t>
      </w:r>
      <w:r w:rsidRPr="00F82CE0">
        <w:rPr>
          <w:rFonts w:ascii="Times New Roman" w:hAnsi="Times New Roman"/>
          <w:sz w:val="22"/>
          <w:szCs w:val="22"/>
        </w:rPr>
        <w:t>-</w:t>
      </w:r>
      <w:r w:rsidR="00116F9A" w:rsidRPr="00F82CE0">
        <w:rPr>
          <w:rFonts w:ascii="Times New Roman" w:hAnsi="Times New Roman"/>
          <w:sz w:val="22"/>
          <w:szCs w:val="22"/>
        </w:rPr>
        <w:t>0</w:t>
      </w:r>
      <w:r w:rsidR="0005150F" w:rsidRPr="00F82CE0">
        <w:rPr>
          <w:rFonts w:ascii="Times New Roman" w:hAnsi="Times New Roman"/>
          <w:sz w:val="22"/>
          <w:szCs w:val="22"/>
        </w:rPr>
        <w:t>4</w:t>
      </w:r>
      <w:r w:rsidR="00116F9A" w:rsidRPr="00F82CE0">
        <w:rPr>
          <w:rFonts w:ascii="Times New Roman" w:hAnsi="Times New Roman"/>
          <w:sz w:val="22"/>
          <w:szCs w:val="22"/>
        </w:rPr>
        <w:t>T</w:t>
      </w:r>
      <w:r w:rsidRPr="00F82CE0">
        <w:rPr>
          <w:rFonts w:ascii="Times New Roman" w:hAnsi="Times New Roman"/>
          <w:sz w:val="22"/>
          <w:szCs w:val="22"/>
        </w:rPr>
        <w:t xml:space="preserve"> References</w:t>
      </w:r>
    </w:p>
    <w:p w14:paraId="339A3D9E" w14:textId="5474D20A" w:rsidR="006035FA" w:rsidRPr="00F82CE0" w:rsidRDefault="006035FA" w:rsidP="006035FA">
      <w:pPr>
        <w:numPr>
          <w:ilvl w:val="0"/>
          <w:numId w:val="10"/>
        </w:numPr>
        <w:jc w:val="both"/>
        <w:rPr>
          <w:i/>
          <w:iCs/>
          <w:sz w:val="22"/>
          <w:szCs w:val="22"/>
        </w:rPr>
      </w:pPr>
      <w:r w:rsidRPr="00F82CE0">
        <w:rPr>
          <w:i/>
          <w:iCs/>
          <w:sz w:val="22"/>
          <w:szCs w:val="22"/>
        </w:rPr>
        <w:t>SSAP No. 30—Common Stock</w:t>
      </w:r>
    </w:p>
    <w:p w14:paraId="18CE45F7" w14:textId="01BC65CE" w:rsidR="006035FA" w:rsidRPr="00F82CE0" w:rsidRDefault="006035FA" w:rsidP="006035FA">
      <w:pPr>
        <w:numPr>
          <w:ilvl w:val="0"/>
          <w:numId w:val="10"/>
        </w:numPr>
        <w:jc w:val="both"/>
        <w:rPr>
          <w:i/>
          <w:iCs/>
          <w:sz w:val="22"/>
          <w:szCs w:val="22"/>
        </w:rPr>
      </w:pPr>
      <w:r w:rsidRPr="00F82CE0">
        <w:rPr>
          <w:i/>
          <w:iCs/>
          <w:sz w:val="22"/>
          <w:szCs w:val="22"/>
        </w:rPr>
        <w:t>SSAP No. 37—Mortgage Loans</w:t>
      </w:r>
    </w:p>
    <w:p w14:paraId="37566D17" w14:textId="143836D4" w:rsidR="006035FA" w:rsidRPr="00F82CE0" w:rsidRDefault="006035FA" w:rsidP="006035FA">
      <w:pPr>
        <w:numPr>
          <w:ilvl w:val="0"/>
          <w:numId w:val="10"/>
        </w:numPr>
        <w:jc w:val="both"/>
        <w:rPr>
          <w:i/>
          <w:iCs/>
          <w:sz w:val="22"/>
          <w:szCs w:val="22"/>
        </w:rPr>
      </w:pPr>
      <w:r w:rsidRPr="00F82CE0">
        <w:rPr>
          <w:i/>
          <w:iCs/>
          <w:sz w:val="22"/>
          <w:szCs w:val="22"/>
        </w:rPr>
        <w:t>SSAP No. 43R</w:t>
      </w:r>
      <w:r w:rsidR="003B2D06" w:rsidRPr="00F82CE0">
        <w:rPr>
          <w:i/>
          <w:iCs/>
          <w:sz w:val="22"/>
          <w:szCs w:val="22"/>
        </w:rPr>
        <w:t>—</w:t>
      </w:r>
      <w:r w:rsidRPr="00F82CE0">
        <w:rPr>
          <w:i/>
          <w:iCs/>
          <w:sz w:val="22"/>
          <w:szCs w:val="22"/>
        </w:rPr>
        <w:t>Loan-backed and Structured Securities</w:t>
      </w:r>
    </w:p>
    <w:p w14:paraId="4FC51DDA" w14:textId="77777777" w:rsidR="006035FA" w:rsidRPr="00F82CE0" w:rsidRDefault="006035FA" w:rsidP="006035FA">
      <w:pPr>
        <w:numPr>
          <w:ilvl w:val="0"/>
          <w:numId w:val="10"/>
        </w:numPr>
        <w:jc w:val="both"/>
        <w:rPr>
          <w:i/>
          <w:iCs/>
          <w:sz w:val="22"/>
          <w:szCs w:val="22"/>
        </w:rPr>
      </w:pPr>
      <w:r w:rsidRPr="00F82CE0">
        <w:rPr>
          <w:i/>
          <w:iCs/>
          <w:sz w:val="22"/>
          <w:szCs w:val="22"/>
        </w:rPr>
        <w:t>SSAP No. 48—Joint Ventures, Partnerships and Limited Liability Companies</w:t>
      </w:r>
    </w:p>
    <w:p w14:paraId="2878A4C9" w14:textId="77777777" w:rsidR="006035FA" w:rsidRPr="00F82CE0" w:rsidRDefault="006035FA" w:rsidP="006035FA">
      <w:pPr>
        <w:ind w:left="720"/>
        <w:jc w:val="both"/>
        <w:rPr>
          <w:i/>
          <w:iCs/>
          <w:sz w:val="22"/>
          <w:szCs w:val="22"/>
        </w:rPr>
      </w:pPr>
    </w:p>
    <w:p w14:paraId="755B7BA8" w14:textId="4F59F006" w:rsidR="00985762" w:rsidRPr="00F82CE0" w:rsidRDefault="00DC1273" w:rsidP="009E4A8E">
      <w:pPr>
        <w:pStyle w:val="Heading1"/>
        <w:keepNext w:val="0"/>
        <w:spacing w:after="220"/>
        <w:jc w:val="both"/>
        <w:rPr>
          <w:b/>
          <w:sz w:val="22"/>
          <w:szCs w:val="22"/>
        </w:rPr>
      </w:pPr>
      <w:r w:rsidRPr="00F82CE0">
        <w:rPr>
          <w:b/>
          <w:sz w:val="22"/>
          <w:szCs w:val="22"/>
        </w:rPr>
        <w:t xml:space="preserve">INT </w:t>
      </w:r>
      <w:r w:rsidR="00273BFB" w:rsidRPr="00F82CE0">
        <w:rPr>
          <w:b/>
          <w:sz w:val="22"/>
          <w:szCs w:val="22"/>
        </w:rPr>
        <w:t>20</w:t>
      </w:r>
      <w:r w:rsidRPr="00F82CE0">
        <w:rPr>
          <w:b/>
          <w:sz w:val="22"/>
          <w:szCs w:val="22"/>
        </w:rPr>
        <w:t>-</w:t>
      </w:r>
      <w:r w:rsidR="00116F9A" w:rsidRPr="00F82CE0">
        <w:rPr>
          <w:b/>
          <w:sz w:val="22"/>
          <w:szCs w:val="22"/>
        </w:rPr>
        <w:t>0</w:t>
      </w:r>
      <w:r w:rsidR="0005150F" w:rsidRPr="00F82CE0">
        <w:rPr>
          <w:b/>
          <w:sz w:val="22"/>
          <w:szCs w:val="22"/>
        </w:rPr>
        <w:t>4</w:t>
      </w:r>
      <w:r w:rsidR="00116F9A" w:rsidRPr="00F82CE0">
        <w:rPr>
          <w:b/>
          <w:sz w:val="22"/>
          <w:szCs w:val="22"/>
        </w:rPr>
        <w:t>T</w:t>
      </w:r>
      <w:r w:rsidR="00985762" w:rsidRPr="00F82CE0">
        <w:rPr>
          <w:b/>
          <w:sz w:val="22"/>
          <w:szCs w:val="22"/>
        </w:rPr>
        <w:t xml:space="preserve"> Issue</w:t>
      </w:r>
    </w:p>
    <w:p w14:paraId="62BA57F7" w14:textId="77777777" w:rsidR="0005150F" w:rsidRPr="00F82CE0" w:rsidRDefault="0005150F" w:rsidP="0005150F">
      <w:pPr>
        <w:pStyle w:val="ListParagraph"/>
        <w:numPr>
          <w:ilvl w:val="0"/>
          <w:numId w:val="9"/>
        </w:numPr>
        <w:spacing w:after="220"/>
        <w:ind w:left="0" w:firstLine="0"/>
        <w:jc w:val="both"/>
        <w:rPr>
          <w:sz w:val="22"/>
          <w:szCs w:val="22"/>
        </w:rPr>
      </w:pPr>
      <w:bookmarkStart w:id="1" w:name="_Hlk35929183"/>
      <w:r w:rsidRPr="00F82CE0">
        <w:rPr>
          <w:sz w:val="22"/>
          <w:szCs w:val="22"/>
        </w:rPr>
        <w:t>A previously unknown virus began transmitting between October 2019 and March 2020, with the first deaths in the U.S. reported in early March 2020. The disease caused by the virus is known as Coronavirus Disease 2019 (COVID-19). Several states and cities have issued “stay home” orders and forced all non-essential businesses to temporarily close. This led to a significant increase in unemployment and the potential permanent closure of many businesses. Total economic damage is still being assessed however the total impact is likely to exceed $1 trillion in the U.S. alone.</w:t>
      </w:r>
    </w:p>
    <w:p w14:paraId="21CD9126" w14:textId="77777777" w:rsidR="0005150F" w:rsidRPr="00F82CE0" w:rsidRDefault="0005150F" w:rsidP="0005150F">
      <w:pPr>
        <w:pStyle w:val="ListParagraph"/>
        <w:spacing w:after="220"/>
        <w:ind w:left="0"/>
        <w:jc w:val="both"/>
        <w:rPr>
          <w:sz w:val="22"/>
          <w:szCs w:val="22"/>
        </w:rPr>
      </w:pPr>
    </w:p>
    <w:p w14:paraId="6646204A" w14:textId="77777777" w:rsidR="0005150F" w:rsidRPr="00F82CE0" w:rsidRDefault="0005150F" w:rsidP="0005150F">
      <w:pPr>
        <w:pStyle w:val="ListParagraph"/>
        <w:numPr>
          <w:ilvl w:val="0"/>
          <w:numId w:val="9"/>
        </w:numPr>
        <w:ind w:left="0" w:firstLine="0"/>
        <w:jc w:val="both"/>
        <w:rPr>
          <w:sz w:val="22"/>
          <w:szCs w:val="22"/>
        </w:rPr>
      </w:pPr>
      <w:r w:rsidRPr="00F82CE0">
        <w:rPr>
          <w:sz w:val="22"/>
          <w:szCs w:val="22"/>
        </w:rPr>
        <w:t xml:space="preserve">In response to COVID-19, Congress and Federal and state prudential banking regulators have considered provisions pertaining to mortgage loans as a result of the effects of the COVID-19. These provisions are intended to be applicable for the term of the loan modification, but solely with respect to a modification, including a forbearance arrangement, an interest rate modification, a repayment plan, and any other similar arrangement that defers or delays the payment of principal or interest, that occurs during the applicable period for a loan that was not more than 30 days past due as of December 31, 2019. </w:t>
      </w:r>
    </w:p>
    <w:p w14:paraId="2B51ADA5" w14:textId="77777777" w:rsidR="0005150F" w:rsidRPr="00F82CE0" w:rsidRDefault="0005150F" w:rsidP="0005150F">
      <w:pPr>
        <w:pStyle w:val="ListParagraph"/>
        <w:rPr>
          <w:sz w:val="22"/>
          <w:szCs w:val="22"/>
        </w:rPr>
      </w:pPr>
    </w:p>
    <w:p w14:paraId="4DD2D8E9" w14:textId="200FB59F" w:rsidR="006035FA" w:rsidRPr="00F82CE0" w:rsidRDefault="0005150F" w:rsidP="0005150F">
      <w:pPr>
        <w:pStyle w:val="ListParagraph"/>
        <w:numPr>
          <w:ilvl w:val="0"/>
          <w:numId w:val="9"/>
        </w:numPr>
        <w:ind w:left="0" w:firstLine="0"/>
        <w:jc w:val="both"/>
        <w:rPr>
          <w:sz w:val="22"/>
          <w:szCs w:val="22"/>
        </w:rPr>
      </w:pPr>
      <w:r w:rsidRPr="00F82CE0">
        <w:rPr>
          <w:sz w:val="22"/>
          <w:szCs w:val="22"/>
        </w:rPr>
        <w:t xml:space="preserve">Furthermore, guidance has been issued by the Financial Condition (E) Committee to all U.S. insurers filing with the NAIC in an effort to encourage insurers to work with borrowers who are unable to, or may become unable to meet their contractual payment obligations because of the effects of COVID-19. As detailed in that guidance, the Committee, which is the NAIC parent committee of all the solvency policy making task forces and working groups of the NAIC, supports the use of prudent loan modifications that can mitigate the impact of COVID-19. </w:t>
      </w:r>
    </w:p>
    <w:p w14:paraId="040AC50A" w14:textId="77777777" w:rsidR="006035FA" w:rsidRPr="00F82CE0" w:rsidRDefault="006035FA" w:rsidP="006035FA">
      <w:pPr>
        <w:pStyle w:val="ListParagraph"/>
        <w:rPr>
          <w:sz w:val="22"/>
          <w:szCs w:val="22"/>
        </w:rPr>
      </w:pPr>
    </w:p>
    <w:p w14:paraId="485940C1" w14:textId="66B78F88" w:rsidR="00092A93" w:rsidRPr="00F82CE0" w:rsidRDefault="006035FA" w:rsidP="0005150F">
      <w:pPr>
        <w:pStyle w:val="ListParagraph"/>
        <w:numPr>
          <w:ilvl w:val="0"/>
          <w:numId w:val="9"/>
        </w:numPr>
        <w:spacing w:after="220"/>
        <w:ind w:left="0" w:firstLine="0"/>
        <w:jc w:val="both"/>
        <w:rPr>
          <w:sz w:val="22"/>
          <w:szCs w:val="22"/>
        </w:rPr>
      </w:pPr>
      <w:r w:rsidRPr="00F82CE0">
        <w:rPr>
          <w:sz w:val="22"/>
          <w:szCs w:val="22"/>
        </w:rPr>
        <w:t xml:space="preserve">This interpretation intends to address the impact of </w:t>
      </w:r>
      <w:r w:rsidR="00C5437C" w:rsidRPr="00F82CE0">
        <w:rPr>
          <w:sz w:val="22"/>
          <w:szCs w:val="22"/>
        </w:rPr>
        <w:t xml:space="preserve">mortgage loan forbearance or </w:t>
      </w:r>
      <w:r w:rsidR="00C27AC5" w:rsidRPr="00F82CE0">
        <w:rPr>
          <w:sz w:val="22"/>
          <w:szCs w:val="22"/>
        </w:rPr>
        <w:t xml:space="preserve">prudent </w:t>
      </w:r>
      <w:r w:rsidR="00C5437C" w:rsidRPr="00F82CE0">
        <w:rPr>
          <w:sz w:val="22"/>
          <w:szCs w:val="22"/>
        </w:rPr>
        <w:t>modifications</w:t>
      </w:r>
      <w:r w:rsidRPr="00F82CE0">
        <w:rPr>
          <w:sz w:val="22"/>
          <w:szCs w:val="22"/>
        </w:rPr>
        <w:t xml:space="preserve"> on the statutory accounting and reporting requirements for mortgage loans, as well as investments with underlying mortgage loans. </w:t>
      </w:r>
      <w:r w:rsidR="0005150F" w:rsidRPr="00F82CE0">
        <w:rPr>
          <w:sz w:val="22"/>
          <w:szCs w:val="22"/>
        </w:rPr>
        <w:t>Particularly, this interpretation considers whether a</w:t>
      </w:r>
      <w:bookmarkStart w:id="2" w:name="_Hlk35943660"/>
      <w:bookmarkEnd w:id="1"/>
      <w:r w:rsidR="0005150F" w:rsidRPr="00F82CE0">
        <w:rPr>
          <w:sz w:val="22"/>
          <w:szCs w:val="22"/>
        </w:rPr>
        <w:t xml:space="preserve"> </w:t>
      </w:r>
      <w:r w:rsidR="009E17F3" w:rsidRPr="00F82CE0">
        <w:rPr>
          <w:sz w:val="22"/>
          <w:szCs w:val="22"/>
        </w:rPr>
        <w:t>temporary</w:t>
      </w:r>
      <w:r w:rsidR="00C5437C" w:rsidRPr="00F82CE0">
        <w:rPr>
          <w:sz w:val="22"/>
          <w:szCs w:val="22"/>
        </w:rPr>
        <w:t>,</w:t>
      </w:r>
      <w:r w:rsidR="009E17F3" w:rsidRPr="00F82CE0">
        <w:rPr>
          <w:sz w:val="22"/>
          <w:szCs w:val="22"/>
        </w:rPr>
        <w:t xml:space="preserve"> </w:t>
      </w:r>
      <w:r w:rsidR="00092A93" w:rsidRPr="00F82CE0">
        <w:rPr>
          <w:sz w:val="22"/>
          <w:szCs w:val="22"/>
        </w:rPr>
        <w:t xml:space="preserve">limited-time </w:t>
      </w:r>
      <w:r w:rsidR="003B2D06" w:rsidRPr="00F82CE0">
        <w:rPr>
          <w:sz w:val="22"/>
          <w:szCs w:val="22"/>
        </w:rPr>
        <w:t>statutory exception</w:t>
      </w:r>
      <w:r w:rsidR="00985762" w:rsidRPr="00F82CE0">
        <w:rPr>
          <w:sz w:val="22"/>
          <w:szCs w:val="22"/>
        </w:rPr>
        <w:t xml:space="preserve"> </w:t>
      </w:r>
      <w:r w:rsidR="00092A93" w:rsidRPr="00F82CE0">
        <w:rPr>
          <w:sz w:val="22"/>
          <w:szCs w:val="22"/>
        </w:rPr>
        <w:t xml:space="preserve">for the assessment of impairment </w:t>
      </w:r>
      <w:r w:rsidR="005930F9" w:rsidRPr="00F82CE0">
        <w:rPr>
          <w:sz w:val="22"/>
          <w:szCs w:val="22"/>
        </w:rPr>
        <w:t xml:space="preserve">shall </w:t>
      </w:r>
      <w:r w:rsidR="00092A93" w:rsidRPr="00F82CE0">
        <w:rPr>
          <w:sz w:val="22"/>
          <w:szCs w:val="22"/>
        </w:rPr>
        <w:t>be granted for mortgage loans and investment products with underlying mortgage loans</w:t>
      </w:r>
      <w:r w:rsidR="0005150F" w:rsidRPr="00F82CE0">
        <w:rPr>
          <w:sz w:val="22"/>
          <w:szCs w:val="22"/>
        </w:rPr>
        <w:t>.</w:t>
      </w:r>
      <w:r w:rsidR="00092A93" w:rsidRPr="00F82CE0">
        <w:rPr>
          <w:sz w:val="22"/>
          <w:szCs w:val="22"/>
        </w:rPr>
        <w:t xml:space="preserve"> This exception </w:t>
      </w:r>
      <w:r w:rsidR="002D6C87" w:rsidRPr="00F82CE0">
        <w:rPr>
          <w:sz w:val="22"/>
          <w:szCs w:val="22"/>
        </w:rPr>
        <w:t>would</w:t>
      </w:r>
      <w:r w:rsidR="00092A93" w:rsidRPr="00F82CE0">
        <w:rPr>
          <w:sz w:val="22"/>
          <w:szCs w:val="22"/>
        </w:rPr>
        <w:t xml:space="preserve"> only defer the assessment of</w:t>
      </w:r>
      <w:r w:rsidR="003E3CE1" w:rsidRPr="00F82CE0">
        <w:rPr>
          <w:sz w:val="22"/>
          <w:szCs w:val="22"/>
        </w:rPr>
        <w:t xml:space="preserve"> </w:t>
      </w:r>
      <w:r w:rsidR="00092A93" w:rsidRPr="00F82CE0">
        <w:rPr>
          <w:sz w:val="22"/>
          <w:szCs w:val="22"/>
        </w:rPr>
        <w:t xml:space="preserve">impairment due to situations caused by the forbearance </w:t>
      </w:r>
      <w:r w:rsidR="003B2D06" w:rsidRPr="00F82CE0">
        <w:rPr>
          <w:sz w:val="22"/>
          <w:szCs w:val="22"/>
        </w:rPr>
        <w:t xml:space="preserve">or modification </w:t>
      </w:r>
      <w:r w:rsidR="00092A93" w:rsidRPr="00F82CE0">
        <w:rPr>
          <w:sz w:val="22"/>
          <w:szCs w:val="22"/>
        </w:rPr>
        <w:t xml:space="preserve">of mortgage loan payments and would not delay the recognition of other than temporary impairments if the entity </w:t>
      </w:r>
      <w:r w:rsidR="002D6C87" w:rsidRPr="00F82CE0">
        <w:rPr>
          <w:sz w:val="22"/>
          <w:szCs w:val="22"/>
        </w:rPr>
        <w:t xml:space="preserve">made a decision to </w:t>
      </w:r>
      <w:r w:rsidR="00092A93" w:rsidRPr="00F82CE0">
        <w:rPr>
          <w:sz w:val="22"/>
          <w:szCs w:val="22"/>
        </w:rPr>
        <w:t>sell the investment and/or if provisions other than the limited-time forbearance</w:t>
      </w:r>
      <w:r w:rsidR="00B27A0C" w:rsidRPr="00F82CE0">
        <w:rPr>
          <w:sz w:val="22"/>
          <w:szCs w:val="22"/>
        </w:rPr>
        <w:t xml:space="preserve"> or modifications</w:t>
      </w:r>
      <w:r w:rsidR="00092A93" w:rsidRPr="00F82CE0">
        <w:rPr>
          <w:sz w:val="22"/>
          <w:szCs w:val="22"/>
        </w:rPr>
        <w:t xml:space="preserve"> of mortgage loans payments caused the entity to identify that they would not recover the reported carrying value of the investment.</w:t>
      </w:r>
    </w:p>
    <w:bookmarkEnd w:id="2"/>
    <w:p w14:paraId="152EB0A3" w14:textId="2EF7A866" w:rsidR="00985762" w:rsidRPr="00F82CE0" w:rsidRDefault="0005045E" w:rsidP="00A60937">
      <w:pPr>
        <w:pStyle w:val="Heading1"/>
        <w:keepNext w:val="0"/>
        <w:spacing w:after="220"/>
        <w:rPr>
          <w:b/>
          <w:sz w:val="22"/>
          <w:szCs w:val="22"/>
        </w:rPr>
      </w:pPr>
      <w:r w:rsidRPr="00F82CE0">
        <w:rPr>
          <w:b/>
          <w:sz w:val="22"/>
          <w:szCs w:val="22"/>
        </w:rPr>
        <w:t xml:space="preserve">INT </w:t>
      </w:r>
      <w:r w:rsidR="00A81336" w:rsidRPr="00F82CE0">
        <w:rPr>
          <w:b/>
          <w:sz w:val="22"/>
          <w:szCs w:val="22"/>
        </w:rPr>
        <w:t>20</w:t>
      </w:r>
      <w:r w:rsidRPr="00F82CE0">
        <w:rPr>
          <w:b/>
          <w:sz w:val="22"/>
          <w:szCs w:val="22"/>
        </w:rPr>
        <w:t>-</w:t>
      </w:r>
      <w:r w:rsidR="00116F9A" w:rsidRPr="00F82CE0">
        <w:rPr>
          <w:b/>
          <w:sz w:val="22"/>
          <w:szCs w:val="22"/>
        </w:rPr>
        <w:t>0</w:t>
      </w:r>
      <w:r w:rsidR="0005150F" w:rsidRPr="00F82CE0">
        <w:rPr>
          <w:b/>
          <w:sz w:val="22"/>
          <w:szCs w:val="22"/>
        </w:rPr>
        <w:t>4</w:t>
      </w:r>
      <w:r w:rsidR="00116F9A" w:rsidRPr="00F82CE0">
        <w:rPr>
          <w:b/>
          <w:sz w:val="22"/>
          <w:szCs w:val="22"/>
        </w:rPr>
        <w:t>T</w:t>
      </w:r>
      <w:r w:rsidR="0005150F" w:rsidRPr="00F82CE0">
        <w:rPr>
          <w:b/>
          <w:sz w:val="22"/>
          <w:szCs w:val="22"/>
        </w:rPr>
        <w:t xml:space="preserve"> </w:t>
      </w:r>
      <w:r w:rsidR="00985762" w:rsidRPr="00F82CE0">
        <w:rPr>
          <w:b/>
          <w:sz w:val="22"/>
          <w:szCs w:val="22"/>
        </w:rPr>
        <w:t>Discussion</w:t>
      </w:r>
    </w:p>
    <w:p w14:paraId="0F533121" w14:textId="344BB3A6" w:rsidR="00E417EB" w:rsidRPr="00F82CE0" w:rsidRDefault="00375BB9" w:rsidP="00E417EB">
      <w:pPr>
        <w:pStyle w:val="ListParagraph"/>
        <w:numPr>
          <w:ilvl w:val="0"/>
          <w:numId w:val="9"/>
        </w:numPr>
        <w:tabs>
          <w:tab w:val="left" w:pos="0"/>
          <w:tab w:val="left" w:pos="720"/>
        </w:tabs>
        <w:spacing w:after="220"/>
        <w:ind w:left="0" w:firstLine="0"/>
        <w:jc w:val="both"/>
        <w:rPr>
          <w:sz w:val="22"/>
          <w:szCs w:val="22"/>
        </w:rPr>
      </w:pPr>
      <w:r w:rsidRPr="00F82CE0">
        <w:rPr>
          <w:sz w:val="22"/>
          <w:szCs w:val="22"/>
        </w:rPr>
        <w:t xml:space="preserve">Although a variety of structures have the potential to be impacted by the economic </w:t>
      </w:r>
      <w:r w:rsidR="00490483" w:rsidRPr="00F82CE0">
        <w:rPr>
          <w:sz w:val="22"/>
          <w:szCs w:val="22"/>
        </w:rPr>
        <w:t>stimulus</w:t>
      </w:r>
      <w:r w:rsidRPr="00F82CE0">
        <w:rPr>
          <w:sz w:val="22"/>
          <w:szCs w:val="22"/>
        </w:rPr>
        <w:t xml:space="preserve"> provisions, this </w:t>
      </w:r>
      <w:r w:rsidR="00E417EB" w:rsidRPr="00F82CE0">
        <w:rPr>
          <w:sz w:val="22"/>
          <w:szCs w:val="22"/>
        </w:rPr>
        <w:t>interpretation</w:t>
      </w:r>
      <w:r w:rsidRPr="00F82CE0">
        <w:rPr>
          <w:sz w:val="22"/>
          <w:szCs w:val="22"/>
        </w:rPr>
        <w:t xml:space="preserve"> is limited to </w:t>
      </w:r>
      <w:r w:rsidR="00E417EB" w:rsidRPr="00F82CE0">
        <w:rPr>
          <w:sz w:val="22"/>
          <w:szCs w:val="22"/>
        </w:rPr>
        <w:t>investments specifically identified</w:t>
      </w:r>
      <w:r w:rsidR="002D6C87" w:rsidRPr="00F82CE0">
        <w:rPr>
          <w:sz w:val="22"/>
          <w:szCs w:val="22"/>
        </w:rPr>
        <w:t>.</w:t>
      </w:r>
      <w:r w:rsidR="00E417EB" w:rsidRPr="00F82CE0">
        <w:rPr>
          <w:sz w:val="22"/>
          <w:szCs w:val="22"/>
        </w:rPr>
        <w:t xml:space="preserve"> This interpretation does not include investments captured in scope of </w:t>
      </w:r>
      <w:r w:rsidR="00E417EB" w:rsidRPr="00F82CE0">
        <w:rPr>
          <w:i/>
          <w:iCs/>
          <w:sz w:val="22"/>
          <w:szCs w:val="22"/>
        </w:rPr>
        <w:t>SSAP No. 26R—Bonds</w:t>
      </w:r>
      <w:r w:rsidR="00E417EB" w:rsidRPr="00F82CE0">
        <w:rPr>
          <w:sz w:val="22"/>
          <w:szCs w:val="22"/>
        </w:rPr>
        <w:t xml:space="preserve"> or investments captured in the </w:t>
      </w:r>
      <w:r w:rsidR="00B27A0C" w:rsidRPr="00F82CE0">
        <w:rPr>
          <w:sz w:val="22"/>
          <w:szCs w:val="22"/>
        </w:rPr>
        <w:t>identified</w:t>
      </w:r>
      <w:r w:rsidR="00E417EB" w:rsidRPr="00F82CE0">
        <w:rPr>
          <w:sz w:val="22"/>
          <w:szCs w:val="22"/>
        </w:rPr>
        <w:t xml:space="preserve"> standards that are not predominantly impacted by underlying mortgage loans</w:t>
      </w:r>
      <w:r w:rsidR="002D6C87" w:rsidRPr="00F82CE0">
        <w:rPr>
          <w:sz w:val="22"/>
          <w:szCs w:val="22"/>
        </w:rPr>
        <w:t xml:space="preserve"> with forbearance </w:t>
      </w:r>
      <w:r w:rsidR="00B27A0C" w:rsidRPr="00F82CE0">
        <w:rPr>
          <w:sz w:val="22"/>
          <w:szCs w:val="22"/>
        </w:rPr>
        <w:t xml:space="preserve">or modification </w:t>
      </w:r>
      <w:r w:rsidR="002D6C87" w:rsidRPr="00F82CE0">
        <w:rPr>
          <w:sz w:val="22"/>
          <w:szCs w:val="22"/>
        </w:rPr>
        <w:t xml:space="preserve">provisions </w:t>
      </w:r>
      <w:r w:rsidR="00C5437C" w:rsidRPr="00F82CE0">
        <w:rPr>
          <w:sz w:val="22"/>
          <w:szCs w:val="22"/>
        </w:rPr>
        <w:t>in response to COVID-19</w:t>
      </w:r>
      <w:r w:rsidR="002D6C87" w:rsidRPr="00F82CE0">
        <w:rPr>
          <w:sz w:val="22"/>
          <w:szCs w:val="22"/>
        </w:rPr>
        <w:t xml:space="preserve">. </w:t>
      </w:r>
      <w:r w:rsidR="00E417EB" w:rsidRPr="00F82CE0">
        <w:rPr>
          <w:sz w:val="22"/>
          <w:szCs w:val="22"/>
        </w:rPr>
        <w:t xml:space="preserve">Investments in scope of this interpretation include: </w:t>
      </w:r>
    </w:p>
    <w:p w14:paraId="24F17214" w14:textId="77777777" w:rsidR="00E417EB" w:rsidRPr="00F82CE0" w:rsidRDefault="00E417EB" w:rsidP="00E417EB">
      <w:pPr>
        <w:pStyle w:val="ListParagraph"/>
        <w:tabs>
          <w:tab w:val="left" w:pos="0"/>
          <w:tab w:val="left" w:pos="720"/>
        </w:tabs>
        <w:spacing w:after="220"/>
        <w:ind w:left="0"/>
        <w:jc w:val="both"/>
        <w:rPr>
          <w:sz w:val="22"/>
          <w:szCs w:val="22"/>
        </w:rPr>
      </w:pPr>
    </w:p>
    <w:p w14:paraId="3FB1E2D0" w14:textId="3975B2C8" w:rsidR="00375BB9" w:rsidRPr="00F82CE0" w:rsidRDefault="00375BB9" w:rsidP="00375BB9">
      <w:pPr>
        <w:pStyle w:val="ListParagraph"/>
        <w:numPr>
          <w:ilvl w:val="0"/>
          <w:numId w:val="11"/>
        </w:numPr>
        <w:tabs>
          <w:tab w:val="left" w:pos="0"/>
          <w:tab w:val="left" w:pos="2250"/>
        </w:tabs>
        <w:ind w:left="720"/>
        <w:contextualSpacing w:val="0"/>
        <w:jc w:val="both"/>
        <w:rPr>
          <w:sz w:val="22"/>
          <w:szCs w:val="22"/>
        </w:rPr>
      </w:pPr>
      <w:r w:rsidRPr="00F82CE0">
        <w:rPr>
          <w:i/>
          <w:iCs/>
          <w:sz w:val="22"/>
          <w:szCs w:val="22"/>
        </w:rPr>
        <w:t>SSAP No. 37—Mortgage Loan</w:t>
      </w:r>
      <w:r w:rsidR="000865F4" w:rsidRPr="00F82CE0">
        <w:rPr>
          <w:i/>
          <w:iCs/>
          <w:sz w:val="22"/>
          <w:szCs w:val="22"/>
        </w:rPr>
        <w:t xml:space="preserve">s:  </w:t>
      </w:r>
      <w:r w:rsidR="000865F4" w:rsidRPr="00F82CE0">
        <w:rPr>
          <w:sz w:val="22"/>
          <w:szCs w:val="22"/>
        </w:rPr>
        <w:t>All mortgage loans in scope of SSAP No. 37</w:t>
      </w:r>
      <w:r w:rsidR="000865F4" w:rsidRPr="00F82CE0">
        <w:rPr>
          <w:i/>
          <w:iCs/>
          <w:sz w:val="22"/>
          <w:szCs w:val="22"/>
        </w:rPr>
        <w:t xml:space="preserve">.  </w:t>
      </w:r>
      <w:r w:rsidRPr="00F82CE0">
        <w:rPr>
          <w:sz w:val="22"/>
          <w:szCs w:val="22"/>
        </w:rPr>
        <w:t xml:space="preserve"> </w:t>
      </w:r>
    </w:p>
    <w:p w14:paraId="068E44C4" w14:textId="77777777" w:rsidR="00375BB9" w:rsidRPr="00F82CE0" w:rsidRDefault="00375BB9" w:rsidP="00375BB9">
      <w:pPr>
        <w:pStyle w:val="ListParagraph"/>
        <w:tabs>
          <w:tab w:val="left" w:pos="0"/>
          <w:tab w:val="left" w:pos="2250"/>
        </w:tabs>
        <w:contextualSpacing w:val="0"/>
        <w:jc w:val="both"/>
        <w:rPr>
          <w:sz w:val="22"/>
          <w:szCs w:val="22"/>
        </w:rPr>
      </w:pPr>
    </w:p>
    <w:p w14:paraId="5C7FEB98" w14:textId="73586B8F" w:rsidR="00E417EB" w:rsidRPr="00F82CE0" w:rsidRDefault="00E417EB" w:rsidP="00375BB9">
      <w:pPr>
        <w:pStyle w:val="ListParagraph"/>
        <w:numPr>
          <w:ilvl w:val="0"/>
          <w:numId w:val="11"/>
        </w:numPr>
        <w:ind w:left="720"/>
        <w:contextualSpacing w:val="0"/>
        <w:jc w:val="both"/>
        <w:rPr>
          <w:sz w:val="22"/>
          <w:szCs w:val="22"/>
        </w:rPr>
      </w:pPr>
      <w:r w:rsidRPr="00F82CE0">
        <w:rPr>
          <w:i/>
          <w:iCs/>
          <w:sz w:val="22"/>
          <w:szCs w:val="22"/>
        </w:rPr>
        <w:t>SSAP No. 30—Common Stock</w:t>
      </w:r>
      <w:r w:rsidR="000865F4" w:rsidRPr="00F82CE0">
        <w:rPr>
          <w:i/>
          <w:iCs/>
          <w:sz w:val="22"/>
          <w:szCs w:val="22"/>
        </w:rPr>
        <w:t>:</w:t>
      </w:r>
      <w:r w:rsidRPr="00F82CE0">
        <w:rPr>
          <w:sz w:val="22"/>
          <w:szCs w:val="22"/>
        </w:rPr>
        <w:t xml:space="preserve"> SEC registered investments with underlying mortgage loans (e.g., mortgage-backed mutual funds).</w:t>
      </w:r>
    </w:p>
    <w:p w14:paraId="327E1B55" w14:textId="77777777" w:rsidR="00E417EB" w:rsidRPr="00F82CE0" w:rsidRDefault="00E417EB" w:rsidP="00E417EB">
      <w:pPr>
        <w:pStyle w:val="ListParagraph"/>
        <w:rPr>
          <w:i/>
          <w:iCs/>
          <w:sz w:val="22"/>
          <w:szCs w:val="22"/>
        </w:rPr>
      </w:pPr>
    </w:p>
    <w:p w14:paraId="265729BE" w14:textId="768B1B26" w:rsidR="00375BB9" w:rsidRPr="00F82CE0" w:rsidRDefault="00375BB9" w:rsidP="00375BB9">
      <w:pPr>
        <w:pStyle w:val="ListParagraph"/>
        <w:numPr>
          <w:ilvl w:val="0"/>
          <w:numId w:val="11"/>
        </w:numPr>
        <w:ind w:left="720"/>
        <w:contextualSpacing w:val="0"/>
        <w:jc w:val="both"/>
        <w:rPr>
          <w:sz w:val="22"/>
          <w:szCs w:val="22"/>
        </w:rPr>
      </w:pPr>
      <w:r w:rsidRPr="00F82CE0">
        <w:rPr>
          <w:i/>
          <w:iCs/>
          <w:sz w:val="22"/>
          <w:szCs w:val="22"/>
        </w:rPr>
        <w:t>SSAP No. 43R—Loan-backed and Structured Securities</w:t>
      </w:r>
      <w:r w:rsidR="000865F4" w:rsidRPr="00F82CE0">
        <w:rPr>
          <w:i/>
          <w:iCs/>
          <w:sz w:val="22"/>
          <w:szCs w:val="22"/>
        </w:rPr>
        <w:t xml:space="preserve">: </w:t>
      </w:r>
      <w:r w:rsidR="000865F4" w:rsidRPr="00F82CE0">
        <w:rPr>
          <w:sz w:val="22"/>
          <w:szCs w:val="22"/>
        </w:rPr>
        <w:t xml:space="preserve">Securities in scope of SSAP No. 43R </w:t>
      </w:r>
      <w:r w:rsidRPr="00F82CE0">
        <w:rPr>
          <w:sz w:val="22"/>
          <w:szCs w:val="22"/>
        </w:rPr>
        <w:t>with underlying mortgage loans. This includes residential and commercial mortgage backed securities (RMBS &amp; CMBS)</w:t>
      </w:r>
      <w:r w:rsidR="00B61586" w:rsidRPr="00F82CE0">
        <w:rPr>
          <w:sz w:val="22"/>
          <w:szCs w:val="22"/>
        </w:rPr>
        <w:t>,</w:t>
      </w:r>
      <w:r w:rsidRPr="00F82CE0">
        <w:rPr>
          <w:sz w:val="22"/>
          <w:szCs w:val="22"/>
        </w:rPr>
        <w:t xml:space="preserve"> and credit risk transfers (CRTs) issued through government sponsored enterprises (GSEs).</w:t>
      </w:r>
      <w:r w:rsidR="00490483" w:rsidRPr="00F82CE0">
        <w:rPr>
          <w:sz w:val="22"/>
          <w:szCs w:val="22"/>
        </w:rPr>
        <w:t xml:space="preserve"> </w:t>
      </w:r>
      <w:r w:rsidRPr="00F82CE0">
        <w:rPr>
          <w:sz w:val="22"/>
          <w:szCs w:val="22"/>
        </w:rPr>
        <w:t xml:space="preserve">Other </w:t>
      </w:r>
      <w:r w:rsidR="00490483" w:rsidRPr="00F82CE0">
        <w:rPr>
          <w:sz w:val="22"/>
          <w:szCs w:val="22"/>
        </w:rPr>
        <w:t xml:space="preserve">investments in scope of SSAP No. 43R are also captured within this </w:t>
      </w:r>
      <w:r w:rsidR="00241A21" w:rsidRPr="00F82CE0">
        <w:rPr>
          <w:sz w:val="22"/>
          <w:szCs w:val="22"/>
        </w:rPr>
        <w:t>interpretation</w:t>
      </w:r>
      <w:r w:rsidR="00490483" w:rsidRPr="00F82CE0">
        <w:rPr>
          <w:sz w:val="22"/>
          <w:szCs w:val="22"/>
        </w:rPr>
        <w:t xml:space="preserve"> if the underlying investments predominantly reflect </w:t>
      </w:r>
      <w:r w:rsidRPr="00F82CE0">
        <w:rPr>
          <w:sz w:val="22"/>
          <w:szCs w:val="22"/>
        </w:rPr>
        <w:t xml:space="preserve">mortgage loan products. </w:t>
      </w:r>
    </w:p>
    <w:p w14:paraId="78E9323D" w14:textId="77777777" w:rsidR="00375BB9" w:rsidRPr="00F82CE0" w:rsidRDefault="00375BB9" w:rsidP="00375BB9">
      <w:pPr>
        <w:jc w:val="both"/>
        <w:rPr>
          <w:sz w:val="22"/>
          <w:szCs w:val="22"/>
        </w:rPr>
      </w:pPr>
    </w:p>
    <w:p w14:paraId="253954A9" w14:textId="494BF8F5" w:rsidR="00375BB9" w:rsidRPr="00F82CE0" w:rsidRDefault="00375BB9" w:rsidP="00375BB9">
      <w:pPr>
        <w:pStyle w:val="ListParagraph"/>
        <w:numPr>
          <w:ilvl w:val="0"/>
          <w:numId w:val="11"/>
        </w:numPr>
        <w:ind w:left="720"/>
        <w:contextualSpacing w:val="0"/>
        <w:jc w:val="both"/>
        <w:rPr>
          <w:sz w:val="22"/>
          <w:szCs w:val="22"/>
        </w:rPr>
      </w:pPr>
      <w:r w:rsidRPr="00F82CE0">
        <w:rPr>
          <w:i/>
          <w:iCs/>
          <w:sz w:val="22"/>
          <w:szCs w:val="22"/>
        </w:rPr>
        <w:t>SSAP No. 48—Joint Ventures, Partnerships and Limited Liabilities Companies</w:t>
      </w:r>
      <w:r w:rsidR="00B7462D" w:rsidRPr="00F82CE0">
        <w:rPr>
          <w:i/>
          <w:iCs/>
          <w:sz w:val="22"/>
          <w:szCs w:val="22"/>
        </w:rPr>
        <w:t xml:space="preserve">: </w:t>
      </w:r>
      <w:r w:rsidRPr="00F82CE0">
        <w:rPr>
          <w:sz w:val="22"/>
          <w:szCs w:val="22"/>
        </w:rPr>
        <w:t xml:space="preserve"> </w:t>
      </w:r>
      <w:r w:rsidR="00B7462D" w:rsidRPr="00F82CE0">
        <w:rPr>
          <w:sz w:val="22"/>
          <w:szCs w:val="22"/>
        </w:rPr>
        <w:t>In</w:t>
      </w:r>
      <w:r w:rsidRPr="00F82CE0">
        <w:rPr>
          <w:sz w:val="22"/>
          <w:szCs w:val="22"/>
        </w:rPr>
        <w:t xml:space="preserve">vestments </w:t>
      </w:r>
      <w:r w:rsidR="00B7462D" w:rsidRPr="00F82CE0">
        <w:rPr>
          <w:sz w:val="22"/>
          <w:szCs w:val="22"/>
        </w:rPr>
        <w:t xml:space="preserve">in scope of SSAP No. 48 </w:t>
      </w:r>
      <w:r w:rsidRPr="00F82CE0">
        <w:rPr>
          <w:sz w:val="22"/>
          <w:szCs w:val="22"/>
        </w:rPr>
        <w:t>that have underlying characteristics of mortgage loans. These investments could include private equity mortgage loan funds</w:t>
      </w:r>
      <w:r w:rsidR="003E7E51" w:rsidRPr="00F82CE0">
        <w:rPr>
          <w:sz w:val="22"/>
          <w:szCs w:val="22"/>
        </w:rPr>
        <w:t>.</w:t>
      </w:r>
    </w:p>
    <w:p w14:paraId="5BDF8EC3" w14:textId="77777777" w:rsidR="00E417EB" w:rsidRPr="00F82CE0" w:rsidRDefault="00E417EB" w:rsidP="00E417EB">
      <w:pPr>
        <w:pStyle w:val="ListParagraph"/>
        <w:rPr>
          <w:sz w:val="22"/>
          <w:szCs w:val="22"/>
        </w:rPr>
      </w:pPr>
    </w:p>
    <w:p w14:paraId="142832FD" w14:textId="5C411E45" w:rsidR="003416BF" w:rsidRPr="00F82CE0" w:rsidRDefault="00375BB9" w:rsidP="00375BB9">
      <w:pPr>
        <w:pStyle w:val="ListParagraph"/>
        <w:spacing w:after="220"/>
        <w:ind w:left="0"/>
        <w:jc w:val="both"/>
        <w:rPr>
          <w:b/>
          <w:bCs/>
          <w:sz w:val="22"/>
          <w:szCs w:val="22"/>
          <w:u w:val="single"/>
        </w:rPr>
      </w:pPr>
      <w:r w:rsidRPr="00F82CE0">
        <w:rPr>
          <w:b/>
          <w:bCs/>
          <w:sz w:val="22"/>
          <w:szCs w:val="22"/>
          <w:u w:val="single"/>
        </w:rPr>
        <w:t>Mortgage Loans</w:t>
      </w:r>
    </w:p>
    <w:p w14:paraId="20173DC6" w14:textId="77777777" w:rsidR="00375BB9" w:rsidRPr="00F82CE0" w:rsidRDefault="00375BB9" w:rsidP="00375BB9">
      <w:pPr>
        <w:pStyle w:val="ListParagraph"/>
        <w:spacing w:after="220"/>
        <w:ind w:left="0"/>
        <w:jc w:val="both"/>
        <w:rPr>
          <w:sz w:val="22"/>
          <w:szCs w:val="22"/>
        </w:rPr>
      </w:pPr>
    </w:p>
    <w:p w14:paraId="65D4709C" w14:textId="21B97DB7" w:rsidR="001E3619" w:rsidRPr="00F82CE0" w:rsidRDefault="00375BB9" w:rsidP="0005150F">
      <w:pPr>
        <w:pStyle w:val="ListParagraph"/>
        <w:numPr>
          <w:ilvl w:val="0"/>
          <w:numId w:val="9"/>
        </w:numPr>
        <w:spacing w:after="220"/>
        <w:ind w:left="0" w:firstLine="0"/>
        <w:jc w:val="both"/>
        <w:rPr>
          <w:sz w:val="22"/>
          <w:szCs w:val="22"/>
        </w:rPr>
      </w:pPr>
      <w:r w:rsidRPr="00F82CE0">
        <w:rPr>
          <w:sz w:val="22"/>
          <w:szCs w:val="22"/>
        </w:rPr>
        <w:t>M</w:t>
      </w:r>
      <w:r w:rsidR="003416BF" w:rsidRPr="00F82CE0">
        <w:rPr>
          <w:sz w:val="22"/>
          <w:szCs w:val="22"/>
        </w:rPr>
        <w:t xml:space="preserve">ortgage loans are in scope of </w:t>
      </w:r>
      <w:r w:rsidR="003416BF" w:rsidRPr="00F82CE0">
        <w:rPr>
          <w:i/>
          <w:iCs/>
          <w:sz w:val="22"/>
          <w:szCs w:val="22"/>
        </w:rPr>
        <w:t>SSAP No. 37—Mortgage Loans</w:t>
      </w:r>
      <w:r w:rsidR="003416BF" w:rsidRPr="00F82CE0">
        <w:rPr>
          <w:sz w:val="22"/>
          <w:szCs w:val="22"/>
        </w:rPr>
        <w:t xml:space="preserve"> and reported on Schedule B: Mortgage Loans. </w:t>
      </w:r>
      <w:r w:rsidR="00A70CD7" w:rsidRPr="00F82CE0">
        <w:rPr>
          <w:sz w:val="22"/>
          <w:szCs w:val="22"/>
        </w:rPr>
        <w:t>The guidance in SSAP No. 37</w:t>
      </w:r>
      <w:r w:rsidR="00844690" w:rsidRPr="00F82CE0">
        <w:rPr>
          <w:sz w:val="22"/>
          <w:szCs w:val="22"/>
        </w:rPr>
        <w:t>, paragraph 16</w:t>
      </w:r>
      <w:r w:rsidR="00A70CD7" w:rsidRPr="00F82CE0">
        <w:rPr>
          <w:sz w:val="22"/>
          <w:szCs w:val="22"/>
        </w:rPr>
        <w:t xml:space="preserve"> </w:t>
      </w:r>
      <w:r w:rsidR="00241A21" w:rsidRPr="00F82CE0">
        <w:rPr>
          <w:sz w:val="22"/>
          <w:szCs w:val="22"/>
        </w:rPr>
        <w:t xml:space="preserve">identifies that a </w:t>
      </w:r>
      <w:r w:rsidR="00A70CD7" w:rsidRPr="00F82CE0">
        <w:rPr>
          <w:sz w:val="22"/>
          <w:szCs w:val="22"/>
        </w:rPr>
        <w:t xml:space="preserve">mortgage loan </w:t>
      </w:r>
      <w:r w:rsidR="00241A21" w:rsidRPr="00F82CE0">
        <w:rPr>
          <w:sz w:val="22"/>
          <w:szCs w:val="22"/>
        </w:rPr>
        <w:t>shall be considered i</w:t>
      </w:r>
      <w:r w:rsidR="00A70CD7" w:rsidRPr="00F82CE0">
        <w:rPr>
          <w:sz w:val="22"/>
          <w:szCs w:val="22"/>
        </w:rPr>
        <w:t xml:space="preserve">mpaired when mortgage loan payments are not received in accordance with the contractual terms of the mortgage agreement. As such, a deference </w:t>
      </w:r>
      <w:r w:rsidR="005930F9" w:rsidRPr="00F82CE0">
        <w:rPr>
          <w:sz w:val="22"/>
          <w:szCs w:val="22"/>
        </w:rPr>
        <w:t xml:space="preserve">or modification </w:t>
      </w:r>
      <w:r w:rsidR="00A70CD7" w:rsidRPr="00F82CE0">
        <w:rPr>
          <w:sz w:val="22"/>
          <w:szCs w:val="22"/>
        </w:rPr>
        <w:t xml:space="preserve">of mortgage loan payments (whether interest or principal) would </w:t>
      </w:r>
      <w:r w:rsidR="00C27AC5" w:rsidRPr="00F82CE0">
        <w:rPr>
          <w:sz w:val="22"/>
          <w:szCs w:val="22"/>
        </w:rPr>
        <w:t xml:space="preserve">ordinarily </w:t>
      </w:r>
      <w:r w:rsidR="00A70CD7" w:rsidRPr="00F82CE0">
        <w:rPr>
          <w:sz w:val="22"/>
          <w:szCs w:val="22"/>
        </w:rPr>
        <w:t xml:space="preserve">trigger </w:t>
      </w:r>
      <w:r w:rsidR="00241A21" w:rsidRPr="00F82CE0">
        <w:rPr>
          <w:sz w:val="22"/>
          <w:szCs w:val="22"/>
        </w:rPr>
        <w:t xml:space="preserve">an impaired classification and </w:t>
      </w:r>
      <w:r w:rsidR="004D744A" w:rsidRPr="00F82CE0">
        <w:rPr>
          <w:sz w:val="22"/>
          <w:szCs w:val="22"/>
        </w:rPr>
        <w:t xml:space="preserve">require </w:t>
      </w:r>
      <w:r w:rsidR="00A70CD7" w:rsidRPr="00F82CE0">
        <w:rPr>
          <w:sz w:val="22"/>
          <w:szCs w:val="22"/>
        </w:rPr>
        <w:t xml:space="preserve">impairment assessment under SSAP No. 37.The guidance in SSAP No. 37 utilizes a valuation allowance to recognize unrealized losses from impairment assessments and permits subsequent reversals of unrealized losses reflected in the valuation allowance based on subsequent assessments. If an impairment is deemed other than temporary, the unrealized loss is realized without the potential for subsequent recoveries. </w:t>
      </w:r>
    </w:p>
    <w:p w14:paraId="1F159FA8" w14:textId="7D58B240" w:rsidR="00571062" w:rsidRPr="00F82CE0" w:rsidRDefault="00571062" w:rsidP="00571062">
      <w:pPr>
        <w:pStyle w:val="ListParagraph"/>
        <w:tabs>
          <w:tab w:val="left" w:pos="0"/>
          <w:tab w:val="left" w:pos="2250"/>
        </w:tabs>
        <w:contextualSpacing w:val="0"/>
        <w:jc w:val="both"/>
        <w:rPr>
          <w:sz w:val="22"/>
          <w:szCs w:val="22"/>
        </w:rPr>
      </w:pPr>
    </w:p>
    <w:p w14:paraId="72755186" w14:textId="33187428" w:rsidR="00241A21" w:rsidRPr="00F82CE0" w:rsidRDefault="00241A21" w:rsidP="00241A21">
      <w:pPr>
        <w:pStyle w:val="ListParagraph"/>
        <w:spacing w:after="220"/>
        <w:ind w:left="0"/>
        <w:jc w:val="both"/>
        <w:rPr>
          <w:b/>
          <w:bCs/>
          <w:sz w:val="22"/>
          <w:szCs w:val="22"/>
          <w:u w:val="single"/>
        </w:rPr>
      </w:pPr>
      <w:r w:rsidRPr="00F82CE0">
        <w:rPr>
          <w:b/>
          <w:bCs/>
          <w:sz w:val="22"/>
          <w:szCs w:val="22"/>
          <w:u w:val="single"/>
        </w:rPr>
        <w:t>SEC Registered Funds with Underlying Mortgage Loans</w:t>
      </w:r>
    </w:p>
    <w:p w14:paraId="4C2CEAE9" w14:textId="723CD850" w:rsidR="00C94885" w:rsidRPr="00F82CE0" w:rsidRDefault="00C94885" w:rsidP="00241A21">
      <w:pPr>
        <w:pStyle w:val="ListParagraph"/>
        <w:spacing w:after="220"/>
        <w:ind w:left="0"/>
        <w:jc w:val="both"/>
        <w:rPr>
          <w:b/>
          <w:bCs/>
          <w:sz w:val="22"/>
          <w:szCs w:val="22"/>
          <w:u w:val="single"/>
        </w:rPr>
      </w:pPr>
    </w:p>
    <w:p w14:paraId="676F6546" w14:textId="1CEB4C0C" w:rsidR="00C94885" w:rsidRPr="00F82CE0" w:rsidRDefault="00C94885" w:rsidP="00442BCC">
      <w:pPr>
        <w:pStyle w:val="ListParagraph"/>
        <w:numPr>
          <w:ilvl w:val="0"/>
          <w:numId w:val="9"/>
        </w:numPr>
        <w:spacing w:after="220"/>
        <w:ind w:left="0" w:firstLine="0"/>
        <w:jc w:val="both"/>
        <w:rPr>
          <w:sz w:val="22"/>
          <w:szCs w:val="22"/>
        </w:rPr>
      </w:pPr>
      <w:r w:rsidRPr="00F82CE0">
        <w:rPr>
          <w:sz w:val="22"/>
          <w:szCs w:val="22"/>
        </w:rPr>
        <w:t xml:space="preserve">The scope of </w:t>
      </w:r>
      <w:r w:rsidRPr="00F82CE0">
        <w:rPr>
          <w:i/>
          <w:iCs/>
          <w:sz w:val="22"/>
          <w:szCs w:val="22"/>
        </w:rPr>
        <w:t>SSAP No. 30</w:t>
      </w:r>
      <w:r w:rsidR="00983226" w:rsidRPr="00F82CE0">
        <w:rPr>
          <w:i/>
          <w:iCs/>
          <w:sz w:val="22"/>
          <w:szCs w:val="22"/>
        </w:rPr>
        <w:t>—Common Stock</w:t>
      </w:r>
      <w:r w:rsidRPr="00F82CE0">
        <w:rPr>
          <w:sz w:val="22"/>
          <w:szCs w:val="22"/>
        </w:rPr>
        <w:t xml:space="preserve"> includes SEC registered open-end investment companies (mutual funds), closed-end funds and unit investment trusts, regardless of the types or mix of securities owned by the fund. Investments in scope of this statement include mortgage-backed mutual funds and other such investments. Items in scope of SSAP No. 30 are reported on Schedule D-2-2: Common Stock. These investments are reported at fair value, </w:t>
      </w:r>
      <w:r w:rsidR="00CE5416" w:rsidRPr="00F82CE0">
        <w:rPr>
          <w:sz w:val="22"/>
          <w:szCs w:val="22"/>
        </w:rPr>
        <w:t>with</w:t>
      </w:r>
      <w:r w:rsidRPr="00F82CE0">
        <w:rPr>
          <w:sz w:val="22"/>
          <w:szCs w:val="22"/>
        </w:rPr>
        <w:t xml:space="preserve"> changes in fair value recognized as unrealized gains or losses. The guidance in SSAP No. 30 requires recognition of an </w:t>
      </w:r>
      <w:r w:rsidR="00983226" w:rsidRPr="00F82CE0">
        <w:rPr>
          <w:sz w:val="22"/>
          <w:szCs w:val="22"/>
        </w:rPr>
        <w:t>other than temporary impairment (</w:t>
      </w:r>
      <w:r w:rsidRPr="00F82CE0">
        <w:rPr>
          <w:sz w:val="22"/>
          <w:szCs w:val="22"/>
        </w:rPr>
        <w:t>OTTI</w:t>
      </w:r>
      <w:r w:rsidR="00983226" w:rsidRPr="00F82CE0">
        <w:rPr>
          <w:sz w:val="22"/>
          <w:szCs w:val="22"/>
        </w:rPr>
        <w:t>)</w:t>
      </w:r>
      <w:r w:rsidRPr="00F82CE0">
        <w:rPr>
          <w:sz w:val="22"/>
          <w:szCs w:val="22"/>
        </w:rPr>
        <w:t xml:space="preserve"> </w:t>
      </w:r>
      <w:r w:rsidR="00CE5416" w:rsidRPr="00F82CE0">
        <w:rPr>
          <w:sz w:val="22"/>
          <w:szCs w:val="22"/>
        </w:rPr>
        <w:t xml:space="preserve">(realized loss) </w:t>
      </w:r>
      <w:r w:rsidRPr="00F82CE0">
        <w:rPr>
          <w:sz w:val="22"/>
          <w:szCs w:val="22"/>
        </w:rPr>
        <w:t>if</w:t>
      </w:r>
      <w:r w:rsidR="00CE5416" w:rsidRPr="00F82CE0">
        <w:rPr>
          <w:sz w:val="22"/>
          <w:szCs w:val="22"/>
        </w:rPr>
        <w:t xml:space="preserve"> a reporting entity decision has decided to sell the security at an amount below its carrying value</w:t>
      </w:r>
      <w:r w:rsidRPr="00F82CE0">
        <w:rPr>
          <w:sz w:val="22"/>
          <w:szCs w:val="22"/>
        </w:rPr>
        <w:t xml:space="preserve"> </w:t>
      </w:r>
      <w:r w:rsidR="00CE5416" w:rsidRPr="00F82CE0">
        <w:rPr>
          <w:sz w:val="22"/>
          <w:szCs w:val="22"/>
        </w:rPr>
        <w:t>or if the</w:t>
      </w:r>
      <w:r w:rsidRPr="00F82CE0">
        <w:rPr>
          <w:sz w:val="22"/>
          <w:szCs w:val="22"/>
        </w:rPr>
        <w:t xml:space="preserve"> decline in fair value is determined to be other than temporary</w:t>
      </w:r>
      <w:r w:rsidR="00CE5416" w:rsidRPr="00F82CE0">
        <w:rPr>
          <w:sz w:val="22"/>
          <w:szCs w:val="22"/>
        </w:rPr>
        <w:t xml:space="preserve"> pursuant to </w:t>
      </w:r>
      <w:r w:rsidR="00CE5416" w:rsidRPr="00F82CE0">
        <w:rPr>
          <w:i/>
          <w:iCs/>
          <w:sz w:val="22"/>
          <w:szCs w:val="22"/>
        </w:rPr>
        <w:t>INT 06-07: Definition of Phrase “Other Than Temporary.”</w:t>
      </w:r>
      <w:r w:rsidRPr="00F82CE0">
        <w:rPr>
          <w:sz w:val="22"/>
          <w:szCs w:val="22"/>
        </w:rPr>
        <w:t xml:space="preserve"> </w:t>
      </w:r>
      <w:r w:rsidR="00034724" w:rsidRPr="00F82CE0">
        <w:rPr>
          <w:sz w:val="22"/>
          <w:szCs w:val="22"/>
        </w:rPr>
        <w:t>As</w:t>
      </w:r>
      <w:r w:rsidRPr="00F82CE0">
        <w:rPr>
          <w:sz w:val="22"/>
          <w:szCs w:val="22"/>
        </w:rPr>
        <w:t xml:space="preserve"> investments in scope of SSAP No. 30 are reported at fair value, subsequent recoveries (or losses) in fair value, after recognition of an OTTI, are recognized as unrealized gains or losses until sold or additional OTTI recognition. </w:t>
      </w:r>
    </w:p>
    <w:p w14:paraId="308A9EE8" w14:textId="418A5A3A" w:rsidR="00C76F66" w:rsidRPr="00F82CE0" w:rsidRDefault="00C76F66" w:rsidP="00C76F66">
      <w:pPr>
        <w:pStyle w:val="ListParagraph"/>
        <w:spacing w:after="220"/>
        <w:ind w:left="0"/>
        <w:jc w:val="both"/>
        <w:rPr>
          <w:b/>
          <w:bCs/>
          <w:sz w:val="22"/>
          <w:szCs w:val="22"/>
          <w:u w:val="single"/>
        </w:rPr>
      </w:pPr>
      <w:r w:rsidRPr="00F82CE0">
        <w:rPr>
          <w:b/>
          <w:bCs/>
          <w:sz w:val="22"/>
          <w:szCs w:val="22"/>
          <w:u w:val="single"/>
        </w:rPr>
        <w:t>Loan-backed and Structured Securities with Underlying Mortgage Loans</w:t>
      </w:r>
    </w:p>
    <w:p w14:paraId="55BC36AE" w14:textId="77777777" w:rsidR="00C76F66" w:rsidRPr="00F82CE0" w:rsidRDefault="00C76F66" w:rsidP="00241A21">
      <w:pPr>
        <w:pStyle w:val="ListParagraph"/>
        <w:spacing w:after="220"/>
        <w:ind w:left="0"/>
        <w:jc w:val="both"/>
        <w:rPr>
          <w:b/>
          <w:bCs/>
          <w:sz w:val="22"/>
          <w:szCs w:val="22"/>
          <w:u w:val="single"/>
        </w:rPr>
      </w:pPr>
    </w:p>
    <w:p w14:paraId="18FEE33B" w14:textId="037F33CA" w:rsidR="00F72FC3" w:rsidRPr="00F82CE0" w:rsidRDefault="00BF1009" w:rsidP="00F72FC3">
      <w:pPr>
        <w:pStyle w:val="ListParagraph"/>
        <w:numPr>
          <w:ilvl w:val="0"/>
          <w:numId w:val="9"/>
        </w:numPr>
        <w:spacing w:after="220"/>
        <w:ind w:left="0" w:firstLine="0"/>
        <w:jc w:val="both"/>
        <w:rPr>
          <w:sz w:val="22"/>
          <w:szCs w:val="22"/>
        </w:rPr>
      </w:pPr>
      <w:r w:rsidRPr="00F82CE0">
        <w:rPr>
          <w:sz w:val="22"/>
          <w:szCs w:val="22"/>
        </w:rPr>
        <w:t xml:space="preserve">The scope of </w:t>
      </w:r>
      <w:r w:rsidRPr="00F82CE0">
        <w:rPr>
          <w:i/>
          <w:iCs/>
          <w:sz w:val="22"/>
          <w:szCs w:val="22"/>
        </w:rPr>
        <w:t>SSAP No. 43R—Loan-backed and Structured Securities</w:t>
      </w:r>
      <w:r w:rsidRPr="00F82CE0">
        <w:rPr>
          <w:sz w:val="22"/>
          <w:szCs w:val="22"/>
        </w:rPr>
        <w:t xml:space="preserve"> includes residential mortgage backed securities (RMBS), commercial mortgage backed securities (CMBS) and credit risk transfers (CRTs) issued through government sponsored enterprises (GSEs). (These are commonly referred as Structured Agency Credit Risk Securities (STACRs), which are issued by Freddie Mac, and Connecticut Avenue Securities (CAS), which are issued by Fannie Mae.) Other mortgage loan products that meet the structural requirements as a LBSS can also be captured in scope of SSAP No. 43R. Investments in </w:t>
      </w:r>
      <w:r w:rsidR="00F72FC3" w:rsidRPr="00F82CE0">
        <w:rPr>
          <w:sz w:val="22"/>
          <w:szCs w:val="22"/>
        </w:rPr>
        <w:t>scope of this statement</w:t>
      </w:r>
      <w:r w:rsidRPr="00F82CE0">
        <w:rPr>
          <w:sz w:val="22"/>
          <w:szCs w:val="22"/>
        </w:rPr>
        <w:t xml:space="preserve"> securities are report</w:t>
      </w:r>
      <w:r w:rsidR="00141722" w:rsidRPr="00F82CE0">
        <w:rPr>
          <w:sz w:val="22"/>
          <w:szCs w:val="22"/>
        </w:rPr>
        <w:t>ed</w:t>
      </w:r>
      <w:r w:rsidRPr="00F82CE0">
        <w:rPr>
          <w:sz w:val="22"/>
          <w:szCs w:val="22"/>
        </w:rPr>
        <w:t xml:space="preserve"> on Schedule D-1: Long-Term Bonds</w:t>
      </w:r>
      <w:r w:rsidR="00F72FC3" w:rsidRPr="00F82CE0">
        <w:rPr>
          <w:sz w:val="22"/>
          <w:szCs w:val="22"/>
        </w:rPr>
        <w:t xml:space="preserve">. Pursuant to the guidance in SSAP No. 43R, </w:t>
      </w:r>
      <w:r w:rsidR="00CC7A79" w:rsidRPr="00F82CE0">
        <w:rPr>
          <w:sz w:val="22"/>
          <w:szCs w:val="22"/>
        </w:rPr>
        <w:t xml:space="preserve">paragraphs 30-36, </w:t>
      </w:r>
      <w:r w:rsidR="00F72FC3" w:rsidRPr="00F82CE0">
        <w:rPr>
          <w:sz w:val="22"/>
          <w:szCs w:val="22"/>
        </w:rPr>
        <w:t>if a fair value of a LBSS is less than its amortized cost basis at the balance sheet date, an entity shall assess whether the impairment is other than temporary</w:t>
      </w:r>
      <w:r w:rsidR="00CC7A79" w:rsidRPr="00F82CE0">
        <w:rPr>
          <w:sz w:val="22"/>
          <w:szCs w:val="22"/>
        </w:rPr>
        <w:t>. Recognition of an OTTI is then contingent on the reporting entity intentions</w:t>
      </w:r>
      <w:r w:rsidR="00F72FC3" w:rsidRPr="00F82CE0">
        <w:rPr>
          <w:sz w:val="22"/>
          <w:szCs w:val="22"/>
        </w:rPr>
        <w:t xml:space="preserve">: </w:t>
      </w:r>
    </w:p>
    <w:p w14:paraId="5121A333" w14:textId="3BCE7E11" w:rsidR="00F72FC3" w:rsidRPr="00F82CE0" w:rsidRDefault="00F72FC3" w:rsidP="00F72FC3">
      <w:pPr>
        <w:numPr>
          <w:ilvl w:val="0"/>
          <w:numId w:val="14"/>
        </w:numPr>
        <w:ind w:hanging="720"/>
        <w:jc w:val="both"/>
        <w:rPr>
          <w:sz w:val="22"/>
          <w:szCs w:val="22"/>
        </w:rPr>
      </w:pPr>
      <w:r w:rsidRPr="00F82CE0">
        <w:rPr>
          <w:sz w:val="22"/>
          <w:szCs w:val="22"/>
        </w:rPr>
        <w:t xml:space="preserve">If the entity intends to sell the </w:t>
      </w:r>
      <w:r w:rsidR="00053F98" w:rsidRPr="00F82CE0">
        <w:rPr>
          <w:sz w:val="22"/>
          <w:szCs w:val="22"/>
        </w:rPr>
        <w:t>security</w:t>
      </w:r>
      <w:r w:rsidRPr="00F82CE0">
        <w:rPr>
          <w:sz w:val="22"/>
          <w:szCs w:val="22"/>
        </w:rPr>
        <w:t xml:space="preserve">, an OTTI shall be considered to have occurred. In these situations, the entity shall recognize a realized loss for the difference between the amortized cost basis and fair value. These realizes losses are not permitted to be reversed. </w:t>
      </w:r>
    </w:p>
    <w:p w14:paraId="127ECD1F" w14:textId="77777777" w:rsidR="00F72FC3" w:rsidRPr="00F82CE0" w:rsidRDefault="00F72FC3" w:rsidP="00F72FC3">
      <w:pPr>
        <w:ind w:left="1440" w:hanging="720"/>
        <w:jc w:val="both"/>
        <w:rPr>
          <w:sz w:val="22"/>
          <w:szCs w:val="22"/>
        </w:rPr>
      </w:pPr>
    </w:p>
    <w:p w14:paraId="258FDFD3" w14:textId="5138ACA9" w:rsidR="00F72FC3" w:rsidRPr="00F82CE0" w:rsidRDefault="00F72FC3" w:rsidP="00F72FC3">
      <w:pPr>
        <w:numPr>
          <w:ilvl w:val="0"/>
          <w:numId w:val="14"/>
        </w:numPr>
        <w:ind w:hanging="720"/>
        <w:jc w:val="both"/>
        <w:rPr>
          <w:sz w:val="22"/>
          <w:szCs w:val="22"/>
        </w:rPr>
      </w:pPr>
      <w:r w:rsidRPr="00F82CE0">
        <w:rPr>
          <w:sz w:val="22"/>
          <w:szCs w:val="22"/>
        </w:rPr>
        <w:t xml:space="preserve">If the entity does not intend to sell the </w:t>
      </w:r>
      <w:r w:rsidR="00053F98" w:rsidRPr="00F82CE0">
        <w:rPr>
          <w:sz w:val="22"/>
          <w:szCs w:val="22"/>
        </w:rPr>
        <w:t>security</w:t>
      </w:r>
      <w:r w:rsidRPr="00F82CE0">
        <w:rPr>
          <w:sz w:val="22"/>
          <w:szCs w:val="22"/>
        </w:rPr>
        <w:t xml:space="preserve">, </w:t>
      </w:r>
      <w:r w:rsidR="00D33DC6" w:rsidRPr="00F82CE0">
        <w:rPr>
          <w:sz w:val="22"/>
          <w:szCs w:val="22"/>
        </w:rPr>
        <w:t xml:space="preserve">the </w:t>
      </w:r>
      <w:r w:rsidRPr="00F82CE0">
        <w:rPr>
          <w:sz w:val="22"/>
          <w:szCs w:val="22"/>
        </w:rPr>
        <w:t>entity shall assess whether it has the intent and ability to retain the investment in the security for a period of time sufficient to recover the amortized cost basis. If the entity does not have the intent and ability to retain the investment for the time sufficient to recover the amortized cost basis, an OTTI shall be considered to have occurred. In these situations, the entity shall recognize a realized loss for the difference between the amortized cost basis and fair value. These realizes losses are not permitted to be reversed.</w:t>
      </w:r>
    </w:p>
    <w:p w14:paraId="1B8A7905" w14:textId="77777777" w:rsidR="00F72FC3" w:rsidRPr="00F82CE0" w:rsidRDefault="00F72FC3" w:rsidP="00F72FC3">
      <w:pPr>
        <w:pStyle w:val="ListParagraph"/>
        <w:ind w:left="1440" w:hanging="720"/>
        <w:rPr>
          <w:sz w:val="22"/>
          <w:szCs w:val="22"/>
        </w:rPr>
      </w:pPr>
    </w:p>
    <w:p w14:paraId="783FEB82" w14:textId="10697E9A" w:rsidR="00F72FC3" w:rsidRPr="00F82CE0" w:rsidRDefault="00CC7A79" w:rsidP="00053F98">
      <w:pPr>
        <w:numPr>
          <w:ilvl w:val="0"/>
          <w:numId w:val="14"/>
        </w:numPr>
        <w:ind w:hanging="720"/>
        <w:jc w:val="both"/>
        <w:rPr>
          <w:sz w:val="22"/>
          <w:szCs w:val="22"/>
        </w:rPr>
      </w:pPr>
      <w:r w:rsidRPr="00F82CE0">
        <w:rPr>
          <w:sz w:val="22"/>
          <w:szCs w:val="22"/>
        </w:rPr>
        <w:t>Regardless if the entity</w:t>
      </w:r>
      <w:r w:rsidR="00D33DC6" w:rsidRPr="00F82CE0">
        <w:rPr>
          <w:sz w:val="22"/>
          <w:szCs w:val="22"/>
        </w:rPr>
        <w:t xml:space="preserve"> does not have the intent</w:t>
      </w:r>
      <w:r w:rsidRPr="00F82CE0">
        <w:rPr>
          <w:sz w:val="22"/>
          <w:szCs w:val="22"/>
        </w:rPr>
        <w:t xml:space="preserve"> to sell or has the intent and ability to hold, </w:t>
      </w:r>
      <w:r w:rsidR="00D33DC6" w:rsidRPr="00F82CE0">
        <w:rPr>
          <w:sz w:val="22"/>
          <w:szCs w:val="22"/>
        </w:rPr>
        <w:t>i</w:t>
      </w:r>
      <w:r w:rsidR="00F72FC3" w:rsidRPr="00F82CE0">
        <w:rPr>
          <w:sz w:val="22"/>
          <w:szCs w:val="22"/>
        </w:rPr>
        <w:t xml:space="preserve">f the entity does not expect to recover the entire amortized cost basis of the security, an OTTI shall be considered to have occurred. In these situations, the entity shall recognize a realized loss for the difference between the amortized cost basis and the present value of cash flows expected to be collected. </w:t>
      </w:r>
    </w:p>
    <w:p w14:paraId="1E569B26" w14:textId="77777777" w:rsidR="00053F98" w:rsidRPr="00F82CE0" w:rsidRDefault="00053F98" w:rsidP="00053F98">
      <w:pPr>
        <w:jc w:val="both"/>
        <w:rPr>
          <w:sz w:val="22"/>
          <w:szCs w:val="22"/>
        </w:rPr>
      </w:pPr>
    </w:p>
    <w:p w14:paraId="5EB0748C" w14:textId="1B0E4892" w:rsidR="0050609E" w:rsidRPr="00F82CE0" w:rsidRDefault="0050609E" w:rsidP="0050609E">
      <w:pPr>
        <w:pStyle w:val="ListParagraph"/>
        <w:spacing w:after="220"/>
        <w:ind w:left="0"/>
        <w:jc w:val="both"/>
        <w:rPr>
          <w:b/>
          <w:bCs/>
          <w:sz w:val="22"/>
          <w:szCs w:val="22"/>
          <w:u w:val="single"/>
        </w:rPr>
      </w:pPr>
      <w:r w:rsidRPr="00F82CE0">
        <w:rPr>
          <w:b/>
          <w:bCs/>
          <w:sz w:val="22"/>
          <w:szCs w:val="22"/>
          <w:u w:val="single"/>
        </w:rPr>
        <w:t>Other Invested Assets with Underlying Mortgage Loans</w:t>
      </w:r>
    </w:p>
    <w:p w14:paraId="6A09CB42" w14:textId="14C78EE0" w:rsidR="0050609E" w:rsidRPr="00F82CE0" w:rsidRDefault="0050609E" w:rsidP="00F72FC3">
      <w:pPr>
        <w:pStyle w:val="ListParagraph"/>
        <w:ind w:left="360"/>
        <w:contextualSpacing w:val="0"/>
        <w:jc w:val="both"/>
        <w:rPr>
          <w:sz w:val="22"/>
          <w:szCs w:val="22"/>
        </w:rPr>
      </w:pPr>
    </w:p>
    <w:p w14:paraId="20978F5F" w14:textId="03CEFE16" w:rsidR="003F552B" w:rsidRPr="00F82CE0" w:rsidRDefault="003416BF" w:rsidP="0045306D">
      <w:pPr>
        <w:pStyle w:val="ListParagraph"/>
        <w:numPr>
          <w:ilvl w:val="0"/>
          <w:numId w:val="9"/>
        </w:numPr>
        <w:spacing w:after="220"/>
        <w:ind w:left="0" w:firstLine="0"/>
        <w:jc w:val="both"/>
        <w:rPr>
          <w:sz w:val="22"/>
          <w:szCs w:val="22"/>
        </w:rPr>
      </w:pPr>
      <w:r w:rsidRPr="00F82CE0">
        <w:rPr>
          <w:sz w:val="22"/>
          <w:szCs w:val="22"/>
        </w:rPr>
        <w:t xml:space="preserve">The scope of </w:t>
      </w:r>
      <w:r w:rsidRPr="00F82CE0">
        <w:rPr>
          <w:i/>
          <w:iCs/>
          <w:sz w:val="22"/>
          <w:szCs w:val="22"/>
        </w:rPr>
        <w:t>SSAP No. 48—Joint Ventures, Partnerships and Limited Liabilities Companies</w:t>
      </w:r>
      <w:r w:rsidRPr="00F82CE0">
        <w:rPr>
          <w:sz w:val="22"/>
          <w:szCs w:val="22"/>
        </w:rPr>
        <w:t xml:space="preserve"> includes investments that may have underlying characteristics of mortgage loans. These items are reported on Schedule BA: Other Long-Term Invested Assets. These investments could include private equity mortgage loan funds as well </w:t>
      </w:r>
      <w:r w:rsidR="00442BCC" w:rsidRPr="00F82CE0">
        <w:rPr>
          <w:sz w:val="22"/>
          <w:szCs w:val="22"/>
        </w:rPr>
        <w:t xml:space="preserve">mortgage or hybrid </w:t>
      </w:r>
      <w:r w:rsidRPr="00F82CE0">
        <w:rPr>
          <w:sz w:val="22"/>
          <w:szCs w:val="22"/>
        </w:rPr>
        <w:t>real estate investment trusts (REITs). The guidance in SSAP No. 48</w:t>
      </w:r>
      <w:r w:rsidR="00442BCC" w:rsidRPr="00F82CE0">
        <w:rPr>
          <w:sz w:val="22"/>
          <w:szCs w:val="22"/>
        </w:rPr>
        <w:t>, paragraph 19</w:t>
      </w:r>
      <w:r w:rsidRPr="00F82CE0">
        <w:rPr>
          <w:sz w:val="22"/>
          <w:szCs w:val="22"/>
        </w:rPr>
        <w:t xml:space="preserve"> requires recognition of an OTTI if it is probable that the reporting entity will be unable to recover the carrying amount of the investment or sustain earnings to justify the carrying amount of the investment. </w:t>
      </w:r>
      <w:r w:rsidR="00442BCC" w:rsidRPr="00F82CE0">
        <w:rPr>
          <w:sz w:val="22"/>
          <w:szCs w:val="22"/>
        </w:rPr>
        <w:t xml:space="preserve">The existing guidance already indicates that a depressed fair value below the carrying amount or the existence of operating losses are not necessarily indicators of a loss that is other than temporary.  </w:t>
      </w:r>
    </w:p>
    <w:p w14:paraId="4317BD4D" w14:textId="2C3FBACB" w:rsidR="00442BCC" w:rsidRPr="00F82CE0" w:rsidRDefault="00BE4AD5" w:rsidP="00BF50C7">
      <w:pPr>
        <w:pStyle w:val="Heading1"/>
        <w:keepNext w:val="0"/>
        <w:spacing w:after="220"/>
        <w:rPr>
          <w:b/>
          <w:sz w:val="22"/>
          <w:szCs w:val="22"/>
        </w:rPr>
      </w:pPr>
      <w:r w:rsidRPr="00F82CE0">
        <w:rPr>
          <w:b/>
          <w:sz w:val="22"/>
          <w:szCs w:val="22"/>
        </w:rPr>
        <w:t>INT 20-0</w:t>
      </w:r>
      <w:r w:rsidR="0005150F" w:rsidRPr="00F82CE0">
        <w:rPr>
          <w:b/>
          <w:sz w:val="22"/>
          <w:szCs w:val="22"/>
        </w:rPr>
        <w:t>4</w:t>
      </w:r>
      <w:r w:rsidRPr="00F82CE0">
        <w:rPr>
          <w:b/>
          <w:sz w:val="22"/>
          <w:szCs w:val="22"/>
        </w:rPr>
        <w:t>T Tentative Consensus</w:t>
      </w:r>
    </w:p>
    <w:p w14:paraId="73B7894A" w14:textId="177FF4EB" w:rsidR="003E3CE1" w:rsidRPr="00F82CE0" w:rsidRDefault="0005150F" w:rsidP="003F552B">
      <w:pPr>
        <w:pStyle w:val="ListParagraph"/>
        <w:numPr>
          <w:ilvl w:val="0"/>
          <w:numId w:val="9"/>
        </w:numPr>
        <w:spacing w:after="220"/>
        <w:ind w:left="0" w:firstLine="0"/>
        <w:jc w:val="both"/>
        <w:rPr>
          <w:sz w:val="22"/>
          <w:szCs w:val="22"/>
        </w:rPr>
      </w:pPr>
      <w:r w:rsidRPr="00F82CE0">
        <w:rPr>
          <w:sz w:val="22"/>
          <w:szCs w:val="22"/>
        </w:rPr>
        <w:t>The</w:t>
      </w:r>
      <w:r w:rsidR="00985762" w:rsidRPr="00F82CE0">
        <w:rPr>
          <w:sz w:val="22"/>
          <w:szCs w:val="22"/>
        </w:rPr>
        <w:t xml:space="preserve"> </w:t>
      </w:r>
      <w:r w:rsidR="00DC70DE" w:rsidRPr="00F82CE0">
        <w:rPr>
          <w:sz w:val="22"/>
          <w:szCs w:val="22"/>
        </w:rPr>
        <w:t>W</w:t>
      </w:r>
      <w:r w:rsidR="00985762" w:rsidRPr="00F82CE0">
        <w:rPr>
          <w:sz w:val="22"/>
          <w:szCs w:val="22"/>
        </w:rPr>
        <w:t xml:space="preserve">orking </w:t>
      </w:r>
      <w:r w:rsidR="00DC70DE" w:rsidRPr="00F82CE0">
        <w:rPr>
          <w:sz w:val="22"/>
          <w:szCs w:val="22"/>
        </w:rPr>
        <w:t>G</w:t>
      </w:r>
      <w:r w:rsidR="00985762" w:rsidRPr="00F82CE0">
        <w:rPr>
          <w:sz w:val="22"/>
          <w:szCs w:val="22"/>
        </w:rPr>
        <w:t xml:space="preserve">roup reached a </w:t>
      </w:r>
      <w:r w:rsidR="004E5666" w:rsidRPr="00F82CE0">
        <w:rPr>
          <w:sz w:val="22"/>
          <w:szCs w:val="22"/>
        </w:rPr>
        <w:t xml:space="preserve">tentative </w:t>
      </w:r>
      <w:r w:rsidR="00985762" w:rsidRPr="00F82CE0">
        <w:rPr>
          <w:sz w:val="22"/>
          <w:szCs w:val="22"/>
        </w:rPr>
        <w:t xml:space="preserve">consensus for </w:t>
      </w:r>
      <w:r w:rsidR="00BF50C7" w:rsidRPr="00F82CE0">
        <w:rPr>
          <w:sz w:val="22"/>
          <w:szCs w:val="22"/>
        </w:rPr>
        <w:t>limited time</w:t>
      </w:r>
      <w:r w:rsidR="003F552B" w:rsidRPr="00F82CE0">
        <w:rPr>
          <w:sz w:val="22"/>
          <w:szCs w:val="22"/>
        </w:rPr>
        <w:t xml:space="preserve"> </w:t>
      </w:r>
      <w:r w:rsidR="00BF50C7" w:rsidRPr="00F82CE0">
        <w:rPr>
          <w:sz w:val="22"/>
          <w:szCs w:val="22"/>
        </w:rPr>
        <w:t>exception</w:t>
      </w:r>
      <w:r w:rsidR="00DE68B4" w:rsidRPr="00F82CE0">
        <w:rPr>
          <w:sz w:val="22"/>
          <w:szCs w:val="22"/>
        </w:rPr>
        <w:t>s</w:t>
      </w:r>
      <w:r w:rsidR="00BF50C7" w:rsidRPr="00F82CE0">
        <w:rPr>
          <w:sz w:val="22"/>
          <w:szCs w:val="22"/>
        </w:rPr>
        <w:t xml:space="preserve"> to defer assessments of impairment for mortgage loans and investments </w:t>
      </w:r>
      <w:r w:rsidR="002C6EB7" w:rsidRPr="00F82CE0">
        <w:rPr>
          <w:sz w:val="22"/>
          <w:szCs w:val="22"/>
        </w:rPr>
        <w:t xml:space="preserve">which predominantly hold </w:t>
      </w:r>
      <w:r w:rsidR="00BF50C7" w:rsidRPr="00F82CE0">
        <w:rPr>
          <w:sz w:val="22"/>
          <w:szCs w:val="22"/>
        </w:rPr>
        <w:t>underlying</w:t>
      </w:r>
      <w:r w:rsidR="00ED0A32" w:rsidRPr="00F82CE0">
        <w:rPr>
          <w:sz w:val="22"/>
          <w:szCs w:val="22"/>
        </w:rPr>
        <w:t xml:space="preserve"> mortgage loans </w:t>
      </w:r>
      <w:r w:rsidR="002C6EB7" w:rsidRPr="00F82CE0">
        <w:rPr>
          <w:sz w:val="22"/>
          <w:szCs w:val="22"/>
        </w:rPr>
        <w:t xml:space="preserve">which are </w:t>
      </w:r>
      <w:r w:rsidR="0029311F" w:rsidRPr="00F82CE0">
        <w:rPr>
          <w:sz w:val="22"/>
          <w:szCs w:val="22"/>
        </w:rPr>
        <w:t>impacted by forbearance or modifications in response to COVID-19</w:t>
      </w:r>
      <w:r w:rsidR="001D33B6" w:rsidRPr="00F82CE0">
        <w:rPr>
          <w:sz w:val="22"/>
          <w:szCs w:val="22"/>
        </w:rPr>
        <w:t xml:space="preserve">. </w:t>
      </w:r>
      <w:r w:rsidR="00DE68B4" w:rsidRPr="00F82CE0">
        <w:rPr>
          <w:sz w:val="22"/>
          <w:szCs w:val="22"/>
        </w:rPr>
        <w:t>These exceptions are</w:t>
      </w:r>
      <w:r w:rsidRPr="00F82CE0">
        <w:rPr>
          <w:sz w:val="22"/>
          <w:szCs w:val="22"/>
        </w:rPr>
        <w:t xml:space="preserve"> applicable for the March 31</w:t>
      </w:r>
      <w:r w:rsidRPr="00F82CE0">
        <w:rPr>
          <w:sz w:val="22"/>
          <w:szCs w:val="22"/>
          <w:vertAlign w:val="superscript"/>
        </w:rPr>
        <w:t>st</w:t>
      </w:r>
      <w:r w:rsidRPr="00F82CE0">
        <w:rPr>
          <w:sz w:val="22"/>
          <w:szCs w:val="22"/>
        </w:rPr>
        <w:t xml:space="preserve"> and June 30</w:t>
      </w:r>
      <w:r w:rsidRPr="00F82CE0">
        <w:rPr>
          <w:sz w:val="22"/>
          <w:szCs w:val="22"/>
          <w:vertAlign w:val="superscript"/>
        </w:rPr>
        <w:t>th</w:t>
      </w:r>
      <w:r w:rsidR="00DE68B4" w:rsidRPr="00F82CE0">
        <w:rPr>
          <w:sz w:val="22"/>
          <w:szCs w:val="22"/>
        </w:rPr>
        <w:t>, 2020</w:t>
      </w:r>
      <w:r w:rsidRPr="00F82CE0">
        <w:rPr>
          <w:sz w:val="22"/>
          <w:szCs w:val="22"/>
        </w:rPr>
        <w:t xml:space="preserve"> </w:t>
      </w:r>
      <w:r w:rsidR="00DE68B4" w:rsidRPr="00F82CE0">
        <w:rPr>
          <w:sz w:val="22"/>
          <w:szCs w:val="22"/>
        </w:rPr>
        <w:t>(1</w:t>
      </w:r>
      <w:r w:rsidR="00DE68B4" w:rsidRPr="00F82CE0">
        <w:rPr>
          <w:sz w:val="22"/>
          <w:szCs w:val="22"/>
          <w:vertAlign w:val="superscript"/>
        </w:rPr>
        <w:t>st</w:t>
      </w:r>
      <w:r w:rsidR="00DE68B4" w:rsidRPr="00F82CE0">
        <w:rPr>
          <w:sz w:val="22"/>
          <w:szCs w:val="22"/>
        </w:rPr>
        <w:t xml:space="preserve"> and 2</w:t>
      </w:r>
      <w:r w:rsidR="00DE68B4" w:rsidRPr="00F82CE0">
        <w:rPr>
          <w:sz w:val="22"/>
          <w:szCs w:val="22"/>
          <w:vertAlign w:val="superscript"/>
        </w:rPr>
        <w:t>nd</w:t>
      </w:r>
      <w:r w:rsidR="00DE68B4" w:rsidRPr="00F82CE0">
        <w:rPr>
          <w:sz w:val="22"/>
          <w:szCs w:val="22"/>
        </w:rPr>
        <w:t xml:space="preserve"> quarter) </w:t>
      </w:r>
      <w:r w:rsidRPr="00F82CE0">
        <w:rPr>
          <w:sz w:val="22"/>
          <w:szCs w:val="22"/>
        </w:rPr>
        <w:t xml:space="preserve">financial statements and only in response to mortgage loan forbearance or modifications granted in response to COVID-19. </w:t>
      </w:r>
      <w:r w:rsidR="001D33B6" w:rsidRPr="00F82CE0">
        <w:rPr>
          <w:sz w:val="22"/>
          <w:szCs w:val="22"/>
        </w:rPr>
        <w:t>As such, the</w:t>
      </w:r>
      <w:r w:rsidR="00983226" w:rsidRPr="00F82CE0">
        <w:rPr>
          <w:sz w:val="22"/>
          <w:szCs w:val="22"/>
        </w:rPr>
        <w:t xml:space="preserve"> exception</w:t>
      </w:r>
      <w:r w:rsidR="00B61586" w:rsidRPr="00F82CE0">
        <w:rPr>
          <w:sz w:val="22"/>
          <w:szCs w:val="22"/>
        </w:rPr>
        <w:t>s</w:t>
      </w:r>
      <w:r w:rsidR="00983226" w:rsidRPr="00F82CE0">
        <w:rPr>
          <w:sz w:val="22"/>
          <w:szCs w:val="22"/>
        </w:rPr>
        <w:t xml:space="preserve"> provided in this interpretation</w:t>
      </w:r>
      <w:r w:rsidR="001D33B6" w:rsidRPr="00F82CE0">
        <w:rPr>
          <w:sz w:val="22"/>
          <w:szCs w:val="22"/>
        </w:rPr>
        <w:t xml:space="preserve"> </w:t>
      </w:r>
      <w:r w:rsidR="00DE68B4" w:rsidRPr="00F82CE0">
        <w:rPr>
          <w:sz w:val="22"/>
          <w:szCs w:val="22"/>
        </w:rPr>
        <w:t>are not</w:t>
      </w:r>
      <w:r w:rsidR="001D33B6" w:rsidRPr="00F82CE0">
        <w:rPr>
          <w:sz w:val="22"/>
          <w:szCs w:val="22"/>
        </w:rPr>
        <w:t xml:space="preserve"> applicable in the </w:t>
      </w:r>
      <w:r w:rsidR="00DE68B4" w:rsidRPr="00F82CE0">
        <w:rPr>
          <w:sz w:val="22"/>
          <w:szCs w:val="22"/>
        </w:rPr>
        <w:t>Sept</w:t>
      </w:r>
      <w:r w:rsidR="003A7BAE" w:rsidRPr="00F82CE0">
        <w:rPr>
          <w:sz w:val="22"/>
          <w:szCs w:val="22"/>
        </w:rPr>
        <w:t>ember</w:t>
      </w:r>
      <w:r w:rsidR="00DE68B4" w:rsidRPr="00F82CE0">
        <w:rPr>
          <w:sz w:val="22"/>
          <w:szCs w:val="22"/>
        </w:rPr>
        <w:t xml:space="preserve"> 30, 2020 (</w:t>
      </w:r>
      <w:r w:rsidR="001D33B6" w:rsidRPr="00F82CE0">
        <w:rPr>
          <w:sz w:val="22"/>
          <w:szCs w:val="22"/>
        </w:rPr>
        <w:t>3</w:t>
      </w:r>
      <w:r w:rsidR="001D33B6" w:rsidRPr="00F82CE0">
        <w:rPr>
          <w:sz w:val="22"/>
          <w:szCs w:val="22"/>
          <w:vertAlign w:val="superscript"/>
        </w:rPr>
        <w:t>rd</w:t>
      </w:r>
      <w:r w:rsidR="001D33B6" w:rsidRPr="00F82CE0">
        <w:rPr>
          <w:sz w:val="22"/>
          <w:szCs w:val="22"/>
        </w:rPr>
        <w:t xml:space="preserve"> quarter</w:t>
      </w:r>
      <w:r w:rsidR="00DE68B4" w:rsidRPr="00F82CE0">
        <w:rPr>
          <w:sz w:val="22"/>
          <w:szCs w:val="22"/>
        </w:rPr>
        <w:t xml:space="preserve">) </w:t>
      </w:r>
      <w:r w:rsidR="001D33B6" w:rsidRPr="00F82CE0">
        <w:rPr>
          <w:sz w:val="22"/>
          <w:szCs w:val="22"/>
        </w:rPr>
        <w:t xml:space="preserve">financial statements. </w:t>
      </w:r>
    </w:p>
    <w:p w14:paraId="22E39BA9" w14:textId="77777777" w:rsidR="003E3CE1" w:rsidRPr="00F82CE0" w:rsidRDefault="003E3CE1" w:rsidP="003E3CE1">
      <w:pPr>
        <w:pStyle w:val="ListParagraph"/>
        <w:spacing w:after="220"/>
        <w:ind w:left="0"/>
        <w:jc w:val="both"/>
        <w:rPr>
          <w:sz w:val="22"/>
          <w:szCs w:val="22"/>
        </w:rPr>
      </w:pPr>
    </w:p>
    <w:p w14:paraId="69961661" w14:textId="1B2AEE1F" w:rsidR="00F06BF4" w:rsidRPr="00F82CE0" w:rsidRDefault="003E3CE1" w:rsidP="00F06BF4">
      <w:pPr>
        <w:pStyle w:val="ListParagraph"/>
        <w:numPr>
          <w:ilvl w:val="0"/>
          <w:numId w:val="9"/>
        </w:numPr>
        <w:tabs>
          <w:tab w:val="left" w:pos="0"/>
          <w:tab w:val="left" w:pos="720"/>
          <w:tab w:val="left" w:pos="2250"/>
        </w:tabs>
        <w:spacing w:after="220"/>
        <w:ind w:left="0" w:firstLine="0"/>
        <w:contextualSpacing w:val="0"/>
        <w:jc w:val="both"/>
        <w:rPr>
          <w:sz w:val="22"/>
          <w:szCs w:val="22"/>
        </w:rPr>
      </w:pPr>
      <w:r w:rsidRPr="00F82CE0">
        <w:rPr>
          <w:sz w:val="22"/>
          <w:szCs w:val="22"/>
        </w:rPr>
        <w:t xml:space="preserve">For modification programs designed to provide temporary relief for borrowers current as of December 31, 2019, the  reporting entities may presume that borrowers are current on payments are not experiencing financial difficulties at the time of the modification for purposes of determining impairment status and thus no further impairment analysis is required for each loan modification in the program. </w:t>
      </w:r>
      <w:r w:rsidR="001D33B6" w:rsidRPr="00F82CE0">
        <w:rPr>
          <w:sz w:val="22"/>
          <w:szCs w:val="22"/>
        </w:rPr>
        <w:t>The exceptions granted in this interpretation are detailed as follows:</w:t>
      </w:r>
      <w:r w:rsidR="00ED0A32" w:rsidRPr="00F82CE0">
        <w:rPr>
          <w:sz w:val="22"/>
          <w:szCs w:val="22"/>
        </w:rPr>
        <w:t xml:space="preserve"> </w:t>
      </w:r>
      <w:r w:rsidR="00BF50C7" w:rsidRPr="00F82CE0">
        <w:rPr>
          <w:sz w:val="22"/>
          <w:szCs w:val="22"/>
        </w:rPr>
        <w:t xml:space="preserve"> </w:t>
      </w:r>
    </w:p>
    <w:p w14:paraId="21A98292" w14:textId="5331F089" w:rsidR="00F06BF4" w:rsidRPr="00F82CE0" w:rsidRDefault="00F06BF4" w:rsidP="003F552B">
      <w:pPr>
        <w:pStyle w:val="ListParagraph"/>
        <w:numPr>
          <w:ilvl w:val="0"/>
          <w:numId w:val="15"/>
        </w:numPr>
        <w:tabs>
          <w:tab w:val="left" w:pos="0"/>
          <w:tab w:val="left" w:pos="2250"/>
        </w:tabs>
        <w:ind w:left="1440" w:hanging="720"/>
        <w:contextualSpacing w:val="0"/>
        <w:jc w:val="both"/>
        <w:rPr>
          <w:sz w:val="22"/>
          <w:szCs w:val="22"/>
        </w:rPr>
      </w:pPr>
      <w:r w:rsidRPr="00F82CE0">
        <w:rPr>
          <w:i/>
          <w:iCs/>
          <w:sz w:val="22"/>
          <w:szCs w:val="22"/>
        </w:rPr>
        <w:t>SSAP No. 37—Mortgage Loans</w:t>
      </w:r>
      <w:r w:rsidRPr="00F82CE0">
        <w:rPr>
          <w:sz w:val="22"/>
          <w:szCs w:val="22"/>
        </w:rPr>
        <w:t>:  Provide a limited-time exception for assessing impairment under SSAP No. 37, paragraph 16</w:t>
      </w:r>
      <w:r w:rsidR="00A00F3C" w:rsidRPr="00F82CE0">
        <w:rPr>
          <w:sz w:val="22"/>
          <w:szCs w:val="22"/>
        </w:rPr>
        <w:t>,</w:t>
      </w:r>
      <w:r w:rsidRPr="00F82CE0">
        <w:rPr>
          <w:sz w:val="22"/>
          <w:szCs w:val="22"/>
        </w:rPr>
        <w:t xml:space="preserve"> for mortgage loans with payments (either principal or interest) </w:t>
      </w:r>
      <w:r w:rsidR="0029311F" w:rsidRPr="00F82CE0">
        <w:rPr>
          <w:sz w:val="22"/>
          <w:szCs w:val="22"/>
        </w:rPr>
        <w:t>that have</w:t>
      </w:r>
      <w:r w:rsidR="003A7BAE" w:rsidRPr="00F82CE0">
        <w:rPr>
          <w:sz w:val="22"/>
          <w:szCs w:val="22"/>
        </w:rPr>
        <w:t xml:space="preserve"> short</w:t>
      </w:r>
      <w:r w:rsidR="002943C1" w:rsidRPr="00F82CE0">
        <w:rPr>
          <w:sz w:val="22"/>
          <w:szCs w:val="22"/>
        </w:rPr>
        <w:t>-</w:t>
      </w:r>
      <w:r w:rsidR="003A7BAE" w:rsidRPr="00F82CE0">
        <w:rPr>
          <w:sz w:val="22"/>
          <w:szCs w:val="22"/>
        </w:rPr>
        <w:t xml:space="preserve">term </w:t>
      </w:r>
      <w:r w:rsidRPr="00F82CE0">
        <w:rPr>
          <w:sz w:val="22"/>
          <w:szCs w:val="22"/>
        </w:rPr>
        <w:t>deferr</w:t>
      </w:r>
      <w:r w:rsidR="003A7BAE" w:rsidRPr="00F82CE0">
        <w:rPr>
          <w:sz w:val="22"/>
          <w:szCs w:val="22"/>
        </w:rPr>
        <w:t xml:space="preserve">als </w:t>
      </w:r>
      <w:r w:rsidR="0029311F" w:rsidRPr="00F82CE0">
        <w:rPr>
          <w:sz w:val="22"/>
          <w:szCs w:val="22"/>
        </w:rPr>
        <w:t>or</w:t>
      </w:r>
      <w:r w:rsidR="003A7BAE" w:rsidRPr="00F82CE0">
        <w:rPr>
          <w:sz w:val="22"/>
          <w:szCs w:val="22"/>
        </w:rPr>
        <w:t xml:space="preserve"> modifications</w:t>
      </w:r>
      <w:r w:rsidR="0029311F" w:rsidRPr="00F82CE0">
        <w:rPr>
          <w:sz w:val="22"/>
          <w:szCs w:val="22"/>
        </w:rPr>
        <w:t xml:space="preserve"> </w:t>
      </w:r>
      <w:r w:rsidR="00983226" w:rsidRPr="00F82CE0">
        <w:rPr>
          <w:sz w:val="22"/>
          <w:szCs w:val="22"/>
        </w:rPr>
        <w:t>in response to</w:t>
      </w:r>
      <w:r w:rsidRPr="00F82CE0">
        <w:rPr>
          <w:sz w:val="22"/>
          <w:szCs w:val="22"/>
        </w:rPr>
        <w:t xml:space="preserve"> </w:t>
      </w:r>
      <w:r w:rsidR="0029311F" w:rsidRPr="00F82CE0">
        <w:rPr>
          <w:sz w:val="22"/>
          <w:szCs w:val="22"/>
        </w:rPr>
        <w:t>COVID</w:t>
      </w:r>
      <w:r w:rsidRPr="00F82CE0">
        <w:rPr>
          <w:sz w:val="22"/>
          <w:szCs w:val="22"/>
        </w:rPr>
        <w:t xml:space="preserve">-19. This </w:t>
      </w:r>
      <w:r w:rsidR="000134F6" w:rsidRPr="00F82CE0">
        <w:rPr>
          <w:sz w:val="22"/>
          <w:szCs w:val="22"/>
        </w:rPr>
        <w:t>interpretation s</w:t>
      </w:r>
      <w:r w:rsidRPr="00F82CE0">
        <w:rPr>
          <w:sz w:val="22"/>
          <w:szCs w:val="22"/>
        </w:rPr>
        <w:t xml:space="preserve">hall not delay impairment assessments for reasons other than the </w:t>
      </w:r>
      <w:r w:rsidR="002943C1" w:rsidRPr="00F82CE0">
        <w:rPr>
          <w:sz w:val="22"/>
          <w:szCs w:val="22"/>
        </w:rPr>
        <w:t>short-term</w:t>
      </w:r>
      <w:r w:rsidR="003A7BAE" w:rsidRPr="00F82CE0">
        <w:rPr>
          <w:sz w:val="22"/>
          <w:szCs w:val="22"/>
        </w:rPr>
        <w:t xml:space="preserve"> </w:t>
      </w:r>
      <w:r w:rsidRPr="00F82CE0">
        <w:rPr>
          <w:sz w:val="22"/>
          <w:szCs w:val="22"/>
        </w:rPr>
        <w:t xml:space="preserve">deferral </w:t>
      </w:r>
      <w:r w:rsidR="0029311F" w:rsidRPr="00F82CE0">
        <w:rPr>
          <w:sz w:val="22"/>
          <w:szCs w:val="22"/>
        </w:rPr>
        <w:t xml:space="preserve">or modification </w:t>
      </w:r>
      <w:r w:rsidRPr="00F82CE0">
        <w:rPr>
          <w:sz w:val="22"/>
          <w:szCs w:val="22"/>
        </w:rPr>
        <w:t xml:space="preserve">of interest or principal payments </w:t>
      </w:r>
      <w:r w:rsidR="00983226" w:rsidRPr="00F82CE0">
        <w:rPr>
          <w:sz w:val="22"/>
          <w:szCs w:val="22"/>
        </w:rPr>
        <w:t xml:space="preserve">in response to COVID-19 </w:t>
      </w:r>
      <w:r w:rsidRPr="00F82CE0">
        <w:rPr>
          <w:sz w:val="22"/>
          <w:szCs w:val="22"/>
        </w:rPr>
        <w:t>and shall not delay recognition of realized losses if a reporting entity believes a mortgage loan is OTTI.</w:t>
      </w:r>
    </w:p>
    <w:p w14:paraId="09163DA1" w14:textId="77777777" w:rsidR="003A7BAE" w:rsidRPr="00F82CE0" w:rsidRDefault="003A7BAE" w:rsidP="003A7BAE">
      <w:pPr>
        <w:pStyle w:val="ListParagraph"/>
        <w:tabs>
          <w:tab w:val="left" w:pos="0"/>
          <w:tab w:val="left" w:pos="2250"/>
        </w:tabs>
        <w:contextualSpacing w:val="0"/>
        <w:jc w:val="both"/>
        <w:rPr>
          <w:sz w:val="22"/>
          <w:szCs w:val="22"/>
        </w:rPr>
      </w:pPr>
    </w:p>
    <w:p w14:paraId="1EC7140D" w14:textId="4E57B921" w:rsidR="0029311F" w:rsidRPr="00F82CE0" w:rsidRDefault="00F06BF4" w:rsidP="0029311F">
      <w:pPr>
        <w:pStyle w:val="ListParagraph"/>
        <w:numPr>
          <w:ilvl w:val="0"/>
          <w:numId w:val="15"/>
        </w:numPr>
        <w:tabs>
          <w:tab w:val="left" w:pos="0"/>
          <w:tab w:val="left" w:pos="2250"/>
        </w:tabs>
        <w:ind w:left="1440" w:hanging="720"/>
        <w:contextualSpacing w:val="0"/>
        <w:jc w:val="both"/>
        <w:rPr>
          <w:sz w:val="22"/>
          <w:szCs w:val="22"/>
        </w:rPr>
      </w:pPr>
      <w:r w:rsidRPr="00F82CE0">
        <w:rPr>
          <w:i/>
          <w:iCs/>
          <w:sz w:val="22"/>
          <w:szCs w:val="22"/>
        </w:rPr>
        <w:t xml:space="preserve">SSAP No. 30—Common Stock: </w:t>
      </w:r>
      <w:r w:rsidRPr="00F82CE0">
        <w:rPr>
          <w:sz w:val="22"/>
          <w:szCs w:val="22"/>
        </w:rPr>
        <w:t xml:space="preserve"> Provide a limited-time exception for assessing OTTI under SSAP No. 30,</w:t>
      </w:r>
      <w:r w:rsidR="0029311F" w:rsidRPr="00F82CE0">
        <w:rPr>
          <w:sz w:val="22"/>
          <w:szCs w:val="22"/>
        </w:rPr>
        <w:t xml:space="preserve"> p</w:t>
      </w:r>
      <w:r w:rsidRPr="00F82CE0">
        <w:rPr>
          <w:sz w:val="22"/>
          <w:szCs w:val="22"/>
        </w:rPr>
        <w:t>aragraph 10</w:t>
      </w:r>
      <w:r w:rsidR="0029311F" w:rsidRPr="00F82CE0">
        <w:rPr>
          <w:sz w:val="22"/>
          <w:szCs w:val="22"/>
        </w:rPr>
        <w:t>,</w:t>
      </w:r>
      <w:r w:rsidRPr="00F82CE0">
        <w:rPr>
          <w:sz w:val="22"/>
          <w:szCs w:val="22"/>
        </w:rPr>
        <w:t xml:space="preserve"> and INT 06-07 due to fair value declines for SEC registered funds that have underlying mortgage loans </w:t>
      </w:r>
      <w:r w:rsidR="0029311F" w:rsidRPr="00F82CE0">
        <w:rPr>
          <w:sz w:val="22"/>
          <w:szCs w:val="22"/>
        </w:rPr>
        <w:t xml:space="preserve">that have been deferred or modified </w:t>
      </w:r>
      <w:r w:rsidR="00983226" w:rsidRPr="00F82CE0">
        <w:rPr>
          <w:sz w:val="22"/>
          <w:szCs w:val="22"/>
        </w:rPr>
        <w:t>in response to</w:t>
      </w:r>
      <w:r w:rsidR="0029311F" w:rsidRPr="00F82CE0">
        <w:rPr>
          <w:sz w:val="22"/>
          <w:szCs w:val="22"/>
        </w:rPr>
        <w:t xml:space="preserve"> COVID-19 unless the reporting entity intends to sell the security. If the entity has made a decision to sell the security, recognition of the OTTI shall continue to be required. As these investments are reported at fair value, declines in fair value would continue to be reported as unrealized losses.</w:t>
      </w:r>
    </w:p>
    <w:p w14:paraId="3194FB6F" w14:textId="77777777" w:rsidR="00F06BF4" w:rsidRPr="00F82CE0" w:rsidRDefault="00F06BF4" w:rsidP="003F552B">
      <w:pPr>
        <w:pStyle w:val="ListParagraph"/>
        <w:ind w:left="1440" w:hanging="720"/>
        <w:rPr>
          <w:i/>
          <w:iCs/>
          <w:sz w:val="22"/>
          <w:szCs w:val="22"/>
        </w:rPr>
      </w:pPr>
    </w:p>
    <w:p w14:paraId="074794FC" w14:textId="0D2F51B5" w:rsidR="0029311F" w:rsidRPr="00F82CE0" w:rsidRDefault="00F06BF4" w:rsidP="0029311F">
      <w:pPr>
        <w:pStyle w:val="ListParagraph"/>
        <w:numPr>
          <w:ilvl w:val="0"/>
          <w:numId w:val="15"/>
        </w:numPr>
        <w:tabs>
          <w:tab w:val="left" w:pos="0"/>
          <w:tab w:val="left" w:pos="2250"/>
        </w:tabs>
        <w:ind w:left="1440" w:hanging="720"/>
        <w:contextualSpacing w:val="0"/>
        <w:jc w:val="both"/>
        <w:rPr>
          <w:sz w:val="22"/>
          <w:szCs w:val="22"/>
        </w:rPr>
      </w:pPr>
      <w:r w:rsidRPr="00F82CE0">
        <w:rPr>
          <w:i/>
          <w:iCs/>
          <w:sz w:val="22"/>
          <w:szCs w:val="22"/>
        </w:rPr>
        <w:t>SSAP No. 43R—Loan-backed and Structured Securities:</w:t>
      </w:r>
      <w:r w:rsidRPr="00F82CE0">
        <w:rPr>
          <w:sz w:val="22"/>
          <w:szCs w:val="22"/>
        </w:rPr>
        <w:t xml:space="preserve"> Provide a limited-time exception for assessing OTTI under SSAP No. 43R, paragraphs 30-36</w:t>
      </w:r>
      <w:r w:rsidR="0029311F" w:rsidRPr="00F82CE0">
        <w:rPr>
          <w:sz w:val="22"/>
          <w:szCs w:val="22"/>
        </w:rPr>
        <w:t>,</w:t>
      </w:r>
      <w:r w:rsidRPr="00F82CE0">
        <w:rPr>
          <w:sz w:val="22"/>
          <w:szCs w:val="22"/>
        </w:rPr>
        <w:t xml:space="preserve"> due to fair value declines in investments that have underlying mortgage loans </w:t>
      </w:r>
      <w:r w:rsidR="0029311F" w:rsidRPr="00F82CE0">
        <w:rPr>
          <w:sz w:val="22"/>
          <w:szCs w:val="22"/>
        </w:rPr>
        <w:t xml:space="preserve">deferred or modified </w:t>
      </w:r>
      <w:r w:rsidR="00983226" w:rsidRPr="00F82CE0">
        <w:rPr>
          <w:sz w:val="22"/>
          <w:szCs w:val="22"/>
        </w:rPr>
        <w:t>in response to</w:t>
      </w:r>
      <w:r w:rsidR="0029311F" w:rsidRPr="00F82CE0">
        <w:rPr>
          <w:sz w:val="22"/>
          <w:szCs w:val="22"/>
        </w:rPr>
        <w:t xml:space="preserve"> COVID-19 unless the reporting entity intends to sell the security. If the entity has made a decision to sell the security, then recognition of an OTTI shall continue to be required.</w:t>
      </w:r>
    </w:p>
    <w:p w14:paraId="04F7E1C1" w14:textId="77777777" w:rsidR="00F06BF4" w:rsidRPr="00F82CE0" w:rsidRDefault="00F06BF4" w:rsidP="003F552B">
      <w:pPr>
        <w:ind w:left="1440" w:hanging="720"/>
        <w:jc w:val="both"/>
        <w:rPr>
          <w:sz w:val="22"/>
          <w:szCs w:val="22"/>
        </w:rPr>
      </w:pPr>
    </w:p>
    <w:p w14:paraId="349C55C6" w14:textId="3CB40954" w:rsidR="00F06BF4" w:rsidRPr="00F82CE0" w:rsidRDefault="00F06BF4" w:rsidP="003F552B">
      <w:pPr>
        <w:pStyle w:val="ListParagraph"/>
        <w:numPr>
          <w:ilvl w:val="0"/>
          <w:numId w:val="15"/>
        </w:numPr>
        <w:tabs>
          <w:tab w:val="left" w:pos="0"/>
          <w:tab w:val="left" w:pos="2250"/>
        </w:tabs>
        <w:ind w:left="1440" w:hanging="720"/>
        <w:contextualSpacing w:val="0"/>
        <w:jc w:val="both"/>
        <w:rPr>
          <w:sz w:val="22"/>
          <w:szCs w:val="22"/>
        </w:rPr>
      </w:pPr>
      <w:r w:rsidRPr="00F82CE0">
        <w:rPr>
          <w:i/>
          <w:iCs/>
          <w:sz w:val="22"/>
          <w:szCs w:val="22"/>
        </w:rPr>
        <w:t>SSAP No. 48—Joint Ventures, Partnerships and Limited Liabilities Companies:</w:t>
      </w:r>
      <w:r w:rsidRPr="00F82CE0">
        <w:rPr>
          <w:sz w:val="22"/>
          <w:szCs w:val="22"/>
        </w:rPr>
        <w:t xml:space="preserve"> Provide a limited-time exception for assessing OTTI under SSAP No. 48 due to fair value declines in investments that have underlying mortgage loans </w:t>
      </w:r>
      <w:r w:rsidR="0029311F" w:rsidRPr="00F82CE0">
        <w:rPr>
          <w:sz w:val="22"/>
          <w:szCs w:val="22"/>
        </w:rPr>
        <w:t xml:space="preserve">deferred or modified </w:t>
      </w:r>
      <w:r w:rsidR="00983226" w:rsidRPr="00F82CE0">
        <w:rPr>
          <w:sz w:val="22"/>
          <w:szCs w:val="22"/>
        </w:rPr>
        <w:t>in response to</w:t>
      </w:r>
      <w:r w:rsidR="0029311F" w:rsidRPr="00F82CE0">
        <w:rPr>
          <w:sz w:val="22"/>
          <w:szCs w:val="22"/>
        </w:rPr>
        <w:t xml:space="preserve"> COVID-19 unless the entity intends to sell the security. </w:t>
      </w:r>
      <w:r w:rsidRPr="00F82CE0">
        <w:rPr>
          <w:sz w:val="22"/>
          <w:szCs w:val="22"/>
        </w:rPr>
        <w:t xml:space="preserve">Additionally, an OTTI shall be assessed if factors other than the mortgage loan forbearance </w:t>
      </w:r>
      <w:r w:rsidR="00983226" w:rsidRPr="00F82CE0">
        <w:rPr>
          <w:sz w:val="22"/>
          <w:szCs w:val="22"/>
        </w:rPr>
        <w:t xml:space="preserve">or modification </w:t>
      </w:r>
      <w:r w:rsidRPr="00F82CE0">
        <w:rPr>
          <w:sz w:val="22"/>
          <w:szCs w:val="22"/>
        </w:rPr>
        <w:t xml:space="preserve">have resulted with a decline that is considered other than temporary, or the </w:t>
      </w:r>
      <w:r w:rsidR="000134F6" w:rsidRPr="00F82CE0">
        <w:rPr>
          <w:sz w:val="22"/>
          <w:szCs w:val="22"/>
        </w:rPr>
        <w:t xml:space="preserve">reporting </w:t>
      </w:r>
      <w:r w:rsidRPr="00F82CE0">
        <w:rPr>
          <w:sz w:val="22"/>
          <w:szCs w:val="22"/>
        </w:rPr>
        <w:t>entity does not believe it is probable they will collect the carrying amount of the investment.</w:t>
      </w:r>
    </w:p>
    <w:p w14:paraId="5BA237DB" w14:textId="77777777" w:rsidR="0029311F" w:rsidRPr="00F82CE0" w:rsidRDefault="0029311F" w:rsidP="0029311F">
      <w:pPr>
        <w:pStyle w:val="ListParagraph"/>
        <w:rPr>
          <w:sz w:val="22"/>
          <w:szCs w:val="22"/>
        </w:rPr>
      </w:pPr>
    </w:p>
    <w:p w14:paraId="074246E4" w14:textId="1D41FB77" w:rsidR="00985762" w:rsidRPr="00F82CE0" w:rsidRDefault="00FA20EF" w:rsidP="000134F6">
      <w:pPr>
        <w:pStyle w:val="ListParagraph"/>
        <w:numPr>
          <w:ilvl w:val="0"/>
          <w:numId w:val="9"/>
        </w:numPr>
        <w:spacing w:after="220"/>
        <w:ind w:left="0" w:firstLine="0"/>
        <w:jc w:val="both"/>
        <w:rPr>
          <w:sz w:val="22"/>
          <w:szCs w:val="22"/>
        </w:rPr>
      </w:pPr>
      <w:bookmarkStart w:id="3" w:name="_Hlk35943694"/>
      <w:r w:rsidRPr="00F82CE0">
        <w:rPr>
          <w:sz w:val="22"/>
          <w:szCs w:val="22"/>
        </w:rPr>
        <w:t>As detailed in paragraph 10, the exceptions granted in this interpretation are applicable for the March 31</w:t>
      </w:r>
      <w:r w:rsidRPr="00F82CE0">
        <w:rPr>
          <w:sz w:val="22"/>
          <w:szCs w:val="22"/>
          <w:vertAlign w:val="superscript"/>
        </w:rPr>
        <w:t>st</w:t>
      </w:r>
      <w:r w:rsidRPr="00F82CE0">
        <w:rPr>
          <w:sz w:val="22"/>
          <w:szCs w:val="22"/>
        </w:rPr>
        <w:t xml:space="preserve"> and June 30</w:t>
      </w:r>
      <w:r w:rsidRPr="00F82CE0">
        <w:rPr>
          <w:sz w:val="22"/>
          <w:szCs w:val="22"/>
          <w:vertAlign w:val="superscript"/>
        </w:rPr>
        <w:t>th</w:t>
      </w:r>
      <w:r w:rsidRPr="00F82CE0">
        <w:rPr>
          <w:sz w:val="22"/>
          <w:szCs w:val="22"/>
        </w:rPr>
        <w:t>, 2020 (1</w:t>
      </w:r>
      <w:r w:rsidRPr="00F82CE0">
        <w:rPr>
          <w:sz w:val="22"/>
          <w:szCs w:val="22"/>
          <w:vertAlign w:val="superscript"/>
        </w:rPr>
        <w:t>st</w:t>
      </w:r>
      <w:r w:rsidRPr="00F82CE0">
        <w:rPr>
          <w:sz w:val="22"/>
          <w:szCs w:val="22"/>
        </w:rPr>
        <w:t xml:space="preserve"> and 2</w:t>
      </w:r>
      <w:r w:rsidRPr="00F82CE0">
        <w:rPr>
          <w:sz w:val="22"/>
          <w:szCs w:val="22"/>
          <w:vertAlign w:val="superscript"/>
        </w:rPr>
        <w:t>nd</w:t>
      </w:r>
      <w:r w:rsidRPr="00F82CE0">
        <w:rPr>
          <w:sz w:val="22"/>
          <w:szCs w:val="22"/>
        </w:rPr>
        <w:t xml:space="preserve"> quarter) financial statements and only in response to mortgage loan forbearance or modifications granted in response to COVID-19. As the exceptions provided in this interpretation are not applicable in the </w:t>
      </w:r>
      <w:r w:rsidR="002C6EB7" w:rsidRPr="00F82CE0">
        <w:rPr>
          <w:sz w:val="22"/>
          <w:szCs w:val="22"/>
        </w:rPr>
        <w:t xml:space="preserve">September </w:t>
      </w:r>
      <w:r w:rsidRPr="00F82CE0">
        <w:rPr>
          <w:sz w:val="22"/>
          <w:szCs w:val="22"/>
        </w:rPr>
        <w:t>30, 2020 (3</w:t>
      </w:r>
      <w:r w:rsidRPr="00F82CE0">
        <w:rPr>
          <w:sz w:val="22"/>
          <w:szCs w:val="22"/>
          <w:vertAlign w:val="superscript"/>
        </w:rPr>
        <w:t>rd</w:t>
      </w:r>
      <w:r w:rsidRPr="00F82CE0">
        <w:rPr>
          <w:sz w:val="22"/>
          <w:szCs w:val="22"/>
        </w:rPr>
        <w:t xml:space="preserve"> quarter) financial statements, this interpretation will automatically expire as of </w:t>
      </w:r>
      <w:r w:rsidR="002C6EB7" w:rsidRPr="00F82CE0">
        <w:rPr>
          <w:sz w:val="22"/>
          <w:szCs w:val="22"/>
        </w:rPr>
        <w:t xml:space="preserve">September </w:t>
      </w:r>
      <w:r w:rsidRPr="00F82CE0">
        <w:rPr>
          <w:sz w:val="22"/>
          <w:szCs w:val="22"/>
        </w:rPr>
        <w:t>29, 2020. T</w:t>
      </w:r>
      <w:r w:rsidR="00EF0967" w:rsidRPr="00F82CE0">
        <w:rPr>
          <w:sz w:val="22"/>
          <w:szCs w:val="22"/>
        </w:rPr>
        <w:t xml:space="preserve">his </w:t>
      </w:r>
      <w:r w:rsidR="00061C93" w:rsidRPr="00F82CE0">
        <w:rPr>
          <w:sz w:val="22"/>
          <w:szCs w:val="22"/>
        </w:rPr>
        <w:t>i</w:t>
      </w:r>
      <w:r w:rsidR="00985762" w:rsidRPr="00F82CE0">
        <w:rPr>
          <w:sz w:val="22"/>
          <w:szCs w:val="22"/>
        </w:rPr>
        <w:t xml:space="preserve">nterpretation will be </w:t>
      </w:r>
      <w:r w:rsidR="008B6E08" w:rsidRPr="00F82CE0">
        <w:rPr>
          <w:sz w:val="22"/>
          <w:szCs w:val="22"/>
        </w:rPr>
        <w:t xml:space="preserve">publicly </w:t>
      </w:r>
      <w:r w:rsidR="00985762" w:rsidRPr="00F82CE0">
        <w:rPr>
          <w:sz w:val="22"/>
          <w:szCs w:val="22"/>
        </w:rPr>
        <w:t xml:space="preserve">posted on </w:t>
      </w:r>
      <w:r w:rsidR="008B6E08" w:rsidRPr="00F82CE0">
        <w:rPr>
          <w:sz w:val="22"/>
          <w:szCs w:val="22"/>
        </w:rPr>
        <w:t xml:space="preserve">the </w:t>
      </w:r>
      <w:r w:rsidR="00CD7A1B" w:rsidRPr="00F82CE0">
        <w:rPr>
          <w:sz w:val="22"/>
          <w:szCs w:val="22"/>
        </w:rPr>
        <w:t xml:space="preserve">Statutory Accounting Principles </w:t>
      </w:r>
      <w:r w:rsidR="00985762" w:rsidRPr="00F82CE0">
        <w:rPr>
          <w:sz w:val="22"/>
          <w:szCs w:val="22"/>
        </w:rPr>
        <w:t xml:space="preserve">(E) Working Group’s website. This </w:t>
      </w:r>
      <w:r w:rsidR="00061C93" w:rsidRPr="00F82CE0">
        <w:rPr>
          <w:sz w:val="22"/>
          <w:szCs w:val="22"/>
        </w:rPr>
        <w:t>i</w:t>
      </w:r>
      <w:r w:rsidR="00985762" w:rsidRPr="00F82CE0">
        <w:rPr>
          <w:sz w:val="22"/>
          <w:szCs w:val="22"/>
        </w:rPr>
        <w:t xml:space="preserve">nterpretation will be automatically nullified on </w:t>
      </w:r>
      <w:r w:rsidR="002C6EB7" w:rsidRPr="00F82CE0">
        <w:rPr>
          <w:sz w:val="22"/>
          <w:szCs w:val="22"/>
        </w:rPr>
        <w:t xml:space="preserve">September </w:t>
      </w:r>
      <w:r w:rsidRPr="00F82CE0">
        <w:rPr>
          <w:sz w:val="22"/>
          <w:szCs w:val="22"/>
        </w:rPr>
        <w:t>29, 2020</w:t>
      </w:r>
      <w:r w:rsidR="00C26D2C" w:rsidRPr="00F82CE0">
        <w:rPr>
          <w:sz w:val="22"/>
          <w:szCs w:val="22"/>
        </w:rPr>
        <w:t xml:space="preserve"> and</w:t>
      </w:r>
      <w:r w:rsidR="00985762" w:rsidRPr="00F82CE0">
        <w:rPr>
          <w:sz w:val="22"/>
          <w:szCs w:val="22"/>
        </w:rPr>
        <w:t xml:space="preserve"> will be included as a nullified INT in Appendix H</w:t>
      </w:r>
      <w:r w:rsidR="00061C93" w:rsidRPr="00F82CE0">
        <w:rPr>
          <w:sz w:val="22"/>
          <w:szCs w:val="22"/>
        </w:rPr>
        <w:t xml:space="preserve"> </w:t>
      </w:r>
      <w:r w:rsidR="00985762" w:rsidRPr="00F82CE0">
        <w:rPr>
          <w:sz w:val="22"/>
          <w:szCs w:val="22"/>
        </w:rPr>
        <w:t>–</w:t>
      </w:r>
      <w:r w:rsidR="00061C93" w:rsidRPr="00F82CE0">
        <w:rPr>
          <w:sz w:val="22"/>
          <w:szCs w:val="22"/>
        </w:rPr>
        <w:t xml:space="preserve"> </w:t>
      </w:r>
      <w:r w:rsidR="00985762" w:rsidRPr="00F82CE0">
        <w:rPr>
          <w:sz w:val="22"/>
          <w:szCs w:val="22"/>
        </w:rPr>
        <w:t>Superseded SSAPs and Nullified I</w:t>
      </w:r>
      <w:r w:rsidR="00DC70DE" w:rsidRPr="00F82CE0">
        <w:rPr>
          <w:sz w:val="22"/>
          <w:szCs w:val="22"/>
        </w:rPr>
        <w:t>nterpretation</w:t>
      </w:r>
      <w:r w:rsidR="00985762" w:rsidRPr="00F82CE0">
        <w:rPr>
          <w:sz w:val="22"/>
          <w:szCs w:val="22"/>
        </w:rPr>
        <w:t xml:space="preserve">s in the </w:t>
      </w:r>
      <w:r w:rsidR="0029506C" w:rsidRPr="00F82CE0">
        <w:rPr>
          <w:sz w:val="22"/>
          <w:szCs w:val="22"/>
        </w:rPr>
        <w:t xml:space="preserve">“as of March </w:t>
      </w:r>
      <w:r w:rsidR="00985762" w:rsidRPr="00F82CE0">
        <w:rPr>
          <w:sz w:val="22"/>
          <w:szCs w:val="22"/>
        </w:rPr>
        <w:t>20</w:t>
      </w:r>
      <w:r w:rsidR="00BC0FEB" w:rsidRPr="00F82CE0">
        <w:rPr>
          <w:sz w:val="22"/>
          <w:szCs w:val="22"/>
        </w:rPr>
        <w:t>21</w:t>
      </w:r>
      <w:r w:rsidR="0029506C" w:rsidRPr="00F82CE0">
        <w:rPr>
          <w:sz w:val="22"/>
          <w:szCs w:val="22"/>
        </w:rPr>
        <w:t>”</w:t>
      </w:r>
      <w:r w:rsidR="00985762" w:rsidRPr="00F82CE0">
        <w:rPr>
          <w:sz w:val="22"/>
          <w:szCs w:val="22"/>
        </w:rPr>
        <w:t xml:space="preserve"> </w:t>
      </w:r>
      <w:r w:rsidR="00985762" w:rsidRPr="00F82CE0">
        <w:rPr>
          <w:i/>
          <w:sz w:val="22"/>
          <w:szCs w:val="22"/>
        </w:rPr>
        <w:t>Accounting Practices and Procedures Manual</w:t>
      </w:r>
      <w:r w:rsidR="00D84107" w:rsidRPr="00F82CE0">
        <w:rPr>
          <w:sz w:val="22"/>
          <w:szCs w:val="22"/>
        </w:rPr>
        <w:t xml:space="preserve">. </w:t>
      </w:r>
    </w:p>
    <w:bookmarkEnd w:id="3"/>
    <w:p w14:paraId="14A64FC1" w14:textId="3B285D0E" w:rsidR="00904607" w:rsidRPr="00F82CE0" w:rsidRDefault="00985762" w:rsidP="00052F8B">
      <w:pPr>
        <w:pStyle w:val="Heading1"/>
        <w:keepNext w:val="0"/>
        <w:spacing w:after="220"/>
        <w:rPr>
          <w:b/>
          <w:sz w:val="22"/>
          <w:szCs w:val="22"/>
        </w:rPr>
      </w:pPr>
      <w:r w:rsidRPr="00F82CE0">
        <w:rPr>
          <w:b/>
          <w:sz w:val="22"/>
          <w:szCs w:val="22"/>
        </w:rPr>
        <w:t xml:space="preserve">INT </w:t>
      </w:r>
      <w:r w:rsidR="00BC0FEB" w:rsidRPr="00F82CE0">
        <w:rPr>
          <w:b/>
          <w:sz w:val="22"/>
          <w:szCs w:val="22"/>
        </w:rPr>
        <w:t>20</w:t>
      </w:r>
      <w:r w:rsidR="0029506C" w:rsidRPr="00F82CE0">
        <w:rPr>
          <w:b/>
          <w:sz w:val="22"/>
          <w:szCs w:val="22"/>
        </w:rPr>
        <w:t>-</w:t>
      </w:r>
      <w:r w:rsidR="00116F9A" w:rsidRPr="00F82CE0">
        <w:rPr>
          <w:b/>
          <w:sz w:val="22"/>
          <w:szCs w:val="22"/>
        </w:rPr>
        <w:t>0</w:t>
      </w:r>
      <w:r w:rsidR="0005150F" w:rsidRPr="00F82CE0">
        <w:rPr>
          <w:b/>
          <w:sz w:val="22"/>
          <w:szCs w:val="22"/>
        </w:rPr>
        <w:t>4</w:t>
      </w:r>
      <w:r w:rsidR="00116F9A" w:rsidRPr="00F82CE0">
        <w:rPr>
          <w:b/>
          <w:sz w:val="22"/>
          <w:szCs w:val="22"/>
        </w:rPr>
        <w:t>T</w:t>
      </w:r>
      <w:r w:rsidR="001F4024" w:rsidRPr="00F82CE0">
        <w:rPr>
          <w:b/>
          <w:sz w:val="22"/>
          <w:szCs w:val="22"/>
        </w:rPr>
        <w:t xml:space="preserve"> Status</w:t>
      </w:r>
    </w:p>
    <w:p w14:paraId="4B4E580F" w14:textId="2646B6DE" w:rsidR="00904607" w:rsidRPr="00F82CE0" w:rsidRDefault="002D6C87" w:rsidP="003B2D06">
      <w:pPr>
        <w:pStyle w:val="ListParagraph"/>
        <w:numPr>
          <w:ilvl w:val="0"/>
          <w:numId w:val="9"/>
        </w:numPr>
        <w:spacing w:after="220"/>
        <w:ind w:left="0" w:firstLine="0"/>
        <w:jc w:val="both"/>
        <w:rPr>
          <w:sz w:val="22"/>
          <w:szCs w:val="22"/>
        </w:rPr>
      </w:pPr>
      <w:r w:rsidRPr="00F82CE0">
        <w:rPr>
          <w:sz w:val="22"/>
          <w:szCs w:val="22"/>
        </w:rPr>
        <w:t>F</w:t>
      </w:r>
      <w:r w:rsidR="00904607" w:rsidRPr="00F82CE0">
        <w:rPr>
          <w:sz w:val="22"/>
          <w:szCs w:val="22"/>
        </w:rPr>
        <w:t>urther discussion is planned.</w:t>
      </w:r>
    </w:p>
    <w:p w14:paraId="17951317" w14:textId="0C6F736F" w:rsidR="00F152DC" w:rsidRPr="00F152DC" w:rsidRDefault="00F152DC" w:rsidP="00F152DC">
      <w:pPr>
        <w:spacing w:after="220"/>
        <w:jc w:val="both"/>
        <w:rPr>
          <w:sz w:val="16"/>
          <w:szCs w:val="16"/>
        </w:rPr>
      </w:pPr>
      <w:r w:rsidRPr="00F82CE0">
        <w:rPr>
          <w:sz w:val="16"/>
          <w:szCs w:val="16"/>
        </w:rPr>
        <w:fldChar w:fldCharType="begin"/>
      </w:r>
      <w:r w:rsidRPr="00F82CE0">
        <w:rPr>
          <w:sz w:val="16"/>
          <w:szCs w:val="16"/>
        </w:rPr>
        <w:instrText xml:space="preserve"> FILENAME  \p  \* MERGEFORMAT </w:instrText>
      </w:r>
      <w:r w:rsidRPr="00F82CE0">
        <w:rPr>
          <w:sz w:val="16"/>
          <w:szCs w:val="16"/>
        </w:rPr>
        <w:fldChar w:fldCharType="separate"/>
      </w:r>
      <w:r w:rsidR="00F82CE0">
        <w:rPr>
          <w:noProof/>
          <w:sz w:val="16"/>
          <w:szCs w:val="16"/>
        </w:rPr>
        <w:t>G:\FRS\DATA\Stat Acctg\1. Statutory\A. Maintenance\a. Form A\1. Active Form A's\2020\INT 20-04 Mortgages for Covid-19.docx</w:t>
      </w:r>
      <w:r w:rsidRPr="00F82CE0">
        <w:rPr>
          <w:sz w:val="16"/>
          <w:szCs w:val="16"/>
        </w:rPr>
        <w:fldChar w:fldCharType="end"/>
      </w:r>
    </w:p>
    <w:sectPr w:rsidR="00F152DC" w:rsidRPr="00F152DC" w:rsidSect="00184C49">
      <w:headerReference w:type="default" r:id="rId8"/>
      <w:footerReference w:type="default" r:id="rId9"/>
      <w:pgSz w:w="12240" w:h="15840" w:code="1"/>
      <w:pgMar w:top="1080"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9443" w14:textId="77777777" w:rsidR="003E3CE1" w:rsidRDefault="003E3CE1">
      <w:r>
        <w:separator/>
      </w:r>
    </w:p>
  </w:endnote>
  <w:endnote w:type="continuationSeparator" w:id="0">
    <w:p w14:paraId="51F8A4B4" w14:textId="77777777" w:rsidR="003E3CE1" w:rsidRDefault="003E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B3F8" w14:textId="0A3A61D2" w:rsidR="003E3CE1" w:rsidRPr="00D32E80" w:rsidRDefault="003E3CE1">
    <w:pPr>
      <w:pStyle w:val="Footer"/>
      <w:rPr>
        <w:b/>
        <w:sz w:val="18"/>
        <w:szCs w:val="18"/>
      </w:rPr>
    </w:pPr>
    <w:r>
      <w:tab/>
    </w:r>
    <w:r>
      <w:rPr>
        <w:b/>
        <w:sz w:val="18"/>
        <w:szCs w:val="18"/>
      </w:rPr>
      <w:t>20</w:t>
    </w:r>
    <w:r w:rsidRPr="00D32E80">
      <w:rPr>
        <w:b/>
        <w:sz w:val="18"/>
        <w:szCs w:val="18"/>
      </w:rPr>
      <w:t>-</w:t>
    </w:r>
    <w:r>
      <w:rPr>
        <w:b/>
        <w:sz w:val="18"/>
        <w:szCs w:val="18"/>
      </w:rPr>
      <w:t>04T</w:t>
    </w:r>
    <w:r w:rsidRPr="00D32E80">
      <w:rPr>
        <w:b/>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1273" w14:textId="77777777" w:rsidR="003E3CE1" w:rsidRDefault="003E3CE1">
      <w:r>
        <w:separator/>
      </w:r>
    </w:p>
  </w:footnote>
  <w:footnote w:type="continuationSeparator" w:id="0">
    <w:p w14:paraId="48BDE6E9" w14:textId="77777777" w:rsidR="003E3CE1" w:rsidRDefault="003E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4B1C" w14:textId="77777777" w:rsidR="003E3CE1" w:rsidRPr="00A61442" w:rsidRDefault="003E3CE1">
    <w:pPr>
      <w:pStyle w:val="Header"/>
      <w:rPr>
        <w:b/>
      </w:rPr>
    </w:pPr>
    <w:r>
      <w:tab/>
    </w:r>
    <w:r w:rsidRPr="00D32E80">
      <w:rPr>
        <w:b/>
        <w:sz w:val="18"/>
        <w:szCs w:val="18"/>
      </w:rPr>
      <w:tab/>
    </w:r>
  </w:p>
  <w:p w14:paraId="623D4889" w14:textId="76FE0FBC" w:rsidR="003E3CE1" w:rsidRDefault="003E3CE1" w:rsidP="00A61442">
    <w:pPr>
      <w:pStyle w:val="Header"/>
      <w:jc w:val="right"/>
      <w:rPr>
        <w:b/>
      </w:rPr>
    </w:pPr>
    <w:r w:rsidRPr="00A61442">
      <w:rPr>
        <w:b/>
      </w:rPr>
      <w:t xml:space="preserve">INT </w:t>
    </w:r>
    <w:r>
      <w:rPr>
        <w:b/>
      </w:rPr>
      <w:t>20</w:t>
    </w:r>
    <w:r w:rsidRPr="00A61442">
      <w:rPr>
        <w:b/>
      </w:rPr>
      <w:t>-</w:t>
    </w:r>
    <w:r>
      <w:rPr>
        <w:b/>
      </w:rPr>
      <w:t>04T</w:t>
    </w:r>
  </w:p>
  <w:p w14:paraId="6414A807" w14:textId="77777777" w:rsidR="003E3CE1" w:rsidRPr="00A61442" w:rsidRDefault="003E3CE1" w:rsidP="00A6144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149AEA"/>
    <w:lvl w:ilvl="0">
      <w:start w:val="1"/>
      <w:numFmt w:val="decimal"/>
      <w:pStyle w:val="ListNumber"/>
      <w:lvlText w:val="%1."/>
      <w:lvlJc w:val="left"/>
      <w:pPr>
        <w:tabs>
          <w:tab w:val="num" w:pos="360"/>
        </w:tabs>
        <w:ind w:left="0" w:firstLine="0"/>
      </w:pPr>
      <w:rPr>
        <w:rFonts w:hint="default"/>
        <w:b w:val="0"/>
        <w:i w:val="0"/>
        <w:sz w:val="22"/>
      </w:rPr>
    </w:lvl>
  </w:abstractNum>
  <w:abstractNum w:abstractNumId="1" w15:restartNumberingAfterBreak="0">
    <w:nsid w:val="03B56ADE"/>
    <w:multiLevelType w:val="hybridMultilevel"/>
    <w:tmpl w:val="321A7FF8"/>
    <w:lvl w:ilvl="0" w:tplc="25881B44">
      <w:start w:val="1"/>
      <w:numFmt w:val="lowerLetter"/>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E74"/>
    <w:multiLevelType w:val="hybridMultilevel"/>
    <w:tmpl w:val="70EC99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0929"/>
    <w:multiLevelType w:val="hybridMultilevel"/>
    <w:tmpl w:val="30B05040"/>
    <w:lvl w:ilvl="0" w:tplc="BF9C6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41A9"/>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C59B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0A7796"/>
    <w:multiLevelType w:val="hybridMultilevel"/>
    <w:tmpl w:val="A8E25BD6"/>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379E"/>
    <w:multiLevelType w:val="hybridMultilevel"/>
    <w:tmpl w:val="CB46DA2C"/>
    <w:lvl w:ilvl="0" w:tplc="7FD8F6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A5798"/>
    <w:multiLevelType w:val="hybridMultilevel"/>
    <w:tmpl w:val="713C75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5448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D72FF9"/>
    <w:multiLevelType w:val="hybridMultilevel"/>
    <w:tmpl w:val="399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63517"/>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55F75"/>
    <w:multiLevelType w:val="hybridMultilevel"/>
    <w:tmpl w:val="E6A257CA"/>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0327E"/>
    <w:multiLevelType w:val="hybridMultilevel"/>
    <w:tmpl w:val="BBEA9BF4"/>
    <w:lvl w:ilvl="0" w:tplc="A1745D46">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E92D5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33B7F26"/>
    <w:multiLevelType w:val="multilevel"/>
    <w:tmpl w:val="47D4E4D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7DD5289E"/>
    <w:multiLevelType w:val="hybridMultilevel"/>
    <w:tmpl w:val="CFEE556A"/>
    <w:lvl w:ilvl="0" w:tplc="C680ADC6">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4"/>
  </w:num>
  <w:num w:numId="3">
    <w:abstractNumId w:val="9"/>
  </w:num>
  <w:num w:numId="4">
    <w:abstractNumId w:val="13"/>
  </w:num>
  <w:num w:numId="5">
    <w:abstractNumId w:val="0"/>
  </w:num>
  <w:num w:numId="6">
    <w:abstractNumId w:val="15"/>
  </w:num>
  <w:num w:numId="7">
    <w:abstractNumId w:val="7"/>
  </w:num>
  <w:num w:numId="8">
    <w:abstractNumId w:val="3"/>
  </w:num>
  <w:num w:numId="9">
    <w:abstractNumId w:val="12"/>
  </w:num>
  <w:num w:numId="10">
    <w:abstractNumId w:val="10"/>
  </w:num>
  <w:num w:numId="11">
    <w:abstractNumId w:val="2"/>
  </w:num>
  <w:num w:numId="12">
    <w:abstractNumId w:val="11"/>
  </w:num>
  <w:num w:numId="13">
    <w:abstractNumId w:val="16"/>
  </w:num>
  <w:num w:numId="14">
    <w:abstractNumId w:val="8"/>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8A"/>
    <w:rsid w:val="0000510C"/>
    <w:rsid w:val="000134F6"/>
    <w:rsid w:val="00030AB1"/>
    <w:rsid w:val="00034724"/>
    <w:rsid w:val="0005045E"/>
    <w:rsid w:val="0005150F"/>
    <w:rsid w:val="00052F8B"/>
    <w:rsid w:val="00053F98"/>
    <w:rsid w:val="00061C93"/>
    <w:rsid w:val="000865F4"/>
    <w:rsid w:val="00092A93"/>
    <w:rsid w:val="000A48C8"/>
    <w:rsid w:val="000C29C0"/>
    <w:rsid w:val="00116F9A"/>
    <w:rsid w:val="00141722"/>
    <w:rsid w:val="00184C49"/>
    <w:rsid w:val="00186172"/>
    <w:rsid w:val="001B1BE7"/>
    <w:rsid w:val="001C196C"/>
    <w:rsid w:val="001C7A3E"/>
    <w:rsid w:val="001D33B6"/>
    <w:rsid w:val="001E2E22"/>
    <w:rsid w:val="001E3619"/>
    <w:rsid w:val="001F4024"/>
    <w:rsid w:val="001F76C4"/>
    <w:rsid w:val="00231679"/>
    <w:rsid w:val="00241A21"/>
    <w:rsid w:val="00263DF3"/>
    <w:rsid w:val="002672A5"/>
    <w:rsid w:val="00273BFB"/>
    <w:rsid w:val="00281FA6"/>
    <w:rsid w:val="0029311F"/>
    <w:rsid w:val="002943C1"/>
    <w:rsid w:val="0029506C"/>
    <w:rsid w:val="002C30F4"/>
    <w:rsid w:val="002C6EB7"/>
    <w:rsid w:val="002D38A1"/>
    <w:rsid w:val="002D6C87"/>
    <w:rsid w:val="003014DD"/>
    <w:rsid w:val="003348A1"/>
    <w:rsid w:val="003416BF"/>
    <w:rsid w:val="00365B1A"/>
    <w:rsid w:val="003738E4"/>
    <w:rsid w:val="00375BB9"/>
    <w:rsid w:val="003872B7"/>
    <w:rsid w:val="003A7189"/>
    <w:rsid w:val="003A718A"/>
    <w:rsid w:val="003A7BAE"/>
    <w:rsid w:val="003B14C7"/>
    <w:rsid w:val="003B2D06"/>
    <w:rsid w:val="003C1720"/>
    <w:rsid w:val="003E3CE1"/>
    <w:rsid w:val="003E7E51"/>
    <w:rsid w:val="003F552B"/>
    <w:rsid w:val="004044CA"/>
    <w:rsid w:val="0041537F"/>
    <w:rsid w:val="00415F93"/>
    <w:rsid w:val="00427DF2"/>
    <w:rsid w:val="00442BCC"/>
    <w:rsid w:val="0045306D"/>
    <w:rsid w:val="0046070F"/>
    <w:rsid w:val="00477DFF"/>
    <w:rsid w:val="00490483"/>
    <w:rsid w:val="00494B6B"/>
    <w:rsid w:val="004D744A"/>
    <w:rsid w:val="004E5666"/>
    <w:rsid w:val="005037F6"/>
    <w:rsid w:val="0050609E"/>
    <w:rsid w:val="00521811"/>
    <w:rsid w:val="005375A5"/>
    <w:rsid w:val="00543A1D"/>
    <w:rsid w:val="005544DD"/>
    <w:rsid w:val="00571062"/>
    <w:rsid w:val="0059137B"/>
    <w:rsid w:val="005930F9"/>
    <w:rsid w:val="005A72B7"/>
    <w:rsid w:val="005C5B20"/>
    <w:rsid w:val="005D0B3E"/>
    <w:rsid w:val="005D22F4"/>
    <w:rsid w:val="005F3704"/>
    <w:rsid w:val="006035FA"/>
    <w:rsid w:val="006148B7"/>
    <w:rsid w:val="00634808"/>
    <w:rsid w:val="00645824"/>
    <w:rsid w:val="006A15EF"/>
    <w:rsid w:val="006A1C9F"/>
    <w:rsid w:val="006C39BB"/>
    <w:rsid w:val="006F5F4D"/>
    <w:rsid w:val="007014B1"/>
    <w:rsid w:val="00705161"/>
    <w:rsid w:val="0072239A"/>
    <w:rsid w:val="00754BC4"/>
    <w:rsid w:val="007554F6"/>
    <w:rsid w:val="007A15DB"/>
    <w:rsid w:val="007A7E1C"/>
    <w:rsid w:val="007C4C59"/>
    <w:rsid w:val="00817C15"/>
    <w:rsid w:val="00823A06"/>
    <w:rsid w:val="00844690"/>
    <w:rsid w:val="00856512"/>
    <w:rsid w:val="00856B75"/>
    <w:rsid w:val="00863EB6"/>
    <w:rsid w:val="00871A55"/>
    <w:rsid w:val="0087692A"/>
    <w:rsid w:val="0089597C"/>
    <w:rsid w:val="008B02C4"/>
    <w:rsid w:val="008B3B09"/>
    <w:rsid w:val="008B6E08"/>
    <w:rsid w:val="008C66CA"/>
    <w:rsid w:val="008D1FA1"/>
    <w:rsid w:val="008F59D5"/>
    <w:rsid w:val="00904607"/>
    <w:rsid w:val="00904D68"/>
    <w:rsid w:val="00932533"/>
    <w:rsid w:val="00940F84"/>
    <w:rsid w:val="00946718"/>
    <w:rsid w:val="00982052"/>
    <w:rsid w:val="00983226"/>
    <w:rsid w:val="00985762"/>
    <w:rsid w:val="00986382"/>
    <w:rsid w:val="00987B94"/>
    <w:rsid w:val="00995B77"/>
    <w:rsid w:val="009A5210"/>
    <w:rsid w:val="009A592D"/>
    <w:rsid w:val="009C4327"/>
    <w:rsid w:val="009E17F3"/>
    <w:rsid w:val="009E4A8E"/>
    <w:rsid w:val="00A00F3C"/>
    <w:rsid w:val="00A17681"/>
    <w:rsid w:val="00A40452"/>
    <w:rsid w:val="00A55036"/>
    <w:rsid w:val="00A57715"/>
    <w:rsid w:val="00A60937"/>
    <w:rsid w:val="00A61442"/>
    <w:rsid w:val="00A616BC"/>
    <w:rsid w:val="00A656D9"/>
    <w:rsid w:val="00A70CD7"/>
    <w:rsid w:val="00A81336"/>
    <w:rsid w:val="00A82EBC"/>
    <w:rsid w:val="00B14CF2"/>
    <w:rsid w:val="00B22CF7"/>
    <w:rsid w:val="00B27A0C"/>
    <w:rsid w:val="00B36AA6"/>
    <w:rsid w:val="00B43F90"/>
    <w:rsid w:val="00B61586"/>
    <w:rsid w:val="00B7462D"/>
    <w:rsid w:val="00BB0CDB"/>
    <w:rsid w:val="00BC0FEB"/>
    <w:rsid w:val="00BC68EC"/>
    <w:rsid w:val="00BD41A8"/>
    <w:rsid w:val="00BE4ABC"/>
    <w:rsid w:val="00BE4AD5"/>
    <w:rsid w:val="00BF1009"/>
    <w:rsid w:val="00BF21A0"/>
    <w:rsid w:val="00BF50C7"/>
    <w:rsid w:val="00C14E4E"/>
    <w:rsid w:val="00C26D2C"/>
    <w:rsid w:val="00C27AC5"/>
    <w:rsid w:val="00C5437C"/>
    <w:rsid w:val="00C56DFF"/>
    <w:rsid w:val="00C70DD0"/>
    <w:rsid w:val="00C76F66"/>
    <w:rsid w:val="00C94885"/>
    <w:rsid w:val="00CA4B30"/>
    <w:rsid w:val="00CC7A79"/>
    <w:rsid w:val="00CD7A1B"/>
    <w:rsid w:val="00CE17C1"/>
    <w:rsid w:val="00CE5416"/>
    <w:rsid w:val="00D017D6"/>
    <w:rsid w:val="00D12A84"/>
    <w:rsid w:val="00D23F5C"/>
    <w:rsid w:val="00D265F4"/>
    <w:rsid w:val="00D303CE"/>
    <w:rsid w:val="00D3120D"/>
    <w:rsid w:val="00D32E80"/>
    <w:rsid w:val="00D33380"/>
    <w:rsid w:val="00D33DC6"/>
    <w:rsid w:val="00D71FDC"/>
    <w:rsid w:val="00D829B4"/>
    <w:rsid w:val="00D82FD5"/>
    <w:rsid w:val="00D84107"/>
    <w:rsid w:val="00DB1AC2"/>
    <w:rsid w:val="00DC1273"/>
    <w:rsid w:val="00DC2320"/>
    <w:rsid w:val="00DC70DE"/>
    <w:rsid w:val="00DE68B4"/>
    <w:rsid w:val="00DE6A77"/>
    <w:rsid w:val="00E417EB"/>
    <w:rsid w:val="00E567E3"/>
    <w:rsid w:val="00E83A87"/>
    <w:rsid w:val="00E90CE2"/>
    <w:rsid w:val="00EC440E"/>
    <w:rsid w:val="00EC61FC"/>
    <w:rsid w:val="00ED0A32"/>
    <w:rsid w:val="00EF0967"/>
    <w:rsid w:val="00EF471C"/>
    <w:rsid w:val="00F06BF4"/>
    <w:rsid w:val="00F152DC"/>
    <w:rsid w:val="00F40DC9"/>
    <w:rsid w:val="00F420C7"/>
    <w:rsid w:val="00F72FC3"/>
    <w:rsid w:val="00F82CE0"/>
    <w:rsid w:val="00F9517B"/>
    <w:rsid w:val="00FA20EF"/>
    <w:rsid w:val="00FD6ADC"/>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297F731"/>
  <w15:docId w15:val="{9AC68685-0601-40B8-AC59-60B9EAA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E567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263DF3"/>
    <w:rPr>
      <w:sz w:val="16"/>
      <w:szCs w:val="16"/>
    </w:rPr>
  </w:style>
  <w:style w:type="paragraph" w:styleId="CommentText">
    <w:name w:val="annotation text"/>
    <w:basedOn w:val="Normal"/>
    <w:link w:val="CommentTextChar"/>
    <w:uiPriority w:val="99"/>
    <w:semiHidden/>
    <w:unhideWhenUsed/>
    <w:rsid w:val="00263DF3"/>
  </w:style>
  <w:style w:type="character" w:customStyle="1" w:styleId="CommentTextChar">
    <w:name w:val="Comment Text Char"/>
    <w:basedOn w:val="DefaultParagraphFont"/>
    <w:link w:val="CommentText"/>
    <w:uiPriority w:val="99"/>
    <w:semiHidden/>
    <w:rsid w:val="00263DF3"/>
  </w:style>
  <w:style w:type="paragraph" w:styleId="CommentSubject">
    <w:name w:val="annotation subject"/>
    <w:basedOn w:val="CommentText"/>
    <w:next w:val="CommentText"/>
    <w:link w:val="CommentSubjectChar"/>
    <w:uiPriority w:val="99"/>
    <w:semiHidden/>
    <w:unhideWhenUsed/>
    <w:rsid w:val="00263DF3"/>
    <w:rPr>
      <w:b/>
      <w:bCs/>
    </w:rPr>
  </w:style>
  <w:style w:type="character" w:customStyle="1" w:styleId="CommentSubjectChar">
    <w:name w:val="Comment Subject Char"/>
    <w:basedOn w:val="CommentTextChar"/>
    <w:link w:val="CommentSubject"/>
    <w:uiPriority w:val="99"/>
    <w:semiHidden/>
    <w:rsid w:val="00263DF3"/>
    <w:rPr>
      <w:b/>
      <w:bCs/>
    </w:rPr>
  </w:style>
  <w:style w:type="paragraph" w:styleId="Revision">
    <w:name w:val="Revision"/>
    <w:hidden/>
    <w:uiPriority w:val="99"/>
    <w:semiHidden/>
    <w:rsid w:val="00263DF3"/>
  </w:style>
  <w:style w:type="paragraph" w:styleId="BalloonText">
    <w:name w:val="Balloon Text"/>
    <w:basedOn w:val="Normal"/>
    <w:link w:val="BalloonTextChar"/>
    <w:uiPriority w:val="99"/>
    <w:semiHidden/>
    <w:unhideWhenUsed/>
    <w:rsid w:val="00263DF3"/>
    <w:rPr>
      <w:rFonts w:ascii="Tahoma" w:hAnsi="Tahoma" w:cs="Tahoma"/>
      <w:sz w:val="16"/>
      <w:szCs w:val="16"/>
    </w:rPr>
  </w:style>
  <w:style w:type="character" w:customStyle="1" w:styleId="BalloonTextChar">
    <w:name w:val="Balloon Text Char"/>
    <w:basedOn w:val="DefaultParagraphFont"/>
    <w:link w:val="BalloonText"/>
    <w:uiPriority w:val="99"/>
    <w:semiHidden/>
    <w:rsid w:val="00263DF3"/>
    <w:rPr>
      <w:rFonts w:ascii="Tahoma" w:hAnsi="Tahoma" w:cs="Tahoma"/>
      <w:sz w:val="16"/>
      <w:szCs w:val="16"/>
    </w:rPr>
  </w:style>
  <w:style w:type="paragraph" w:styleId="ListParagraph">
    <w:name w:val="List Paragraph"/>
    <w:basedOn w:val="Normal"/>
    <w:uiPriority w:val="34"/>
    <w:qFormat/>
    <w:rsid w:val="009E4A8E"/>
    <w:pPr>
      <w:ind w:left="720"/>
      <w:contextualSpacing/>
    </w:pPr>
  </w:style>
  <w:style w:type="paragraph" w:styleId="ListNumber">
    <w:name w:val="List Number"/>
    <w:aliases w:val="1.     SSAP,INT list number"/>
    <w:basedOn w:val="Normal"/>
    <w:rsid w:val="00A40452"/>
    <w:pPr>
      <w:numPr>
        <w:numId w:val="5"/>
      </w:numPr>
      <w:spacing w:after="100" w:afterAutospacing="1"/>
      <w:jc w:val="both"/>
    </w:pPr>
    <w:rPr>
      <w:sz w:val="22"/>
    </w:rPr>
  </w:style>
  <w:style w:type="character" w:customStyle="1" w:styleId="Heading3Char">
    <w:name w:val="Heading 3 Char"/>
    <w:basedOn w:val="DefaultParagraphFont"/>
    <w:link w:val="Heading3"/>
    <w:uiPriority w:val="9"/>
    <w:semiHidden/>
    <w:rsid w:val="00E567E3"/>
    <w:rPr>
      <w:rFonts w:asciiTheme="majorHAnsi" w:eastAsiaTheme="majorEastAsia" w:hAnsiTheme="majorHAnsi" w:cstheme="majorBidi"/>
      <w:color w:val="243F60" w:themeColor="accent1" w:themeShade="7F"/>
      <w:sz w:val="24"/>
      <w:szCs w:val="24"/>
    </w:rPr>
  </w:style>
  <w:style w:type="paragraph" w:styleId="ListContinue">
    <w:name w:val="List Continue"/>
    <w:basedOn w:val="Normal"/>
    <w:uiPriority w:val="99"/>
    <w:semiHidden/>
    <w:unhideWhenUsed/>
    <w:rsid w:val="00E567E3"/>
    <w:pPr>
      <w:spacing w:after="120"/>
      <w:ind w:left="360"/>
      <w:contextualSpacing/>
    </w:pPr>
  </w:style>
  <w:style w:type="character" w:styleId="Hyperlink">
    <w:name w:val="Hyperlink"/>
    <w:basedOn w:val="DefaultParagraphFont"/>
    <w:uiPriority w:val="99"/>
    <w:semiHidden/>
    <w:unhideWhenUsed/>
    <w:rsid w:val="009A5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86097">
      <w:bodyDiv w:val="1"/>
      <w:marLeft w:val="0"/>
      <w:marRight w:val="0"/>
      <w:marTop w:val="0"/>
      <w:marBottom w:val="0"/>
      <w:divBdr>
        <w:top w:val="none" w:sz="0" w:space="0" w:color="auto"/>
        <w:left w:val="none" w:sz="0" w:space="0" w:color="auto"/>
        <w:bottom w:val="none" w:sz="0" w:space="0" w:color="auto"/>
        <w:right w:val="none" w:sz="0" w:space="0" w:color="auto"/>
      </w:divBdr>
    </w:div>
    <w:div w:id="1127357392">
      <w:bodyDiv w:val="1"/>
      <w:marLeft w:val="0"/>
      <w:marRight w:val="0"/>
      <w:marTop w:val="0"/>
      <w:marBottom w:val="0"/>
      <w:divBdr>
        <w:top w:val="none" w:sz="0" w:space="0" w:color="auto"/>
        <w:left w:val="none" w:sz="0" w:space="0" w:color="auto"/>
        <w:bottom w:val="none" w:sz="0" w:space="0" w:color="auto"/>
        <w:right w:val="none" w:sz="0" w:space="0" w:color="auto"/>
      </w:divBdr>
    </w:div>
    <w:div w:id="1833526104">
      <w:bodyDiv w:val="1"/>
      <w:marLeft w:val="0"/>
      <w:marRight w:val="0"/>
      <w:marTop w:val="0"/>
      <w:marBottom w:val="0"/>
      <w:divBdr>
        <w:top w:val="none" w:sz="0" w:space="0" w:color="auto"/>
        <w:left w:val="none" w:sz="0" w:space="0" w:color="auto"/>
        <w:bottom w:val="none" w:sz="0" w:space="0" w:color="auto"/>
        <w:right w:val="none" w:sz="0" w:space="0" w:color="auto"/>
      </w:divBdr>
    </w:div>
    <w:div w:id="2003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3827-C9F2-410A-B9C7-B13DC542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E7E09308.dotm</Template>
  <TotalTime>14</TotalTime>
  <Pages>1</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NAIC</dc:creator>
  <cp:lastModifiedBy>Marcotte, Robin</cp:lastModifiedBy>
  <cp:revision>5</cp:revision>
  <cp:lastPrinted>2017-10-03T18:55:00Z</cp:lastPrinted>
  <dcterms:created xsi:type="dcterms:W3CDTF">2020-03-26T15:28:00Z</dcterms:created>
  <dcterms:modified xsi:type="dcterms:W3CDTF">2020-03-26T19:03:00Z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