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EA077" w14:textId="4463D7C0" w:rsidR="00856762" w:rsidRPr="00DC2BA7" w:rsidRDefault="00856762">
      <w:pPr>
        <w:pStyle w:val="TitleCenter1"/>
        <w:spacing w:after="220"/>
        <w:rPr>
          <w:szCs w:val="28"/>
        </w:rPr>
      </w:pPr>
      <w:r w:rsidRPr="00DC2BA7">
        <w:rPr>
          <w:szCs w:val="28"/>
        </w:rPr>
        <w:t xml:space="preserve">Interpretation of the </w:t>
      </w:r>
      <w:r w:rsidR="00A41950" w:rsidRPr="00DC2BA7">
        <w:rPr>
          <w:szCs w:val="28"/>
        </w:rPr>
        <w:t>Statutory</w:t>
      </w:r>
      <w:r w:rsidRPr="00DC2BA7">
        <w:rPr>
          <w:szCs w:val="28"/>
        </w:rPr>
        <w:t xml:space="preserve"> Accounting </w:t>
      </w:r>
      <w:r w:rsidR="00A41950" w:rsidRPr="00DC2BA7">
        <w:rPr>
          <w:szCs w:val="28"/>
        </w:rPr>
        <w:t>Principles</w:t>
      </w:r>
      <w:r w:rsidR="00546A2A" w:rsidRPr="00DC2BA7">
        <w:rPr>
          <w:szCs w:val="28"/>
        </w:rPr>
        <w:t xml:space="preserve"> (E)</w:t>
      </w:r>
      <w:r w:rsidRPr="00DC2BA7">
        <w:rPr>
          <w:szCs w:val="28"/>
        </w:rPr>
        <w:t xml:space="preserve"> Working Group</w:t>
      </w:r>
    </w:p>
    <w:p w14:paraId="751ED9C8" w14:textId="2508F424" w:rsidR="00960582" w:rsidRPr="00DC2BA7" w:rsidRDefault="00856762" w:rsidP="00960582">
      <w:pPr>
        <w:pStyle w:val="Heading2"/>
        <w:jc w:val="center"/>
        <w:rPr>
          <w:b/>
          <w:sz w:val="28"/>
          <w:szCs w:val="28"/>
        </w:rPr>
      </w:pPr>
      <w:r w:rsidRPr="00DC2BA7">
        <w:rPr>
          <w:b/>
          <w:sz w:val="28"/>
          <w:szCs w:val="28"/>
        </w:rPr>
        <w:t xml:space="preserve">INT </w:t>
      </w:r>
      <w:r w:rsidR="00FA6452" w:rsidRPr="00DC2BA7">
        <w:rPr>
          <w:b/>
          <w:sz w:val="28"/>
          <w:szCs w:val="28"/>
        </w:rPr>
        <w:t>20</w:t>
      </w:r>
      <w:r w:rsidR="00744AEE" w:rsidRPr="00DC2BA7">
        <w:rPr>
          <w:b/>
          <w:sz w:val="28"/>
          <w:szCs w:val="28"/>
        </w:rPr>
        <w:t>-</w:t>
      </w:r>
      <w:r w:rsidR="00193946">
        <w:rPr>
          <w:b/>
          <w:sz w:val="28"/>
          <w:szCs w:val="28"/>
        </w:rPr>
        <w:t>09T</w:t>
      </w:r>
      <w:r w:rsidRPr="00DC2BA7">
        <w:rPr>
          <w:b/>
          <w:sz w:val="28"/>
          <w:szCs w:val="28"/>
        </w:rPr>
        <w:t xml:space="preserve">: </w:t>
      </w:r>
      <w:r w:rsidR="00193946">
        <w:rPr>
          <w:b/>
          <w:sz w:val="28"/>
          <w:szCs w:val="28"/>
        </w:rPr>
        <w:t xml:space="preserve">Basis Swaps as a </w:t>
      </w:r>
      <w:r w:rsidR="006D0F3E">
        <w:rPr>
          <w:b/>
          <w:sz w:val="28"/>
          <w:szCs w:val="28"/>
        </w:rPr>
        <w:t>R</w:t>
      </w:r>
      <w:r w:rsidR="00193946">
        <w:rPr>
          <w:b/>
          <w:sz w:val="28"/>
          <w:szCs w:val="28"/>
        </w:rPr>
        <w:t>esult of the LIBOR</w:t>
      </w:r>
      <w:r w:rsidR="006D0F3E">
        <w:rPr>
          <w:b/>
          <w:sz w:val="28"/>
          <w:szCs w:val="28"/>
        </w:rPr>
        <w:t xml:space="preserve"> T</w:t>
      </w:r>
      <w:r w:rsidR="00193946">
        <w:rPr>
          <w:b/>
          <w:sz w:val="28"/>
          <w:szCs w:val="28"/>
        </w:rPr>
        <w:t>ransition</w:t>
      </w:r>
      <w:r w:rsidR="00FA6452" w:rsidRPr="00DC2BA7">
        <w:rPr>
          <w:b/>
          <w:i/>
          <w:iCs/>
          <w:sz w:val="28"/>
          <w:szCs w:val="28"/>
        </w:rPr>
        <w:t xml:space="preserve"> </w:t>
      </w:r>
    </w:p>
    <w:p w14:paraId="3B95C4B8" w14:textId="77777777" w:rsidR="00744AEE" w:rsidRPr="00336028" w:rsidRDefault="00744AEE" w:rsidP="000E6049">
      <w:pPr>
        <w:rPr>
          <w:sz w:val="22"/>
          <w:szCs w:val="22"/>
        </w:rPr>
      </w:pPr>
    </w:p>
    <w:p w14:paraId="7BA89271" w14:textId="02C6DD34" w:rsidR="00856762" w:rsidRPr="00336028" w:rsidRDefault="00856762" w:rsidP="00BC1D10">
      <w:pPr>
        <w:pStyle w:val="Heading2"/>
        <w:spacing w:after="220"/>
        <w:jc w:val="left"/>
        <w:rPr>
          <w:b/>
          <w:sz w:val="22"/>
          <w:szCs w:val="22"/>
        </w:rPr>
      </w:pPr>
      <w:r w:rsidRPr="00336028">
        <w:rPr>
          <w:b/>
          <w:sz w:val="22"/>
          <w:szCs w:val="22"/>
        </w:rPr>
        <w:t xml:space="preserve">INT </w:t>
      </w:r>
      <w:r w:rsidR="00FA6452" w:rsidRPr="00336028">
        <w:rPr>
          <w:b/>
          <w:sz w:val="22"/>
          <w:szCs w:val="22"/>
        </w:rPr>
        <w:t>20</w:t>
      </w:r>
      <w:r w:rsidR="00960582" w:rsidRPr="00336028">
        <w:rPr>
          <w:b/>
          <w:sz w:val="22"/>
          <w:szCs w:val="22"/>
        </w:rPr>
        <w:t>-</w:t>
      </w:r>
      <w:r w:rsidR="00193946">
        <w:rPr>
          <w:b/>
          <w:sz w:val="22"/>
          <w:szCs w:val="22"/>
        </w:rPr>
        <w:t>09T</w:t>
      </w:r>
      <w:r w:rsidRPr="00336028">
        <w:rPr>
          <w:b/>
          <w:sz w:val="22"/>
          <w:szCs w:val="22"/>
        </w:rPr>
        <w:t xml:space="preserve"> Dates Discussed</w:t>
      </w:r>
    </w:p>
    <w:p w14:paraId="2BA577C5" w14:textId="617BBE57" w:rsidR="009A3A8F" w:rsidRDefault="009A3A8F" w:rsidP="009A3A8F">
      <w:pPr>
        <w:spacing w:after="220"/>
        <w:rPr>
          <w:sz w:val="22"/>
          <w:szCs w:val="22"/>
        </w:rPr>
      </w:pPr>
      <w:r>
        <w:rPr>
          <w:sz w:val="22"/>
          <w:szCs w:val="22"/>
        </w:rPr>
        <w:t xml:space="preserve">Email Vote to Expose </w:t>
      </w:r>
      <w:r w:rsidR="00193946">
        <w:rPr>
          <w:sz w:val="22"/>
          <w:szCs w:val="22"/>
        </w:rPr>
        <w:t>July</w:t>
      </w:r>
      <w:r>
        <w:rPr>
          <w:sz w:val="22"/>
          <w:szCs w:val="22"/>
        </w:rPr>
        <w:t xml:space="preserve"> </w:t>
      </w:r>
      <w:r w:rsidR="001E5CC8">
        <w:rPr>
          <w:sz w:val="22"/>
          <w:szCs w:val="22"/>
        </w:rPr>
        <w:t>1</w:t>
      </w:r>
      <w:r w:rsidR="0038310E">
        <w:rPr>
          <w:sz w:val="22"/>
          <w:szCs w:val="22"/>
        </w:rPr>
        <w:t>5</w:t>
      </w:r>
      <w:r>
        <w:rPr>
          <w:sz w:val="22"/>
          <w:szCs w:val="22"/>
        </w:rPr>
        <w:t>, 2020</w:t>
      </w:r>
    </w:p>
    <w:p w14:paraId="2F9A907E" w14:textId="56D44A30" w:rsidR="00856762" w:rsidRPr="00336028" w:rsidRDefault="00856762" w:rsidP="00BC1D10">
      <w:pPr>
        <w:pStyle w:val="Heading2"/>
        <w:spacing w:after="220"/>
        <w:jc w:val="left"/>
        <w:rPr>
          <w:b/>
          <w:sz w:val="22"/>
          <w:szCs w:val="22"/>
        </w:rPr>
      </w:pPr>
      <w:r w:rsidRPr="00336028">
        <w:rPr>
          <w:b/>
          <w:sz w:val="22"/>
          <w:szCs w:val="22"/>
        </w:rPr>
        <w:t xml:space="preserve">INT </w:t>
      </w:r>
      <w:r w:rsidR="00FA6452" w:rsidRPr="00336028">
        <w:rPr>
          <w:b/>
          <w:sz w:val="22"/>
          <w:szCs w:val="22"/>
        </w:rPr>
        <w:t>20</w:t>
      </w:r>
      <w:r w:rsidR="00960582" w:rsidRPr="00336028">
        <w:rPr>
          <w:b/>
          <w:sz w:val="22"/>
          <w:szCs w:val="22"/>
        </w:rPr>
        <w:t>-0</w:t>
      </w:r>
      <w:r w:rsidR="00193946">
        <w:rPr>
          <w:b/>
          <w:sz w:val="22"/>
          <w:szCs w:val="22"/>
        </w:rPr>
        <w:t>9T</w:t>
      </w:r>
      <w:r w:rsidR="00FA6452" w:rsidRPr="00336028">
        <w:rPr>
          <w:b/>
          <w:sz w:val="22"/>
          <w:szCs w:val="22"/>
        </w:rPr>
        <w:t xml:space="preserve"> </w:t>
      </w:r>
      <w:r w:rsidRPr="00336028">
        <w:rPr>
          <w:b/>
          <w:sz w:val="22"/>
          <w:szCs w:val="22"/>
        </w:rPr>
        <w:t>References</w:t>
      </w:r>
    </w:p>
    <w:p w14:paraId="57A60E75" w14:textId="77777777" w:rsidR="00EC045A" w:rsidRPr="00336028" w:rsidRDefault="00EC045A" w:rsidP="00B54E78">
      <w:pPr>
        <w:jc w:val="both"/>
        <w:rPr>
          <w:b/>
          <w:sz w:val="22"/>
          <w:szCs w:val="22"/>
        </w:rPr>
      </w:pPr>
      <w:r w:rsidRPr="00336028">
        <w:rPr>
          <w:b/>
          <w:sz w:val="22"/>
          <w:szCs w:val="22"/>
        </w:rPr>
        <w:t>Current:</w:t>
      </w:r>
    </w:p>
    <w:p w14:paraId="7CD29F13" w14:textId="60B4AA5B" w:rsidR="00FA6452" w:rsidRDefault="00FA6452" w:rsidP="00FA6452">
      <w:pPr>
        <w:ind w:left="720" w:hanging="720"/>
        <w:jc w:val="both"/>
        <w:rPr>
          <w:i/>
          <w:sz w:val="22"/>
          <w:szCs w:val="22"/>
        </w:rPr>
      </w:pPr>
      <w:r w:rsidRPr="00336028">
        <w:rPr>
          <w:i/>
          <w:sz w:val="22"/>
          <w:szCs w:val="22"/>
        </w:rPr>
        <w:t>SSAP No. 86—Derivatives</w:t>
      </w:r>
    </w:p>
    <w:p w14:paraId="521C3B60" w14:textId="77777777" w:rsidR="00FA6452" w:rsidRPr="00336028" w:rsidRDefault="00FA6452" w:rsidP="00FA6452">
      <w:pPr>
        <w:ind w:left="720" w:hanging="720"/>
        <w:jc w:val="both"/>
        <w:rPr>
          <w:sz w:val="22"/>
          <w:szCs w:val="22"/>
        </w:rPr>
      </w:pPr>
    </w:p>
    <w:p w14:paraId="738FECE5" w14:textId="5C435B90" w:rsidR="00856762" w:rsidRPr="00336028" w:rsidRDefault="00856762" w:rsidP="00BC1D10">
      <w:pPr>
        <w:pStyle w:val="Heading2"/>
        <w:spacing w:after="220"/>
        <w:jc w:val="left"/>
        <w:rPr>
          <w:b/>
          <w:sz w:val="22"/>
          <w:szCs w:val="22"/>
        </w:rPr>
      </w:pPr>
      <w:r w:rsidRPr="00336028">
        <w:rPr>
          <w:b/>
          <w:sz w:val="22"/>
          <w:szCs w:val="22"/>
        </w:rPr>
        <w:t xml:space="preserve">INT </w:t>
      </w:r>
      <w:r w:rsidR="00FF008D" w:rsidRPr="00336028">
        <w:rPr>
          <w:b/>
          <w:sz w:val="22"/>
          <w:szCs w:val="22"/>
        </w:rPr>
        <w:t>20</w:t>
      </w:r>
      <w:r w:rsidR="00960582" w:rsidRPr="00336028">
        <w:rPr>
          <w:b/>
          <w:sz w:val="22"/>
          <w:szCs w:val="22"/>
        </w:rPr>
        <w:t>-</w:t>
      </w:r>
      <w:r w:rsidR="00193946">
        <w:rPr>
          <w:b/>
          <w:sz w:val="22"/>
          <w:szCs w:val="22"/>
        </w:rPr>
        <w:t>09T</w:t>
      </w:r>
      <w:r w:rsidRPr="00336028">
        <w:rPr>
          <w:b/>
          <w:sz w:val="22"/>
          <w:szCs w:val="22"/>
        </w:rPr>
        <w:t xml:space="preserve"> Issue</w:t>
      </w:r>
    </w:p>
    <w:p w14:paraId="3B80019F" w14:textId="1D1354DE" w:rsidR="00434F39" w:rsidRPr="00035B96" w:rsidRDefault="00434F39" w:rsidP="00DC2BA7">
      <w:pPr>
        <w:pStyle w:val="BodyText2"/>
        <w:numPr>
          <w:ilvl w:val="0"/>
          <w:numId w:val="43"/>
        </w:numPr>
        <w:spacing w:after="220" w:line="240" w:lineRule="auto"/>
        <w:ind w:left="0" w:firstLine="0"/>
        <w:jc w:val="both"/>
        <w:rPr>
          <w:bCs/>
          <w:sz w:val="22"/>
          <w:szCs w:val="22"/>
        </w:rPr>
      </w:pPr>
      <w:r>
        <w:rPr>
          <w:bCs/>
          <w:iCs/>
          <w:sz w:val="22"/>
          <w:szCs w:val="22"/>
        </w:rPr>
        <w:t>T</w:t>
      </w:r>
      <w:r w:rsidR="00446B6F" w:rsidRPr="00336028">
        <w:rPr>
          <w:bCs/>
          <w:iCs/>
          <w:sz w:val="22"/>
          <w:szCs w:val="22"/>
        </w:rPr>
        <w:t xml:space="preserve">his interpretation </w:t>
      </w:r>
      <w:r>
        <w:rPr>
          <w:bCs/>
          <w:iCs/>
          <w:sz w:val="22"/>
          <w:szCs w:val="22"/>
        </w:rPr>
        <w:t>is</w:t>
      </w:r>
      <w:r w:rsidR="00446B6F" w:rsidRPr="00336028">
        <w:rPr>
          <w:bCs/>
          <w:iCs/>
          <w:sz w:val="22"/>
          <w:szCs w:val="22"/>
        </w:rPr>
        <w:t xml:space="preserve"> to provide statutory accounting and reporting guidance for </w:t>
      </w:r>
      <w:r w:rsidR="004A7FBC">
        <w:rPr>
          <w:bCs/>
          <w:iCs/>
          <w:sz w:val="22"/>
          <w:szCs w:val="22"/>
        </w:rPr>
        <w:t xml:space="preserve">“basis swaps.” Basis swaps within the scope of </w:t>
      </w:r>
      <w:r w:rsidR="00496522">
        <w:rPr>
          <w:bCs/>
          <w:iCs/>
          <w:sz w:val="22"/>
          <w:szCs w:val="22"/>
        </w:rPr>
        <w:t>this</w:t>
      </w:r>
      <w:r w:rsidR="004A7FBC">
        <w:rPr>
          <w:bCs/>
          <w:iCs/>
          <w:sz w:val="22"/>
          <w:szCs w:val="22"/>
        </w:rPr>
        <w:t xml:space="preserve"> interpretation</w:t>
      </w:r>
      <w:r w:rsidR="00B81566">
        <w:rPr>
          <w:bCs/>
          <w:iCs/>
          <w:sz w:val="22"/>
          <w:szCs w:val="22"/>
        </w:rPr>
        <w:t xml:space="preserve"> are defined as </w:t>
      </w:r>
      <w:r w:rsidR="00B81566">
        <w:rPr>
          <w:sz w:val="22"/>
          <w:szCs w:val="22"/>
        </w:rPr>
        <w:t xml:space="preserve">compulsory derivatives issued by Central Clearing Parties (CCP), for certain cleared derivatives, issued solely in response to the </w:t>
      </w:r>
      <w:r w:rsidR="00B81566" w:rsidRPr="00AF6898">
        <w:rPr>
          <w:sz w:val="22"/>
          <w:szCs w:val="22"/>
        </w:rPr>
        <w:t>market-wide transition away from</w:t>
      </w:r>
      <w:r w:rsidR="00B81566">
        <w:rPr>
          <w:sz w:val="22"/>
          <w:szCs w:val="22"/>
        </w:rPr>
        <w:t xml:space="preserve"> the London Interbank Offered Rate</w:t>
      </w:r>
      <w:r w:rsidR="00B81566" w:rsidRPr="00AF6898">
        <w:rPr>
          <w:sz w:val="22"/>
          <w:szCs w:val="22"/>
        </w:rPr>
        <w:t xml:space="preserve"> </w:t>
      </w:r>
      <w:r w:rsidR="00B81566">
        <w:rPr>
          <w:sz w:val="22"/>
          <w:szCs w:val="22"/>
        </w:rPr>
        <w:t>(</w:t>
      </w:r>
      <w:r w:rsidR="00B81566" w:rsidRPr="00AF6898">
        <w:rPr>
          <w:sz w:val="22"/>
          <w:szCs w:val="22"/>
        </w:rPr>
        <w:t>LIBOR</w:t>
      </w:r>
      <w:r w:rsidR="00B81566">
        <w:rPr>
          <w:sz w:val="22"/>
          <w:szCs w:val="22"/>
        </w:rPr>
        <w:t xml:space="preserve">) </w:t>
      </w:r>
      <w:r w:rsidR="00B81566" w:rsidRPr="00AF6898">
        <w:rPr>
          <w:sz w:val="22"/>
          <w:szCs w:val="22"/>
        </w:rPr>
        <w:t>and toward the Secured Overnight Financing Rate (SOFR)</w:t>
      </w:r>
      <w:r w:rsidR="00B81566">
        <w:rPr>
          <w:sz w:val="22"/>
          <w:szCs w:val="22"/>
        </w:rPr>
        <w:t xml:space="preserve">. </w:t>
      </w:r>
    </w:p>
    <w:p w14:paraId="1100060C" w14:textId="09AB868B" w:rsidR="00B81566" w:rsidRPr="00B81566" w:rsidRDefault="00B81566" w:rsidP="00DC2BA7">
      <w:pPr>
        <w:pStyle w:val="BodyText2"/>
        <w:numPr>
          <w:ilvl w:val="0"/>
          <w:numId w:val="43"/>
        </w:numPr>
        <w:spacing w:after="220" w:line="240" w:lineRule="auto"/>
        <w:ind w:left="0" w:firstLine="0"/>
        <w:jc w:val="both"/>
        <w:rPr>
          <w:bCs/>
          <w:sz w:val="22"/>
          <w:szCs w:val="22"/>
        </w:rPr>
      </w:pPr>
      <w:r>
        <w:rPr>
          <w:sz w:val="22"/>
          <w:szCs w:val="22"/>
        </w:rPr>
        <w:t xml:space="preserve">SOFR is a broad measure of the cost of borrowing cash overnight, generally collateralized by Treasury Securities. It represents nearly a risk-free rate that is correlated with other money market rates and is fully transaction based (thus ensuring full transparency), by reflecting a broad measure of overnight U.S. Treasury repurchase transactions. </w:t>
      </w:r>
      <w:r w:rsidR="00434F39">
        <w:rPr>
          <w:sz w:val="22"/>
          <w:szCs w:val="22"/>
        </w:rPr>
        <w:t xml:space="preserve">In conjunction with the transition from LIBOR, many alternative reference rates, such as the Effective Federal Funds Rate (EFFR), an interest rate typically utilized by banks representing a charge for overnight loans, used to meet regulatory reserve requirements, </w:t>
      </w:r>
      <w:r w:rsidR="00434F39" w:rsidRPr="00C30124">
        <w:rPr>
          <w:sz w:val="22"/>
          <w:szCs w:val="22"/>
        </w:rPr>
        <w:t>are</w:t>
      </w:r>
      <w:r w:rsidR="00434F39">
        <w:rPr>
          <w:sz w:val="22"/>
          <w:szCs w:val="22"/>
        </w:rPr>
        <w:t xml:space="preserve"> also being transitioned to SOFR. </w:t>
      </w:r>
      <w:r>
        <w:rPr>
          <w:sz w:val="22"/>
          <w:szCs w:val="22"/>
        </w:rPr>
        <w:t xml:space="preserve">Accordingly, under the general topic referred to as “Reference Rate Reform,” contracts which reference or utilize LIBOR or EFFR, </w:t>
      </w:r>
      <w:r w:rsidR="00124BDA">
        <w:rPr>
          <w:sz w:val="22"/>
          <w:szCs w:val="22"/>
        </w:rPr>
        <w:t>are anticipated to</w:t>
      </w:r>
      <w:r>
        <w:rPr>
          <w:sz w:val="22"/>
          <w:szCs w:val="22"/>
        </w:rPr>
        <w:t xml:space="preserve"> be </w:t>
      </w:r>
      <w:r w:rsidR="00124BDA">
        <w:rPr>
          <w:sz w:val="22"/>
          <w:szCs w:val="22"/>
        </w:rPr>
        <w:t>modified</w:t>
      </w:r>
      <w:r>
        <w:rPr>
          <w:sz w:val="22"/>
          <w:szCs w:val="22"/>
        </w:rPr>
        <w:t xml:space="preserve"> to reference SOFR</w:t>
      </w:r>
    </w:p>
    <w:p w14:paraId="2122C11C" w14:textId="7457B6BA" w:rsidR="005445D1" w:rsidRPr="005445D1" w:rsidRDefault="00A4646B" w:rsidP="005445D1">
      <w:pPr>
        <w:pStyle w:val="BodyText2"/>
        <w:numPr>
          <w:ilvl w:val="0"/>
          <w:numId w:val="43"/>
        </w:numPr>
        <w:spacing w:after="220" w:line="240" w:lineRule="auto"/>
        <w:ind w:left="0" w:firstLine="0"/>
        <w:jc w:val="both"/>
        <w:rPr>
          <w:bCs/>
          <w:sz w:val="22"/>
          <w:szCs w:val="22"/>
        </w:rPr>
      </w:pPr>
      <w:r>
        <w:rPr>
          <w:bCs/>
          <w:iCs/>
          <w:sz w:val="22"/>
          <w:szCs w:val="22"/>
        </w:rPr>
        <w:t xml:space="preserve">The Working Group previously </w:t>
      </w:r>
      <w:r w:rsidRPr="003D3744">
        <w:rPr>
          <w:sz w:val="22"/>
          <w:szCs w:val="22"/>
        </w:rPr>
        <w:t xml:space="preserve">adopted </w:t>
      </w:r>
      <w:r w:rsidRPr="003D3744">
        <w:rPr>
          <w:i/>
          <w:iCs/>
          <w:sz w:val="22"/>
          <w:szCs w:val="22"/>
        </w:rPr>
        <w:t>INT 20-01: Reference Rate Reform,</w:t>
      </w:r>
      <w:r w:rsidRPr="003D3744">
        <w:rPr>
          <w:sz w:val="22"/>
          <w:szCs w:val="22"/>
        </w:rPr>
        <w:t xml:space="preserve"> which substantially adopted </w:t>
      </w:r>
      <w:r w:rsidRPr="003D3744">
        <w:rPr>
          <w:i/>
          <w:iCs/>
          <w:sz w:val="22"/>
          <w:szCs w:val="22"/>
        </w:rPr>
        <w:t xml:space="preserve">ASU 2020-04 – Reference Rate Reform </w:t>
      </w:r>
      <w:r w:rsidRPr="003D3744">
        <w:rPr>
          <w:sz w:val="22"/>
          <w:szCs w:val="22"/>
        </w:rPr>
        <w:t xml:space="preserve">and applies to all SSAPs with contracts within scope of ASU 2020-04. </w:t>
      </w:r>
      <w:r w:rsidR="00022D04">
        <w:rPr>
          <w:sz w:val="22"/>
          <w:szCs w:val="22"/>
        </w:rPr>
        <w:t>INT 20-01</w:t>
      </w:r>
      <w:r w:rsidRPr="003D3744">
        <w:rPr>
          <w:sz w:val="22"/>
          <w:szCs w:val="22"/>
        </w:rPr>
        <w:t xml:space="preserve"> allows for </w:t>
      </w:r>
      <w:r>
        <w:rPr>
          <w:sz w:val="22"/>
          <w:szCs w:val="22"/>
        </w:rPr>
        <w:t xml:space="preserve">contract </w:t>
      </w:r>
      <w:r w:rsidRPr="003D3744">
        <w:rPr>
          <w:sz w:val="22"/>
          <w:szCs w:val="22"/>
        </w:rPr>
        <w:t>modifications</w:t>
      </w:r>
      <w:r>
        <w:rPr>
          <w:sz w:val="22"/>
          <w:szCs w:val="22"/>
        </w:rPr>
        <w:t>,</w:t>
      </w:r>
      <w:r w:rsidRPr="003D3744">
        <w:rPr>
          <w:sz w:val="22"/>
          <w:szCs w:val="22"/>
        </w:rPr>
        <w:t xml:space="preserve"> due to reference rate reform</w:t>
      </w:r>
      <w:r>
        <w:rPr>
          <w:sz w:val="22"/>
          <w:szCs w:val="22"/>
        </w:rPr>
        <w:t xml:space="preserve">, </w:t>
      </w:r>
      <w:r w:rsidRPr="003D3744">
        <w:rPr>
          <w:sz w:val="22"/>
          <w:szCs w:val="22"/>
        </w:rPr>
        <w:t>to be accounted for as a continuation of the existing contract</w:t>
      </w:r>
      <w:r>
        <w:rPr>
          <w:sz w:val="22"/>
          <w:szCs w:val="22"/>
        </w:rPr>
        <w:t xml:space="preserve"> and thus not requiring remeasurement</w:t>
      </w:r>
      <w:r w:rsidRPr="003D3744">
        <w:rPr>
          <w:sz w:val="22"/>
          <w:szCs w:val="22"/>
        </w:rPr>
        <w:t xml:space="preserve">. </w:t>
      </w:r>
      <w:r>
        <w:rPr>
          <w:sz w:val="22"/>
          <w:szCs w:val="22"/>
        </w:rPr>
        <w:t>Among other things,</w:t>
      </w:r>
      <w:r w:rsidRPr="003D3744">
        <w:rPr>
          <w:sz w:val="22"/>
          <w:szCs w:val="22"/>
        </w:rPr>
        <w:t xml:space="preserve"> </w:t>
      </w:r>
      <w:r w:rsidR="00022D04">
        <w:rPr>
          <w:sz w:val="22"/>
          <w:szCs w:val="22"/>
        </w:rPr>
        <w:t>INT 20-01</w:t>
      </w:r>
      <w:r w:rsidRPr="003D3744">
        <w:rPr>
          <w:sz w:val="22"/>
          <w:szCs w:val="22"/>
        </w:rPr>
        <w:t xml:space="preserve"> allows for 1) certain hedging relationships to continue without</w:t>
      </w:r>
      <w:r>
        <w:rPr>
          <w:sz w:val="22"/>
          <w:szCs w:val="22"/>
        </w:rPr>
        <w:t xml:space="preserve"> requiring</w:t>
      </w:r>
      <w:r w:rsidRPr="003D3744">
        <w:rPr>
          <w:sz w:val="22"/>
          <w:szCs w:val="22"/>
        </w:rPr>
        <w:t xml:space="preserve"> </w:t>
      </w:r>
      <w:proofErr w:type="spellStart"/>
      <w:r w:rsidRPr="003D3744">
        <w:rPr>
          <w:sz w:val="22"/>
          <w:szCs w:val="22"/>
        </w:rPr>
        <w:t>dedesignation</w:t>
      </w:r>
      <w:proofErr w:type="spellEnd"/>
      <w:r w:rsidRPr="003D3744">
        <w:rPr>
          <w:sz w:val="22"/>
          <w:szCs w:val="22"/>
        </w:rPr>
        <w:t xml:space="preserve"> upon a change in certain critical terms</w:t>
      </w:r>
      <w:r>
        <w:rPr>
          <w:sz w:val="22"/>
          <w:szCs w:val="22"/>
        </w:rPr>
        <w:t xml:space="preserve"> (i.e. changing reference rates),</w:t>
      </w:r>
      <w:r w:rsidRPr="003D3744">
        <w:rPr>
          <w:sz w:val="22"/>
          <w:szCs w:val="22"/>
        </w:rPr>
        <w:t xml:space="preserve"> </w:t>
      </w:r>
      <w:r>
        <w:rPr>
          <w:sz w:val="22"/>
          <w:szCs w:val="22"/>
        </w:rPr>
        <w:t xml:space="preserve">and </w:t>
      </w:r>
      <w:r w:rsidRPr="003D3744">
        <w:rPr>
          <w:sz w:val="22"/>
          <w:szCs w:val="22"/>
        </w:rPr>
        <w:t>2) changes in the designated benchmark interest rate to a different eligible benchmark interest rate in a fair value hedging relationship</w:t>
      </w:r>
      <w:r>
        <w:rPr>
          <w:sz w:val="22"/>
          <w:szCs w:val="22"/>
        </w:rPr>
        <w:t xml:space="preserve">. </w:t>
      </w:r>
      <w:r w:rsidR="00022D04">
        <w:rPr>
          <w:sz w:val="22"/>
          <w:szCs w:val="22"/>
        </w:rPr>
        <w:t>INT 20-01</w:t>
      </w:r>
      <w:r>
        <w:rPr>
          <w:sz w:val="22"/>
          <w:szCs w:val="22"/>
        </w:rPr>
        <w:t xml:space="preserve"> recognized that many of these contracts, as part of the discontinuance of LIBOR, will transition to SOFR, a</w:t>
      </w:r>
      <w:r w:rsidR="00124BDA">
        <w:rPr>
          <w:sz w:val="22"/>
          <w:szCs w:val="22"/>
        </w:rPr>
        <w:t>n industry recognized</w:t>
      </w:r>
      <w:r>
        <w:rPr>
          <w:sz w:val="22"/>
          <w:szCs w:val="22"/>
        </w:rPr>
        <w:t xml:space="preserve"> preferred benchmark rate.</w:t>
      </w:r>
    </w:p>
    <w:p w14:paraId="4580D0FA" w14:textId="3E44F663" w:rsidR="00CB2979" w:rsidRPr="00CB2979" w:rsidRDefault="00022D04" w:rsidP="00CB2979">
      <w:pPr>
        <w:pStyle w:val="BodyText2"/>
        <w:numPr>
          <w:ilvl w:val="0"/>
          <w:numId w:val="43"/>
        </w:numPr>
        <w:spacing w:after="220" w:line="240" w:lineRule="auto"/>
        <w:ind w:left="0" w:firstLine="0"/>
        <w:jc w:val="both"/>
        <w:rPr>
          <w:bCs/>
          <w:sz w:val="22"/>
          <w:szCs w:val="22"/>
        </w:rPr>
      </w:pPr>
      <w:r>
        <w:rPr>
          <w:sz w:val="22"/>
          <w:szCs w:val="22"/>
        </w:rPr>
        <w:t>CCPs</w:t>
      </w:r>
      <w:r w:rsidR="005445D1">
        <w:rPr>
          <w:sz w:val="22"/>
          <w:szCs w:val="22"/>
        </w:rPr>
        <w:t xml:space="preserve"> </w:t>
      </w:r>
      <w:r w:rsidR="005445D1" w:rsidRPr="005445D1">
        <w:rPr>
          <w:sz w:val="22"/>
          <w:szCs w:val="22"/>
        </w:rPr>
        <w:t xml:space="preserve">will make a similar transition, converting open derivative end-of-day valuation calculations from EFFR to SOFR. This transition will occur in two steps, both of which </w:t>
      </w:r>
      <w:r w:rsidR="005445D1">
        <w:rPr>
          <w:sz w:val="22"/>
          <w:szCs w:val="22"/>
        </w:rPr>
        <w:t>are anticipated to</w:t>
      </w:r>
      <w:r w:rsidR="005445D1" w:rsidRPr="005445D1">
        <w:rPr>
          <w:sz w:val="22"/>
          <w:szCs w:val="22"/>
        </w:rPr>
        <w:t xml:space="preserve"> </w:t>
      </w:r>
      <w:r w:rsidR="0047665E">
        <w:rPr>
          <w:sz w:val="22"/>
          <w:szCs w:val="22"/>
        </w:rPr>
        <w:t xml:space="preserve">occur on </w:t>
      </w:r>
      <w:r w:rsidR="005445D1" w:rsidRPr="005445D1">
        <w:rPr>
          <w:sz w:val="22"/>
          <w:szCs w:val="22"/>
        </w:rPr>
        <w:t>Oct</w:t>
      </w:r>
      <w:r w:rsidR="00F60568">
        <w:rPr>
          <w:sz w:val="22"/>
          <w:szCs w:val="22"/>
        </w:rPr>
        <w:t>ober</w:t>
      </w:r>
      <w:r w:rsidR="005445D1" w:rsidRPr="005445D1">
        <w:rPr>
          <w:sz w:val="22"/>
          <w:szCs w:val="22"/>
        </w:rPr>
        <w:t xml:space="preserve"> 16. First, the CCP</w:t>
      </w:r>
      <w:r>
        <w:rPr>
          <w:sz w:val="22"/>
          <w:szCs w:val="22"/>
        </w:rPr>
        <w:t>s</w:t>
      </w:r>
      <w:r w:rsidR="005445D1" w:rsidRPr="005445D1">
        <w:rPr>
          <w:sz w:val="22"/>
          <w:szCs w:val="22"/>
        </w:rPr>
        <w:t xml:space="preserve"> will conduct a </w:t>
      </w:r>
      <w:r w:rsidR="005445D1" w:rsidRPr="005445D1">
        <w:rPr>
          <w:i/>
          <w:iCs/>
          <w:sz w:val="22"/>
          <w:szCs w:val="22"/>
        </w:rPr>
        <w:t>standard end-of day valuation</w:t>
      </w:r>
      <w:r w:rsidR="005445D1" w:rsidRPr="005445D1">
        <w:rPr>
          <w:sz w:val="22"/>
          <w:szCs w:val="22"/>
        </w:rPr>
        <w:t xml:space="preserve"> cycle based on EFFR. Then, the CCP will conduct a </w:t>
      </w:r>
      <w:r w:rsidR="005445D1" w:rsidRPr="005445D1">
        <w:rPr>
          <w:i/>
          <w:iCs/>
          <w:sz w:val="22"/>
          <w:szCs w:val="22"/>
        </w:rPr>
        <w:t>special valuation cycle</w:t>
      </w:r>
      <w:r w:rsidR="005445D1" w:rsidRPr="005445D1">
        <w:rPr>
          <w:sz w:val="22"/>
          <w:szCs w:val="22"/>
        </w:rPr>
        <w:t xml:space="preserve"> on those same positions, however utilizing SOFR as the new, ongoing discounting rate. Based on the differences between EFFR and SOFR, the CCP will issue cash adjustments to each account to offset the value adjustments arising from the change in discount rates and </w:t>
      </w:r>
      <w:r w:rsidR="0047665E">
        <w:rPr>
          <w:sz w:val="22"/>
          <w:szCs w:val="22"/>
        </w:rPr>
        <w:t xml:space="preserve">additionally will </w:t>
      </w:r>
      <w:r w:rsidR="005445D1" w:rsidRPr="005445D1">
        <w:rPr>
          <w:sz w:val="22"/>
          <w:szCs w:val="22"/>
        </w:rPr>
        <w:t>issue mandatory EFFR</w:t>
      </w:r>
      <w:r w:rsidR="005445D1" w:rsidRPr="00C30124">
        <w:rPr>
          <w:sz w:val="22"/>
          <w:szCs w:val="22"/>
        </w:rPr>
        <w:t>/SO</w:t>
      </w:r>
      <w:r w:rsidR="00B300FA" w:rsidRPr="00C30124">
        <w:rPr>
          <w:sz w:val="22"/>
          <w:szCs w:val="22"/>
        </w:rPr>
        <w:t>FR</w:t>
      </w:r>
      <w:r w:rsidR="005445D1" w:rsidRPr="005445D1">
        <w:rPr>
          <w:sz w:val="22"/>
          <w:szCs w:val="22"/>
        </w:rPr>
        <w:t xml:space="preserve"> basis swaps, thus restoring the account holder’s original risk profile.</w:t>
      </w:r>
      <w:r w:rsidR="005445D1">
        <w:rPr>
          <w:sz w:val="22"/>
          <w:szCs w:val="22"/>
        </w:rPr>
        <w:t xml:space="preserve"> </w:t>
      </w:r>
    </w:p>
    <w:p w14:paraId="1FBEBFA5" w14:textId="3BE64C8F" w:rsidR="00CB2979" w:rsidRPr="00F452E8" w:rsidRDefault="00CB2979" w:rsidP="00CB2979">
      <w:pPr>
        <w:pStyle w:val="BodyText2"/>
        <w:numPr>
          <w:ilvl w:val="0"/>
          <w:numId w:val="43"/>
        </w:numPr>
        <w:spacing w:after="220" w:line="240" w:lineRule="auto"/>
        <w:ind w:left="0" w:firstLine="0"/>
        <w:jc w:val="both"/>
        <w:rPr>
          <w:bCs/>
          <w:sz w:val="22"/>
          <w:szCs w:val="22"/>
        </w:rPr>
      </w:pPr>
      <w:r w:rsidRPr="00CB2979">
        <w:rPr>
          <w:i/>
          <w:iCs/>
          <w:sz w:val="22"/>
          <w:szCs w:val="22"/>
        </w:rPr>
        <w:t>SSAP No. 86—Derivatives</w:t>
      </w:r>
      <w:r w:rsidRPr="00CB2979">
        <w:rPr>
          <w:sz w:val="22"/>
          <w:szCs w:val="22"/>
        </w:rPr>
        <w:t xml:space="preserve"> addresses the recognition and measurement of derivatives used for hedging, income generation, and replication transactions. Additionally, guidance is provided for derivatives not utilized for one of these broad categories (known as “other derivatives”). Derivatives that are classified as “other derivatives” are</w:t>
      </w:r>
      <w:r w:rsidR="00A744ED">
        <w:rPr>
          <w:sz w:val="22"/>
          <w:szCs w:val="22"/>
        </w:rPr>
        <w:t xml:space="preserve"> </w:t>
      </w:r>
      <w:r w:rsidRPr="00CB2979">
        <w:rPr>
          <w:sz w:val="22"/>
          <w:szCs w:val="22"/>
        </w:rPr>
        <w:t xml:space="preserve">nonadmitted under SSAP No. 86, whereas derivatives in the other categories are admitted </w:t>
      </w:r>
      <w:r w:rsidR="0047665E">
        <w:rPr>
          <w:sz w:val="22"/>
          <w:szCs w:val="22"/>
        </w:rPr>
        <w:t>provided</w:t>
      </w:r>
      <w:r w:rsidRPr="00CB2979">
        <w:rPr>
          <w:sz w:val="22"/>
          <w:szCs w:val="22"/>
        </w:rPr>
        <w:t xml:space="preserve"> they conform to the requirements of the statement.</w:t>
      </w:r>
    </w:p>
    <w:p w14:paraId="2E989654" w14:textId="085C9328" w:rsidR="00F452E8" w:rsidRPr="00172C89" w:rsidRDefault="00F452E8" w:rsidP="00F452E8">
      <w:pPr>
        <w:pStyle w:val="BodyText2"/>
        <w:spacing w:after="220" w:line="240" w:lineRule="auto"/>
        <w:jc w:val="both"/>
        <w:rPr>
          <w:bCs/>
          <w:sz w:val="22"/>
          <w:szCs w:val="22"/>
        </w:rPr>
      </w:pPr>
    </w:p>
    <w:p w14:paraId="19ABB828" w14:textId="77777777" w:rsidR="00172C89" w:rsidRPr="00336028" w:rsidRDefault="00172C89" w:rsidP="00172C89">
      <w:pPr>
        <w:pStyle w:val="BodyText2"/>
        <w:numPr>
          <w:ilvl w:val="0"/>
          <w:numId w:val="43"/>
        </w:numPr>
        <w:spacing w:after="220" w:line="240" w:lineRule="auto"/>
        <w:ind w:left="0" w:firstLine="0"/>
        <w:jc w:val="both"/>
        <w:rPr>
          <w:sz w:val="22"/>
          <w:szCs w:val="22"/>
        </w:rPr>
      </w:pPr>
      <w:r w:rsidRPr="00336028">
        <w:rPr>
          <w:sz w:val="22"/>
          <w:szCs w:val="22"/>
        </w:rPr>
        <w:lastRenderedPageBreak/>
        <w:t>The accounting issues are:</w:t>
      </w:r>
    </w:p>
    <w:p w14:paraId="6BC48C54" w14:textId="6361797A" w:rsidR="00172C89" w:rsidRPr="00336028" w:rsidRDefault="00172C89" w:rsidP="00172C89">
      <w:pPr>
        <w:pStyle w:val="BodyText2"/>
        <w:numPr>
          <w:ilvl w:val="0"/>
          <w:numId w:val="46"/>
        </w:numPr>
        <w:spacing w:after="220" w:line="240" w:lineRule="auto"/>
        <w:ind w:left="1440" w:hanging="720"/>
        <w:jc w:val="both"/>
        <w:rPr>
          <w:sz w:val="22"/>
          <w:szCs w:val="22"/>
        </w:rPr>
      </w:pPr>
      <w:r w:rsidRPr="00336028">
        <w:rPr>
          <w:sz w:val="22"/>
          <w:szCs w:val="22"/>
        </w:rPr>
        <w:t xml:space="preserve">Issue 1: </w:t>
      </w:r>
      <w:r>
        <w:rPr>
          <w:sz w:val="22"/>
          <w:szCs w:val="22"/>
        </w:rPr>
        <w:t>How should EFFR/SOFR basis swaps be</w:t>
      </w:r>
      <w:r w:rsidR="007521D2">
        <w:rPr>
          <w:sz w:val="22"/>
          <w:szCs w:val="22"/>
        </w:rPr>
        <w:t xml:space="preserve"> classified and</w:t>
      </w:r>
      <w:r>
        <w:rPr>
          <w:sz w:val="22"/>
          <w:szCs w:val="22"/>
        </w:rPr>
        <w:t xml:space="preserve"> reported in the statutory financial statements</w:t>
      </w:r>
      <w:r w:rsidRPr="00336028">
        <w:rPr>
          <w:sz w:val="22"/>
          <w:szCs w:val="22"/>
        </w:rPr>
        <w:t>?</w:t>
      </w:r>
    </w:p>
    <w:p w14:paraId="6E485C63" w14:textId="4CD316EF" w:rsidR="00172C89" w:rsidRPr="00336028" w:rsidRDefault="00172C89" w:rsidP="00172C89">
      <w:pPr>
        <w:pStyle w:val="BodyText2"/>
        <w:numPr>
          <w:ilvl w:val="0"/>
          <w:numId w:val="46"/>
        </w:numPr>
        <w:spacing w:after="220" w:line="240" w:lineRule="auto"/>
        <w:ind w:left="1440" w:hanging="720"/>
        <w:jc w:val="both"/>
        <w:rPr>
          <w:sz w:val="22"/>
          <w:szCs w:val="22"/>
        </w:rPr>
      </w:pPr>
      <w:r w:rsidRPr="00336028">
        <w:rPr>
          <w:sz w:val="22"/>
          <w:szCs w:val="22"/>
        </w:rPr>
        <w:t xml:space="preserve">Issue 2: </w:t>
      </w:r>
      <w:r>
        <w:rPr>
          <w:sz w:val="22"/>
          <w:szCs w:val="22"/>
        </w:rPr>
        <w:t>How should EFFR/SOFR basis swaps</w:t>
      </w:r>
      <w:r w:rsidR="00A744ED">
        <w:rPr>
          <w:sz w:val="22"/>
          <w:szCs w:val="22"/>
        </w:rPr>
        <w:t xml:space="preserve"> be valued in the statutory financial statements</w:t>
      </w:r>
      <w:r w:rsidRPr="00336028">
        <w:rPr>
          <w:sz w:val="22"/>
          <w:szCs w:val="22"/>
        </w:rPr>
        <w:t>?</w:t>
      </w:r>
    </w:p>
    <w:p w14:paraId="5F517820" w14:textId="413CC781" w:rsidR="00172C89" w:rsidRPr="00336028" w:rsidRDefault="00172C89" w:rsidP="00172C89">
      <w:pPr>
        <w:pStyle w:val="Heading2"/>
        <w:spacing w:after="220"/>
        <w:jc w:val="left"/>
        <w:rPr>
          <w:b/>
          <w:sz w:val="22"/>
          <w:szCs w:val="22"/>
        </w:rPr>
      </w:pPr>
      <w:r w:rsidRPr="00336028">
        <w:rPr>
          <w:b/>
          <w:sz w:val="22"/>
          <w:szCs w:val="22"/>
        </w:rPr>
        <w:t>INT 20-0</w:t>
      </w:r>
      <w:r>
        <w:rPr>
          <w:b/>
          <w:sz w:val="22"/>
          <w:szCs w:val="22"/>
        </w:rPr>
        <w:t>9</w:t>
      </w:r>
      <w:r w:rsidR="00814053">
        <w:rPr>
          <w:b/>
          <w:sz w:val="22"/>
          <w:szCs w:val="22"/>
        </w:rPr>
        <w:t>T</w:t>
      </w:r>
      <w:r w:rsidRPr="00336028">
        <w:rPr>
          <w:b/>
          <w:sz w:val="22"/>
          <w:szCs w:val="22"/>
        </w:rPr>
        <w:t xml:space="preserve"> Discussion</w:t>
      </w:r>
    </w:p>
    <w:p w14:paraId="753E6952" w14:textId="195BC307" w:rsidR="00022D04" w:rsidRPr="00F92B45" w:rsidRDefault="00172C89" w:rsidP="00E035BD">
      <w:pPr>
        <w:pStyle w:val="BodyText2"/>
        <w:numPr>
          <w:ilvl w:val="0"/>
          <w:numId w:val="43"/>
        </w:numPr>
        <w:spacing w:after="220" w:line="240" w:lineRule="auto"/>
        <w:ind w:left="0" w:firstLine="0"/>
        <w:jc w:val="both"/>
        <w:rPr>
          <w:bCs/>
          <w:sz w:val="22"/>
          <w:szCs w:val="22"/>
        </w:rPr>
      </w:pPr>
      <w:r w:rsidRPr="00F92B45">
        <w:rPr>
          <w:sz w:val="22"/>
          <w:szCs w:val="22"/>
        </w:rPr>
        <w:t xml:space="preserve">For Issue 1, </w:t>
      </w:r>
      <w:r w:rsidR="00BB4DB5">
        <w:rPr>
          <w:sz w:val="22"/>
          <w:szCs w:val="22"/>
        </w:rPr>
        <w:t xml:space="preserve">the </w:t>
      </w:r>
      <w:r w:rsidR="00CB2979" w:rsidRPr="00F92B45">
        <w:rPr>
          <w:sz w:val="22"/>
          <w:szCs w:val="22"/>
        </w:rPr>
        <w:t>Working Group</w:t>
      </w:r>
      <w:r w:rsidR="00881D0D">
        <w:rPr>
          <w:sz w:val="22"/>
          <w:szCs w:val="22"/>
        </w:rPr>
        <w:t xml:space="preserve"> reached a tentative consensus </w:t>
      </w:r>
      <w:r w:rsidR="00CB2979" w:rsidRPr="00F92B45">
        <w:rPr>
          <w:sz w:val="22"/>
          <w:szCs w:val="22"/>
        </w:rPr>
        <w:t xml:space="preserve">that </w:t>
      </w:r>
      <w:r w:rsidR="00BB4DB5">
        <w:rPr>
          <w:sz w:val="22"/>
          <w:szCs w:val="22"/>
        </w:rPr>
        <w:t xml:space="preserve">mandatory </w:t>
      </w:r>
      <w:r w:rsidR="00CB2979" w:rsidRPr="00F92B45">
        <w:rPr>
          <w:sz w:val="22"/>
          <w:szCs w:val="22"/>
        </w:rPr>
        <w:t xml:space="preserve">basis swaps issued by </w:t>
      </w:r>
      <w:r w:rsidR="00022D04">
        <w:rPr>
          <w:sz w:val="22"/>
          <w:szCs w:val="22"/>
        </w:rPr>
        <w:t>CCPs</w:t>
      </w:r>
      <w:r w:rsidR="005D5A11">
        <w:rPr>
          <w:sz w:val="22"/>
          <w:szCs w:val="22"/>
        </w:rPr>
        <w:t>,</w:t>
      </w:r>
      <w:r w:rsidR="00CB2979" w:rsidRPr="00F92B45">
        <w:rPr>
          <w:sz w:val="22"/>
          <w:szCs w:val="22"/>
        </w:rPr>
        <w:t xml:space="preserve"> in response to reference rate reform</w:t>
      </w:r>
      <w:r w:rsidR="005D5A11">
        <w:rPr>
          <w:sz w:val="22"/>
          <w:szCs w:val="22"/>
        </w:rPr>
        <w:t>,</w:t>
      </w:r>
      <w:r w:rsidR="00CB2979" w:rsidRPr="00F92B45">
        <w:rPr>
          <w:sz w:val="22"/>
          <w:szCs w:val="22"/>
        </w:rPr>
        <w:t xml:space="preserve"> shall</w:t>
      </w:r>
      <w:r w:rsidR="00C360BC" w:rsidRPr="00F92B45">
        <w:rPr>
          <w:sz w:val="22"/>
          <w:szCs w:val="22"/>
        </w:rPr>
        <w:t xml:space="preserve"> </w:t>
      </w:r>
      <w:r w:rsidR="00CB2979" w:rsidRPr="00F92B45">
        <w:rPr>
          <w:sz w:val="22"/>
          <w:szCs w:val="22"/>
        </w:rPr>
        <w:t xml:space="preserve">be classified as a derivative used for “hedging.” </w:t>
      </w:r>
      <w:r w:rsidR="00E64475">
        <w:rPr>
          <w:sz w:val="22"/>
          <w:szCs w:val="22"/>
        </w:rPr>
        <w:t>In</w:t>
      </w:r>
      <w:r w:rsidR="00CB2979" w:rsidRPr="00F92B45">
        <w:rPr>
          <w:sz w:val="22"/>
          <w:szCs w:val="22"/>
        </w:rPr>
        <w:t xml:space="preserve"> collaboration with industry representatives, Working Group support staff has confirmed that a significant majority of the derivatives transacted through a CCP meet the definition of a hedging transaction. By using this </w:t>
      </w:r>
      <w:r w:rsidR="00022D04">
        <w:rPr>
          <w:sz w:val="22"/>
          <w:szCs w:val="22"/>
        </w:rPr>
        <w:t xml:space="preserve">“used for hedging” </w:t>
      </w:r>
      <w:r w:rsidR="00CB2979" w:rsidRPr="00F92B45">
        <w:rPr>
          <w:sz w:val="22"/>
          <w:szCs w:val="22"/>
        </w:rPr>
        <w:t>classification, instead of an “other derivative”</w:t>
      </w:r>
      <w:r w:rsidR="00E64475">
        <w:rPr>
          <w:sz w:val="22"/>
          <w:szCs w:val="22"/>
        </w:rPr>
        <w:t xml:space="preserve"> classification,</w:t>
      </w:r>
      <w:r w:rsidR="00CB2979" w:rsidRPr="00F92B45">
        <w:rPr>
          <w:sz w:val="22"/>
          <w:szCs w:val="22"/>
        </w:rPr>
        <w:t xml:space="preserve"> the </w:t>
      </w:r>
      <w:r w:rsidR="00022D04">
        <w:rPr>
          <w:sz w:val="22"/>
          <w:szCs w:val="22"/>
        </w:rPr>
        <w:t xml:space="preserve">basis swap </w:t>
      </w:r>
      <w:r w:rsidR="00CB2979" w:rsidRPr="00F92B45">
        <w:rPr>
          <w:sz w:val="22"/>
          <w:szCs w:val="22"/>
        </w:rPr>
        <w:t xml:space="preserve">derivative received </w:t>
      </w:r>
      <w:r w:rsidR="00F366D0">
        <w:rPr>
          <w:sz w:val="22"/>
          <w:szCs w:val="22"/>
        </w:rPr>
        <w:t>will</w:t>
      </w:r>
      <w:r w:rsidR="00CB2979" w:rsidRPr="00F92B45">
        <w:rPr>
          <w:sz w:val="22"/>
          <w:szCs w:val="22"/>
        </w:rPr>
        <w:t xml:space="preserve"> be admitted under SSAP No. 86.</w:t>
      </w:r>
      <w:r w:rsidR="00BB4DB5">
        <w:rPr>
          <w:sz w:val="22"/>
          <w:szCs w:val="22"/>
        </w:rPr>
        <w:t xml:space="preserve"> </w:t>
      </w:r>
    </w:p>
    <w:p w14:paraId="14E7B4F5" w14:textId="08C085D3" w:rsidR="00A17CA6" w:rsidRPr="00C30124" w:rsidRDefault="005D5A11" w:rsidP="00C30124">
      <w:pPr>
        <w:pStyle w:val="BodyText2"/>
        <w:numPr>
          <w:ilvl w:val="0"/>
          <w:numId w:val="43"/>
        </w:numPr>
        <w:spacing w:after="220" w:line="276" w:lineRule="auto"/>
        <w:ind w:left="0" w:firstLine="0"/>
        <w:jc w:val="both"/>
        <w:rPr>
          <w:b/>
          <w:sz w:val="22"/>
          <w:szCs w:val="22"/>
        </w:rPr>
      </w:pPr>
      <w:r w:rsidRPr="00C30124">
        <w:rPr>
          <w:sz w:val="22"/>
          <w:szCs w:val="22"/>
        </w:rPr>
        <w:t xml:space="preserve">For Issue 2, </w:t>
      </w:r>
      <w:r w:rsidR="00E64475" w:rsidRPr="00C30124">
        <w:rPr>
          <w:sz w:val="22"/>
          <w:szCs w:val="22"/>
        </w:rPr>
        <w:t xml:space="preserve">the </w:t>
      </w:r>
      <w:r w:rsidRPr="00C30124">
        <w:rPr>
          <w:sz w:val="22"/>
          <w:szCs w:val="22"/>
        </w:rPr>
        <w:t xml:space="preserve">Working Group </w:t>
      </w:r>
      <w:r w:rsidR="00FA04AA" w:rsidRPr="00C30124">
        <w:rPr>
          <w:sz w:val="22"/>
          <w:szCs w:val="22"/>
        </w:rPr>
        <w:t xml:space="preserve">reached a tentative consensus that </w:t>
      </w:r>
      <w:bookmarkStart w:id="0" w:name="_Hlk45525189"/>
      <w:r w:rsidR="00185558" w:rsidRPr="00C30124">
        <w:rPr>
          <w:sz w:val="22"/>
          <w:szCs w:val="22"/>
        </w:rPr>
        <w:t xml:space="preserve">although the instrument </w:t>
      </w:r>
      <w:r w:rsidR="00E64475" w:rsidRPr="00C30124">
        <w:rPr>
          <w:sz w:val="22"/>
          <w:szCs w:val="22"/>
        </w:rPr>
        <w:t>shall be</w:t>
      </w:r>
      <w:r w:rsidR="00185558" w:rsidRPr="00C30124">
        <w:rPr>
          <w:sz w:val="22"/>
          <w:szCs w:val="22"/>
        </w:rPr>
        <w:t xml:space="preserve"> considered a hedging derivative, the instrument shall not be considered or reported as a</w:t>
      </w:r>
      <w:r w:rsidR="00E64475" w:rsidRPr="00C30124">
        <w:rPr>
          <w:sz w:val="22"/>
          <w:szCs w:val="22"/>
        </w:rPr>
        <w:t>n</w:t>
      </w:r>
      <w:r w:rsidR="00185558" w:rsidRPr="00C30124">
        <w:rPr>
          <w:sz w:val="22"/>
          <w:szCs w:val="22"/>
        </w:rPr>
        <w:t xml:space="preserve"> “effective” hedging derivative (using the “hedge accounting” measurement approach permitted in SSAP No. 86)</w:t>
      </w:r>
      <w:r w:rsidR="00892C4F" w:rsidRPr="00C30124">
        <w:rPr>
          <w:sz w:val="22"/>
          <w:szCs w:val="22"/>
        </w:rPr>
        <w:t>,</w:t>
      </w:r>
      <w:r w:rsidR="00185558" w:rsidRPr="00C30124">
        <w:rPr>
          <w:sz w:val="22"/>
          <w:szCs w:val="22"/>
        </w:rPr>
        <w:t xml:space="preserve"> unless the instrument qualifies, with the required documentation, as a highly effective hedge under SSAP No. 86. Unless the effective hedge requirements are met, the instruments shall be reported on Schedule DB, utilizing the category of “Hedging Other.” Pursuant to the guidance in SSAP No. 86, if the </w:t>
      </w:r>
      <w:r w:rsidR="00022D04" w:rsidRPr="00C30124">
        <w:rPr>
          <w:sz w:val="22"/>
          <w:szCs w:val="22"/>
        </w:rPr>
        <w:t xml:space="preserve">basis swap </w:t>
      </w:r>
      <w:r w:rsidR="00185558" w:rsidRPr="00C30124">
        <w:rPr>
          <w:sz w:val="22"/>
          <w:szCs w:val="22"/>
        </w:rPr>
        <w:t xml:space="preserve">derivative is not an effective hedge, the derivative shall be accounted for at fair value and the changes in fair value shall be recorded as unrealized gains or unrealized losses (referred to as fair value accounting.) </w:t>
      </w:r>
    </w:p>
    <w:p w14:paraId="218953E8" w14:textId="1815D1B4" w:rsidR="00A17CA6" w:rsidRDefault="00A17CA6" w:rsidP="00A17CA6">
      <w:pPr>
        <w:pStyle w:val="Default"/>
        <w:spacing w:line="276" w:lineRule="auto"/>
        <w:jc w:val="both"/>
        <w:rPr>
          <w:b/>
          <w:sz w:val="22"/>
          <w:szCs w:val="22"/>
        </w:rPr>
      </w:pPr>
      <w:r w:rsidRPr="00336028">
        <w:rPr>
          <w:b/>
          <w:sz w:val="22"/>
          <w:szCs w:val="22"/>
        </w:rPr>
        <w:t>INT 20-0</w:t>
      </w:r>
      <w:r>
        <w:rPr>
          <w:b/>
          <w:sz w:val="22"/>
          <w:szCs w:val="22"/>
        </w:rPr>
        <w:t>9T</w:t>
      </w:r>
      <w:r w:rsidRPr="00336028">
        <w:rPr>
          <w:b/>
          <w:sz w:val="22"/>
          <w:szCs w:val="22"/>
        </w:rPr>
        <w:t xml:space="preserve"> Status</w:t>
      </w:r>
    </w:p>
    <w:p w14:paraId="181AB0CC" w14:textId="77777777" w:rsidR="00A17CA6" w:rsidRDefault="00A17CA6" w:rsidP="00A17CA6">
      <w:pPr>
        <w:pStyle w:val="Default"/>
        <w:spacing w:line="276" w:lineRule="auto"/>
        <w:jc w:val="both"/>
        <w:rPr>
          <w:sz w:val="22"/>
          <w:szCs w:val="22"/>
        </w:rPr>
      </w:pPr>
    </w:p>
    <w:p w14:paraId="009D0D04" w14:textId="30CD0241" w:rsidR="00892C4F" w:rsidRPr="00A17CA6" w:rsidRDefault="00A17CA6" w:rsidP="00E035BD">
      <w:pPr>
        <w:pStyle w:val="BodyText2"/>
        <w:numPr>
          <w:ilvl w:val="0"/>
          <w:numId w:val="50"/>
        </w:numPr>
        <w:tabs>
          <w:tab w:val="left" w:pos="6255"/>
        </w:tabs>
        <w:spacing w:after="220" w:line="240" w:lineRule="auto"/>
        <w:rPr>
          <w:b/>
          <w:sz w:val="22"/>
          <w:szCs w:val="22"/>
        </w:rPr>
      </w:pPr>
      <w:r w:rsidRPr="00A17CA6">
        <w:rPr>
          <w:sz w:val="22"/>
          <w:szCs w:val="22"/>
        </w:rPr>
        <w:t>Further discussion is anticipated.</w:t>
      </w:r>
      <w:bookmarkEnd w:id="0"/>
    </w:p>
    <w:p w14:paraId="38D08B62" w14:textId="49F5C15C" w:rsidR="00856762" w:rsidRPr="00336028" w:rsidRDefault="00783CA8" w:rsidP="00783CA8">
      <w:pPr>
        <w:pStyle w:val="Heading2"/>
        <w:tabs>
          <w:tab w:val="left" w:pos="6255"/>
        </w:tabs>
        <w:spacing w:after="220"/>
        <w:jc w:val="left"/>
        <w:rPr>
          <w:b/>
          <w:sz w:val="22"/>
          <w:szCs w:val="22"/>
        </w:rPr>
      </w:pPr>
      <w:r>
        <w:rPr>
          <w:b/>
          <w:sz w:val="22"/>
          <w:szCs w:val="22"/>
        </w:rPr>
        <w:tab/>
      </w:r>
    </w:p>
    <w:p w14:paraId="678AEA7D" w14:textId="3AF935DB" w:rsidR="006F5FA8" w:rsidRDefault="006F5FA8" w:rsidP="006F5FA8">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BB3B6A">
        <w:rPr>
          <w:noProof/>
          <w:sz w:val="16"/>
          <w:szCs w:val="16"/>
        </w:rPr>
        <w:t>G:\FRS\DATA\Stat Acctg\1. Statutory\A. Maintenance\a. Form A\1. Active Form A's\2020\INT 20-09T - Basis Swaps - LIBOR Transition.docx</w:t>
      </w:r>
      <w:r w:rsidRPr="000579B6">
        <w:rPr>
          <w:sz w:val="16"/>
          <w:szCs w:val="16"/>
        </w:rPr>
        <w:fldChar w:fldCharType="end"/>
      </w:r>
    </w:p>
    <w:p w14:paraId="2653395A" w14:textId="77777777" w:rsidR="006F5FA8" w:rsidRPr="00336028" w:rsidRDefault="006F5FA8" w:rsidP="006F5FA8">
      <w:pPr>
        <w:pStyle w:val="ListNumber"/>
        <w:numPr>
          <w:ilvl w:val="0"/>
          <w:numId w:val="0"/>
        </w:numPr>
        <w:spacing w:after="220"/>
        <w:ind w:left="360" w:hanging="360"/>
        <w:jc w:val="both"/>
        <w:rPr>
          <w:sz w:val="22"/>
          <w:szCs w:val="22"/>
        </w:rPr>
      </w:pPr>
    </w:p>
    <w:sectPr w:rsidR="006F5FA8" w:rsidRPr="00336028" w:rsidSect="00DC2BA7">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79AE5" w14:textId="77777777" w:rsidR="006D0F3E" w:rsidRDefault="006D0F3E">
      <w:r>
        <w:separator/>
      </w:r>
    </w:p>
  </w:endnote>
  <w:endnote w:type="continuationSeparator" w:id="0">
    <w:p w14:paraId="5B78FFAB" w14:textId="77777777" w:rsidR="006D0F3E" w:rsidRDefault="006D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AD2C4" w14:textId="5FA69E3A" w:rsidR="006D0F3E" w:rsidRPr="00DC2BA7" w:rsidRDefault="006D0F3E" w:rsidP="00DC2BA7">
    <w:pPr>
      <w:pStyle w:val="Footer"/>
      <w:tabs>
        <w:tab w:val="clear" w:pos="4320"/>
        <w:tab w:val="center" w:pos="5040"/>
      </w:tabs>
      <w:rPr>
        <w:sz w:val="18"/>
        <w:szCs w:val="18"/>
      </w:rPr>
    </w:pPr>
    <w:r w:rsidRPr="00DC2BA7">
      <w:rPr>
        <w:sz w:val="18"/>
        <w:szCs w:val="18"/>
      </w:rPr>
      <w:t>© 2020 National Association of Insurance Commissioners</w:t>
    </w:r>
    <w:r w:rsidRPr="00DC2BA7">
      <w:rPr>
        <w:sz w:val="18"/>
        <w:szCs w:val="18"/>
      </w:rPr>
      <w:tab/>
      <w:t>20-0</w:t>
    </w:r>
    <w:r>
      <w:rPr>
        <w:sz w:val="18"/>
        <w:szCs w:val="18"/>
      </w:rPr>
      <w:t>9T</w:t>
    </w:r>
    <w:r w:rsidRPr="00DC2BA7">
      <w:rPr>
        <w:sz w:val="18"/>
        <w:szCs w:val="18"/>
      </w:rPr>
      <w:t>-</w:t>
    </w:r>
    <w:r w:rsidRPr="00DC2BA7">
      <w:rPr>
        <w:rStyle w:val="PageNumber"/>
        <w:sz w:val="18"/>
        <w:szCs w:val="18"/>
      </w:rPr>
      <w:fldChar w:fldCharType="begin"/>
    </w:r>
    <w:r w:rsidRPr="00DC2BA7">
      <w:rPr>
        <w:rStyle w:val="PageNumber"/>
        <w:sz w:val="18"/>
        <w:szCs w:val="18"/>
      </w:rPr>
      <w:instrText xml:space="preserve"> PAGE </w:instrText>
    </w:r>
    <w:r w:rsidRPr="00DC2BA7">
      <w:rPr>
        <w:rStyle w:val="PageNumber"/>
        <w:sz w:val="18"/>
        <w:szCs w:val="18"/>
      </w:rPr>
      <w:fldChar w:fldCharType="separate"/>
    </w:r>
    <w:r>
      <w:rPr>
        <w:rStyle w:val="PageNumber"/>
        <w:sz w:val="18"/>
        <w:szCs w:val="18"/>
      </w:rPr>
      <w:t>1</w:t>
    </w:r>
    <w:r w:rsidRPr="00DC2BA7">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6AE3A" w14:textId="0B56D7F2" w:rsidR="006D0F3E" w:rsidRPr="00DC2BA7" w:rsidRDefault="006D0F3E" w:rsidP="00DC2BA7">
    <w:pPr>
      <w:pStyle w:val="Footer"/>
      <w:tabs>
        <w:tab w:val="clear" w:pos="4320"/>
        <w:tab w:val="center" w:pos="5040"/>
      </w:tabs>
      <w:rPr>
        <w:sz w:val="18"/>
        <w:szCs w:val="18"/>
      </w:rPr>
    </w:pPr>
    <w:r w:rsidRPr="00DC2BA7">
      <w:rPr>
        <w:sz w:val="18"/>
        <w:szCs w:val="18"/>
      </w:rPr>
      <w:t>© 2020 National Association of Insurance Commissioners</w:t>
    </w:r>
    <w:r w:rsidRPr="00DC2BA7">
      <w:rPr>
        <w:sz w:val="18"/>
        <w:szCs w:val="18"/>
      </w:rPr>
      <w:tab/>
      <w:t>20-01-</w:t>
    </w:r>
    <w:r w:rsidRPr="00DC2BA7">
      <w:rPr>
        <w:rStyle w:val="PageNumber"/>
        <w:sz w:val="18"/>
        <w:szCs w:val="18"/>
      </w:rPr>
      <w:fldChar w:fldCharType="begin"/>
    </w:r>
    <w:r w:rsidRPr="00DC2BA7">
      <w:rPr>
        <w:rStyle w:val="PageNumber"/>
        <w:sz w:val="18"/>
        <w:szCs w:val="18"/>
      </w:rPr>
      <w:instrText xml:space="preserve"> PAGE </w:instrText>
    </w:r>
    <w:r w:rsidRPr="00DC2BA7">
      <w:rPr>
        <w:rStyle w:val="PageNumber"/>
        <w:sz w:val="18"/>
        <w:szCs w:val="18"/>
      </w:rPr>
      <w:fldChar w:fldCharType="separate"/>
    </w:r>
    <w:r>
      <w:rPr>
        <w:rStyle w:val="PageNumber"/>
        <w:sz w:val="18"/>
        <w:szCs w:val="18"/>
      </w:rPr>
      <w:t>1</w:t>
    </w:r>
    <w:r w:rsidRPr="00DC2BA7">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9505" w14:textId="6FC2B54D" w:rsidR="006D0F3E" w:rsidRPr="00DC2BA7" w:rsidRDefault="006D0F3E" w:rsidP="00DC2BA7">
    <w:pPr>
      <w:pStyle w:val="Footer"/>
      <w:tabs>
        <w:tab w:val="clear" w:pos="4320"/>
        <w:tab w:val="center" w:pos="5040"/>
      </w:tabs>
      <w:rPr>
        <w:sz w:val="18"/>
        <w:szCs w:val="18"/>
      </w:rPr>
    </w:pPr>
    <w:r w:rsidRPr="00DC2BA7">
      <w:rPr>
        <w:sz w:val="18"/>
        <w:szCs w:val="18"/>
      </w:rPr>
      <w:t>© 2020 National Association of Insurance Commissioners</w:t>
    </w:r>
    <w:r w:rsidRPr="00DC2BA7">
      <w:rPr>
        <w:sz w:val="18"/>
        <w:szCs w:val="18"/>
      </w:rPr>
      <w:tab/>
      <w:t>20-0</w:t>
    </w:r>
    <w:r>
      <w:rPr>
        <w:sz w:val="18"/>
        <w:szCs w:val="18"/>
      </w:rPr>
      <w:t>9T</w:t>
    </w:r>
    <w:r w:rsidRPr="00DC2BA7">
      <w:rPr>
        <w:sz w:val="18"/>
        <w:szCs w:val="18"/>
      </w:rPr>
      <w:t>-</w:t>
    </w:r>
    <w:r w:rsidRPr="00DC2BA7">
      <w:rPr>
        <w:rStyle w:val="PageNumber"/>
        <w:sz w:val="18"/>
        <w:szCs w:val="18"/>
      </w:rPr>
      <w:fldChar w:fldCharType="begin"/>
    </w:r>
    <w:r w:rsidRPr="00DC2BA7">
      <w:rPr>
        <w:rStyle w:val="PageNumber"/>
        <w:sz w:val="18"/>
        <w:szCs w:val="18"/>
      </w:rPr>
      <w:instrText xml:space="preserve"> PAGE </w:instrText>
    </w:r>
    <w:r w:rsidRPr="00DC2BA7">
      <w:rPr>
        <w:rStyle w:val="PageNumber"/>
        <w:sz w:val="18"/>
        <w:szCs w:val="18"/>
      </w:rPr>
      <w:fldChar w:fldCharType="separate"/>
    </w:r>
    <w:r w:rsidRPr="00DC2BA7">
      <w:rPr>
        <w:rStyle w:val="PageNumber"/>
        <w:sz w:val="18"/>
        <w:szCs w:val="18"/>
      </w:rPr>
      <w:t>1</w:t>
    </w:r>
    <w:r w:rsidRPr="00DC2BA7">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B655C" w14:textId="77777777" w:rsidR="006D0F3E" w:rsidRDefault="006D0F3E">
      <w:r>
        <w:separator/>
      </w:r>
    </w:p>
  </w:footnote>
  <w:footnote w:type="continuationSeparator" w:id="0">
    <w:p w14:paraId="7528D314" w14:textId="77777777" w:rsidR="006D0F3E" w:rsidRDefault="006D0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D44BE" w14:textId="1A396554" w:rsidR="006D0F3E" w:rsidRPr="00F153AB" w:rsidRDefault="006D0F3E" w:rsidP="00DC2BA7">
    <w:pPr>
      <w:pStyle w:val="Header"/>
      <w:tabs>
        <w:tab w:val="clear" w:pos="4320"/>
        <w:tab w:val="clear" w:pos="8640"/>
        <w:tab w:val="center" w:pos="5040"/>
      </w:tabs>
      <w:spacing w:after="220"/>
      <w:rPr>
        <w:b/>
        <w:sz w:val="18"/>
        <w:szCs w:val="18"/>
      </w:rPr>
    </w:pPr>
    <w:r w:rsidRPr="00F153AB">
      <w:rPr>
        <w:b/>
        <w:sz w:val="18"/>
        <w:szCs w:val="18"/>
      </w:rPr>
      <w:t>I</w:t>
    </w:r>
    <w:r>
      <w:rPr>
        <w:b/>
        <w:sz w:val="18"/>
        <w:szCs w:val="18"/>
      </w:rPr>
      <w:t>NT 20-09T</w:t>
    </w:r>
    <w:r>
      <w:rPr>
        <w:b/>
        <w:sz w:val="18"/>
        <w:szCs w:val="18"/>
      </w:rPr>
      <w:tab/>
      <w:t>Appendix B</w:t>
    </w:r>
    <w:r>
      <w:rPr>
        <w:b/>
        <w:sz w:val="18"/>
        <w:szCs w:val="18"/>
      </w:rPr>
      <w:tab/>
    </w:r>
    <w:r>
      <w:rPr>
        <w:b/>
        <w:sz w:val="18"/>
        <w:szCs w:val="18"/>
      </w:rPr>
      <w:tab/>
    </w:r>
    <w:r>
      <w:rPr>
        <w:b/>
        <w:sz w:val="18"/>
        <w:szCs w:val="18"/>
      </w:rPr>
      <w:tab/>
    </w:r>
    <w:r>
      <w:rPr>
        <w:b/>
        <w:sz w:val="18"/>
        <w:szCs w:val="18"/>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668B4" w14:textId="141F6C53" w:rsidR="006D0F3E" w:rsidRPr="00F95093" w:rsidRDefault="006D0F3E" w:rsidP="00F95093">
    <w:pPr>
      <w:pStyle w:val="Header"/>
      <w:jc w:val="right"/>
      <w:rPr>
        <w:b/>
        <w:bCs/>
        <w:sz w:val="20"/>
        <w:szCs w:val="20"/>
      </w:rPr>
    </w:pPr>
    <w:r>
      <w:rPr>
        <w:b/>
      </w:rPr>
      <w:tab/>
    </w:r>
  </w:p>
  <w:p w14:paraId="3FFD7D33" w14:textId="43A64C2A" w:rsidR="006D0F3E" w:rsidRPr="00F153AB" w:rsidRDefault="006D0F3E" w:rsidP="00DC2BA7">
    <w:pPr>
      <w:pStyle w:val="Header"/>
      <w:tabs>
        <w:tab w:val="clear" w:pos="4320"/>
        <w:tab w:val="clear" w:pos="8640"/>
        <w:tab w:val="center" w:pos="4680"/>
        <w:tab w:val="right" w:pos="10080"/>
      </w:tabs>
      <w:spacing w:after="220"/>
      <w:rPr>
        <w:sz w:val="18"/>
        <w:szCs w:val="18"/>
      </w:rPr>
    </w:pPr>
    <w:r>
      <w:rPr>
        <w:b/>
        <w:sz w:val="18"/>
        <w:szCs w:val="18"/>
      </w:rPr>
      <w:tab/>
    </w:r>
    <w:r w:rsidRPr="00496BDC">
      <w:rPr>
        <w:b/>
        <w:sz w:val="18"/>
        <w:szCs w:val="18"/>
      </w:rPr>
      <w:t>ASU 2020-04 - Reference Rate Reform</w:t>
    </w:r>
    <w:r w:rsidRPr="00F153AB">
      <w:rPr>
        <w:b/>
        <w:sz w:val="18"/>
        <w:szCs w:val="18"/>
      </w:rPr>
      <w:tab/>
      <w:t xml:space="preserve">INT </w:t>
    </w:r>
    <w:r>
      <w:rPr>
        <w:b/>
        <w:sz w:val="18"/>
        <w:szCs w:val="18"/>
      </w:rPr>
      <w:t>20-01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41BF1" w14:textId="4C0F1958" w:rsidR="006D0F3E" w:rsidRPr="00F95093" w:rsidRDefault="006D0F3E" w:rsidP="00F95093">
    <w:pPr>
      <w:pStyle w:val="Header"/>
      <w:jc w:val="right"/>
      <w:rPr>
        <w:b/>
        <w:bCs/>
        <w:sz w:val="20"/>
        <w:szCs w:val="20"/>
      </w:rPr>
    </w:pPr>
    <w:r>
      <w:rPr>
        <w:b/>
        <w:bCs/>
        <w:sz w:val="20"/>
        <w:szCs w:val="20"/>
      </w:rPr>
      <w:t>INT 20-09T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48A10C4"/>
    <w:lvl w:ilvl="0">
      <w:start w:val="1"/>
      <w:numFmt w:val="decimal"/>
      <w:pStyle w:val="ListNumber"/>
      <w:lvlText w:val="%1."/>
      <w:lvlJc w:val="left"/>
      <w:pPr>
        <w:tabs>
          <w:tab w:val="num" w:pos="360"/>
        </w:tabs>
        <w:ind w:left="360" w:hanging="360"/>
      </w:pPr>
    </w:lvl>
  </w:abstractNum>
  <w:abstractNum w:abstractNumId="1" w15:restartNumberingAfterBreak="0">
    <w:nsid w:val="0BC23B76"/>
    <w:multiLevelType w:val="hybridMultilevel"/>
    <w:tmpl w:val="25CA18D2"/>
    <w:lvl w:ilvl="0" w:tplc="AF968BE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373CC"/>
    <w:multiLevelType w:val="singleLevel"/>
    <w:tmpl w:val="B7EA226C"/>
    <w:lvl w:ilvl="0">
      <w:start w:val="7"/>
      <w:numFmt w:val="decimal"/>
      <w:lvlText w:val="%1."/>
      <w:lvlJc w:val="left"/>
      <w:pPr>
        <w:tabs>
          <w:tab w:val="num" w:pos="540"/>
        </w:tabs>
        <w:ind w:left="540" w:hanging="540"/>
      </w:pPr>
      <w:rPr>
        <w:rFonts w:hint="default"/>
        <w:b w:val="0"/>
      </w:rPr>
    </w:lvl>
  </w:abstractNum>
  <w:abstractNum w:abstractNumId="3" w15:restartNumberingAfterBreak="0">
    <w:nsid w:val="0D384A7C"/>
    <w:multiLevelType w:val="hybridMultilevel"/>
    <w:tmpl w:val="D39229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55E4F"/>
    <w:multiLevelType w:val="singleLevel"/>
    <w:tmpl w:val="0FEAF36E"/>
    <w:lvl w:ilvl="0">
      <w:start w:val="8"/>
      <w:numFmt w:val="decimal"/>
      <w:lvlText w:val="%1."/>
      <w:lvlJc w:val="left"/>
      <w:pPr>
        <w:tabs>
          <w:tab w:val="num" w:pos="540"/>
        </w:tabs>
        <w:ind w:left="540" w:hanging="540"/>
      </w:pPr>
      <w:rPr>
        <w:rFonts w:hint="default"/>
        <w:b w:val="0"/>
      </w:rPr>
    </w:lvl>
  </w:abstractNum>
  <w:abstractNum w:abstractNumId="5" w15:restartNumberingAfterBreak="0">
    <w:nsid w:val="14D56F4F"/>
    <w:multiLevelType w:val="hybridMultilevel"/>
    <w:tmpl w:val="055846CE"/>
    <w:lvl w:ilvl="0" w:tplc="4F8623D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0DF36BD"/>
    <w:multiLevelType w:val="hybridMultilevel"/>
    <w:tmpl w:val="635080F8"/>
    <w:lvl w:ilvl="0" w:tplc="A8E863D6">
      <w:start w:val="1"/>
      <w:numFmt w:val="lowerLetter"/>
      <w:lvlText w:val="%1."/>
      <w:lvlJc w:val="left"/>
      <w:pPr>
        <w:ind w:left="2160" w:hanging="360"/>
      </w:pPr>
      <w:rPr>
        <w:rFonts w:ascii="Arial" w:hAnsi="Arial" w:hint="default"/>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776195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B0D479E"/>
    <w:multiLevelType w:val="hybridMultilevel"/>
    <w:tmpl w:val="5D1089B4"/>
    <w:lvl w:ilvl="0" w:tplc="C33A407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CD8214A"/>
    <w:multiLevelType w:val="hybridMultilevel"/>
    <w:tmpl w:val="D3087DF0"/>
    <w:lvl w:ilvl="0" w:tplc="4F8623D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35165CF2"/>
    <w:multiLevelType w:val="hybridMultilevel"/>
    <w:tmpl w:val="FE14E41A"/>
    <w:lvl w:ilvl="0" w:tplc="50E6F114">
      <w:start w:val="1"/>
      <w:numFmt w:val="lowerLetter"/>
      <w:lvlText w:val="%1."/>
      <w:lvlJc w:val="left"/>
      <w:pPr>
        <w:tabs>
          <w:tab w:val="num" w:pos="72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2B6867"/>
    <w:multiLevelType w:val="hybridMultilevel"/>
    <w:tmpl w:val="B7D870D4"/>
    <w:lvl w:ilvl="0" w:tplc="199E06F2">
      <w:start w:val="6"/>
      <w:numFmt w:val="decimal"/>
      <w:lvlText w:val="%1."/>
      <w:lvlJc w:val="left"/>
      <w:pPr>
        <w:tabs>
          <w:tab w:val="num" w:pos="1440"/>
        </w:tabs>
        <w:ind w:left="1440" w:hanging="720"/>
      </w:pPr>
      <w:rPr>
        <w:rFonts w:hint="default"/>
      </w:rPr>
    </w:lvl>
    <w:lvl w:ilvl="1" w:tplc="E698F39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E53387B"/>
    <w:multiLevelType w:val="hybridMultilevel"/>
    <w:tmpl w:val="FE989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3318F3"/>
    <w:multiLevelType w:val="hybridMultilevel"/>
    <w:tmpl w:val="08DC2EF0"/>
    <w:lvl w:ilvl="0" w:tplc="417A44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97211D"/>
    <w:multiLevelType w:val="hybridMultilevel"/>
    <w:tmpl w:val="2FC295D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02576D"/>
    <w:multiLevelType w:val="hybridMultilevel"/>
    <w:tmpl w:val="49EC30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45B3D9C"/>
    <w:multiLevelType w:val="hybridMultilevel"/>
    <w:tmpl w:val="6FCC7698"/>
    <w:lvl w:ilvl="0" w:tplc="4F8623D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667E4639"/>
    <w:multiLevelType w:val="hybridMultilevel"/>
    <w:tmpl w:val="E92E5268"/>
    <w:lvl w:ilvl="0" w:tplc="68C25D04">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153721"/>
    <w:multiLevelType w:val="singleLevel"/>
    <w:tmpl w:val="B7EA226C"/>
    <w:lvl w:ilvl="0">
      <w:start w:val="7"/>
      <w:numFmt w:val="decimal"/>
      <w:lvlText w:val="%1."/>
      <w:lvlJc w:val="left"/>
      <w:pPr>
        <w:tabs>
          <w:tab w:val="num" w:pos="540"/>
        </w:tabs>
        <w:ind w:left="540" w:hanging="540"/>
      </w:pPr>
      <w:rPr>
        <w:rFonts w:hint="default"/>
        <w:b w:val="0"/>
      </w:rPr>
    </w:lvl>
  </w:abstractNum>
  <w:abstractNum w:abstractNumId="19" w15:restartNumberingAfterBreak="0">
    <w:nsid w:val="6CD862A8"/>
    <w:multiLevelType w:val="singleLevel"/>
    <w:tmpl w:val="B7EA226C"/>
    <w:lvl w:ilvl="0">
      <w:start w:val="7"/>
      <w:numFmt w:val="decimal"/>
      <w:lvlText w:val="%1."/>
      <w:lvlJc w:val="left"/>
      <w:pPr>
        <w:tabs>
          <w:tab w:val="num" w:pos="540"/>
        </w:tabs>
        <w:ind w:left="540" w:hanging="540"/>
      </w:pPr>
      <w:rPr>
        <w:rFonts w:hint="default"/>
        <w:b w:val="0"/>
      </w:rPr>
    </w:lvl>
  </w:abstractNum>
  <w:abstractNum w:abstractNumId="20" w15:restartNumberingAfterBreak="0">
    <w:nsid w:val="7DA16479"/>
    <w:multiLevelType w:val="hybridMultilevel"/>
    <w:tmpl w:val="C5829218"/>
    <w:lvl w:ilvl="0" w:tplc="D5E6667A">
      <w:start w:val="1"/>
      <w:numFmt w:val="decimal"/>
      <w:lvlText w:val="%1."/>
      <w:lvlJc w:val="left"/>
      <w:pPr>
        <w:ind w:left="720" w:hanging="360"/>
      </w:pPr>
      <w:rPr>
        <w:b w:val="0"/>
        <w:bCs w:val="0"/>
      </w:rPr>
    </w:lvl>
    <w:lvl w:ilvl="1" w:tplc="C17E94BE">
      <w:start w:val="1"/>
      <w:numFmt w:val="lowerLetter"/>
      <w:lvlText w:val="%2."/>
      <w:lvlJc w:val="left"/>
      <w:pPr>
        <w:ind w:left="1440" w:hanging="360"/>
      </w:pPr>
      <w:rPr>
        <w:b w:val="0"/>
        <w:bCs w:val="0"/>
      </w:rPr>
    </w:lvl>
    <w:lvl w:ilvl="2" w:tplc="33104450">
      <w:start w:val="1"/>
      <w:numFmt w:val="lowerRoman"/>
      <w:lvlText w:val="%3."/>
      <w:lvlJc w:val="right"/>
      <w:pPr>
        <w:ind w:left="198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0"/>
  </w:num>
  <w:num w:numId="4">
    <w:abstractNumId w:val="0"/>
  </w:num>
  <w:num w:numId="5">
    <w:abstractNumId w:val="0"/>
  </w:num>
  <w:num w:numId="6">
    <w:abstractNumId w:val="0"/>
  </w:num>
  <w:num w:numId="7">
    <w:abstractNumId w:val="0"/>
  </w:num>
  <w:num w:numId="8">
    <w:abstractNumId w:val="7"/>
  </w:num>
  <w:num w:numId="9">
    <w:abstractNumId w:val="10"/>
  </w:num>
  <w:num w:numId="10">
    <w:abstractNumId w:val="13"/>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4"/>
  </w:num>
  <w:num w:numId="21">
    <w:abstractNumId w:val="0"/>
  </w:num>
  <w:num w:numId="22">
    <w:abstractNumId w:val="0"/>
  </w:num>
  <w:num w:numId="23">
    <w:abstractNumId w:val="11"/>
  </w:num>
  <w:num w:numId="24">
    <w:abstractNumId w:val="15"/>
  </w:num>
  <w:num w:numId="25">
    <w:abstractNumId w:val="5"/>
  </w:num>
  <w:num w:numId="26">
    <w:abstractNumId w:val="16"/>
  </w:num>
  <w:num w:numId="27">
    <w:abstractNumId w:val="3"/>
  </w:num>
  <w:num w:numId="28">
    <w:abstractNumId w:val="9"/>
  </w:num>
  <w:num w:numId="29">
    <w:abstractNumId w:val="17"/>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20"/>
  </w:num>
  <w:num w:numId="44">
    <w:abstractNumId w:val="1"/>
  </w:num>
  <w:num w:numId="45">
    <w:abstractNumId w:val="12"/>
  </w:num>
  <w:num w:numId="46">
    <w:abstractNumId w:val="6"/>
  </w:num>
  <w:num w:numId="47">
    <w:abstractNumId w:val="2"/>
  </w:num>
  <w:num w:numId="48">
    <w:abstractNumId w:val="18"/>
  </w:num>
  <w:num w:numId="49">
    <w:abstractNumId w:val="19"/>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986"/>
    <w:rsid w:val="00002769"/>
    <w:rsid w:val="00002C77"/>
    <w:rsid w:val="00007F5C"/>
    <w:rsid w:val="00022D04"/>
    <w:rsid w:val="00035B96"/>
    <w:rsid w:val="0003611C"/>
    <w:rsid w:val="00046CAD"/>
    <w:rsid w:val="00061B69"/>
    <w:rsid w:val="00063859"/>
    <w:rsid w:val="00071F01"/>
    <w:rsid w:val="00087BD8"/>
    <w:rsid w:val="00087F03"/>
    <w:rsid w:val="000A6B33"/>
    <w:rsid w:val="000B21E2"/>
    <w:rsid w:val="000B564C"/>
    <w:rsid w:val="000C5439"/>
    <w:rsid w:val="000D019A"/>
    <w:rsid w:val="000D0670"/>
    <w:rsid w:val="000D280D"/>
    <w:rsid w:val="000E6049"/>
    <w:rsid w:val="000F3D15"/>
    <w:rsid w:val="001038A5"/>
    <w:rsid w:val="00124BDA"/>
    <w:rsid w:val="001400A4"/>
    <w:rsid w:val="0015633D"/>
    <w:rsid w:val="00166BD5"/>
    <w:rsid w:val="00172C89"/>
    <w:rsid w:val="00183A5B"/>
    <w:rsid w:val="00185558"/>
    <w:rsid w:val="001931BF"/>
    <w:rsid w:val="00193946"/>
    <w:rsid w:val="001A1848"/>
    <w:rsid w:val="001A5CDC"/>
    <w:rsid w:val="001A749E"/>
    <w:rsid w:val="001B2BDC"/>
    <w:rsid w:val="001D54C4"/>
    <w:rsid w:val="001E222D"/>
    <w:rsid w:val="001E5CC8"/>
    <w:rsid w:val="00202FFF"/>
    <w:rsid w:val="00204C50"/>
    <w:rsid w:val="00235468"/>
    <w:rsid w:val="002371A3"/>
    <w:rsid w:val="00243030"/>
    <w:rsid w:val="00253CA2"/>
    <w:rsid w:val="002547EF"/>
    <w:rsid w:val="00264C7C"/>
    <w:rsid w:val="00265BF9"/>
    <w:rsid w:val="00281223"/>
    <w:rsid w:val="002A2C8E"/>
    <w:rsid w:val="002A596F"/>
    <w:rsid w:val="002A6650"/>
    <w:rsid w:val="002A74BA"/>
    <w:rsid w:val="002B5D18"/>
    <w:rsid w:val="002C091C"/>
    <w:rsid w:val="002E2DA5"/>
    <w:rsid w:val="002F2E5E"/>
    <w:rsid w:val="00302635"/>
    <w:rsid w:val="003032E2"/>
    <w:rsid w:val="00310C2E"/>
    <w:rsid w:val="00311111"/>
    <w:rsid w:val="003144A4"/>
    <w:rsid w:val="0033587F"/>
    <w:rsid w:val="00336028"/>
    <w:rsid w:val="00355096"/>
    <w:rsid w:val="00367DB7"/>
    <w:rsid w:val="00371438"/>
    <w:rsid w:val="00377473"/>
    <w:rsid w:val="00380130"/>
    <w:rsid w:val="0038310E"/>
    <w:rsid w:val="0039243D"/>
    <w:rsid w:val="003A7E54"/>
    <w:rsid w:val="003C091D"/>
    <w:rsid w:val="003C55E3"/>
    <w:rsid w:val="003C67E3"/>
    <w:rsid w:val="003D081E"/>
    <w:rsid w:val="003D0D37"/>
    <w:rsid w:val="003D72F9"/>
    <w:rsid w:val="003F76FB"/>
    <w:rsid w:val="00405AED"/>
    <w:rsid w:val="00411CB6"/>
    <w:rsid w:val="004174CB"/>
    <w:rsid w:val="00417E66"/>
    <w:rsid w:val="00422986"/>
    <w:rsid w:val="00424E53"/>
    <w:rsid w:val="004276A2"/>
    <w:rsid w:val="004329B4"/>
    <w:rsid w:val="00434F39"/>
    <w:rsid w:val="0044157E"/>
    <w:rsid w:val="00446B6F"/>
    <w:rsid w:val="004720AF"/>
    <w:rsid w:val="00475EF8"/>
    <w:rsid w:val="00476160"/>
    <w:rsid w:val="0047665E"/>
    <w:rsid w:val="00491F80"/>
    <w:rsid w:val="00496522"/>
    <w:rsid w:val="00496BDC"/>
    <w:rsid w:val="004A7FBC"/>
    <w:rsid w:val="004B6FA6"/>
    <w:rsid w:val="004C51D6"/>
    <w:rsid w:val="00503161"/>
    <w:rsid w:val="00512B51"/>
    <w:rsid w:val="005300C7"/>
    <w:rsid w:val="00533298"/>
    <w:rsid w:val="005362C1"/>
    <w:rsid w:val="005445D1"/>
    <w:rsid w:val="00544EE6"/>
    <w:rsid w:val="005460FE"/>
    <w:rsid w:val="005464CB"/>
    <w:rsid w:val="00546A2A"/>
    <w:rsid w:val="00546D00"/>
    <w:rsid w:val="0055175D"/>
    <w:rsid w:val="0055183D"/>
    <w:rsid w:val="005551C1"/>
    <w:rsid w:val="005C13BC"/>
    <w:rsid w:val="005C5B6A"/>
    <w:rsid w:val="005D5A11"/>
    <w:rsid w:val="005E17C5"/>
    <w:rsid w:val="005E584D"/>
    <w:rsid w:val="005F134E"/>
    <w:rsid w:val="005F6A92"/>
    <w:rsid w:val="006071DD"/>
    <w:rsid w:val="006218AD"/>
    <w:rsid w:val="00623E4F"/>
    <w:rsid w:val="00636621"/>
    <w:rsid w:val="00642C25"/>
    <w:rsid w:val="00654903"/>
    <w:rsid w:val="00654C45"/>
    <w:rsid w:val="006716D4"/>
    <w:rsid w:val="00672ACA"/>
    <w:rsid w:val="00675499"/>
    <w:rsid w:val="0067579F"/>
    <w:rsid w:val="006776D8"/>
    <w:rsid w:val="006777A6"/>
    <w:rsid w:val="00682677"/>
    <w:rsid w:val="00687FF6"/>
    <w:rsid w:val="00695EDF"/>
    <w:rsid w:val="006A0534"/>
    <w:rsid w:val="006A0E0A"/>
    <w:rsid w:val="006A2076"/>
    <w:rsid w:val="006A50E4"/>
    <w:rsid w:val="006A7EDB"/>
    <w:rsid w:val="006C61F0"/>
    <w:rsid w:val="006D0F3E"/>
    <w:rsid w:val="006E5BC3"/>
    <w:rsid w:val="006F4DB7"/>
    <w:rsid w:val="006F5FA8"/>
    <w:rsid w:val="00712345"/>
    <w:rsid w:val="007279E4"/>
    <w:rsid w:val="00744AEE"/>
    <w:rsid w:val="007451B7"/>
    <w:rsid w:val="007453B5"/>
    <w:rsid w:val="007521D2"/>
    <w:rsid w:val="00765C90"/>
    <w:rsid w:val="007736E4"/>
    <w:rsid w:val="007778FB"/>
    <w:rsid w:val="00783CA8"/>
    <w:rsid w:val="00785905"/>
    <w:rsid w:val="007A39C4"/>
    <w:rsid w:val="007A4E74"/>
    <w:rsid w:val="007A4E92"/>
    <w:rsid w:val="007C79CB"/>
    <w:rsid w:val="007E7ABF"/>
    <w:rsid w:val="007F11C0"/>
    <w:rsid w:val="007F4C91"/>
    <w:rsid w:val="00804731"/>
    <w:rsid w:val="00814053"/>
    <w:rsid w:val="008341BF"/>
    <w:rsid w:val="00836C3B"/>
    <w:rsid w:val="008407C9"/>
    <w:rsid w:val="00841BDB"/>
    <w:rsid w:val="00856762"/>
    <w:rsid w:val="008616CD"/>
    <w:rsid w:val="008749BB"/>
    <w:rsid w:val="00881D0D"/>
    <w:rsid w:val="00892852"/>
    <w:rsid w:val="00892C4F"/>
    <w:rsid w:val="00893CBB"/>
    <w:rsid w:val="0089701B"/>
    <w:rsid w:val="008A053D"/>
    <w:rsid w:val="008A14F3"/>
    <w:rsid w:val="008B6057"/>
    <w:rsid w:val="008C7653"/>
    <w:rsid w:val="009109FE"/>
    <w:rsid w:val="00913D87"/>
    <w:rsid w:val="009150DA"/>
    <w:rsid w:val="00923E80"/>
    <w:rsid w:val="00933201"/>
    <w:rsid w:val="009412A8"/>
    <w:rsid w:val="0095344B"/>
    <w:rsid w:val="00957848"/>
    <w:rsid w:val="00960582"/>
    <w:rsid w:val="00974554"/>
    <w:rsid w:val="009826E9"/>
    <w:rsid w:val="009A3A8F"/>
    <w:rsid w:val="009B0C13"/>
    <w:rsid w:val="009D0E86"/>
    <w:rsid w:val="009D1200"/>
    <w:rsid w:val="009E6AC4"/>
    <w:rsid w:val="009F3CEA"/>
    <w:rsid w:val="00A11739"/>
    <w:rsid w:val="00A14ECC"/>
    <w:rsid w:val="00A15B09"/>
    <w:rsid w:val="00A17CA6"/>
    <w:rsid w:val="00A21596"/>
    <w:rsid w:val="00A2689E"/>
    <w:rsid w:val="00A41950"/>
    <w:rsid w:val="00A44A00"/>
    <w:rsid w:val="00A4646B"/>
    <w:rsid w:val="00A558C3"/>
    <w:rsid w:val="00A5784D"/>
    <w:rsid w:val="00A74141"/>
    <w:rsid w:val="00A744ED"/>
    <w:rsid w:val="00A909A5"/>
    <w:rsid w:val="00AA3448"/>
    <w:rsid w:val="00AB1C6D"/>
    <w:rsid w:val="00AC0DDA"/>
    <w:rsid w:val="00AC4459"/>
    <w:rsid w:val="00AD4773"/>
    <w:rsid w:val="00AE1020"/>
    <w:rsid w:val="00AF5DF5"/>
    <w:rsid w:val="00B01995"/>
    <w:rsid w:val="00B1272B"/>
    <w:rsid w:val="00B15526"/>
    <w:rsid w:val="00B25A8A"/>
    <w:rsid w:val="00B300FA"/>
    <w:rsid w:val="00B44A89"/>
    <w:rsid w:val="00B45A57"/>
    <w:rsid w:val="00B54E78"/>
    <w:rsid w:val="00B61242"/>
    <w:rsid w:val="00B6292C"/>
    <w:rsid w:val="00B73E3C"/>
    <w:rsid w:val="00B81566"/>
    <w:rsid w:val="00B8427C"/>
    <w:rsid w:val="00B94BEC"/>
    <w:rsid w:val="00B94D6A"/>
    <w:rsid w:val="00BA3F14"/>
    <w:rsid w:val="00BB14F6"/>
    <w:rsid w:val="00BB3B6A"/>
    <w:rsid w:val="00BB4DB5"/>
    <w:rsid w:val="00BC1B9F"/>
    <w:rsid w:val="00BC1D10"/>
    <w:rsid w:val="00BC61FF"/>
    <w:rsid w:val="00BD3A38"/>
    <w:rsid w:val="00BE20D2"/>
    <w:rsid w:val="00BE384E"/>
    <w:rsid w:val="00BE3DAC"/>
    <w:rsid w:val="00BE5201"/>
    <w:rsid w:val="00BF23E1"/>
    <w:rsid w:val="00C06C9A"/>
    <w:rsid w:val="00C26AE5"/>
    <w:rsid w:val="00C30124"/>
    <w:rsid w:val="00C338FC"/>
    <w:rsid w:val="00C342F0"/>
    <w:rsid w:val="00C360BC"/>
    <w:rsid w:val="00C375E7"/>
    <w:rsid w:val="00C6768C"/>
    <w:rsid w:val="00C76302"/>
    <w:rsid w:val="00C91807"/>
    <w:rsid w:val="00CA4147"/>
    <w:rsid w:val="00CB2979"/>
    <w:rsid w:val="00CE20F0"/>
    <w:rsid w:val="00CE32BE"/>
    <w:rsid w:val="00CE5BA9"/>
    <w:rsid w:val="00CE76C8"/>
    <w:rsid w:val="00CF661D"/>
    <w:rsid w:val="00D02115"/>
    <w:rsid w:val="00D26369"/>
    <w:rsid w:val="00D3322E"/>
    <w:rsid w:val="00D3758E"/>
    <w:rsid w:val="00D52E31"/>
    <w:rsid w:val="00D61715"/>
    <w:rsid w:val="00D62CDE"/>
    <w:rsid w:val="00D75BFA"/>
    <w:rsid w:val="00D8031B"/>
    <w:rsid w:val="00DA7904"/>
    <w:rsid w:val="00DB38FD"/>
    <w:rsid w:val="00DB3EB1"/>
    <w:rsid w:val="00DC2BA7"/>
    <w:rsid w:val="00DC2BD9"/>
    <w:rsid w:val="00DC4236"/>
    <w:rsid w:val="00DD2298"/>
    <w:rsid w:val="00DE72FB"/>
    <w:rsid w:val="00DF09BF"/>
    <w:rsid w:val="00DF1CEF"/>
    <w:rsid w:val="00DF2E29"/>
    <w:rsid w:val="00DF7EDB"/>
    <w:rsid w:val="00E0280B"/>
    <w:rsid w:val="00E035BD"/>
    <w:rsid w:val="00E1217D"/>
    <w:rsid w:val="00E3134B"/>
    <w:rsid w:val="00E34A32"/>
    <w:rsid w:val="00E45021"/>
    <w:rsid w:val="00E5410D"/>
    <w:rsid w:val="00E605DB"/>
    <w:rsid w:val="00E64475"/>
    <w:rsid w:val="00E71320"/>
    <w:rsid w:val="00E719B7"/>
    <w:rsid w:val="00E76F4C"/>
    <w:rsid w:val="00E8027F"/>
    <w:rsid w:val="00E80850"/>
    <w:rsid w:val="00E81D5E"/>
    <w:rsid w:val="00E9383A"/>
    <w:rsid w:val="00EA5C83"/>
    <w:rsid w:val="00EA7575"/>
    <w:rsid w:val="00EB4AFD"/>
    <w:rsid w:val="00EB62B6"/>
    <w:rsid w:val="00EB7AEA"/>
    <w:rsid w:val="00EC045A"/>
    <w:rsid w:val="00ED23C2"/>
    <w:rsid w:val="00EE5721"/>
    <w:rsid w:val="00F01CC6"/>
    <w:rsid w:val="00F021F3"/>
    <w:rsid w:val="00F153AB"/>
    <w:rsid w:val="00F3120B"/>
    <w:rsid w:val="00F366D0"/>
    <w:rsid w:val="00F37E76"/>
    <w:rsid w:val="00F41DF4"/>
    <w:rsid w:val="00F447DF"/>
    <w:rsid w:val="00F452E8"/>
    <w:rsid w:val="00F53095"/>
    <w:rsid w:val="00F54474"/>
    <w:rsid w:val="00F57B24"/>
    <w:rsid w:val="00F60568"/>
    <w:rsid w:val="00F6126A"/>
    <w:rsid w:val="00F81A95"/>
    <w:rsid w:val="00F826B2"/>
    <w:rsid w:val="00F861DC"/>
    <w:rsid w:val="00F87E1F"/>
    <w:rsid w:val="00F92B45"/>
    <w:rsid w:val="00F95093"/>
    <w:rsid w:val="00F979FE"/>
    <w:rsid w:val="00FA04AA"/>
    <w:rsid w:val="00FA15C8"/>
    <w:rsid w:val="00FA6452"/>
    <w:rsid w:val="00FA7688"/>
    <w:rsid w:val="00FB27AC"/>
    <w:rsid w:val="00FB43B7"/>
    <w:rsid w:val="00FB790A"/>
    <w:rsid w:val="00FC521A"/>
    <w:rsid w:val="00FD1212"/>
    <w:rsid w:val="00FE0C46"/>
    <w:rsid w:val="00FE16A3"/>
    <w:rsid w:val="00FE2A7F"/>
    <w:rsid w:val="00FF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445AF51F"/>
  <w15:docId w15:val="{EB3E3CA7-2510-4D60-A911-A4C6B3AB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sz w:val="22"/>
      <w:szCs w:val="20"/>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pPr>
      <w:keepNext/>
      <w:spacing w:after="220"/>
      <w:jc w:val="both"/>
      <w:outlineLvl w:val="2"/>
    </w:pPr>
    <w:rPr>
      <w:b/>
      <w:sz w:val="22"/>
      <w:szCs w:val="20"/>
    </w:rPr>
  </w:style>
  <w:style w:type="paragraph" w:styleId="Heading4">
    <w:name w:val="heading 4"/>
    <w:basedOn w:val="Normal"/>
    <w:next w:val="Normal"/>
    <w:qFormat/>
    <w:pPr>
      <w:keepNext/>
      <w:jc w:val="both"/>
      <w:outlineLvl w:val="3"/>
    </w:pPr>
    <w:rPr>
      <w:i/>
      <w:iCs/>
      <w:sz w:val="22"/>
      <w:szCs w:val="20"/>
    </w:rPr>
  </w:style>
  <w:style w:type="paragraph" w:styleId="Heading5">
    <w:name w:val="heading 5"/>
    <w:basedOn w:val="Normal"/>
    <w:next w:val="Normal"/>
    <w:qFormat/>
    <w:pPr>
      <w:keepNext/>
      <w:jc w:val="center"/>
      <w:outlineLvl w:val="4"/>
    </w:pPr>
    <w:rPr>
      <w:b/>
      <w:bCs/>
      <w:szCs w:val="20"/>
    </w:rPr>
  </w:style>
  <w:style w:type="paragraph" w:styleId="Heading6">
    <w:name w:val="heading 6"/>
    <w:basedOn w:val="Normal"/>
    <w:next w:val="Normal"/>
    <w:qFormat/>
    <w:pPr>
      <w:keepNext/>
      <w:outlineLvl w:val="5"/>
    </w:pPr>
    <w:rPr>
      <w:sz w:val="22"/>
      <w:szCs w:val="20"/>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tabs>
        <w:tab w:val="left" w:pos="720"/>
      </w:tabs>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rPr>
      <w:b/>
      <w:bCs/>
      <w:szCs w:val="20"/>
    </w:rPr>
  </w:style>
  <w:style w:type="paragraph" w:styleId="ListContinue">
    <w:name w:val="List Continue"/>
    <w:basedOn w:val="Normal"/>
    <w:pPr>
      <w:spacing w:after="220"/>
      <w:jc w:val="both"/>
    </w:pPr>
    <w:rPr>
      <w:sz w:val="22"/>
      <w:szCs w:val="20"/>
    </w:rPr>
  </w:style>
  <w:style w:type="character" w:styleId="FootnoteReference">
    <w:name w:val="footnote reference"/>
    <w:semiHidden/>
    <w:rPr>
      <w:color w:val="000000"/>
    </w:rPr>
  </w:style>
  <w:style w:type="paragraph" w:customStyle="1" w:styleId="TitleCenter1">
    <w:name w:val="TitleCenter1"/>
    <w:basedOn w:val="BodyText"/>
    <w:pPr>
      <w:spacing w:after="280"/>
      <w:jc w:val="center"/>
    </w:pPr>
    <w:rPr>
      <w:b/>
      <w:sz w:val="28"/>
      <w:szCs w:val="20"/>
    </w:rPr>
  </w:style>
  <w:style w:type="paragraph" w:styleId="FootnoteText">
    <w:name w:val="footnote text"/>
    <w:basedOn w:val="Normal"/>
    <w:semiHidden/>
    <w:rPr>
      <w:sz w:val="20"/>
      <w:szCs w:val="20"/>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422986"/>
    <w:rPr>
      <w:rFonts w:ascii="Tahoma" w:hAnsi="Tahoma" w:cs="Tahoma"/>
      <w:sz w:val="16"/>
      <w:szCs w:val="16"/>
    </w:rPr>
  </w:style>
  <w:style w:type="paragraph" w:customStyle="1" w:styleId="StyleHeading1NotBold">
    <w:name w:val="Style Heading 1 + Not Bold"/>
    <w:basedOn w:val="Heading1"/>
    <w:next w:val="ListNumber"/>
    <w:rsid w:val="00422986"/>
    <w:rPr>
      <w:b w:val="0"/>
    </w:rPr>
  </w:style>
  <w:style w:type="character" w:styleId="PageNumber">
    <w:name w:val="page number"/>
    <w:basedOn w:val="DefaultParagraphFont"/>
    <w:rsid w:val="00623E4F"/>
  </w:style>
  <w:style w:type="paragraph" w:styleId="ListNumber">
    <w:name w:val="List Number"/>
    <w:aliases w:val="1.     SSAP,INT list number"/>
    <w:basedOn w:val="Normal"/>
    <w:rsid w:val="00422986"/>
    <w:pPr>
      <w:numPr>
        <w:numId w:val="2"/>
      </w:numPr>
    </w:pPr>
  </w:style>
  <w:style w:type="paragraph" w:customStyle="1" w:styleId="Default">
    <w:name w:val="Default"/>
    <w:rsid w:val="0015633D"/>
    <w:pPr>
      <w:autoSpaceDE w:val="0"/>
      <w:autoSpaceDN w:val="0"/>
      <w:adjustRightInd w:val="0"/>
    </w:pPr>
    <w:rPr>
      <w:color w:val="000000"/>
      <w:sz w:val="24"/>
      <w:szCs w:val="24"/>
    </w:rPr>
  </w:style>
  <w:style w:type="character" w:styleId="CommentReference">
    <w:name w:val="annotation reference"/>
    <w:semiHidden/>
    <w:rsid w:val="00CE20F0"/>
    <w:rPr>
      <w:sz w:val="16"/>
      <w:szCs w:val="16"/>
    </w:rPr>
  </w:style>
  <w:style w:type="paragraph" w:styleId="CommentText">
    <w:name w:val="annotation text"/>
    <w:basedOn w:val="Normal"/>
    <w:semiHidden/>
    <w:rsid w:val="00CE20F0"/>
    <w:rPr>
      <w:sz w:val="20"/>
      <w:szCs w:val="20"/>
    </w:rPr>
  </w:style>
  <w:style w:type="paragraph" w:styleId="CommentSubject">
    <w:name w:val="annotation subject"/>
    <w:basedOn w:val="CommentText"/>
    <w:next w:val="CommentText"/>
    <w:semiHidden/>
    <w:rsid w:val="00CE20F0"/>
    <w:rPr>
      <w:b/>
      <w:bCs/>
    </w:rPr>
  </w:style>
  <w:style w:type="paragraph" w:customStyle="1" w:styleId="btext">
    <w:name w:val="btext"/>
    <w:basedOn w:val="Normal"/>
    <w:next w:val="Normal"/>
    <w:rsid w:val="00063859"/>
    <w:pPr>
      <w:autoSpaceDE w:val="0"/>
      <w:autoSpaceDN w:val="0"/>
      <w:adjustRightInd w:val="0"/>
      <w:spacing w:before="240"/>
    </w:pPr>
  </w:style>
  <w:style w:type="paragraph" w:customStyle="1" w:styleId="level2">
    <w:name w:val="level2"/>
    <w:basedOn w:val="Default"/>
    <w:next w:val="Default"/>
    <w:rsid w:val="00063859"/>
    <w:rPr>
      <w:color w:val="auto"/>
    </w:rPr>
  </w:style>
  <w:style w:type="paragraph" w:styleId="BodyText2">
    <w:name w:val="Body Text 2"/>
    <w:basedOn w:val="Normal"/>
    <w:link w:val="BodyText2Char"/>
    <w:unhideWhenUsed/>
    <w:rsid w:val="003A7E54"/>
    <w:pPr>
      <w:spacing w:after="120" w:line="480" w:lineRule="auto"/>
    </w:pPr>
  </w:style>
  <w:style w:type="character" w:customStyle="1" w:styleId="BodyText2Char">
    <w:name w:val="Body Text 2 Char"/>
    <w:basedOn w:val="DefaultParagraphFont"/>
    <w:link w:val="BodyText2"/>
    <w:rsid w:val="003A7E54"/>
    <w:rPr>
      <w:sz w:val="24"/>
      <w:szCs w:val="24"/>
    </w:rPr>
  </w:style>
  <w:style w:type="paragraph" w:styleId="ListParagraph">
    <w:name w:val="List Paragraph"/>
    <w:basedOn w:val="Normal"/>
    <w:uiPriority w:val="34"/>
    <w:qFormat/>
    <w:rsid w:val="00B73E3C"/>
    <w:pPr>
      <w:ind w:left="720"/>
      <w:contextualSpacing/>
    </w:pPr>
  </w:style>
  <w:style w:type="character" w:customStyle="1" w:styleId="FooterChar">
    <w:name w:val="Footer Char"/>
    <w:basedOn w:val="DefaultParagraphFont"/>
    <w:link w:val="Footer"/>
    <w:rsid w:val="00DC2B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151687">
      <w:bodyDiv w:val="1"/>
      <w:marLeft w:val="0"/>
      <w:marRight w:val="0"/>
      <w:marTop w:val="0"/>
      <w:marBottom w:val="0"/>
      <w:divBdr>
        <w:top w:val="none" w:sz="0" w:space="0" w:color="auto"/>
        <w:left w:val="none" w:sz="0" w:space="0" w:color="auto"/>
        <w:bottom w:val="none" w:sz="0" w:space="0" w:color="auto"/>
        <w:right w:val="none" w:sz="0" w:space="0" w:color="auto"/>
      </w:divBdr>
    </w:div>
    <w:div w:id="464782279">
      <w:bodyDiv w:val="1"/>
      <w:marLeft w:val="0"/>
      <w:marRight w:val="0"/>
      <w:marTop w:val="0"/>
      <w:marBottom w:val="0"/>
      <w:divBdr>
        <w:top w:val="none" w:sz="0" w:space="0" w:color="auto"/>
        <w:left w:val="none" w:sz="0" w:space="0" w:color="auto"/>
        <w:bottom w:val="none" w:sz="0" w:space="0" w:color="auto"/>
        <w:right w:val="none" w:sz="0" w:space="0" w:color="auto"/>
      </w:divBdr>
    </w:div>
    <w:div w:id="756950266">
      <w:bodyDiv w:val="1"/>
      <w:marLeft w:val="0"/>
      <w:marRight w:val="0"/>
      <w:marTop w:val="0"/>
      <w:marBottom w:val="0"/>
      <w:divBdr>
        <w:top w:val="none" w:sz="0" w:space="0" w:color="auto"/>
        <w:left w:val="none" w:sz="0" w:space="0" w:color="auto"/>
        <w:bottom w:val="none" w:sz="0" w:space="0" w:color="auto"/>
        <w:right w:val="none" w:sz="0" w:space="0" w:color="auto"/>
      </w:divBdr>
    </w:div>
    <w:div w:id="210298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823</Words>
  <Characters>4657</Characters>
  <Application>Microsoft Office Word</Application>
  <DocSecurity>0</DocSecurity>
  <Lines>388</Lines>
  <Paragraphs>342</Paragraphs>
  <ScaleCrop>false</ScaleCrop>
  <HeadingPairs>
    <vt:vector size="2" baseType="variant">
      <vt:variant>
        <vt:lpstr>Title</vt:lpstr>
      </vt:variant>
      <vt:variant>
        <vt:i4>1</vt:i4>
      </vt:variant>
    </vt:vector>
  </HeadingPairs>
  <TitlesOfParts>
    <vt:vector size="1" baseType="lpstr">
      <vt:lpstr>Interpretation of the Emerging Accounting Issues Working Group</vt:lpstr>
    </vt:vector>
  </TitlesOfParts>
  <Company>NAIC</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of the Emerging Accounting Issues Working Group</dc:title>
  <dc:creator>Bobbi Weians</dc:creator>
  <cp:lastModifiedBy>Jacks, Wendy</cp:lastModifiedBy>
  <cp:revision>18</cp:revision>
  <cp:lastPrinted>2020-04-08T14:22:00Z</cp:lastPrinted>
  <dcterms:created xsi:type="dcterms:W3CDTF">2020-07-13T13:49:00Z</dcterms:created>
  <dcterms:modified xsi:type="dcterms:W3CDTF">2020-07-15T15:19:00Z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