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994A5" w14:textId="77777777" w:rsidR="003E755C" w:rsidRPr="00B00B00" w:rsidRDefault="003E755C" w:rsidP="003E755C">
      <w:pPr>
        <w:tabs>
          <w:tab w:val="left" w:pos="7280"/>
        </w:tabs>
        <w:spacing w:line="180" w:lineRule="exact"/>
        <w:rPr>
          <w:rFonts w:asciiTheme="minorHAnsi" w:hAnsiTheme="minorHAnsi" w:cstheme="minorHAnsi"/>
          <w:b/>
          <w:sz w:val="14"/>
        </w:rPr>
      </w:pPr>
      <w:r w:rsidRPr="00B00B00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264" behindDoc="1" locked="1" layoutInCell="1" allowOverlap="1" wp14:anchorId="164A5A1C" wp14:editId="3D6FA270">
            <wp:simplePos x="0" y="0"/>
            <wp:positionH relativeFrom="page">
              <wp:posOffset>5265420</wp:posOffset>
            </wp:positionH>
            <wp:positionV relativeFrom="page">
              <wp:posOffset>400050</wp:posOffset>
            </wp:positionV>
            <wp:extent cx="1577975" cy="36639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curian_R_PrimLogo_Asset_Mgmt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36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0B00">
        <w:rPr>
          <w:rFonts w:asciiTheme="minorHAnsi" w:hAnsiTheme="minorHAnsi" w:cstheme="minorHAnsi"/>
          <w:b/>
          <w:sz w:val="14"/>
        </w:rPr>
        <w:t>Securian Financial Group, Inc.</w:t>
      </w:r>
      <w:r>
        <w:rPr>
          <w:rFonts w:asciiTheme="minorHAnsi" w:hAnsiTheme="minorHAnsi" w:cstheme="minorHAnsi"/>
          <w:b/>
          <w:sz w:val="14"/>
        </w:rPr>
        <w:tab/>
      </w:r>
    </w:p>
    <w:p w14:paraId="06C86499" w14:textId="77777777" w:rsidR="003E755C" w:rsidRPr="00B00B00" w:rsidRDefault="003E755C" w:rsidP="003E755C">
      <w:pPr>
        <w:tabs>
          <w:tab w:val="left" w:pos="8000"/>
        </w:tabs>
        <w:spacing w:line="180" w:lineRule="exact"/>
        <w:rPr>
          <w:rFonts w:asciiTheme="minorHAnsi" w:hAnsiTheme="minorHAnsi" w:cstheme="minorHAnsi"/>
          <w:sz w:val="14"/>
        </w:rPr>
      </w:pPr>
      <w:r w:rsidRPr="00B00B00">
        <w:rPr>
          <w:rFonts w:asciiTheme="minorHAnsi" w:hAnsiTheme="minorHAnsi" w:cstheme="minorHAnsi"/>
          <w:sz w:val="14"/>
        </w:rPr>
        <w:t>400 Robert Street North</w:t>
      </w:r>
      <w:r>
        <w:rPr>
          <w:rFonts w:asciiTheme="minorHAnsi" w:hAnsiTheme="minorHAnsi" w:cstheme="minorHAnsi"/>
          <w:sz w:val="14"/>
        </w:rPr>
        <w:tab/>
      </w:r>
    </w:p>
    <w:p w14:paraId="50C7EF36" w14:textId="77777777" w:rsidR="003E755C" w:rsidRDefault="003E755C" w:rsidP="003E755C">
      <w:pPr>
        <w:spacing w:line="180" w:lineRule="exact"/>
        <w:rPr>
          <w:rFonts w:asciiTheme="minorHAnsi" w:hAnsiTheme="minorHAnsi" w:cstheme="minorHAnsi"/>
          <w:sz w:val="14"/>
        </w:rPr>
      </w:pPr>
      <w:r w:rsidRPr="00B00B00">
        <w:rPr>
          <w:rFonts w:asciiTheme="minorHAnsi" w:hAnsiTheme="minorHAnsi" w:cstheme="minorHAnsi"/>
          <w:sz w:val="14"/>
        </w:rPr>
        <w:t>St. Paul, MN  55101-2098</w:t>
      </w:r>
    </w:p>
    <w:p w14:paraId="2130DC36" w14:textId="77777777" w:rsidR="003E755C" w:rsidRPr="00B00B00" w:rsidRDefault="003E755C" w:rsidP="003E755C">
      <w:pPr>
        <w:spacing w:after="90" w:line="180" w:lineRule="exact"/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  <w:sz w:val="14"/>
        </w:rPr>
        <w:t>651-665-3500</w:t>
      </w:r>
    </w:p>
    <w:p w14:paraId="6A7CC52D" w14:textId="77777777" w:rsidR="003E755C" w:rsidRPr="00B00B00" w:rsidRDefault="003E755C" w:rsidP="003E755C">
      <w:pPr>
        <w:spacing w:line="180" w:lineRule="exact"/>
        <w:rPr>
          <w:rFonts w:asciiTheme="minorHAnsi" w:hAnsiTheme="minorHAnsi" w:cstheme="minorHAnsi"/>
          <w:color w:val="0C7B40"/>
          <w:sz w:val="14"/>
        </w:rPr>
      </w:pPr>
      <w:r w:rsidRPr="00B00B00">
        <w:rPr>
          <w:rFonts w:asciiTheme="minorHAnsi" w:hAnsiTheme="minorHAnsi" w:cstheme="minorHAnsi"/>
          <w:color w:val="0C7B40"/>
          <w:sz w:val="14"/>
        </w:rPr>
        <w:t>securian.com</w:t>
      </w:r>
    </w:p>
    <w:p w14:paraId="4FA54D14" w14:textId="77777777" w:rsidR="003E755C" w:rsidRPr="008F4108" w:rsidRDefault="003E755C" w:rsidP="003E755C">
      <w:pPr>
        <w:rPr>
          <w:rFonts w:asciiTheme="minorHAnsi" w:hAnsiTheme="minorHAnsi" w:cstheme="minorHAnsi"/>
        </w:rPr>
      </w:pPr>
    </w:p>
    <w:p w14:paraId="138ACA2A" w14:textId="77777777" w:rsidR="003E755C" w:rsidRPr="00B00B00" w:rsidRDefault="003E755C" w:rsidP="003E755C">
      <w:pPr>
        <w:rPr>
          <w:rFonts w:asciiTheme="minorHAnsi" w:hAnsiTheme="minorHAnsi" w:cstheme="minorHAnsi"/>
          <w:color w:val="58595B" w:themeColor="text1"/>
        </w:rPr>
      </w:pPr>
    </w:p>
    <w:p w14:paraId="4E7A7530" w14:textId="77777777" w:rsidR="003E755C" w:rsidRPr="00B00B00" w:rsidRDefault="003E755C" w:rsidP="003E755C">
      <w:pPr>
        <w:rPr>
          <w:rFonts w:asciiTheme="minorHAnsi" w:hAnsiTheme="minorHAnsi" w:cstheme="minorHAnsi"/>
          <w:color w:val="58595B" w:themeColor="text1"/>
        </w:rPr>
      </w:pPr>
    </w:p>
    <w:p w14:paraId="4AEE9AAA" w14:textId="232B1DC0" w:rsidR="00B618D7" w:rsidRPr="009227D7" w:rsidRDefault="000C1494" w:rsidP="00B618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July</w:t>
      </w:r>
      <w:r w:rsidR="00B618D7" w:rsidRPr="009227D7">
        <w:rPr>
          <w:sz w:val="22"/>
          <w:szCs w:val="22"/>
        </w:rPr>
        <w:t xml:space="preserve"> 2</w:t>
      </w:r>
      <w:r>
        <w:rPr>
          <w:sz w:val="22"/>
          <w:szCs w:val="22"/>
        </w:rPr>
        <w:t>5</w:t>
      </w:r>
      <w:r w:rsidR="00B618D7" w:rsidRPr="009227D7">
        <w:rPr>
          <w:sz w:val="22"/>
          <w:szCs w:val="22"/>
        </w:rPr>
        <w:t>, 202</w:t>
      </w:r>
      <w:r>
        <w:rPr>
          <w:sz w:val="22"/>
          <w:szCs w:val="22"/>
        </w:rPr>
        <w:t>2</w:t>
      </w:r>
    </w:p>
    <w:p w14:paraId="3EB038A2" w14:textId="77777777" w:rsidR="00B618D7" w:rsidRPr="009227D7" w:rsidRDefault="00B618D7" w:rsidP="00B618D7">
      <w:pPr>
        <w:pStyle w:val="Default"/>
        <w:rPr>
          <w:sz w:val="22"/>
          <w:szCs w:val="22"/>
        </w:rPr>
      </w:pPr>
    </w:p>
    <w:p w14:paraId="7F452CF3" w14:textId="77777777" w:rsidR="003A1A8E" w:rsidRPr="003A1A8E" w:rsidRDefault="003A1A8E" w:rsidP="003A1A8E">
      <w:pPr>
        <w:pStyle w:val="Default"/>
        <w:rPr>
          <w:sz w:val="22"/>
          <w:szCs w:val="22"/>
        </w:rPr>
      </w:pPr>
      <w:r w:rsidRPr="003A1A8E">
        <w:rPr>
          <w:sz w:val="22"/>
          <w:szCs w:val="22"/>
        </w:rPr>
        <w:t>Mr. Mike Boerner</w:t>
      </w:r>
    </w:p>
    <w:p w14:paraId="1BDA6642" w14:textId="77777777" w:rsidR="003A1A8E" w:rsidRPr="003A1A8E" w:rsidRDefault="003A1A8E" w:rsidP="003A1A8E">
      <w:pPr>
        <w:pStyle w:val="Default"/>
        <w:rPr>
          <w:sz w:val="22"/>
          <w:szCs w:val="22"/>
        </w:rPr>
      </w:pPr>
      <w:r w:rsidRPr="003A1A8E">
        <w:rPr>
          <w:sz w:val="22"/>
          <w:szCs w:val="22"/>
        </w:rPr>
        <w:t>Chair, NAIC Life Actuarial Task Force (LATF)</w:t>
      </w:r>
    </w:p>
    <w:p w14:paraId="2491AEBF" w14:textId="77777777" w:rsidR="003A1A8E" w:rsidRPr="003A1A8E" w:rsidRDefault="003A1A8E" w:rsidP="003A1A8E">
      <w:pPr>
        <w:pStyle w:val="Default"/>
        <w:rPr>
          <w:sz w:val="22"/>
          <w:szCs w:val="22"/>
        </w:rPr>
      </w:pPr>
    </w:p>
    <w:p w14:paraId="03E994C8" w14:textId="77777777" w:rsidR="003A1A8E" w:rsidRPr="003A1A8E" w:rsidRDefault="003A1A8E" w:rsidP="003A1A8E">
      <w:pPr>
        <w:pStyle w:val="Default"/>
        <w:rPr>
          <w:sz w:val="22"/>
          <w:szCs w:val="22"/>
        </w:rPr>
      </w:pPr>
      <w:r w:rsidRPr="003A1A8E">
        <w:rPr>
          <w:sz w:val="22"/>
          <w:szCs w:val="22"/>
        </w:rPr>
        <w:t>Mr. Fred Andersen</w:t>
      </w:r>
    </w:p>
    <w:p w14:paraId="6B0D4977" w14:textId="32FD6365" w:rsidR="00B618D7" w:rsidRPr="009227D7" w:rsidRDefault="003A1A8E" w:rsidP="003A1A8E">
      <w:pPr>
        <w:pStyle w:val="Default"/>
        <w:rPr>
          <w:sz w:val="22"/>
          <w:szCs w:val="22"/>
        </w:rPr>
      </w:pPr>
      <w:r w:rsidRPr="003A1A8E">
        <w:rPr>
          <w:sz w:val="22"/>
          <w:szCs w:val="22"/>
        </w:rPr>
        <w:t>Chair, NAIC Indexed Universal Life (IUL) Illustration (A) Subgroup (IUL Subgroup)</w:t>
      </w:r>
    </w:p>
    <w:p w14:paraId="13366029" w14:textId="77777777" w:rsidR="003A1A8E" w:rsidRDefault="003A1A8E" w:rsidP="00B618D7">
      <w:pPr>
        <w:pStyle w:val="Default"/>
        <w:rPr>
          <w:sz w:val="22"/>
          <w:szCs w:val="22"/>
        </w:rPr>
      </w:pPr>
    </w:p>
    <w:p w14:paraId="77C83E42" w14:textId="3DDAF002" w:rsidR="00B618D7" w:rsidRPr="009227D7" w:rsidRDefault="00B618D7" w:rsidP="00B618D7">
      <w:pPr>
        <w:pStyle w:val="Default"/>
        <w:rPr>
          <w:sz w:val="22"/>
          <w:szCs w:val="22"/>
        </w:rPr>
      </w:pPr>
      <w:r w:rsidRPr="009227D7">
        <w:rPr>
          <w:sz w:val="22"/>
          <w:szCs w:val="22"/>
        </w:rPr>
        <w:t>Dear Fred,</w:t>
      </w:r>
    </w:p>
    <w:p w14:paraId="580956B2" w14:textId="77777777" w:rsidR="00B618D7" w:rsidRPr="009227D7" w:rsidRDefault="00B618D7" w:rsidP="00B618D7">
      <w:pPr>
        <w:pStyle w:val="Default"/>
        <w:rPr>
          <w:sz w:val="22"/>
          <w:szCs w:val="22"/>
        </w:rPr>
      </w:pPr>
    </w:p>
    <w:p w14:paraId="794FDA14" w14:textId="715FDB32" w:rsidR="00B618D7" w:rsidRPr="009227D7" w:rsidRDefault="00B618D7" w:rsidP="00B618D7">
      <w:pPr>
        <w:pStyle w:val="Default"/>
        <w:rPr>
          <w:sz w:val="22"/>
          <w:szCs w:val="22"/>
        </w:rPr>
      </w:pPr>
      <w:r w:rsidRPr="009227D7">
        <w:rPr>
          <w:sz w:val="22"/>
          <w:szCs w:val="22"/>
        </w:rPr>
        <w:t xml:space="preserve">Securian Financial </w:t>
      </w:r>
      <w:r w:rsidR="00F03BF0">
        <w:rPr>
          <w:sz w:val="22"/>
          <w:szCs w:val="22"/>
        </w:rPr>
        <w:t xml:space="preserve">respectfully </w:t>
      </w:r>
      <w:r w:rsidR="00D472BE">
        <w:rPr>
          <w:sz w:val="22"/>
          <w:szCs w:val="22"/>
        </w:rPr>
        <w:t>submits</w:t>
      </w:r>
      <w:r w:rsidRPr="009227D7">
        <w:rPr>
          <w:sz w:val="22"/>
          <w:szCs w:val="22"/>
        </w:rPr>
        <w:t xml:space="preserve"> these comments in response to the NAIC IUL Illustrations (A) Subcommittee request for comments </w:t>
      </w:r>
      <w:r w:rsidR="000C1494">
        <w:rPr>
          <w:sz w:val="22"/>
          <w:szCs w:val="22"/>
        </w:rPr>
        <w:t xml:space="preserve">on </w:t>
      </w:r>
      <w:r w:rsidR="006C7ECF">
        <w:rPr>
          <w:sz w:val="22"/>
          <w:szCs w:val="22"/>
        </w:rPr>
        <w:t>AG</w:t>
      </w:r>
      <w:r w:rsidR="0071353D">
        <w:rPr>
          <w:sz w:val="22"/>
          <w:szCs w:val="22"/>
        </w:rPr>
        <w:t>4</w:t>
      </w:r>
      <w:r w:rsidR="006C7ECF">
        <w:rPr>
          <w:sz w:val="22"/>
          <w:szCs w:val="22"/>
        </w:rPr>
        <w:t>9-A</w:t>
      </w:r>
      <w:r w:rsidRPr="009227D7">
        <w:rPr>
          <w:sz w:val="22"/>
          <w:szCs w:val="22"/>
        </w:rPr>
        <w:t xml:space="preserve">.  </w:t>
      </w:r>
    </w:p>
    <w:p w14:paraId="076E354B" w14:textId="77777777" w:rsidR="00B618D7" w:rsidRPr="009227D7" w:rsidRDefault="00B618D7" w:rsidP="00B618D7">
      <w:pPr>
        <w:pStyle w:val="Default"/>
        <w:rPr>
          <w:sz w:val="22"/>
          <w:szCs w:val="22"/>
        </w:rPr>
      </w:pPr>
    </w:p>
    <w:p w14:paraId="29FF33D2" w14:textId="794637F4" w:rsidR="00B618D7" w:rsidRPr="009227D7" w:rsidRDefault="0085223B" w:rsidP="00B618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reiterate the main points of Securian’s comment letter in February  </w:t>
      </w:r>
    </w:p>
    <w:p w14:paraId="3E73D442" w14:textId="77777777" w:rsidR="00B618D7" w:rsidRPr="009227D7" w:rsidRDefault="00B618D7" w:rsidP="00B618D7">
      <w:pPr>
        <w:pStyle w:val="Default"/>
        <w:rPr>
          <w:sz w:val="22"/>
          <w:szCs w:val="22"/>
        </w:rPr>
      </w:pPr>
    </w:p>
    <w:p w14:paraId="7CA2C110" w14:textId="6BB2D899" w:rsidR="00B618D7" w:rsidRDefault="0085223B" w:rsidP="00B618D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AG49-A was </w:t>
      </w:r>
      <w:r w:rsidR="00D25CCC">
        <w:rPr>
          <w:sz w:val="22"/>
          <w:szCs w:val="22"/>
        </w:rPr>
        <w:t>successful</w:t>
      </w:r>
      <w:r>
        <w:rPr>
          <w:sz w:val="22"/>
          <w:szCs w:val="22"/>
        </w:rPr>
        <w:t xml:space="preserve"> </w:t>
      </w:r>
      <w:r w:rsidR="00D472BE">
        <w:rPr>
          <w:sz w:val="22"/>
          <w:szCs w:val="22"/>
        </w:rPr>
        <w:t>for</w:t>
      </w:r>
      <w:r w:rsidRPr="009227D7">
        <w:rPr>
          <w:sz w:val="22"/>
          <w:szCs w:val="22"/>
        </w:rPr>
        <w:t xml:space="preserve"> product</w:t>
      </w:r>
      <w:r w:rsidR="00BA3277">
        <w:rPr>
          <w:sz w:val="22"/>
          <w:szCs w:val="22"/>
        </w:rPr>
        <w:t>s</w:t>
      </w:r>
      <w:r w:rsidR="00B618D7" w:rsidRPr="009227D7">
        <w:rPr>
          <w:sz w:val="22"/>
          <w:szCs w:val="22"/>
        </w:rPr>
        <w:t xml:space="preserve"> </w:t>
      </w:r>
      <w:r w:rsidR="00BA3277">
        <w:rPr>
          <w:sz w:val="22"/>
          <w:szCs w:val="22"/>
        </w:rPr>
        <w:t>that</w:t>
      </w:r>
      <w:r w:rsidR="00B618D7" w:rsidRPr="009227D7">
        <w:rPr>
          <w:sz w:val="22"/>
          <w:szCs w:val="22"/>
        </w:rPr>
        <w:t xml:space="preserve"> charge for multipliers and/or buy-up accounts </w:t>
      </w:r>
      <w:r w:rsidR="00D472BE">
        <w:rPr>
          <w:sz w:val="22"/>
          <w:szCs w:val="22"/>
        </w:rPr>
        <w:t xml:space="preserve">as they </w:t>
      </w:r>
      <w:r w:rsidR="00BA3277">
        <w:rPr>
          <w:sz w:val="22"/>
          <w:szCs w:val="22"/>
        </w:rPr>
        <w:t xml:space="preserve">are </w:t>
      </w:r>
      <w:r w:rsidR="00B618D7" w:rsidRPr="009227D7">
        <w:rPr>
          <w:sz w:val="22"/>
          <w:szCs w:val="22"/>
        </w:rPr>
        <w:t>illustrat</w:t>
      </w:r>
      <w:r w:rsidR="00BA3277">
        <w:rPr>
          <w:sz w:val="22"/>
          <w:szCs w:val="22"/>
        </w:rPr>
        <w:t>ing</w:t>
      </w:r>
      <w:r w:rsidR="00B618D7" w:rsidRPr="009227D7">
        <w:rPr>
          <w:sz w:val="22"/>
          <w:szCs w:val="22"/>
        </w:rPr>
        <w:t xml:space="preserve"> substantially </w:t>
      </w:r>
      <w:proofErr w:type="gramStart"/>
      <w:r w:rsidR="00B618D7" w:rsidRPr="009227D7">
        <w:rPr>
          <w:sz w:val="22"/>
          <w:szCs w:val="22"/>
        </w:rPr>
        <w:t>similar to</w:t>
      </w:r>
      <w:proofErr w:type="gramEnd"/>
      <w:r w:rsidR="00B618D7" w:rsidRPr="009227D7">
        <w:rPr>
          <w:sz w:val="22"/>
          <w:szCs w:val="22"/>
        </w:rPr>
        <w:t xml:space="preserve"> those products without the additional charges.</w:t>
      </w:r>
    </w:p>
    <w:p w14:paraId="1DC608BE" w14:textId="48B9294D" w:rsidR="0085223B" w:rsidRDefault="0085223B" w:rsidP="00B618D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There is nothing inherently wrong with fixed account value </w:t>
      </w:r>
      <w:r w:rsidR="00D25CCC">
        <w:rPr>
          <w:sz w:val="22"/>
          <w:szCs w:val="22"/>
        </w:rPr>
        <w:t>bonuses</w:t>
      </w:r>
      <w:r w:rsidR="00401E0B">
        <w:rPr>
          <w:sz w:val="22"/>
          <w:szCs w:val="22"/>
        </w:rPr>
        <w:t>,</w:t>
      </w:r>
      <w:r w:rsidR="00D25CCC">
        <w:rPr>
          <w:sz w:val="22"/>
          <w:szCs w:val="22"/>
        </w:rPr>
        <w:t xml:space="preserve"> proprietary indices</w:t>
      </w:r>
      <w:r w:rsidR="00401E0B">
        <w:rPr>
          <w:sz w:val="22"/>
          <w:szCs w:val="22"/>
        </w:rPr>
        <w:t>,</w:t>
      </w:r>
      <w:r w:rsidR="00D25CCC">
        <w:rPr>
          <w:sz w:val="22"/>
          <w:szCs w:val="22"/>
        </w:rPr>
        <w:t xml:space="preserve"> or the combination of them.</w:t>
      </w:r>
    </w:p>
    <w:p w14:paraId="0050835D" w14:textId="472C5453" w:rsidR="0085223B" w:rsidRPr="009227D7" w:rsidRDefault="00D472BE" w:rsidP="00B618D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Securian Financial has deep</w:t>
      </w:r>
      <w:r w:rsidR="00D25CCC">
        <w:rPr>
          <w:sz w:val="22"/>
          <w:szCs w:val="22"/>
        </w:rPr>
        <w:t xml:space="preserve"> concerns that the amount of leverage being illustrated on non-BIA Indexed accounts is not consistent with</w:t>
      </w:r>
      <w:r w:rsidR="00BA3277">
        <w:rPr>
          <w:sz w:val="22"/>
          <w:szCs w:val="22"/>
        </w:rPr>
        <w:t xml:space="preserve"> the</w:t>
      </w:r>
      <w:r w:rsidR="00D25CCC">
        <w:rPr>
          <w:sz w:val="22"/>
          <w:szCs w:val="22"/>
        </w:rPr>
        <w:t xml:space="preserve"> intent of AG49</w:t>
      </w:r>
      <w:r w:rsidR="00BA3277">
        <w:rPr>
          <w:sz w:val="22"/>
          <w:szCs w:val="22"/>
        </w:rPr>
        <w:t>/AG49-A</w:t>
      </w:r>
      <w:r w:rsidR="00D25CCC">
        <w:rPr>
          <w:sz w:val="22"/>
          <w:szCs w:val="22"/>
        </w:rPr>
        <w:t xml:space="preserve"> or what LATF would expect</w:t>
      </w:r>
      <w:r>
        <w:rPr>
          <w:sz w:val="22"/>
          <w:szCs w:val="22"/>
        </w:rPr>
        <w:t xml:space="preserve"> of </w:t>
      </w:r>
      <w:proofErr w:type="gramStart"/>
      <w:r>
        <w:rPr>
          <w:sz w:val="22"/>
          <w:szCs w:val="22"/>
        </w:rPr>
        <w:t>these type of illustrations</w:t>
      </w:r>
      <w:proofErr w:type="gramEnd"/>
      <w:r w:rsidR="00D25CCC">
        <w:rPr>
          <w:sz w:val="22"/>
          <w:szCs w:val="22"/>
        </w:rPr>
        <w:t>.</w:t>
      </w:r>
    </w:p>
    <w:p w14:paraId="1919522C" w14:textId="77777777" w:rsidR="0091475D" w:rsidRPr="0091475D" w:rsidRDefault="0091475D" w:rsidP="0091475D">
      <w:pPr>
        <w:pStyle w:val="Default"/>
        <w:ind w:left="720"/>
        <w:rPr>
          <w:sz w:val="22"/>
          <w:szCs w:val="22"/>
        </w:rPr>
      </w:pPr>
    </w:p>
    <w:p w14:paraId="7FD012F8" w14:textId="7EBC3BE7" w:rsidR="00B618D7" w:rsidRDefault="0071353D" w:rsidP="00B618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Securian </w:t>
      </w:r>
      <w:r w:rsidR="00D472BE">
        <w:rPr>
          <w:sz w:val="22"/>
          <w:szCs w:val="22"/>
        </w:rPr>
        <w:t xml:space="preserve">Financial </w:t>
      </w:r>
      <w:r>
        <w:rPr>
          <w:sz w:val="22"/>
          <w:szCs w:val="22"/>
        </w:rPr>
        <w:t xml:space="preserve">believes </w:t>
      </w:r>
      <w:r w:rsidR="00BA6F07">
        <w:rPr>
          <w:sz w:val="22"/>
          <w:szCs w:val="22"/>
        </w:rPr>
        <w:t>that option (a) of the July request for comment is the most desirable of the choices presented.  T</w:t>
      </w:r>
      <w:r>
        <w:rPr>
          <w:sz w:val="22"/>
          <w:szCs w:val="22"/>
        </w:rPr>
        <w:t xml:space="preserve">here are several </w:t>
      </w:r>
      <w:r w:rsidR="00D472BE">
        <w:rPr>
          <w:sz w:val="22"/>
          <w:szCs w:val="22"/>
        </w:rPr>
        <w:t xml:space="preserve">straightforward </w:t>
      </w:r>
      <w:r>
        <w:rPr>
          <w:sz w:val="22"/>
          <w:szCs w:val="22"/>
        </w:rPr>
        <w:t xml:space="preserve">ways to change AG49-A to make it clearer/enforce that the </w:t>
      </w:r>
      <w:r w:rsidR="00BA3277">
        <w:rPr>
          <w:sz w:val="22"/>
          <w:szCs w:val="22"/>
        </w:rPr>
        <w:t>BIA</w:t>
      </w:r>
      <w:r>
        <w:rPr>
          <w:sz w:val="22"/>
          <w:szCs w:val="22"/>
        </w:rPr>
        <w:t xml:space="preserve"> guardrail</w:t>
      </w:r>
      <w:r w:rsidR="00BA3277">
        <w:rPr>
          <w:sz w:val="22"/>
          <w:szCs w:val="22"/>
        </w:rPr>
        <w:t>s</w:t>
      </w:r>
      <w:r>
        <w:rPr>
          <w:sz w:val="22"/>
          <w:szCs w:val="22"/>
        </w:rPr>
        <w:t xml:space="preserve"> appl</w:t>
      </w:r>
      <w:r w:rsidR="00BA3277">
        <w:rPr>
          <w:sz w:val="22"/>
          <w:szCs w:val="22"/>
        </w:rPr>
        <w:t>y</w:t>
      </w:r>
      <w:r>
        <w:rPr>
          <w:sz w:val="22"/>
          <w:szCs w:val="22"/>
        </w:rPr>
        <w:t xml:space="preserve"> to all illustrated </w:t>
      </w:r>
      <w:r w:rsidR="00136E9B">
        <w:rPr>
          <w:sz w:val="22"/>
          <w:szCs w:val="22"/>
        </w:rPr>
        <w:t>indexes</w:t>
      </w:r>
      <w:r>
        <w:rPr>
          <w:sz w:val="22"/>
          <w:szCs w:val="22"/>
        </w:rPr>
        <w:t xml:space="preserve">.  </w:t>
      </w:r>
      <w:r w:rsidR="00BA3277">
        <w:rPr>
          <w:sz w:val="22"/>
          <w:szCs w:val="22"/>
        </w:rPr>
        <w:t xml:space="preserve">We would like the language below to be added to AG49-A as a starting point for the conversation on how the subgroup could approach option (a) in the July </w:t>
      </w:r>
      <w:r w:rsidR="00BA6F07">
        <w:rPr>
          <w:sz w:val="22"/>
          <w:szCs w:val="22"/>
        </w:rPr>
        <w:t xml:space="preserve">requests for </w:t>
      </w:r>
      <w:r w:rsidR="00BA3277">
        <w:rPr>
          <w:sz w:val="22"/>
          <w:szCs w:val="22"/>
        </w:rPr>
        <w:t>comment</w:t>
      </w:r>
      <w:r w:rsidR="00BA6F07">
        <w:rPr>
          <w:sz w:val="22"/>
          <w:szCs w:val="22"/>
        </w:rPr>
        <w:t>s</w:t>
      </w:r>
      <w:r>
        <w:rPr>
          <w:sz w:val="22"/>
          <w:szCs w:val="22"/>
        </w:rPr>
        <w:t>.</w:t>
      </w:r>
      <w:r w:rsidR="00BA6F07">
        <w:rPr>
          <w:sz w:val="22"/>
          <w:szCs w:val="22"/>
        </w:rPr>
        <w:t xml:space="preserve">  </w:t>
      </w:r>
    </w:p>
    <w:p w14:paraId="65E5C2B9" w14:textId="0E832439" w:rsidR="004F6FE8" w:rsidRDefault="004F6FE8" w:rsidP="00B618D7">
      <w:pPr>
        <w:pStyle w:val="Default"/>
        <w:rPr>
          <w:sz w:val="22"/>
          <w:szCs w:val="22"/>
        </w:rPr>
      </w:pPr>
    </w:p>
    <w:p w14:paraId="581165AA" w14:textId="7216FB71" w:rsidR="00D472BE" w:rsidRPr="00E16A52" w:rsidRDefault="00D472BE" w:rsidP="00B618D7">
      <w:pPr>
        <w:pStyle w:val="Default"/>
        <w:rPr>
          <w:b/>
          <w:bCs/>
          <w:sz w:val="22"/>
          <w:szCs w:val="22"/>
        </w:rPr>
      </w:pPr>
      <w:r w:rsidRPr="00E16A52">
        <w:rPr>
          <w:b/>
          <w:bCs/>
          <w:sz w:val="22"/>
          <w:szCs w:val="22"/>
        </w:rPr>
        <w:t>Recommended Changes</w:t>
      </w:r>
    </w:p>
    <w:p w14:paraId="52E1282B" w14:textId="12B3C1B7" w:rsidR="0085223B" w:rsidRPr="0085223B" w:rsidRDefault="00AD0DF0" w:rsidP="008522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We would like to recommend changes to </w:t>
      </w:r>
      <w:r w:rsidR="00BA6F07">
        <w:rPr>
          <w:sz w:val="22"/>
          <w:szCs w:val="22"/>
        </w:rPr>
        <w:t xml:space="preserve">AG49-A </w:t>
      </w:r>
      <w:r w:rsidR="0085223B" w:rsidRPr="0085223B">
        <w:rPr>
          <w:sz w:val="22"/>
          <w:szCs w:val="22"/>
        </w:rPr>
        <w:t>4C</w:t>
      </w:r>
      <w:r>
        <w:rPr>
          <w:sz w:val="22"/>
          <w:szCs w:val="22"/>
        </w:rPr>
        <w:t xml:space="preserve"> by adding condition (iii) to limit the maximum amount of leverage illustrated to that of the BIA</w:t>
      </w:r>
      <w:r w:rsidR="0085223B" w:rsidRPr="0085223B">
        <w:rPr>
          <w:sz w:val="22"/>
          <w:szCs w:val="22"/>
        </w:rPr>
        <w:t>:</w:t>
      </w:r>
    </w:p>
    <w:p w14:paraId="22CEC96C" w14:textId="77777777" w:rsidR="0085223B" w:rsidRPr="0085223B" w:rsidRDefault="0085223B" w:rsidP="0085223B">
      <w:pPr>
        <w:pStyle w:val="Default"/>
        <w:rPr>
          <w:sz w:val="22"/>
          <w:szCs w:val="22"/>
        </w:rPr>
      </w:pPr>
      <w:r w:rsidRPr="0085223B">
        <w:rPr>
          <w:sz w:val="22"/>
          <w:szCs w:val="22"/>
        </w:rPr>
        <w:t xml:space="preserve"> </w:t>
      </w:r>
    </w:p>
    <w:p w14:paraId="31BB91CF" w14:textId="65441F4F" w:rsidR="0085223B" w:rsidRPr="0085223B" w:rsidRDefault="00AD0DF0" w:rsidP="008522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C.  </w:t>
      </w:r>
      <w:r w:rsidR="0085223B" w:rsidRPr="0085223B">
        <w:rPr>
          <w:sz w:val="22"/>
          <w:szCs w:val="22"/>
        </w:rPr>
        <w:t>For any other Index Account that is not the Benchmark Index Account in 3 (D), the Annual Rate of Indexed Credits</w:t>
      </w:r>
      <w:r>
        <w:rPr>
          <w:sz w:val="22"/>
          <w:szCs w:val="22"/>
        </w:rPr>
        <w:t xml:space="preserve"> </w:t>
      </w:r>
      <w:r w:rsidR="0085223B" w:rsidRPr="0085223B">
        <w:rPr>
          <w:sz w:val="22"/>
          <w:szCs w:val="22"/>
        </w:rPr>
        <w:t>illustrated as a percentage of the account value in the Index Account prior to the deduction of any charges used to</w:t>
      </w:r>
      <w:r>
        <w:rPr>
          <w:sz w:val="22"/>
          <w:szCs w:val="22"/>
        </w:rPr>
        <w:t xml:space="preserve"> </w:t>
      </w:r>
      <w:r w:rsidR="0085223B" w:rsidRPr="0085223B">
        <w:rPr>
          <w:sz w:val="22"/>
          <w:szCs w:val="22"/>
        </w:rPr>
        <w:t xml:space="preserve">fund a Supplemental Hedge Budget shall not exceed the minimum of (i), </w:t>
      </w:r>
      <w:r w:rsidR="0085223B" w:rsidRPr="00AD0DF0">
        <w:rPr>
          <w:color w:val="FF0000"/>
          <w:sz w:val="22"/>
          <w:szCs w:val="22"/>
        </w:rPr>
        <w:t>(ii) and (iii):</w:t>
      </w:r>
    </w:p>
    <w:p w14:paraId="03D59077" w14:textId="77777777" w:rsidR="0085223B" w:rsidRPr="0085223B" w:rsidRDefault="0085223B" w:rsidP="0085223B">
      <w:pPr>
        <w:pStyle w:val="Default"/>
        <w:rPr>
          <w:sz w:val="22"/>
          <w:szCs w:val="22"/>
        </w:rPr>
      </w:pPr>
      <w:r w:rsidRPr="0085223B">
        <w:rPr>
          <w:sz w:val="22"/>
          <w:szCs w:val="22"/>
        </w:rPr>
        <w:t xml:space="preserve"> </w:t>
      </w:r>
    </w:p>
    <w:p w14:paraId="18934A47" w14:textId="3CF02521" w:rsidR="0085223B" w:rsidRPr="0085223B" w:rsidRDefault="0085223B" w:rsidP="00AD0DF0">
      <w:pPr>
        <w:pStyle w:val="Default"/>
        <w:ind w:left="720"/>
        <w:rPr>
          <w:sz w:val="22"/>
          <w:szCs w:val="22"/>
        </w:rPr>
      </w:pPr>
      <w:r w:rsidRPr="0085223B">
        <w:rPr>
          <w:sz w:val="22"/>
          <w:szCs w:val="22"/>
        </w:rPr>
        <w:t>i. The Annual Rate of Indexed Credits for the Benchmark Index Account calculated in 4 (B) plus the</w:t>
      </w:r>
      <w:r w:rsidR="00AD0DF0">
        <w:rPr>
          <w:sz w:val="22"/>
          <w:szCs w:val="22"/>
        </w:rPr>
        <w:t xml:space="preserve"> </w:t>
      </w:r>
      <w:r w:rsidRPr="0085223B">
        <w:rPr>
          <w:sz w:val="22"/>
          <w:szCs w:val="22"/>
        </w:rPr>
        <w:t>Supplemental Hedge Budget for the Index Account.</w:t>
      </w:r>
    </w:p>
    <w:p w14:paraId="659543C2" w14:textId="77777777" w:rsidR="0085223B" w:rsidRPr="0085223B" w:rsidRDefault="0085223B" w:rsidP="0085223B">
      <w:pPr>
        <w:pStyle w:val="Default"/>
        <w:rPr>
          <w:sz w:val="22"/>
          <w:szCs w:val="22"/>
        </w:rPr>
      </w:pPr>
      <w:r w:rsidRPr="0085223B">
        <w:rPr>
          <w:sz w:val="22"/>
          <w:szCs w:val="22"/>
        </w:rPr>
        <w:t xml:space="preserve"> </w:t>
      </w:r>
    </w:p>
    <w:p w14:paraId="7C489AB0" w14:textId="5936A8C0" w:rsidR="0085223B" w:rsidRPr="0085223B" w:rsidRDefault="0085223B" w:rsidP="00AD0DF0">
      <w:pPr>
        <w:pStyle w:val="Default"/>
        <w:ind w:left="720"/>
        <w:rPr>
          <w:sz w:val="22"/>
          <w:szCs w:val="22"/>
        </w:rPr>
      </w:pPr>
      <w:r w:rsidRPr="0085223B">
        <w:rPr>
          <w:sz w:val="22"/>
          <w:szCs w:val="22"/>
        </w:rPr>
        <w:t>ii. The Annual Rate of Indexed Credits reflecting the fundamental characteristics of the Index Account</w:t>
      </w:r>
      <w:r w:rsidR="00AD0DF0">
        <w:rPr>
          <w:sz w:val="22"/>
          <w:szCs w:val="22"/>
        </w:rPr>
        <w:t xml:space="preserve"> </w:t>
      </w:r>
      <w:r w:rsidRPr="0085223B">
        <w:rPr>
          <w:sz w:val="22"/>
          <w:szCs w:val="22"/>
        </w:rPr>
        <w:t>and the appropriate relationship to the expected risk and return of the Benchmark Index Account. The</w:t>
      </w:r>
      <w:r w:rsidR="00AD0DF0">
        <w:rPr>
          <w:sz w:val="22"/>
          <w:szCs w:val="22"/>
        </w:rPr>
        <w:t xml:space="preserve"> </w:t>
      </w:r>
      <w:r w:rsidRPr="0085223B">
        <w:rPr>
          <w:sz w:val="22"/>
          <w:szCs w:val="22"/>
        </w:rPr>
        <w:t>illustration actuary shall use actuarial judgment to determine this value using lookback methodology</w:t>
      </w:r>
      <w:r w:rsidR="00AD0DF0">
        <w:rPr>
          <w:sz w:val="22"/>
          <w:szCs w:val="22"/>
        </w:rPr>
        <w:t xml:space="preserve"> </w:t>
      </w:r>
      <w:r w:rsidRPr="0085223B">
        <w:rPr>
          <w:sz w:val="22"/>
          <w:szCs w:val="22"/>
        </w:rPr>
        <w:t>consistent with 4 (A) and 4 (B) (i) where appropriate.</w:t>
      </w:r>
    </w:p>
    <w:p w14:paraId="08633CCA" w14:textId="77777777" w:rsidR="0085223B" w:rsidRPr="0085223B" w:rsidRDefault="0085223B" w:rsidP="0085223B">
      <w:pPr>
        <w:pStyle w:val="Default"/>
        <w:rPr>
          <w:sz w:val="22"/>
          <w:szCs w:val="22"/>
        </w:rPr>
      </w:pPr>
      <w:r w:rsidRPr="0085223B">
        <w:rPr>
          <w:sz w:val="22"/>
          <w:szCs w:val="22"/>
        </w:rPr>
        <w:t xml:space="preserve"> </w:t>
      </w:r>
    </w:p>
    <w:p w14:paraId="77F27C0A" w14:textId="22A193AA" w:rsidR="0085223B" w:rsidRPr="00AD0DF0" w:rsidRDefault="0085223B" w:rsidP="00AD0DF0">
      <w:pPr>
        <w:pStyle w:val="Default"/>
        <w:ind w:left="720"/>
        <w:rPr>
          <w:color w:val="FF0000"/>
          <w:sz w:val="22"/>
          <w:szCs w:val="22"/>
        </w:rPr>
      </w:pPr>
      <w:r w:rsidRPr="00AD0DF0">
        <w:rPr>
          <w:color w:val="FF0000"/>
          <w:sz w:val="22"/>
          <w:szCs w:val="22"/>
        </w:rPr>
        <w:lastRenderedPageBreak/>
        <w:t>iii. The lesser of (a) and (b) multiplied by the Annual Rate of Index Credits for the Benchmark Index Account</w:t>
      </w:r>
      <w:r w:rsidR="00401E0B">
        <w:rPr>
          <w:color w:val="FF0000"/>
          <w:sz w:val="22"/>
          <w:szCs w:val="22"/>
        </w:rPr>
        <w:t>,</w:t>
      </w:r>
      <w:r w:rsidRPr="00AD0DF0">
        <w:rPr>
          <w:color w:val="FF0000"/>
          <w:sz w:val="22"/>
          <w:szCs w:val="22"/>
        </w:rPr>
        <w:t xml:space="preserve"> calculated in 4B</w:t>
      </w:r>
      <w:r w:rsidR="00401E0B">
        <w:rPr>
          <w:color w:val="FF0000"/>
          <w:sz w:val="22"/>
          <w:szCs w:val="22"/>
        </w:rPr>
        <w:t>,</w:t>
      </w:r>
      <w:r w:rsidRPr="00AD0DF0">
        <w:rPr>
          <w:color w:val="FF0000"/>
          <w:sz w:val="22"/>
          <w:szCs w:val="22"/>
        </w:rPr>
        <w:t xml:space="preserve"> divided by (b)</w:t>
      </w:r>
      <w:r w:rsidR="00401E0B">
        <w:rPr>
          <w:color w:val="FF0000"/>
          <w:sz w:val="22"/>
          <w:szCs w:val="22"/>
        </w:rPr>
        <w:t>;</w:t>
      </w:r>
      <w:r w:rsidRPr="00AD0DF0">
        <w:rPr>
          <w:color w:val="FF0000"/>
          <w:sz w:val="22"/>
          <w:szCs w:val="22"/>
        </w:rPr>
        <w:t xml:space="preserve"> </w:t>
      </w:r>
      <w:r w:rsidR="00401E0B" w:rsidRPr="00AD0DF0">
        <w:rPr>
          <w:color w:val="FF0000"/>
          <w:sz w:val="22"/>
          <w:szCs w:val="22"/>
        </w:rPr>
        <w:t>plus,</w:t>
      </w:r>
      <w:r w:rsidRPr="00AD0DF0">
        <w:rPr>
          <w:color w:val="FF0000"/>
          <w:sz w:val="22"/>
          <w:szCs w:val="22"/>
        </w:rPr>
        <w:t xml:space="preserve"> the supplemental hedge budget:</w:t>
      </w:r>
    </w:p>
    <w:p w14:paraId="2C8D804C" w14:textId="3A45C999" w:rsidR="0085223B" w:rsidRPr="00AD0DF0" w:rsidRDefault="0085223B" w:rsidP="00AD0DF0">
      <w:pPr>
        <w:pStyle w:val="Default"/>
        <w:ind w:left="720" w:firstLine="720"/>
        <w:rPr>
          <w:color w:val="FF0000"/>
          <w:sz w:val="22"/>
          <w:szCs w:val="22"/>
        </w:rPr>
      </w:pPr>
      <w:r w:rsidRPr="00AD0DF0">
        <w:rPr>
          <w:color w:val="FF0000"/>
          <w:sz w:val="22"/>
          <w:szCs w:val="22"/>
        </w:rPr>
        <w:t xml:space="preserve">a)       </w:t>
      </w:r>
      <w:r w:rsidR="00AD0DF0">
        <w:rPr>
          <w:color w:val="FF0000"/>
          <w:sz w:val="22"/>
          <w:szCs w:val="22"/>
        </w:rPr>
        <w:t>T</w:t>
      </w:r>
      <w:r w:rsidRPr="00AD0DF0">
        <w:rPr>
          <w:color w:val="FF0000"/>
          <w:sz w:val="22"/>
          <w:szCs w:val="22"/>
        </w:rPr>
        <w:t xml:space="preserve">he Hedge Budget of the Indexed Account </w:t>
      </w:r>
    </w:p>
    <w:p w14:paraId="4B7FB668" w14:textId="77777777" w:rsidR="0085223B" w:rsidRPr="00AD0DF0" w:rsidRDefault="0085223B" w:rsidP="00AD0DF0">
      <w:pPr>
        <w:pStyle w:val="Default"/>
        <w:ind w:left="720" w:firstLine="720"/>
        <w:rPr>
          <w:color w:val="FF0000"/>
          <w:sz w:val="22"/>
          <w:szCs w:val="22"/>
        </w:rPr>
      </w:pPr>
      <w:r w:rsidRPr="00AD0DF0">
        <w:rPr>
          <w:color w:val="FF0000"/>
          <w:sz w:val="22"/>
          <w:szCs w:val="22"/>
        </w:rPr>
        <w:t>b)      Hedge Budget of the Benchmark Indexed Account.</w:t>
      </w:r>
    </w:p>
    <w:p w14:paraId="7D85829A" w14:textId="77777777" w:rsidR="0085223B" w:rsidRPr="0085223B" w:rsidRDefault="0085223B" w:rsidP="0085223B">
      <w:pPr>
        <w:pStyle w:val="Default"/>
        <w:rPr>
          <w:sz w:val="22"/>
          <w:szCs w:val="22"/>
        </w:rPr>
      </w:pPr>
      <w:r w:rsidRPr="0085223B">
        <w:rPr>
          <w:sz w:val="22"/>
          <w:szCs w:val="22"/>
        </w:rPr>
        <w:t xml:space="preserve"> </w:t>
      </w:r>
    </w:p>
    <w:p w14:paraId="4155F93F" w14:textId="16531511" w:rsidR="0085223B" w:rsidRDefault="0085223B" w:rsidP="0085223B">
      <w:pPr>
        <w:pStyle w:val="Default"/>
        <w:rPr>
          <w:sz w:val="22"/>
          <w:szCs w:val="22"/>
        </w:rPr>
      </w:pPr>
      <w:r w:rsidRPr="0085223B">
        <w:rPr>
          <w:sz w:val="22"/>
          <w:szCs w:val="22"/>
        </w:rPr>
        <w:t>The spreadsheet attached uses the same parameters as was used in 2020 but with two more examples to show how the</w:t>
      </w:r>
      <w:r w:rsidR="00401E0B">
        <w:rPr>
          <w:sz w:val="22"/>
          <w:szCs w:val="22"/>
        </w:rPr>
        <w:t xml:space="preserve"> proposed</w:t>
      </w:r>
      <w:r w:rsidRPr="0085223B">
        <w:rPr>
          <w:sz w:val="22"/>
          <w:szCs w:val="22"/>
        </w:rPr>
        <w:t xml:space="preserve"> change would impact several index designs and the added rows for the new 4(c)iii and the resulting options profit being illustrated</w:t>
      </w:r>
      <w:r w:rsidR="00D472BE">
        <w:rPr>
          <w:sz w:val="22"/>
          <w:szCs w:val="22"/>
        </w:rPr>
        <w:t>.  Focus your attention on Column E</w:t>
      </w:r>
      <w:r w:rsidR="00C61DFD">
        <w:rPr>
          <w:sz w:val="22"/>
          <w:szCs w:val="22"/>
        </w:rPr>
        <w:t xml:space="preserve"> and note that without 4(c)(iii), the illustrated leverage (option profit) as seen on Row 29 would be 155%.  </w:t>
      </w:r>
    </w:p>
    <w:p w14:paraId="4F64BF4A" w14:textId="77777777" w:rsidR="0085223B" w:rsidRPr="009227D7" w:rsidRDefault="0085223B" w:rsidP="00B618D7">
      <w:pPr>
        <w:pStyle w:val="Default"/>
        <w:rPr>
          <w:sz w:val="22"/>
          <w:szCs w:val="22"/>
        </w:rPr>
      </w:pPr>
    </w:p>
    <w:p w14:paraId="6C74B27F" w14:textId="77777777" w:rsidR="00B618D7" w:rsidRPr="009227D7" w:rsidRDefault="00B618D7" w:rsidP="00B618D7">
      <w:pPr>
        <w:pStyle w:val="Default"/>
        <w:rPr>
          <w:sz w:val="22"/>
          <w:szCs w:val="22"/>
        </w:rPr>
      </w:pPr>
      <w:r w:rsidRPr="009227D7">
        <w:rPr>
          <w:sz w:val="22"/>
          <w:szCs w:val="22"/>
        </w:rPr>
        <w:t xml:space="preserve">Respectfully, </w:t>
      </w:r>
    </w:p>
    <w:p w14:paraId="53F09C76" w14:textId="77777777" w:rsidR="00B618D7" w:rsidRPr="009227D7" w:rsidRDefault="00B618D7" w:rsidP="00B618D7">
      <w:pPr>
        <w:pStyle w:val="Default"/>
        <w:rPr>
          <w:sz w:val="22"/>
          <w:szCs w:val="22"/>
        </w:rPr>
      </w:pPr>
    </w:p>
    <w:p w14:paraId="50AF2B1D" w14:textId="77777777" w:rsidR="00B618D7" w:rsidRPr="009227D7" w:rsidRDefault="00B618D7" w:rsidP="00B618D7">
      <w:pPr>
        <w:pStyle w:val="Default"/>
        <w:rPr>
          <w:sz w:val="22"/>
          <w:szCs w:val="22"/>
        </w:rPr>
      </w:pPr>
      <w:r w:rsidRPr="009227D7">
        <w:rPr>
          <w:sz w:val="22"/>
          <w:szCs w:val="22"/>
        </w:rPr>
        <w:t>Seth Detert, Securian Financial</w:t>
      </w:r>
    </w:p>
    <w:p w14:paraId="6B15E5FA" w14:textId="77777777" w:rsidR="006F5115" w:rsidRDefault="006F5115" w:rsidP="003E755C"/>
    <w:p w14:paraId="42249DFC" w14:textId="77777777" w:rsidR="009227D7" w:rsidRPr="00E209EB" w:rsidRDefault="009227D7" w:rsidP="009227D7">
      <w:pPr>
        <w:pStyle w:val="D1-Reg89SLATE"/>
        <w:rPr>
          <w:color w:val="58595B" w:themeColor="text1"/>
        </w:rPr>
      </w:pPr>
      <w:r w:rsidRPr="00E209EB">
        <w:rPr>
          <w:color w:val="58595B" w:themeColor="text1"/>
        </w:rPr>
        <w:t xml:space="preserve">Securian Financial is the marketing name for Securian Financial Group, </w:t>
      </w:r>
      <w:proofErr w:type="gramStart"/>
      <w:r w:rsidRPr="00E209EB">
        <w:rPr>
          <w:color w:val="58595B" w:themeColor="text1"/>
        </w:rPr>
        <w:t>Inc.</w:t>
      </w:r>
      <w:proofErr w:type="gramEnd"/>
      <w:r w:rsidRPr="00E209EB">
        <w:rPr>
          <w:color w:val="58595B" w:themeColor="text1"/>
        </w:rPr>
        <w:t xml:space="preserve"> and its affiliates. Insurance products are issued by its affiliated insurance companies. Securities and investment advisory services offered through Securian Financial Services, Inc., registered investment advisor, member FINRA/SIPC.</w:t>
      </w:r>
    </w:p>
    <w:p w14:paraId="11CD9142" w14:textId="77777777" w:rsidR="009227D7" w:rsidRPr="003E755C" w:rsidRDefault="009227D7" w:rsidP="003E755C"/>
    <w:sectPr w:rsidR="009227D7" w:rsidRPr="003E755C" w:rsidSect="003E75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34" w:right="1440" w:bottom="547" w:left="1440" w:header="0" w:footer="54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94E1B" w14:textId="77777777" w:rsidR="003A2013" w:rsidRDefault="003A2013">
      <w:r>
        <w:separator/>
      </w:r>
    </w:p>
  </w:endnote>
  <w:endnote w:type="continuationSeparator" w:id="0">
    <w:p w14:paraId="7C55F451" w14:textId="77777777" w:rsidR="003A2013" w:rsidRDefault="003A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rmeGeometricSans4 Regular">
    <w:panose1 w:val="020B0500020000000000"/>
    <w:charset w:val="00"/>
    <w:family w:val="swiss"/>
    <w:notTrueType/>
    <w:pitch w:val="variable"/>
    <w:sig w:usb0="A000002F" w:usb1="4000207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CBDD" w14:textId="77777777" w:rsidR="009227D7" w:rsidRDefault="009227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5997" w14:textId="77777777" w:rsidR="009227D7" w:rsidRDefault="009227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36091" w14:textId="77777777" w:rsidR="009227D7" w:rsidRDefault="009227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77A5A" w14:textId="77777777" w:rsidR="003A2013" w:rsidRDefault="003A2013">
      <w:r>
        <w:separator/>
      </w:r>
    </w:p>
  </w:footnote>
  <w:footnote w:type="continuationSeparator" w:id="0">
    <w:p w14:paraId="5893FF1D" w14:textId="77777777" w:rsidR="003A2013" w:rsidRDefault="003A2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FB558" w14:textId="77777777" w:rsidR="009227D7" w:rsidRDefault="009227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53D4" w14:textId="77777777" w:rsidR="002A3236" w:rsidRDefault="00E16A52" w:rsidP="002A3236">
    <w:pPr>
      <w:pStyle w:val="Header"/>
      <w:tabs>
        <w:tab w:val="left" w:pos="900"/>
      </w:tabs>
      <w:spacing w:line="180" w:lineRule="exact"/>
      <w:rPr>
        <w:rFonts w:ascii="Arial" w:hAnsi="Arial" w:cs="Arial"/>
        <w:sz w:val="14"/>
      </w:rPr>
    </w:pPr>
  </w:p>
  <w:p w14:paraId="7515BE22" w14:textId="77777777" w:rsidR="002A3236" w:rsidRDefault="00E16A52" w:rsidP="002A3236">
    <w:pPr>
      <w:pStyle w:val="Header"/>
      <w:tabs>
        <w:tab w:val="left" w:pos="900"/>
      </w:tabs>
      <w:spacing w:line="180" w:lineRule="exact"/>
      <w:rPr>
        <w:rFonts w:ascii="Arial" w:hAnsi="Arial" w:cs="Arial"/>
        <w:sz w:val="14"/>
      </w:rPr>
    </w:pPr>
  </w:p>
  <w:p w14:paraId="5E2C218D" w14:textId="77777777" w:rsidR="002A3236" w:rsidRDefault="00E16A52" w:rsidP="002A3236">
    <w:pPr>
      <w:pStyle w:val="Header"/>
      <w:tabs>
        <w:tab w:val="left" w:pos="900"/>
      </w:tabs>
      <w:spacing w:line="180" w:lineRule="exact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FAD33" w14:textId="77777777" w:rsidR="009227D7" w:rsidRDefault="009227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32167"/>
    <w:multiLevelType w:val="hybridMultilevel"/>
    <w:tmpl w:val="43F0B2D4"/>
    <w:lvl w:ilvl="0" w:tplc="3C109C2E">
      <w:start w:val="1"/>
      <w:numFmt w:val="bullet"/>
      <w:pStyle w:val="B1b-Reg1013BLK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0C2C1C"/>
    <w:multiLevelType w:val="hybridMultilevel"/>
    <w:tmpl w:val="72BC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7065777">
    <w:abstractNumId w:val="0"/>
  </w:num>
  <w:num w:numId="2" w16cid:durableId="1615479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D7"/>
    <w:rsid w:val="0002496F"/>
    <w:rsid w:val="0003370D"/>
    <w:rsid w:val="00071A87"/>
    <w:rsid w:val="000C1494"/>
    <w:rsid w:val="00136E9B"/>
    <w:rsid w:val="001719C4"/>
    <w:rsid w:val="001B207F"/>
    <w:rsid w:val="001E381B"/>
    <w:rsid w:val="00202A51"/>
    <w:rsid w:val="0022260A"/>
    <w:rsid w:val="0027303A"/>
    <w:rsid w:val="00283AE7"/>
    <w:rsid w:val="00290B3A"/>
    <w:rsid w:val="0029294D"/>
    <w:rsid w:val="002D1D2B"/>
    <w:rsid w:val="002F2C73"/>
    <w:rsid w:val="003A1A8E"/>
    <w:rsid w:val="003A2013"/>
    <w:rsid w:val="003A5A16"/>
    <w:rsid w:val="003E755C"/>
    <w:rsid w:val="00401E0B"/>
    <w:rsid w:val="00440740"/>
    <w:rsid w:val="004F6FE8"/>
    <w:rsid w:val="00542119"/>
    <w:rsid w:val="0058764C"/>
    <w:rsid w:val="005B78C4"/>
    <w:rsid w:val="005D55A2"/>
    <w:rsid w:val="00614F96"/>
    <w:rsid w:val="006212DD"/>
    <w:rsid w:val="006B4001"/>
    <w:rsid w:val="006C7ECF"/>
    <w:rsid w:val="006F5115"/>
    <w:rsid w:val="0071353D"/>
    <w:rsid w:val="00752E83"/>
    <w:rsid w:val="00791D42"/>
    <w:rsid w:val="007D57B8"/>
    <w:rsid w:val="007F1829"/>
    <w:rsid w:val="00840FC6"/>
    <w:rsid w:val="0085223B"/>
    <w:rsid w:val="00865C0B"/>
    <w:rsid w:val="008B33E9"/>
    <w:rsid w:val="008C1961"/>
    <w:rsid w:val="008D6BCC"/>
    <w:rsid w:val="008F4108"/>
    <w:rsid w:val="0091475D"/>
    <w:rsid w:val="009227D7"/>
    <w:rsid w:val="009E6AB2"/>
    <w:rsid w:val="009F225D"/>
    <w:rsid w:val="00AD0DF0"/>
    <w:rsid w:val="00AD3054"/>
    <w:rsid w:val="00AF301A"/>
    <w:rsid w:val="00B00B00"/>
    <w:rsid w:val="00B618D7"/>
    <w:rsid w:val="00B87F51"/>
    <w:rsid w:val="00BA3277"/>
    <w:rsid w:val="00BA6F07"/>
    <w:rsid w:val="00BE1932"/>
    <w:rsid w:val="00C364A4"/>
    <w:rsid w:val="00C61DFD"/>
    <w:rsid w:val="00C66C2A"/>
    <w:rsid w:val="00CE25DF"/>
    <w:rsid w:val="00CF525E"/>
    <w:rsid w:val="00D25CCC"/>
    <w:rsid w:val="00D472BE"/>
    <w:rsid w:val="00E16A52"/>
    <w:rsid w:val="00E209EB"/>
    <w:rsid w:val="00E414A8"/>
    <w:rsid w:val="00E61F49"/>
    <w:rsid w:val="00E97E11"/>
    <w:rsid w:val="00ED04D3"/>
    <w:rsid w:val="00ED374B"/>
    <w:rsid w:val="00F03BF0"/>
    <w:rsid w:val="00F12F48"/>
    <w:rsid w:val="00FB38C1"/>
    <w:rsid w:val="00FD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B0DC28C"/>
  <w15:chartTrackingRefBased/>
  <w15:docId w15:val="{A31123E9-9F6D-4007-B344-26F27F20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-Reg89SLATE">
    <w:name w:val="D1* - Reg 8/9 SLATE"/>
    <w:basedOn w:val="Normal"/>
    <w:next w:val="Normal"/>
    <w:uiPriority w:val="99"/>
    <w:rsid w:val="00F12F48"/>
    <w:pPr>
      <w:widowControl w:val="0"/>
      <w:suppressAutoHyphens/>
      <w:autoSpaceDE w:val="0"/>
      <w:autoSpaceDN w:val="0"/>
      <w:adjustRightInd w:val="0"/>
      <w:spacing w:after="43" w:line="180" w:lineRule="atLeast"/>
      <w:textAlignment w:val="center"/>
    </w:pPr>
    <w:rPr>
      <w:rFonts w:asciiTheme="minorHAnsi" w:eastAsiaTheme="minorEastAsia" w:hAnsiTheme="minorHAnsi" w:cs="ArialMT"/>
      <w:color w:val="284684" w:themeColor="accent5"/>
      <w:spacing w:val="-2"/>
      <w:sz w:val="16"/>
      <w:szCs w:val="16"/>
    </w:rPr>
  </w:style>
  <w:style w:type="paragraph" w:customStyle="1" w:styleId="B1-Reg1013BLK">
    <w:name w:val="B1 - Reg 10/13 BLK"/>
    <w:basedOn w:val="Normal"/>
    <w:next w:val="Normal"/>
    <w:uiPriority w:val="99"/>
    <w:rsid w:val="00F12F48"/>
    <w:pPr>
      <w:widowControl w:val="0"/>
      <w:suppressAutoHyphens/>
      <w:autoSpaceDE w:val="0"/>
      <w:autoSpaceDN w:val="0"/>
      <w:adjustRightInd w:val="0"/>
      <w:spacing w:after="90" w:line="260" w:lineRule="atLeast"/>
      <w:textAlignment w:val="center"/>
    </w:pPr>
    <w:rPr>
      <w:rFonts w:asciiTheme="minorHAnsi" w:eastAsiaTheme="minorEastAsia" w:hAnsiTheme="minorHAnsi" w:cs="ArialMT"/>
      <w:color w:val="000000"/>
    </w:rPr>
  </w:style>
  <w:style w:type="paragraph" w:customStyle="1" w:styleId="B1b-Reg1013BLK">
    <w:name w:val="B1b - Reg 10/13 BLK"/>
    <w:basedOn w:val="B1-Reg1013BLK"/>
    <w:next w:val="Normal"/>
    <w:uiPriority w:val="99"/>
    <w:rsid w:val="00F12F48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F12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F48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8D6B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D6BC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00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E6AB2"/>
    <w:pPr>
      <w:ind w:left="720"/>
      <w:contextualSpacing/>
    </w:pPr>
  </w:style>
  <w:style w:type="paragraph" w:customStyle="1" w:styleId="FandtrackingSLATELOGOBLOCK">
    <w:name w:val="F# and tracking# / SLATE (LOGO BLOCK)"/>
    <w:basedOn w:val="Normal"/>
    <w:uiPriority w:val="99"/>
    <w:rsid w:val="002F2C73"/>
    <w:pPr>
      <w:widowControl w:val="0"/>
      <w:tabs>
        <w:tab w:val="left" w:pos="216"/>
        <w:tab w:val="left" w:pos="432"/>
        <w:tab w:val="left" w:pos="648"/>
      </w:tabs>
      <w:suppressAutoHyphens/>
      <w:autoSpaceDE w:val="0"/>
      <w:autoSpaceDN w:val="0"/>
      <w:adjustRightInd w:val="0"/>
      <w:spacing w:after="90" w:line="160" w:lineRule="atLeast"/>
      <w:ind w:left="1080"/>
      <w:textAlignment w:val="center"/>
    </w:pPr>
    <w:rPr>
      <w:rFonts w:ascii="HurmeGeometricSans4 Regular" w:eastAsiaTheme="minorEastAsia" w:hAnsi="HurmeGeometricSans4 Regular" w:cs="ArialMT"/>
      <w:color w:val="58595B"/>
      <w:spacing w:val="1"/>
      <w:sz w:val="12"/>
      <w:szCs w:val="12"/>
    </w:rPr>
  </w:style>
  <w:style w:type="paragraph" w:customStyle="1" w:styleId="Default">
    <w:name w:val="Default"/>
    <w:rsid w:val="00B618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F03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MB54\AppData\Local\Microsoft\Windows\INetCache\IE\02I3JW0P\electronic-letterhead.dotx" TargetMode="External"/></Relationships>
</file>

<file path=word/theme/theme1.xml><?xml version="1.0" encoding="utf-8"?>
<a:theme xmlns:a="http://schemas.openxmlformats.org/drawingml/2006/main" name="ArialTheme">
  <a:themeElements>
    <a:clrScheme name="Securian 2019">
      <a:dk1>
        <a:srgbClr val="58595B"/>
      </a:dk1>
      <a:lt1>
        <a:srgbClr val="FFFFFF"/>
      </a:lt1>
      <a:dk2>
        <a:srgbClr val="000000"/>
      </a:dk2>
      <a:lt2>
        <a:srgbClr val="FFFFFF"/>
      </a:lt2>
      <a:accent1>
        <a:srgbClr val="0AA147"/>
      </a:accent1>
      <a:accent2>
        <a:srgbClr val="95C93C"/>
      </a:accent2>
      <a:accent3>
        <a:srgbClr val="006DAF"/>
      </a:accent3>
      <a:accent4>
        <a:srgbClr val="56C3EA"/>
      </a:accent4>
      <a:accent5>
        <a:srgbClr val="284684"/>
      </a:accent5>
      <a:accent6>
        <a:srgbClr val="92949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7" ma:contentTypeDescription="Create a new document." ma:contentTypeScope="" ma:versionID="f1a4347525975c2378addf0702751c71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xmlns:ns5="3c9e15a3-223f-4584-afb1-1dbe0b3878fa" targetNamespace="http://schemas.microsoft.com/office/2006/metadata/properties" ma:root="true" ma:fieldsID="4207b26d9c69e3e16c88978d64573ecd" ns1:_="" ns2:_="" ns3:_="" ns4:_="" ns5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import namespace="3c9e15a3-223f-4584-afb1-1dbe0b3878fa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c28e0220-fee2-4e32-9192-0559fdf47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15a3-223f-4584-afb1-1dbe0b3878fa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1fe78a2-4e71-403c-bd98-a83249bb9193}" ma:internalName="TaxCatchAll" ma:showField="CatchAllData" ma:web="734dc620-9a3c-4363-b6b2-552d0a5c0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15a3-223f-4584-afb1-1dbe0b3878fa" xsi:nil="true"/>
    <lcf76f155ced4ddcb4097134ff3c332f xmlns="55eb7663-75cc-4f64-9609-52561375e7a6">
      <Terms xmlns="http://schemas.microsoft.com/office/infopath/2007/PartnerControls"/>
    </lcf76f155ced4ddcb4097134ff3c332f>
    <_EndDate xmlns="http://schemas.microsoft.com/sharepoint/v3/fields">2022-04-08T05:00:00+00:00</_EndDate>
    <StartDate xmlns="http://schemas.microsoft.com/sharepoint/v3">2022-04-07T05:00:00+00:00</StartDate>
    <Location xmlns="http://schemas.microsoft.com/sharepoint/v3/fields">Kansas City, MO</Location>
    <Meeting_x0020_Type xmlns="734dc620-9a3c-4363-b6b2-552d0a5c0ad8">Spring National</Meeting_x0020_Type>
  </documentManagement>
</p:properties>
</file>

<file path=customXml/itemProps1.xml><?xml version="1.0" encoding="utf-8"?>
<ds:datastoreItem xmlns:ds="http://schemas.openxmlformats.org/officeDocument/2006/customXml" ds:itemID="{4AA7E8BD-3AA8-4266-9BDA-EAEF9F6D18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9B43A8-8EFA-4AFD-8BF7-2F1DC6616A10}"/>
</file>

<file path=customXml/itemProps3.xml><?xml version="1.0" encoding="utf-8"?>
<ds:datastoreItem xmlns:ds="http://schemas.openxmlformats.org/officeDocument/2006/customXml" ds:itemID="{B538D3B1-07C0-4F3A-B146-F9E53CBE8013}"/>
</file>

<file path=customXml/itemProps4.xml><?xml version="1.0" encoding="utf-8"?>
<ds:datastoreItem xmlns:ds="http://schemas.openxmlformats.org/officeDocument/2006/customXml" ds:itemID="{7082A1FE-B043-4C58-9177-17EEB25C16AF}"/>
</file>

<file path=docProps/app.xml><?xml version="1.0" encoding="utf-8"?>
<Properties xmlns="http://schemas.openxmlformats.org/officeDocument/2006/extended-properties" xmlns:vt="http://schemas.openxmlformats.org/officeDocument/2006/docPropsVTypes">
  <Template>electronic-letterhead.dotx</Template>
  <TotalTime>1</TotalTime>
  <Pages>2</Pages>
  <Words>528</Words>
  <Characters>3012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Securian Financial Group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Susla, Georgette</dc:creator>
  <cp:keywords/>
  <dc:description/>
  <cp:lastModifiedBy>Detert, Seth J.</cp:lastModifiedBy>
  <cp:revision>2</cp:revision>
  <cp:lastPrinted>2018-05-16T19:26:00Z</cp:lastPrinted>
  <dcterms:created xsi:type="dcterms:W3CDTF">2022-07-25T21:18:00Z</dcterms:created>
  <dcterms:modified xsi:type="dcterms:W3CDTF">2022-07-25T21:18:00Z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  <property fmtid="{D5CDD505-2E9C-101B-9397-08002B2CF9AE}" pid="3" name="_docset_NoMedatataSyncRequired">
    <vt:lpwstr>False</vt:lpwstr>
  </property>
</Properties>
</file>