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94A5" w14:textId="77777777" w:rsidR="003E755C" w:rsidRPr="00B00B00" w:rsidRDefault="003E755C" w:rsidP="003E755C">
      <w:pPr>
        <w:tabs>
          <w:tab w:val="left" w:pos="7280"/>
        </w:tabs>
        <w:spacing w:line="180" w:lineRule="exact"/>
        <w:rPr>
          <w:rFonts w:asciiTheme="minorHAnsi" w:hAnsiTheme="minorHAnsi" w:cstheme="minorHAnsi"/>
          <w:b/>
          <w:sz w:val="14"/>
        </w:rPr>
      </w:pPr>
      <w:r w:rsidRPr="00B00B00">
        <w:rPr>
          <w:rFonts w:asciiTheme="minorHAnsi" w:hAnsiTheme="minorHAnsi" w:cstheme="minorHAnsi"/>
          <w:noProof/>
          <w:sz w:val="22"/>
          <w:szCs w:val="22"/>
        </w:rPr>
        <w:drawing>
          <wp:anchor distT="0" distB="0" distL="114300" distR="114300" simplePos="0" relativeHeight="251659264" behindDoc="1" locked="1" layoutInCell="1" allowOverlap="1" wp14:anchorId="164A5A1C" wp14:editId="3D6FA270">
            <wp:simplePos x="0" y="0"/>
            <wp:positionH relativeFrom="page">
              <wp:posOffset>5265420</wp:posOffset>
            </wp:positionH>
            <wp:positionV relativeFrom="page">
              <wp:posOffset>400050</wp:posOffset>
            </wp:positionV>
            <wp:extent cx="1577975" cy="3663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urian_R_PrimLogo_Asset_Mgmt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975" cy="366395"/>
                    </a:xfrm>
                    <a:prstGeom prst="rect">
                      <a:avLst/>
                    </a:prstGeom>
                  </pic:spPr>
                </pic:pic>
              </a:graphicData>
            </a:graphic>
            <wp14:sizeRelH relativeFrom="margin">
              <wp14:pctWidth>0</wp14:pctWidth>
            </wp14:sizeRelH>
            <wp14:sizeRelV relativeFrom="margin">
              <wp14:pctHeight>0</wp14:pctHeight>
            </wp14:sizeRelV>
          </wp:anchor>
        </w:drawing>
      </w:r>
      <w:r w:rsidRPr="00B00B00">
        <w:rPr>
          <w:rFonts w:asciiTheme="minorHAnsi" w:hAnsiTheme="minorHAnsi" w:cstheme="minorHAnsi"/>
          <w:b/>
          <w:sz w:val="14"/>
        </w:rPr>
        <w:t>Securian Financial Group, Inc.</w:t>
      </w:r>
      <w:r>
        <w:rPr>
          <w:rFonts w:asciiTheme="minorHAnsi" w:hAnsiTheme="minorHAnsi" w:cstheme="minorHAnsi"/>
          <w:b/>
          <w:sz w:val="14"/>
        </w:rPr>
        <w:tab/>
      </w:r>
    </w:p>
    <w:p w14:paraId="06C86499" w14:textId="77777777" w:rsidR="003E755C" w:rsidRPr="00B00B00" w:rsidRDefault="003E755C" w:rsidP="003E755C">
      <w:pPr>
        <w:tabs>
          <w:tab w:val="left" w:pos="8000"/>
        </w:tabs>
        <w:spacing w:line="180" w:lineRule="exact"/>
        <w:rPr>
          <w:rFonts w:asciiTheme="minorHAnsi" w:hAnsiTheme="minorHAnsi" w:cstheme="minorHAnsi"/>
          <w:sz w:val="14"/>
        </w:rPr>
      </w:pPr>
      <w:r w:rsidRPr="00B00B00">
        <w:rPr>
          <w:rFonts w:asciiTheme="minorHAnsi" w:hAnsiTheme="minorHAnsi" w:cstheme="minorHAnsi"/>
          <w:sz w:val="14"/>
        </w:rPr>
        <w:t>400 Robert Street North</w:t>
      </w:r>
      <w:r>
        <w:rPr>
          <w:rFonts w:asciiTheme="minorHAnsi" w:hAnsiTheme="minorHAnsi" w:cstheme="minorHAnsi"/>
          <w:sz w:val="14"/>
        </w:rPr>
        <w:tab/>
      </w:r>
    </w:p>
    <w:p w14:paraId="50C7EF36" w14:textId="77777777" w:rsidR="003E755C" w:rsidRDefault="003E755C" w:rsidP="003E755C">
      <w:pPr>
        <w:spacing w:line="180" w:lineRule="exact"/>
        <w:rPr>
          <w:rFonts w:asciiTheme="minorHAnsi" w:hAnsiTheme="minorHAnsi" w:cstheme="minorHAnsi"/>
          <w:sz w:val="14"/>
        </w:rPr>
      </w:pPr>
      <w:r w:rsidRPr="00B00B00">
        <w:rPr>
          <w:rFonts w:asciiTheme="minorHAnsi" w:hAnsiTheme="minorHAnsi" w:cstheme="minorHAnsi"/>
          <w:sz w:val="14"/>
        </w:rPr>
        <w:t>St. Paul, MN  55101-2098</w:t>
      </w:r>
    </w:p>
    <w:p w14:paraId="2130DC36" w14:textId="77777777" w:rsidR="003E755C" w:rsidRPr="00B00B00" w:rsidRDefault="003E755C" w:rsidP="003E755C">
      <w:pPr>
        <w:spacing w:after="90" w:line="180" w:lineRule="exact"/>
        <w:rPr>
          <w:rFonts w:asciiTheme="minorHAnsi" w:hAnsiTheme="minorHAnsi" w:cstheme="minorHAnsi"/>
          <w:sz w:val="14"/>
        </w:rPr>
      </w:pPr>
      <w:r>
        <w:rPr>
          <w:rFonts w:asciiTheme="minorHAnsi" w:hAnsiTheme="minorHAnsi" w:cstheme="minorHAnsi"/>
          <w:sz w:val="14"/>
        </w:rPr>
        <w:t>651-665-3500</w:t>
      </w:r>
    </w:p>
    <w:p w14:paraId="6A7CC52D" w14:textId="77777777" w:rsidR="003E755C" w:rsidRPr="00B00B00" w:rsidRDefault="003E755C" w:rsidP="003E755C">
      <w:pPr>
        <w:spacing w:line="180" w:lineRule="exact"/>
        <w:rPr>
          <w:rFonts w:asciiTheme="minorHAnsi" w:hAnsiTheme="minorHAnsi" w:cstheme="minorHAnsi"/>
          <w:color w:val="0C7B40"/>
          <w:sz w:val="14"/>
        </w:rPr>
      </w:pPr>
      <w:r w:rsidRPr="00B00B00">
        <w:rPr>
          <w:rFonts w:asciiTheme="minorHAnsi" w:hAnsiTheme="minorHAnsi" w:cstheme="minorHAnsi"/>
          <w:color w:val="0C7B40"/>
          <w:sz w:val="14"/>
        </w:rPr>
        <w:t>securian.com</w:t>
      </w:r>
    </w:p>
    <w:p w14:paraId="4FA54D14" w14:textId="77777777" w:rsidR="003E755C" w:rsidRPr="008F4108" w:rsidRDefault="003E755C" w:rsidP="003E755C">
      <w:pPr>
        <w:rPr>
          <w:rFonts w:asciiTheme="minorHAnsi" w:hAnsiTheme="minorHAnsi" w:cstheme="minorHAnsi"/>
        </w:rPr>
      </w:pPr>
    </w:p>
    <w:p w14:paraId="2491AEBF" w14:textId="119079A8" w:rsidR="003A1A8E" w:rsidRPr="003A1A8E" w:rsidRDefault="00FA79F2" w:rsidP="003A1A8E">
      <w:pPr>
        <w:pStyle w:val="Default"/>
        <w:rPr>
          <w:sz w:val="22"/>
          <w:szCs w:val="22"/>
        </w:rPr>
      </w:pPr>
      <w:r>
        <w:rPr>
          <w:sz w:val="22"/>
          <w:szCs w:val="22"/>
        </w:rPr>
        <w:t>September 6</w:t>
      </w:r>
      <w:r w:rsidR="00B618D7" w:rsidRPr="009227D7">
        <w:rPr>
          <w:sz w:val="22"/>
          <w:szCs w:val="22"/>
        </w:rPr>
        <w:t>, 202</w:t>
      </w:r>
      <w:r w:rsidR="000C1494">
        <w:rPr>
          <w:sz w:val="22"/>
          <w:szCs w:val="22"/>
        </w:rPr>
        <w:t>2</w:t>
      </w:r>
    </w:p>
    <w:p w14:paraId="03E994C8" w14:textId="77777777" w:rsidR="003A1A8E" w:rsidRPr="003A1A8E" w:rsidRDefault="003A1A8E" w:rsidP="003A1A8E">
      <w:pPr>
        <w:pStyle w:val="Default"/>
        <w:rPr>
          <w:sz w:val="22"/>
          <w:szCs w:val="22"/>
        </w:rPr>
      </w:pPr>
      <w:r w:rsidRPr="003A1A8E">
        <w:rPr>
          <w:sz w:val="22"/>
          <w:szCs w:val="22"/>
        </w:rPr>
        <w:t>Mr. Fred Andersen</w:t>
      </w:r>
    </w:p>
    <w:p w14:paraId="6B0D4977" w14:textId="32FD6365" w:rsidR="00B618D7" w:rsidRPr="009227D7" w:rsidRDefault="003A1A8E" w:rsidP="003A1A8E">
      <w:pPr>
        <w:pStyle w:val="Default"/>
        <w:rPr>
          <w:sz w:val="22"/>
          <w:szCs w:val="22"/>
        </w:rPr>
      </w:pPr>
      <w:r w:rsidRPr="003A1A8E">
        <w:rPr>
          <w:sz w:val="22"/>
          <w:szCs w:val="22"/>
        </w:rPr>
        <w:t>Chair, NAIC Indexed Universal Life (IUL) Illustration (A) Subgroup (IUL Subgroup)</w:t>
      </w:r>
    </w:p>
    <w:p w14:paraId="13366029" w14:textId="77777777" w:rsidR="003A1A8E" w:rsidRDefault="003A1A8E" w:rsidP="00B618D7">
      <w:pPr>
        <w:pStyle w:val="Default"/>
        <w:rPr>
          <w:sz w:val="22"/>
          <w:szCs w:val="22"/>
        </w:rPr>
      </w:pPr>
    </w:p>
    <w:p w14:paraId="77C83E42" w14:textId="3DDAF002" w:rsidR="00B618D7" w:rsidRPr="009227D7" w:rsidRDefault="00B618D7" w:rsidP="00B618D7">
      <w:pPr>
        <w:pStyle w:val="Default"/>
        <w:rPr>
          <w:sz w:val="22"/>
          <w:szCs w:val="22"/>
        </w:rPr>
      </w:pPr>
      <w:r w:rsidRPr="009227D7">
        <w:rPr>
          <w:sz w:val="22"/>
          <w:szCs w:val="22"/>
        </w:rPr>
        <w:t>Dear Fred,</w:t>
      </w:r>
    </w:p>
    <w:p w14:paraId="794FDA14" w14:textId="715FDB32" w:rsidR="00B618D7" w:rsidRPr="009227D7" w:rsidRDefault="00B618D7" w:rsidP="00B618D7">
      <w:pPr>
        <w:pStyle w:val="Default"/>
        <w:rPr>
          <w:sz w:val="22"/>
          <w:szCs w:val="22"/>
        </w:rPr>
      </w:pPr>
      <w:r w:rsidRPr="009227D7">
        <w:rPr>
          <w:sz w:val="22"/>
          <w:szCs w:val="22"/>
        </w:rPr>
        <w:t xml:space="preserve">Securian Financial </w:t>
      </w:r>
      <w:r w:rsidR="00F03BF0">
        <w:rPr>
          <w:sz w:val="22"/>
          <w:szCs w:val="22"/>
        </w:rPr>
        <w:t xml:space="preserve">respectfully </w:t>
      </w:r>
      <w:r w:rsidR="00D472BE">
        <w:rPr>
          <w:sz w:val="22"/>
          <w:szCs w:val="22"/>
        </w:rPr>
        <w:t>submits</w:t>
      </w:r>
      <w:r w:rsidRPr="009227D7">
        <w:rPr>
          <w:sz w:val="22"/>
          <w:szCs w:val="22"/>
        </w:rPr>
        <w:t xml:space="preserve"> these comments in response to the NAIC IUL Illustrations (A) Subcommittee request for comments </w:t>
      </w:r>
      <w:r w:rsidR="000C1494">
        <w:rPr>
          <w:sz w:val="22"/>
          <w:szCs w:val="22"/>
        </w:rPr>
        <w:t xml:space="preserve">on </w:t>
      </w:r>
      <w:r w:rsidR="006C7ECF">
        <w:rPr>
          <w:sz w:val="22"/>
          <w:szCs w:val="22"/>
        </w:rPr>
        <w:t>AG</w:t>
      </w:r>
      <w:r w:rsidR="0071353D">
        <w:rPr>
          <w:sz w:val="22"/>
          <w:szCs w:val="22"/>
        </w:rPr>
        <w:t>4</w:t>
      </w:r>
      <w:r w:rsidR="006C7ECF">
        <w:rPr>
          <w:sz w:val="22"/>
          <w:szCs w:val="22"/>
        </w:rPr>
        <w:t>9-A</w:t>
      </w:r>
      <w:r w:rsidRPr="009227D7">
        <w:rPr>
          <w:sz w:val="22"/>
          <w:szCs w:val="22"/>
        </w:rPr>
        <w:t xml:space="preserve">.  </w:t>
      </w:r>
    </w:p>
    <w:p w14:paraId="1919522C" w14:textId="129DAA97" w:rsidR="0091475D" w:rsidRPr="0091475D" w:rsidRDefault="0091475D" w:rsidP="00C358E7">
      <w:pPr>
        <w:pStyle w:val="Default"/>
        <w:rPr>
          <w:sz w:val="22"/>
          <w:szCs w:val="22"/>
        </w:rPr>
      </w:pPr>
    </w:p>
    <w:p w14:paraId="61016CB7" w14:textId="17EECD24" w:rsidR="00B70F30" w:rsidRDefault="0071353D" w:rsidP="00B618D7">
      <w:pPr>
        <w:pStyle w:val="Default"/>
        <w:rPr>
          <w:sz w:val="22"/>
          <w:szCs w:val="22"/>
        </w:rPr>
      </w:pPr>
      <w:r>
        <w:rPr>
          <w:sz w:val="22"/>
          <w:szCs w:val="22"/>
        </w:rPr>
        <w:t xml:space="preserve">Securian </w:t>
      </w:r>
      <w:r w:rsidR="00D472BE">
        <w:rPr>
          <w:sz w:val="22"/>
          <w:szCs w:val="22"/>
        </w:rPr>
        <w:t xml:space="preserve">Financial </w:t>
      </w:r>
      <w:r>
        <w:rPr>
          <w:sz w:val="22"/>
          <w:szCs w:val="22"/>
        </w:rPr>
        <w:t xml:space="preserve">believes </w:t>
      </w:r>
      <w:r w:rsidR="00BA6F07">
        <w:rPr>
          <w:sz w:val="22"/>
          <w:szCs w:val="22"/>
        </w:rPr>
        <w:t>that</w:t>
      </w:r>
      <w:r w:rsidR="00C358E7">
        <w:rPr>
          <w:sz w:val="22"/>
          <w:szCs w:val="22"/>
        </w:rPr>
        <w:t xml:space="preserve"> a quick fixed for the currently identified issue is obtainable. </w:t>
      </w:r>
      <w:r w:rsidR="00BA6F07">
        <w:rPr>
          <w:sz w:val="22"/>
          <w:szCs w:val="22"/>
        </w:rPr>
        <w:t>T</w:t>
      </w:r>
      <w:r>
        <w:rPr>
          <w:sz w:val="22"/>
          <w:szCs w:val="22"/>
        </w:rPr>
        <w:t xml:space="preserve">here are several </w:t>
      </w:r>
      <w:r w:rsidR="00D472BE">
        <w:rPr>
          <w:sz w:val="22"/>
          <w:szCs w:val="22"/>
        </w:rPr>
        <w:t xml:space="preserve">straightforward </w:t>
      </w:r>
      <w:r>
        <w:rPr>
          <w:sz w:val="22"/>
          <w:szCs w:val="22"/>
        </w:rPr>
        <w:t>ways to change AG49-A to make it clearer/</w:t>
      </w:r>
      <w:r w:rsidR="00EB17B5">
        <w:rPr>
          <w:sz w:val="22"/>
          <w:szCs w:val="22"/>
        </w:rPr>
        <w:t xml:space="preserve">better </w:t>
      </w:r>
      <w:r>
        <w:rPr>
          <w:sz w:val="22"/>
          <w:szCs w:val="22"/>
        </w:rPr>
        <w:t xml:space="preserve">enforce that the </w:t>
      </w:r>
      <w:r w:rsidR="00BA3277">
        <w:rPr>
          <w:sz w:val="22"/>
          <w:szCs w:val="22"/>
        </w:rPr>
        <w:t>BIA</w:t>
      </w:r>
      <w:r>
        <w:rPr>
          <w:sz w:val="22"/>
          <w:szCs w:val="22"/>
        </w:rPr>
        <w:t xml:space="preserve"> guardrail</w:t>
      </w:r>
      <w:r w:rsidR="00BA3277">
        <w:rPr>
          <w:sz w:val="22"/>
          <w:szCs w:val="22"/>
        </w:rPr>
        <w:t>s</w:t>
      </w:r>
      <w:r>
        <w:rPr>
          <w:sz w:val="22"/>
          <w:szCs w:val="22"/>
        </w:rPr>
        <w:t xml:space="preserve"> appl</w:t>
      </w:r>
      <w:r w:rsidR="00BA3277">
        <w:rPr>
          <w:sz w:val="22"/>
          <w:szCs w:val="22"/>
        </w:rPr>
        <w:t>y</w:t>
      </w:r>
      <w:r>
        <w:rPr>
          <w:sz w:val="22"/>
          <w:szCs w:val="22"/>
        </w:rPr>
        <w:t xml:space="preserve"> to all illustrated </w:t>
      </w:r>
      <w:r w:rsidR="00136E9B">
        <w:rPr>
          <w:sz w:val="22"/>
          <w:szCs w:val="22"/>
        </w:rPr>
        <w:t>indexes</w:t>
      </w:r>
      <w:r>
        <w:rPr>
          <w:sz w:val="22"/>
          <w:szCs w:val="22"/>
        </w:rPr>
        <w:t xml:space="preserve">.  </w:t>
      </w:r>
    </w:p>
    <w:p w14:paraId="3F42E697" w14:textId="77777777" w:rsidR="00B70F30" w:rsidRDefault="00B70F30" w:rsidP="00B618D7">
      <w:pPr>
        <w:pStyle w:val="Default"/>
        <w:rPr>
          <w:sz w:val="22"/>
          <w:szCs w:val="22"/>
        </w:rPr>
      </w:pPr>
    </w:p>
    <w:p w14:paraId="1B32DAA5" w14:textId="2634CDE8" w:rsidR="00B70F30" w:rsidRDefault="00362EFB" w:rsidP="00B618D7">
      <w:pPr>
        <w:pStyle w:val="Default"/>
        <w:rPr>
          <w:sz w:val="22"/>
          <w:szCs w:val="22"/>
        </w:rPr>
      </w:pPr>
      <w:r>
        <w:rPr>
          <w:sz w:val="22"/>
          <w:szCs w:val="22"/>
        </w:rPr>
        <w:t>We understand th</w:t>
      </w:r>
      <w:r w:rsidR="00B70F30">
        <w:rPr>
          <w:sz w:val="22"/>
          <w:szCs w:val="22"/>
        </w:rPr>
        <w:t>at there is an</w:t>
      </w:r>
      <w:r>
        <w:rPr>
          <w:sz w:val="22"/>
          <w:szCs w:val="22"/>
        </w:rPr>
        <w:t xml:space="preserve"> ask to consider opening, all or part of Model #582.  We believe we need to better understand what LATF is </w:t>
      </w:r>
      <w:r w:rsidR="00B70F30">
        <w:rPr>
          <w:sz w:val="22"/>
          <w:szCs w:val="22"/>
        </w:rPr>
        <w:t>hoping</w:t>
      </w:r>
      <w:r>
        <w:rPr>
          <w:sz w:val="22"/>
          <w:szCs w:val="22"/>
        </w:rPr>
        <w:t xml:space="preserve"> to accomplish by opening the model regulation</w:t>
      </w:r>
      <w:r w:rsidR="00B70F30">
        <w:rPr>
          <w:sz w:val="22"/>
          <w:szCs w:val="22"/>
        </w:rPr>
        <w:t xml:space="preserve"> before we can fully comment.  T</w:t>
      </w:r>
      <w:r>
        <w:rPr>
          <w:sz w:val="22"/>
          <w:szCs w:val="22"/>
        </w:rPr>
        <w:t xml:space="preserve">he model regulation </w:t>
      </w:r>
      <w:r w:rsidR="00B70F30">
        <w:rPr>
          <w:sz w:val="22"/>
          <w:szCs w:val="22"/>
        </w:rPr>
        <w:t>applies</w:t>
      </w:r>
      <w:r>
        <w:rPr>
          <w:sz w:val="22"/>
          <w:szCs w:val="22"/>
        </w:rPr>
        <w:t xml:space="preserve"> to several types of</w:t>
      </w:r>
      <w:r w:rsidR="00B70F30">
        <w:rPr>
          <w:sz w:val="22"/>
          <w:szCs w:val="22"/>
        </w:rPr>
        <w:t xml:space="preserve"> products thus adding IUL specific langue to the regulation could have unintended consequences that need to be thoroughly thought-out and vetted</w:t>
      </w:r>
      <w:r>
        <w:rPr>
          <w:sz w:val="22"/>
          <w:szCs w:val="22"/>
        </w:rPr>
        <w:t>.</w:t>
      </w:r>
      <w:r w:rsidR="00B70F30">
        <w:rPr>
          <w:sz w:val="22"/>
          <w:szCs w:val="22"/>
        </w:rPr>
        <w:t xml:space="preserve">  </w:t>
      </w:r>
      <w:r w:rsidR="007C160D">
        <w:rPr>
          <w:sz w:val="22"/>
          <w:szCs w:val="22"/>
        </w:rPr>
        <w:t xml:space="preserve">If LATF determines that they want to move forward with defining the scope for changes to model #582, </w:t>
      </w:r>
      <w:r w:rsidR="00B70F30">
        <w:rPr>
          <w:sz w:val="22"/>
          <w:szCs w:val="22"/>
        </w:rPr>
        <w:t>Securian Financial is</w:t>
      </w:r>
      <w:r w:rsidR="007C160D">
        <w:rPr>
          <w:sz w:val="22"/>
          <w:szCs w:val="22"/>
        </w:rPr>
        <w:t xml:space="preserve"> ready</w:t>
      </w:r>
      <w:r w:rsidR="00B70F30">
        <w:rPr>
          <w:sz w:val="22"/>
          <w:szCs w:val="22"/>
        </w:rPr>
        <w:t xml:space="preserve"> to participate </w:t>
      </w:r>
      <w:r w:rsidR="007C160D">
        <w:rPr>
          <w:sz w:val="22"/>
          <w:szCs w:val="22"/>
        </w:rPr>
        <w:t xml:space="preserve">with our industry peers </w:t>
      </w:r>
      <w:r w:rsidR="00B70F30">
        <w:rPr>
          <w:sz w:val="22"/>
          <w:szCs w:val="22"/>
        </w:rPr>
        <w:t xml:space="preserve">in </w:t>
      </w:r>
      <w:r w:rsidR="007C160D">
        <w:rPr>
          <w:sz w:val="22"/>
          <w:szCs w:val="22"/>
        </w:rPr>
        <w:t>defining that scope.</w:t>
      </w:r>
      <w:r>
        <w:rPr>
          <w:sz w:val="22"/>
          <w:szCs w:val="22"/>
        </w:rPr>
        <w:t xml:space="preserve"> </w:t>
      </w:r>
    </w:p>
    <w:p w14:paraId="150FB786" w14:textId="77777777" w:rsidR="00B70F30" w:rsidRDefault="00B70F30" w:rsidP="00B618D7">
      <w:pPr>
        <w:pStyle w:val="Default"/>
        <w:rPr>
          <w:sz w:val="22"/>
          <w:szCs w:val="22"/>
        </w:rPr>
      </w:pPr>
    </w:p>
    <w:p w14:paraId="7FD012F8" w14:textId="7C9A4231" w:rsidR="00B618D7" w:rsidRDefault="00BA3277" w:rsidP="00B618D7">
      <w:pPr>
        <w:pStyle w:val="Default"/>
        <w:rPr>
          <w:sz w:val="22"/>
          <w:szCs w:val="22"/>
        </w:rPr>
      </w:pPr>
      <w:r>
        <w:rPr>
          <w:sz w:val="22"/>
          <w:szCs w:val="22"/>
        </w:rPr>
        <w:t xml:space="preserve">We </w:t>
      </w:r>
      <w:r w:rsidR="00D23E7D">
        <w:rPr>
          <w:sz w:val="22"/>
          <w:szCs w:val="22"/>
        </w:rPr>
        <w:t xml:space="preserve">resubmit </w:t>
      </w:r>
      <w:r>
        <w:rPr>
          <w:sz w:val="22"/>
          <w:szCs w:val="22"/>
        </w:rPr>
        <w:t>the language below to be added to AG49-A</w:t>
      </w:r>
      <w:r w:rsidR="00D23E7D">
        <w:rPr>
          <w:sz w:val="22"/>
          <w:szCs w:val="22"/>
        </w:rPr>
        <w:t xml:space="preserve"> for </w:t>
      </w:r>
      <w:r w:rsidR="00362EFB">
        <w:rPr>
          <w:sz w:val="22"/>
          <w:szCs w:val="22"/>
        </w:rPr>
        <w:t xml:space="preserve">consideration </w:t>
      </w:r>
      <w:r w:rsidR="00B70F30">
        <w:rPr>
          <w:sz w:val="22"/>
          <w:szCs w:val="22"/>
        </w:rPr>
        <w:t>as</w:t>
      </w:r>
      <w:r w:rsidR="00362EFB">
        <w:rPr>
          <w:sz w:val="22"/>
          <w:szCs w:val="22"/>
        </w:rPr>
        <w:t xml:space="preserve"> a “quick fix”.</w:t>
      </w:r>
    </w:p>
    <w:p w14:paraId="65E5C2B9" w14:textId="0E832439" w:rsidR="004F6FE8" w:rsidRDefault="004F6FE8" w:rsidP="00B618D7">
      <w:pPr>
        <w:pStyle w:val="Default"/>
        <w:rPr>
          <w:sz w:val="22"/>
          <w:szCs w:val="22"/>
        </w:rPr>
      </w:pPr>
    </w:p>
    <w:p w14:paraId="581165AA" w14:textId="7216FB71" w:rsidR="00D472BE" w:rsidRPr="00E16A52" w:rsidRDefault="00D472BE" w:rsidP="00B618D7">
      <w:pPr>
        <w:pStyle w:val="Default"/>
        <w:rPr>
          <w:b/>
          <w:bCs/>
          <w:sz w:val="22"/>
          <w:szCs w:val="22"/>
        </w:rPr>
      </w:pPr>
      <w:r w:rsidRPr="00E16A52">
        <w:rPr>
          <w:b/>
          <w:bCs/>
          <w:sz w:val="22"/>
          <w:szCs w:val="22"/>
        </w:rPr>
        <w:t>Recommended Changes</w:t>
      </w:r>
    </w:p>
    <w:p w14:paraId="52E1282B" w14:textId="12B3C1B7" w:rsidR="0085223B" w:rsidRPr="0085223B" w:rsidRDefault="00AD0DF0" w:rsidP="0085223B">
      <w:pPr>
        <w:pStyle w:val="Default"/>
        <w:rPr>
          <w:sz w:val="22"/>
          <w:szCs w:val="22"/>
        </w:rPr>
      </w:pPr>
      <w:r>
        <w:rPr>
          <w:sz w:val="22"/>
          <w:szCs w:val="22"/>
        </w:rPr>
        <w:t xml:space="preserve">We would like to recommend changes to </w:t>
      </w:r>
      <w:r w:rsidR="00BA6F07">
        <w:rPr>
          <w:sz w:val="22"/>
          <w:szCs w:val="22"/>
        </w:rPr>
        <w:t xml:space="preserve">AG49-A </w:t>
      </w:r>
      <w:r w:rsidR="0085223B" w:rsidRPr="0085223B">
        <w:rPr>
          <w:sz w:val="22"/>
          <w:szCs w:val="22"/>
        </w:rPr>
        <w:t>4C</w:t>
      </w:r>
      <w:r>
        <w:rPr>
          <w:sz w:val="22"/>
          <w:szCs w:val="22"/>
        </w:rPr>
        <w:t xml:space="preserve"> by adding condition (iii) to limit the maximum amount of leverage illustrated to that of the BIA</w:t>
      </w:r>
      <w:r w:rsidR="0085223B" w:rsidRPr="0085223B">
        <w:rPr>
          <w:sz w:val="22"/>
          <w:szCs w:val="22"/>
        </w:rPr>
        <w:t>:</w:t>
      </w:r>
    </w:p>
    <w:p w14:paraId="22CEC96C" w14:textId="77777777" w:rsidR="0085223B" w:rsidRPr="0085223B" w:rsidRDefault="0085223B" w:rsidP="0085223B">
      <w:pPr>
        <w:pStyle w:val="Default"/>
        <w:rPr>
          <w:sz w:val="22"/>
          <w:szCs w:val="22"/>
        </w:rPr>
      </w:pPr>
      <w:r w:rsidRPr="0085223B">
        <w:rPr>
          <w:sz w:val="22"/>
          <w:szCs w:val="22"/>
        </w:rPr>
        <w:t xml:space="preserve"> </w:t>
      </w:r>
    </w:p>
    <w:p w14:paraId="31BB91CF" w14:textId="65441F4F" w:rsidR="0085223B" w:rsidRPr="0085223B" w:rsidRDefault="00AD0DF0" w:rsidP="0085223B">
      <w:pPr>
        <w:pStyle w:val="Default"/>
        <w:rPr>
          <w:sz w:val="22"/>
          <w:szCs w:val="22"/>
        </w:rPr>
      </w:pPr>
      <w:r>
        <w:rPr>
          <w:sz w:val="22"/>
          <w:szCs w:val="22"/>
        </w:rPr>
        <w:t xml:space="preserve">C.  </w:t>
      </w:r>
      <w:r w:rsidR="0085223B" w:rsidRPr="0085223B">
        <w:rPr>
          <w:sz w:val="22"/>
          <w:szCs w:val="22"/>
        </w:rPr>
        <w:t>For any other Index Account that is not the Benchmark Index Account in 3 (D), the Annual Rate of Indexed Credits</w:t>
      </w:r>
      <w:r>
        <w:rPr>
          <w:sz w:val="22"/>
          <w:szCs w:val="22"/>
        </w:rPr>
        <w:t xml:space="preserve"> </w:t>
      </w:r>
      <w:r w:rsidR="0085223B" w:rsidRPr="0085223B">
        <w:rPr>
          <w:sz w:val="22"/>
          <w:szCs w:val="22"/>
        </w:rPr>
        <w:t>illustrated as a percentage of the account value in the Index Account prior to the deduction of any charges used to</w:t>
      </w:r>
      <w:r>
        <w:rPr>
          <w:sz w:val="22"/>
          <w:szCs w:val="22"/>
        </w:rPr>
        <w:t xml:space="preserve"> </w:t>
      </w:r>
      <w:r w:rsidR="0085223B" w:rsidRPr="0085223B">
        <w:rPr>
          <w:sz w:val="22"/>
          <w:szCs w:val="22"/>
        </w:rPr>
        <w:t xml:space="preserve">fund a Supplemental Hedge Budget shall not exceed the minimum of (i), </w:t>
      </w:r>
      <w:r w:rsidR="0085223B" w:rsidRPr="00AD0DF0">
        <w:rPr>
          <w:color w:val="FF0000"/>
          <w:sz w:val="22"/>
          <w:szCs w:val="22"/>
        </w:rPr>
        <w:t>(ii) and (iii):</w:t>
      </w:r>
    </w:p>
    <w:p w14:paraId="03D59077" w14:textId="77777777" w:rsidR="0085223B" w:rsidRPr="0085223B" w:rsidRDefault="0085223B" w:rsidP="0085223B">
      <w:pPr>
        <w:pStyle w:val="Default"/>
        <w:rPr>
          <w:sz w:val="22"/>
          <w:szCs w:val="22"/>
        </w:rPr>
      </w:pPr>
      <w:r w:rsidRPr="0085223B">
        <w:rPr>
          <w:sz w:val="22"/>
          <w:szCs w:val="22"/>
        </w:rPr>
        <w:t xml:space="preserve"> </w:t>
      </w:r>
    </w:p>
    <w:p w14:paraId="18934A47" w14:textId="3CF02521" w:rsidR="0085223B" w:rsidRPr="0085223B" w:rsidRDefault="0085223B" w:rsidP="00AD0DF0">
      <w:pPr>
        <w:pStyle w:val="Default"/>
        <w:ind w:left="720"/>
        <w:rPr>
          <w:sz w:val="22"/>
          <w:szCs w:val="22"/>
        </w:rPr>
      </w:pPr>
      <w:r w:rsidRPr="0085223B">
        <w:rPr>
          <w:sz w:val="22"/>
          <w:szCs w:val="22"/>
        </w:rPr>
        <w:t>i. The Annual Rate of Indexed Credits for the Benchmark Index Account calculated in 4 (B) plus the</w:t>
      </w:r>
      <w:r w:rsidR="00AD0DF0">
        <w:rPr>
          <w:sz w:val="22"/>
          <w:szCs w:val="22"/>
        </w:rPr>
        <w:t xml:space="preserve"> </w:t>
      </w:r>
      <w:r w:rsidRPr="0085223B">
        <w:rPr>
          <w:sz w:val="22"/>
          <w:szCs w:val="22"/>
        </w:rPr>
        <w:t>Supplemental Hedge Budget for the Index Account.</w:t>
      </w:r>
    </w:p>
    <w:p w14:paraId="659543C2" w14:textId="77777777" w:rsidR="0085223B" w:rsidRPr="0085223B" w:rsidRDefault="0085223B" w:rsidP="0085223B">
      <w:pPr>
        <w:pStyle w:val="Default"/>
        <w:rPr>
          <w:sz w:val="22"/>
          <w:szCs w:val="22"/>
        </w:rPr>
      </w:pPr>
      <w:r w:rsidRPr="0085223B">
        <w:rPr>
          <w:sz w:val="22"/>
          <w:szCs w:val="22"/>
        </w:rPr>
        <w:t xml:space="preserve"> </w:t>
      </w:r>
    </w:p>
    <w:p w14:paraId="7C489AB0" w14:textId="5936A8C0" w:rsidR="0085223B" w:rsidRPr="0085223B" w:rsidRDefault="0085223B" w:rsidP="00AD0DF0">
      <w:pPr>
        <w:pStyle w:val="Default"/>
        <w:ind w:left="720"/>
        <w:rPr>
          <w:sz w:val="22"/>
          <w:szCs w:val="22"/>
        </w:rPr>
      </w:pPr>
      <w:r w:rsidRPr="0085223B">
        <w:rPr>
          <w:sz w:val="22"/>
          <w:szCs w:val="22"/>
        </w:rPr>
        <w:t>ii. The Annual Rate of Indexed Credits reflecting the fundamental characteristics of the Index Account</w:t>
      </w:r>
      <w:r w:rsidR="00AD0DF0">
        <w:rPr>
          <w:sz w:val="22"/>
          <w:szCs w:val="22"/>
        </w:rPr>
        <w:t xml:space="preserve"> </w:t>
      </w:r>
      <w:r w:rsidRPr="0085223B">
        <w:rPr>
          <w:sz w:val="22"/>
          <w:szCs w:val="22"/>
        </w:rPr>
        <w:t>and the appropriate relationship to the expected risk and return of the Benchmark Index Account. The</w:t>
      </w:r>
      <w:r w:rsidR="00AD0DF0">
        <w:rPr>
          <w:sz w:val="22"/>
          <w:szCs w:val="22"/>
        </w:rPr>
        <w:t xml:space="preserve"> </w:t>
      </w:r>
      <w:r w:rsidRPr="0085223B">
        <w:rPr>
          <w:sz w:val="22"/>
          <w:szCs w:val="22"/>
        </w:rPr>
        <w:t>illustration actuary shall use actuarial judgment to determine this value using lookback methodology</w:t>
      </w:r>
      <w:r w:rsidR="00AD0DF0">
        <w:rPr>
          <w:sz w:val="22"/>
          <w:szCs w:val="22"/>
        </w:rPr>
        <w:t xml:space="preserve"> </w:t>
      </w:r>
      <w:r w:rsidRPr="0085223B">
        <w:rPr>
          <w:sz w:val="22"/>
          <w:szCs w:val="22"/>
        </w:rPr>
        <w:t>consistent with 4 (A) and 4 (B) (i) where appropriate.</w:t>
      </w:r>
    </w:p>
    <w:p w14:paraId="08633CCA" w14:textId="77777777" w:rsidR="0085223B" w:rsidRPr="0085223B" w:rsidRDefault="0085223B" w:rsidP="0085223B">
      <w:pPr>
        <w:pStyle w:val="Default"/>
        <w:rPr>
          <w:sz w:val="22"/>
          <w:szCs w:val="22"/>
        </w:rPr>
      </w:pPr>
      <w:r w:rsidRPr="0085223B">
        <w:rPr>
          <w:sz w:val="22"/>
          <w:szCs w:val="22"/>
        </w:rPr>
        <w:t xml:space="preserve"> </w:t>
      </w:r>
    </w:p>
    <w:p w14:paraId="77F27C0A" w14:textId="22A193AA" w:rsidR="0085223B" w:rsidRPr="00AD0DF0" w:rsidRDefault="0085223B" w:rsidP="00AD0DF0">
      <w:pPr>
        <w:pStyle w:val="Default"/>
        <w:ind w:left="720"/>
        <w:rPr>
          <w:color w:val="FF0000"/>
          <w:sz w:val="22"/>
          <w:szCs w:val="22"/>
        </w:rPr>
      </w:pPr>
      <w:r w:rsidRPr="00AD0DF0">
        <w:rPr>
          <w:color w:val="FF0000"/>
          <w:sz w:val="22"/>
          <w:szCs w:val="22"/>
        </w:rPr>
        <w:t>iii. The lesser of (a) and (b) multiplied by the Annual Rate of Index Credits for the Benchmark Index Account</w:t>
      </w:r>
      <w:r w:rsidR="00401E0B">
        <w:rPr>
          <w:color w:val="FF0000"/>
          <w:sz w:val="22"/>
          <w:szCs w:val="22"/>
        </w:rPr>
        <w:t>,</w:t>
      </w:r>
      <w:r w:rsidRPr="00AD0DF0">
        <w:rPr>
          <w:color w:val="FF0000"/>
          <w:sz w:val="22"/>
          <w:szCs w:val="22"/>
        </w:rPr>
        <w:t xml:space="preserve"> calculated in 4B</w:t>
      </w:r>
      <w:r w:rsidR="00401E0B">
        <w:rPr>
          <w:color w:val="FF0000"/>
          <w:sz w:val="22"/>
          <w:szCs w:val="22"/>
        </w:rPr>
        <w:t>,</w:t>
      </w:r>
      <w:r w:rsidRPr="00AD0DF0">
        <w:rPr>
          <w:color w:val="FF0000"/>
          <w:sz w:val="22"/>
          <w:szCs w:val="22"/>
        </w:rPr>
        <w:t xml:space="preserve"> divided by (b)</w:t>
      </w:r>
      <w:r w:rsidR="00401E0B">
        <w:rPr>
          <w:color w:val="FF0000"/>
          <w:sz w:val="22"/>
          <w:szCs w:val="22"/>
        </w:rPr>
        <w:t>;</w:t>
      </w:r>
      <w:r w:rsidRPr="00AD0DF0">
        <w:rPr>
          <w:color w:val="FF0000"/>
          <w:sz w:val="22"/>
          <w:szCs w:val="22"/>
        </w:rPr>
        <w:t xml:space="preserve"> </w:t>
      </w:r>
      <w:r w:rsidR="00401E0B" w:rsidRPr="00AD0DF0">
        <w:rPr>
          <w:color w:val="FF0000"/>
          <w:sz w:val="22"/>
          <w:szCs w:val="22"/>
        </w:rPr>
        <w:t>plus,</w:t>
      </w:r>
      <w:r w:rsidRPr="00AD0DF0">
        <w:rPr>
          <w:color w:val="FF0000"/>
          <w:sz w:val="22"/>
          <w:szCs w:val="22"/>
        </w:rPr>
        <w:t xml:space="preserve"> the supplemental hedge budget:</w:t>
      </w:r>
    </w:p>
    <w:p w14:paraId="2C8D804C" w14:textId="3A45C999" w:rsidR="0085223B" w:rsidRPr="00AD0DF0" w:rsidRDefault="0085223B" w:rsidP="00AD0DF0">
      <w:pPr>
        <w:pStyle w:val="Default"/>
        <w:ind w:left="720" w:firstLine="720"/>
        <w:rPr>
          <w:color w:val="FF0000"/>
          <w:sz w:val="22"/>
          <w:szCs w:val="22"/>
        </w:rPr>
      </w:pPr>
      <w:r w:rsidRPr="00AD0DF0">
        <w:rPr>
          <w:color w:val="FF0000"/>
          <w:sz w:val="22"/>
          <w:szCs w:val="22"/>
        </w:rPr>
        <w:t xml:space="preserve">a)       </w:t>
      </w:r>
      <w:r w:rsidR="00AD0DF0">
        <w:rPr>
          <w:color w:val="FF0000"/>
          <w:sz w:val="22"/>
          <w:szCs w:val="22"/>
        </w:rPr>
        <w:t>T</w:t>
      </w:r>
      <w:r w:rsidRPr="00AD0DF0">
        <w:rPr>
          <w:color w:val="FF0000"/>
          <w:sz w:val="22"/>
          <w:szCs w:val="22"/>
        </w:rPr>
        <w:t xml:space="preserve">he Hedge Budget of the Indexed Account </w:t>
      </w:r>
    </w:p>
    <w:p w14:paraId="4B7FB668" w14:textId="77777777" w:rsidR="0085223B" w:rsidRPr="00AD0DF0" w:rsidRDefault="0085223B" w:rsidP="00AD0DF0">
      <w:pPr>
        <w:pStyle w:val="Default"/>
        <w:ind w:left="720" w:firstLine="720"/>
        <w:rPr>
          <w:color w:val="FF0000"/>
          <w:sz w:val="22"/>
          <w:szCs w:val="22"/>
        </w:rPr>
      </w:pPr>
      <w:r w:rsidRPr="00AD0DF0">
        <w:rPr>
          <w:color w:val="FF0000"/>
          <w:sz w:val="22"/>
          <w:szCs w:val="22"/>
        </w:rPr>
        <w:t>b)      Hedge Budget of the Benchmark Indexed Account.</w:t>
      </w:r>
    </w:p>
    <w:p w14:paraId="4F64BF4A" w14:textId="763B106E" w:rsidR="0085223B" w:rsidRPr="009227D7" w:rsidRDefault="0085223B" w:rsidP="00B618D7">
      <w:pPr>
        <w:pStyle w:val="Default"/>
        <w:rPr>
          <w:sz w:val="22"/>
          <w:szCs w:val="22"/>
        </w:rPr>
      </w:pPr>
      <w:r w:rsidRPr="0085223B">
        <w:rPr>
          <w:sz w:val="22"/>
          <w:szCs w:val="22"/>
        </w:rPr>
        <w:t xml:space="preserve"> </w:t>
      </w:r>
    </w:p>
    <w:p w14:paraId="53F09C76" w14:textId="1D4EE1D9" w:rsidR="00B618D7" w:rsidRPr="009227D7" w:rsidRDefault="00B618D7" w:rsidP="00B618D7">
      <w:pPr>
        <w:pStyle w:val="Default"/>
        <w:rPr>
          <w:sz w:val="22"/>
          <w:szCs w:val="22"/>
        </w:rPr>
      </w:pPr>
      <w:r w:rsidRPr="009227D7">
        <w:rPr>
          <w:sz w:val="22"/>
          <w:szCs w:val="22"/>
        </w:rPr>
        <w:t xml:space="preserve">Respectfully, </w:t>
      </w:r>
    </w:p>
    <w:p w14:paraId="50AF2B1D" w14:textId="77777777" w:rsidR="00B618D7" w:rsidRPr="009227D7" w:rsidRDefault="00B618D7" w:rsidP="00B618D7">
      <w:pPr>
        <w:pStyle w:val="Default"/>
        <w:rPr>
          <w:sz w:val="22"/>
          <w:szCs w:val="22"/>
        </w:rPr>
      </w:pPr>
      <w:r w:rsidRPr="009227D7">
        <w:rPr>
          <w:sz w:val="22"/>
          <w:szCs w:val="22"/>
        </w:rPr>
        <w:t>Seth Detert, Securian Financial</w:t>
      </w:r>
    </w:p>
    <w:p w14:paraId="6B15E5FA" w14:textId="77777777" w:rsidR="006F5115" w:rsidRDefault="006F5115" w:rsidP="003E755C"/>
    <w:p w14:paraId="11CD9142" w14:textId="1047E4E1" w:rsidR="009227D7" w:rsidRPr="003E755C" w:rsidRDefault="009227D7" w:rsidP="000706ED">
      <w:pPr>
        <w:pStyle w:val="D1-Reg89SLATE"/>
      </w:pPr>
      <w:r w:rsidRPr="00E209EB">
        <w:rPr>
          <w:color w:val="58595B" w:themeColor="text1"/>
        </w:rPr>
        <w:t>Securian Financial is the marketing name for Securian Financial Group, Inc. and its affiliates. Insurance products are issued by its affiliated insurance companies. Securities and investment advisory services offered through Securian Financial Services, Inc., registered investment advisor, member FINRA/SIPC.</w:t>
      </w:r>
    </w:p>
    <w:sectPr w:rsidR="009227D7" w:rsidRPr="003E755C" w:rsidSect="003E755C">
      <w:headerReference w:type="even" r:id="rId9"/>
      <w:headerReference w:type="default" r:id="rId10"/>
      <w:footerReference w:type="even" r:id="rId11"/>
      <w:footerReference w:type="default" r:id="rId12"/>
      <w:headerReference w:type="first" r:id="rId13"/>
      <w:footerReference w:type="first" r:id="rId14"/>
      <w:pgSz w:w="12240" w:h="15840" w:code="1"/>
      <w:pgMar w:top="734" w:right="1440" w:bottom="547" w:left="1440" w:header="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4E1B" w14:textId="77777777" w:rsidR="003A2013" w:rsidRDefault="003A2013">
      <w:r>
        <w:separator/>
      </w:r>
    </w:p>
  </w:endnote>
  <w:endnote w:type="continuationSeparator" w:id="0">
    <w:p w14:paraId="7C55F451" w14:textId="77777777" w:rsidR="003A2013" w:rsidRDefault="003A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rmeGeometricSans4 Regular">
    <w:panose1 w:val="020B0500020000000000"/>
    <w:charset w:val="00"/>
    <w:family w:val="swiss"/>
    <w:notTrueType/>
    <w:pitch w:val="variable"/>
    <w:sig w:usb0="A000002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CBDD" w14:textId="77777777" w:rsidR="009227D7" w:rsidRDefault="0092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5997" w14:textId="77777777" w:rsidR="009227D7" w:rsidRDefault="0092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6091" w14:textId="77777777" w:rsidR="009227D7" w:rsidRDefault="0092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7A5A" w14:textId="77777777" w:rsidR="003A2013" w:rsidRDefault="003A2013">
      <w:r>
        <w:separator/>
      </w:r>
    </w:p>
  </w:footnote>
  <w:footnote w:type="continuationSeparator" w:id="0">
    <w:p w14:paraId="5893FF1D" w14:textId="77777777" w:rsidR="003A2013" w:rsidRDefault="003A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B558" w14:textId="77777777" w:rsidR="009227D7" w:rsidRDefault="0092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53D4" w14:textId="77777777" w:rsidR="002A3236" w:rsidRDefault="00FA79F2" w:rsidP="002A3236">
    <w:pPr>
      <w:pStyle w:val="Header"/>
      <w:tabs>
        <w:tab w:val="left" w:pos="900"/>
      </w:tabs>
      <w:spacing w:line="180" w:lineRule="exact"/>
      <w:rPr>
        <w:rFonts w:ascii="Arial" w:hAnsi="Arial" w:cs="Arial"/>
        <w:sz w:val="14"/>
      </w:rPr>
    </w:pPr>
  </w:p>
  <w:p w14:paraId="7515BE22" w14:textId="77777777" w:rsidR="002A3236" w:rsidRDefault="00FA79F2" w:rsidP="002A3236">
    <w:pPr>
      <w:pStyle w:val="Header"/>
      <w:tabs>
        <w:tab w:val="left" w:pos="900"/>
      </w:tabs>
      <w:spacing w:line="180" w:lineRule="exact"/>
      <w:rPr>
        <w:rFonts w:ascii="Arial" w:hAnsi="Arial" w:cs="Arial"/>
        <w:sz w:val="14"/>
      </w:rPr>
    </w:pPr>
  </w:p>
  <w:p w14:paraId="5E2C218D" w14:textId="77777777" w:rsidR="002A3236" w:rsidRDefault="00FA79F2" w:rsidP="002A3236">
    <w:pPr>
      <w:pStyle w:val="Header"/>
      <w:tabs>
        <w:tab w:val="left" w:pos="900"/>
      </w:tabs>
      <w:spacing w:line="180" w:lineRule="exact"/>
      <w:rPr>
        <w:rFonts w:ascii="Arial" w:hAnsi="Arial" w:cs="Arial"/>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D33" w14:textId="77777777" w:rsidR="009227D7" w:rsidRDefault="0092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2167"/>
    <w:multiLevelType w:val="hybridMultilevel"/>
    <w:tmpl w:val="43F0B2D4"/>
    <w:lvl w:ilvl="0" w:tplc="3C109C2E">
      <w:start w:val="1"/>
      <w:numFmt w:val="bullet"/>
      <w:pStyle w:val="B1b-Reg1013BLK"/>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C2C1C"/>
    <w:multiLevelType w:val="hybridMultilevel"/>
    <w:tmpl w:val="72B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065777">
    <w:abstractNumId w:val="0"/>
  </w:num>
  <w:num w:numId="2" w16cid:durableId="161547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D7"/>
    <w:rsid w:val="0002496F"/>
    <w:rsid w:val="0003370D"/>
    <w:rsid w:val="000706ED"/>
    <w:rsid w:val="00071A87"/>
    <w:rsid w:val="000C1494"/>
    <w:rsid w:val="00136E9B"/>
    <w:rsid w:val="001719C4"/>
    <w:rsid w:val="001B207F"/>
    <w:rsid w:val="001E381B"/>
    <w:rsid w:val="00202A51"/>
    <w:rsid w:val="0022260A"/>
    <w:rsid w:val="0027303A"/>
    <w:rsid w:val="00283AE7"/>
    <w:rsid w:val="00290B3A"/>
    <w:rsid w:val="0029294D"/>
    <w:rsid w:val="002D1D2B"/>
    <w:rsid w:val="002F2C73"/>
    <w:rsid w:val="00362EFB"/>
    <w:rsid w:val="003A1A8E"/>
    <w:rsid w:val="003A2013"/>
    <w:rsid w:val="003A5A16"/>
    <w:rsid w:val="003E755C"/>
    <w:rsid w:val="00401E0B"/>
    <w:rsid w:val="00427CE1"/>
    <w:rsid w:val="00440740"/>
    <w:rsid w:val="004F6FE8"/>
    <w:rsid w:val="00542119"/>
    <w:rsid w:val="0058764C"/>
    <w:rsid w:val="005B78C4"/>
    <w:rsid w:val="005D55A2"/>
    <w:rsid w:val="00614F96"/>
    <w:rsid w:val="006212DD"/>
    <w:rsid w:val="006B4001"/>
    <w:rsid w:val="006C7ECF"/>
    <w:rsid w:val="006F5115"/>
    <w:rsid w:val="0071353D"/>
    <w:rsid w:val="00745852"/>
    <w:rsid w:val="00752E83"/>
    <w:rsid w:val="00791D42"/>
    <w:rsid w:val="007C160D"/>
    <w:rsid w:val="007D57B8"/>
    <w:rsid w:val="007F1829"/>
    <w:rsid w:val="00840FC6"/>
    <w:rsid w:val="0085223B"/>
    <w:rsid w:val="00865C0B"/>
    <w:rsid w:val="008B33E9"/>
    <w:rsid w:val="008C1961"/>
    <w:rsid w:val="008D6BCC"/>
    <w:rsid w:val="008F4108"/>
    <w:rsid w:val="0091475D"/>
    <w:rsid w:val="009227D7"/>
    <w:rsid w:val="009E6AB2"/>
    <w:rsid w:val="009F225D"/>
    <w:rsid w:val="00AD0DF0"/>
    <w:rsid w:val="00AD3054"/>
    <w:rsid w:val="00AF301A"/>
    <w:rsid w:val="00B00B00"/>
    <w:rsid w:val="00B618D7"/>
    <w:rsid w:val="00B70F30"/>
    <w:rsid w:val="00B87F51"/>
    <w:rsid w:val="00BA3277"/>
    <w:rsid w:val="00BA6F07"/>
    <w:rsid w:val="00BE1932"/>
    <w:rsid w:val="00C358E7"/>
    <w:rsid w:val="00C364A4"/>
    <w:rsid w:val="00C61DFD"/>
    <w:rsid w:val="00C66C2A"/>
    <w:rsid w:val="00CE25DF"/>
    <w:rsid w:val="00CF525E"/>
    <w:rsid w:val="00D23E7D"/>
    <w:rsid w:val="00D25CCC"/>
    <w:rsid w:val="00D472BE"/>
    <w:rsid w:val="00E16A52"/>
    <w:rsid w:val="00E209EB"/>
    <w:rsid w:val="00E414A8"/>
    <w:rsid w:val="00E61F49"/>
    <w:rsid w:val="00E97E11"/>
    <w:rsid w:val="00EB17B5"/>
    <w:rsid w:val="00ED04D3"/>
    <w:rsid w:val="00ED374B"/>
    <w:rsid w:val="00F03BF0"/>
    <w:rsid w:val="00F12F48"/>
    <w:rsid w:val="00FA79F2"/>
    <w:rsid w:val="00FB38C1"/>
    <w:rsid w:val="00FD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0DC28C"/>
  <w15:chartTrackingRefBased/>
  <w15:docId w15:val="{A31123E9-9F6D-4007-B344-26F27F20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Reg89SLATE">
    <w:name w:val="D1* - Reg 8/9 SLATE"/>
    <w:basedOn w:val="Normal"/>
    <w:next w:val="Normal"/>
    <w:uiPriority w:val="99"/>
    <w:rsid w:val="00F12F48"/>
    <w:pPr>
      <w:widowControl w:val="0"/>
      <w:suppressAutoHyphens/>
      <w:autoSpaceDE w:val="0"/>
      <w:autoSpaceDN w:val="0"/>
      <w:adjustRightInd w:val="0"/>
      <w:spacing w:after="43" w:line="180" w:lineRule="atLeast"/>
      <w:textAlignment w:val="center"/>
    </w:pPr>
    <w:rPr>
      <w:rFonts w:asciiTheme="minorHAnsi" w:eastAsiaTheme="minorEastAsia" w:hAnsiTheme="minorHAnsi" w:cs="ArialMT"/>
      <w:color w:val="284684" w:themeColor="accent5"/>
      <w:spacing w:val="-2"/>
      <w:sz w:val="16"/>
      <w:szCs w:val="16"/>
    </w:rPr>
  </w:style>
  <w:style w:type="paragraph" w:customStyle="1" w:styleId="B1-Reg1013BLK">
    <w:name w:val="B1 - Reg 10/13 BLK"/>
    <w:basedOn w:val="Normal"/>
    <w:next w:val="Normal"/>
    <w:uiPriority w:val="99"/>
    <w:rsid w:val="00F12F48"/>
    <w:pPr>
      <w:widowControl w:val="0"/>
      <w:suppressAutoHyphens/>
      <w:autoSpaceDE w:val="0"/>
      <w:autoSpaceDN w:val="0"/>
      <w:adjustRightInd w:val="0"/>
      <w:spacing w:after="90" w:line="260" w:lineRule="atLeast"/>
      <w:textAlignment w:val="center"/>
    </w:pPr>
    <w:rPr>
      <w:rFonts w:asciiTheme="minorHAnsi" w:eastAsiaTheme="minorEastAsia" w:hAnsiTheme="minorHAnsi" w:cs="ArialMT"/>
      <w:color w:val="000000"/>
    </w:rPr>
  </w:style>
  <w:style w:type="paragraph" w:customStyle="1" w:styleId="B1b-Reg1013BLK">
    <w:name w:val="B1b - Reg 10/13 BLK"/>
    <w:basedOn w:val="B1-Reg1013BLK"/>
    <w:next w:val="Normal"/>
    <w:uiPriority w:val="99"/>
    <w:rsid w:val="00F12F48"/>
    <w:pPr>
      <w:numPr>
        <w:numId w:val="1"/>
      </w:numPr>
    </w:pPr>
  </w:style>
  <w:style w:type="paragraph" w:styleId="Footer">
    <w:name w:val="footer"/>
    <w:basedOn w:val="Normal"/>
    <w:link w:val="FooterChar"/>
    <w:uiPriority w:val="99"/>
    <w:unhideWhenUsed/>
    <w:rsid w:val="00F12F48"/>
    <w:pPr>
      <w:tabs>
        <w:tab w:val="center" w:pos="4680"/>
        <w:tab w:val="right" w:pos="9360"/>
      </w:tabs>
    </w:pPr>
  </w:style>
  <w:style w:type="character" w:customStyle="1" w:styleId="FooterChar">
    <w:name w:val="Footer Char"/>
    <w:basedOn w:val="DefaultParagraphFont"/>
    <w:link w:val="Footer"/>
    <w:uiPriority w:val="99"/>
    <w:rsid w:val="00F12F48"/>
    <w:rPr>
      <w:rFonts w:ascii="Times New Roman" w:eastAsia="Times New Roman" w:hAnsi="Times New Roman" w:cs="Times New Roman"/>
      <w:sz w:val="20"/>
      <w:szCs w:val="20"/>
    </w:rPr>
  </w:style>
  <w:style w:type="paragraph" w:styleId="Header">
    <w:name w:val="header"/>
    <w:basedOn w:val="Normal"/>
    <w:link w:val="HeaderChar"/>
    <w:rsid w:val="008D6BCC"/>
    <w:pPr>
      <w:tabs>
        <w:tab w:val="center" w:pos="4320"/>
        <w:tab w:val="right" w:pos="8640"/>
      </w:tabs>
    </w:pPr>
  </w:style>
  <w:style w:type="character" w:customStyle="1" w:styleId="HeaderChar">
    <w:name w:val="Header Char"/>
    <w:basedOn w:val="DefaultParagraphFont"/>
    <w:link w:val="Header"/>
    <w:rsid w:val="008D6B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0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00"/>
    <w:rPr>
      <w:rFonts w:ascii="Segoe UI" w:eastAsia="Times New Roman" w:hAnsi="Segoe UI" w:cs="Segoe UI"/>
      <w:sz w:val="18"/>
      <w:szCs w:val="18"/>
    </w:rPr>
  </w:style>
  <w:style w:type="paragraph" w:styleId="ListParagraph">
    <w:name w:val="List Paragraph"/>
    <w:basedOn w:val="Normal"/>
    <w:uiPriority w:val="34"/>
    <w:qFormat/>
    <w:rsid w:val="009E6AB2"/>
    <w:pPr>
      <w:ind w:left="720"/>
      <w:contextualSpacing/>
    </w:pPr>
  </w:style>
  <w:style w:type="paragraph" w:customStyle="1" w:styleId="FandtrackingSLATELOGOBLOCK">
    <w:name w:val="F# and tracking# / SLATE (LOGO BLOCK)"/>
    <w:basedOn w:val="Normal"/>
    <w:uiPriority w:val="99"/>
    <w:rsid w:val="002F2C73"/>
    <w:pPr>
      <w:widowControl w:val="0"/>
      <w:tabs>
        <w:tab w:val="left" w:pos="216"/>
        <w:tab w:val="left" w:pos="432"/>
        <w:tab w:val="left" w:pos="648"/>
      </w:tabs>
      <w:suppressAutoHyphens/>
      <w:autoSpaceDE w:val="0"/>
      <w:autoSpaceDN w:val="0"/>
      <w:adjustRightInd w:val="0"/>
      <w:spacing w:after="90" w:line="160" w:lineRule="atLeast"/>
      <w:ind w:left="1080"/>
      <w:textAlignment w:val="center"/>
    </w:pPr>
    <w:rPr>
      <w:rFonts w:ascii="HurmeGeometricSans4 Regular" w:eastAsiaTheme="minorEastAsia" w:hAnsi="HurmeGeometricSans4 Regular" w:cs="ArialMT"/>
      <w:color w:val="58595B"/>
      <w:spacing w:val="1"/>
      <w:sz w:val="12"/>
      <w:szCs w:val="12"/>
    </w:rPr>
  </w:style>
  <w:style w:type="paragraph" w:customStyle="1" w:styleId="Default">
    <w:name w:val="Default"/>
    <w:rsid w:val="00B618D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03BF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B54\AppData\Local\Microsoft\Windows\INetCache\IE\02I3JW0P\electronic-letterhead.dotx" TargetMode="External"/></Relationships>
</file>

<file path=word/theme/theme1.xml><?xml version="1.0" encoding="utf-8"?>
<a:theme xmlns:a="http://schemas.openxmlformats.org/drawingml/2006/main" name="ArialTheme">
  <a:themeElements>
    <a:clrScheme name="Securian 2019">
      <a:dk1>
        <a:srgbClr val="58595B"/>
      </a:dk1>
      <a:lt1>
        <a:srgbClr val="FFFFFF"/>
      </a:lt1>
      <a:dk2>
        <a:srgbClr val="000000"/>
      </a:dk2>
      <a:lt2>
        <a:srgbClr val="FFFFFF"/>
      </a:lt2>
      <a:accent1>
        <a:srgbClr val="0AA147"/>
      </a:accent1>
      <a:accent2>
        <a:srgbClr val="95C93C"/>
      </a:accent2>
      <a:accent3>
        <a:srgbClr val="006DAF"/>
      </a:accent3>
      <a:accent4>
        <a:srgbClr val="56C3EA"/>
      </a:accent4>
      <a:accent5>
        <a:srgbClr val="284684"/>
      </a:accent5>
      <a:accent6>
        <a:srgbClr val="92949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E8BD-3AA8-4266-9BDA-EAEF9F6D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electronic-letterhead.dotx</Template>
  <TotalTime>5</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Securian Financial Group</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Susla, Georgette</dc:creator>
  <cp:keywords/>
  <dc:description/>
  <cp:lastModifiedBy>Detert, Seth J.</cp:lastModifiedBy>
  <cp:revision>4</cp:revision>
  <cp:lastPrinted>2018-05-16T19:26:00Z</cp:lastPrinted>
  <dcterms:created xsi:type="dcterms:W3CDTF">2022-09-06T03:38:00Z</dcterms:created>
  <dcterms:modified xsi:type="dcterms:W3CDTF">2022-09-07T18:06:00Z</dcterms:modified>
</cp:coreProperties>
</file>