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D5745" w14:textId="2545F208" w:rsidR="002F1AB1" w:rsidRPr="002F1AB1" w:rsidRDefault="002F1AB1" w:rsidP="002F1AB1">
      <w:pPr>
        <w:keepLines/>
        <w:widowControl w:val="0"/>
        <w:tabs>
          <w:tab w:val="left" w:pos="576"/>
          <w:tab w:val="left" w:pos="720"/>
        </w:tabs>
        <w:spacing w:line="240" w:lineRule="auto"/>
        <w:jc w:val="center"/>
        <w:outlineLvl w:val="0"/>
        <w:rPr>
          <w:rFonts w:ascii="Times New Roman" w:eastAsia="Times New Roman" w:hAnsi="Times New Roman" w:cs="Times New Roman"/>
          <w:b/>
          <w:caps/>
          <w:snapToGrid w:val="0"/>
          <w:sz w:val="24"/>
          <w:szCs w:val="20"/>
        </w:rPr>
      </w:pPr>
      <w:bookmarkStart w:id="0" w:name="_Toc326651177"/>
      <w:r w:rsidRPr="002F1AB1">
        <w:rPr>
          <w:rFonts w:ascii="Times New Roman" w:eastAsia="Times New Roman" w:hAnsi="Times New Roman" w:cs="Times New Roman"/>
          <w:b/>
          <w:caps/>
          <w:snapToGrid w:val="0"/>
          <w:sz w:val="24"/>
          <w:szCs w:val="20"/>
        </w:rPr>
        <w:t>L</w:t>
      </w:r>
      <w:bookmarkEnd w:id="0"/>
      <w:r w:rsidR="0065056C">
        <w:rPr>
          <w:rFonts w:ascii="Times New Roman" w:eastAsia="Times New Roman" w:hAnsi="Times New Roman" w:cs="Times New Roman"/>
          <w:b/>
          <w:caps/>
          <w:snapToGrid w:val="0"/>
          <w:sz w:val="24"/>
          <w:szCs w:val="20"/>
        </w:rPr>
        <w:t>ongevity risk</w:t>
      </w:r>
    </w:p>
    <w:p w14:paraId="5A29C96E" w14:textId="2F92977A" w:rsidR="002F1AB1" w:rsidRPr="002F1AB1" w:rsidRDefault="002F1AB1" w:rsidP="002F1AB1">
      <w:pPr>
        <w:keepLines/>
        <w:widowControl w:val="0"/>
        <w:spacing w:line="240" w:lineRule="auto"/>
        <w:jc w:val="center"/>
        <w:outlineLvl w:val="0"/>
        <w:rPr>
          <w:rFonts w:ascii="Times New Roman" w:eastAsia="Times New Roman" w:hAnsi="Times New Roman" w:cs="Times New Roman"/>
          <w:b/>
          <w:sz w:val="20"/>
          <w:szCs w:val="20"/>
          <w:u w:val="single"/>
        </w:rPr>
      </w:pPr>
      <w:proofErr w:type="spellStart"/>
      <w:r w:rsidRPr="002F1AB1">
        <w:rPr>
          <w:rFonts w:ascii="Times New Roman" w:eastAsia="Times New Roman" w:hAnsi="Times New Roman" w:cs="Times New Roman"/>
          <w:sz w:val="20"/>
          <w:szCs w:val="20"/>
        </w:rPr>
        <w:t>LR</w:t>
      </w:r>
      <w:r w:rsidR="0065056C" w:rsidRPr="008E5563">
        <w:rPr>
          <w:rFonts w:ascii="Times New Roman" w:eastAsia="Times New Roman" w:hAnsi="Times New Roman" w:cs="Times New Roman"/>
          <w:color w:val="FF0000"/>
          <w:sz w:val="20"/>
          <w:szCs w:val="20"/>
        </w:rPr>
        <w:t>tbd</w:t>
      </w:r>
      <w:proofErr w:type="spellEnd"/>
    </w:p>
    <w:p w14:paraId="10217939" w14:textId="77777777" w:rsidR="002F1AB1" w:rsidRPr="002F1AB1" w:rsidRDefault="002F1AB1" w:rsidP="002F1AB1">
      <w:pPr>
        <w:keepLines/>
        <w:widowControl w:val="0"/>
        <w:spacing w:line="240" w:lineRule="auto"/>
        <w:rPr>
          <w:rFonts w:ascii="Times New Roman" w:eastAsia="Times New Roman" w:hAnsi="Times New Roman" w:cs="Times New Roman"/>
          <w:b/>
          <w:sz w:val="20"/>
          <w:szCs w:val="20"/>
          <w:u w:val="single"/>
        </w:rPr>
      </w:pPr>
    </w:p>
    <w:p w14:paraId="6F3447A3" w14:textId="77777777" w:rsidR="002F1AB1" w:rsidRPr="002F1AB1" w:rsidRDefault="002F1AB1" w:rsidP="002F1AB1">
      <w:pPr>
        <w:keepLines/>
        <w:widowControl w:val="0"/>
        <w:spacing w:line="240" w:lineRule="auto"/>
        <w:outlineLvl w:val="0"/>
        <w:rPr>
          <w:rFonts w:ascii="Times New Roman" w:eastAsia="Times New Roman" w:hAnsi="Times New Roman" w:cs="Times New Roman"/>
          <w:i/>
          <w:sz w:val="20"/>
          <w:szCs w:val="20"/>
        </w:rPr>
      </w:pPr>
      <w:r w:rsidRPr="002F1AB1">
        <w:rPr>
          <w:rFonts w:ascii="Times New Roman" w:eastAsia="Times New Roman" w:hAnsi="Times New Roman" w:cs="Times New Roman"/>
          <w:i/>
          <w:sz w:val="20"/>
          <w:szCs w:val="20"/>
        </w:rPr>
        <w:t>Basis of Factors</w:t>
      </w:r>
    </w:p>
    <w:p w14:paraId="43AD2071" w14:textId="77777777" w:rsidR="002F1AB1" w:rsidRPr="002F1AB1" w:rsidRDefault="002F1AB1" w:rsidP="002F1AB1">
      <w:pPr>
        <w:keepLines/>
        <w:widowControl w:val="0"/>
        <w:spacing w:line="240" w:lineRule="auto"/>
        <w:rPr>
          <w:rFonts w:ascii="Times New Roman" w:eastAsia="Times New Roman" w:hAnsi="Times New Roman" w:cs="Times New Roman"/>
          <w:b/>
          <w:sz w:val="20"/>
          <w:szCs w:val="20"/>
          <w:u w:val="single"/>
        </w:rPr>
      </w:pPr>
    </w:p>
    <w:p w14:paraId="4DC402A3" w14:textId="41A89888" w:rsidR="004D3C98" w:rsidRDefault="002F1AB1" w:rsidP="002F1AB1">
      <w:pPr>
        <w:keepLines/>
        <w:widowControl w:val="0"/>
        <w:tabs>
          <w:tab w:val="left" w:pos="5130"/>
        </w:tabs>
        <w:spacing w:line="240" w:lineRule="auto"/>
        <w:jc w:val="both"/>
        <w:rPr>
          <w:rFonts w:ascii="Times New Roman" w:eastAsia="Times New Roman" w:hAnsi="Times New Roman" w:cs="Times New Roman"/>
          <w:sz w:val="20"/>
          <w:szCs w:val="20"/>
        </w:rPr>
      </w:pPr>
      <w:r w:rsidRPr="002F1AB1">
        <w:rPr>
          <w:rFonts w:ascii="Times New Roman" w:eastAsia="Times New Roman" w:hAnsi="Times New Roman" w:cs="Times New Roman"/>
          <w:sz w:val="20"/>
          <w:szCs w:val="20"/>
        </w:rPr>
        <w:t>The factors chosen represent surplus needed to provide for</w:t>
      </w:r>
      <w:r w:rsidR="0065056C">
        <w:rPr>
          <w:rFonts w:ascii="Times New Roman" w:eastAsia="Times New Roman" w:hAnsi="Times New Roman" w:cs="Times New Roman"/>
          <w:sz w:val="20"/>
          <w:szCs w:val="20"/>
        </w:rPr>
        <w:t xml:space="preserve"> claims in excess of reserves resulting from increased policyholder longevity</w:t>
      </w:r>
      <w:r w:rsidRPr="002F1AB1">
        <w:rPr>
          <w:rFonts w:ascii="Times New Roman" w:eastAsia="Times New Roman" w:hAnsi="Times New Roman" w:cs="Times New Roman"/>
          <w:sz w:val="20"/>
          <w:szCs w:val="20"/>
        </w:rPr>
        <w:t xml:space="preserve"> </w:t>
      </w:r>
      <w:r w:rsidR="0065056C">
        <w:rPr>
          <w:rFonts w:ascii="Times New Roman" w:eastAsia="Times New Roman" w:hAnsi="Times New Roman" w:cs="Times New Roman"/>
          <w:sz w:val="20"/>
          <w:szCs w:val="20"/>
        </w:rPr>
        <w:t>calibrated to a 95</w:t>
      </w:r>
      <w:r w:rsidR="0065056C" w:rsidRPr="0065056C">
        <w:rPr>
          <w:rFonts w:ascii="Times New Roman" w:eastAsia="Times New Roman" w:hAnsi="Times New Roman" w:cs="Times New Roman"/>
          <w:sz w:val="20"/>
          <w:szCs w:val="20"/>
          <w:vertAlign w:val="superscript"/>
        </w:rPr>
        <w:t>th</w:t>
      </w:r>
      <w:r w:rsidR="0065056C">
        <w:rPr>
          <w:rFonts w:ascii="Times New Roman" w:eastAsia="Times New Roman" w:hAnsi="Times New Roman" w:cs="Times New Roman"/>
          <w:sz w:val="20"/>
          <w:szCs w:val="20"/>
        </w:rPr>
        <w:t xml:space="preserve"> percentile level. For </w:t>
      </w:r>
      <w:r w:rsidR="009852E0">
        <w:rPr>
          <w:rFonts w:ascii="Times New Roman" w:eastAsia="Times New Roman" w:hAnsi="Times New Roman" w:cs="Times New Roman"/>
          <w:sz w:val="20"/>
          <w:szCs w:val="20"/>
        </w:rPr>
        <w:t xml:space="preserve">the </w:t>
      </w:r>
      <w:r w:rsidR="0065056C">
        <w:rPr>
          <w:rFonts w:ascii="Times New Roman" w:eastAsia="Times New Roman" w:hAnsi="Times New Roman" w:cs="Times New Roman"/>
          <w:sz w:val="20"/>
          <w:szCs w:val="20"/>
        </w:rPr>
        <w:t xml:space="preserve">purpose of this calibration aggregate reserves were assumed to </w:t>
      </w:r>
      <w:r w:rsidR="009852E0">
        <w:rPr>
          <w:rFonts w:ascii="Times New Roman" w:eastAsia="Times New Roman" w:hAnsi="Times New Roman" w:cs="Times New Roman"/>
          <w:sz w:val="20"/>
          <w:szCs w:val="20"/>
        </w:rPr>
        <w:t>provide for</w:t>
      </w:r>
      <w:r w:rsidR="0065056C">
        <w:rPr>
          <w:rFonts w:ascii="Times New Roman" w:eastAsia="Times New Roman" w:hAnsi="Times New Roman" w:cs="Times New Roman"/>
          <w:sz w:val="20"/>
          <w:szCs w:val="20"/>
        </w:rPr>
        <w:t xml:space="preserve"> an 85</w:t>
      </w:r>
      <w:r w:rsidR="0065056C" w:rsidRPr="0065056C">
        <w:rPr>
          <w:rFonts w:ascii="Times New Roman" w:eastAsia="Times New Roman" w:hAnsi="Times New Roman" w:cs="Times New Roman"/>
          <w:sz w:val="20"/>
          <w:szCs w:val="20"/>
          <w:vertAlign w:val="superscript"/>
        </w:rPr>
        <w:t>th</w:t>
      </w:r>
      <w:r w:rsidR="0065056C">
        <w:rPr>
          <w:rFonts w:ascii="Times New Roman" w:eastAsia="Times New Roman" w:hAnsi="Times New Roman" w:cs="Times New Roman"/>
          <w:sz w:val="20"/>
          <w:szCs w:val="20"/>
        </w:rPr>
        <w:t xml:space="preserve"> percentile outcome.</w:t>
      </w:r>
    </w:p>
    <w:p w14:paraId="7BF07CD5" w14:textId="77777777" w:rsidR="006237E5" w:rsidRDefault="006237E5" w:rsidP="002F1AB1">
      <w:pPr>
        <w:keepLines/>
        <w:widowControl w:val="0"/>
        <w:tabs>
          <w:tab w:val="left" w:pos="5130"/>
        </w:tabs>
        <w:spacing w:line="240" w:lineRule="auto"/>
        <w:jc w:val="both"/>
        <w:rPr>
          <w:rFonts w:ascii="Times New Roman" w:eastAsia="Times New Roman" w:hAnsi="Times New Roman" w:cs="Times New Roman"/>
          <w:sz w:val="20"/>
          <w:szCs w:val="20"/>
        </w:rPr>
      </w:pPr>
    </w:p>
    <w:p w14:paraId="322990E8" w14:textId="04EA7E7F" w:rsidR="0065056C" w:rsidRDefault="0065056C" w:rsidP="002F1AB1">
      <w:pPr>
        <w:keepLines/>
        <w:widowControl w:val="0"/>
        <w:tabs>
          <w:tab w:val="left" w:pos="513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Longevity risk was considered over </w:t>
      </w:r>
      <w:r w:rsidR="009852E0">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 xml:space="preserve">entire lifetime of the policies since these annuity policies are generally not subject to repricing. Calibration of longevity risk considered both </w:t>
      </w:r>
      <w:r w:rsidR="004D3C98">
        <w:rPr>
          <w:rFonts w:ascii="Times New Roman" w:eastAsia="Times New Roman" w:hAnsi="Times New Roman" w:cs="Times New Roman"/>
          <w:sz w:val="20"/>
          <w:szCs w:val="20"/>
        </w:rPr>
        <w:t xml:space="preserve">trend risk based on </w:t>
      </w:r>
      <w:r>
        <w:rPr>
          <w:rFonts w:ascii="Times New Roman" w:eastAsia="Times New Roman" w:hAnsi="Times New Roman" w:cs="Times New Roman"/>
          <w:sz w:val="20"/>
          <w:szCs w:val="20"/>
        </w:rPr>
        <w:t>uncertainty in future population mortality improvements</w:t>
      </w:r>
      <w:r w:rsidR="004D3C98">
        <w:rPr>
          <w:rFonts w:ascii="Times New Roman" w:eastAsia="Times New Roman" w:hAnsi="Times New Roman" w:cs="Times New Roman"/>
          <w:sz w:val="20"/>
          <w:szCs w:val="20"/>
        </w:rPr>
        <w:t>, as well as level or volatility risk which derives from misestimation of current population mortality rates or random fluctuations. Trend risk applies equally to all populations whereas level and volatility risk factors decrease with larger portfolios consistent with the law of large numbers.</w:t>
      </w:r>
    </w:p>
    <w:p w14:paraId="4504B870" w14:textId="61246D30" w:rsidR="004D3C98" w:rsidRDefault="004D3C98" w:rsidP="002F1AB1">
      <w:pPr>
        <w:keepLines/>
        <w:widowControl w:val="0"/>
        <w:tabs>
          <w:tab w:val="left" w:pos="5130"/>
        </w:tabs>
        <w:spacing w:line="240" w:lineRule="auto"/>
        <w:jc w:val="both"/>
        <w:rPr>
          <w:rFonts w:ascii="Times New Roman" w:eastAsia="Times New Roman" w:hAnsi="Times New Roman" w:cs="Times New Roman"/>
          <w:sz w:val="20"/>
          <w:szCs w:val="20"/>
        </w:rPr>
      </w:pPr>
    </w:p>
    <w:p w14:paraId="4D7DB5BC" w14:textId="4F4E3BE8" w:rsidR="004D3C98" w:rsidRDefault="004D3C98" w:rsidP="002F1AB1">
      <w:pPr>
        <w:keepLines/>
        <w:widowControl w:val="0"/>
        <w:tabs>
          <w:tab w:val="left" w:pos="513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Statutory reserve was chosen as the exposure base as a consistent measure of the economic exposure to increased longevity. Factors were also scaled by</w:t>
      </w:r>
      <w:r w:rsidR="009852E0">
        <w:rPr>
          <w:rFonts w:ascii="Times New Roman" w:eastAsia="Times New Roman" w:hAnsi="Times New Roman" w:cs="Times New Roman"/>
          <w:sz w:val="20"/>
          <w:szCs w:val="20"/>
        </w:rPr>
        <w:t xml:space="preserve"> reserve level since number of insured policyholders is a less accessible measure of company specific volatility risk</w:t>
      </w:r>
      <w:r w:rsidR="006237E5">
        <w:rPr>
          <w:rFonts w:ascii="Times New Roman" w:eastAsia="Times New Roman" w:hAnsi="Times New Roman" w:cs="Times New Roman"/>
          <w:sz w:val="20"/>
          <w:szCs w:val="20"/>
        </w:rPr>
        <w:t>.</w:t>
      </w:r>
      <w:r w:rsidR="009852E0">
        <w:rPr>
          <w:rFonts w:ascii="Times New Roman" w:eastAsia="Times New Roman" w:hAnsi="Times New Roman" w:cs="Times New Roman"/>
          <w:sz w:val="20"/>
          <w:szCs w:val="20"/>
        </w:rPr>
        <w:t xml:space="preserve"> Factors </w:t>
      </w:r>
      <w:r w:rsidR="000C03F2">
        <w:rPr>
          <w:rFonts w:ascii="Times New Roman" w:eastAsia="Times New Roman" w:hAnsi="Times New Roman" w:cs="Times New Roman"/>
          <w:sz w:val="20"/>
          <w:szCs w:val="20"/>
        </w:rPr>
        <w:t>provided are pre-tax</w:t>
      </w:r>
      <w:r w:rsidR="00926AB8">
        <w:rPr>
          <w:rFonts w:ascii="Times New Roman" w:eastAsia="Times New Roman" w:hAnsi="Times New Roman" w:cs="Times New Roman"/>
          <w:sz w:val="20"/>
          <w:szCs w:val="20"/>
        </w:rPr>
        <w:t xml:space="preserve"> and were developed assuming a 21% tax adjustment would be subsequently applied.</w:t>
      </w:r>
    </w:p>
    <w:p w14:paraId="07A18C2E" w14:textId="77777777" w:rsidR="002F1AB1" w:rsidRPr="002F1AB1" w:rsidRDefault="002F1AB1" w:rsidP="002F1AB1">
      <w:pPr>
        <w:keepLines/>
        <w:widowControl w:val="0"/>
        <w:spacing w:line="240" w:lineRule="auto"/>
        <w:jc w:val="both"/>
        <w:rPr>
          <w:rFonts w:ascii="Times New Roman" w:eastAsia="Times New Roman" w:hAnsi="Times New Roman" w:cs="Times New Roman"/>
          <w:sz w:val="20"/>
          <w:szCs w:val="20"/>
        </w:rPr>
      </w:pPr>
    </w:p>
    <w:p w14:paraId="5B8B6BF1" w14:textId="77777777" w:rsidR="002F1AB1" w:rsidRPr="002F1AB1" w:rsidRDefault="002F1AB1" w:rsidP="002F1AB1">
      <w:pPr>
        <w:keepLines/>
        <w:widowControl w:val="0"/>
        <w:spacing w:line="240" w:lineRule="auto"/>
        <w:outlineLvl w:val="0"/>
        <w:rPr>
          <w:rFonts w:ascii="Times New Roman" w:eastAsia="Times New Roman" w:hAnsi="Times New Roman" w:cs="Times New Roman"/>
          <w:i/>
          <w:sz w:val="20"/>
          <w:szCs w:val="20"/>
        </w:rPr>
      </w:pPr>
      <w:r w:rsidRPr="002F1AB1">
        <w:rPr>
          <w:rFonts w:ascii="Times New Roman" w:eastAsia="Times New Roman" w:hAnsi="Times New Roman" w:cs="Times New Roman"/>
          <w:i/>
          <w:sz w:val="20"/>
          <w:szCs w:val="20"/>
        </w:rPr>
        <w:t>Specific Instructions for Application of the Formula</w:t>
      </w:r>
    </w:p>
    <w:p w14:paraId="60F6818F" w14:textId="77777777" w:rsidR="001234F9" w:rsidRPr="002F1AB1" w:rsidRDefault="001234F9" w:rsidP="002F1AB1">
      <w:pPr>
        <w:keepLines/>
        <w:widowControl w:val="0"/>
        <w:spacing w:line="240" w:lineRule="auto"/>
        <w:rPr>
          <w:rFonts w:ascii="Times New Roman" w:eastAsia="Times New Roman" w:hAnsi="Times New Roman" w:cs="Times New Roman"/>
          <w:sz w:val="20"/>
          <w:szCs w:val="20"/>
        </w:rPr>
      </w:pPr>
    </w:p>
    <w:p w14:paraId="646303B5" w14:textId="64EE9922" w:rsidR="00D93D86" w:rsidRDefault="002F1AB1" w:rsidP="002F1AB1">
      <w:pPr>
        <w:keepLines/>
        <w:widowControl w:val="0"/>
        <w:spacing w:line="240" w:lineRule="auto"/>
        <w:jc w:val="both"/>
        <w:rPr>
          <w:rFonts w:ascii="Times New Roman" w:eastAsia="Times New Roman" w:hAnsi="Times New Roman" w:cs="Times New Roman"/>
          <w:sz w:val="20"/>
          <w:szCs w:val="20"/>
        </w:rPr>
      </w:pPr>
      <w:r w:rsidRPr="002F1AB1">
        <w:rPr>
          <w:rFonts w:ascii="Times New Roman" w:eastAsia="Times New Roman" w:hAnsi="Times New Roman" w:cs="Times New Roman"/>
          <w:sz w:val="20"/>
          <w:szCs w:val="20"/>
        </w:rPr>
        <w:t xml:space="preserve">Annual statement reference is for the total </w:t>
      </w:r>
      <w:r w:rsidR="008E5563">
        <w:rPr>
          <w:rFonts w:ascii="Times New Roman" w:eastAsia="Times New Roman" w:hAnsi="Times New Roman" w:cs="Times New Roman"/>
          <w:sz w:val="20"/>
          <w:szCs w:val="20"/>
        </w:rPr>
        <w:t>life contingent reserve</w:t>
      </w:r>
      <w:r w:rsidRPr="002F1AB1">
        <w:rPr>
          <w:rFonts w:ascii="Times New Roman" w:eastAsia="Times New Roman" w:hAnsi="Times New Roman" w:cs="Times New Roman"/>
          <w:sz w:val="20"/>
          <w:szCs w:val="20"/>
        </w:rPr>
        <w:t xml:space="preserve"> for the </w:t>
      </w:r>
      <w:r w:rsidR="008E5563">
        <w:rPr>
          <w:rFonts w:ascii="Times New Roman" w:eastAsia="Times New Roman" w:hAnsi="Times New Roman" w:cs="Times New Roman"/>
          <w:sz w:val="20"/>
          <w:szCs w:val="20"/>
        </w:rPr>
        <w:t>products in scope</w:t>
      </w:r>
      <w:r w:rsidRPr="002F1AB1">
        <w:rPr>
          <w:rFonts w:ascii="Times New Roman" w:eastAsia="Times New Roman" w:hAnsi="Times New Roman" w:cs="Times New Roman"/>
          <w:sz w:val="20"/>
          <w:szCs w:val="20"/>
        </w:rPr>
        <w:t xml:space="preserve">. </w:t>
      </w:r>
      <w:r w:rsidR="000E6DD4">
        <w:rPr>
          <w:rFonts w:ascii="Times New Roman" w:eastAsia="Times New Roman" w:hAnsi="Times New Roman" w:cs="Times New Roman"/>
          <w:sz w:val="20"/>
          <w:szCs w:val="20"/>
        </w:rPr>
        <w:t xml:space="preserve">The scope includes annuity products with life contingent payments where benefits are to be distributed in the form of an annuity. It does not include annuity products that are not life contingent, or deferred annuity products where the policyholder has a right but not an obligation to annuitize. </w:t>
      </w:r>
      <w:r w:rsidR="00344FCD">
        <w:rPr>
          <w:rFonts w:ascii="Times New Roman" w:eastAsia="Times New Roman" w:hAnsi="Times New Roman" w:cs="Times New Roman"/>
          <w:sz w:val="20"/>
          <w:szCs w:val="20"/>
        </w:rPr>
        <w:t xml:space="preserve">Line (3) for General Account Life Contingent Miscellaneous reserves is included in the event there are any reserves for products in scope reported on Exhibit 5 line 0799999; it is not meant to include cash flow testing reserves reported on this line. </w:t>
      </w:r>
      <w:r w:rsidR="000E6DD4">
        <w:rPr>
          <w:rFonts w:ascii="Times New Roman" w:eastAsia="Times New Roman" w:hAnsi="Times New Roman" w:cs="Times New Roman"/>
          <w:sz w:val="20"/>
          <w:szCs w:val="20"/>
        </w:rPr>
        <w:t>Included in scope are:</w:t>
      </w:r>
    </w:p>
    <w:p w14:paraId="3AF7BE72" w14:textId="2240587D" w:rsidR="000E6DD4" w:rsidRDefault="000E6DD4" w:rsidP="000E6DD4">
      <w:pPr>
        <w:pStyle w:val="ListParagraph"/>
        <w:keepLines/>
        <w:widowControl w:val="0"/>
        <w:numPr>
          <w:ilvl w:val="0"/>
          <w:numId w:val="1"/>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Single Premium Immediate Annuities (SPIA) and other payout annuities</w:t>
      </w:r>
      <w:r w:rsidR="002D5270">
        <w:rPr>
          <w:rFonts w:ascii="Times New Roman" w:eastAsia="Times New Roman" w:hAnsi="Times New Roman" w:cs="Times New Roman"/>
          <w:sz w:val="20"/>
          <w:szCs w:val="20"/>
        </w:rPr>
        <w:t xml:space="preserve"> in pay status</w:t>
      </w:r>
    </w:p>
    <w:p w14:paraId="198F7965" w14:textId="0034333D" w:rsidR="002D5270" w:rsidRDefault="002D5270" w:rsidP="000E6DD4">
      <w:pPr>
        <w:pStyle w:val="ListParagraph"/>
        <w:keepLines/>
        <w:widowControl w:val="0"/>
        <w:numPr>
          <w:ilvl w:val="0"/>
          <w:numId w:val="1"/>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Deferred Payout Annuities which will enter annuity pay status in the future upon annuitization</w:t>
      </w:r>
    </w:p>
    <w:p w14:paraId="17EBFDD0" w14:textId="4E42C78A" w:rsidR="000E6DD4" w:rsidRDefault="000E6DD4" w:rsidP="000E6DD4">
      <w:pPr>
        <w:pStyle w:val="ListParagraph"/>
        <w:keepLines/>
        <w:widowControl w:val="0"/>
        <w:numPr>
          <w:ilvl w:val="0"/>
          <w:numId w:val="1"/>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Structured Settlements </w:t>
      </w:r>
      <w:r w:rsidR="00EA1BC0">
        <w:rPr>
          <w:rFonts w:ascii="Times New Roman" w:eastAsia="Times New Roman" w:hAnsi="Times New Roman" w:cs="Times New Roman"/>
          <w:sz w:val="20"/>
          <w:szCs w:val="20"/>
        </w:rPr>
        <w:t xml:space="preserve">for annuitants </w:t>
      </w:r>
      <w:r>
        <w:rPr>
          <w:rFonts w:ascii="Times New Roman" w:eastAsia="Times New Roman" w:hAnsi="Times New Roman" w:cs="Times New Roman"/>
          <w:sz w:val="20"/>
          <w:szCs w:val="20"/>
        </w:rPr>
        <w:t xml:space="preserve">with </w:t>
      </w:r>
      <w:r w:rsidR="00926AB8">
        <w:rPr>
          <w:rFonts w:ascii="Times New Roman" w:eastAsia="Times New Roman" w:hAnsi="Times New Roman" w:cs="Times New Roman"/>
          <w:sz w:val="20"/>
          <w:szCs w:val="20"/>
        </w:rPr>
        <w:t xml:space="preserve">any </w:t>
      </w:r>
      <w:r>
        <w:rPr>
          <w:rFonts w:ascii="Times New Roman" w:eastAsia="Times New Roman" w:hAnsi="Times New Roman" w:cs="Times New Roman"/>
          <w:sz w:val="20"/>
          <w:szCs w:val="20"/>
        </w:rPr>
        <w:t>life contingent benefits</w:t>
      </w:r>
    </w:p>
    <w:p w14:paraId="685F869E" w14:textId="37020453" w:rsidR="002D5270" w:rsidRPr="002D5270" w:rsidRDefault="000E6DD4" w:rsidP="002D5270">
      <w:pPr>
        <w:pStyle w:val="ListParagraph"/>
        <w:keepLines/>
        <w:widowControl w:val="0"/>
        <w:numPr>
          <w:ilvl w:val="0"/>
          <w:numId w:val="1"/>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Group Annuities, such as those associated with pension liabilities</w:t>
      </w:r>
      <w:r w:rsidR="002D5270">
        <w:rPr>
          <w:rFonts w:ascii="Times New Roman" w:eastAsia="Times New Roman" w:hAnsi="Times New Roman" w:cs="Times New Roman"/>
          <w:sz w:val="20"/>
          <w:szCs w:val="20"/>
        </w:rPr>
        <w:t xml:space="preserve"> with</w:t>
      </w:r>
      <w:r>
        <w:rPr>
          <w:rFonts w:ascii="Times New Roman" w:eastAsia="Times New Roman" w:hAnsi="Times New Roman" w:cs="Times New Roman"/>
          <w:sz w:val="20"/>
          <w:szCs w:val="20"/>
        </w:rPr>
        <w:t xml:space="preserve"> both immediate and deferred</w:t>
      </w:r>
      <w:r w:rsidR="002D5270">
        <w:rPr>
          <w:rFonts w:ascii="Times New Roman" w:eastAsia="Times New Roman" w:hAnsi="Times New Roman" w:cs="Times New Roman"/>
          <w:sz w:val="20"/>
          <w:szCs w:val="20"/>
        </w:rPr>
        <w:t xml:space="preserve"> benefits</w:t>
      </w:r>
    </w:p>
    <w:p w14:paraId="3048FD3F" w14:textId="77777777" w:rsidR="002D5270" w:rsidRDefault="002D5270" w:rsidP="002D5270">
      <w:pPr>
        <w:keepLines/>
        <w:widowControl w:val="0"/>
        <w:spacing w:line="240" w:lineRule="auto"/>
        <w:jc w:val="both"/>
        <w:rPr>
          <w:rFonts w:ascii="Times New Roman" w:eastAsia="Times New Roman" w:hAnsi="Times New Roman" w:cs="Times New Roman"/>
          <w:color w:val="FF0000"/>
          <w:sz w:val="20"/>
          <w:szCs w:val="20"/>
        </w:rPr>
      </w:pPr>
    </w:p>
    <w:p w14:paraId="3DD0EF4C" w14:textId="3075A90F" w:rsidR="002F1AB1" w:rsidRDefault="002F1AB1" w:rsidP="002F1AB1">
      <w:pPr>
        <w:keepLines/>
        <w:widowControl w:val="0"/>
        <w:spacing w:line="240" w:lineRule="auto"/>
        <w:jc w:val="both"/>
        <w:rPr>
          <w:rFonts w:ascii="Times New Roman" w:eastAsia="Times New Roman" w:hAnsi="Times New Roman" w:cs="Times New Roman"/>
          <w:sz w:val="20"/>
          <w:szCs w:val="20"/>
        </w:rPr>
      </w:pPr>
      <w:r w:rsidRPr="002F1AB1">
        <w:rPr>
          <w:rFonts w:ascii="Times New Roman" w:eastAsia="Times New Roman" w:hAnsi="Times New Roman" w:cs="Times New Roman"/>
          <w:sz w:val="20"/>
          <w:szCs w:val="20"/>
        </w:rPr>
        <w:t xml:space="preserve">The </w:t>
      </w:r>
      <w:r w:rsidR="008E5563">
        <w:rPr>
          <w:rFonts w:ascii="Times New Roman" w:eastAsia="Times New Roman" w:hAnsi="Times New Roman" w:cs="Times New Roman"/>
          <w:sz w:val="20"/>
          <w:szCs w:val="20"/>
        </w:rPr>
        <w:t>total reserve exposure</w:t>
      </w:r>
      <w:r w:rsidRPr="002F1AB1">
        <w:rPr>
          <w:rFonts w:ascii="Times New Roman" w:eastAsia="Times New Roman" w:hAnsi="Times New Roman" w:cs="Times New Roman"/>
          <w:sz w:val="20"/>
          <w:szCs w:val="20"/>
        </w:rPr>
        <w:t xml:space="preserve"> is then further broken down by size as in a tax table</w:t>
      </w:r>
      <w:r w:rsidR="00926AB8">
        <w:rPr>
          <w:rFonts w:ascii="Times New Roman" w:eastAsia="Times New Roman" w:hAnsi="Times New Roman" w:cs="Times New Roman"/>
          <w:sz w:val="20"/>
          <w:szCs w:val="20"/>
        </w:rPr>
        <w:t xml:space="preserve">. </w:t>
      </w:r>
      <w:r w:rsidRPr="002F1AB1">
        <w:rPr>
          <w:rFonts w:ascii="Times New Roman" w:eastAsia="Times New Roman" w:hAnsi="Times New Roman" w:cs="Times New Roman"/>
          <w:sz w:val="20"/>
          <w:szCs w:val="20"/>
        </w:rPr>
        <w:t xml:space="preserve">This breakdown will not appear on the RBC filing software or on the printed copy, as the application of factors to </w:t>
      </w:r>
      <w:r w:rsidR="00B301CA">
        <w:rPr>
          <w:rFonts w:ascii="Times New Roman" w:eastAsia="Times New Roman" w:hAnsi="Times New Roman" w:cs="Times New Roman"/>
          <w:sz w:val="20"/>
          <w:szCs w:val="20"/>
        </w:rPr>
        <w:t>reserves</w:t>
      </w:r>
      <w:r w:rsidRPr="002F1AB1">
        <w:rPr>
          <w:rFonts w:ascii="Times New Roman" w:eastAsia="Times New Roman" w:hAnsi="Times New Roman" w:cs="Times New Roman"/>
          <w:sz w:val="20"/>
          <w:szCs w:val="20"/>
        </w:rPr>
        <w:t xml:space="preserve"> is completed automatically. The calculation is as follows:</w:t>
      </w:r>
    </w:p>
    <w:p w14:paraId="700190BA" w14:textId="071A1E3E" w:rsidR="001234F9" w:rsidRDefault="001234F9" w:rsidP="002F1AB1">
      <w:pPr>
        <w:keepLines/>
        <w:widowControl w:val="0"/>
        <w:spacing w:line="240" w:lineRule="auto"/>
        <w:jc w:val="both"/>
        <w:rPr>
          <w:rFonts w:ascii="Times New Roman" w:eastAsia="Times New Roman" w:hAnsi="Times New Roman" w:cs="Times New Roman"/>
          <w:sz w:val="20"/>
          <w:szCs w:val="20"/>
        </w:rPr>
      </w:pPr>
    </w:p>
    <w:p w14:paraId="137905BD" w14:textId="77777777" w:rsidR="002F1AB1" w:rsidRPr="002F1AB1" w:rsidRDefault="002F1AB1" w:rsidP="002F1AB1">
      <w:pPr>
        <w:keepLines/>
        <w:widowControl w:val="0"/>
        <w:spacing w:line="240" w:lineRule="auto"/>
        <w:rPr>
          <w:rFonts w:ascii="Times New Roman" w:eastAsia="Times New Roman" w:hAnsi="Times New Roman" w:cs="Times New Roman"/>
          <w:sz w:val="20"/>
          <w:szCs w:val="20"/>
        </w:rPr>
      </w:pPr>
    </w:p>
    <w:tbl>
      <w:tblPr>
        <w:tblW w:w="0" w:type="auto"/>
        <w:tblInd w:w="18" w:type="dxa"/>
        <w:tblLayout w:type="fixed"/>
        <w:tblLook w:val="0000" w:firstRow="0" w:lastRow="0" w:firstColumn="0" w:lastColumn="0" w:noHBand="0" w:noVBand="0"/>
      </w:tblPr>
      <w:tblGrid>
        <w:gridCol w:w="1052"/>
        <w:gridCol w:w="5264"/>
        <w:gridCol w:w="2010"/>
        <w:gridCol w:w="1722"/>
        <w:gridCol w:w="2010"/>
      </w:tblGrid>
      <w:tr w:rsidR="002F1AB1" w:rsidRPr="002F1AB1" w14:paraId="4D712747" w14:textId="77777777" w:rsidTr="009852E0">
        <w:trPr>
          <w:trHeight w:val="250"/>
        </w:trPr>
        <w:tc>
          <w:tcPr>
            <w:tcW w:w="1052" w:type="dxa"/>
          </w:tcPr>
          <w:p w14:paraId="24DDCFF2" w14:textId="77777777" w:rsidR="002F1AB1" w:rsidRPr="002F1AB1" w:rsidRDefault="002F1AB1" w:rsidP="002F1AB1">
            <w:pPr>
              <w:keepLines/>
              <w:widowControl w:val="0"/>
              <w:spacing w:line="240" w:lineRule="auto"/>
              <w:rPr>
                <w:rFonts w:ascii="Times New Roman" w:eastAsia="Times New Roman" w:hAnsi="Times New Roman" w:cs="Times New Roman"/>
                <w:sz w:val="20"/>
                <w:szCs w:val="20"/>
              </w:rPr>
            </w:pPr>
          </w:p>
        </w:tc>
        <w:tc>
          <w:tcPr>
            <w:tcW w:w="5264" w:type="dxa"/>
          </w:tcPr>
          <w:p w14:paraId="6C7F37CD" w14:textId="77777777" w:rsidR="002F1AB1" w:rsidRPr="002F1AB1" w:rsidRDefault="002F1AB1" w:rsidP="002F1AB1">
            <w:pPr>
              <w:keepLines/>
              <w:widowControl w:val="0"/>
              <w:spacing w:line="240" w:lineRule="auto"/>
              <w:rPr>
                <w:rFonts w:ascii="Times New Roman" w:eastAsia="Times New Roman" w:hAnsi="Times New Roman" w:cs="Times New Roman"/>
                <w:sz w:val="20"/>
                <w:szCs w:val="20"/>
              </w:rPr>
            </w:pPr>
          </w:p>
        </w:tc>
        <w:tc>
          <w:tcPr>
            <w:tcW w:w="2010" w:type="dxa"/>
          </w:tcPr>
          <w:p w14:paraId="678C98D9" w14:textId="77777777" w:rsidR="002F1AB1" w:rsidRPr="002F1AB1" w:rsidRDefault="002F1AB1" w:rsidP="002F1AB1">
            <w:pPr>
              <w:keepLines/>
              <w:widowControl w:val="0"/>
              <w:spacing w:line="240" w:lineRule="auto"/>
              <w:jc w:val="center"/>
              <w:rPr>
                <w:rFonts w:ascii="Times New Roman" w:eastAsia="Times New Roman" w:hAnsi="Times New Roman" w:cs="Times New Roman"/>
                <w:sz w:val="20"/>
                <w:szCs w:val="20"/>
              </w:rPr>
            </w:pPr>
            <w:r w:rsidRPr="002F1AB1">
              <w:rPr>
                <w:rFonts w:ascii="Times New Roman" w:eastAsia="Times New Roman" w:hAnsi="Times New Roman" w:cs="Times New Roman"/>
                <w:sz w:val="20"/>
                <w:szCs w:val="20"/>
              </w:rPr>
              <w:t>(1)</w:t>
            </w:r>
          </w:p>
        </w:tc>
        <w:tc>
          <w:tcPr>
            <w:tcW w:w="1722" w:type="dxa"/>
          </w:tcPr>
          <w:p w14:paraId="17D0B3E5" w14:textId="77777777" w:rsidR="002F1AB1" w:rsidRPr="002F1AB1" w:rsidRDefault="002F1AB1" w:rsidP="002F1AB1">
            <w:pPr>
              <w:keepLines/>
              <w:widowControl w:val="0"/>
              <w:spacing w:line="240" w:lineRule="auto"/>
              <w:rPr>
                <w:rFonts w:ascii="Times New Roman" w:eastAsia="Times New Roman" w:hAnsi="Times New Roman" w:cs="Times New Roman"/>
                <w:sz w:val="20"/>
                <w:szCs w:val="20"/>
              </w:rPr>
            </w:pPr>
          </w:p>
        </w:tc>
        <w:tc>
          <w:tcPr>
            <w:tcW w:w="2010" w:type="dxa"/>
          </w:tcPr>
          <w:p w14:paraId="3C9223B8" w14:textId="77777777" w:rsidR="002F1AB1" w:rsidRPr="002F1AB1" w:rsidRDefault="002F1AB1" w:rsidP="002F1AB1">
            <w:pPr>
              <w:keepLines/>
              <w:widowControl w:val="0"/>
              <w:spacing w:line="240" w:lineRule="auto"/>
              <w:jc w:val="center"/>
              <w:rPr>
                <w:rFonts w:ascii="Times New Roman" w:eastAsia="Times New Roman" w:hAnsi="Times New Roman" w:cs="Times New Roman"/>
                <w:b/>
                <w:i/>
                <w:sz w:val="20"/>
                <w:szCs w:val="20"/>
              </w:rPr>
            </w:pPr>
            <w:r w:rsidRPr="002F1AB1">
              <w:rPr>
                <w:rFonts w:ascii="Times New Roman" w:eastAsia="Times New Roman" w:hAnsi="Times New Roman" w:cs="Times New Roman"/>
                <w:sz w:val="20"/>
                <w:szCs w:val="20"/>
              </w:rPr>
              <w:t>(2)</w:t>
            </w:r>
          </w:p>
        </w:tc>
      </w:tr>
      <w:tr w:rsidR="002F1AB1" w:rsidRPr="002F1AB1" w14:paraId="3AAF9B9F" w14:textId="77777777" w:rsidTr="009852E0">
        <w:trPr>
          <w:trHeight w:val="266"/>
        </w:trPr>
        <w:tc>
          <w:tcPr>
            <w:tcW w:w="1052" w:type="dxa"/>
          </w:tcPr>
          <w:p w14:paraId="08FCBC0B" w14:textId="5D619705" w:rsidR="002F1AB1" w:rsidRPr="002F1AB1" w:rsidRDefault="002F1AB1" w:rsidP="002F1AB1">
            <w:pPr>
              <w:keepLines/>
              <w:widowControl w:val="0"/>
              <w:spacing w:line="240" w:lineRule="auto"/>
              <w:rPr>
                <w:rFonts w:ascii="Times New Roman" w:eastAsia="Times New Roman" w:hAnsi="Times New Roman" w:cs="Times New Roman"/>
                <w:sz w:val="20"/>
                <w:szCs w:val="20"/>
              </w:rPr>
            </w:pPr>
            <w:r w:rsidRPr="002F1AB1">
              <w:rPr>
                <w:rFonts w:ascii="Times New Roman" w:eastAsia="Times New Roman" w:hAnsi="Times New Roman" w:cs="Times New Roman"/>
                <w:sz w:val="20"/>
                <w:szCs w:val="20"/>
                <w:u w:val="single"/>
              </w:rPr>
              <w:t>Line (</w:t>
            </w:r>
            <w:r w:rsidR="00926AB8">
              <w:rPr>
                <w:rFonts w:ascii="Times New Roman" w:eastAsia="Times New Roman" w:hAnsi="Times New Roman" w:cs="Times New Roman"/>
                <w:color w:val="000000" w:themeColor="text1"/>
                <w:sz w:val="20"/>
                <w:szCs w:val="20"/>
                <w:u w:val="single"/>
              </w:rPr>
              <w:t>5</w:t>
            </w:r>
            <w:r w:rsidRPr="002F1AB1">
              <w:rPr>
                <w:rFonts w:ascii="Times New Roman" w:eastAsia="Times New Roman" w:hAnsi="Times New Roman" w:cs="Times New Roman"/>
                <w:sz w:val="20"/>
                <w:szCs w:val="20"/>
                <w:u w:val="single"/>
              </w:rPr>
              <w:t>)</w:t>
            </w:r>
          </w:p>
        </w:tc>
        <w:tc>
          <w:tcPr>
            <w:tcW w:w="5264" w:type="dxa"/>
          </w:tcPr>
          <w:p w14:paraId="62C69F07" w14:textId="68D27987" w:rsidR="002F1AB1" w:rsidRPr="002F1AB1" w:rsidRDefault="00492A0F" w:rsidP="002F1AB1">
            <w:pPr>
              <w:keepLines/>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 xml:space="preserve">Life Contingent </w:t>
            </w:r>
            <w:r w:rsidR="009852E0">
              <w:rPr>
                <w:rFonts w:ascii="Times New Roman" w:eastAsia="Times New Roman" w:hAnsi="Times New Roman" w:cs="Times New Roman"/>
                <w:sz w:val="20"/>
                <w:szCs w:val="20"/>
                <w:u w:val="single"/>
              </w:rPr>
              <w:t>Annuity</w:t>
            </w:r>
            <w:r>
              <w:rPr>
                <w:rFonts w:ascii="Times New Roman" w:eastAsia="Times New Roman" w:hAnsi="Times New Roman" w:cs="Times New Roman"/>
                <w:sz w:val="20"/>
                <w:szCs w:val="20"/>
                <w:u w:val="single"/>
              </w:rPr>
              <w:t xml:space="preserve"> Reserves</w:t>
            </w:r>
          </w:p>
        </w:tc>
        <w:tc>
          <w:tcPr>
            <w:tcW w:w="2010" w:type="dxa"/>
          </w:tcPr>
          <w:p w14:paraId="78CFAFBF" w14:textId="77777777" w:rsidR="002F1AB1" w:rsidRPr="002F1AB1" w:rsidRDefault="002F1AB1" w:rsidP="002F1AB1">
            <w:pPr>
              <w:keepLines/>
              <w:widowControl w:val="0"/>
              <w:spacing w:line="240" w:lineRule="auto"/>
              <w:jc w:val="center"/>
              <w:rPr>
                <w:rFonts w:ascii="Times New Roman" w:eastAsia="Times New Roman" w:hAnsi="Times New Roman" w:cs="Times New Roman"/>
                <w:sz w:val="20"/>
                <w:szCs w:val="20"/>
              </w:rPr>
            </w:pPr>
            <w:r w:rsidRPr="002F1AB1">
              <w:rPr>
                <w:rFonts w:ascii="Times New Roman" w:eastAsia="Times New Roman" w:hAnsi="Times New Roman" w:cs="Times New Roman"/>
                <w:sz w:val="20"/>
                <w:szCs w:val="20"/>
                <w:u w:val="single"/>
              </w:rPr>
              <w:t>Statement Value</w:t>
            </w:r>
          </w:p>
        </w:tc>
        <w:tc>
          <w:tcPr>
            <w:tcW w:w="1722" w:type="dxa"/>
          </w:tcPr>
          <w:p w14:paraId="52963B48" w14:textId="77777777" w:rsidR="002F1AB1" w:rsidRPr="002F1AB1" w:rsidRDefault="002F1AB1" w:rsidP="002F1AB1">
            <w:pPr>
              <w:keepLines/>
              <w:widowControl w:val="0"/>
              <w:spacing w:line="240" w:lineRule="auto"/>
              <w:jc w:val="center"/>
              <w:rPr>
                <w:rFonts w:ascii="Times New Roman" w:eastAsia="Times New Roman" w:hAnsi="Times New Roman" w:cs="Times New Roman"/>
                <w:sz w:val="20"/>
                <w:szCs w:val="20"/>
              </w:rPr>
            </w:pPr>
            <w:r w:rsidRPr="002F1AB1">
              <w:rPr>
                <w:rFonts w:ascii="Times New Roman" w:eastAsia="Times New Roman" w:hAnsi="Times New Roman" w:cs="Times New Roman"/>
                <w:sz w:val="20"/>
                <w:szCs w:val="20"/>
                <w:u w:val="single"/>
              </w:rPr>
              <w:t>Factor</w:t>
            </w:r>
          </w:p>
        </w:tc>
        <w:tc>
          <w:tcPr>
            <w:tcW w:w="2010" w:type="dxa"/>
          </w:tcPr>
          <w:p w14:paraId="686D0D99" w14:textId="77777777" w:rsidR="002F1AB1" w:rsidRPr="002F1AB1" w:rsidRDefault="002F1AB1" w:rsidP="002F1AB1">
            <w:pPr>
              <w:keepLines/>
              <w:widowControl w:val="0"/>
              <w:spacing w:line="240" w:lineRule="auto"/>
              <w:jc w:val="center"/>
              <w:rPr>
                <w:rFonts w:ascii="Times New Roman" w:eastAsia="Times New Roman" w:hAnsi="Times New Roman" w:cs="Times New Roman"/>
                <w:b/>
                <w:i/>
                <w:sz w:val="20"/>
                <w:szCs w:val="20"/>
              </w:rPr>
            </w:pPr>
            <w:r w:rsidRPr="002F1AB1">
              <w:rPr>
                <w:rFonts w:ascii="Times New Roman" w:eastAsia="Times New Roman" w:hAnsi="Times New Roman" w:cs="Times New Roman"/>
                <w:sz w:val="20"/>
                <w:szCs w:val="20"/>
                <w:u w:val="single"/>
              </w:rPr>
              <w:t>RBC Requirement</w:t>
            </w:r>
          </w:p>
        </w:tc>
      </w:tr>
      <w:tr w:rsidR="002F1AB1" w:rsidRPr="002F1AB1" w14:paraId="4DD6CAEF" w14:textId="77777777" w:rsidTr="009852E0">
        <w:trPr>
          <w:trHeight w:val="250"/>
        </w:trPr>
        <w:tc>
          <w:tcPr>
            <w:tcW w:w="1052" w:type="dxa"/>
          </w:tcPr>
          <w:p w14:paraId="7DF1F1F5" w14:textId="77777777" w:rsidR="002F1AB1" w:rsidRPr="002F1AB1" w:rsidRDefault="002F1AB1" w:rsidP="002F1AB1">
            <w:pPr>
              <w:keepLines/>
              <w:widowControl w:val="0"/>
              <w:spacing w:line="240" w:lineRule="auto"/>
              <w:ind w:right="-18"/>
              <w:rPr>
                <w:rFonts w:ascii="Times New Roman" w:eastAsia="Times New Roman" w:hAnsi="Times New Roman" w:cs="Times New Roman"/>
                <w:sz w:val="20"/>
                <w:szCs w:val="20"/>
              </w:rPr>
            </w:pPr>
          </w:p>
        </w:tc>
        <w:tc>
          <w:tcPr>
            <w:tcW w:w="5264" w:type="dxa"/>
          </w:tcPr>
          <w:p w14:paraId="45DC43FB" w14:textId="3379FC86" w:rsidR="002F1AB1" w:rsidRPr="002F1AB1" w:rsidRDefault="002F1AB1" w:rsidP="002F1AB1">
            <w:pPr>
              <w:keepLines/>
              <w:widowControl w:val="0"/>
              <w:spacing w:line="240" w:lineRule="auto"/>
              <w:ind w:right="-18"/>
              <w:rPr>
                <w:rFonts w:ascii="Times New Roman" w:eastAsia="Times New Roman" w:hAnsi="Times New Roman" w:cs="Times New Roman"/>
                <w:sz w:val="20"/>
                <w:szCs w:val="20"/>
              </w:rPr>
            </w:pPr>
            <w:r w:rsidRPr="002F1AB1">
              <w:rPr>
                <w:rFonts w:ascii="Times New Roman" w:eastAsia="Times New Roman" w:hAnsi="Times New Roman" w:cs="Times New Roman"/>
                <w:sz w:val="20"/>
                <w:szCs w:val="20"/>
              </w:rPr>
              <w:t xml:space="preserve">First </w:t>
            </w:r>
            <w:r w:rsidR="009852E0">
              <w:rPr>
                <w:rFonts w:ascii="Times New Roman" w:eastAsia="Times New Roman" w:hAnsi="Times New Roman" w:cs="Times New Roman"/>
                <w:sz w:val="20"/>
                <w:szCs w:val="20"/>
              </w:rPr>
              <w:t>25</w:t>
            </w:r>
            <w:r w:rsidRPr="002F1AB1">
              <w:rPr>
                <w:rFonts w:ascii="Times New Roman" w:eastAsia="Times New Roman" w:hAnsi="Times New Roman" w:cs="Times New Roman"/>
                <w:sz w:val="20"/>
                <w:szCs w:val="20"/>
              </w:rPr>
              <w:t>0 Million</w:t>
            </w:r>
          </w:p>
        </w:tc>
        <w:tc>
          <w:tcPr>
            <w:tcW w:w="2010" w:type="dxa"/>
          </w:tcPr>
          <w:p w14:paraId="2E28D751" w14:textId="77777777" w:rsidR="002F1AB1" w:rsidRPr="002F1AB1" w:rsidRDefault="002F1AB1" w:rsidP="002F1AB1">
            <w:pPr>
              <w:keepLines/>
              <w:widowControl w:val="0"/>
              <w:tabs>
                <w:tab w:val="right" w:pos="1692"/>
              </w:tabs>
              <w:spacing w:line="240" w:lineRule="auto"/>
              <w:rPr>
                <w:rFonts w:ascii="Times New Roman" w:eastAsia="Times New Roman" w:hAnsi="Times New Roman" w:cs="Times New Roman"/>
                <w:sz w:val="20"/>
                <w:szCs w:val="20"/>
                <w:u w:val="single"/>
              </w:rPr>
            </w:pPr>
            <w:r w:rsidRPr="002F1AB1">
              <w:rPr>
                <w:rFonts w:ascii="Times New Roman" w:eastAsia="Times New Roman" w:hAnsi="Times New Roman" w:cs="Times New Roman"/>
                <w:sz w:val="20"/>
                <w:szCs w:val="20"/>
                <w:u w:val="single"/>
              </w:rPr>
              <w:t xml:space="preserve">      </w:t>
            </w:r>
            <w:r w:rsidRPr="002F1AB1">
              <w:rPr>
                <w:rFonts w:ascii="Times New Roman" w:eastAsia="Times New Roman" w:hAnsi="Times New Roman" w:cs="Times New Roman"/>
                <w:sz w:val="20"/>
                <w:szCs w:val="20"/>
                <w:u w:val="single"/>
              </w:rPr>
              <w:tab/>
            </w:r>
          </w:p>
        </w:tc>
        <w:tc>
          <w:tcPr>
            <w:tcW w:w="1722" w:type="dxa"/>
          </w:tcPr>
          <w:p w14:paraId="6FD8FDD0" w14:textId="568552E9" w:rsidR="002F1AB1" w:rsidRPr="002F1AB1" w:rsidRDefault="002F1AB1" w:rsidP="002F1AB1">
            <w:pPr>
              <w:keepLines/>
              <w:widowControl w:val="0"/>
              <w:spacing w:line="240" w:lineRule="auto"/>
              <w:jc w:val="center"/>
              <w:rPr>
                <w:rFonts w:ascii="Times New Roman" w:eastAsia="Times New Roman" w:hAnsi="Times New Roman" w:cs="Times New Roman"/>
                <w:sz w:val="20"/>
                <w:szCs w:val="20"/>
              </w:rPr>
            </w:pPr>
            <w:proofErr w:type="gramStart"/>
            <w:r w:rsidRPr="002F1AB1">
              <w:rPr>
                <w:rFonts w:ascii="Times New Roman" w:eastAsia="Times New Roman" w:hAnsi="Times New Roman" w:cs="Times New Roman"/>
                <w:sz w:val="20"/>
                <w:szCs w:val="20"/>
              </w:rPr>
              <w:t>X  0.0</w:t>
            </w:r>
            <w:r w:rsidR="00683993" w:rsidRPr="00683993">
              <w:rPr>
                <w:rFonts w:ascii="Times New Roman" w:eastAsia="Times New Roman" w:hAnsi="Times New Roman" w:cs="Times New Roman"/>
                <w:color w:val="C00000"/>
                <w:sz w:val="20"/>
                <w:szCs w:val="20"/>
              </w:rPr>
              <w:t>000</w:t>
            </w:r>
            <w:proofErr w:type="gramEnd"/>
            <w:r w:rsidRPr="002F1AB1">
              <w:rPr>
                <w:rFonts w:ascii="Times New Roman" w:eastAsia="Times New Roman" w:hAnsi="Times New Roman" w:cs="Times New Roman"/>
                <w:sz w:val="20"/>
                <w:szCs w:val="20"/>
              </w:rPr>
              <w:t xml:space="preserve">  =</w:t>
            </w:r>
          </w:p>
        </w:tc>
        <w:tc>
          <w:tcPr>
            <w:tcW w:w="2010" w:type="dxa"/>
          </w:tcPr>
          <w:p w14:paraId="728E0806" w14:textId="77777777" w:rsidR="002F1AB1" w:rsidRPr="002F1AB1" w:rsidRDefault="002F1AB1" w:rsidP="002F1AB1">
            <w:pPr>
              <w:keepLines/>
              <w:widowControl w:val="0"/>
              <w:tabs>
                <w:tab w:val="right" w:pos="1692"/>
              </w:tabs>
              <w:spacing w:line="240" w:lineRule="auto"/>
              <w:rPr>
                <w:rFonts w:ascii="Times New Roman" w:eastAsia="Times New Roman" w:hAnsi="Times New Roman" w:cs="Times New Roman"/>
                <w:sz w:val="20"/>
                <w:szCs w:val="20"/>
                <w:u w:val="single"/>
              </w:rPr>
            </w:pPr>
            <w:r w:rsidRPr="002F1AB1">
              <w:rPr>
                <w:rFonts w:ascii="Times New Roman" w:eastAsia="Times New Roman" w:hAnsi="Times New Roman" w:cs="Times New Roman"/>
                <w:sz w:val="20"/>
                <w:szCs w:val="20"/>
                <w:u w:val="single"/>
              </w:rPr>
              <w:t xml:space="preserve">      </w:t>
            </w:r>
            <w:r w:rsidRPr="002F1AB1">
              <w:rPr>
                <w:rFonts w:ascii="Times New Roman" w:eastAsia="Times New Roman" w:hAnsi="Times New Roman" w:cs="Times New Roman"/>
                <w:sz w:val="20"/>
                <w:szCs w:val="20"/>
                <w:u w:val="single"/>
              </w:rPr>
              <w:tab/>
            </w:r>
          </w:p>
        </w:tc>
      </w:tr>
      <w:tr w:rsidR="002F1AB1" w:rsidRPr="002F1AB1" w14:paraId="49128B9E" w14:textId="77777777" w:rsidTr="009852E0">
        <w:trPr>
          <w:trHeight w:val="250"/>
        </w:trPr>
        <w:tc>
          <w:tcPr>
            <w:tcW w:w="1052" w:type="dxa"/>
          </w:tcPr>
          <w:p w14:paraId="44341D4C" w14:textId="77777777" w:rsidR="002F1AB1" w:rsidRPr="002F1AB1" w:rsidRDefault="002F1AB1" w:rsidP="002F1AB1">
            <w:pPr>
              <w:keepLines/>
              <w:widowControl w:val="0"/>
              <w:spacing w:line="240" w:lineRule="auto"/>
              <w:rPr>
                <w:rFonts w:ascii="Times New Roman" w:eastAsia="Times New Roman" w:hAnsi="Times New Roman" w:cs="Times New Roman"/>
                <w:sz w:val="20"/>
                <w:szCs w:val="20"/>
              </w:rPr>
            </w:pPr>
          </w:p>
        </w:tc>
        <w:tc>
          <w:tcPr>
            <w:tcW w:w="5264" w:type="dxa"/>
          </w:tcPr>
          <w:p w14:paraId="1E54CAB9" w14:textId="4D1799E1" w:rsidR="002F1AB1" w:rsidRPr="002F1AB1" w:rsidRDefault="002F1AB1" w:rsidP="002F1AB1">
            <w:pPr>
              <w:keepLines/>
              <w:widowControl w:val="0"/>
              <w:spacing w:line="240" w:lineRule="auto"/>
              <w:rPr>
                <w:rFonts w:ascii="Times New Roman" w:eastAsia="Times New Roman" w:hAnsi="Times New Roman" w:cs="Times New Roman"/>
                <w:sz w:val="20"/>
                <w:szCs w:val="20"/>
              </w:rPr>
            </w:pPr>
            <w:r w:rsidRPr="002F1AB1">
              <w:rPr>
                <w:rFonts w:ascii="Times New Roman" w:eastAsia="Times New Roman" w:hAnsi="Times New Roman" w:cs="Times New Roman"/>
                <w:sz w:val="20"/>
                <w:szCs w:val="20"/>
              </w:rPr>
              <w:t xml:space="preserve">Next </w:t>
            </w:r>
            <w:r w:rsidR="009852E0">
              <w:rPr>
                <w:rFonts w:ascii="Times New Roman" w:eastAsia="Times New Roman" w:hAnsi="Times New Roman" w:cs="Times New Roman"/>
                <w:sz w:val="20"/>
                <w:szCs w:val="20"/>
              </w:rPr>
              <w:t>25</w:t>
            </w:r>
            <w:r w:rsidRPr="002F1AB1">
              <w:rPr>
                <w:rFonts w:ascii="Times New Roman" w:eastAsia="Times New Roman" w:hAnsi="Times New Roman" w:cs="Times New Roman"/>
                <w:sz w:val="20"/>
                <w:szCs w:val="20"/>
              </w:rPr>
              <w:t>0 Million</w:t>
            </w:r>
          </w:p>
        </w:tc>
        <w:tc>
          <w:tcPr>
            <w:tcW w:w="2010" w:type="dxa"/>
          </w:tcPr>
          <w:p w14:paraId="35F1D414" w14:textId="77777777" w:rsidR="002F1AB1" w:rsidRPr="002F1AB1" w:rsidRDefault="002F1AB1" w:rsidP="002F1AB1">
            <w:pPr>
              <w:keepLines/>
              <w:widowControl w:val="0"/>
              <w:tabs>
                <w:tab w:val="right" w:pos="1692"/>
              </w:tabs>
              <w:spacing w:line="240" w:lineRule="auto"/>
              <w:rPr>
                <w:rFonts w:ascii="Times New Roman" w:eastAsia="Times New Roman" w:hAnsi="Times New Roman" w:cs="Times New Roman"/>
                <w:sz w:val="20"/>
                <w:szCs w:val="20"/>
                <w:u w:val="single"/>
              </w:rPr>
            </w:pPr>
            <w:r w:rsidRPr="002F1AB1">
              <w:rPr>
                <w:rFonts w:ascii="Times New Roman" w:eastAsia="Times New Roman" w:hAnsi="Times New Roman" w:cs="Times New Roman"/>
                <w:sz w:val="20"/>
                <w:szCs w:val="20"/>
                <w:u w:val="single"/>
              </w:rPr>
              <w:t xml:space="preserve">      </w:t>
            </w:r>
            <w:r w:rsidRPr="002F1AB1">
              <w:rPr>
                <w:rFonts w:ascii="Times New Roman" w:eastAsia="Times New Roman" w:hAnsi="Times New Roman" w:cs="Times New Roman"/>
                <w:sz w:val="20"/>
                <w:szCs w:val="20"/>
                <w:u w:val="single"/>
              </w:rPr>
              <w:tab/>
            </w:r>
          </w:p>
        </w:tc>
        <w:tc>
          <w:tcPr>
            <w:tcW w:w="1722" w:type="dxa"/>
          </w:tcPr>
          <w:p w14:paraId="1961D7F0" w14:textId="7BDC5BA9" w:rsidR="002F1AB1" w:rsidRPr="002F1AB1" w:rsidRDefault="002F1AB1" w:rsidP="002F1AB1">
            <w:pPr>
              <w:keepLines/>
              <w:widowControl w:val="0"/>
              <w:spacing w:line="240" w:lineRule="auto"/>
              <w:jc w:val="center"/>
              <w:rPr>
                <w:rFonts w:ascii="Times New Roman" w:eastAsia="Times New Roman" w:hAnsi="Times New Roman" w:cs="Times New Roman"/>
                <w:sz w:val="20"/>
                <w:szCs w:val="20"/>
              </w:rPr>
            </w:pPr>
            <w:proofErr w:type="gramStart"/>
            <w:r w:rsidRPr="002F1AB1">
              <w:rPr>
                <w:rFonts w:ascii="Times New Roman" w:eastAsia="Times New Roman" w:hAnsi="Times New Roman" w:cs="Times New Roman"/>
                <w:sz w:val="20"/>
                <w:szCs w:val="20"/>
              </w:rPr>
              <w:t>X  0.0</w:t>
            </w:r>
            <w:r w:rsidR="00683993">
              <w:rPr>
                <w:rFonts w:ascii="Times New Roman" w:eastAsia="Times New Roman" w:hAnsi="Times New Roman" w:cs="Times New Roman"/>
                <w:color w:val="C00000"/>
                <w:sz w:val="20"/>
                <w:szCs w:val="20"/>
              </w:rPr>
              <w:t>000</w:t>
            </w:r>
            <w:proofErr w:type="gramEnd"/>
            <w:r w:rsidR="009852E0">
              <w:rPr>
                <w:rFonts w:ascii="Times New Roman" w:eastAsia="Times New Roman" w:hAnsi="Times New Roman" w:cs="Times New Roman"/>
                <w:sz w:val="20"/>
                <w:szCs w:val="20"/>
              </w:rPr>
              <w:t xml:space="preserve"> </w:t>
            </w:r>
            <w:r w:rsidR="006237E5">
              <w:rPr>
                <w:rFonts w:ascii="Times New Roman" w:eastAsia="Times New Roman" w:hAnsi="Times New Roman" w:cs="Times New Roman"/>
                <w:sz w:val="20"/>
                <w:szCs w:val="20"/>
              </w:rPr>
              <w:t xml:space="preserve"> </w:t>
            </w:r>
            <w:r w:rsidRPr="002F1AB1">
              <w:rPr>
                <w:rFonts w:ascii="Times New Roman" w:eastAsia="Times New Roman" w:hAnsi="Times New Roman" w:cs="Times New Roman"/>
                <w:sz w:val="20"/>
                <w:szCs w:val="20"/>
              </w:rPr>
              <w:t>=</w:t>
            </w:r>
          </w:p>
        </w:tc>
        <w:tc>
          <w:tcPr>
            <w:tcW w:w="2010" w:type="dxa"/>
          </w:tcPr>
          <w:p w14:paraId="59A5CF67" w14:textId="77777777" w:rsidR="002F1AB1" w:rsidRPr="002F1AB1" w:rsidRDefault="002F1AB1" w:rsidP="002F1AB1">
            <w:pPr>
              <w:keepLines/>
              <w:widowControl w:val="0"/>
              <w:tabs>
                <w:tab w:val="right" w:pos="1692"/>
              </w:tabs>
              <w:spacing w:line="240" w:lineRule="auto"/>
              <w:rPr>
                <w:rFonts w:ascii="Times New Roman" w:eastAsia="Times New Roman" w:hAnsi="Times New Roman" w:cs="Times New Roman"/>
                <w:sz w:val="20"/>
                <w:szCs w:val="20"/>
                <w:u w:val="single"/>
              </w:rPr>
            </w:pPr>
            <w:r w:rsidRPr="002F1AB1">
              <w:rPr>
                <w:rFonts w:ascii="Times New Roman" w:eastAsia="Times New Roman" w:hAnsi="Times New Roman" w:cs="Times New Roman"/>
                <w:sz w:val="20"/>
                <w:szCs w:val="20"/>
                <w:u w:val="single"/>
              </w:rPr>
              <w:t xml:space="preserve">      </w:t>
            </w:r>
            <w:r w:rsidRPr="002F1AB1">
              <w:rPr>
                <w:rFonts w:ascii="Times New Roman" w:eastAsia="Times New Roman" w:hAnsi="Times New Roman" w:cs="Times New Roman"/>
                <w:sz w:val="20"/>
                <w:szCs w:val="20"/>
                <w:u w:val="single"/>
              </w:rPr>
              <w:tab/>
            </w:r>
          </w:p>
        </w:tc>
      </w:tr>
      <w:tr w:rsidR="002F1AB1" w:rsidRPr="002F1AB1" w14:paraId="097EAA5C" w14:textId="77777777" w:rsidTr="009852E0">
        <w:trPr>
          <w:trHeight w:val="266"/>
        </w:trPr>
        <w:tc>
          <w:tcPr>
            <w:tcW w:w="1052" w:type="dxa"/>
          </w:tcPr>
          <w:p w14:paraId="67830722" w14:textId="77777777" w:rsidR="002F1AB1" w:rsidRPr="002F1AB1" w:rsidRDefault="002F1AB1" w:rsidP="002F1AB1">
            <w:pPr>
              <w:keepLines/>
              <w:widowControl w:val="0"/>
              <w:spacing w:line="240" w:lineRule="auto"/>
              <w:rPr>
                <w:rFonts w:ascii="Times New Roman" w:eastAsia="Times New Roman" w:hAnsi="Times New Roman" w:cs="Times New Roman"/>
                <w:sz w:val="20"/>
                <w:szCs w:val="20"/>
              </w:rPr>
            </w:pPr>
          </w:p>
        </w:tc>
        <w:tc>
          <w:tcPr>
            <w:tcW w:w="5264" w:type="dxa"/>
          </w:tcPr>
          <w:p w14:paraId="28B5A248" w14:textId="08EC2F2C" w:rsidR="002F1AB1" w:rsidRPr="002F1AB1" w:rsidRDefault="002F1AB1" w:rsidP="002F1AB1">
            <w:pPr>
              <w:keepLines/>
              <w:widowControl w:val="0"/>
              <w:spacing w:line="240" w:lineRule="auto"/>
              <w:rPr>
                <w:rFonts w:ascii="Times New Roman" w:eastAsia="Times New Roman" w:hAnsi="Times New Roman" w:cs="Times New Roman"/>
                <w:sz w:val="20"/>
                <w:szCs w:val="20"/>
              </w:rPr>
            </w:pPr>
            <w:r w:rsidRPr="002F1AB1">
              <w:rPr>
                <w:rFonts w:ascii="Times New Roman" w:eastAsia="Times New Roman" w:hAnsi="Times New Roman" w:cs="Times New Roman"/>
                <w:sz w:val="20"/>
                <w:szCs w:val="20"/>
              </w:rPr>
              <w:t xml:space="preserve">Next </w:t>
            </w:r>
            <w:r w:rsidR="009852E0">
              <w:rPr>
                <w:rFonts w:ascii="Times New Roman" w:eastAsia="Times New Roman" w:hAnsi="Times New Roman" w:cs="Times New Roman"/>
                <w:sz w:val="20"/>
                <w:szCs w:val="20"/>
              </w:rPr>
              <w:t>5</w:t>
            </w:r>
            <w:r w:rsidRPr="002F1AB1">
              <w:rPr>
                <w:rFonts w:ascii="Times New Roman" w:eastAsia="Times New Roman" w:hAnsi="Times New Roman" w:cs="Times New Roman"/>
                <w:sz w:val="20"/>
                <w:szCs w:val="20"/>
              </w:rPr>
              <w:t>00 Million</w:t>
            </w:r>
          </w:p>
        </w:tc>
        <w:tc>
          <w:tcPr>
            <w:tcW w:w="2010" w:type="dxa"/>
          </w:tcPr>
          <w:p w14:paraId="5B1F7274" w14:textId="77777777" w:rsidR="002F1AB1" w:rsidRPr="002F1AB1" w:rsidRDefault="002F1AB1" w:rsidP="002F1AB1">
            <w:pPr>
              <w:keepLines/>
              <w:widowControl w:val="0"/>
              <w:tabs>
                <w:tab w:val="right" w:pos="1692"/>
              </w:tabs>
              <w:spacing w:line="240" w:lineRule="auto"/>
              <w:rPr>
                <w:rFonts w:ascii="Times New Roman" w:eastAsia="Times New Roman" w:hAnsi="Times New Roman" w:cs="Times New Roman"/>
                <w:sz w:val="20"/>
                <w:szCs w:val="20"/>
                <w:u w:val="single"/>
              </w:rPr>
            </w:pPr>
            <w:r w:rsidRPr="002F1AB1">
              <w:rPr>
                <w:rFonts w:ascii="Times New Roman" w:eastAsia="Times New Roman" w:hAnsi="Times New Roman" w:cs="Times New Roman"/>
                <w:sz w:val="20"/>
                <w:szCs w:val="20"/>
                <w:u w:val="single"/>
              </w:rPr>
              <w:t xml:space="preserve">      </w:t>
            </w:r>
            <w:r w:rsidRPr="002F1AB1">
              <w:rPr>
                <w:rFonts w:ascii="Times New Roman" w:eastAsia="Times New Roman" w:hAnsi="Times New Roman" w:cs="Times New Roman"/>
                <w:sz w:val="20"/>
                <w:szCs w:val="20"/>
                <w:u w:val="single"/>
              </w:rPr>
              <w:tab/>
            </w:r>
          </w:p>
        </w:tc>
        <w:tc>
          <w:tcPr>
            <w:tcW w:w="1722" w:type="dxa"/>
          </w:tcPr>
          <w:p w14:paraId="6076C539" w14:textId="06BE03EC" w:rsidR="002F1AB1" w:rsidRPr="002F1AB1" w:rsidRDefault="002F1AB1" w:rsidP="002F1AB1">
            <w:pPr>
              <w:keepLines/>
              <w:widowControl w:val="0"/>
              <w:spacing w:line="240" w:lineRule="auto"/>
              <w:jc w:val="center"/>
              <w:rPr>
                <w:rFonts w:ascii="Times New Roman" w:eastAsia="Times New Roman" w:hAnsi="Times New Roman" w:cs="Times New Roman"/>
                <w:sz w:val="20"/>
                <w:szCs w:val="20"/>
              </w:rPr>
            </w:pPr>
            <w:proofErr w:type="gramStart"/>
            <w:r w:rsidRPr="002F1AB1">
              <w:rPr>
                <w:rFonts w:ascii="Times New Roman" w:eastAsia="Times New Roman" w:hAnsi="Times New Roman" w:cs="Times New Roman"/>
                <w:sz w:val="20"/>
                <w:szCs w:val="20"/>
              </w:rPr>
              <w:t>X  0.0</w:t>
            </w:r>
            <w:r w:rsidR="00683993">
              <w:rPr>
                <w:rFonts w:ascii="Times New Roman" w:eastAsia="Times New Roman" w:hAnsi="Times New Roman" w:cs="Times New Roman"/>
                <w:color w:val="C00000"/>
                <w:sz w:val="20"/>
                <w:szCs w:val="20"/>
              </w:rPr>
              <w:t>000</w:t>
            </w:r>
            <w:proofErr w:type="gramEnd"/>
            <w:r w:rsidR="006237E5">
              <w:rPr>
                <w:rFonts w:ascii="Times New Roman" w:eastAsia="Times New Roman" w:hAnsi="Times New Roman" w:cs="Times New Roman"/>
                <w:sz w:val="20"/>
                <w:szCs w:val="20"/>
              </w:rPr>
              <w:t xml:space="preserve"> </w:t>
            </w:r>
            <w:r w:rsidR="009852E0">
              <w:rPr>
                <w:rFonts w:ascii="Times New Roman" w:eastAsia="Times New Roman" w:hAnsi="Times New Roman" w:cs="Times New Roman"/>
                <w:sz w:val="20"/>
                <w:szCs w:val="20"/>
              </w:rPr>
              <w:t xml:space="preserve"> </w:t>
            </w:r>
            <w:r w:rsidRPr="002F1AB1">
              <w:rPr>
                <w:rFonts w:ascii="Times New Roman" w:eastAsia="Times New Roman" w:hAnsi="Times New Roman" w:cs="Times New Roman"/>
                <w:sz w:val="20"/>
                <w:szCs w:val="20"/>
              </w:rPr>
              <w:t>=</w:t>
            </w:r>
          </w:p>
        </w:tc>
        <w:tc>
          <w:tcPr>
            <w:tcW w:w="2010" w:type="dxa"/>
          </w:tcPr>
          <w:p w14:paraId="477909ED" w14:textId="77777777" w:rsidR="002F1AB1" w:rsidRPr="002F1AB1" w:rsidRDefault="002F1AB1" w:rsidP="002F1AB1">
            <w:pPr>
              <w:keepLines/>
              <w:widowControl w:val="0"/>
              <w:tabs>
                <w:tab w:val="right" w:pos="1692"/>
              </w:tabs>
              <w:spacing w:line="240" w:lineRule="auto"/>
              <w:rPr>
                <w:rFonts w:ascii="Times New Roman" w:eastAsia="Times New Roman" w:hAnsi="Times New Roman" w:cs="Times New Roman"/>
                <w:sz w:val="20"/>
                <w:szCs w:val="20"/>
                <w:u w:val="single"/>
              </w:rPr>
            </w:pPr>
            <w:r w:rsidRPr="002F1AB1">
              <w:rPr>
                <w:rFonts w:ascii="Times New Roman" w:eastAsia="Times New Roman" w:hAnsi="Times New Roman" w:cs="Times New Roman"/>
                <w:sz w:val="20"/>
                <w:szCs w:val="20"/>
                <w:u w:val="single"/>
              </w:rPr>
              <w:t xml:space="preserve">      </w:t>
            </w:r>
            <w:r w:rsidRPr="002F1AB1">
              <w:rPr>
                <w:rFonts w:ascii="Times New Roman" w:eastAsia="Times New Roman" w:hAnsi="Times New Roman" w:cs="Times New Roman"/>
                <w:sz w:val="20"/>
                <w:szCs w:val="20"/>
                <w:u w:val="single"/>
              </w:rPr>
              <w:tab/>
            </w:r>
          </w:p>
        </w:tc>
      </w:tr>
      <w:tr w:rsidR="002F1AB1" w:rsidRPr="002F1AB1" w14:paraId="7D4A40F9" w14:textId="77777777" w:rsidTr="009852E0">
        <w:trPr>
          <w:trHeight w:val="250"/>
        </w:trPr>
        <w:tc>
          <w:tcPr>
            <w:tcW w:w="1052" w:type="dxa"/>
          </w:tcPr>
          <w:p w14:paraId="5B5A360E" w14:textId="77777777" w:rsidR="002F1AB1" w:rsidRPr="002F1AB1" w:rsidRDefault="002F1AB1" w:rsidP="002F1AB1">
            <w:pPr>
              <w:keepLines/>
              <w:widowControl w:val="0"/>
              <w:spacing w:line="240" w:lineRule="auto"/>
              <w:rPr>
                <w:rFonts w:ascii="Times New Roman" w:eastAsia="Times New Roman" w:hAnsi="Times New Roman" w:cs="Times New Roman"/>
                <w:sz w:val="20"/>
                <w:szCs w:val="20"/>
              </w:rPr>
            </w:pPr>
          </w:p>
        </w:tc>
        <w:tc>
          <w:tcPr>
            <w:tcW w:w="5264" w:type="dxa"/>
          </w:tcPr>
          <w:p w14:paraId="2ED89E7D" w14:textId="2B02304E" w:rsidR="002F1AB1" w:rsidRPr="002F1AB1" w:rsidRDefault="002F1AB1" w:rsidP="002F1AB1">
            <w:pPr>
              <w:keepLines/>
              <w:widowControl w:val="0"/>
              <w:spacing w:line="240" w:lineRule="auto"/>
              <w:rPr>
                <w:rFonts w:ascii="Times New Roman" w:eastAsia="Times New Roman" w:hAnsi="Times New Roman" w:cs="Times New Roman"/>
                <w:sz w:val="20"/>
                <w:szCs w:val="20"/>
              </w:rPr>
            </w:pPr>
            <w:r w:rsidRPr="002F1AB1">
              <w:rPr>
                <w:rFonts w:ascii="Times New Roman" w:eastAsia="Times New Roman" w:hAnsi="Times New Roman" w:cs="Times New Roman"/>
                <w:sz w:val="20"/>
                <w:szCs w:val="20"/>
              </w:rPr>
              <w:t xml:space="preserve">Over </w:t>
            </w:r>
            <w:r w:rsidR="009852E0">
              <w:rPr>
                <w:rFonts w:ascii="Times New Roman" w:eastAsia="Times New Roman" w:hAnsi="Times New Roman" w:cs="Times New Roman"/>
                <w:sz w:val="20"/>
                <w:szCs w:val="20"/>
              </w:rPr>
              <w:t>1</w:t>
            </w:r>
            <w:r w:rsidRPr="002F1AB1">
              <w:rPr>
                <w:rFonts w:ascii="Times New Roman" w:eastAsia="Times New Roman" w:hAnsi="Times New Roman" w:cs="Times New Roman"/>
                <w:sz w:val="20"/>
                <w:szCs w:val="20"/>
              </w:rPr>
              <w:t>,000 Million</w:t>
            </w:r>
          </w:p>
        </w:tc>
        <w:tc>
          <w:tcPr>
            <w:tcW w:w="2010" w:type="dxa"/>
          </w:tcPr>
          <w:p w14:paraId="4744EE5D" w14:textId="77777777" w:rsidR="002F1AB1" w:rsidRPr="002F1AB1" w:rsidRDefault="002F1AB1" w:rsidP="002F1AB1">
            <w:pPr>
              <w:keepLines/>
              <w:widowControl w:val="0"/>
              <w:tabs>
                <w:tab w:val="right" w:pos="1692"/>
              </w:tabs>
              <w:spacing w:line="240" w:lineRule="auto"/>
              <w:rPr>
                <w:rFonts w:ascii="Times New Roman" w:eastAsia="Times New Roman" w:hAnsi="Times New Roman" w:cs="Times New Roman"/>
                <w:sz w:val="20"/>
                <w:szCs w:val="20"/>
                <w:u w:val="single"/>
              </w:rPr>
            </w:pPr>
            <w:r w:rsidRPr="002F1AB1">
              <w:rPr>
                <w:rFonts w:ascii="Times New Roman" w:eastAsia="Times New Roman" w:hAnsi="Times New Roman" w:cs="Times New Roman"/>
                <w:sz w:val="20"/>
                <w:szCs w:val="20"/>
                <w:u w:val="single"/>
              </w:rPr>
              <w:t xml:space="preserve">      </w:t>
            </w:r>
            <w:r w:rsidRPr="002F1AB1">
              <w:rPr>
                <w:rFonts w:ascii="Times New Roman" w:eastAsia="Times New Roman" w:hAnsi="Times New Roman" w:cs="Times New Roman"/>
                <w:sz w:val="20"/>
                <w:szCs w:val="20"/>
                <w:u w:val="single"/>
              </w:rPr>
              <w:tab/>
            </w:r>
          </w:p>
        </w:tc>
        <w:tc>
          <w:tcPr>
            <w:tcW w:w="1722" w:type="dxa"/>
          </w:tcPr>
          <w:p w14:paraId="3A792E2B" w14:textId="5C394276" w:rsidR="002F1AB1" w:rsidRPr="002F1AB1" w:rsidRDefault="006237E5" w:rsidP="002F1AB1">
            <w:pPr>
              <w:keepLines/>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sidR="002F1AB1" w:rsidRPr="002F1AB1">
              <w:rPr>
                <w:rFonts w:ascii="Times New Roman" w:eastAsia="Times New Roman" w:hAnsi="Times New Roman" w:cs="Times New Roman"/>
                <w:sz w:val="20"/>
                <w:szCs w:val="20"/>
              </w:rPr>
              <w:t>X  0.</w:t>
            </w:r>
            <w:r w:rsidR="002F1AB1" w:rsidRPr="002F1AB1">
              <w:rPr>
                <w:rFonts w:ascii="Times New Roman" w:eastAsia="Times New Roman" w:hAnsi="Times New Roman" w:cs="Times New Roman"/>
                <w:bCs/>
                <w:sz w:val="20"/>
                <w:szCs w:val="20"/>
              </w:rPr>
              <w:t>0</w:t>
            </w:r>
            <w:r w:rsidR="00683993">
              <w:rPr>
                <w:rFonts w:ascii="Times New Roman" w:eastAsia="Times New Roman" w:hAnsi="Times New Roman" w:cs="Times New Roman"/>
                <w:bCs/>
                <w:color w:val="C00000"/>
                <w:sz w:val="20"/>
                <w:szCs w:val="20"/>
              </w:rPr>
              <w:t>000</w:t>
            </w:r>
            <w:proofErr w:type="gramEnd"/>
            <w:r w:rsidR="002F1AB1" w:rsidRPr="002F1AB1">
              <w:rPr>
                <w:rFonts w:ascii="Times New Roman" w:eastAsia="Times New Roman" w:hAnsi="Times New Roman" w:cs="Times New Roman"/>
                <w:sz w:val="20"/>
                <w:szCs w:val="20"/>
              </w:rPr>
              <w:t xml:space="preserve">  =</w:t>
            </w:r>
          </w:p>
        </w:tc>
        <w:tc>
          <w:tcPr>
            <w:tcW w:w="2010" w:type="dxa"/>
          </w:tcPr>
          <w:p w14:paraId="55ECECEE" w14:textId="77777777" w:rsidR="002F1AB1" w:rsidRPr="002F1AB1" w:rsidRDefault="002F1AB1" w:rsidP="002F1AB1">
            <w:pPr>
              <w:keepLines/>
              <w:widowControl w:val="0"/>
              <w:tabs>
                <w:tab w:val="right" w:pos="1692"/>
              </w:tabs>
              <w:spacing w:line="240" w:lineRule="auto"/>
              <w:rPr>
                <w:rFonts w:ascii="Times New Roman" w:eastAsia="Times New Roman" w:hAnsi="Times New Roman" w:cs="Times New Roman"/>
                <w:sz w:val="20"/>
                <w:szCs w:val="20"/>
                <w:u w:val="single"/>
              </w:rPr>
            </w:pPr>
            <w:r w:rsidRPr="002F1AB1">
              <w:rPr>
                <w:rFonts w:ascii="Times New Roman" w:eastAsia="Times New Roman" w:hAnsi="Times New Roman" w:cs="Times New Roman"/>
                <w:sz w:val="20"/>
                <w:szCs w:val="20"/>
                <w:u w:val="single"/>
              </w:rPr>
              <w:t xml:space="preserve">      </w:t>
            </w:r>
            <w:r w:rsidRPr="002F1AB1">
              <w:rPr>
                <w:rFonts w:ascii="Times New Roman" w:eastAsia="Times New Roman" w:hAnsi="Times New Roman" w:cs="Times New Roman"/>
                <w:sz w:val="20"/>
                <w:szCs w:val="20"/>
                <w:u w:val="single"/>
              </w:rPr>
              <w:tab/>
            </w:r>
          </w:p>
        </w:tc>
      </w:tr>
      <w:tr w:rsidR="002F1AB1" w:rsidRPr="002F1AB1" w14:paraId="5AAE7886" w14:textId="77777777" w:rsidTr="009852E0">
        <w:trPr>
          <w:trHeight w:val="250"/>
        </w:trPr>
        <w:tc>
          <w:tcPr>
            <w:tcW w:w="1052" w:type="dxa"/>
          </w:tcPr>
          <w:p w14:paraId="24AB7A7C" w14:textId="77777777" w:rsidR="002F1AB1" w:rsidRPr="002F1AB1" w:rsidRDefault="002F1AB1" w:rsidP="002F1AB1">
            <w:pPr>
              <w:keepLines/>
              <w:widowControl w:val="0"/>
              <w:spacing w:line="240" w:lineRule="auto"/>
              <w:rPr>
                <w:rFonts w:ascii="Times New Roman" w:eastAsia="Times New Roman" w:hAnsi="Times New Roman" w:cs="Times New Roman"/>
                <w:sz w:val="20"/>
                <w:szCs w:val="20"/>
              </w:rPr>
            </w:pPr>
          </w:p>
        </w:tc>
        <w:tc>
          <w:tcPr>
            <w:tcW w:w="5264" w:type="dxa"/>
          </w:tcPr>
          <w:p w14:paraId="61869B6C" w14:textId="77777777" w:rsidR="002F1AB1" w:rsidRPr="002F1AB1" w:rsidRDefault="002F1AB1" w:rsidP="002F1AB1">
            <w:pPr>
              <w:keepLines/>
              <w:widowControl w:val="0"/>
              <w:spacing w:line="240" w:lineRule="auto"/>
              <w:rPr>
                <w:rFonts w:ascii="Times New Roman" w:eastAsia="Times New Roman" w:hAnsi="Times New Roman" w:cs="Times New Roman"/>
                <w:sz w:val="20"/>
                <w:szCs w:val="20"/>
              </w:rPr>
            </w:pPr>
          </w:p>
        </w:tc>
        <w:tc>
          <w:tcPr>
            <w:tcW w:w="2010" w:type="dxa"/>
          </w:tcPr>
          <w:p w14:paraId="040556CE" w14:textId="77777777" w:rsidR="002F1AB1" w:rsidRPr="002F1AB1" w:rsidRDefault="002F1AB1" w:rsidP="002F1AB1">
            <w:pPr>
              <w:keepLines/>
              <w:widowControl w:val="0"/>
              <w:spacing w:line="240" w:lineRule="auto"/>
              <w:rPr>
                <w:rFonts w:ascii="Times New Roman" w:eastAsia="Times New Roman" w:hAnsi="Times New Roman" w:cs="Times New Roman"/>
                <w:sz w:val="20"/>
                <w:szCs w:val="20"/>
              </w:rPr>
            </w:pPr>
          </w:p>
        </w:tc>
        <w:tc>
          <w:tcPr>
            <w:tcW w:w="1722" w:type="dxa"/>
          </w:tcPr>
          <w:p w14:paraId="5BDFC4C5" w14:textId="77777777" w:rsidR="002F1AB1" w:rsidRPr="002F1AB1" w:rsidRDefault="002F1AB1" w:rsidP="002F1AB1">
            <w:pPr>
              <w:keepLines/>
              <w:widowControl w:val="0"/>
              <w:spacing w:line="240" w:lineRule="auto"/>
              <w:rPr>
                <w:rFonts w:ascii="Times New Roman" w:eastAsia="Times New Roman" w:hAnsi="Times New Roman" w:cs="Times New Roman"/>
                <w:sz w:val="20"/>
                <w:szCs w:val="20"/>
              </w:rPr>
            </w:pPr>
          </w:p>
        </w:tc>
        <w:tc>
          <w:tcPr>
            <w:tcW w:w="2010" w:type="dxa"/>
          </w:tcPr>
          <w:p w14:paraId="328CB2A7" w14:textId="77777777" w:rsidR="002F1AB1" w:rsidRPr="002F1AB1" w:rsidRDefault="002F1AB1" w:rsidP="002F1AB1">
            <w:pPr>
              <w:keepLines/>
              <w:widowControl w:val="0"/>
              <w:spacing w:line="240" w:lineRule="auto"/>
              <w:rPr>
                <w:rFonts w:ascii="Times New Roman" w:eastAsia="Times New Roman" w:hAnsi="Times New Roman" w:cs="Times New Roman"/>
                <w:sz w:val="20"/>
                <w:szCs w:val="20"/>
              </w:rPr>
            </w:pPr>
          </w:p>
        </w:tc>
      </w:tr>
      <w:tr w:rsidR="002F1AB1" w:rsidRPr="002F1AB1" w14:paraId="04CA5A27" w14:textId="77777777" w:rsidTr="009852E0">
        <w:trPr>
          <w:trHeight w:val="266"/>
        </w:trPr>
        <w:tc>
          <w:tcPr>
            <w:tcW w:w="1052" w:type="dxa"/>
          </w:tcPr>
          <w:p w14:paraId="72528DEF" w14:textId="77777777" w:rsidR="002F1AB1" w:rsidRPr="002F1AB1" w:rsidRDefault="002F1AB1" w:rsidP="002F1AB1">
            <w:pPr>
              <w:keepLines/>
              <w:widowControl w:val="0"/>
              <w:spacing w:line="240" w:lineRule="auto"/>
              <w:rPr>
                <w:rFonts w:ascii="Times New Roman" w:eastAsia="Times New Roman" w:hAnsi="Times New Roman" w:cs="Times New Roman"/>
                <w:sz w:val="20"/>
                <w:szCs w:val="20"/>
              </w:rPr>
            </w:pPr>
          </w:p>
        </w:tc>
        <w:tc>
          <w:tcPr>
            <w:tcW w:w="5264" w:type="dxa"/>
          </w:tcPr>
          <w:p w14:paraId="641C012F" w14:textId="3C139FF0" w:rsidR="002F1AB1" w:rsidRPr="002F1AB1" w:rsidRDefault="002F1AB1" w:rsidP="002F1AB1">
            <w:pPr>
              <w:keepLines/>
              <w:widowControl w:val="0"/>
              <w:spacing w:line="240" w:lineRule="auto"/>
              <w:rPr>
                <w:rFonts w:ascii="Times New Roman" w:eastAsia="Times New Roman" w:hAnsi="Times New Roman" w:cs="Times New Roman"/>
                <w:sz w:val="20"/>
                <w:szCs w:val="20"/>
              </w:rPr>
            </w:pPr>
            <w:r w:rsidRPr="002F1AB1">
              <w:rPr>
                <w:rFonts w:ascii="Times New Roman" w:eastAsia="Times New Roman" w:hAnsi="Times New Roman" w:cs="Times New Roman"/>
                <w:sz w:val="20"/>
                <w:szCs w:val="20"/>
              </w:rPr>
              <w:t xml:space="preserve">Total </w:t>
            </w:r>
            <w:r w:rsidR="00492A0F">
              <w:rPr>
                <w:rFonts w:ascii="Times New Roman" w:eastAsia="Times New Roman" w:hAnsi="Times New Roman" w:cs="Times New Roman"/>
                <w:sz w:val="20"/>
                <w:szCs w:val="20"/>
              </w:rPr>
              <w:t>Life Contingent Annuity Reserves</w:t>
            </w:r>
            <w:r w:rsidRPr="002F1AB1">
              <w:rPr>
                <w:rFonts w:ascii="Times New Roman" w:eastAsia="Times New Roman" w:hAnsi="Times New Roman" w:cs="Times New Roman"/>
                <w:sz w:val="20"/>
                <w:szCs w:val="20"/>
              </w:rPr>
              <w:t> </w:t>
            </w:r>
          </w:p>
        </w:tc>
        <w:tc>
          <w:tcPr>
            <w:tcW w:w="2010" w:type="dxa"/>
          </w:tcPr>
          <w:p w14:paraId="21664F8D" w14:textId="77777777" w:rsidR="002F1AB1" w:rsidRPr="002F1AB1" w:rsidRDefault="002F1AB1" w:rsidP="002F1AB1">
            <w:pPr>
              <w:keepLines/>
              <w:widowControl w:val="0"/>
              <w:tabs>
                <w:tab w:val="right" w:pos="1692"/>
              </w:tabs>
              <w:spacing w:line="240" w:lineRule="auto"/>
              <w:rPr>
                <w:rFonts w:ascii="Times New Roman" w:eastAsia="Times New Roman" w:hAnsi="Times New Roman" w:cs="Times New Roman"/>
                <w:b/>
                <w:sz w:val="20"/>
                <w:szCs w:val="20"/>
                <w:u w:val="double"/>
              </w:rPr>
            </w:pPr>
            <w:r w:rsidRPr="002F1AB1">
              <w:rPr>
                <w:rFonts w:ascii="Times New Roman" w:eastAsia="Times New Roman" w:hAnsi="Times New Roman" w:cs="Times New Roman"/>
                <w:b/>
                <w:sz w:val="20"/>
                <w:szCs w:val="20"/>
                <w:u w:val="double"/>
              </w:rPr>
              <w:t xml:space="preserve">      </w:t>
            </w:r>
            <w:r w:rsidRPr="002F1AB1">
              <w:rPr>
                <w:rFonts w:ascii="Times New Roman" w:eastAsia="Times New Roman" w:hAnsi="Times New Roman" w:cs="Times New Roman"/>
                <w:b/>
                <w:sz w:val="20"/>
                <w:szCs w:val="20"/>
                <w:u w:val="double"/>
              </w:rPr>
              <w:tab/>
            </w:r>
          </w:p>
        </w:tc>
        <w:tc>
          <w:tcPr>
            <w:tcW w:w="1722" w:type="dxa"/>
          </w:tcPr>
          <w:p w14:paraId="6D06A824" w14:textId="77777777" w:rsidR="002F1AB1" w:rsidRPr="002F1AB1" w:rsidRDefault="002F1AB1" w:rsidP="002F1AB1">
            <w:pPr>
              <w:keepLines/>
              <w:widowControl w:val="0"/>
              <w:spacing w:line="240" w:lineRule="auto"/>
              <w:rPr>
                <w:rFonts w:ascii="Times New Roman" w:eastAsia="Times New Roman" w:hAnsi="Times New Roman" w:cs="Times New Roman"/>
                <w:sz w:val="20"/>
                <w:szCs w:val="20"/>
              </w:rPr>
            </w:pPr>
          </w:p>
        </w:tc>
        <w:tc>
          <w:tcPr>
            <w:tcW w:w="2010" w:type="dxa"/>
          </w:tcPr>
          <w:p w14:paraId="336D57B4" w14:textId="77777777" w:rsidR="002F1AB1" w:rsidRPr="002F1AB1" w:rsidRDefault="002F1AB1" w:rsidP="002F1AB1">
            <w:pPr>
              <w:keepLines/>
              <w:widowControl w:val="0"/>
              <w:tabs>
                <w:tab w:val="right" w:pos="1692"/>
              </w:tabs>
              <w:spacing w:line="240" w:lineRule="auto"/>
              <w:rPr>
                <w:rFonts w:ascii="Times New Roman" w:eastAsia="Times New Roman" w:hAnsi="Times New Roman" w:cs="Times New Roman"/>
                <w:b/>
                <w:sz w:val="20"/>
                <w:szCs w:val="20"/>
                <w:u w:val="double"/>
              </w:rPr>
            </w:pPr>
            <w:r w:rsidRPr="002F1AB1">
              <w:rPr>
                <w:rFonts w:ascii="Times New Roman" w:eastAsia="Times New Roman" w:hAnsi="Times New Roman" w:cs="Times New Roman"/>
                <w:b/>
                <w:sz w:val="20"/>
                <w:szCs w:val="20"/>
                <w:u w:val="double"/>
              </w:rPr>
              <w:t xml:space="preserve">      </w:t>
            </w:r>
            <w:r w:rsidRPr="002F1AB1">
              <w:rPr>
                <w:rFonts w:ascii="Times New Roman" w:eastAsia="Times New Roman" w:hAnsi="Times New Roman" w:cs="Times New Roman"/>
                <w:b/>
                <w:sz w:val="20"/>
                <w:szCs w:val="20"/>
                <w:u w:val="double"/>
              </w:rPr>
              <w:tab/>
            </w:r>
          </w:p>
        </w:tc>
      </w:tr>
    </w:tbl>
    <w:p w14:paraId="6BD09B72" w14:textId="77777777" w:rsidR="002F1AB1" w:rsidRPr="002F1AB1" w:rsidRDefault="002F1AB1" w:rsidP="002F1AB1">
      <w:pPr>
        <w:keepLines/>
        <w:widowControl w:val="0"/>
        <w:spacing w:line="240" w:lineRule="auto"/>
        <w:jc w:val="both"/>
        <w:rPr>
          <w:rFonts w:ascii="Times New Roman" w:eastAsia="Times New Roman" w:hAnsi="Times New Roman" w:cs="Times New Roman"/>
          <w:sz w:val="20"/>
          <w:szCs w:val="20"/>
        </w:rPr>
      </w:pPr>
    </w:p>
    <w:p w14:paraId="3CE851A9" w14:textId="77777777" w:rsidR="00525F76" w:rsidRDefault="00525F76">
      <w:bookmarkStart w:id="1" w:name="_GoBack"/>
      <w:bookmarkEnd w:id="1"/>
    </w:p>
    <w:sectPr w:rsidR="00525F76" w:rsidSect="002F1AB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515885"/>
    <w:multiLevelType w:val="hybridMultilevel"/>
    <w:tmpl w:val="4DF2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AB1"/>
    <w:rsid w:val="000952AF"/>
    <w:rsid w:val="000C03F2"/>
    <w:rsid w:val="000E6DD4"/>
    <w:rsid w:val="001234F9"/>
    <w:rsid w:val="002D5270"/>
    <w:rsid w:val="002F1AB1"/>
    <w:rsid w:val="00344FCD"/>
    <w:rsid w:val="003A35E0"/>
    <w:rsid w:val="00444830"/>
    <w:rsid w:val="00492A0F"/>
    <w:rsid w:val="004D3C98"/>
    <w:rsid w:val="00525F76"/>
    <w:rsid w:val="00592BBE"/>
    <w:rsid w:val="006237E5"/>
    <w:rsid w:val="0065056C"/>
    <w:rsid w:val="00663E3C"/>
    <w:rsid w:val="00683993"/>
    <w:rsid w:val="008E5563"/>
    <w:rsid w:val="00926AB8"/>
    <w:rsid w:val="009852E0"/>
    <w:rsid w:val="00A30ED4"/>
    <w:rsid w:val="00AB2789"/>
    <w:rsid w:val="00B301CA"/>
    <w:rsid w:val="00D93D86"/>
    <w:rsid w:val="00EA1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8093B"/>
  <w15:chartTrackingRefBased/>
  <w15:docId w15:val="{2B107946-F992-4C58-B496-7CEECA0E7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A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AB1"/>
    <w:rPr>
      <w:rFonts w:ascii="Segoe UI" w:hAnsi="Segoe UI" w:cs="Segoe UI"/>
      <w:sz w:val="18"/>
      <w:szCs w:val="18"/>
    </w:rPr>
  </w:style>
  <w:style w:type="paragraph" w:styleId="ListParagraph">
    <w:name w:val="List Paragraph"/>
    <w:basedOn w:val="Normal"/>
    <w:uiPriority w:val="34"/>
    <w:qFormat/>
    <w:rsid w:val="000E6D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195BCFB1</Template>
  <TotalTime>2</TotalTime>
  <Pages>1</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Fleming, Dave</dc:creator>
  <cp:keywords/>
  <dc:description/>
  <cp:lastModifiedBy>Fleming, Dave</cp:lastModifiedBy>
  <cp:revision>2</cp:revision>
  <dcterms:created xsi:type="dcterms:W3CDTF">2020-04-29T22:25:00Z</dcterms:created>
  <dcterms:modified xsi:type="dcterms:W3CDTF">2020-04-29T22:25:00Z</dcterms:modified>
</cp:coreProperties>
</file>