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C34" w:rsidRDefault="00861896" w:rsidP="001277E4">
      <w:pPr>
        <w:contextualSpacing/>
      </w:pPr>
      <w:bookmarkStart w:id="0" w:name="_GoBack"/>
      <w:bookmarkEnd w:id="0"/>
      <w:r w:rsidRPr="00264FFB">
        <w:rPr>
          <w:b/>
        </w:rPr>
        <w:tab/>
      </w:r>
      <w:r w:rsidRPr="00264FFB">
        <w:t xml:space="preserve"> </w:t>
      </w:r>
    </w:p>
    <w:p w:rsidR="00AF5416" w:rsidRPr="001277E4" w:rsidRDefault="00AF5416" w:rsidP="001277E4">
      <w:pPr>
        <w:contextualSpacing/>
      </w:pPr>
      <w:r w:rsidRPr="00641515">
        <w:rPr>
          <w:b/>
        </w:rPr>
        <w:t>Form 1</w:t>
      </w:r>
    </w:p>
    <w:p w:rsidR="00AF5416" w:rsidRDefault="00AF5416" w:rsidP="00AF5416">
      <w:pPr>
        <w:ind w:left="720"/>
      </w:pPr>
      <w:r>
        <w:t>Definitions and Formulas</w:t>
      </w:r>
    </w:p>
    <w:p w:rsidR="00AF5416" w:rsidRDefault="00AF5416" w:rsidP="00AF5416">
      <w:pPr>
        <w:autoSpaceDE w:val="0"/>
        <w:autoSpaceDN w:val="0"/>
        <w:adjustRightInd w:val="0"/>
        <w:spacing w:after="0" w:line="240" w:lineRule="auto"/>
        <w:ind w:left="720"/>
        <w:rPr>
          <w:rFonts w:ascii="Times New Roman" w:hAnsi="Times New Roman" w:cs="Times New Roman"/>
          <w:b/>
          <w:bCs/>
          <w:sz w:val="20"/>
          <w:szCs w:val="20"/>
        </w:rPr>
      </w:pPr>
      <w:r>
        <w:rPr>
          <w:rFonts w:ascii="Times New Roman" w:hAnsi="Times New Roman" w:cs="Times New Roman"/>
          <w:b/>
          <w:bCs/>
          <w:sz w:val="20"/>
          <w:szCs w:val="20"/>
        </w:rPr>
        <w:t>Current</w:t>
      </w:r>
    </w:p>
    <w:p w:rsidR="00AF5416" w:rsidRDefault="00AF5416" w:rsidP="001277E4">
      <w:pPr>
        <w:ind w:left="720" w:firstLine="720"/>
        <w:rPr>
          <w:rFonts w:ascii="TimesNewRomanPSMT" w:hAnsi="TimesNewRomanPSMT" w:cs="TimesNewRomanPSMT"/>
          <w:sz w:val="20"/>
          <w:szCs w:val="20"/>
        </w:rPr>
      </w:pPr>
      <w:proofErr w:type="gramStart"/>
      <w:r>
        <w:rPr>
          <w:rFonts w:ascii="TimesNewRomanPSMT" w:hAnsi="TimesNewRomanPSMT" w:cs="TimesNewRomanPSMT"/>
          <w:sz w:val="20"/>
          <w:szCs w:val="20"/>
        </w:rPr>
        <w:t>Current calendar year of reporting.</w:t>
      </w:r>
      <w:proofErr w:type="gramEnd"/>
    </w:p>
    <w:p w:rsidR="00AF5416" w:rsidRDefault="00AF5416" w:rsidP="00AF5416">
      <w:pPr>
        <w:autoSpaceDE w:val="0"/>
        <w:autoSpaceDN w:val="0"/>
        <w:adjustRightInd w:val="0"/>
        <w:spacing w:after="0" w:line="240" w:lineRule="auto"/>
        <w:ind w:left="720"/>
        <w:rPr>
          <w:rFonts w:ascii="Times New Roman" w:hAnsi="Times New Roman" w:cs="Times New Roman"/>
          <w:b/>
          <w:bCs/>
          <w:sz w:val="20"/>
          <w:szCs w:val="20"/>
        </w:rPr>
      </w:pPr>
      <w:r>
        <w:rPr>
          <w:rFonts w:ascii="Times New Roman" w:hAnsi="Times New Roman" w:cs="Times New Roman"/>
          <w:b/>
          <w:bCs/>
          <w:sz w:val="20"/>
          <w:szCs w:val="20"/>
        </w:rPr>
        <w:t>Total Inception-to-Date</w:t>
      </w:r>
    </w:p>
    <w:p w:rsidR="00F1171D" w:rsidRDefault="00AF5416" w:rsidP="001277E4">
      <w:pPr>
        <w:ind w:left="720" w:firstLine="720"/>
        <w:contextualSpacing/>
        <w:rPr>
          <w:rFonts w:ascii="TimesNewRomanPSMT" w:hAnsi="TimesNewRomanPSMT" w:cs="TimesNewRomanPSMT"/>
          <w:sz w:val="20"/>
          <w:szCs w:val="20"/>
        </w:rPr>
      </w:pPr>
      <w:proofErr w:type="gramStart"/>
      <w:r>
        <w:rPr>
          <w:rFonts w:ascii="TimesNewRomanPSMT" w:hAnsi="TimesNewRomanPSMT" w:cs="TimesNewRomanPSMT"/>
          <w:sz w:val="20"/>
          <w:szCs w:val="20"/>
        </w:rPr>
        <w:t>Aggregate experience data since issuance of policies.</w:t>
      </w:r>
      <w:proofErr w:type="gramEnd"/>
      <w:r>
        <w:rPr>
          <w:rFonts w:ascii="TimesNewRomanPSMT" w:hAnsi="TimesNewRomanPSMT" w:cs="TimesNewRomanPSMT"/>
          <w:sz w:val="20"/>
          <w:szCs w:val="20"/>
        </w:rPr>
        <w:tab/>
      </w:r>
    </w:p>
    <w:p w:rsidR="00F1171D" w:rsidRDefault="00F1171D" w:rsidP="001277E4">
      <w:pPr>
        <w:ind w:firstLine="720"/>
        <w:contextualSpacing/>
        <w:rPr>
          <w:rFonts w:ascii="TimesNewRomanPSMT" w:hAnsi="TimesNewRomanPSMT" w:cs="TimesNewRomanPSMT"/>
          <w:sz w:val="20"/>
          <w:szCs w:val="20"/>
        </w:rPr>
      </w:pPr>
    </w:p>
    <w:p w:rsidR="00F1171D" w:rsidRPr="001277E4" w:rsidRDefault="00F1171D" w:rsidP="001277E4">
      <w:pPr>
        <w:autoSpaceDE w:val="0"/>
        <w:autoSpaceDN w:val="0"/>
        <w:adjustRightInd w:val="0"/>
        <w:spacing w:after="0" w:line="240" w:lineRule="auto"/>
        <w:ind w:left="720"/>
        <w:rPr>
          <w:rFonts w:ascii="Times New Roman" w:hAnsi="Times New Roman" w:cs="Times New Roman"/>
          <w:b/>
          <w:bCs/>
          <w:sz w:val="20"/>
          <w:szCs w:val="20"/>
        </w:rPr>
      </w:pPr>
      <w:r w:rsidRPr="001277E4">
        <w:rPr>
          <w:rFonts w:ascii="Times New Roman" w:hAnsi="Times New Roman" w:cs="Times New Roman"/>
          <w:b/>
          <w:bCs/>
          <w:sz w:val="20"/>
          <w:szCs w:val="20"/>
        </w:rPr>
        <w:t>Assumed /Ceded Rows</w:t>
      </w:r>
    </w:p>
    <w:p w:rsidR="00F1171D" w:rsidRPr="001277E4" w:rsidRDefault="00F1171D" w:rsidP="001277E4">
      <w:pPr>
        <w:autoSpaceDE w:val="0"/>
        <w:autoSpaceDN w:val="0"/>
        <w:adjustRightInd w:val="0"/>
        <w:spacing w:after="0" w:line="240" w:lineRule="auto"/>
        <w:ind w:left="1440"/>
        <w:rPr>
          <w:rFonts w:ascii="Times New Roman" w:hAnsi="Times New Roman" w:cs="Times New Roman"/>
          <w:bCs/>
          <w:sz w:val="20"/>
          <w:szCs w:val="20"/>
        </w:rPr>
      </w:pPr>
      <w:proofErr w:type="gramStart"/>
      <w:r w:rsidRPr="001277E4">
        <w:rPr>
          <w:rFonts w:ascii="Times New Roman" w:hAnsi="Times New Roman" w:cs="Times New Roman"/>
          <w:bCs/>
          <w:sz w:val="20"/>
          <w:szCs w:val="20"/>
        </w:rPr>
        <w:t xml:space="preserve">Does not include YRT reinsurance </w:t>
      </w:r>
      <w:r>
        <w:rPr>
          <w:rFonts w:ascii="Times New Roman" w:hAnsi="Times New Roman" w:cs="Times New Roman"/>
          <w:bCs/>
          <w:sz w:val="20"/>
          <w:szCs w:val="20"/>
        </w:rPr>
        <w:t>transactions.</w:t>
      </w:r>
      <w:proofErr w:type="gramEnd"/>
      <w:r>
        <w:rPr>
          <w:rFonts w:ascii="Times New Roman" w:hAnsi="Times New Roman" w:cs="Times New Roman"/>
          <w:bCs/>
          <w:sz w:val="20"/>
          <w:szCs w:val="20"/>
        </w:rPr>
        <w:t xml:space="preserve">  </w:t>
      </w:r>
      <w:r w:rsidRPr="001277E4">
        <w:rPr>
          <w:rFonts w:ascii="Times New Roman" w:hAnsi="Times New Roman" w:cs="Times New Roman"/>
          <w:bCs/>
          <w:sz w:val="20"/>
          <w:szCs w:val="20"/>
        </w:rPr>
        <w:t xml:space="preserve">For columns that are designated with a # rather than a $, assumed/ceded business is only recorded here if the business is 100% coinsured.  </w:t>
      </w:r>
    </w:p>
    <w:p w:rsidR="00AF5416" w:rsidRDefault="00AF5416" w:rsidP="00AF5416">
      <w:pPr>
        <w:tabs>
          <w:tab w:val="left" w:pos="5385"/>
        </w:tabs>
        <w:ind w:left="720"/>
        <w:rPr>
          <w:rFonts w:ascii="TimesNewRomanPSMT" w:hAnsi="TimesNewRomanPSMT" w:cs="TimesNewRomanPSMT"/>
          <w:sz w:val="20"/>
          <w:szCs w:val="20"/>
        </w:rPr>
      </w:pPr>
    </w:p>
    <w:p w:rsidR="00AF5416" w:rsidRDefault="00AF5416" w:rsidP="00AF5416">
      <w:pPr>
        <w:ind w:left="720"/>
      </w:pPr>
      <w:r>
        <w:t>Column 1 – Earned Premiums</w:t>
      </w:r>
    </w:p>
    <w:p w:rsidR="00AF5416" w:rsidRDefault="00AF5416" w:rsidP="00AF5416">
      <w:pPr>
        <w:autoSpaceDE w:val="0"/>
        <w:autoSpaceDN w:val="0"/>
        <w:adjustRightInd w:val="0"/>
        <w:spacing w:after="0" w:line="240" w:lineRule="auto"/>
        <w:ind w:left="720" w:firstLine="720"/>
        <w:rPr>
          <w:rFonts w:ascii="TimesNewRomanPSMT" w:hAnsi="TimesNewRomanPSMT" w:cs="TimesNewRomanPSMT"/>
          <w:sz w:val="20"/>
          <w:szCs w:val="20"/>
        </w:rPr>
      </w:pPr>
      <w:r>
        <w:rPr>
          <w:rFonts w:ascii="TimesNewRomanPSMT" w:hAnsi="TimesNewRomanPSMT" w:cs="TimesNewRomanPSMT"/>
          <w:sz w:val="20"/>
          <w:szCs w:val="20"/>
        </w:rPr>
        <w:t>Collected Premiums + Change in Due Premiums – Change in Advanced Premiums – Change in</w:t>
      </w:r>
    </w:p>
    <w:p w:rsidR="00AF5416" w:rsidRDefault="00AF5416" w:rsidP="00AF5416">
      <w:pPr>
        <w:autoSpaceDE w:val="0"/>
        <w:autoSpaceDN w:val="0"/>
        <w:adjustRightInd w:val="0"/>
        <w:spacing w:after="0" w:line="240" w:lineRule="auto"/>
        <w:ind w:left="720" w:firstLine="720"/>
        <w:rPr>
          <w:rFonts w:ascii="TimesNewRomanPSMT" w:hAnsi="TimesNewRomanPSMT" w:cs="TimesNewRomanPSMT"/>
          <w:sz w:val="20"/>
          <w:szCs w:val="20"/>
        </w:rPr>
      </w:pPr>
      <w:proofErr w:type="gramStart"/>
      <w:r>
        <w:rPr>
          <w:rFonts w:ascii="TimesNewRomanPSMT" w:hAnsi="TimesNewRomanPSMT" w:cs="TimesNewRomanPSMT"/>
          <w:sz w:val="20"/>
          <w:szCs w:val="20"/>
        </w:rPr>
        <w:t>Unearned Premium Reserves.</w:t>
      </w:r>
      <w:proofErr w:type="gramEnd"/>
    </w:p>
    <w:p w:rsidR="00AF5416" w:rsidRDefault="00AF5416" w:rsidP="00AF5416">
      <w:pPr>
        <w:autoSpaceDE w:val="0"/>
        <w:autoSpaceDN w:val="0"/>
        <w:adjustRightInd w:val="0"/>
        <w:spacing w:after="0" w:line="240" w:lineRule="auto"/>
        <w:ind w:left="720" w:firstLine="720"/>
        <w:rPr>
          <w:rFonts w:ascii="Times New Roman" w:hAnsi="Times New Roman" w:cs="Times New Roman"/>
          <w:b/>
          <w:bCs/>
          <w:sz w:val="20"/>
          <w:szCs w:val="20"/>
        </w:rPr>
      </w:pPr>
      <w:r>
        <w:rPr>
          <w:rFonts w:ascii="Times New Roman" w:hAnsi="Times New Roman" w:cs="Times New Roman"/>
          <w:b/>
          <w:bCs/>
          <w:sz w:val="20"/>
          <w:szCs w:val="20"/>
        </w:rPr>
        <w:t>Life, Accident &amp; Health, Fraternal and Property/Casualty Only</w:t>
      </w:r>
    </w:p>
    <w:p w:rsidR="00AF5416" w:rsidRDefault="00AF5416" w:rsidP="00AF5416">
      <w:pPr>
        <w:autoSpaceDE w:val="0"/>
        <w:autoSpaceDN w:val="0"/>
        <w:adjustRightInd w:val="0"/>
        <w:spacing w:after="0" w:line="240" w:lineRule="auto"/>
        <w:ind w:left="1440" w:firstLine="720"/>
        <w:rPr>
          <w:rFonts w:ascii="TimesNewRomanPSMT" w:hAnsi="TimesNewRomanPSMT" w:cs="TimesNewRomanPSMT"/>
          <w:sz w:val="20"/>
          <w:szCs w:val="20"/>
        </w:rPr>
      </w:pPr>
      <w:r>
        <w:rPr>
          <w:rFonts w:ascii="TimesNewRomanPSMT" w:hAnsi="TimesNewRomanPSMT" w:cs="TimesNewRomanPSMT"/>
          <w:sz w:val="20"/>
          <w:szCs w:val="20"/>
        </w:rPr>
        <w:t>Total earned premiums should equal direct earned premiums for LTC business from</w:t>
      </w:r>
    </w:p>
    <w:p w:rsidR="00AF5416" w:rsidRDefault="00AF5416" w:rsidP="00AF5416">
      <w:pPr>
        <w:ind w:left="1440" w:firstLine="720"/>
        <w:rPr>
          <w:rFonts w:ascii="TimesNewRomanPSMT" w:hAnsi="TimesNewRomanPSMT" w:cs="TimesNewRomanPSMT"/>
          <w:sz w:val="20"/>
          <w:szCs w:val="20"/>
        </w:rPr>
      </w:pPr>
      <w:r>
        <w:rPr>
          <w:rFonts w:ascii="TimesNewRomanPSMT" w:hAnsi="TimesNewRomanPSMT" w:cs="TimesNewRomanPSMT"/>
          <w:sz w:val="20"/>
          <w:szCs w:val="20"/>
        </w:rPr>
        <w:t>Schedule H, Part 1, Line 2.</w:t>
      </w:r>
    </w:p>
    <w:p w:rsidR="00AF5416" w:rsidRDefault="00AF5416" w:rsidP="00AF5416">
      <w:pPr>
        <w:ind w:left="720"/>
        <w:rPr>
          <w:rFonts w:ascii="TimesNewRomanPSMT" w:hAnsi="TimesNewRomanPSMT" w:cs="TimesNewRomanPSMT"/>
          <w:sz w:val="20"/>
          <w:szCs w:val="20"/>
        </w:rPr>
      </w:pPr>
      <w:r>
        <w:rPr>
          <w:rFonts w:ascii="TimesNewRomanPSMT" w:hAnsi="TimesNewRomanPSMT" w:cs="TimesNewRomanPSMT"/>
          <w:sz w:val="20"/>
          <w:szCs w:val="20"/>
        </w:rPr>
        <w:t>Column 2 - Incurred Claims</w:t>
      </w:r>
    </w:p>
    <w:p w:rsidR="00AF5416" w:rsidRDefault="00AF5416" w:rsidP="001277E4">
      <w:pPr>
        <w:autoSpaceDE w:val="0"/>
        <w:autoSpaceDN w:val="0"/>
        <w:adjustRightInd w:val="0"/>
        <w:spacing w:after="0" w:line="240" w:lineRule="auto"/>
        <w:ind w:left="1440"/>
        <w:rPr>
          <w:rFonts w:ascii="TimesNewRomanPSMT" w:hAnsi="TimesNewRomanPSMT" w:cs="TimesNewRomanPSMT"/>
          <w:sz w:val="20"/>
          <w:szCs w:val="20"/>
        </w:rPr>
      </w:pPr>
      <w:r>
        <w:rPr>
          <w:rFonts w:ascii="TimesNewRomanPSMT" w:hAnsi="TimesNewRomanPSMT" w:cs="TimesNewRomanPSMT"/>
          <w:sz w:val="20"/>
          <w:szCs w:val="20"/>
        </w:rPr>
        <w:t>Developed claims incurred during the calendar year.  Equal to the present value of all claim payments and any claim reserves.   The discount rate is the statutory valuation interest rate for case reserves.</w:t>
      </w:r>
    </w:p>
    <w:p w:rsidR="00AF5416" w:rsidRDefault="00AF5416" w:rsidP="00AF5416">
      <w:pPr>
        <w:autoSpaceDE w:val="0"/>
        <w:autoSpaceDN w:val="0"/>
        <w:adjustRightInd w:val="0"/>
        <w:spacing w:after="0" w:line="240" w:lineRule="auto"/>
        <w:ind w:left="720"/>
        <w:rPr>
          <w:rFonts w:ascii="TimesNewRomanPSMT" w:hAnsi="TimesNewRomanPSMT" w:cs="TimesNewRomanPSMT"/>
          <w:sz w:val="20"/>
          <w:szCs w:val="20"/>
        </w:rPr>
      </w:pPr>
    </w:p>
    <w:p w:rsidR="00AF5416" w:rsidRDefault="00AF5416" w:rsidP="00AF5416">
      <w:pPr>
        <w:autoSpaceDE w:val="0"/>
        <w:autoSpaceDN w:val="0"/>
        <w:adjustRightInd w:val="0"/>
        <w:spacing w:after="0" w:line="240" w:lineRule="auto"/>
        <w:ind w:left="720" w:firstLine="720"/>
        <w:rPr>
          <w:rFonts w:ascii="TimesNewRomanPSMT" w:eastAsia="SymbolMT" w:hAnsi="TimesNewRomanPSMT" w:cs="TimesNewRomanPSMT"/>
          <w:sz w:val="20"/>
          <w:szCs w:val="20"/>
        </w:rPr>
      </w:pPr>
      <w:r>
        <w:rPr>
          <w:rFonts w:ascii="SymbolMT" w:eastAsia="SymbolMT" w:cs="SymbolMT" w:hint="eastAsia"/>
          <w:sz w:val="20"/>
          <w:szCs w:val="20"/>
        </w:rPr>
        <w:t></w:t>
      </w:r>
      <w:r>
        <w:rPr>
          <w:rFonts w:ascii="SymbolMT" w:eastAsia="SymbolMT" w:cs="SymbolMT"/>
          <w:sz w:val="20"/>
          <w:szCs w:val="20"/>
        </w:rPr>
        <w:t xml:space="preserve"> </w:t>
      </w:r>
      <w:r>
        <w:rPr>
          <w:rFonts w:ascii="TimesNewRomanPSMT" w:eastAsia="SymbolMT" w:hAnsi="TimesNewRomanPSMT" w:cs="TimesNewRomanPSMT"/>
          <w:sz w:val="20"/>
          <w:szCs w:val="20"/>
        </w:rPr>
        <w:t xml:space="preserve">Paid claims in the year of </w:t>
      </w:r>
      <w:proofErr w:type="spellStart"/>
      <w:r>
        <w:rPr>
          <w:rFonts w:ascii="TimesNewRomanPSMT" w:eastAsia="SymbolMT" w:hAnsi="TimesNewRomanPSMT" w:cs="TimesNewRomanPSMT"/>
          <w:sz w:val="20"/>
          <w:szCs w:val="20"/>
        </w:rPr>
        <w:t>incurral</w:t>
      </w:r>
      <w:proofErr w:type="spellEnd"/>
      <w:r>
        <w:rPr>
          <w:rFonts w:ascii="TimesNewRomanPSMT" w:eastAsia="SymbolMT" w:hAnsi="TimesNewRomanPSMT" w:cs="TimesNewRomanPSMT"/>
          <w:sz w:val="20"/>
          <w:szCs w:val="20"/>
        </w:rPr>
        <w:t xml:space="preserve"> are discounted one-quarter year.</w:t>
      </w:r>
    </w:p>
    <w:p w:rsidR="00AF5416" w:rsidRDefault="00AF5416" w:rsidP="00AF5416">
      <w:pPr>
        <w:autoSpaceDE w:val="0"/>
        <w:autoSpaceDN w:val="0"/>
        <w:adjustRightInd w:val="0"/>
        <w:spacing w:after="0" w:line="240" w:lineRule="auto"/>
        <w:ind w:left="1710" w:hanging="270"/>
        <w:rPr>
          <w:rFonts w:ascii="TimesNewRomanPSMT" w:eastAsia="SymbolMT" w:hAnsi="TimesNewRomanPSMT" w:cs="TimesNewRomanPSMT"/>
          <w:sz w:val="20"/>
          <w:szCs w:val="20"/>
        </w:rPr>
      </w:pPr>
      <w:r>
        <w:rPr>
          <w:rFonts w:ascii="SymbolMT" w:eastAsia="SymbolMT" w:cs="SymbolMT" w:hint="eastAsia"/>
          <w:sz w:val="20"/>
          <w:szCs w:val="20"/>
        </w:rPr>
        <w:t></w:t>
      </w:r>
      <w:r>
        <w:rPr>
          <w:rFonts w:ascii="SymbolMT" w:eastAsia="SymbolMT" w:cs="SymbolMT"/>
          <w:sz w:val="20"/>
          <w:szCs w:val="20"/>
        </w:rPr>
        <w:t xml:space="preserve"> </w:t>
      </w:r>
      <w:r>
        <w:rPr>
          <w:rFonts w:ascii="TimesNewRomanPSMT" w:eastAsia="SymbolMT" w:hAnsi="TimesNewRomanPSMT" w:cs="TimesNewRomanPSMT"/>
          <w:sz w:val="20"/>
          <w:szCs w:val="20"/>
        </w:rPr>
        <w:t xml:space="preserve">Paid claims subsequent to the year of </w:t>
      </w:r>
      <w:proofErr w:type="spellStart"/>
      <w:r>
        <w:rPr>
          <w:rFonts w:ascii="TimesNewRomanPSMT" w:eastAsia="SymbolMT" w:hAnsi="TimesNewRomanPSMT" w:cs="TimesNewRomanPSMT"/>
          <w:sz w:val="20"/>
          <w:szCs w:val="20"/>
        </w:rPr>
        <w:t>incurral</w:t>
      </w:r>
      <w:proofErr w:type="spellEnd"/>
      <w:r>
        <w:rPr>
          <w:rFonts w:ascii="TimesNewRomanPSMT" w:eastAsia="SymbolMT" w:hAnsi="TimesNewRomanPSMT" w:cs="TimesNewRomanPSMT"/>
          <w:sz w:val="20"/>
          <w:szCs w:val="20"/>
        </w:rPr>
        <w:t xml:space="preserve"> are assumed to be paid mid-year and discounted back to the midpoint of the incurred year.</w:t>
      </w:r>
    </w:p>
    <w:p w:rsidR="00AF5416" w:rsidRDefault="00AF5416" w:rsidP="00AF5416">
      <w:pPr>
        <w:autoSpaceDE w:val="0"/>
        <w:autoSpaceDN w:val="0"/>
        <w:adjustRightInd w:val="0"/>
        <w:spacing w:after="0" w:line="240" w:lineRule="auto"/>
        <w:ind w:left="1710" w:hanging="270"/>
        <w:rPr>
          <w:rFonts w:ascii="TimesNewRomanPSMT" w:eastAsia="SymbolMT" w:hAnsi="TimesNewRomanPSMT" w:cs="TimesNewRomanPSMT"/>
          <w:sz w:val="20"/>
          <w:szCs w:val="20"/>
        </w:rPr>
      </w:pPr>
      <w:r>
        <w:rPr>
          <w:rFonts w:ascii="SymbolMT" w:eastAsia="SymbolMT" w:cs="SymbolMT" w:hint="eastAsia"/>
          <w:sz w:val="20"/>
          <w:szCs w:val="20"/>
        </w:rPr>
        <w:t></w:t>
      </w:r>
      <w:r>
        <w:rPr>
          <w:rFonts w:ascii="SymbolMT" w:eastAsia="SymbolMT" w:cs="SymbolMT"/>
          <w:sz w:val="20"/>
          <w:szCs w:val="20"/>
        </w:rPr>
        <w:t xml:space="preserve"> </w:t>
      </w:r>
      <w:r w:rsidR="00F7566C">
        <w:rPr>
          <w:rFonts w:ascii="TimesNewRomanPSMT" w:eastAsia="SymbolMT" w:hAnsi="TimesNewRomanPSMT" w:cs="TimesNewRomanPSMT"/>
          <w:sz w:val="20"/>
          <w:szCs w:val="20"/>
        </w:rPr>
        <w:t>C</w:t>
      </w:r>
      <w:r>
        <w:rPr>
          <w:rFonts w:ascii="TimesNewRomanPSMT" w:eastAsia="SymbolMT" w:hAnsi="TimesNewRomanPSMT" w:cs="TimesNewRomanPSMT"/>
          <w:sz w:val="20"/>
          <w:szCs w:val="20"/>
        </w:rPr>
        <w:t xml:space="preserve">laim reserves for a given incurred year </w:t>
      </w:r>
      <w:r w:rsidRPr="00B5604B">
        <w:rPr>
          <w:rFonts w:ascii="TimesNewRomanPSMT" w:eastAsia="SymbolMT" w:hAnsi="TimesNewRomanPSMT" w:cs="TimesNewRomanPSMT" w:hint="eastAsia"/>
          <w:sz w:val="20"/>
          <w:szCs w:val="20"/>
        </w:rPr>
        <w:t xml:space="preserve">plus transferred reserves from </w:t>
      </w:r>
      <w:r>
        <w:rPr>
          <w:rFonts w:ascii="TimesNewRomanPSMT" w:eastAsia="SymbolMT" w:hAnsi="TimesNewRomanPSMT" w:cs="TimesNewRomanPSMT"/>
          <w:sz w:val="20"/>
          <w:szCs w:val="20"/>
        </w:rPr>
        <w:t xml:space="preserve">Form 3, </w:t>
      </w:r>
      <w:r w:rsidRPr="00B5604B">
        <w:rPr>
          <w:rFonts w:ascii="TimesNewRomanPSMT" w:eastAsia="SymbolMT" w:hAnsi="TimesNewRomanPSMT" w:cs="TimesNewRomanPSMT" w:hint="eastAsia"/>
          <w:sz w:val="20"/>
          <w:szCs w:val="20"/>
        </w:rPr>
        <w:t>Part 3</w:t>
      </w:r>
      <w:r w:rsidRPr="00B5604B">
        <w:rPr>
          <w:rFonts w:ascii="TimesNewRomanPSMT" w:eastAsia="SymbolMT" w:hAnsi="TimesNewRomanPSMT" w:cs="TimesNewRomanPSMT"/>
          <w:sz w:val="20"/>
          <w:szCs w:val="20"/>
        </w:rPr>
        <w:t xml:space="preserve"> </w:t>
      </w:r>
      <w:r>
        <w:rPr>
          <w:rFonts w:ascii="TimesNewRomanPSMT" w:eastAsia="SymbolMT" w:hAnsi="TimesNewRomanPSMT" w:cs="TimesNewRomanPSMT"/>
          <w:sz w:val="20"/>
          <w:szCs w:val="20"/>
        </w:rPr>
        <w:t>are discounted from the valuation date to the midpoint of the incurred year.</w:t>
      </w:r>
    </w:p>
    <w:p w:rsidR="00AF5416" w:rsidRPr="006A7C53" w:rsidRDefault="00AF5416" w:rsidP="00AF5416">
      <w:pPr>
        <w:autoSpaceDE w:val="0"/>
        <w:autoSpaceDN w:val="0"/>
        <w:adjustRightInd w:val="0"/>
        <w:spacing w:after="0" w:line="240" w:lineRule="auto"/>
        <w:ind w:left="1710" w:hanging="270"/>
        <w:rPr>
          <w:rFonts w:ascii="TimesNewRomanPSMT" w:eastAsia="SymbolMT" w:hAnsi="TimesNewRomanPSMT" w:cs="TimesNewRomanPSMT"/>
          <w:sz w:val="20"/>
          <w:szCs w:val="20"/>
        </w:rPr>
      </w:pPr>
      <w:r>
        <w:rPr>
          <w:rFonts w:ascii="SymbolMT" w:eastAsia="SymbolMT" w:cs="SymbolMT" w:hint="eastAsia"/>
          <w:sz w:val="20"/>
          <w:szCs w:val="20"/>
        </w:rPr>
        <w:t></w:t>
      </w:r>
      <w:r>
        <w:rPr>
          <w:rFonts w:ascii="SymbolMT" w:eastAsia="SymbolMT" w:cs="SymbolMT"/>
          <w:sz w:val="20"/>
          <w:szCs w:val="20"/>
        </w:rPr>
        <w:t xml:space="preserve"> </w:t>
      </w:r>
      <w:r>
        <w:rPr>
          <w:rFonts w:ascii="TimesNewRomanPSMT" w:eastAsia="SymbolMT" w:hAnsi="TimesNewRomanPSMT" w:cs="TimesNewRomanPSMT"/>
          <w:sz w:val="20"/>
          <w:szCs w:val="20"/>
        </w:rPr>
        <w:t>Negative results are possible for acquired business only. Negative results indicate downward development of ultimate claims.</w:t>
      </w:r>
    </w:p>
    <w:p w:rsidR="00AF5416" w:rsidRDefault="00AF5416" w:rsidP="00AF5416">
      <w:pPr>
        <w:autoSpaceDE w:val="0"/>
        <w:autoSpaceDN w:val="0"/>
        <w:adjustRightInd w:val="0"/>
        <w:spacing w:after="0" w:line="240" w:lineRule="auto"/>
        <w:ind w:left="720"/>
        <w:rPr>
          <w:rFonts w:ascii="TimesNewRomanPSMT" w:hAnsi="TimesNewRomanPSMT" w:cs="TimesNewRomanPSMT"/>
          <w:sz w:val="20"/>
          <w:szCs w:val="20"/>
        </w:rPr>
      </w:pPr>
    </w:p>
    <w:p w:rsidR="00AF5416" w:rsidRDefault="00AF5416" w:rsidP="00AF5416">
      <w:pPr>
        <w:ind w:left="720"/>
        <w:rPr>
          <w:rFonts w:ascii="TimesNewRomanPSMT" w:hAnsi="TimesNewRomanPSMT" w:cs="TimesNewRomanPSMT"/>
          <w:sz w:val="20"/>
          <w:szCs w:val="20"/>
        </w:rPr>
      </w:pPr>
      <w:r>
        <w:rPr>
          <w:rFonts w:ascii="TimesNewRomanPSMT" w:hAnsi="TimesNewRomanPSMT" w:cs="TimesNewRomanPSMT"/>
          <w:sz w:val="20"/>
          <w:szCs w:val="20"/>
        </w:rPr>
        <w:t xml:space="preserve">Column 3 – </w:t>
      </w:r>
      <w:r w:rsidR="005C131E">
        <w:rPr>
          <w:rFonts w:ascii="TimesNewRomanPSMT" w:hAnsi="TimesNewRomanPSMT" w:cs="TimesNewRomanPSMT"/>
          <w:sz w:val="20"/>
          <w:szCs w:val="20"/>
        </w:rPr>
        <w:t>Claims Opened</w:t>
      </w:r>
    </w:p>
    <w:p w:rsidR="00AF5416" w:rsidRDefault="00AF5416" w:rsidP="001277E4">
      <w:pPr>
        <w:autoSpaceDE w:val="0"/>
        <w:autoSpaceDN w:val="0"/>
        <w:adjustRightInd w:val="0"/>
        <w:spacing w:after="0" w:line="240" w:lineRule="auto"/>
        <w:ind w:left="1440"/>
        <w:rPr>
          <w:rFonts w:ascii="TimesNewRomanPSMT" w:hAnsi="TimesNewRomanPSMT" w:cs="TimesNewRomanPSMT"/>
          <w:sz w:val="20"/>
          <w:szCs w:val="20"/>
        </w:rPr>
      </w:pPr>
      <w:r>
        <w:rPr>
          <w:rFonts w:ascii="TimesNewRomanPSMT" w:hAnsi="TimesNewRomanPSMT" w:cs="TimesNewRomanPSMT"/>
          <w:sz w:val="20"/>
          <w:szCs w:val="20"/>
        </w:rPr>
        <w:t xml:space="preserve">The </w:t>
      </w:r>
      <w:proofErr w:type="gramStart"/>
      <w:r>
        <w:rPr>
          <w:rFonts w:ascii="TimesNewRomanPSMT" w:hAnsi="TimesNewRomanPSMT" w:cs="TimesNewRomanPSMT"/>
          <w:sz w:val="20"/>
          <w:szCs w:val="20"/>
        </w:rPr>
        <w:t>number</w:t>
      </w:r>
      <w:proofErr w:type="gramEnd"/>
      <w:r>
        <w:rPr>
          <w:rFonts w:ascii="TimesNewRomanPSMT" w:hAnsi="TimesNewRomanPSMT" w:cs="TimesNewRomanPSMT"/>
          <w:sz w:val="20"/>
          <w:szCs w:val="20"/>
        </w:rPr>
        <w:t xml:space="preserve"> of claims that have at least one benefit payment made during the year after the elimination</w:t>
      </w:r>
      <w:r w:rsidR="00FF7B0A">
        <w:rPr>
          <w:rFonts w:ascii="TimesNewRomanPSMT" w:hAnsi="TimesNewRomanPSMT" w:cs="TimesNewRomanPSMT"/>
          <w:sz w:val="20"/>
          <w:szCs w:val="20"/>
        </w:rPr>
        <w:t xml:space="preserve"> </w:t>
      </w:r>
      <w:r>
        <w:rPr>
          <w:rFonts w:ascii="TimesNewRomanPSMT" w:hAnsi="TimesNewRomanPSMT" w:cs="TimesNewRomanPSMT"/>
          <w:sz w:val="20"/>
          <w:szCs w:val="20"/>
        </w:rPr>
        <w:t>period but have no payments in previous years. If a claimant has prior claims, he or she should be</w:t>
      </w:r>
      <w:r w:rsidR="00FF7B0A">
        <w:rPr>
          <w:rFonts w:ascii="TimesNewRomanPSMT" w:hAnsi="TimesNewRomanPSMT" w:cs="TimesNewRomanPSMT"/>
          <w:sz w:val="20"/>
          <w:szCs w:val="20"/>
        </w:rPr>
        <w:t xml:space="preserve"> </w:t>
      </w:r>
      <w:r>
        <w:rPr>
          <w:rFonts w:ascii="TimesNewRomanPSMT" w:hAnsi="TimesNewRomanPSMT" w:cs="TimesNewRomanPSMT"/>
          <w:sz w:val="20"/>
          <w:szCs w:val="20"/>
        </w:rPr>
        <w:t>counted if the current claim is considered as a new claim. For the purpose of including a claim in this</w:t>
      </w:r>
      <w:r w:rsidR="00FF7B0A">
        <w:rPr>
          <w:rFonts w:ascii="TimesNewRomanPSMT" w:hAnsi="TimesNewRomanPSMT" w:cs="TimesNewRomanPSMT"/>
          <w:sz w:val="20"/>
          <w:szCs w:val="20"/>
        </w:rPr>
        <w:t xml:space="preserve"> </w:t>
      </w:r>
      <w:r>
        <w:rPr>
          <w:rFonts w:ascii="TimesNewRomanPSMT" w:hAnsi="TimesNewRomanPSMT" w:cs="TimesNewRomanPSMT"/>
          <w:sz w:val="20"/>
          <w:szCs w:val="20"/>
        </w:rPr>
        <w:t>count, payments that do not require satisfaction of the elimination period are excluded. A claim</w:t>
      </w:r>
      <w:r w:rsidRPr="0041124D">
        <w:rPr>
          <w:rFonts w:ascii="TimesNewRomanPSMT" w:hAnsi="TimesNewRomanPSMT" w:cs="TimesNewRomanPSMT"/>
          <w:sz w:val="20"/>
          <w:szCs w:val="20"/>
        </w:rPr>
        <w:t xml:space="preserve"> </w:t>
      </w:r>
      <w:r>
        <w:rPr>
          <w:rFonts w:ascii="TimesNewRomanPSMT" w:hAnsi="TimesNewRomanPSMT" w:cs="TimesNewRomanPSMT"/>
          <w:sz w:val="20"/>
          <w:szCs w:val="20"/>
        </w:rPr>
        <w:t>that has terminated by the end of the year should be included in the count.</w:t>
      </w:r>
    </w:p>
    <w:p w:rsidR="00496C34" w:rsidRDefault="00496C34" w:rsidP="00AF5416">
      <w:pPr>
        <w:autoSpaceDE w:val="0"/>
        <w:autoSpaceDN w:val="0"/>
        <w:adjustRightInd w:val="0"/>
        <w:spacing w:after="0" w:line="240" w:lineRule="auto"/>
        <w:ind w:left="720"/>
        <w:rPr>
          <w:rFonts w:ascii="TimesNewRomanPSMT" w:hAnsi="TimesNewRomanPSMT" w:cs="TimesNewRomanPSMT"/>
          <w:sz w:val="20"/>
          <w:szCs w:val="20"/>
        </w:rPr>
      </w:pPr>
    </w:p>
    <w:p w:rsidR="00AF5416" w:rsidRDefault="00AF5416" w:rsidP="00AF5416">
      <w:pPr>
        <w:autoSpaceDE w:val="0"/>
        <w:autoSpaceDN w:val="0"/>
        <w:adjustRightInd w:val="0"/>
        <w:spacing w:after="0" w:line="240" w:lineRule="auto"/>
        <w:ind w:left="720"/>
        <w:rPr>
          <w:rFonts w:ascii="TimesNewRomanPSMT" w:hAnsi="TimesNewRomanPSMT" w:cs="TimesNewRomanPSMT"/>
          <w:sz w:val="20"/>
          <w:szCs w:val="20"/>
        </w:rPr>
      </w:pPr>
      <w:r>
        <w:rPr>
          <w:rFonts w:ascii="TimesNewRomanPSMT" w:hAnsi="TimesNewRomanPSMT" w:cs="TimesNewRomanPSMT"/>
          <w:sz w:val="20"/>
          <w:szCs w:val="20"/>
        </w:rPr>
        <w:t>Column 4 - Claims Closed</w:t>
      </w:r>
    </w:p>
    <w:p w:rsidR="00AF5416" w:rsidRDefault="00AF5416" w:rsidP="00AF5416">
      <w:pPr>
        <w:autoSpaceDE w:val="0"/>
        <w:autoSpaceDN w:val="0"/>
        <w:adjustRightInd w:val="0"/>
        <w:spacing w:after="0" w:line="240" w:lineRule="auto"/>
        <w:ind w:left="720"/>
        <w:rPr>
          <w:rFonts w:ascii="TimesNewRomanPSMT" w:hAnsi="TimesNewRomanPSMT" w:cs="TimesNewRomanPSMT"/>
          <w:sz w:val="20"/>
          <w:szCs w:val="20"/>
        </w:rPr>
      </w:pPr>
    </w:p>
    <w:p w:rsidR="00AF5416" w:rsidRDefault="00AF5416" w:rsidP="001277E4">
      <w:pPr>
        <w:autoSpaceDE w:val="0"/>
        <w:autoSpaceDN w:val="0"/>
        <w:adjustRightInd w:val="0"/>
        <w:spacing w:after="0" w:line="240" w:lineRule="auto"/>
        <w:ind w:left="1440"/>
        <w:rPr>
          <w:rFonts w:ascii="TimesNewRomanPSMT" w:hAnsi="TimesNewRomanPSMT" w:cs="TimesNewRomanPSMT"/>
          <w:sz w:val="20"/>
          <w:szCs w:val="20"/>
        </w:rPr>
      </w:pPr>
      <w:proofErr w:type="gramStart"/>
      <w:r>
        <w:rPr>
          <w:rFonts w:ascii="TimesNewRomanPSMT" w:hAnsi="TimesNewRomanPSMT" w:cs="TimesNewRomanPSMT"/>
          <w:sz w:val="20"/>
          <w:szCs w:val="20"/>
        </w:rPr>
        <w:t>Number of claims that were closed during the year due to recovery, exhaustion of benefits, or death.</w:t>
      </w:r>
      <w:proofErr w:type="gramEnd"/>
    </w:p>
    <w:p w:rsidR="00AF5416" w:rsidRDefault="00AF5416" w:rsidP="00AF5416">
      <w:pPr>
        <w:autoSpaceDE w:val="0"/>
        <w:autoSpaceDN w:val="0"/>
        <w:adjustRightInd w:val="0"/>
        <w:spacing w:after="0" w:line="240" w:lineRule="auto"/>
        <w:ind w:left="720"/>
        <w:rPr>
          <w:rFonts w:ascii="TimesNewRomanPSMT" w:hAnsi="TimesNewRomanPSMT" w:cs="TimesNewRomanPSMT"/>
          <w:sz w:val="20"/>
          <w:szCs w:val="20"/>
        </w:rPr>
      </w:pPr>
    </w:p>
    <w:p w:rsidR="00496C34" w:rsidRDefault="00496C34" w:rsidP="00AF5416">
      <w:pPr>
        <w:ind w:left="720"/>
        <w:rPr>
          <w:rFonts w:ascii="TimesNewRomanPSMT" w:hAnsi="TimesNewRomanPSMT" w:cs="TimesNewRomanPSMT"/>
          <w:sz w:val="20"/>
          <w:szCs w:val="20"/>
        </w:rPr>
      </w:pPr>
    </w:p>
    <w:p w:rsidR="00AF5416" w:rsidRDefault="00AF5416" w:rsidP="00AF5416">
      <w:pPr>
        <w:ind w:left="720"/>
        <w:rPr>
          <w:rFonts w:ascii="TimesNewRomanPSMT" w:hAnsi="TimesNewRomanPSMT" w:cs="TimesNewRomanPSMT"/>
          <w:sz w:val="20"/>
          <w:szCs w:val="20"/>
        </w:rPr>
      </w:pPr>
      <w:r>
        <w:rPr>
          <w:rFonts w:ascii="TimesNewRomanPSMT" w:hAnsi="TimesNewRomanPSMT" w:cs="TimesNewRomanPSMT"/>
          <w:sz w:val="20"/>
          <w:szCs w:val="20"/>
        </w:rPr>
        <w:lastRenderedPageBreak/>
        <w:t xml:space="preserve">Column 5 </w:t>
      </w:r>
      <w:proofErr w:type="gramStart"/>
      <w:r>
        <w:rPr>
          <w:rFonts w:ascii="TimesNewRomanPSMT" w:hAnsi="TimesNewRomanPSMT" w:cs="TimesNewRomanPSMT"/>
          <w:sz w:val="20"/>
          <w:szCs w:val="20"/>
        </w:rPr>
        <w:t>–  Claims</w:t>
      </w:r>
      <w:proofErr w:type="gramEnd"/>
      <w:r w:rsidR="002F1008">
        <w:rPr>
          <w:rFonts w:ascii="TimesNewRomanPSMT" w:hAnsi="TimesNewRomanPSMT" w:cs="TimesNewRomanPSMT"/>
          <w:sz w:val="20"/>
          <w:szCs w:val="20"/>
        </w:rPr>
        <w:t xml:space="preserve"> R</w:t>
      </w:r>
      <w:r w:rsidR="005C131E">
        <w:rPr>
          <w:rFonts w:ascii="TimesNewRomanPSMT" w:hAnsi="TimesNewRomanPSMT" w:cs="TimesNewRomanPSMT"/>
          <w:sz w:val="20"/>
          <w:szCs w:val="20"/>
        </w:rPr>
        <w:t>emaining Open</w:t>
      </w:r>
    </w:p>
    <w:p w:rsidR="002F1008" w:rsidRDefault="00AF5416" w:rsidP="00AF5416">
      <w:pPr>
        <w:autoSpaceDE w:val="0"/>
        <w:autoSpaceDN w:val="0"/>
        <w:adjustRightInd w:val="0"/>
        <w:spacing w:after="0" w:line="240" w:lineRule="auto"/>
        <w:ind w:left="720"/>
        <w:rPr>
          <w:rFonts w:ascii="TimesNewRomanPSMT" w:hAnsi="TimesNewRomanPSMT" w:cs="TimesNewRomanPSMT"/>
          <w:sz w:val="20"/>
          <w:szCs w:val="20"/>
        </w:rPr>
      </w:pPr>
      <w:r>
        <w:rPr>
          <w:rFonts w:ascii="TimesNewRomanPSMT" w:hAnsi="TimesNewRomanPSMT" w:cs="TimesNewRomanPSMT"/>
          <w:sz w:val="20"/>
          <w:szCs w:val="20"/>
        </w:rPr>
        <w:tab/>
        <w:t xml:space="preserve">Open claims are all claims that have not been closed.  </w:t>
      </w:r>
    </w:p>
    <w:p w:rsidR="00AF5416" w:rsidRDefault="00AF5416" w:rsidP="00AF5416">
      <w:pPr>
        <w:autoSpaceDE w:val="0"/>
        <w:autoSpaceDN w:val="0"/>
        <w:adjustRightInd w:val="0"/>
        <w:spacing w:after="0" w:line="240" w:lineRule="auto"/>
        <w:ind w:left="720"/>
        <w:rPr>
          <w:rFonts w:ascii="TimesNewRomanPSMT" w:hAnsi="TimesNewRomanPSMT" w:cs="TimesNewRomanPSMT"/>
          <w:sz w:val="20"/>
          <w:szCs w:val="20"/>
        </w:rPr>
      </w:pPr>
    </w:p>
    <w:p w:rsidR="00AF5416" w:rsidRDefault="00AF5416" w:rsidP="00AF5416">
      <w:pPr>
        <w:autoSpaceDE w:val="0"/>
        <w:autoSpaceDN w:val="0"/>
        <w:adjustRightInd w:val="0"/>
        <w:spacing w:after="0" w:line="240" w:lineRule="auto"/>
        <w:ind w:left="720"/>
        <w:rPr>
          <w:rFonts w:ascii="TimesNewRomanPSMT" w:hAnsi="TimesNewRomanPSMT" w:cs="TimesNewRomanPSMT"/>
          <w:sz w:val="20"/>
          <w:szCs w:val="20"/>
        </w:rPr>
      </w:pPr>
      <w:r>
        <w:rPr>
          <w:rFonts w:ascii="TimesNewRomanPSMT" w:hAnsi="TimesNewRomanPSMT" w:cs="TimesNewRomanPSMT"/>
          <w:sz w:val="20"/>
          <w:szCs w:val="20"/>
        </w:rPr>
        <w:t>Column 6 – Terminations</w:t>
      </w:r>
    </w:p>
    <w:p w:rsidR="00AF5416" w:rsidRDefault="00AF5416" w:rsidP="00AF5416">
      <w:pPr>
        <w:autoSpaceDE w:val="0"/>
        <w:autoSpaceDN w:val="0"/>
        <w:adjustRightInd w:val="0"/>
        <w:spacing w:after="0" w:line="240" w:lineRule="auto"/>
        <w:ind w:left="720"/>
        <w:rPr>
          <w:rFonts w:ascii="TimesNewRomanPSMT" w:hAnsi="TimesNewRomanPSMT" w:cs="TimesNewRomanPSMT"/>
          <w:sz w:val="20"/>
          <w:szCs w:val="20"/>
        </w:rPr>
      </w:pPr>
    </w:p>
    <w:p w:rsidR="00AF5416" w:rsidRDefault="00AF5416" w:rsidP="001277E4">
      <w:pPr>
        <w:autoSpaceDE w:val="0"/>
        <w:autoSpaceDN w:val="0"/>
        <w:adjustRightInd w:val="0"/>
        <w:spacing w:after="0" w:line="240" w:lineRule="auto"/>
        <w:ind w:left="1440"/>
        <w:rPr>
          <w:rFonts w:ascii="TimesNewRomanPSMT" w:hAnsi="TimesNewRomanPSMT" w:cs="TimesNewRomanPSMT"/>
          <w:sz w:val="20"/>
          <w:szCs w:val="20"/>
        </w:rPr>
      </w:pPr>
      <w:r>
        <w:rPr>
          <w:rFonts w:ascii="TimesNewRomanPSMT" w:hAnsi="TimesNewRomanPSMT" w:cs="TimesNewRomanPSMT"/>
          <w:sz w:val="20"/>
          <w:szCs w:val="20"/>
        </w:rPr>
        <w:t>Total number of policy</w:t>
      </w:r>
      <w:r w:rsidR="002F1008">
        <w:rPr>
          <w:rFonts w:ascii="TimesNewRomanPSMT" w:hAnsi="TimesNewRomanPSMT" w:cs="TimesNewRomanPSMT"/>
          <w:sz w:val="20"/>
          <w:szCs w:val="20"/>
        </w:rPr>
        <w:t xml:space="preserve"> or certificate </w:t>
      </w:r>
      <w:r>
        <w:rPr>
          <w:rFonts w:ascii="TimesNewRomanPSMT" w:hAnsi="TimesNewRomanPSMT" w:cs="TimesNewRomanPSMT"/>
          <w:sz w:val="20"/>
          <w:szCs w:val="20"/>
        </w:rPr>
        <w:t>holders whose coverage ended during the year for any reason, including death, lapse, or benefit exhaustion.</w:t>
      </w:r>
    </w:p>
    <w:p w:rsidR="00AF5416" w:rsidRDefault="00AF5416" w:rsidP="00AF5416">
      <w:pPr>
        <w:autoSpaceDE w:val="0"/>
        <w:autoSpaceDN w:val="0"/>
        <w:adjustRightInd w:val="0"/>
        <w:spacing w:after="0" w:line="240" w:lineRule="auto"/>
        <w:ind w:left="720"/>
        <w:rPr>
          <w:rFonts w:ascii="TimesNewRomanPSMT" w:hAnsi="TimesNewRomanPSMT" w:cs="TimesNewRomanPSMT"/>
          <w:sz w:val="20"/>
          <w:szCs w:val="20"/>
        </w:rPr>
      </w:pPr>
    </w:p>
    <w:p w:rsidR="00AF5416" w:rsidRDefault="00AF5416" w:rsidP="00AF5416">
      <w:pPr>
        <w:autoSpaceDE w:val="0"/>
        <w:autoSpaceDN w:val="0"/>
        <w:adjustRightInd w:val="0"/>
        <w:spacing w:after="0" w:line="240" w:lineRule="auto"/>
        <w:ind w:left="720"/>
        <w:rPr>
          <w:rFonts w:ascii="TimesNewRomanPSMT" w:hAnsi="TimesNewRomanPSMT" w:cs="TimesNewRomanPSMT"/>
          <w:sz w:val="20"/>
          <w:szCs w:val="20"/>
        </w:rPr>
      </w:pPr>
      <w:r>
        <w:rPr>
          <w:rFonts w:ascii="TimesNewRomanPSMT" w:hAnsi="TimesNewRomanPSMT" w:cs="TimesNewRomanPSMT"/>
          <w:sz w:val="20"/>
          <w:szCs w:val="20"/>
        </w:rPr>
        <w:t>Column 7 – Policies</w:t>
      </w:r>
      <w:r w:rsidR="005C131E">
        <w:rPr>
          <w:rFonts w:ascii="TimesNewRomanPSMT" w:hAnsi="TimesNewRomanPSMT" w:cs="TimesNewRomanPSMT"/>
          <w:sz w:val="20"/>
          <w:szCs w:val="20"/>
        </w:rPr>
        <w:t>/Certificates</w:t>
      </w:r>
      <w:r>
        <w:rPr>
          <w:rFonts w:ascii="TimesNewRomanPSMT" w:hAnsi="TimesNewRomanPSMT" w:cs="TimesNewRomanPSMT"/>
          <w:sz w:val="20"/>
          <w:szCs w:val="20"/>
        </w:rPr>
        <w:t xml:space="preserve"> In-force at Year End</w:t>
      </w:r>
    </w:p>
    <w:p w:rsidR="00AF5416" w:rsidRDefault="00AF5416" w:rsidP="00AF5416">
      <w:pPr>
        <w:autoSpaceDE w:val="0"/>
        <w:autoSpaceDN w:val="0"/>
        <w:adjustRightInd w:val="0"/>
        <w:spacing w:after="0" w:line="240" w:lineRule="auto"/>
        <w:ind w:left="720"/>
        <w:rPr>
          <w:rFonts w:ascii="TimesNewRomanPSMT" w:hAnsi="TimesNewRomanPSMT" w:cs="TimesNewRomanPSMT"/>
          <w:sz w:val="20"/>
          <w:szCs w:val="20"/>
        </w:rPr>
      </w:pPr>
    </w:p>
    <w:p w:rsidR="00AF5416" w:rsidRDefault="00AF5416" w:rsidP="00AF5416">
      <w:pPr>
        <w:autoSpaceDE w:val="0"/>
        <w:autoSpaceDN w:val="0"/>
        <w:adjustRightInd w:val="0"/>
        <w:spacing w:after="0" w:line="240" w:lineRule="auto"/>
        <w:ind w:left="720"/>
        <w:rPr>
          <w:rFonts w:ascii="TimesNewRomanPSMT" w:hAnsi="TimesNewRomanPSMT" w:cs="TimesNewRomanPSMT"/>
          <w:sz w:val="20"/>
          <w:szCs w:val="20"/>
        </w:rPr>
      </w:pPr>
      <w:r>
        <w:rPr>
          <w:rFonts w:ascii="TimesNewRomanPSMT" w:hAnsi="TimesNewRomanPSMT" w:cs="TimesNewRomanPSMT"/>
          <w:sz w:val="20"/>
          <w:szCs w:val="20"/>
        </w:rPr>
        <w:tab/>
      </w:r>
      <w:proofErr w:type="gramStart"/>
      <w:r>
        <w:rPr>
          <w:rFonts w:ascii="TimesNewRomanPSMT" w:hAnsi="TimesNewRomanPSMT" w:cs="TimesNewRomanPSMT"/>
          <w:sz w:val="20"/>
          <w:szCs w:val="20"/>
        </w:rPr>
        <w:t>Total number of policies or certificates in force at the end of the year.</w:t>
      </w:r>
      <w:proofErr w:type="gramEnd"/>
    </w:p>
    <w:p w:rsidR="00AF5416" w:rsidRDefault="00AF5416" w:rsidP="00AF5416">
      <w:pPr>
        <w:autoSpaceDE w:val="0"/>
        <w:autoSpaceDN w:val="0"/>
        <w:adjustRightInd w:val="0"/>
        <w:spacing w:after="0" w:line="240" w:lineRule="auto"/>
        <w:ind w:left="720"/>
        <w:rPr>
          <w:rFonts w:ascii="TimesNewRomanPSMT" w:hAnsi="TimesNewRomanPSMT" w:cs="TimesNewRomanPSMT"/>
          <w:sz w:val="20"/>
          <w:szCs w:val="20"/>
        </w:rPr>
      </w:pPr>
    </w:p>
    <w:p w:rsidR="00AF5416" w:rsidRDefault="00AF5416" w:rsidP="00AF5416">
      <w:pPr>
        <w:autoSpaceDE w:val="0"/>
        <w:autoSpaceDN w:val="0"/>
        <w:adjustRightInd w:val="0"/>
        <w:spacing w:after="0" w:line="240" w:lineRule="auto"/>
        <w:ind w:left="720"/>
        <w:rPr>
          <w:rFonts w:ascii="TimesNewRomanPSMT" w:hAnsi="TimesNewRomanPSMT" w:cs="TimesNewRomanPSMT"/>
          <w:sz w:val="20"/>
          <w:szCs w:val="20"/>
        </w:rPr>
      </w:pPr>
      <w:r>
        <w:rPr>
          <w:rFonts w:ascii="TimesNewRomanPSMT" w:hAnsi="TimesNewRomanPSMT" w:cs="TimesNewRomanPSMT"/>
          <w:sz w:val="20"/>
          <w:szCs w:val="20"/>
        </w:rPr>
        <w:t>Column 8 – Lives In-force at Year End</w:t>
      </w:r>
    </w:p>
    <w:p w:rsidR="00AF5416" w:rsidRDefault="00AF5416" w:rsidP="00AF5416">
      <w:pPr>
        <w:autoSpaceDE w:val="0"/>
        <w:autoSpaceDN w:val="0"/>
        <w:adjustRightInd w:val="0"/>
        <w:spacing w:after="0" w:line="240" w:lineRule="auto"/>
        <w:ind w:left="720"/>
        <w:rPr>
          <w:rFonts w:ascii="TimesNewRomanPSMT" w:hAnsi="TimesNewRomanPSMT" w:cs="TimesNewRomanPSMT"/>
          <w:sz w:val="20"/>
          <w:szCs w:val="20"/>
        </w:rPr>
      </w:pPr>
      <w:r>
        <w:rPr>
          <w:rFonts w:ascii="TimesNewRomanPSMT" w:hAnsi="TimesNewRomanPSMT" w:cs="TimesNewRomanPSMT"/>
          <w:sz w:val="20"/>
          <w:szCs w:val="20"/>
        </w:rPr>
        <w:tab/>
      </w:r>
    </w:p>
    <w:p w:rsidR="00AF5416" w:rsidRDefault="00AF5416" w:rsidP="00AF5416">
      <w:pPr>
        <w:autoSpaceDE w:val="0"/>
        <w:autoSpaceDN w:val="0"/>
        <w:adjustRightInd w:val="0"/>
        <w:spacing w:after="0" w:line="240" w:lineRule="auto"/>
        <w:ind w:left="720"/>
        <w:rPr>
          <w:rFonts w:ascii="TimesNewRomanPSMT" w:hAnsi="TimesNewRomanPSMT" w:cs="TimesNewRomanPSMT"/>
          <w:sz w:val="20"/>
          <w:szCs w:val="20"/>
        </w:rPr>
      </w:pPr>
      <w:r>
        <w:rPr>
          <w:rFonts w:ascii="TimesNewRomanPSMT" w:hAnsi="TimesNewRomanPSMT" w:cs="TimesNewRomanPSMT"/>
          <w:sz w:val="20"/>
          <w:szCs w:val="20"/>
        </w:rPr>
        <w:tab/>
      </w:r>
      <w:proofErr w:type="gramStart"/>
      <w:r>
        <w:rPr>
          <w:rFonts w:ascii="TimesNewRomanPSMT" w:hAnsi="TimesNewRomanPSMT" w:cs="TimesNewRomanPSMT"/>
          <w:sz w:val="20"/>
          <w:szCs w:val="20"/>
        </w:rPr>
        <w:t>Total number of lives in force at the end of the year.</w:t>
      </w:r>
      <w:proofErr w:type="gramEnd"/>
      <w:r>
        <w:rPr>
          <w:rFonts w:ascii="TimesNewRomanPSMT" w:hAnsi="TimesNewRomanPSMT" w:cs="TimesNewRomanPSMT"/>
          <w:sz w:val="20"/>
          <w:szCs w:val="20"/>
        </w:rPr>
        <w:t xml:space="preserve">  Joint policies are to be counted as two lives.</w:t>
      </w:r>
    </w:p>
    <w:p w:rsidR="00AF5416" w:rsidRDefault="00AF5416" w:rsidP="00AF5416">
      <w:pPr>
        <w:autoSpaceDE w:val="0"/>
        <w:autoSpaceDN w:val="0"/>
        <w:adjustRightInd w:val="0"/>
        <w:spacing w:after="0" w:line="240" w:lineRule="auto"/>
        <w:ind w:left="720"/>
        <w:rPr>
          <w:rFonts w:ascii="TimesNewRomanPSMT" w:hAnsi="TimesNewRomanPSMT" w:cs="TimesNewRomanPSMT"/>
          <w:sz w:val="20"/>
          <w:szCs w:val="20"/>
        </w:rPr>
      </w:pPr>
    </w:p>
    <w:p w:rsidR="00AF5416" w:rsidRDefault="00AF5416" w:rsidP="00AF5416">
      <w:pPr>
        <w:tabs>
          <w:tab w:val="left" w:pos="0"/>
        </w:tabs>
        <w:autoSpaceDE w:val="0"/>
        <w:autoSpaceDN w:val="0"/>
        <w:adjustRightInd w:val="0"/>
        <w:spacing w:after="0" w:line="240" w:lineRule="auto"/>
        <w:ind w:left="720"/>
        <w:rPr>
          <w:rFonts w:ascii="TimesNewRomanPSMT" w:hAnsi="TimesNewRomanPSMT" w:cs="TimesNewRomanPSMT"/>
          <w:sz w:val="20"/>
          <w:szCs w:val="20"/>
        </w:rPr>
      </w:pPr>
      <w:r>
        <w:rPr>
          <w:rFonts w:ascii="TimesNewRomanPSMT" w:hAnsi="TimesNewRomanPSMT" w:cs="TimesNewRomanPSMT"/>
          <w:sz w:val="20"/>
          <w:szCs w:val="20"/>
        </w:rPr>
        <w:t>Column 9 – Active Life Reserves</w:t>
      </w:r>
    </w:p>
    <w:p w:rsidR="00AF5416" w:rsidRDefault="00AF5416" w:rsidP="00AF5416">
      <w:pPr>
        <w:autoSpaceDE w:val="0"/>
        <w:autoSpaceDN w:val="0"/>
        <w:adjustRightInd w:val="0"/>
        <w:spacing w:after="0" w:line="240" w:lineRule="auto"/>
        <w:ind w:left="720"/>
        <w:rPr>
          <w:rFonts w:ascii="TimesNewRomanPSMT" w:hAnsi="TimesNewRomanPSMT" w:cs="TimesNewRomanPSMT"/>
          <w:sz w:val="20"/>
          <w:szCs w:val="20"/>
        </w:rPr>
      </w:pPr>
      <w:r>
        <w:rPr>
          <w:rFonts w:ascii="TimesNewRomanPSMT" w:hAnsi="TimesNewRomanPSMT" w:cs="TimesNewRomanPSMT"/>
          <w:sz w:val="20"/>
          <w:szCs w:val="20"/>
        </w:rPr>
        <w:tab/>
      </w:r>
    </w:p>
    <w:p w:rsidR="00AF5416" w:rsidRDefault="00AF5416" w:rsidP="00AF5416">
      <w:pPr>
        <w:autoSpaceDE w:val="0"/>
        <w:autoSpaceDN w:val="0"/>
        <w:adjustRightInd w:val="0"/>
        <w:spacing w:after="0" w:line="240" w:lineRule="auto"/>
        <w:ind w:left="720"/>
        <w:rPr>
          <w:rFonts w:ascii="TimesNewRomanPSMT" w:hAnsi="TimesNewRomanPSMT" w:cs="TimesNewRomanPSMT"/>
          <w:sz w:val="20"/>
          <w:szCs w:val="20"/>
        </w:rPr>
      </w:pPr>
      <w:r>
        <w:rPr>
          <w:rFonts w:ascii="TimesNewRomanPSMT" w:hAnsi="TimesNewRomanPSMT" w:cs="TimesNewRomanPSMT"/>
          <w:sz w:val="20"/>
          <w:szCs w:val="20"/>
        </w:rPr>
        <w:tab/>
        <w:t>Total amount of reserves held for policyholders who are not currently on claim.</w:t>
      </w:r>
    </w:p>
    <w:p w:rsidR="00AF5416" w:rsidRDefault="00AF5416" w:rsidP="00AF5416">
      <w:pPr>
        <w:autoSpaceDE w:val="0"/>
        <w:autoSpaceDN w:val="0"/>
        <w:adjustRightInd w:val="0"/>
        <w:spacing w:after="0" w:line="240" w:lineRule="auto"/>
        <w:ind w:left="720"/>
        <w:rPr>
          <w:rFonts w:ascii="TimesNewRomanPSMT" w:hAnsi="TimesNewRomanPSMT" w:cs="TimesNewRomanPSMT"/>
          <w:sz w:val="20"/>
          <w:szCs w:val="20"/>
        </w:rPr>
      </w:pPr>
    </w:p>
    <w:p w:rsidR="00AF5416" w:rsidRDefault="00AF5416" w:rsidP="00AF5416">
      <w:pPr>
        <w:autoSpaceDE w:val="0"/>
        <w:autoSpaceDN w:val="0"/>
        <w:adjustRightInd w:val="0"/>
        <w:spacing w:after="0" w:line="240" w:lineRule="auto"/>
        <w:ind w:left="720"/>
        <w:rPr>
          <w:rFonts w:ascii="TimesNewRomanPSMT" w:hAnsi="TimesNewRomanPSMT" w:cs="TimesNewRomanPSMT"/>
          <w:sz w:val="20"/>
          <w:szCs w:val="20"/>
        </w:rPr>
      </w:pPr>
      <w:r>
        <w:rPr>
          <w:rFonts w:ascii="TimesNewRomanPSMT" w:hAnsi="TimesNewRomanPSMT" w:cs="TimesNewRomanPSMT"/>
          <w:sz w:val="20"/>
          <w:szCs w:val="20"/>
        </w:rPr>
        <w:t>Column 10 – Claim Reserves</w:t>
      </w:r>
    </w:p>
    <w:p w:rsidR="00AF5416" w:rsidRDefault="00AF5416" w:rsidP="00AF5416">
      <w:pPr>
        <w:autoSpaceDE w:val="0"/>
        <w:autoSpaceDN w:val="0"/>
        <w:adjustRightInd w:val="0"/>
        <w:spacing w:after="0" w:line="240" w:lineRule="auto"/>
        <w:ind w:left="720"/>
        <w:rPr>
          <w:rFonts w:ascii="TimesNewRomanPSMT" w:hAnsi="TimesNewRomanPSMT" w:cs="TimesNewRomanPSMT"/>
          <w:sz w:val="20"/>
          <w:szCs w:val="20"/>
        </w:rPr>
      </w:pPr>
    </w:p>
    <w:p w:rsidR="00AF5416" w:rsidRDefault="00AF5416" w:rsidP="00AF5416">
      <w:pPr>
        <w:autoSpaceDE w:val="0"/>
        <w:autoSpaceDN w:val="0"/>
        <w:adjustRightInd w:val="0"/>
        <w:spacing w:after="0" w:line="240" w:lineRule="auto"/>
        <w:ind w:left="720"/>
        <w:rPr>
          <w:rFonts w:ascii="TimesNewRomanPSMT" w:hAnsi="TimesNewRomanPSMT" w:cs="TimesNewRomanPSMT"/>
          <w:sz w:val="20"/>
          <w:szCs w:val="20"/>
        </w:rPr>
      </w:pPr>
      <w:r>
        <w:rPr>
          <w:rFonts w:ascii="TimesNewRomanPSMT" w:hAnsi="TimesNewRomanPSMT" w:cs="TimesNewRomanPSMT"/>
          <w:sz w:val="20"/>
          <w:szCs w:val="20"/>
        </w:rPr>
        <w:tab/>
        <w:t>Total amount of reserves held for payment of claims that have been incurred but not yet paid.</w:t>
      </w:r>
    </w:p>
    <w:p w:rsidR="00AF5416" w:rsidRDefault="00AF5416" w:rsidP="00AF5416">
      <w:pPr>
        <w:autoSpaceDE w:val="0"/>
        <w:autoSpaceDN w:val="0"/>
        <w:adjustRightInd w:val="0"/>
        <w:spacing w:after="0" w:line="240" w:lineRule="auto"/>
        <w:ind w:left="720"/>
        <w:rPr>
          <w:rFonts w:ascii="TimesNewRomanPSMT" w:hAnsi="TimesNewRomanPSMT" w:cs="TimesNewRomanPSMT"/>
          <w:sz w:val="20"/>
          <w:szCs w:val="20"/>
        </w:rPr>
      </w:pPr>
    </w:p>
    <w:p w:rsidR="00AF5416" w:rsidRDefault="00AF5416" w:rsidP="00AF5416">
      <w:pPr>
        <w:autoSpaceDE w:val="0"/>
        <w:autoSpaceDN w:val="0"/>
        <w:adjustRightInd w:val="0"/>
        <w:spacing w:after="0" w:line="240" w:lineRule="auto"/>
        <w:ind w:left="720"/>
        <w:rPr>
          <w:rFonts w:ascii="TimesNewRomanPSMT" w:hAnsi="TimesNewRomanPSMT" w:cs="TimesNewRomanPSMT"/>
          <w:sz w:val="20"/>
          <w:szCs w:val="20"/>
        </w:rPr>
      </w:pPr>
      <w:r>
        <w:rPr>
          <w:rFonts w:ascii="TimesNewRomanPSMT" w:hAnsi="TimesNewRomanPSMT" w:cs="TimesNewRomanPSMT"/>
          <w:sz w:val="20"/>
          <w:szCs w:val="20"/>
        </w:rPr>
        <w:t>Column 11 – Other Reserves</w:t>
      </w:r>
    </w:p>
    <w:p w:rsidR="00AF5416" w:rsidRDefault="00AF5416" w:rsidP="00AF5416">
      <w:pPr>
        <w:autoSpaceDE w:val="0"/>
        <w:autoSpaceDN w:val="0"/>
        <w:adjustRightInd w:val="0"/>
        <w:spacing w:after="0" w:line="240" w:lineRule="auto"/>
        <w:ind w:left="720"/>
        <w:rPr>
          <w:rFonts w:ascii="TimesNewRomanPSMT" w:hAnsi="TimesNewRomanPSMT" w:cs="TimesNewRomanPSMT"/>
          <w:sz w:val="20"/>
          <w:szCs w:val="20"/>
        </w:rPr>
      </w:pPr>
    </w:p>
    <w:p w:rsidR="00AF5416" w:rsidRDefault="00AF5416" w:rsidP="00AF5416">
      <w:pPr>
        <w:autoSpaceDE w:val="0"/>
        <w:autoSpaceDN w:val="0"/>
        <w:adjustRightInd w:val="0"/>
        <w:spacing w:after="0" w:line="240" w:lineRule="auto"/>
        <w:ind w:left="1440"/>
        <w:rPr>
          <w:rFonts w:ascii="TimesNewRomanPSMT" w:hAnsi="TimesNewRomanPSMT" w:cs="TimesNewRomanPSMT"/>
          <w:sz w:val="20"/>
          <w:szCs w:val="20"/>
        </w:rPr>
      </w:pPr>
      <w:r>
        <w:rPr>
          <w:rFonts w:ascii="TimesNewRomanPSMT" w:hAnsi="TimesNewRomanPSMT" w:cs="TimesNewRomanPSMT"/>
          <w:sz w:val="20"/>
          <w:szCs w:val="20"/>
        </w:rPr>
        <w:t>Total amount of other reserves associated with long-term care policies, including premium deficiency reserves, unearned premium reserves, and additional actuarial reserves.</w:t>
      </w:r>
      <w:r w:rsidR="00F1171D">
        <w:rPr>
          <w:rFonts w:ascii="TimesNewRomanPSMT" w:hAnsi="TimesNewRomanPSMT" w:cs="TimesNewRomanPSMT"/>
          <w:sz w:val="20"/>
          <w:szCs w:val="20"/>
        </w:rPr>
        <w:t xml:space="preserve">  For the additional actuarial reserve, use the lesser of the aggregate additional reserve and a reserve calculated specifically for LTC business.</w:t>
      </w:r>
      <w:r>
        <w:rPr>
          <w:rFonts w:ascii="TimesNewRomanPSMT" w:hAnsi="TimesNewRomanPSMT" w:cs="TimesNewRomanPSMT"/>
          <w:sz w:val="20"/>
          <w:szCs w:val="20"/>
        </w:rPr>
        <w:t xml:space="preserve">  </w:t>
      </w:r>
    </w:p>
    <w:p w:rsidR="00AF5416" w:rsidRDefault="00AF5416" w:rsidP="00AF5416">
      <w:pPr>
        <w:autoSpaceDE w:val="0"/>
        <w:autoSpaceDN w:val="0"/>
        <w:adjustRightInd w:val="0"/>
        <w:spacing w:after="0" w:line="240" w:lineRule="auto"/>
        <w:ind w:left="1440"/>
        <w:rPr>
          <w:rFonts w:ascii="TimesNewRomanPSMT" w:hAnsi="TimesNewRomanPSMT" w:cs="TimesNewRomanPSMT"/>
          <w:sz w:val="20"/>
          <w:szCs w:val="20"/>
        </w:rPr>
      </w:pPr>
    </w:p>
    <w:p w:rsidR="00AF5416" w:rsidRDefault="00AF5416" w:rsidP="00AF5416">
      <w:pPr>
        <w:autoSpaceDE w:val="0"/>
        <w:autoSpaceDN w:val="0"/>
        <w:adjustRightInd w:val="0"/>
        <w:spacing w:after="0" w:line="240" w:lineRule="auto"/>
        <w:ind w:left="1440"/>
        <w:rPr>
          <w:rFonts w:ascii="TimesNewRomanPSMT" w:hAnsi="TimesNewRomanPSMT" w:cs="TimesNewRomanPSMT"/>
          <w:sz w:val="20"/>
          <w:szCs w:val="20"/>
        </w:rPr>
      </w:pPr>
      <w:r>
        <w:rPr>
          <w:rFonts w:ascii="TimesNewRomanPSMT" w:hAnsi="TimesNewRomanPSMT" w:cs="TimesNewRomanPSMT"/>
          <w:sz w:val="20"/>
          <w:szCs w:val="20"/>
        </w:rPr>
        <w:t>The amount reported in annual statement Exhibit 6, Line 2 for life, accident &amp; health, and fraternal only.</w:t>
      </w:r>
    </w:p>
    <w:p w:rsidR="00AF5416" w:rsidRDefault="00AF5416" w:rsidP="00AF5416">
      <w:pPr>
        <w:autoSpaceDE w:val="0"/>
        <w:autoSpaceDN w:val="0"/>
        <w:adjustRightInd w:val="0"/>
        <w:spacing w:after="0" w:line="240" w:lineRule="auto"/>
        <w:ind w:left="1440"/>
        <w:rPr>
          <w:rFonts w:ascii="TimesNewRomanPSMT" w:hAnsi="TimesNewRomanPSMT" w:cs="TimesNewRomanPSMT"/>
          <w:sz w:val="20"/>
          <w:szCs w:val="20"/>
        </w:rPr>
      </w:pPr>
    </w:p>
    <w:p w:rsidR="00AF5416" w:rsidRDefault="00AF5416">
      <w:pPr>
        <w:autoSpaceDE w:val="0"/>
        <w:autoSpaceDN w:val="0"/>
        <w:adjustRightInd w:val="0"/>
        <w:spacing w:after="0" w:line="240" w:lineRule="auto"/>
        <w:ind w:left="1440"/>
        <w:rPr>
          <w:rFonts w:ascii="Times New Roman" w:hAnsi="Times New Roman" w:cs="Times New Roman"/>
          <w:sz w:val="20"/>
          <w:szCs w:val="20"/>
        </w:rPr>
      </w:pPr>
      <w:proofErr w:type="gramStart"/>
      <w:r>
        <w:rPr>
          <w:rFonts w:ascii="Times New Roman" w:hAnsi="Times New Roman" w:cs="Times New Roman"/>
          <w:sz w:val="20"/>
          <w:szCs w:val="20"/>
        </w:rPr>
        <w:t>A  reserve</w:t>
      </w:r>
      <w:proofErr w:type="gramEnd"/>
      <w:r>
        <w:rPr>
          <w:rFonts w:ascii="Times New Roman" w:hAnsi="Times New Roman" w:cs="Times New Roman"/>
          <w:sz w:val="20"/>
          <w:szCs w:val="20"/>
        </w:rPr>
        <w:t xml:space="preserve"> must be carried for any block of contracts for which future gross premiums when reduced by</w:t>
      </w:r>
      <w:r w:rsidR="00F1171D">
        <w:rPr>
          <w:rFonts w:ascii="Times New Roman" w:hAnsi="Times New Roman" w:cs="Times New Roman"/>
          <w:sz w:val="20"/>
          <w:szCs w:val="20"/>
        </w:rPr>
        <w:t xml:space="preserve"> </w:t>
      </w:r>
      <w:r>
        <w:rPr>
          <w:rFonts w:ascii="Times New Roman" w:hAnsi="Times New Roman" w:cs="Times New Roman"/>
          <w:sz w:val="20"/>
          <w:szCs w:val="20"/>
        </w:rPr>
        <w:t>expenses for administration, commissions, and taxes will be insufficient to cover future claims or</w:t>
      </w:r>
      <w:r w:rsidR="00F1171D">
        <w:rPr>
          <w:rFonts w:ascii="Times New Roman" w:hAnsi="Times New Roman" w:cs="Times New Roman"/>
          <w:sz w:val="20"/>
          <w:szCs w:val="20"/>
        </w:rPr>
        <w:t xml:space="preserve"> </w:t>
      </w:r>
      <w:r>
        <w:rPr>
          <w:rFonts w:ascii="Times New Roman" w:hAnsi="Times New Roman" w:cs="Times New Roman"/>
          <w:sz w:val="20"/>
          <w:szCs w:val="20"/>
        </w:rPr>
        <w:t>services.</w:t>
      </w:r>
    </w:p>
    <w:p w:rsidR="00F1171D" w:rsidRDefault="00F1171D" w:rsidP="001277E4">
      <w:pPr>
        <w:rPr>
          <w:rFonts w:ascii="TimesNewRomanPSMT" w:hAnsi="TimesNewRomanPSMT" w:cs="TimesNewRomanPSMT"/>
          <w:b/>
          <w:sz w:val="20"/>
          <w:szCs w:val="20"/>
        </w:rPr>
      </w:pPr>
    </w:p>
    <w:p w:rsidR="00F1171D" w:rsidRDefault="00F1171D" w:rsidP="001277E4">
      <w:pPr>
        <w:rPr>
          <w:rFonts w:ascii="TimesNewRomanPSMT" w:hAnsi="TimesNewRomanPSMT" w:cs="TimesNewRomanPSMT"/>
          <w:b/>
          <w:sz w:val="20"/>
          <w:szCs w:val="20"/>
        </w:rPr>
      </w:pPr>
    </w:p>
    <w:p w:rsidR="00F1171D" w:rsidRDefault="00F1171D" w:rsidP="001277E4">
      <w:pPr>
        <w:rPr>
          <w:rFonts w:ascii="TimesNewRomanPSMT" w:hAnsi="TimesNewRomanPSMT" w:cs="TimesNewRomanPSMT"/>
          <w:b/>
          <w:sz w:val="20"/>
          <w:szCs w:val="20"/>
        </w:rPr>
      </w:pPr>
    </w:p>
    <w:p w:rsidR="00F1171D" w:rsidRDefault="00F1171D" w:rsidP="001277E4">
      <w:pPr>
        <w:rPr>
          <w:rFonts w:ascii="TimesNewRomanPSMT" w:hAnsi="TimesNewRomanPSMT" w:cs="TimesNewRomanPSMT"/>
          <w:b/>
          <w:sz w:val="20"/>
          <w:szCs w:val="20"/>
        </w:rPr>
      </w:pPr>
    </w:p>
    <w:p w:rsidR="00F1171D" w:rsidRDefault="00F1171D" w:rsidP="001277E4">
      <w:pPr>
        <w:rPr>
          <w:rFonts w:ascii="TimesNewRomanPSMT" w:hAnsi="TimesNewRomanPSMT" w:cs="TimesNewRomanPSMT"/>
          <w:b/>
          <w:sz w:val="20"/>
          <w:szCs w:val="20"/>
        </w:rPr>
      </w:pPr>
    </w:p>
    <w:p w:rsidR="00F1171D" w:rsidRDefault="00F1171D" w:rsidP="001277E4">
      <w:pPr>
        <w:rPr>
          <w:rFonts w:ascii="TimesNewRomanPSMT" w:hAnsi="TimesNewRomanPSMT" w:cs="TimesNewRomanPSMT"/>
          <w:b/>
          <w:sz w:val="20"/>
          <w:szCs w:val="20"/>
        </w:rPr>
      </w:pPr>
    </w:p>
    <w:p w:rsidR="00F1171D" w:rsidRDefault="00F1171D" w:rsidP="001277E4">
      <w:pPr>
        <w:rPr>
          <w:rFonts w:ascii="TimesNewRomanPSMT" w:hAnsi="TimesNewRomanPSMT" w:cs="TimesNewRomanPSMT"/>
          <w:b/>
          <w:sz w:val="20"/>
          <w:szCs w:val="20"/>
        </w:rPr>
      </w:pPr>
    </w:p>
    <w:p w:rsidR="00496C34" w:rsidRDefault="00496C34" w:rsidP="001277E4">
      <w:pPr>
        <w:rPr>
          <w:rFonts w:ascii="TimesNewRomanPSMT" w:hAnsi="TimesNewRomanPSMT" w:cs="TimesNewRomanPSMT"/>
          <w:b/>
          <w:sz w:val="20"/>
          <w:szCs w:val="20"/>
        </w:rPr>
      </w:pPr>
    </w:p>
    <w:p w:rsidR="00496C34" w:rsidRDefault="00496C34" w:rsidP="001277E4">
      <w:pPr>
        <w:rPr>
          <w:rFonts w:ascii="TimesNewRomanPSMT" w:hAnsi="TimesNewRomanPSMT" w:cs="TimesNewRomanPSMT"/>
          <w:b/>
          <w:sz w:val="20"/>
          <w:szCs w:val="20"/>
        </w:rPr>
      </w:pPr>
    </w:p>
    <w:p w:rsidR="00AF5416" w:rsidRPr="00641515" w:rsidRDefault="00AF5416" w:rsidP="001277E4">
      <w:pPr>
        <w:rPr>
          <w:rFonts w:ascii="TimesNewRomanPSMT" w:hAnsi="TimesNewRomanPSMT" w:cs="TimesNewRomanPSMT"/>
          <w:b/>
          <w:sz w:val="20"/>
          <w:szCs w:val="20"/>
        </w:rPr>
      </w:pPr>
      <w:r w:rsidRPr="00641515">
        <w:rPr>
          <w:rFonts w:ascii="TimesNewRomanPSMT" w:hAnsi="TimesNewRomanPSMT" w:cs="TimesNewRomanPSMT"/>
          <w:b/>
          <w:sz w:val="20"/>
          <w:szCs w:val="20"/>
        </w:rPr>
        <w:lastRenderedPageBreak/>
        <w:t>Form 2</w:t>
      </w:r>
    </w:p>
    <w:p w:rsidR="00AF5416" w:rsidRDefault="00AF5416" w:rsidP="00AF5416">
      <w:pPr>
        <w:ind w:left="720"/>
      </w:pPr>
      <w:r>
        <w:t>Definitions and Formulas</w:t>
      </w:r>
    </w:p>
    <w:p w:rsidR="00AF5416" w:rsidRDefault="00AF5416" w:rsidP="00AF5416">
      <w:pPr>
        <w:autoSpaceDE w:val="0"/>
        <w:autoSpaceDN w:val="0"/>
        <w:adjustRightInd w:val="0"/>
        <w:spacing w:after="0" w:line="240" w:lineRule="auto"/>
        <w:ind w:left="720"/>
        <w:rPr>
          <w:rFonts w:ascii="Times New Roman" w:hAnsi="Times New Roman" w:cs="Times New Roman"/>
          <w:b/>
          <w:bCs/>
          <w:sz w:val="20"/>
          <w:szCs w:val="20"/>
        </w:rPr>
      </w:pPr>
      <w:r>
        <w:rPr>
          <w:rFonts w:ascii="Times New Roman" w:hAnsi="Times New Roman" w:cs="Times New Roman"/>
          <w:b/>
          <w:bCs/>
          <w:sz w:val="20"/>
          <w:szCs w:val="20"/>
        </w:rPr>
        <w:t>Current</w:t>
      </w:r>
    </w:p>
    <w:p w:rsidR="00AF5416" w:rsidRDefault="00AF5416" w:rsidP="00AF5416">
      <w:pPr>
        <w:autoSpaceDE w:val="0"/>
        <w:autoSpaceDN w:val="0"/>
        <w:adjustRightInd w:val="0"/>
        <w:spacing w:after="0" w:line="240" w:lineRule="auto"/>
        <w:ind w:left="720" w:firstLine="720"/>
        <w:rPr>
          <w:rFonts w:ascii="TimesNewRomanPSMT" w:hAnsi="TimesNewRomanPSMT" w:cs="TimesNewRomanPSMT"/>
          <w:sz w:val="20"/>
          <w:szCs w:val="20"/>
        </w:rPr>
      </w:pPr>
      <w:proofErr w:type="gramStart"/>
      <w:r>
        <w:rPr>
          <w:rFonts w:ascii="TimesNewRomanPSMT" w:hAnsi="TimesNewRomanPSMT" w:cs="TimesNewRomanPSMT"/>
          <w:sz w:val="20"/>
          <w:szCs w:val="20"/>
        </w:rPr>
        <w:t>Current calendar year of reporting.</w:t>
      </w:r>
      <w:proofErr w:type="gramEnd"/>
    </w:p>
    <w:p w:rsidR="00AF5416" w:rsidRPr="00641515" w:rsidRDefault="00AF5416" w:rsidP="00AF5416">
      <w:pPr>
        <w:autoSpaceDE w:val="0"/>
        <w:autoSpaceDN w:val="0"/>
        <w:adjustRightInd w:val="0"/>
        <w:spacing w:after="0" w:line="240" w:lineRule="auto"/>
        <w:ind w:left="720" w:firstLine="720"/>
        <w:rPr>
          <w:rFonts w:ascii="Times New Roman" w:hAnsi="Times New Roman" w:cs="Times New Roman"/>
          <w:b/>
          <w:bCs/>
          <w:sz w:val="20"/>
          <w:szCs w:val="20"/>
        </w:rPr>
      </w:pPr>
    </w:p>
    <w:p w:rsidR="00AF5416" w:rsidRDefault="00AF5416" w:rsidP="00AF5416">
      <w:pPr>
        <w:autoSpaceDE w:val="0"/>
        <w:autoSpaceDN w:val="0"/>
        <w:adjustRightInd w:val="0"/>
        <w:spacing w:after="0" w:line="240" w:lineRule="auto"/>
        <w:ind w:left="720"/>
        <w:rPr>
          <w:rFonts w:ascii="Times New Roman" w:hAnsi="Times New Roman" w:cs="Times New Roman"/>
          <w:b/>
          <w:bCs/>
          <w:sz w:val="20"/>
          <w:szCs w:val="20"/>
        </w:rPr>
      </w:pPr>
      <w:r>
        <w:rPr>
          <w:rFonts w:ascii="Times New Roman" w:hAnsi="Times New Roman" w:cs="Times New Roman"/>
          <w:b/>
          <w:bCs/>
          <w:sz w:val="20"/>
          <w:szCs w:val="20"/>
        </w:rPr>
        <w:t>Total Inception-to-Date</w:t>
      </w:r>
    </w:p>
    <w:p w:rsidR="00AF5416" w:rsidRDefault="00AF5416" w:rsidP="00AF5416">
      <w:pPr>
        <w:autoSpaceDE w:val="0"/>
        <w:autoSpaceDN w:val="0"/>
        <w:adjustRightInd w:val="0"/>
        <w:spacing w:after="0" w:line="240" w:lineRule="auto"/>
        <w:ind w:left="720" w:firstLine="720"/>
        <w:rPr>
          <w:rFonts w:ascii="TimesNewRomanPSMT" w:hAnsi="TimesNewRomanPSMT" w:cs="TimesNewRomanPSMT"/>
          <w:sz w:val="20"/>
          <w:szCs w:val="20"/>
        </w:rPr>
      </w:pPr>
      <w:proofErr w:type="gramStart"/>
      <w:r>
        <w:rPr>
          <w:rFonts w:ascii="TimesNewRomanPSMT" w:hAnsi="TimesNewRomanPSMT" w:cs="TimesNewRomanPSMT"/>
          <w:sz w:val="20"/>
          <w:szCs w:val="20"/>
        </w:rPr>
        <w:t>Aggregate experience data since issuance of policies.</w:t>
      </w:r>
      <w:proofErr w:type="gramEnd"/>
    </w:p>
    <w:p w:rsidR="00AF5416" w:rsidRPr="00641515" w:rsidRDefault="00AF5416" w:rsidP="00AF5416">
      <w:pPr>
        <w:autoSpaceDE w:val="0"/>
        <w:autoSpaceDN w:val="0"/>
        <w:adjustRightInd w:val="0"/>
        <w:spacing w:after="0" w:line="240" w:lineRule="auto"/>
        <w:ind w:left="720" w:firstLine="720"/>
        <w:rPr>
          <w:rFonts w:ascii="Times New Roman" w:hAnsi="Times New Roman" w:cs="Times New Roman"/>
          <w:b/>
          <w:bCs/>
          <w:sz w:val="20"/>
          <w:szCs w:val="20"/>
        </w:rPr>
      </w:pPr>
    </w:p>
    <w:p w:rsidR="00AF5416" w:rsidRPr="00641515" w:rsidRDefault="00AF5416" w:rsidP="00AF5416">
      <w:pPr>
        <w:ind w:left="720"/>
        <w:rPr>
          <w:rFonts w:ascii="TimesNewRomanPSMT" w:hAnsi="TimesNewRomanPSMT" w:cs="TimesNewRomanPSMT"/>
          <w:sz w:val="20"/>
          <w:szCs w:val="20"/>
        </w:rPr>
      </w:pPr>
      <w:r>
        <w:rPr>
          <w:rFonts w:ascii="Times New Roman" w:hAnsi="Times New Roman" w:cs="Times New Roman"/>
          <w:b/>
          <w:bCs/>
          <w:sz w:val="20"/>
          <w:szCs w:val="20"/>
        </w:rPr>
        <w:t>Comprehensive</w:t>
      </w:r>
    </w:p>
    <w:p w:rsidR="00AF5416" w:rsidRDefault="00AF5416" w:rsidP="00AF5416">
      <w:pPr>
        <w:autoSpaceDE w:val="0"/>
        <w:autoSpaceDN w:val="0"/>
        <w:adjustRightInd w:val="0"/>
        <w:spacing w:after="0" w:line="240" w:lineRule="auto"/>
        <w:ind w:left="1440"/>
        <w:rPr>
          <w:rFonts w:ascii="TimesNewRomanPSMT" w:hAnsi="TimesNewRomanPSMT" w:cs="TimesNewRomanPSMT"/>
          <w:sz w:val="20"/>
          <w:szCs w:val="20"/>
        </w:rPr>
      </w:pPr>
      <w:proofErr w:type="gramStart"/>
      <w:r>
        <w:rPr>
          <w:rFonts w:ascii="TimesNewRomanPSMT" w:hAnsi="TimesNewRomanPSMT" w:cs="TimesNewRomanPSMT"/>
          <w:sz w:val="20"/>
          <w:szCs w:val="20"/>
        </w:rPr>
        <w:t>Policy forms that provide a combination of institutional or facility and non-institutional coverage.</w:t>
      </w:r>
      <w:proofErr w:type="gramEnd"/>
      <w:r>
        <w:rPr>
          <w:rFonts w:ascii="TimesNewRomanPSMT" w:hAnsi="TimesNewRomanPSMT" w:cs="TimesNewRomanPSMT"/>
          <w:sz w:val="20"/>
          <w:szCs w:val="20"/>
        </w:rPr>
        <w:t xml:space="preserve"> These include institutional only policies with non-institutional riders.</w:t>
      </w:r>
    </w:p>
    <w:p w:rsidR="00AF5416" w:rsidRDefault="00AF5416" w:rsidP="00AF5416">
      <w:pPr>
        <w:autoSpaceDE w:val="0"/>
        <w:autoSpaceDN w:val="0"/>
        <w:adjustRightInd w:val="0"/>
        <w:spacing w:after="0" w:line="240" w:lineRule="auto"/>
        <w:ind w:left="720"/>
        <w:rPr>
          <w:rFonts w:ascii="Times New Roman" w:hAnsi="Times New Roman" w:cs="Times New Roman"/>
          <w:b/>
          <w:bCs/>
          <w:sz w:val="20"/>
          <w:szCs w:val="20"/>
        </w:rPr>
      </w:pPr>
    </w:p>
    <w:p w:rsidR="00AF5416" w:rsidRDefault="00AF5416" w:rsidP="00AF5416">
      <w:pPr>
        <w:autoSpaceDE w:val="0"/>
        <w:autoSpaceDN w:val="0"/>
        <w:adjustRightInd w:val="0"/>
        <w:spacing w:after="0" w:line="240" w:lineRule="auto"/>
        <w:ind w:left="720"/>
        <w:rPr>
          <w:rFonts w:ascii="Times New Roman" w:hAnsi="Times New Roman" w:cs="Times New Roman"/>
          <w:b/>
          <w:bCs/>
          <w:sz w:val="20"/>
          <w:szCs w:val="20"/>
        </w:rPr>
      </w:pPr>
      <w:r>
        <w:rPr>
          <w:rFonts w:ascii="Times New Roman" w:hAnsi="Times New Roman" w:cs="Times New Roman"/>
          <w:b/>
          <w:bCs/>
          <w:sz w:val="20"/>
          <w:szCs w:val="20"/>
        </w:rPr>
        <w:t>Institutional Only</w:t>
      </w:r>
    </w:p>
    <w:p w:rsidR="00AF5416" w:rsidRDefault="00AF5416" w:rsidP="00AF5416">
      <w:pPr>
        <w:autoSpaceDE w:val="0"/>
        <w:autoSpaceDN w:val="0"/>
        <w:adjustRightInd w:val="0"/>
        <w:spacing w:after="0" w:line="240" w:lineRule="auto"/>
        <w:ind w:left="720" w:firstLine="720"/>
        <w:rPr>
          <w:rFonts w:ascii="TimesNewRomanPSMT" w:hAnsi="TimesNewRomanPSMT" w:cs="TimesNewRomanPSMT"/>
          <w:sz w:val="20"/>
          <w:szCs w:val="20"/>
        </w:rPr>
      </w:pPr>
      <w:proofErr w:type="gramStart"/>
      <w:r>
        <w:rPr>
          <w:rFonts w:ascii="TimesNewRomanPSMT" w:hAnsi="TimesNewRomanPSMT" w:cs="TimesNewRomanPSMT"/>
          <w:sz w:val="20"/>
          <w:szCs w:val="20"/>
        </w:rPr>
        <w:t>Policy forms that provide institutional coverage only.</w:t>
      </w:r>
      <w:proofErr w:type="gramEnd"/>
    </w:p>
    <w:p w:rsidR="00AF5416" w:rsidRDefault="00AF5416" w:rsidP="00AF5416">
      <w:pPr>
        <w:autoSpaceDE w:val="0"/>
        <w:autoSpaceDN w:val="0"/>
        <w:adjustRightInd w:val="0"/>
        <w:spacing w:after="0" w:line="240" w:lineRule="auto"/>
        <w:ind w:left="720"/>
        <w:rPr>
          <w:rFonts w:ascii="Times New Roman" w:hAnsi="Times New Roman" w:cs="Times New Roman"/>
          <w:b/>
          <w:bCs/>
          <w:sz w:val="20"/>
          <w:szCs w:val="20"/>
        </w:rPr>
      </w:pPr>
    </w:p>
    <w:p w:rsidR="00AF5416" w:rsidRDefault="00AF5416" w:rsidP="00AF5416">
      <w:pPr>
        <w:autoSpaceDE w:val="0"/>
        <w:autoSpaceDN w:val="0"/>
        <w:adjustRightInd w:val="0"/>
        <w:spacing w:after="0" w:line="240" w:lineRule="auto"/>
        <w:ind w:left="720"/>
        <w:rPr>
          <w:rFonts w:ascii="Times New Roman" w:hAnsi="Times New Roman" w:cs="Times New Roman"/>
          <w:b/>
          <w:bCs/>
          <w:sz w:val="20"/>
          <w:szCs w:val="20"/>
        </w:rPr>
      </w:pPr>
      <w:r>
        <w:rPr>
          <w:rFonts w:ascii="Times New Roman" w:hAnsi="Times New Roman" w:cs="Times New Roman"/>
          <w:b/>
          <w:bCs/>
          <w:sz w:val="20"/>
          <w:szCs w:val="20"/>
        </w:rPr>
        <w:t>Non-Institutional Only</w:t>
      </w:r>
    </w:p>
    <w:p w:rsidR="00AF5416" w:rsidRDefault="00AF5416" w:rsidP="00AF5416">
      <w:pPr>
        <w:ind w:left="720" w:firstLine="720"/>
        <w:rPr>
          <w:rFonts w:ascii="TimesNewRomanPSMT" w:hAnsi="TimesNewRomanPSMT" w:cs="TimesNewRomanPSMT"/>
          <w:sz w:val="20"/>
          <w:szCs w:val="20"/>
        </w:rPr>
      </w:pPr>
      <w:proofErr w:type="gramStart"/>
      <w:r>
        <w:rPr>
          <w:rFonts w:ascii="TimesNewRomanPSMT" w:hAnsi="TimesNewRomanPSMT" w:cs="TimesNewRomanPSMT"/>
          <w:sz w:val="20"/>
          <w:szCs w:val="20"/>
        </w:rPr>
        <w:t>Policy forms that provide only non-institutional coverage.</w:t>
      </w:r>
      <w:proofErr w:type="gramEnd"/>
    </w:p>
    <w:p w:rsidR="00496C34" w:rsidRDefault="00496C34" w:rsidP="00AF5416">
      <w:pPr>
        <w:ind w:left="720"/>
        <w:rPr>
          <w:rFonts w:ascii="TimesNewRomanPSMT" w:hAnsi="TimesNewRomanPSMT" w:cs="TimesNewRomanPSMT"/>
          <w:sz w:val="20"/>
          <w:szCs w:val="20"/>
        </w:rPr>
      </w:pPr>
    </w:p>
    <w:p w:rsidR="00AF5416" w:rsidRDefault="00AF5416" w:rsidP="00AF5416">
      <w:pPr>
        <w:ind w:left="720"/>
        <w:rPr>
          <w:rFonts w:ascii="TimesNewRomanPSMT" w:hAnsi="TimesNewRomanPSMT" w:cs="TimesNewRomanPSMT"/>
          <w:sz w:val="20"/>
          <w:szCs w:val="20"/>
        </w:rPr>
      </w:pPr>
      <w:r>
        <w:rPr>
          <w:rFonts w:ascii="TimesNewRomanPSMT" w:hAnsi="TimesNewRomanPSMT" w:cs="TimesNewRomanPSMT"/>
          <w:sz w:val="20"/>
          <w:szCs w:val="20"/>
        </w:rPr>
        <w:t xml:space="preserve">Column 1 – </w:t>
      </w:r>
      <w:r w:rsidR="00F1171D">
        <w:rPr>
          <w:rFonts w:ascii="TimesNewRomanPSMT" w:hAnsi="TimesNewRomanPSMT" w:cs="TimesNewRomanPSMT"/>
          <w:sz w:val="20"/>
          <w:szCs w:val="20"/>
        </w:rPr>
        <w:t xml:space="preserve">Calendar </w:t>
      </w:r>
      <w:r>
        <w:rPr>
          <w:rFonts w:ascii="TimesNewRomanPSMT" w:hAnsi="TimesNewRomanPSMT" w:cs="TimesNewRomanPSMT"/>
          <w:sz w:val="20"/>
          <w:szCs w:val="20"/>
        </w:rPr>
        <w:t>Year of Peak Issues</w:t>
      </w:r>
    </w:p>
    <w:p w:rsidR="00AF5416" w:rsidRDefault="00F1171D" w:rsidP="001277E4">
      <w:pPr>
        <w:ind w:left="1440"/>
        <w:rPr>
          <w:rFonts w:ascii="TimesNewRomanPSMT" w:hAnsi="TimesNewRomanPSMT" w:cs="TimesNewRomanPSMT"/>
          <w:sz w:val="20"/>
          <w:szCs w:val="20"/>
        </w:rPr>
      </w:pPr>
      <w:proofErr w:type="gramStart"/>
      <w:r>
        <w:rPr>
          <w:rFonts w:ascii="TimesNewRomanPSMT" w:hAnsi="TimesNewRomanPSMT" w:cs="TimesNewRomanPSMT"/>
          <w:sz w:val="20"/>
          <w:szCs w:val="20"/>
        </w:rPr>
        <w:t>Calendar y</w:t>
      </w:r>
      <w:r w:rsidR="00AF5416">
        <w:rPr>
          <w:rFonts w:ascii="TimesNewRomanPSMT" w:hAnsi="TimesNewRomanPSMT" w:cs="TimesNewRomanPSMT"/>
          <w:sz w:val="20"/>
          <w:szCs w:val="20"/>
        </w:rPr>
        <w:t>ear in which the largest number of policies in the block were sold.</w:t>
      </w:r>
      <w:proofErr w:type="gramEnd"/>
      <w:r w:rsidR="00AF5416">
        <w:rPr>
          <w:rFonts w:ascii="TimesNewRomanPSMT" w:hAnsi="TimesNewRomanPSMT" w:cs="TimesNewRomanPSMT"/>
          <w:sz w:val="20"/>
          <w:szCs w:val="20"/>
        </w:rPr>
        <w:t xml:space="preserve">  When reporting figures for inception-to-date, include all policies ever sold in the block.  For the current year, include only those policies that remain inforce as of 12/31.</w:t>
      </w:r>
    </w:p>
    <w:p w:rsidR="00AF5416" w:rsidRDefault="00AF5416" w:rsidP="00AF5416">
      <w:pPr>
        <w:ind w:left="720"/>
        <w:rPr>
          <w:rFonts w:ascii="TimesNewRomanPSMT" w:hAnsi="TimesNewRomanPSMT" w:cs="TimesNewRomanPSMT"/>
          <w:sz w:val="20"/>
          <w:szCs w:val="20"/>
        </w:rPr>
      </w:pPr>
      <w:r>
        <w:rPr>
          <w:rFonts w:ascii="TimesNewRomanPSMT" w:hAnsi="TimesNewRomanPSMT" w:cs="TimesNewRomanPSMT"/>
          <w:sz w:val="20"/>
          <w:szCs w:val="20"/>
        </w:rPr>
        <w:t xml:space="preserve">Column 2 – </w:t>
      </w:r>
      <w:r w:rsidR="00A56CD5">
        <w:rPr>
          <w:rFonts w:ascii="TimesNewRomanPSMT" w:hAnsi="TimesNewRomanPSMT" w:cs="TimesNewRomanPSMT"/>
          <w:sz w:val="20"/>
          <w:szCs w:val="20"/>
        </w:rPr>
        <w:t>% Male</w:t>
      </w:r>
      <w:r w:rsidR="00F1171D">
        <w:rPr>
          <w:rFonts w:ascii="TimesNewRomanPSMT" w:hAnsi="TimesNewRomanPSMT" w:cs="TimesNewRomanPSMT"/>
          <w:sz w:val="20"/>
          <w:szCs w:val="20"/>
        </w:rPr>
        <w:t xml:space="preserve"> Lives Insured</w:t>
      </w:r>
    </w:p>
    <w:p w:rsidR="00AF5416" w:rsidRDefault="00AF5416" w:rsidP="001277E4">
      <w:pPr>
        <w:ind w:left="1440"/>
        <w:rPr>
          <w:rFonts w:ascii="TimesNewRomanPSMT" w:hAnsi="TimesNewRomanPSMT" w:cs="TimesNewRomanPSMT"/>
          <w:sz w:val="20"/>
          <w:szCs w:val="20"/>
        </w:rPr>
      </w:pPr>
      <w:proofErr w:type="gramStart"/>
      <w:r>
        <w:rPr>
          <w:rFonts w:ascii="TimesNewRomanPSMT" w:hAnsi="TimesNewRomanPSMT" w:cs="TimesNewRomanPSMT"/>
          <w:sz w:val="20"/>
          <w:szCs w:val="20"/>
        </w:rPr>
        <w:t>Percentage of males</w:t>
      </w:r>
      <w:r w:rsidR="00A56CD5" w:rsidDel="00A56CD5">
        <w:rPr>
          <w:rFonts w:ascii="TimesNewRomanPSMT" w:hAnsi="TimesNewRomanPSMT" w:cs="TimesNewRomanPSMT"/>
          <w:sz w:val="20"/>
          <w:szCs w:val="20"/>
        </w:rPr>
        <w:t xml:space="preserve"> </w:t>
      </w:r>
      <w:r w:rsidR="00A56CD5">
        <w:rPr>
          <w:rFonts w:ascii="TimesNewRomanPSMT" w:hAnsi="TimesNewRomanPSMT" w:cs="TimesNewRomanPSMT"/>
          <w:sz w:val="20"/>
          <w:szCs w:val="20"/>
        </w:rPr>
        <w:t>w</w:t>
      </w:r>
      <w:r>
        <w:rPr>
          <w:rFonts w:ascii="TimesNewRomanPSMT" w:hAnsi="TimesNewRomanPSMT" w:cs="TimesNewRomanPSMT"/>
          <w:sz w:val="20"/>
          <w:szCs w:val="20"/>
        </w:rPr>
        <w:t>ithin the block of policyholders.</w:t>
      </w:r>
      <w:proofErr w:type="gramEnd"/>
      <w:r>
        <w:rPr>
          <w:rFonts w:ascii="TimesNewRomanPSMT" w:hAnsi="TimesNewRomanPSMT" w:cs="TimesNewRomanPSMT"/>
          <w:sz w:val="20"/>
          <w:szCs w:val="20"/>
        </w:rPr>
        <w:t xml:space="preserve">  For example, a block consisting of 60% males</w:t>
      </w:r>
      <w:r w:rsidR="00A56CD5">
        <w:rPr>
          <w:rFonts w:ascii="TimesNewRomanPSMT" w:hAnsi="TimesNewRomanPSMT" w:cs="TimesNewRomanPSMT"/>
          <w:sz w:val="20"/>
          <w:szCs w:val="20"/>
        </w:rPr>
        <w:t xml:space="preserve"> would be reported as 60.</w:t>
      </w:r>
      <w:r w:rsidR="002F1008">
        <w:rPr>
          <w:rFonts w:ascii="TimesNewRomanPSMT" w:hAnsi="TimesNewRomanPSMT" w:cs="TimesNewRomanPSMT"/>
          <w:sz w:val="20"/>
          <w:szCs w:val="20"/>
        </w:rPr>
        <w:t xml:space="preserve"> When reporting figures for inception-to-date, include all policies ever sold in the block.  For the current year, include only those policyholders that remain insured as of 12/31.</w:t>
      </w:r>
    </w:p>
    <w:p w:rsidR="00AF5416" w:rsidRDefault="00AF5416" w:rsidP="00AF5416">
      <w:pPr>
        <w:ind w:left="720"/>
        <w:rPr>
          <w:rFonts w:ascii="TimesNewRomanPSMT" w:hAnsi="TimesNewRomanPSMT" w:cs="TimesNewRomanPSMT"/>
          <w:sz w:val="20"/>
          <w:szCs w:val="20"/>
        </w:rPr>
      </w:pPr>
      <w:r>
        <w:rPr>
          <w:rFonts w:ascii="TimesNewRomanPSMT" w:hAnsi="TimesNewRomanPSMT" w:cs="TimesNewRomanPSMT"/>
          <w:sz w:val="20"/>
          <w:szCs w:val="20"/>
        </w:rPr>
        <w:t>Column 3 – Average Attained Age</w:t>
      </w:r>
    </w:p>
    <w:p w:rsidR="00AF5416" w:rsidRDefault="00AF5416" w:rsidP="00AF5416">
      <w:pPr>
        <w:ind w:left="720"/>
        <w:rPr>
          <w:rFonts w:ascii="TimesNewRomanPSMT" w:hAnsi="TimesNewRomanPSMT" w:cs="TimesNewRomanPSMT"/>
          <w:sz w:val="20"/>
          <w:szCs w:val="20"/>
        </w:rPr>
      </w:pPr>
      <w:r>
        <w:rPr>
          <w:rFonts w:ascii="TimesNewRomanPSMT" w:hAnsi="TimesNewRomanPSMT" w:cs="TimesNewRomanPSMT"/>
          <w:sz w:val="20"/>
          <w:szCs w:val="20"/>
        </w:rPr>
        <w:tab/>
      </w:r>
      <w:proofErr w:type="gramStart"/>
      <w:r>
        <w:rPr>
          <w:rFonts w:ascii="TimesNewRomanPSMT" w:hAnsi="TimesNewRomanPSMT" w:cs="TimesNewRomanPSMT"/>
          <w:sz w:val="20"/>
          <w:szCs w:val="20"/>
        </w:rPr>
        <w:t>Unweighted average of the attained ages of all inforce policyholders in the block.</w:t>
      </w:r>
      <w:proofErr w:type="gramEnd"/>
    </w:p>
    <w:p w:rsidR="002F1008" w:rsidRDefault="002F1008" w:rsidP="002F1008">
      <w:pPr>
        <w:ind w:left="720"/>
      </w:pPr>
      <w:r>
        <w:t>Column 4</w:t>
      </w:r>
      <w:r w:rsidR="00496C34">
        <w:t xml:space="preserve"> – Earned Premium</w:t>
      </w:r>
    </w:p>
    <w:p w:rsidR="002F1008" w:rsidRDefault="002F1008" w:rsidP="002F1008">
      <w:pPr>
        <w:autoSpaceDE w:val="0"/>
        <w:autoSpaceDN w:val="0"/>
        <w:adjustRightInd w:val="0"/>
        <w:spacing w:after="0" w:line="240" w:lineRule="auto"/>
        <w:ind w:left="720" w:firstLine="720"/>
        <w:rPr>
          <w:rFonts w:ascii="TimesNewRomanPSMT" w:hAnsi="TimesNewRomanPSMT" w:cs="TimesNewRomanPSMT"/>
          <w:sz w:val="20"/>
          <w:szCs w:val="20"/>
        </w:rPr>
      </w:pPr>
      <w:r>
        <w:rPr>
          <w:rFonts w:ascii="TimesNewRomanPSMT" w:hAnsi="TimesNewRomanPSMT" w:cs="TimesNewRomanPSMT"/>
          <w:sz w:val="20"/>
          <w:szCs w:val="20"/>
        </w:rPr>
        <w:t>Collected Premiums + Change in Due Premiums – Change in Advanced Premiums – Change in</w:t>
      </w:r>
    </w:p>
    <w:p w:rsidR="002F1008" w:rsidRDefault="002F1008" w:rsidP="002F1008">
      <w:pPr>
        <w:autoSpaceDE w:val="0"/>
        <w:autoSpaceDN w:val="0"/>
        <w:adjustRightInd w:val="0"/>
        <w:spacing w:after="0" w:line="240" w:lineRule="auto"/>
        <w:ind w:left="720" w:firstLine="720"/>
        <w:rPr>
          <w:rFonts w:ascii="TimesNewRomanPSMT" w:hAnsi="TimesNewRomanPSMT" w:cs="TimesNewRomanPSMT"/>
          <w:sz w:val="20"/>
          <w:szCs w:val="20"/>
        </w:rPr>
      </w:pPr>
      <w:proofErr w:type="gramStart"/>
      <w:r>
        <w:rPr>
          <w:rFonts w:ascii="TimesNewRomanPSMT" w:hAnsi="TimesNewRomanPSMT" w:cs="TimesNewRomanPSMT"/>
          <w:sz w:val="20"/>
          <w:szCs w:val="20"/>
        </w:rPr>
        <w:t>Unearned Premium Reserves.</w:t>
      </w:r>
      <w:proofErr w:type="gramEnd"/>
    </w:p>
    <w:p w:rsidR="002F1008" w:rsidRDefault="002F1008" w:rsidP="002F1008">
      <w:pPr>
        <w:autoSpaceDE w:val="0"/>
        <w:autoSpaceDN w:val="0"/>
        <w:adjustRightInd w:val="0"/>
        <w:spacing w:after="0" w:line="240" w:lineRule="auto"/>
        <w:ind w:left="720" w:firstLine="720"/>
        <w:rPr>
          <w:rFonts w:ascii="Times New Roman" w:hAnsi="Times New Roman" w:cs="Times New Roman"/>
          <w:b/>
          <w:bCs/>
          <w:sz w:val="20"/>
          <w:szCs w:val="20"/>
        </w:rPr>
      </w:pPr>
      <w:r>
        <w:rPr>
          <w:rFonts w:ascii="Times New Roman" w:hAnsi="Times New Roman" w:cs="Times New Roman"/>
          <w:b/>
          <w:bCs/>
          <w:sz w:val="20"/>
          <w:szCs w:val="20"/>
        </w:rPr>
        <w:t>Life, Accident &amp; Health, Fraternal and Property/Casualty Only</w:t>
      </w:r>
    </w:p>
    <w:p w:rsidR="002F1008" w:rsidRDefault="002F1008" w:rsidP="002F1008">
      <w:pPr>
        <w:autoSpaceDE w:val="0"/>
        <w:autoSpaceDN w:val="0"/>
        <w:adjustRightInd w:val="0"/>
        <w:spacing w:after="0" w:line="240" w:lineRule="auto"/>
        <w:ind w:left="1440" w:firstLine="720"/>
        <w:rPr>
          <w:rFonts w:ascii="TimesNewRomanPSMT" w:hAnsi="TimesNewRomanPSMT" w:cs="TimesNewRomanPSMT"/>
          <w:sz w:val="20"/>
          <w:szCs w:val="20"/>
        </w:rPr>
      </w:pPr>
      <w:r>
        <w:rPr>
          <w:rFonts w:ascii="TimesNewRomanPSMT" w:hAnsi="TimesNewRomanPSMT" w:cs="TimesNewRomanPSMT"/>
          <w:sz w:val="20"/>
          <w:szCs w:val="20"/>
        </w:rPr>
        <w:t>Total earned premiums should equal direct earned premiums for LTC business from</w:t>
      </w:r>
    </w:p>
    <w:p w:rsidR="002F1008" w:rsidRDefault="002F1008" w:rsidP="002F1008">
      <w:pPr>
        <w:ind w:left="1440" w:firstLine="720"/>
        <w:rPr>
          <w:rFonts w:ascii="TimesNewRomanPSMT" w:hAnsi="TimesNewRomanPSMT" w:cs="TimesNewRomanPSMT"/>
          <w:sz w:val="20"/>
          <w:szCs w:val="20"/>
        </w:rPr>
      </w:pPr>
      <w:r>
        <w:rPr>
          <w:rFonts w:ascii="TimesNewRomanPSMT" w:hAnsi="TimesNewRomanPSMT" w:cs="TimesNewRomanPSMT"/>
          <w:sz w:val="20"/>
          <w:szCs w:val="20"/>
        </w:rPr>
        <w:t>Schedule H, Part 1, Line 2.</w:t>
      </w:r>
    </w:p>
    <w:p w:rsidR="00496C34" w:rsidRDefault="002F1008" w:rsidP="00AF5416">
      <w:pPr>
        <w:ind w:left="720"/>
        <w:rPr>
          <w:rFonts w:ascii="TimesNewRomanPSMT" w:hAnsi="TimesNewRomanPSMT" w:cs="TimesNewRomanPSMT"/>
          <w:sz w:val="20"/>
          <w:szCs w:val="20"/>
        </w:rPr>
      </w:pPr>
      <w:r>
        <w:rPr>
          <w:rFonts w:ascii="TimesNewRomanPSMT" w:hAnsi="TimesNewRomanPSMT" w:cs="TimesNewRomanPSMT"/>
          <w:sz w:val="20"/>
          <w:szCs w:val="20"/>
        </w:rPr>
        <w:tab/>
      </w:r>
    </w:p>
    <w:p w:rsidR="00496C34" w:rsidRDefault="00496C34" w:rsidP="00AF5416">
      <w:pPr>
        <w:ind w:left="720"/>
        <w:rPr>
          <w:rFonts w:ascii="TimesNewRomanPSMT" w:hAnsi="TimesNewRomanPSMT" w:cs="TimesNewRomanPSMT"/>
          <w:sz w:val="20"/>
          <w:szCs w:val="20"/>
        </w:rPr>
      </w:pPr>
    </w:p>
    <w:p w:rsidR="00496C34" w:rsidRDefault="00496C34" w:rsidP="00AF5416">
      <w:pPr>
        <w:ind w:left="720"/>
        <w:rPr>
          <w:rFonts w:ascii="TimesNewRomanPSMT" w:hAnsi="TimesNewRomanPSMT" w:cs="TimesNewRomanPSMT"/>
          <w:sz w:val="20"/>
          <w:szCs w:val="20"/>
        </w:rPr>
      </w:pPr>
    </w:p>
    <w:p w:rsidR="00496C34" w:rsidRDefault="00496C34" w:rsidP="00AF5416">
      <w:pPr>
        <w:ind w:left="720"/>
        <w:rPr>
          <w:rFonts w:ascii="TimesNewRomanPSMT" w:hAnsi="TimesNewRomanPSMT" w:cs="TimesNewRomanPSMT"/>
          <w:sz w:val="20"/>
          <w:szCs w:val="20"/>
        </w:rPr>
      </w:pPr>
    </w:p>
    <w:p w:rsidR="00AF5416" w:rsidRDefault="00AF5416" w:rsidP="001277E4">
      <w:pPr>
        <w:rPr>
          <w:rFonts w:ascii="TimesNewRomanPSMT" w:hAnsi="TimesNewRomanPSMT" w:cs="TimesNewRomanPSMT"/>
          <w:sz w:val="20"/>
          <w:szCs w:val="20"/>
        </w:rPr>
      </w:pPr>
      <w:r>
        <w:rPr>
          <w:rFonts w:ascii="TimesNewRomanPSMT" w:hAnsi="TimesNewRomanPSMT" w:cs="TimesNewRomanPSMT"/>
          <w:sz w:val="20"/>
          <w:szCs w:val="20"/>
        </w:rPr>
        <w:t xml:space="preserve">Column </w:t>
      </w:r>
      <w:r w:rsidR="002F1008">
        <w:rPr>
          <w:rFonts w:ascii="TimesNewRomanPSMT" w:hAnsi="TimesNewRomanPSMT" w:cs="TimesNewRomanPSMT"/>
          <w:sz w:val="20"/>
          <w:szCs w:val="20"/>
        </w:rPr>
        <w:t>5</w:t>
      </w:r>
      <w:r>
        <w:rPr>
          <w:rFonts w:ascii="TimesNewRomanPSMT" w:hAnsi="TimesNewRomanPSMT" w:cs="TimesNewRomanPSMT"/>
          <w:sz w:val="20"/>
          <w:szCs w:val="20"/>
        </w:rPr>
        <w:t xml:space="preserve"> – Incurred Claims</w:t>
      </w:r>
    </w:p>
    <w:p w:rsidR="00AF5416" w:rsidRDefault="00AF5416" w:rsidP="001277E4">
      <w:pPr>
        <w:autoSpaceDE w:val="0"/>
        <w:autoSpaceDN w:val="0"/>
        <w:adjustRightInd w:val="0"/>
        <w:spacing w:after="0" w:line="240" w:lineRule="auto"/>
        <w:ind w:left="1440"/>
        <w:rPr>
          <w:rFonts w:ascii="TimesNewRomanPSMT" w:hAnsi="TimesNewRomanPSMT" w:cs="TimesNewRomanPSMT"/>
          <w:sz w:val="20"/>
          <w:szCs w:val="20"/>
        </w:rPr>
      </w:pPr>
      <w:r>
        <w:rPr>
          <w:rFonts w:ascii="TimesNewRomanPSMT" w:hAnsi="TimesNewRomanPSMT" w:cs="TimesNewRomanPSMT"/>
          <w:sz w:val="20"/>
          <w:szCs w:val="20"/>
        </w:rPr>
        <w:t>Developed claims incurred during the calendar year.  Equal to the present value of all claim payments and any claim reserves.   The discount rate is the statutory valuation interest rate for case reserves</w:t>
      </w:r>
    </w:p>
    <w:p w:rsidR="00AF5416" w:rsidRDefault="00AF5416" w:rsidP="00AF5416">
      <w:pPr>
        <w:autoSpaceDE w:val="0"/>
        <w:autoSpaceDN w:val="0"/>
        <w:adjustRightInd w:val="0"/>
        <w:spacing w:after="0" w:line="240" w:lineRule="auto"/>
        <w:ind w:left="720"/>
        <w:rPr>
          <w:rFonts w:ascii="TimesNewRomanPSMT" w:hAnsi="TimesNewRomanPSMT" w:cs="TimesNewRomanPSMT"/>
          <w:sz w:val="20"/>
          <w:szCs w:val="20"/>
        </w:rPr>
      </w:pPr>
    </w:p>
    <w:p w:rsidR="00AF5416" w:rsidRDefault="00AF5416" w:rsidP="00AF5416">
      <w:pPr>
        <w:autoSpaceDE w:val="0"/>
        <w:autoSpaceDN w:val="0"/>
        <w:adjustRightInd w:val="0"/>
        <w:spacing w:after="0" w:line="240" w:lineRule="auto"/>
        <w:ind w:left="720" w:firstLine="720"/>
        <w:rPr>
          <w:rFonts w:ascii="TimesNewRomanPSMT" w:eastAsia="SymbolMT" w:hAnsi="TimesNewRomanPSMT" w:cs="TimesNewRomanPSMT"/>
          <w:sz w:val="20"/>
          <w:szCs w:val="20"/>
        </w:rPr>
      </w:pPr>
      <w:r>
        <w:rPr>
          <w:rFonts w:ascii="SymbolMT" w:eastAsia="SymbolMT" w:cs="SymbolMT" w:hint="eastAsia"/>
          <w:sz w:val="20"/>
          <w:szCs w:val="20"/>
        </w:rPr>
        <w:t></w:t>
      </w:r>
      <w:r>
        <w:rPr>
          <w:rFonts w:ascii="SymbolMT" w:eastAsia="SymbolMT" w:cs="SymbolMT"/>
          <w:sz w:val="20"/>
          <w:szCs w:val="20"/>
        </w:rPr>
        <w:t xml:space="preserve"> </w:t>
      </w:r>
      <w:r>
        <w:rPr>
          <w:rFonts w:ascii="TimesNewRomanPSMT" w:eastAsia="SymbolMT" w:hAnsi="TimesNewRomanPSMT" w:cs="TimesNewRomanPSMT"/>
          <w:sz w:val="20"/>
          <w:szCs w:val="20"/>
        </w:rPr>
        <w:t xml:space="preserve">Paid claims in the year of </w:t>
      </w:r>
      <w:proofErr w:type="spellStart"/>
      <w:r>
        <w:rPr>
          <w:rFonts w:ascii="TimesNewRomanPSMT" w:eastAsia="SymbolMT" w:hAnsi="TimesNewRomanPSMT" w:cs="TimesNewRomanPSMT"/>
          <w:sz w:val="20"/>
          <w:szCs w:val="20"/>
        </w:rPr>
        <w:t>incurral</w:t>
      </w:r>
      <w:proofErr w:type="spellEnd"/>
      <w:r>
        <w:rPr>
          <w:rFonts w:ascii="TimesNewRomanPSMT" w:eastAsia="SymbolMT" w:hAnsi="TimesNewRomanPSMT" w:cs="TimesNewRomanPSMT"/>
          <w:sz w:val="20"/>
          <w:szCs w:val="20"/>
        </w:rPr>
        <w:t xml:space="preserve"> are discounted one-quarter year.</w:t>
      </w:r>
    </w:p>
    <w:p w:rsidR="00AF5416" w:rsidRDefault="00AF5416" w:rsidP="00AF5416">
      <w:pPr>
        <w:autoSpaceDE w:val="0"/>
        <w:autoSpaceDN w:val="0"/>
        <w:adjustRightInd w:val="0"/>
        <w:spacing w:after="0" w:line="240" w:lineRule="auto"/>
        <w:ind w:left="1710" w:hanging="270"/>
        <w:rPr>
          <w:rFonts w:ascii="TimesNewRomanPSMT" w:eastAsia="SymbolMT" w:hAnsi="TimesNewRomanPSMT" w:cs="TimesNewRomanPSMT"/>
          <w:sz w:val="20"/>
          <w:szCs w:val="20"/>
        </w:rPr>
      </w:pPr>
      <w:r>
        <w:rPr>
          <w:rFonts w:ascii="SymbolMT" w:eastAsia="SymbolMT" w:cs="SymbolMT" w:hint="eastAsia"/>
          <w:sz w:val="20"/>
          <w:szCs w:val="20"/>
        </w:rPr>
        <w:t></w:t>
      </w:r>
      <w:r>
        <w:rPr>
          <w:rFonts w:ascii="SymbolMT" w:eastAsia="SymbolMT" w:cs="SymbolMT"/>
          <w:sz w:val="20"/>
          <w:szCs w:val="20"/>
        </w:rPr>
        <w:t xml:space="preserve"> </w:t>
      </w:r>
      <w:r>
        <w:rPr>
          <w:rFonts w:ascii="TimesNewRomanPSMT" w:eastAsia="SymbolMT" w:hAnsi="TimesNewRomanPSMT" w:cs="TimesNewRomanPSMT"/>
          <w:sz w:val="20"/>
          <w:szCs w:val="20"/>
        </w:rPr>
        <w:t xml:space="preserve">Paid claims subsequent to the year of </w:t>
      </w:r>
      <w:proofErr w:type="spellStart"/>
      <w:r>
        <w:rPr>
          <w:rFonts w:ascii="TimesNewRomanPSMT" w:eastAsia="SymbolMT" w:hAnsi="TimesNewRomanPSMT" w:cs="TimesNewRomanPSMT"/>
          <w:sz w:val="20"/>
          <w:szCs w:val="20"/>
        </w:rPr>
        <w:t>incurral</w:t>
      </w:r>
      <w:proofErr w:type="spellEnd"/>
      <w:r>
        <w:rPr>
          <w:rFonts w:ascii="TimesNewRomanPSMT" w:eastAsia="SymbolMT" w:hAnsi="TimesNewRomanPSMT" w:cs="TimesNewRomanPSMT"/>
          <w:sz w:val="20"/>
          <w:szCs w:val="20"/>
        </w:rPr>
        <w:t xml:space="preserve"> are assumed to be paid mid-year and discounted back to the midpoint of the incurred year.</w:t>
      </w:r>
    </w:p>
    <w:p w:rsidR="00AF5416" w:rsidRDefault="00AF5416" w:rsidP="00AF5416">
      <w:pPr>
        <w:autoSpaceDE w:val="0"/>
        <w:autoSpaceDN w:val="0"/>
        <w:adjustRightInd w:val="0"/>
        <w:spacing w:after="0" w:line="240" w:lineRule="auto"/>
        <w:ind w:left="1710" w:hanging="270"/>
        <w:rPr>
          <w:rFonts w:ascii="TimesNewRomanPSMT" w:eastAsia="SymbolMT" w:hAnsi="TimesNewRomanPSMT" w:cs="TimesNewRomanPSMT"/>
          <w:sz w:val="20"/>
          <w:szCs w:val="20"/>
        </w:rPr>
      </w:pPr>
      <w:r>
        <w:rPr>
          <w:rFonts w:ascii="SymbolMT" w:eastAsia="SymbolMT" w:cs="SymbolMT" w:hint="eastAsia"/>
          <w:sz w:val="20"/>
          <w:szCs w:val="20"/>
        </w:rPr>
        <w:t></w:t>
      </w:r>
      <w:r>
        <w:rPr>
          <w:rFonts w:ascii="SymbolMT" w:eastAsia="SymbolMT" w:cs="SymbolMT"/>
          <w:sz w:val="20"/>
          <w:szCs w:val="20"/>
        </w:rPr>
        <w:t xml:space="preserve"> </w:t>
      </w:r>
      <w:r w:rsidR="00F7566C">
        <w:rPr>
          <w:rFonts w:ascii="TimesNewRomanPSMT" w:eastAsia="SymbolMT" w:hAnsi="TimesNewRomanPSMT" w:cs="TimesNewRomanPSMT"/>
          <w:sz w:val="20"/>
          <w:szCs w:val="20"/>
        </w:rPr>
        <w:t>C</w:t>
      </w:r>
      <w:r>
        <w:rPr>
          <w:rFonts w:ascii="TimesNewRomanPSMT" w:eastAsia="SymbolMT" w:hAnsi="TimesNewRomanPSMT" w:cs="TimesNewRomanPSMT"/>
          <w:sz w:val="20"/>
          <w:szCs w:val="20"/>
        </w:rPr>
        <w:t>laim reserves for a given incurred year are discounted from the valuation date to the midpoint of the incurred year.</w:t>
      </w:r>
    </w:p>
    <w:p w:rsidR="00AF5416" w:rsidRPr="00A915BC" w:rsidRDefault="00AF5416" w:rsidP="00AF5416">
      <w:pPr>
        <w:autoSpaceDE w:val="0"/>
        <w:autoSpaceDN w:val="0"/>
        <w:adjustRightInd w:val="0"/>
        <w:spacing w:after="0" w:line="240" w:lineRule="auto"/>
        <w:ind w:left="1710" w:hanging="270"/>
        <w:rPr>
          <w:rFonts w:ascii="TimesNewRomanPSMT" w:eastAsia="SymbolMT" w:hAnsi="TimesNewRomanPSMT" w:cs="TimesNewRomanPSMT"/>
          <w:sz w:val="20"/>
          <w:szCs w:val="20"/>
        </w:rPr>
      </w:pPr>
      <w:r>
        <w:rPr>
          <w:rFonts w:ascii="SymbolMT" w:eastAsia="SymbolMT" w:cs="SymbolMT" w:hint="eastAsia"/>
          <w:sz w:val="20"/>
          <w:szCs w:val="20"/>
        </w:rPr>
        <w:t></w:t>
      </w:r>
      <w:r>
        <w:rPr>
          <w:rFonts w:ascii="SymbolMT" w:eastAsia="SymbolMT" w:cs="SymbolMT"/>
          <w:sz w:val="20"/>
          <w:szCs w:val="20"/>
        </w:rPr>
        <w:t xml:space="preserve"> </w:t>
      </w:r>
      <w:r>
        <w:rPr>
          <w:rFonts w:ascii="TimesNewRomanPSMT" w:eastAsia="SymbolMT" w:hAnsi="TimesNewRomanPSMT" w:cs="TimesNewRomanPSMT"/>
          <w:sz w:val="20"/>
          <w:szCs w:val="20"/>
        </w:rPr>
        <w:t>Negative results are possible for acquired business only. Negative results indicate downward development of ultimate claims.</w:t>
      </w:r>
    </w:p>
    <w:p w:rsidR="00AF5416" w:rsidRDefault="00AF5416" w:rsidP="00AF5416">
      <w:pPr>
        <w:autoSpaceDE w:val="0"/>
        <w:autoSpaceDN w:val="0"/>
        <w:adjustRightInd w:val="0"/>
        <w:spacing w:after="0" w:line="240" w:lineRule="auto"/>
        <w:ind w:left="720"/>
        <w:rPr>
          <w:rFonts w:ascii="TimesNewRomanPSMT" w:hAnsi="TimesNewRomanPSMT" w:cs="TimesNewRomanPSMT"/>
          <w:sz w:val="20"/>
          <w:szCs w:val="20"/>
        </w:rPr>
      </w:pPr>
    </w:p>
    <w:p w:rsidR="00AF5416" w:rsidRDefault="00AF5416" w:rsidP="00AF5416">
      <w:pPr>
        <w:autoSpaceDE w:val="0"/>
        <w:autoSpaceDN w:val="0"/>
        <w:adjustRightInd w:val="0"/>
        <w:spacing w:after="0" w:line="240" w:lineRule="auto"/>
        <w:ind w:left="720"/>
        <w:rPr>
          <w:rFonts w:ascii="TimesNewRomanPSMT" w:hAnsi="TimesNewRomanPSMT" w:cs="TimesNewRomanPSMT"/>
          <w:sz w:val="20"/>
          <w:szCs w:val="20"/>
        </w:rPr>
      </w:pPr>
      <w:r>
        <w:rPr>
          <w:rFonts w:ascii="TimesNewRomanPSMT" w:hAnsi="TimesNewRomanPSMT" w:cs="TimesNewRomanPSMT"/>
          <w:sz w:val="20"/>
          <w:szCs w:val="20"/>
        </w:rPr>
        <w:t xml:space="preserve">Column </w:t>
      </w:r>
      <w:r w:rsidR="002F1008">
        <w:rPr>
          <w:rFonts w:ascii="TimesNewRomanPSMT" w:hAnsi="TimesNewRomanPSMT" w:cs="TimesNewRomanPSMT"/>
          <w:sz w:val="20"/>
          <w:szCs w:val="20"/>
        </w:rPr>
        <w:t>6</w:t>
      </w:r>
      <w:r>
        <w:rPr>
          <w:rFonts w:ascii="TimesNewRomanPSMT" w:hAnsi="TimesNewRomanPSMT" w:cs="TimesNewRomanPSMT"/>
          <w:sz w:val="20"/>
          <w:szCs w:val="20"/>
        </w:rPr>
        <w:t xml:space="preserve"> – </w:t>
      </w:r>
      <w:r w:rsidR="00496C34">
        <w:rPr>
          <w:rFonts w:ascii="TimesNewRomanPSMT" w:hAnsi="TimesNewRomanPSMT" w:cs="TimesNewRomanPSMT"/>
          <w:sz w:val="20"/>
          <w:szCs w:val="20"/>
        </w:rPr>
        <w:t>Lives In-force Year End</w:t>
      </w:r>
    </w:p>
    <w:p w:rsidR="00AF5416" w:rsidRDefault="00AF5416" w:rsidP="00AF5416">
      <w:pPr>
        <w:autoSpaceDE w:val="0"/>
        <w:autoSpaceDN w:val="0"/>
        <w:adjustRightInd w:val="0"/>
        <w:spacing w:after="0" w:line="240" w:lineRule="auto"/>
        <w:ind w:left="720"/>
        <w:rPr>
          <w:rFonts w:ascii="TimesNewRomanPSMT" w:hAnsi="TimesNewRomanPSMT" w:cs="TimesNewRomanPSMT"/>
          <w:sz w:val="20"/>
          <w:szCs w:val="20"/>
        </w:rPr>
      </w:pPr>
    </w:p>
    <w:p w:rsidR="00AF5416" w:rsidRDefault="00AF5416" w:rsidP="00AF5416">
      <w:pPr>
        <w:ind w:left="720"/>
        <w:rPr>
          <w:rFonts w:ascii="TimesNewRomanPSMT" w:hAnsi="TimesNewRomanPSMT" w:cs="TimesNewRomanPSMT"/>
          <w:sz w:val="20"/>
          <w:szCs w:val="20"/>
        </w:rPr>
      </w:pPr>
      <w:r>
        <w:rPr>
          <w:rFonts w:ascii="TimesNewRomanPSMT" w:hAnsi="TimesNewRomanPSMT" w:cs="TimesNewRomanPSMT"/>
          <w:sz w:val="20"/>
          <w:szCs w:val="20"/>
        </w:rPr>
        <w:tab/>
      </w:r>
      <w:proofErr w:type="gramStart"/>
      <w:r>
        <w:rPr>
          <w:rFonts w:ascii="TimesNewRomanPSMT" w:hAnsi="TimesNewRomanPSMT" w:cs="TimesNewRomanPSMT"/>
          <w:sz w:val="20"/>
          <w:szCs w:val="20"/>
        </w:rPr>
        <w:t>Total number of lives in force at the end of the year.</w:t>
      </w:r>
      <w:proofErr w:type="gramEnd"/>
      <w:r>
        <w:rPr>
          <w:rFonts w:ascii="TimesNewRomanPSMT" w:hAnsi="TimesNewRomanPSMT" w:cs="TimesNewRomanPSMT"/>
          <w:sz w:val="20"/>
          <w:szCs w:val="20"/>
        </w:rPr>
        <w:t xml:space="preserve">  Joint policies are to be counted as two lives.</w:t>
      </w:r>
    </w:p>
    <w:p w:rsidR="00AF5416" w:rsidRDefault="00AF5416" w:rsidP="00AF5416">
      <w:pPr>
        <w:autoSpaceDE w:val="0"/>
        <w:autoSpaceDN w:val="0"/>
        <w:adjustRightInd w:val="0"/>
        <w:spacing w:after="0" w:line="240" w:lineRule="auto"/>
        <w:ind w:left="720"/>
        <w:rPr>
          <w:rFonts w:ascii="TimesNewRomanPSMT" w:hAnsi="TimesNewRomanPSMT" w:cs="TimesNewRomanPSMT"/>
          <w:sz w:val="20"/>
          <w:szCs w:val="20"/>
        </w:rPr>
      </w:pPr>
      <w:r>
        <w:rPr>
          <w:rFonts w:ascii="TimesNewRomanPSMT" w:hAnsi="TimesNewRomanPSMT" w:cs="TimesNewRomanPSMT"/>
          <w:sz w:val="20"/>
          <w:szCs w:val="20"/>
        </w:rPr>
        <w:t xml:space="preserve">Column </w:t>
      </w:r>
      <w:r w:rsidR="002F1008">
        <w:rPr>
          <w:rFonts w:ascii="TimesNewRomanPSMT" w:hAnsi="TimesNewRomanPSMT" w:cs="TimesNewRomanPSMT"/>
          <w:sz w:val="20"/>
          <w:szCs w:val="20"/>
        </w:rPr>
        <w:t>7</w:t>
      </w:r>
      <w:r>
        <w:rPr>
          <w:rFonts w:ascii="TimesNewRomanPSMT" w:hAnsi="TimesNewRomanPSMT" w:cs="TimesNewRomanPSMT"/>
          <w:sz w:val="20"/>
          <w:szCs w:val="20"/>
        </w:rPr>
        <w:t xml:space="preserve"> – Terminations</w:t>
      </w:r>
    </w:p>
    <w:p w:rsidR="00AF5416" w:rsidRDefault="00AF5416" w:rsidP="00AF5416">
      <w:pPr>
        <w:autoSpaceDE w:val="0"/>
        <w:autoSpaceDN w:val="0"/>
        <w:adjustRightInd w:val="0"/>
        <w:spacing w:after="0" w:line="240" w:lineRule="auto"/>
        <w:ind w:left="720"/>
        <w:rPr>
          <w:rFonts w:ascii="TimesNewRomanPSMT" w:hAnsi="TimesNewRomanPSMT" w:cs="TimesNewRomanPSMT"/>
          <w:sz w:val="20"/>
          <w:szCs w:val="20"/>
        </w:rPr>
      </w:pPr>
    </w:p>
    <w:p w:rsidR="00AF5416" w:rsidRDefault="00AF5416" w:rsidP="00AF5416">
      <w:pPr>
        <w:autoSpaceDE w:val="0"/>
        <w:autoSpaceDN w:val="0"/>
        <w:adjustRightInd w:val="0"/>
        <w:spacing w:after="0" w:line="240" w:lineRule="auto"/>
        <w:ind w:left="720"/>
        <w:rPr>
          <w:rFonts w:ascii="TimesNewRomanPSMT" w:hAnsi="TimesNewRomanPSMT" w:cs="TimesNewRomanPSMT"/>
          <w:sz w:val="20"/>
          <w:szCs w:val="20"/>
        </w:rPr>
      </w:pPr>
      <w:r>
        <w:rPr>
          <w:rFonts w:ascii="TimesNewRomanPSMT" w:hAnsi="TimesNewRomanPSMT" w:cs="TimesNewRomanPSMT"/>
          <w:sz w:val="20"/>
          <w:szCs w:val="20"/>
        </w:rPr>
        <w:tab/>
      </w:r>
      <w:proofErr w:type="gramStart"/>
      <w:r>
        <w:rPr>
          <w:rFonts w:ascii="TimesNewRomanPSMT" w:hAnsi="TimesNewRomanPSMT" w:cs="TimesNewRomanPSMT"/>
          <w:sz w:val="20"/>
          <w:szCs w:val="20"/>
        </w:rPr>
        <w:t>Total number of policyholders whose coverage ended during the year for any reason including death, lapse, or benefit exhaustion.</w:t>
      </w:r>
      <w:proofErr w:type="gramEnd"/>
    </w:p>
    <w:p w:rsidR="00AF5416" w:rsidRDefault="00AF5416" w:rsidP="00AF5416">
      <w:pPr>
        <w:ind w:left="720"/>
        <w:rPr>
          <w:rFonts w:ascii="TimesNewRomanPSMT" w:hAnsi="TimesNewRomanPSMT" w:cs="TimesNewRomanPSMT"/>
          <w:sz w:val="20"/>
          <w:szCs w:val="20"/>
        </w:rPr>
      </w:pPr>
    </w:p>
    <w:p w:rsidR="00AF5416" w:rsidRDefault="00AF5416" w:rsidP="00AF5416">
      <w:pPr>
        <w:ind w:left="720"/>
        <w:rPr>
          <w:rFonts w:ascii="TimesNewRomanPSMT" w:hAnsi="TimesNewRomanPSMT" w:cs="TimesNewRomanPSMT"/>
          <w:sz w:val="20"/>
          <w:szCs w:val="20"/>
        </w:rPr>
      </w:pPr>
      <w:r>
        <w:rPr>
          <w:rFonts w:ascii="TimesNewRomanPSMT" w:hAnsi="TimesNewRomanPSMT" w:cs="TimesNewRomanPSMT"/>
          <w:sz w:val="20"/>
          <w:szCs w:val="20"/>
        </w:rPr>
        <w:t xml:space="preserve">Column </w:t>
      </w:r>
      <w:r w:rsidR="002F1008">
        <w:rPr>
          <w:rFonts w:ascii="TimesNewRomanPSMT" w:hAnsi="TimesNewRomanPSMT" w:cs="TimesNewRomanPSMT"/>
          <w:sz w:val="20"/>
          <w:szCs w:val="20"/>
        </w:rPr>
        <w:t>8</w:t>
      </w:r>
      <w:r>
        <w:rPr>
          <w:rFonts w:ascii="TimesNewRomanPSMT" w:hAnsi="TimesNewRomanPSMT" w:cs="TimesNewRomanPSMT"/>
          <w:sz w:val="20"/>
          <w:szCs w:val="20"/>
        </w:rPr>
        <w:t xml:space="preserve"> – New </w:t>
      </w:r>
      <w:r w:rsidR="00F1171D">
        <w:rPr>
          <w:rFonts w:ascii="TimesNewRomanPSMT" w:hAnsi="TimesNewRomanPSMT" w:cs="TimesNewRomanPSMT"/>
          <w:sz w:val="20"/>
          <w:szCs w:val="20"/>
        </w:rPr>
        <w:t>Lives Insured</w:t>
      </w:r>
    </w:p>
    <w:p w:rsidR="00AF5416" w:rsidRDefault="00AF5416" w:rsidP="00AF5416">
      <w:pPr>
        <w:ind w:left="720"/>
        <w:rPr>
          <w:rFonts w:ascii="TimesNewRomanPSMT" w:hAnsi="TimesNewRomanPSMT" w:cs="TimesNewRomanPSMT"/>
          <w:sz w:val="20"/>
          <w:szCs w:val="20"/>
        </w:rPr>
      </w:pPr>
      <w:r>
        <w:rPr>
          <w:rFonts w:ascii="TimesNewRomanPSMT" w:hAnsi="TimesNewRomanPSMT" w:cs="TimesNewRomanPSMT"/>
          <w:sz w:val="20"/>
          <w:szCs w:val="20"/>
        </w:rPr>
        <w:tab/>
        <w:t xml:space="preserve">Total number of new </w:t>
      </w:r>
      <w:r w:rsidR="002F1008">
        <w:rPr>
          <w:rFonts w:ascii="TimesNewRomanPSMT" w:hAnsi="TimesNewRomanPSMT" w:cs="TimesNewRomanPSMT"/>
          <w:sz w:val="20"/>
          <w:szCs w:val="20"/>
        </w:rPr>
        <w:t xml:space="preserve">lives </w:t>
      </w:r>
      <w:r>
        <w:rPr>
          <w:rFonts w:ascii="TimesNewRomanPSMT" w:hAnsi="TimesNewRomanPSMT" w:cs="TimesNewRomanPSMT"/>
          <w:sz w:val="20"/>
          <w:szCs w:val="20"/>
        </w:rPr>
        <w:t>issued</w:t>
      </w:r>
      <w:r w:rsidR="002F1008">
        <w:rPr>
          <w:rFonts w:ascii="TimesNewRomanPSMT" w:hAnsi="TimesNewRomanPSMT" w:cs="TimesNewRomanPSMT"/>
          <w:sz w:val="20"/>
          <w:szCs w:val="20"/>
        </w:rPr>
        <w:t xml:space="preserve"> LTC policies</w:t>
      </w:r>
      <w:r>
        <w:rPr>
          <w:rFonts w:ascii="TimesNewRomanPSMT" w:hAnsi="TimesNewRomanPSMT" w:cs="TimesNewRomanPSMT"/>
          <w:sz w:val="20"/>
          <w:szCs w:val="20"/>
        </w:rPr>
        <w:t xml:space="preserve"> during the year.</w:t>
      </w:r>
    </w:p>
    <w:p w:rsidR="00AF5416" w:rsidRDefault="00AF5416" w:rsidP="00AF5416">
      <w:pPr>
        <w:ind w:left="720"/>
        <w:rPr>
          <w:rFonts w:ascii="TimesNewRomanPSMT" w:hAnsi="TimesNewRomanPSMT" w:cs="TimesNewRomanPSMT"/>
          <w:sz w:val="20"/>
          <w:szCs w:val="20"/>
        </w:rPr>
      </w:pPr>
    </w:p>
    <w:p w:rsidR="00AF5416" w:rsidRDefault="00AF5416" w:rsidP="00AF5416">
      <w:pPr>
        <w:ind w:left="720"/>
        <w:rPr>
          <w:rFonts w:ascii="TimesNewRomanPSMT" w:hAnsi="TimesNewRomanPSMT" w:cs="TimesNewRomanPSMT"/>
          <w:b/>
          <w:sz w:val="20"/>
          <w:szCs w:val="20"/>
        </w:rPr>
      </w:pPr>
    </w:p>
    <w:p w:rsidR="00AF5416" w:rsidRDefault="00AF5416" w:rsidP="00AF5416">
      <w:pPr>
        <w:ind w:left="720"/>
        <w:rPr>
          <w:rFonts w:ascii="TimesNewRomanPSMT" w:hAnsi="TimesNewRomanPSMT" w:cs="TimesNewRomanPSMT"/>
          <w:b/>
          <w:sz w:val="20"/>
          <w:szCs w:val="20"/>
        </w:rPr>
      </w:pPr>
    </w:p>
    <w:p w:rsidR="00AF5416" w:rsidRDefault="00AF5416" w:rsidP="00AF5416">
      <w:pPr>
        <w:ind w:left="720"/>
        <w:rPr>
          <w:rFonts w:ascii="TimesNewRomanPSMT" w:hAnsi="TimesNewRomanPSMT" w:cs="TimesNewRomanPSMT"/>
          <w:b/>
          <w:sz w:val="20"/>
          <w:szCs w:val="20"/>
        </w:rPr>
      </w:pPr>
    </w:p>
    <w:p w:rsidR="00AF5416" w:rsidRDefault="00AF5416" w:rsidP="00AF5416">
      <w:pPr>
        <w:ind w:left="720"/>
        <w:rPr>
          <w:rFonts w:ascii="TimesNewRomanPSMT" w:hAnsi="TimesNewRomanPSMT" w:cs="TimesNewRomanPSMT"/>
          <w:b/>
          <w:sz w:val="20"/>
          <w:szCs w:val="20"/>
        </w:rPr>
      </w:pPr>
    </w:p>
    <w:p w:rsidR="00AF5416" w:rsidRDefault="00AF5416" w:rsidP="00AF5416">
      <w:pPr>
        <w:ind w:left="720"/>
        <w:rPr>
          <w:rFonts w:ascii="TimesNewRomanPSMT" w:hAnsi="TimesNewRomanPSMT" w:cs="TimesNewRomanPSMT"/>
          <w:b/>
          <w:sz w:val="20"/>
          <w:szCs w:val="20"/>
        </w:rPr>
      </w:pPr>
    </w:p>
    <w:p w:rsidR="00AF5416" w:rsidRDefault="00AF5416" w:rsidP="00AF5416">
      <w:pPr>
        <w:ind w:left="720"/>
        <w:rPr>
          <w:rFonts w:ascii="TimesNewRomanPSMT" w:hAnsi="TimesNewRomanPSMT" w:cs="TimesNewRomanPSMT"/>
          <w:b/>
          <w:sz w:val="20"/>
          <w:szCs w:val="20"/>
        </w:rPr>
      </w:pPr>
    </w:p>
    <w:p w:rsidR="00AF5416" w:rsidRDefault="00AF5416" w:rsidP="00AF5416">
      <w:pPr>
        <w:ind w:left="720"/>
        <w:rPr>
          <w:rFonts w:ascii="TimesNewRomanPSMT" w:hAnsi="TimesNewRomanPSMT" w:cs="TimesNewRomanPSMT"/>
          <w:b/>
          <w:sz w:val="20"/>
          <w:szCs w:val="20"/>
        </w:rPr>
      </w:pPr>
    </w:p>
    <w:p w:rsidR="00AF5416" w:rsidRDefault="00AF5416" w:rsidP="00AF5416">
      <w:pPr>
        <w:ind w:left="720"/>
        <w:rPr>
          <w:rFonts w:ascii="TimesNewRomanPSMT" w:hAnsi="TimesNewRomanPSMT" w:cs="TimesNewRomanPSMT"/>
          <w:b/>
          <w:sz w:val="20"/>
          <w:szCs w:val="20"/>
        </w:rPr>
      </w:pPr>
    </w:p>
    <w:p w:rsidR="00AF5416" w:rsidRDefault="00AF5416" w:rsidP="00AF5416">
      <w:pPr>
        <w:ind w:left="720"/>
        <w:rPr>
          <w:rFonts w:ascii="TimesNewRomanPSMT" w:hAnsi="TimesNewRomanPSMT" w:cs="TimesNewRomanPSMT"/>
          <w:b/>
          <w:sz w:val="20"/>
          <w:szCs w:val="20"/>
        </w:rPr>
      </w:pPr>
    </w:p>
    <w:p w:rsidR="00AF5416" w:rsidRDefault="00AF5416" w:rsidP="00AF5416">
      <w:pPr>
        <w:ind w:left="720"/>
        <w:rPr>
          <w:rFonts w:ascii="TimesNewRomanPSMT" w:hAnsi="TimesNewRomanPSMT" w:cs="TimesNewRomanPSMT"/>
          <w:b/>
          <w:sz w:val="20"/>
          <w:szCs w:val="20"/>
        </w:rPr>
      </w:pPr>
    </w:p>
    <w:p w:rsidR="00AF5416" w:rsidRDefault="00AF5416" w:rsidP="00AF5416">
      <w:pPr>
        <w:ind w:left="720"/>
        <w:rPr>
          <w:rFonts w:ascii="TimesNewRomanPSMT" w:hAnsi="TimesNewRomanPSMT" w:cs="TimesNewRomanPSMT"/>
          <w:b/>
          <w:sz w:val="20"/>
          <w:szCs w:val="20"/>
        </w:rPr>
      </w:pPr>
    </w:p>
    <w:p w:rsidR="00AF5416" w:rsidRDefault="00AF5416" w:rsidP="001277E4">
      <w:pPr>
        <w:rPr>
          <w:rFonts w:ascii="TimesNewRomanPSMT" w:hAnsi="TimesNewRomanPSMT" w:cs="TimesNewRomanPSMT"/>
          <w:b/>
          <w:sz w:val="20"/>
          <w:szCs w:val="20"/>
        </w:rPr>
      </w:pPr>
      <w:r>
        <w:rPr>
          <w:rFonts w:ascii="TimesNewRomanPSMT" w:hAnsi="TimesNewRomanPSMT" w:cs="TimesNewRomanPSMT"/>
          <w:b/>
          <w:sz w:val="20"/>
          <w:szCs w:val="20"/>
        </w:rPr>
        <w:lastRenderedPageBreak/>
        <w:t>Form 4</w:t>
      </w:r>
    </w:p>
    <w:p w:rsidR="00AF5416" w:rsidRDefault="00AF5416" w:rsidP="00AF5416">
      <w:pPr>
        <w:ind w:left="720"/>
      </w:pPr>
      <w:r>
        <w:t>Definitions and Formulas</w:t>
      </w:r>
    </w:p>
    <w:p w:rsidR="00AF5416" w:rsidRDefault="00AF5416" w:rsidP="00AF5416">
      <w:pPr>
        <w:autoSpaceDE w:val="0"/>
        <w:autoSpaceDN w:val="0"/>
        <w:adjustRightInd w:val="0"/>
        <w:spacing w:after="0" w:line="240" w:lineRule="auto"/>
        <w:ind w:left="720"/>
        <w:rPr>
          <w:rFonts w:ascii="Times New Roman" w:hAnsi="Times New Roman" w:cs="Times New Roman"/>
          <w:b/>
          <w:bCs/>
          <w:sz w:val="20"/>
          <w:szCs w:val="20"/>
        </w:rPr>
      </w:pPr>
      <w:r>
        <w:rPr>
          <w:rFonts w:ascii="Times New Roman" w:hAnsi="Times New Roman" w:cs="Times New Roman"/>
          <w:b/>
          <w:bCs/>
          <w:sz w:val="20"/>
          <w:szCs w:val="20"/>
        </w:rPr>
        <w:t>Current</w:t>
      </w:r>
    </w:p>
    <w:p w:rsidR="00AF5416" w:rsidRDefault="00AF5416" w:rsidP="00AF5416">
      <w:pPr>
        <w:autoSpaceDE w:val="0"/>
        <w:autoSpaceDN w:val="0"/>
        <w:adjustRightInd w:val="0"/>
        <w:spacing w:after="0" w:line="240" w:lineRule="auto"/>
        <w:ind w:left="720" w:firstLine="720"/>
        <w:rPr>
          <w:rFonts w:ascii="TimesNewRomanPSMT" w:hAnsi="TimesNewRomanPSMT" w:cs="TimesNewRomanPSMT"/>
          <w:sz w:val="20"/>
          <w:szCs w:val="20"/>
        </w:rPr>
      </w:pPr>
      <w:proofErr w:type="gramStart"/>
      <w:r>
        <w:rPr>
          <w:rFonts w:ascii="TimesNewRomanPSMT" w:hAnsi="TimesNewRomanPSMT" w:cs="TimesNewRomanPSMT"/>
          <w:sz w:val="20"/>
          <w:szCs w:val="20"/>
        </w:rPr>
        <w:t>Current calendar year of reporting.</w:t>
      </w:r>
      <w:proofErr w:type="gramEnd"/>
    </w:p>
    <w:p w:rsidR="00AF5416" w:rsidRPr="00641515" w:rsidRDefault="00AF5416" w:rsidP="00AF5416">
      <w:pPr>
        <w:autoSpaceDE w:val="0"/>
        <w:autoSpaceDN w:val="0"/>
        <w:adjustRightInd w:val="0"/>
        <w:spacing w:after="0" w:line="240" w:lineRule="auto"/>
        <w:ind w:left="720" w:firstLine="720"/>
        <w:rPr>
          <w:rFonts w:ascii="Times New Roman" w:hAnsi="Times New Roman" w:cs="Times New Roman"/>
          <w:b/>
          <w:bCs/>
          <w:sz w:val="20"/>
          <w:szCs w:val="20"/>
        </w:rPr>
      </w:pPr>
    </w:p>
    <w:p w:rsidR="00AF5416" w:rsidRDefault="00AF5416" w:rsidP="00AF5416">
      <w:pPr>
        <w:autoSpaceDE w:val="0"/>
        <w:autoSpaceDN w:val="0"/>
        <w:adjustRightInd w:val="0"/>
        <w:spacing w:after="0" w:line="240" w:lineRule="auto"/>
        <w:ind w:left="720"/>
        <w:rPr>
          <w:rFonts w:ascii="Times New Roman" w:hAnsi="Times New Roman" w:cs="Times New Roman"/>
          <w:b/>
          <w:bCs/>
          <w:sz w:val="20"/>
          <w:szCs w:val="20"/>
        </w:rPr>
      </w:pPr>
      <w:r>
        <w:rPr>
          <w:rFonts w:ascii="Times New Roman" w:hAnsi="Times New Roman" w:cs="Times New Roman"/>
          <w:b/>
          <w:bCs/>
          <w:sz w:val="20"/>
          <w:szCs w:val="20"/>
        </w:rPr>
        <w:t>Total Inception-to-Date</w:t>
      </w:r>
    </w:p>
    <w:p w:rsidR="00AF5416" w:rsidRDefault="00AF5416" w:rsidP="00AF5416">
      <w:pPr>
        <w:autoSpaceDE w:val="0"/>
        <w:autoSpaceDN w:val="0"/>
        <w:adjustRightInd w:val="0"/>
        <w:spacing w:after="0" w:line="240" w:lineRule="auto"/>
        <w:ind w:left="720" w:firstLine="720"/>
        <w:rPr>
          <w:rFonts w:ascii="TimesNewRomanPSMT" w:hAnsi="TimesNewRomanPSMT" w:cs="TimesNewRomanPSMT"/>
          <w:sz w:val="20"/>
          <w:szCs w:val="20"/>
        </w:rPr>
      </w:pPr>
      <w:proofErr w:type="gramStart"/>
      <w:r>
        <w:rPr>
          <w:rFonts w:ascii="TimesNewRomanPSMT" w:hAnsi="TimesNewRomanPSMT" w:cs="TimesNewRomanPSMT"/>
          <w:sz w:val="20"/>
          <w:szCs w:val="20"/>
        </w:rPr>
        <w:t xml:space="preserve">Aggregate experience data since issuance of </w:t>
      </w:r>
      <w:r w:rsidR="00960D41">
        <w:rPr>
          <w:rFonts w:ascii="TimesNewRomanPSMT" w:hAnsi="TimesNewRomanPSMT" w:cs="TimesNewRomanPSMT"/>
          <w:sz w:val="20"/>
          <w:szCs w:val="20"/>
        </w:rPr>
        <w:t>certificate</w:t>
      </w:r>
      <w:r w:rsidR="002F1008">
        <w:rPr>
          <w:rFonts w:ascii="TimesNewRomanPSMT" w:hAnsi="TimesNewRomanPSMT" w:cs="TimesNewRomanPSMT"/>
          <w:sz w:val="20"/>
          <w:szCs w:val="20"/>
        </w:rPr>
        <w:t>s</w:t>
      </w:r>
      <w:r>
        <w:rPr>
          <w:rFonts w:ascii="TimesNewRomanPSMT" w:hAnsi="TimesNewRomanPSMT" w:cs="TimesNewRomanPSMT"/>
          <w:sz w:val="20"/>
          <w:szCs w:val="20"/>
        </w:rPr>
        <w:t>.</w:t>
      </w:r>
      <w:proofErr w:type="gramEnd"/>
    </w:p>
    <w:p w:rsidR="00AF5416" w:rsidRPr="00641515" w:rsidRDefault="00AF5416" w:rsidP="00AF5416">
      <w:pPr>
        <w:autoSpaceDE w:val="0"/>
        <w:autoSpaceDN w:val="0"/>
        <w:adjustRightInd w:val="0"/>
        <w:spacing w:after="0" w:line="240" w:lineRule="auto"/>
        <w:ind w:left="720" w:firstLine="720"/>
        <w:rPr>
          <w:rFonts w:ascii="Times New Roman" w:hAnsi="Times New Roman" w:cs="Times New Roman"/>
          <w:b/>
          <w:bCs/>
          <w:sz w:val="20"/>
          <w:szCs w:val="20"/>
        </w:rPr>
      </w:pPr>
    </w:p>
    <w:p w:rsidR="00AF5416" w:rsidRPr="00641515" w:rsidRDefault="00AF5416" w:rsidP="00AF5416">
      <w:pPr>
        <w:ind w:left="720"/>
        <w:rPr>
          <w:rFonts w:ascii="TimesNewRomanPSMT" w:hAnsi="TimesNewRomanPSMT" w:cs="TimesNewRomanPSMT"/>
          <w:sz w:val="20"/>
          <w:szCs w:val="20"/>
        </w:rPr>
      </w:pPr>
      <w:r>
        <w:rPr>
          <w:rFonts w:ascii="Times New Roman" w:hAnsi="Times New Roman" w:cs="Times New Roman"/>
          <w:b/>
          <w:bCs/>
          <w:sz w:val="20"/>
          <w:szCs w:val="20"/>
        </w:rPr>
        <w:t>Comprehensive</w:t>
      </w:r>
    </w:p>
    <w:p w:rsidR="00AF5416" w:rsidRDefault="002F1008" w:rsidP="00AF5416">
      <w:pPr>
        <w:autoSpaceDE w:val="0"/>
        <w:autoSpaceDN w:val="0"/>
        <w:adjustRightInd w:val="0"/>
        <w:spacing w:after="0" w:line="240" w:lineRule="auto"/>
        <w:ind w:left="1440"/>
        <w:rPr>
          <w:rFonts w:ascii="TimesNewRomanPSMT" w:hAnsi="TimesNewRomanPSMT" w:cs="TimesNewRomanPSMT"/>
          <w:sz w:val="20"/>
          <w:szCs w:val="20"/>
        </w:rPr>
      </w:pPr>
      <w:proofErr w:type="gramStart"/>
      <w:r>
        <w:rPr>
          <w:rFonts w:ascii="TimesNewRomanPSMT" w:hAnsi="TimesNewRomanPSMT" w:cs="TimesNewRomanPSMT"/>
          <w:sz w:val="20"/>
          <w:szCs w:val="20"/>
        </w:rPr>
        <w:t>Certificates</w:t>
      </w:r>
      <w:r w:rsidR="00AF5416">
        <w:rPr>
          <w:rFonts w:ascii="TimesNewRomanPSMT" w:hAnsi="TimesNewRomanPSMT" w:cs="TimesNewRomanPSMT"/>
          <w:sz w:val="20"/>
          <w:szCs w:val="20"/>
        </w:rPr>
        <w:t xml:space="preserve"> that provide a combination of institutional or facility and non-institutional coverage.</w:t>
      </w:r>
      <w:proofErr w:type="gramEnd"/>
      <w:r w:rsidR="00AF5416">
        <w:rPr>
          <w:rFonts w:ascii="TimesNewRomanPSMT" w:hAnsi="TimesNewRomanPSMT" w:cs="TimesNewRomanPSMT"/>
          <w:sz w:val="20"/>
          <w:szCs w:val="20"/>
        </w:rPr>
        <w:t xml:space="preserve"> These include institutional only </w:t>
      </w:r>
      <w:r w:rsidR="00960D41">
        <w:rPr>
          <w:rFonts w:ascii="TimesNewRomanPSMT" w:hAnsi="TimesNewRomanPSMT" w:cs="TimesNewRomanPSMT"/>
          <w:sz w:val="20"/>
          <w:szCs w:val="20"/>
        </w:rPr>
        <w:t>certificates</w:t>
      </w:r>
      <w:r w:rsidR="00AF5416">
        <w:rPr>
          <w:rFonts w:ascii="TimesNewRomanPSMT" w:hAnsi="TimesNewRomanPSMT" w:cs="TimesNewRomanPSMT"/>
          <w:sz w:val="20"/>
          <w:szCs w:val="20"/>
        </w:rPr>
        <w:t xml:space="preserve"> with non-institutional riders.</w:t>
      </w:r>
    </w:p>
    <w:p w:rsidR="00AF5416" w:rsidRDefault="00AF5416" w:rsidP="00AF5416">
      <w:pPr>
        <w:autoSpaceDE w:val="0"/>
        <w:autoSpaceDN w:val="0"/>
        <w:adjustRightInd w:val="0"/>
        <w:spacing w:after="0" w:line="240" w:lineRule="auto"/>
        <w:ind w:left="720"/>
        <w:rPr>
          <w:rFonts w:ascii="Times New Roman" w:hAnsi="Times New Roman" w:cs="Times New Roman"/>
          <w:b/>
          <w:bCs/>
          <w:sz w:val="20"/>
          <w:szCs w:val="20"/>
        </w:rPr>
      </w:pPr>
    </w:p>
    <w:p w:rsidR="00AF5416" w:rsidRDefault="00AF5416" w:rsidP="00AF5416">
      <w:pPr>
        <w:autoSpaceDE w:val="0"/>
        <w:autoSpaceDN w:val="0"/>
        <w:adjustRightInd w:val="0"/>
        <w:spacing w:after="0" w:line="240" w:lineRule="auto"/>
        <w:ind w:left="720"/>
        <w:rPr>
          <w:rFonts w:ascii="Times New Roman" w:hAnsi="Times New Roman" w:cs="Times New Roman"/>
          <w:b/>
          <w:bCs/>
          <w:sz w:val="20"/>
          <w:szCs w:val="20"/>
        </w:rPr>
      </w:pPr>
      <w:r>
        <w:rPr>
          <w:rFonts w:ascii="Times New Roman" w:hAnsi="Times New Roman" w:cs="Times New Roman"/>
          <w:b/>
          <w:bCs/>
          <w:sz w:val="20"/>
          <w:szCs w:val="20"/>
        </w:rPr>
        <w:t>Institutional Only</w:t>
      </w:r>
    </w:p>
    <w:p w:rsidR="00AF5416" w:rsidRDefault="002F1008" w:rsidP="00AF5416">
      <w:pPr>
        <w:autoSpaceDE w:val="0"/>
        <w:autoSpaceDN w:val="0"/>
        <w:adjustRightInd w:val="0"/>
        <w:spacing w:after="0" w:line="240" w:lineRule="auto"/>
        <w:ind w:left="720" w:firstLine="720"/>
        <w:rPr>
          <w:rFonts w:ascii="TimesNewRomanPSMT" w:hAnsi="TimesNewRomanPSMT" w:cs="TimesNewRomanPSMT"/>
          <w:sz w:val="20"/>
          <w:szCs w:val="20"/>
        </w:rPr>
      </w:pPr>
      <w:proofErr w:type="gramStart"/>
      <w:r>
        <w:rPr>
          <w:rFonts w:ascii="TimesNewRomanPSMT" w:hAnsi="TimesNewRomanPSMT" w:cs="TimesNewRomanPSMT"/>
          <w:sz w:val="20"/>
          <w:szCs w:val="20"/>
        </w:rPr>
        <w:t>Certificates</w:t>
      </w:r>
      <w:r w:rsidR="00AF5416">
        <w:rPr>
          <w:rFonts w:ascii="TimesNewRomanPSMT" w:hAnsi="TimesNewRomanPSMT" w:cs="TimesNewRomanPSMT"/>
          <w:sz w:val="20"/>
          <w:szCs w:val="20"/>
        </w:rPr>
        <w:t xml:space="preserve"> that provide institutional coverage only.</w:t>
      </w:r>
      <w:proofErr w:type="gramEnd"/>
    </w:p>
    <w:p w:rsidR="00AF5416" w:rsidRDefault="00AF5416" w:rsidP="00AF5416">
      <w:pPr>
        <w:autoSpaceDE w:val="0"/>
        <w:autoSpaceDN w:val="0"/>
        <w:adjustRightInd w:val="0"/>
        <w:spacing w:after="0" w:line="240" w:lineRule="auto"/>
        <w:ind w:left="720"/>
        <w:rPr>
          <w:rFonts w:ascii="Times New Roman" w:hAnsi="Times New Roman" w:cs="Times New Roman"/>
          <w:b/>
          <w:bCs/>
          <w:sz w:val="20"/>
          <w:szCs w:val="20"/>
        </w:rPr>
      </w:pPr>
    </w:p>
    <w:p w:rsidR="00AF5416" w:rsidRDefault="00AF5416" w:rsidP="00AF5416">
      <w:pPr>
        <w:autoSpaceDE w:val="0"/>
        <w:autoSpaceDN w:val="0"/>
        <w:adjustRightInd w:val="0"/>
        <w:spacing w:after="0" w:line="240" w:lineRule="auto"/>
        <w:ind w:left="720"/>
        <w:rPr>
          <w:rFonts w:ascii="Times New Roman" w:hAnsi="Times New Roman" w:cs="Times New Roman"/>
          <w:b/>
          <w:bCs/>
          <w:sz w:val="20"/>
          <w:szCs w:val="20"/>
        </w:rPr>
      </w:pPr>
      <w:r>
        <w:rPr>
          <w:rFonts w:ascii="Times New Roman" w:hAnsi="Times New Roman" w:cs="Times New Roman"/>
          <w:b/>
          <w:bCs/>
          <w:sz w:val="20"/>
          <w:szCs w:val="20"/>
        </w:rPr>
        <w:t>Non-Institutional Only</w:t>
      </w:r>
    </w:p>
    <w:p w:rsidR="00AF5416" w:rsidRDefault="002F1008" w:rsidP="00AF5416">
      <w:pPr>
        <w:ind w:left="720" w:firstLine="720"/>
        <w:rPr>
          <w:rFonts w:ascii="TimesNewRomanPSMT" w:hAnsi="TimesNewRomanPSMT" w:cs="TimesNewRomanPSMT"/>
          <w:sz w:val="20"/>
          <w:szCs w:val="20"/>
        </w:rPr>
      </w:pPr>
      <w:proofErr w:type="gramStart"/>
      <w:r>
        <w:rPr>
          <w:rFonts w:ascii="TimesNewRomanPSMT" w:hAnsi="TimesNewRomanPSMT" w:cs="TimesNewRomanPSMT"/>
          <w:sz w:val="20"/>
          <w:szCs w:val="20"/>
        </w:rPr>
        <w:t>Certificates</w:t>
      </w:r>
      <w:r w:rsidR="00AF5416">
        <w:rPr>
          <w:rFonts w:ascii="TimesNewRomanPSMT" w:hAnsi="TimesNewRomanPSMT" w:cs="TimesNewRomanPSMT"/>
          <w:sz w:val="20"/>
          <w:szCs w:val="20"/>
        </w:rPr>
        <w:t xml:space="preserve"> that provide only non-institutional coverage.</w:t>
      </w:r>
      <w:proofErr w:type="gramEnd"/>
    </w:p>
    <w:p w:rsidR="00AF5416" w:rsidRDefault="00135575" w:rsidP="001277E4">
      <w:pPr>
        <w:rPr>
          <w:rFonts w:ascii="TimesNewRomanPSMT" w:hAnsi="TimesNewRomanPSMT" w:cs="TimesNewRomanPSMT"/>
          <w:sz w:val="20"/>
          <w:szCs w:val="20"/>
        </w:rPr>
      </w:pPr>
      <w:r>
        <w:rPr>
          <w:rFonts w:ascii="TimesNewRomanPSMT" w:hAnsi="TimesNewRomanPSMT" w:cs="TimesNewRomanPSMT"/>
          <w:sz w:val="20"/>
          <w:szCs w:val="20"/>
        </w:rPr>
        <w:tab/>
      </w:r>
      <w:r w:rsidR="00AF5416">
        <w:rPr>
          <w:rFonts w:ascii="TimesNewRomanPSMT" w:hAnsi="TimesNewRomanPSMT" w:cs="TimesNewRomanPSMT"/>
          <w:sz w:val="20"/>
          <w:szCs w:val="20"/>
        </w:rPr>
        <w:t xml:space="preserve">Column 1 – </w:t>
      </w:r>
      <w:r w:rsidR="00F1171D">
        <w:rPr>
          <w:rFonts w:ascii="TimesNewRomanPSMT" w:hAnsi="TimesNewRomanPSMT" w:cs="TimesNewRomanPSMT"/>
          <w:sz w:val="20"/>
          <w:szCs w:val="20"/>
        </w:rPr>
        <w:t xml:space="preserve">Calendar </w:t>
      </w:r>
      <w:r w:rsidR="00AF5416">
        <w:rPr>
          <w:rFonts w:ascii="TimesNewRomanPSMT" w:hAnsi="TimesNewRomanPSMT" w:cs="TimesNewRomanPSMT"/>
          <w:sz w:val="20"/>
          <w:szCs w:val="20"/>
        </w:rPr>
        <w:t>Year of Peak Issues</w:t>
      </w:r>
    </w:p>
    <w:p w:rsidR="00AF5416" w:rsidRDefault="002F1008" w:rsidP="001277E4">
      <w:pPr>
        <w:ind w:left="1440"/>
        <w:rPr>
          <w:rFonts w:ascii="TimesNewRomanPSMT" w:hAnsi="TimesNewRomanPSMT" w:cs="TimesNewRomanPSMT"/>
          <w:sz w:val="20"/>
          <w:szCs w:val="20"/>
        </w:rPr>
      </w:pPr>
      <w:proofErr w:type="gramStart"/>
      <w:r>
        <w:rPr>
          <w:rFonts w:ascii="TimesNewRomanPSMT" w:hAnsi="TimesNewRomanPSMT" w:cs="TimesNewRomanPSMT"/>
          <w:sz w:val="20"/>
          <w:szCs w:val="20"/>
        </w:rPr>
        <w:t>Calendar year in which the largest number of certificates in the block were distributed.</w:t>
      </w:r>
      <w:proofErr w:type="gramEnd"/>
      <w:r>
        <w:rPr>
          <w:rFonts w:ascii="TimesNewRomanPSMT" w:hAnsi="TimesNewRomanPSMT" w:cs="TimesNewRomanPSMT"/>
          <w:sz w:val="20"/>
          <w:szCs w:val="20"/>
        </w:rPr>
        <w:t xml:space="preserve">  When reporting figures for inception-to-date, include all certificates ever issued in the block.  For the current year, include only those certificates that remain inforce as of 12/31.</w:t>
      </w:r>
    </w:p>
    <w:p w:rsidR="00AF5416" w:rsidRDefault="00AF5416" w:rsidP="00AF5416">
      <w:pPr>
        <w:ind w:left="720"/>
        <w:rPr>
          <w:rFonts w:ascii="TimesNewRomanPSMT" w:hAnsi="TimesNewRomanPSMT" w:cs="TimesNewRomanPSMT"/>
          <w:sz w:val="20"/>
          <w:szCs w:val="20"/>
        </w:rPr>
      </w:pPr>
      <w:r>
        <w:rPr>
          <w:rFonts w:ascii="TimesNewRomanPSMT" w:hAnsi="TimesNewRomanPSMT" w:cs="TimesNewRomanPSMT"/>
          <w:sz w:val="20"/>
          <w:szCs w:val="20"/>
        </w:rPr>
        <w:t>Column 2 – Third Party Funding</w:t>
      </w:r>
    </w:p>
    <w:p w:rsidR="00AF5416" w:rsidRDefault="00AF5416" w:rsidP="001277E4">
      <w:pPr>
        <w:ind w:left="1440"/>
        <w:rPr>
          <w:rFonts w:ascii="TimesNewRomanPSMT" w:hAnsi="TimesNewRomanPSMT" w:cs="TimesNewRomanPSMT"/>
          <w:sz w:val="20"/>
          <w:szCs w:val="20"/>
        </w:rPr>
      </w:pPr>
      <w:r>
        <w:rPr>
          <w:rFonts w:ascii="TimesNewRomanPSMT" w:hAnsi="TimesNewRomanPSMT" w:cs="TimesNewRomanPSMT"/>
          <w:sz w:val="20"/>
          <w:szCs w:val="20"/>
        </w:rPr>
        <w:t>Indicate whether premiums are paid in whole or in part by a third party such as an employer.  Example:  If the level of third party funding is 25%, enter “25” in this column.</w:t>
      </w:r>
    </w:p>
    <w:p w:rsidR="004D2EA3" w:rsidRDefault="004D2EA3" w:rsidP="001277E4">
      <w:pPr>
        <w:ind w:left="720" w:firstLine="720"/>
        <w:rPr>
          <w:rFonts w:ascii="TimesNewRomanPSMT" w:hAnsi="TimesNewRomanPSMT" w:cs="TimesNewRomanPSMT"/>
          <w:sz w:val="20"/>
          <w:szCs w:val="20"/>
        </w:rPr>
      </w:pPr>
      <w:r>
        <w:rPr>
          <w:rFonts w:ascii="TimesNewRomanPSMT" w:hAnsi="TimesNewRomanPSMT" w:cs="TimesNewRomanPSMT"/>
          <w:sz w:val="20"/>
          <w:szCs w:val="20"/>
        </w:rPr>
        <w:t xml:space="preserve">Calculate this in aggregate as [Third Party Premiums </w:t>
      </w:r>
      <w:r w:rsidRPr="001277E4">
        <w:rPr>
          <w:rFonts w:ascii="TimesNewRomanPSMT" w:hAnsi="TimesNewRomanPSMT" w:cs="TimesNewRomanPSMT"/>
          <w:sz w:val="20"/>
          <w:szCs w:val="20"/>
        </w:rPr>
        <w:t xml:space="preserve">÷ Total </w:t>
      </w:r>
      <w:r>
        <w:rPr>
          <w:rFonts w:ascii="TimesNewRomanPSMT" w:hAnsi="TimesNewRomanPSMT" w:cs="TimesNewRomanPSMT"/>
          <w:sz w:val="20"/>
          <w:szCs w:val="20"/>
        </w:rPr>
        <w:t>Premiums]</w:t>
      </w:r>
    </w:p>
    <w:p w:rsidR="00AF5416" w:rsidRDefault="00AF5416" w:rsidP="00AF5416">
      <w:pPr>
        <w:ind w:left="720"/>
        <w:rPr>
          <w:rFonts w:ascii="TimesNewRomanPSMT" w:hAnsi="TimesNewRomanPSMT" w:cs="TimesNewRomanPSMT"/>
          <w:sz w:val="20"/>
          <w:szCs w:val="20"/>
        </w:rPr>
      </w:pPr>
      <w:r>
        <w:rPr>
          <w:rFonts w:ascii="TimesNewRomanPSMT" w:hAnsi="TimesNewRomanPSMT" w:cs="TimesNewRomanPSMT"/>
          <w:sz w:val="20"/>
          <w:szCs w:val="20"/>
        </w:rPr>
        <w:t>Column 3 – Average Attained Age</w:t>
      </w:r>
    </w:p>
    <w:p w:rsidR="00496C34" w:rsidRDefault="00AF5416" w:rsidP="00AF5416">
      <w:pPr>
        <w:ind w:left="720"/>
        <w:rPr>
          <w:rFonts w:ascii="TimesNewRomanPSMT" w:hAnsi="TimesNewRomanPSMT" w:cs="TimesNewRomanPSMT"/>
          <w:sz w:val="20"/>
          <w:szCs w:val="20"/>
        </w:rPr>
      </w:pPr>
      <w:r>
        <w:rPr>
          <w:rFonts w:ascii="TimesNewRomanPSMT" w:hAnsi="TimesNewRomanPSMT" w:cs="TimesNewRomanPSMT"/>
          <w:sz w:val="20"/>
          <w:szCs w:val="20"/>
        </w:rPr>
        <w:tab/>
      </w:r>
      <w:proofErr w:type="gramStart"/>
      <w:r>
        <w:rPr>
          <w:rFonts w:ascii="TimesNewRomanPSMT" w:hAnsi="TimesNewRomanPSMT" w:cs="TimesNewRomanPSMT"/>
          <w:sz w:val="20"/>
          <w:szCs w:val="20"/>
        </w:rPr>
        <w:t xml:space="preserve">Unweighted average of the attained ages of all inforce </w:t>
      </w:r>
      <w:r w:rsidR="004D2EA3">
        <w:rPr>
          <w:rFonts w:ascii="TimesNewRomanPSMT" w:hAnsi="TimesNewRomanPSMT" w:cs="TimesNewRomanPSMT"/>
          <w:sz w:val="20"/>
          <w:szCs w:val="20"/>
        </w:rPr>
        <w:t xml:space="preserve">certificate </w:t>
      </w:r>
      <w:r>
        <w:rPr>
          <w:rFonts w:ascii="TimesNewRomanPSMT" w:hAnsi="TimesNewRomanPSMT" w:cs="TimesNewRomanPSMT"/>
          <w:sz w:val="20"/>
          <w:szCs w:val="20"/>
        </w:rPr>
        <w:t>holders in the block.</w:t>
      </w:r>
      <w:proofErr w:type="gramEnd"/>
    </w:p>
    <w:p w:rsidR="00496C34" w:rsidRDefault="00496C34" w:rsidP="00496C34">
      <w:pPr>
        <w:ind w:left="720"/>
      </w:pPr>
      <w:r>
        <w:t>Column 4 – Earned Premium</w:t>
      </w:r>
    </w:p>
    <w:p w:rsidR="00496C34" w:rsidRDefault="00496C34" w:rsidP="00496C34">
      <w:pPr>
        <w:autoSpaceDE w:val="0"/>
        <w:autoSpaceDN w:val="0"/>
        <w:adjustRightInd w:val="0"/>
        <w:spacing w:after="0" w:line="240" w:lineRule="auto"/>
        <w:ind w:left="720" w:firstLine="720"/>
        <w:rPr>
          <w:rFonts w:ascii="TimesNewRomanPSMT" w:hAnsi="TimesNewRomanPSMT" w:cs="TimesNewRomanPSMT"/>
          <w:sz w:val="20"/>
          <w:szCs w:val="20"/>
        </w:rPr>
      </w:pPr>
      <w:r>
        <w:rPr>
          <w:rFonts w:ascii="TimesNewRomanPSMT" w:hAnsi="TimesNewRomanPSMT" w:cs="TimesNewRomanPSMT"/>
          <w:sz w:val="20"/>
          <w:szCs w:val="20"/>
        </w:rPr>
        <w:t>Collected Premiums + Change in Due Premiums – Change in Advanced Premiums – Change in</w:t>
      </w:r>
    </w:p>
    <w:p w:rsidR="00496C34" w:rsidRDefault="00496C34" w:rsidP="00496C34">
      <w:pPr>
        <w:autoSpaceDE w:val="0"/>
        <w:autoSpaceDN w:val="0"/>
        <w:adjustRightInd w:val="0"/>
        <w:spacing w:after="0" w:line="240" w:lineRule="auto"/>
        <w:ind w:left="720" w:firstLine="720"/>
        <w:rPr>
          <w:rFonts w:ascii="TimesNewRomanPSMT" w:hAnsi="TimesNewRomanPSMT" w:cs="TimesNewRomanPSMT"/>
          <w:sz w:val="20"/>
          <w:szCs w:val="20"/>
        </w:rPr>
      </w:pPr>
      <w:proofErr w:type="gramStart"/>
      <w:r>
        <w:rPr>
          <w:rFonts w:ascii="TimesNewRomanPSMT" w:hAnsi="TimesNewRomanPSMT" w:cs="TimesNewRomanPSMT"/>
          <w:sz w:val="20"/>
          <w:szCs w:val="20"/>
        </w:rPr>
        <w:t>Unearned Premium Reserves.</w:t>
      </w:r>
      <w:proofErr w:type="gramEnd"/>
    </w:p>
    <w:p w:rsidR="00496C34" w:rsidRDefault="00496C34" w:rsidP="00496C34">
      <w:pPr>
        <w:autoSpaceDE w:val="0"/>
        <w:autoSpaceDN w:val="0"/>
        <w:adjustRightInd w:val="0"/>
        <w:spacing w:after="0" w:line="240" w:lineRule="auto"/>
        <w:ind w:left="720" w:firstLine="720"/>
        <w:rPr>
          <w:rFonts w:ascii="Times New Roman" w:hAnsi="Times New Roman" w:cs="Times New Roman"/>
          <w:b/>
          <w:bCs/>
          <w:sz w:val="20"/>
          <w:szCs w:val="20"/>
        </w:rPr>
      </w:pPr>
    </w:p>
    <w:p w:rsidR="00496C34" w:rsidRDefault="00496C34" w:rsidP="00496C34">
      <w:pPr>
        <w:autoSpaceDE w:val="0"/>
        <w:autoSpaceDN w:val="0"/>
        <w:adjustRightInd w:val="0"/>
        <w:spacing w:after="0" w:line="240" w:lineRule="auto"/>
        <w:ind w:left="720" w:firstLine="720"/>
        <w:rPr>
          <w:rFonts w:ascii="Times New Roman" w:hAnsi="Times New Roman" w:cs="Times New Roman"/>
          <w:b/>
          <w:bCs/>
          <w:sz w:val="20"/>
          <w:szCs w:val="20"/>
        </w:rPr>
      </w:pPr>
      <w:r>
        <w:rPr>
          <w:rFonts w:ascii="Times New Roman" w:hAnsi="Times New Roman" w:cs="Times New Roman"/>
          <w:b/>
          <w:bCs/>
          <w:sz w:val="20"/>
          <w:szCs w:val="20"/>
        </w:rPr>
        <w:t>Life, Accident &amp; Health, Fraternal and Property/Casualty Only</w:t>
      </w:r>
    </w:p>
    <w:p w:rsidR="00496C34" w:rsidRDefault="00496C34" w:rsidP="001277E4">
      <w:pPr>
        <w:autoSpaceDE w:val="0"/>
        <w:autoSpaceDN w:val="0"/>
        <w:adjustRightInd w:val="0"/>
        <w:spacing w:after="0" w:line="240" w:lineRule="auto"/>
        <w:ind w:left="1440"/>
        <w:rPr>
          <w:rFonts w:ascii="TimesNewRomanPSMT" w:hAnsi="TimesNewRomanPSMT" w:cs="TimesNewRomanPSMT"/>
          <w:sz w:val="20"/>
          <w:szCs w:val="20"/>
        </w:rPr>
      </w:pPr>
      <w:r>
        <w:rPr>
          <w:rFonts w:ascii="TimesNewRomanPSMT" w:hAnsi="TimesNewRomanPSMT" w:cs="TimesNewRomanPSMT"/>
          <w:sz w:val="20"/>
          <w:szCs w:val="20"/>
        </w:rPr>
        <w:t>Total earned premiums should equal direct earned premiums for LTC business from</w:t>
      </w:r>
    </w:p>
    <w:p w:rsidR="00AF5416" w:rsidRDefault="00496C34" w:rsidP="001277E4">
      <w:pPr>
        <w:ind w:left="1440"/>
        <w:rPr>
          <w:rFonts w:ascii="TimesNewRomanPSMT" w:hAnsi="TimesNewRomanPSMT" w:cs="TimesNewRomanPSMT"/>
          <w:sz w:val="20"/>
          <w:szCs w:val="20"/>
        </w:rPr>
      </w:pPr>
      <w:r>
        <w:rPr>
          <w:rFonts w:ascii="TimesNewRomanPSMT" w:hAnsi="TimesNewRomanPSMT" w:cs="TimesNewRomanPSMT"/>
          <w:sz w:val="20"/>
          <w:szCs w:val="20"/>
        </w:rPr>
        <w:t>Schedule H, Part 1, Line 2.</w:t>
      </w:r>
    </w:p>
    <w:p w:rsidR="00AF5416" w:rsidRDefault="00AF5416" w:rsidP="00AF5416">
      <w:pPr>
        <w:ind w:left="720"/>
        <w:rPr>
          <w:rFonts w:ascii="TimesNewRomanPSMT" w:hAnsi="TimesNewRomanPSMT" w:cs="TimesNewRomanPSMT"/>
          <w:sz w:val="20"/>
          <w:szCs w:val="20"/>
        </w:rPr>
      </w:pPr>
      <w:r>
        <w:rPr>
          <w:rFonts w:ascii="TimesNewRomanPSMT" w:hAnsi="TimesNewRomanPSMT" w:cs="TimesNewRomanPSMT"/>
          <w:sz w:val="20"/>
          <w:szCs w:val="20"/>
        </w:rPr>
        <w:t xml:space="preserve">Column </w:t>
      </w:r>
      <w:r w:rsidR="00496C34">
        <w:rPr>
          <w:rFonts w:ascii="TimesNewRomanPSMT" w:hAnsi="TimesNewRomanPSMT" w:cs="TimesNewRomanPSMT"/>
          <w:sz w:val="20"/>
          <w:szCs w:val="20"/>
        </w:rPr>
        <w:t>5</w:t>
      </w:r>
      <w:r>
        <w:rPr>
          <w:rFonts w:ascii="TimesNewRomanPSMT" w:hAnsi="TimesNewRomanPSMT" w:cs="TimesNewRomanPSMT"/>
          <w:sz w:val="20"/>
          <w:szCs w:val="20"/>
        </w:rPr>
        <w:t xml:space="preserve"> – Incurred Claims</w:t>
      </w:r>
    </w:p>
    <w:p w:rsidR="00AF5416" w:rsidRDefault="00AF5416" w:rsidP="001277E4">
      <w:pPr>
        <w:autoSpaceDE w:val="0"/>
        <w:autoSpaceDN w:val="0"/>
        <w:adjustRightInd w:val="0"/>
        <w:spacing w:after="0" w:line="240" w:lineRule="auto"/>
        <w:ind w:left="1440"/>
        <w:rPr>
          <w:rFonts w:ascii="TimesNewRomanPSMT" w:hAnsi="TimesNewRomanPSMT" w:cs="TimesNewRomanPSMT"/>
          <w:sz w:val="20"/>
          <w:szCs w:val="20"/>
        </w:rPr>
      </w:pPr>
      <w:r>
        <w:rPr>
          <w:rFonts w:ascii="TimesNewRomanPSMT" w:hAnsi="TimesNewRomanPSMT" w:cs="TimesNewRomanPSMT"/>
          <w:sz w:val="20"/>
          <w:szCs w:val="20"/>
        </w:rPr>
        <w:t>Developed claim amounts for claims incurred during the calendar year.  Equal to the present value of all claim payments and an</w:t>
      </w:r>
      <w:r w:rsidR="00F7566C">
        <w:rPr>
          <w:rFonts w:ascii="TimesNewRomanPSMT" w:hAnsi="TimesNewRomanPSMT" w:cs="TimesNewRomanPSMT"/>
          <w:sz w:val="20"/>
          <w:szCs w:val="20"/>
        </w:rPr>
        <w:t>y</w:t>
      </w:r>
      <w:r>
        <w:rPr>
          <w:rFonts w:ascii="TimesNewRomanPSMT" w:hAnsi="TimesNewRomanPSMT" w:cs="TimesNewRomanPSMT"/>
          <w:sz w:val="20"/>
          <w:szCs w:val="20"/>
        </w:rPr>
        <w:t xml:space="preserve"> claim reserve.   The discount rate is the statutory valuation interest rate for case reserve.</w:t>
      </w:r>
    </w:p>
    <w:p w:rsidR="00AF5416" w:rsidRDefault="00AF5416" w:rsidP="00AF5416">
      <w:pPr>
        <w:autoSpaceDE w:val="0"/>
        <w:autoSpaceDN w:val="0"/>
        <w:adjustRightInd w:val="0"/>
        <w:spacing w:after="0" w:line="240" w:lineRule="auto"/>
        <w:ind w:left="720"/>
        <w:rPr>
          <w:rFonts w:ascii="TimesNewRomanPSMT" w:hAnsi="TimesNewRomanPSMT" w:cs="TimesNewRomanPSMT"/>
          <w:sz w:val="20"/>
          <w:szCs w:val="20"/>
        </w:rPr>
      </w:pPr>
    </w:p>
    <w:p w:rsidR="00AF5416" w:rsidRDefault="00AF5416" w:rsidP="00AF5416">
      <w:pPr>
        <w:autoSpaceDE w:val="0"/>
        <w:autoSpaceDN w:val="0"/>
        <w:adjustRightInd w:val="0"/>
        <w:spacing w:after="0" w:line="240" w:lineRule="auto"/>
        <w:ind w:left="720" w:firstLine="720"/>
        <w:rPr>
          <w:rFonts w:ascii="TimesNewRomanPSMT" w:eastAsia="SymbolMT" w:hAnsi="TimesNewRomanPSMT" w:cs="TimesNewRomanPSMT"/>
          <w:sz w:val="20"/>
          <w:szCs w:val="20"/>
        </w:rPr>
      </w:pPr>
      <w:r>
        <w:rPr>
          <w:rFonts w:ascii="SymbolMT" w:eastAsia="SymbolMT" w:cs="SymbolMT" w:hint="eastAsia"/>
          <w:sz w:val="20"/>
          <w:szCs w:val="20"/>
        </w:rPr>
        <w:t></w:t>
      </w:r>
      <w:r>
        <w:rPr>
          <w:rFonts w:ascii="SymbolMT" w:eastAsia="SymbolMT" w:cs="SymbolMT"/>
          <w:sz w:val="20"/>
          <w:szCs w:val="20"/>
        </w:rPr>
        <w:t xml:space="preserve"> </w:t>
      </w:r>
      <w:r>
        <w:rPr>
          <w:rFonts w:ascii="TimesNewRomanPSMT" w:eastAsia="SymbolMT" w:hAnsi="TimesNewRomanPSMT" w:cs="TimesNewRomanPSMT"/>
          <w:sz w:val="20"/>
          <w:szCs w:val="20"/>
        </w:rPr>
        <w:t xml:space="preserve">Paid claims in the year of </w:t>
      </w:r>
      <w:proofErr w:type="spellStart"/>
      <w:r>
        <w:rPr>
          <w:rFonts w:ascii="TimesNewRomanPSMT" w:eastAsia="SymbolMT" w:hAnsi="TimesNewRomanPSMT" w:cs="TimesNewRomanPSMT"/>
          <w:sz w:val="20"/>
          <w:szCs w:val="20"/>
        </w:rPr>
        <w:t>incurral</w:t>
      </w:r>
      <w:proofErr w:type="spellEnd"/>
      <w:r>
        <w:rPr>
          <w:rFonts w:ascii="TimesNewRomanPSMT" w:eastAsia="SymbolMT" w:hAnsi="TimesNewRomanPSMT" w:cs="TimesNewRomanPSMT"/>
          <w:sz w:val="20"/>
          <w:szCs w:val="20"/>
        </w:rPr>
        <w:t xml:space="preserve"> are discounted one-quarter year.</w:t>
      </w:r>
    </w:p>
    <w:p w:rsidR="00AF5416" w:rsidRDefault="00AF5416" w:rsidP="00AF5416">
      <w:pPr>
        <w:autoSpaceDE w:val="0"/>
        <w:autoSpaceDN w:val="0"/>
        <w:adjustRightInd w:val="0"/>
        <w:spacing w:after="0" w:line="240" w:lineRule="auto"/>
        <w:ind w:left="1710" w:hanging="270"/>
        <w:rPr>
          <w:rFonts w:ascii="TimesNewRomanPSMT" w:eastAsia="SymbolMT" w:hAnsi="TimesNewRomanPSMT" w:cs="TimesNewRomanPSMT"/>
          <w:sz w:val="20"/>
          <w:szCs w:val="20"/>
        </w:rPr>
      </w:pPr>
      <w:r>
        <w:rPr>
          <w:rFonts w:ascii="SymbolMT" w:eastAsia="SymbolMT" w:cs="SymbolMT" w:hint="eastAsia"/>
          <w:sz w:val="20"/>
          <w:szCs w:val="20"/>
        </w:rPr>
        <w:lastRenderedPageBreak/>
        <w:t></w:t>
      </w:r>
      <w:r>
        <w:rPr>
          <w:rFonts w:ascii="SymbolMT" w:eastAsia="SymbolMT" w:cs="SymbolMT"/>
          <w:sz w:val="20"/>
          <w:szCs w:val="20"/>
        </w:rPr>
        <w:t xml:space="preserve"> </w:t>
      </w:r>
      <w:r>
        <w:rPr>
          <w:rFonts w:ascii="TimesNewRomanPSMT" w:eastAsia="SymbolMT" w:hAnsi="TimesNewRomanPSMT" w:cs="TimesNewRomanPSMT"/>
          <w:sz w:val="20"/>
          <w:szCs w:val="20"/>
        </w:rPr>
        <w:t xml:space="preserve">Paid claims subsequent to the year of </w:t>
      </w:r>
      <w:proofErr w:type="spellStart"/>
      <w:r>
        <w:rPr>
          <w:rFonts w:ascii="TimesNewRomanPSMT" w:eastAsia="SymbolMT" w:hAnsi="TimesNewRomanPSMT" w:cs="TimesNewRomanPSMT"/>
          <w:sz w:val="20"/>
          <w:szCs w:val="20"/>
        </w:rPr>
        <w:t>incurral</w:t>
      </w:r>
      <w:proofErr w:type="spellEnd"/>
      <w:r>
        <w:rPr>
          <w:rFonts w:ascii="TimesNewRomanPSMT" w:eastAsia="SymbolMT" w:hAnsi="TimesNewRomanPSMT" w:cs="TimesNewRomanPSMT"/>
          <w:sz w:val="20"/>
          <w:szCs w:val="20"/>
        </w:rPr>
        <w:t xml:space="preserve"> are assumed to be paid mid-year and discounted back to the midpoint of the incurred year.</w:t>
      </w:r>
    </w:p>
    <w:p w:rsidR="00AF5416" w:rsidRDefault="00AF5416" w:rsidP="00AF5416">
      <w:pPr>
        <w:autoSpaceDE w:val="0"/>
        <w:autoSpaceDN w:val="0"/>
        <w:adjustRightInd w:val="0"/>
        <w:spacing w:after="0" w:line="240" w:lineRule="auto"/>
        <w:ind w:left="1710" w:hanging="270"/>
        <w:rPr>
          <w:rFonts w:ascii="TimesNewRomanPSMT" w:eastAsia="SymbolMT" w:hAnsi="TimesNewRomanPSMT" w:cs="TimesNewRomanPSMT"/>
          <w:sz w:val="20"/>
          <w:szCs w:val="20"/>
        </w:rPr>
      </w:pPr>
      <w:r>
        <w:rPr>
          <w:rFonts w:ascii="SymbolMT" w:eastAsia="SymbolMT" w:cs="SymbolMT" w:hint="eastAsia"/>
          <w:sz w:val="20"/>
          <w:szCs w:val="20"/>
        </w:rPr>
        <w:t></w:t>
      </w:r>
      <w:r>
        <w:rPr>
          <w:rFonts w:ascii="SymbolMT" w:eastAsia="SymbolMT" w:cs="SymbolMT"/>
          <w:sz w:val="20"/>
          <w:szCs w:val="20"/>
        </w:rPr>
        <w:t xml:space="preserve"> </w:t>
      </w:r>
      <w:r w:rsidR="00F7566C">
        <w:rPr>
          <w:rFonts w:ascii="TimesNewRomanPSMT" w:eastAsia="SymbolMT" w:hAnsi="TimesNewRomanPSMT" w:cs="TimesNewRomanPSMT"/>
          <w:sz w:val="20"/>
          <w:szCs w:val="20"/>
        </w:rPr>
        <w:t>C</w:t>
      </w:r>
      <w:r>
        <w:rPr>
          <w:rFonts w:ascii="TimesNewRomanPSMT" w:eastAsia="SymbolMT" w:hAnsi="TimesNewRomanPSMT" w:cs="TimesNewRomanPSMT"/>
          <w:sz w:val="20"/>
          <w:szCs w:val="20"/>
        </w:rPr>
        <w:t>laim reserves for a given incurred year are discounted from the valuation date to the midpoint of the incurred year.</w:t>
      </w:r>
    </w:p>
    <w:p w:rsidR="00AF5416" w:rsidRPr="00A915BC" w:rsidRDefault="00AF5416" w:rsidP="00AF5416">
      <w:pPr>
        <w:autoSpaceDE w:val="0"/>
        <w:autoSpaceDN w:val="0"/>
        <w:adjustRightInd w:val="0"/>
        <w:spacing w:after="0" w:line="240" w:lineRule="auto"/>
        <w:ind w:left="1710" w:hanging="270"/>
        <w:rPr>
          <w:rFonts w:ascii="TimesNewRomanPSMT" w:eastAsia="SymbolMT" w:hAnsi="TimesNewRomanPSMT" w:cs="TimesNewRomanPSMT"/>
          <w:sz w:val="20"/>
          <w:szCs w:val="20"/>
        </w:rPr>
      </w:pPr>
      <w:r>
        <w:rPr>
          <w:rFonts w:ascii="SymbolMT" w:eastAsia="SymbolMT" w:cs="SymbolMT" w:hint="eastAsia"/>
          <w:sz w:val="20"/>
          <w:szCs w:val="20"/>
        </w:rPr>
        <w:t></w:t>
      </w:r>
      <w:r>
        <w:rPr>
          <w:rFonts w:ascii="SymbolMT" w:eastAsia="SymbolMT" w:cs="SymbolMT"/>
          <w:sz w:val="20"/>
          <w:szCs w:val="20"/>
        </w:rPr>
        <w:t xml:space="preserve"> </w:t>
      </w:r>
      <w:r>
        <w:rPr>
          <w:rFonts w:ascii="TimesNewRomanPSMT" w:eastAsia="SymbolMT" w:hAnsi="TimesNewRomanPSMT" w:cs="TimesNewRomanPSMT"/>
          <w:sz w:val="20"/>
          <w:szCs w:val="20"/>
        </w:rPr>
        <w:t>Negative results are possible for acquired business only. Negative results indicate downward development of ultimate claims.</w:t>
      </w:r>
    </w:p>
    <w:p w:rsidR="00AF5416" w:rsidRDefault="00AF5416" w:rsidP="00AF5416">
      <w:pPr>
        <w:autoSpaceDE w:val="0"/>
        <w:autoSpaceDN w:val="0"/>
        <w:adjustRightInd w:val="0"/>
        <w:spacing w:after="0" w:line="240" w:lineRule="auto"/>
        <w:ind w:left="720"/>
        <w:rPr>
          <w:rFonts w:ascii="TimesNewRomanPSMT" w:hAnsi="TimesNewRomanPSMT" w:cs="TimesNewRomanPSMT"/>
          <w:sz w:val="20"/>
          <w:szCs w:val="20"/>
        </w:rPr>
      </w:pPr>
    </w:p>
    <w:p w:rsidR="00496C34" w:rsidRDefault="00496C34" w:rsidP="00AF5416">
      <w:pPr>
        <w:autoSpaceDE w:val="0"/>
        <w:autoSpaceDN w:val="0"/>
        <w:adjustRightInd w:val="0"/>
        <w:spacing w:after="0" w:line="240" w:lineRule="auto"/>
        <w:ind w:left="720"/>
        <w:rPr>
          <w:rFonts w:ascii="TimesNewRomanPSMT" w:hAnsi="TimesNewRomanPSMT" w:cs="TimesNewRomanPSMT"/>
          <w:sz w:val="20"/>
          <w:szCs w:val="20"/>
        </w:rPr>
      </w:pPr>
    </w:p>
    <w:p w:rsidR="00496C34" w:rsidRDefault="00496C34" w:rsidP="00496C34">
      <w:pPr>
        <w:autoSpaceDE w:val="0"/>
        <w:autoSpaceDN w:val="0"/>
        <w:adjustRightInd w:val="0"/>
        <w:spacing w:after="0" w:line="240" w:lineRule="auto"/>
        <w:ind w:left="720"/>
        <w:rPr>
          <w:rFonts w:ascii="TimesNewRomanPSMT" w:hAnsi="TimesNewRomanPSMT" w:cs="TimesNewRomanPSMT"/>
          <w:sz w:val="20"/>
          <w:szCs w:val="20"/>
        </w:rPr>
      </w:pPr>
      <w:r>
        <w:rPr>
          <w:rFonts w:ascii="TimesNewRomanPSMT" w:hAnsi="TimesNewRomanPSMT" w:cs="TimesNewRomanPSMT"/>
          <w:sz w:val="20"/>
          <w:szCs w:val="20"/>
        </w:rPr>
        <w:t>Column 6 – Lives In-force Year End</w:t>
      </w:r>
    </w:p>
    <w:p w:rsidR="00496C34" w:rsidRDefault="00496C34" w:rsidP="00496C34">
      <w:pPr>
        <w:autoSpaceDE w:val="0"/>
        <w:autoSpaceDN w:val="0"/>
        <w:adjustRightInd w:val="0"/>
        <w:spacing w:after="0" w:line="240" w:lineRule="auto"/>
        <w:ind w:left="720"/>
        <w:rPr>
          <w:rFonts w:ascii="TimesNewRomanPSMT" w:hAnsi="TimesNewRomanPSMT" w:cs="TimesNewRomanPSMT"/>
          <w:sz w:val="20"/>
          <w:szCs w:val="20"/>
        </w:rPr>
      </w:pPr>
    </w:p>
    <w:p w:rsidR="00496C34" w:rsidRDefault="00496C34" w:rsidP="001277E4">
      <w:pPr>
        <w:ind w:left="1440"/>
        <w:rPr>
          <w:rFonts w:ascii="TimesNewRomanPSMT" w:hAnsi="TimesNewRomanPSMT" w:cs="TimesNewRomanPSMT"/>
          <w:sz w:val="20"/>
          <w:szCs w:val="20"/>
        </w:rPr>
      </w:pPr>
      <w:proofErr w:type="gramStart"/>
      <w:r>
        <w:rPr>
          <w:rFonts w:ascii="TimesNewRomanPSMT" w:hAnsi="TimesNewRomanPSMT" w:cs="TimesNewRomanPSMT"/>
          <w:sz w:val="20"/>
          <w:szCs w:val="20"/>
        </w:rPr>
        <w:t>Total number of lives in force at the end of the year.</w:t>
      </w:r>
      <w:proofErr w:type="gramEnd"/>
      <w:r>
        <w:rPr>
          <w:rFonts w:ascii="TimesNewRomanPSMT" w:hAnsi="TimesNewRomanPSMT" w:cs="TimesNewRomanPSMT"/>
          <w:sz w:val="20"/>
          <w:szCs w:val="20"/>
        </w:rPr>
        <w:t xml:space="preserve">  Joint certificates are to be counted as two lives.</w:t>
      </w:r>
    </w:p>
    <w:p w:rsidR="00AF5416" w:rsidRDefault="00AF5416" w:rsidP="00AF5416">
      <w:pPr>
        <w:autoSpaceDE w:val="0"/>
        <w:autoSpaceDN w:val="0"/>
        <w:adjustRightInd w:val="0"/>
        <w:spacing w:after="0" w:line="240" w:lineRule="auto"/>
        <w:ind w:left="720"/>
        <w:rPr>
          <w:rFonts w:ascii="TimesNewRomanPSMT" w:hAnsi="TimesNewRomanPSMT" w:cs="TimesNewRomanPSMT"/>
          <w:sz w:val="20"/>
          <w:szCs w:val="20"/>
        </w:rPr>
      </w:pPr>
      <w:r>
        <w:rPr>
          <w:rFonts w:ascii="TimesNewRomanPSMT" w:hAnsi="TimesNewRomanPSMT" w:cs="TimesNewRomanPSMT"/>
          <w:sz w:val="20"/>
          <w:szCs w:val="20"/>
        </w:rPr>
        <w:t xml:space="preserve">Column </w:t>
      </w:r>
      <w:r w:rsidR="00496C34">
        <w:rPr>
          <w:rFonts w:ascii="TimesNewRomanPSMT" w:hAnsi="TimesNewRomanPSMT" w:cs="TimesNewRomanPSMT"/>
          <w:sz w:val="20"/>
          <w:szCs w:val="20"/>
        </w:rPr>
        <w:t>7</w:t>
      </w:r>
      <w:r>
        <w:rPr>
          <w:rFonts w:ascii="TimesNewRomanPSMT" w:hAnsi="TimesNewRomanPSMT" w:cs="TimesNewRomanPSMT"/>
          <w:sz w:val="20"/>
          <w:szCs w:val="20"/>
        </w:rPr>
        <w:t xml:space="preserve"> – Terminations</w:t>
      </w:r>
    </w:p>
    <w:p w:rsidR="00AF5416" w:rsidRDefault="00AF5416" w:rsidP="00AF5416">
      <w:pPr>
        <w:autoSpaceDE w:val="0"/>
        <w:autoSpaceDN w:val="0"/>
        <w:adjustRightInd w:val="0"/>
        <w:spacing w:after="0" w:line="240" w:lineRule="auto"/>
        <w:ind w:left="720"/>
        <w:rPr>
          <w:rFonts w:ascii="TimesNewRomanPSMT" w:hAnsi="TimesNewRomanPSMT" w:cs="TimesNewRomanPSMT"/>
          <w:sz w:val="20"/>
          <w:szCs w:val="20"/>
        </w:rPr>
      </w:pPr>
    </w:p>
    <w:p w:rsidR="00AF5416" w:rsidRDefault="00AF5416" w:rsidP="001277E4">
      <w:pPr>
        <w:autoSpaceDE w:val="0"/>
        <w:autoSpaceDN w:val="0"/>
        <w:adjustRightInd w:val="0"/>
        <w:spacing w:after="0" w:line="240" w:lineRule="auto"/>
        <w:ind w:left="1440"/>
        <w:rPr>
          <w:rFonts w:ascii="TimesNewRomanPSMT" w:hAnsi="TimesNewRomanPSMT" w:cs="TimesNewRomanPSMT"/>
          <w:sz w:val="20"/>
          <w:szCs w:val="20"/>
        </w:rPr>
      </w:pPr>
      <w:r>
        <w:rPr>
          <w:rFonts w:ascii="TimesNewRomanPSMT" w:hAnsi="TimesNewRomanPSMT" w:cs="TimesNewRomanPSMT"/>
          <w:sz w:val="20"/>
          <w:szCs w:val="20"/>
        </w:rPr>
        <w:t>Total number o</w:t>
      </w:r>
      <w:r w:rsidR="004D2EA3">
        <w:rPr>
          <w:rFonts w:ascii="TimesNewRomanPSMT" w:hAnsi="TimesNewRomanPSMT" w:cs="TimesNewRomanPSMT"/>
          <w:sz w:val="20"/>
          <w:szCs w:val="20"/>
        </w:rPr>
        <w:t xml:space="preserve">f certificate </w:t>
      </w:r>
      <w:r>
        <w:rPr>
          <w:rFonts w:ascii="TimesNewRomanPSMT" w:hAnsi="TimesNewRomanPSMT" w:cs="TimesNewRomanPSMT"/>
          <w:sz w:val="20"/>
          <w:szCs w:val="20"/>
        </w:rPr>
        <w:t>holders whose coverage ended during the year for any reason including death, lapse, or benefit exhaustion.</w:t>
      </w:r>
    </w:p>
    <w:p w:rsidR="00AF5416" w:rsidRDefault="00AF5416" w:rsidP="00AF5416">
      <w:pPr>
        <w:ind w:left="720"/>
        <w:rPr>
          <w:rFonts w:ascii="TimesNewRomanPSMT" w:hAnsi="TimesNewRomanPSMT" w:cs="TimesNewRomanPSMT"/>
          <w:sz w:val="20"/>
          <w:szCs w:val="20"/>
        </w:rPr>
      </w:pPr>
    </w:p>
    <w:p w:rsidR="00AF5416" w:rsidRDefault="00AF5416" w:rsidP="00AF5416">
      <w:pPr>
        <w:ind w:left="720"/>
        <w:rPr>
          <w:rFonts w:ascii="TimesNewRomanPSMT" w:hAnsi="TimesNewRomanPSMT" w:cs="TimesNewRomanPSMT"/>
          <w:sz w:val="20"/>
          <w:szCs w:val="20"/>
        </w:rPr>
      </w:pPr>
      <w:r>
        <w:rPr>
          <w:rFonts w:ascii="TimesNewRomanPSMT" w:hAnsi="TimesNewRomanPSMT" w:cs="TimesNewRomanPSMT"/>
          <w:sz w:val="20"/>
          <w:szCs w:val="20"/>
        </w:rPr>
        <w:t xml:space="preserve">Column </w:t>
      </w:r>
      <w:r w:rsidR="00496C34">
        <w:rPr>
          <w:rFonts w:ascii="TimesNewRomanPSMT" w:hAnsi="TimesNewRomanPSMT" w:cs="TimesNewRomanPSMT"/>
          <w:sz w:val="20"/>
          <w:szCs w:val="20"/>
        </w:rPr>
        <w:t>8</w:t>
      </w:r>
      <w:r>
        <w:rPr>
          <w:rFonts w:ascii="TimesNewRomanPSMT" w:hAnsi="TimesNewRomanPSMT" w:cs="TimesNewRomanPSMT"/>
          <w:sz w:val="20"/>
          <w:szCs w:val="20"/>
        </w:rPr>
        <w:t xml:space="preserve"> – New</w:t>
      </w:r>
      <w:r w:rsidR="00F1171D">
        <w:rPr>
          <w:rFonts w:ascii="TimesNewRomanPSMT" w:hAnsi="TimesNewRomanPSMT" w:cs="TimesNewRomanPSMT"/>
          <w:sz w:val="20"/>
          <w:szCs w:val="20"/>
        </w:rPr>
        <w:t xml:space="preserve"> Lives Insured</w:t>
      </w:r>
    </w:p>
    <w:p w:rsidR="00AF5416" w:rsidRDefault="00AF5416" w:rsidP="00AF5416">
      <w:pPr>
        <w:ind w:left="720"/>
        <w:rPr>
          <w:rFonts w:ascii="TimesNewRomanPSMT" w:hAnsi="TimesNewRomanPSMT" w:cs="TimesNewRomanPSMT"/>
          <w:sz w:val="20"/>
          <w:szCs w:val="20"/>
        </w:rPr>
      </w:pPr>
      <w:r>
        <w:rPr>
          <w:rFonts w:ascii="TimesNewRomanPSMT" w:hAnsi="TimesNewRomanPSMT" w:cs="TimesNewRomanPSMT"/>
          <w:sz w:val="20"/>
          <w:szCs w:val="20"/>
        </w:rPr>
        <w:tab/>
        <w:t xml:space="preserve">Total number of new </w:t>
      </w:r>
      <w:r w:rsidR="00960D41">
        <w:rPr>
          <w:rFonts w:ascii="TimesNewRomanPSMT" w:hAnsi="TimesNewRomanPSMT" w:cs="TimesNewRomanPSMT"/>
          <w:sz w:val="20"/>
          <w:szCs w:val="20"/>
        </w:rPr>
        <w:t>lives issued LTC certificates</w:t>
      </w:r>
      <w:r w:rsidR="004D2EA3">
        <w:rPr>
          <w:rFonts w:ascii="TimesNewRomanPSMT" w:hAnsi="TimesNewRomanPSMT" w:cs="TimesNewRomanPSMT"/>
          <w:sz w:val="20"/>
          <w:szCs w:val="20"/>
        </w:rPr>
        <w:t xml:space="preserve"> during the year.</w:t>
      </w:r>
    </w:p>
    <w:p w:rsidR="00AF5416" w:rsidRDefault="00AF5416" w:rsidP="00AF5416">
      <w:pPr>
        <w:ind w:left="720"/>
        <w:rPr>
          <w:rFonts w:ascii="TimesNewRomanPSMT" w:hAnsi="TimesNewRomanPSMT" w:cs="TimesNewRomanPSMT"/>
          <w:sz w:val="20"/>
          <w:szCs w:val="20"/>
        </w:rPr>
      </w:pPr>
    </w:p>
    <w:p w:rsidR="00AF5416" w:rsidRDefault="00AF5416" w:rsidP="00AF5416">
      <w:pPr>
        <w:ind w:left="720"/>
        <w:rPr>
          <w:rFonts w:ascii="TimesNewRomanPSMT" w:hAnsi="TimesNewRomanPSMT" w:cs="TimesNewRomanPSMT"/>
          <w:sz w:val="20"/>
          <w:szCs w:val="20"/>
        </w:rPr>
      </w:pPr>
    </w:p>
    <w:p w:rsidR="00AF5416" w:rsidRDefault="00AF5416" w:rsidP="00AF5416">
      <w:pPr>
        <w:ind w:left="720"/>
        <w:rPr>
          <w:rFonts w:ascii="TimesNewRomanPSMT" w:hAnsi="TimesNewRomanPSMT" w:cs="TimesNewRomanPSMT"/>
          <w:b/>
          <w:sz w:val="20"/>
          <w:szCs w:val="20"/>
        </w:rPr>
      </w:pPr>
    </w:p>
    <w:p w:rsidR="00AF5416" w:rsidRDefault="00AF5416" w:rsidP="00AF5416">
      <w:pPr>
        <w:ind w:left="720"/>
        <w:rPr>
          <w:rFonts w:ascii="TimesNewRomanPSMT" w:hAnsi="TimesNewRomanPSMT" w:cs="TimesNewRomanPSMT"/>
          <w:b/>
          <w:sz w:val="20"/>
          <w:szCs w:val="20"/>
        </w:rPr>
      </w:pPr>
    </w:p>
    <w:p w:rsidR="00AF5416" w:rsidRDefault="00AF5416" w:rsidP="00AF5416">
      <w:pPr>
        <w:ind w:left="720"/>
        <w:rPr>
          <w:rFonts w:ascii="TimesNewRomanPSMT" w:hAnsi="TimesNewRomanPSMT" w:cs="TimesNewRomanPSMT"/>
          <w:b/>
          <w:sz w:val="20"/>
          <w:szCs w:val="20"/>
        </w:rPr>
      </w:pPr>
    </w:p>
    <w:p w:rsidR="00AF5416" w:rsidRDefault="00AF5416" w:rsidP="00AF5416">
      <w:pPr>
        <w:ind w:left="720"/>
        <w:rPr>
          <w:rFonts w:ascii="TimesNewRomanPSMT" w:hAnsi="TimesNewRomanPSMT" w:cs="TimesNewRomanPSMT"/>
          <w:b/>
          <w:sz w:val="20"/>
          <w:szCs w:val="20"/>
        </w:rPr>
      </w:pPr>
    </w:p>
    <w:p w:rsidR="00AF5416" w:rsidRDefault="00AF5416" w:rsidP="00AF5416">
      <w:pPr>
        <w:ind w:left="720"/>
        <w:rPr>
          <w:rFonts w:ascii="TimesNewRomanPSMT" w:hAnsi="TimesNewRomanPSMT" w:cs="TimesNewRomanPSMT"/>
          <w:b/>
          <w:sz w:val="20"/>
          <w:szCs w:val="20"/>
        </w:rPr>
      </w:pPr>
    </w:p>
    <w:p w:rsidR="00AF5416" w:rsidRDefault="00AF5416" w:rsidP="00AF5416">
      <w:pPr>
        <w:ind w:left="720"/>
        <w:rPr>
          <w:rFonts w:ascii="TimesNewRomanPSMT" w:hAnsi="TimesNewRomanPSMT" w:cs="TimesNewRomanPSMT"/>
          <w:b/>
          <w:sz w:val="20"/>
          <w:szCs w:val="20"/>
        </w:rPr>
      </w:pPr>
    </w:p>
    <w:p w:rsidR="00AF5416" w:rsidRDefault="00AF5416" w:rsidP="00AF5416">
      <w:pPr>
        <w:ind w:left="720"/>
        <w:rPr>
          <w:rFonts w:ascii="TimesNewRomanPSMT" w:hAnsi="TimesNewRomanPSMT" w:cs="TimesNewRomanPSMT"/>
          <w:b/>
          <w:sz w:val="20"/>
          <w:szCs w:val="20"/>
        </w:rPr>
      </w:pPr>
    </w:p>
    <w:p w:rsidR="00AF5416" w:rsidRDefault="00AF5416" w:rsidP="00AF5416">
      <w:pPr>
        <w:ind w:left="720"/>
        <w:rPr>
          <w:rFonts w:ascii="TimesNewRomanPSMT" w:hAnsi="TimesNewRomanPSMT" w:cs="TimesNewRomanPSMT"/>
          <w:b/>
          <w:sz w:val="20"/>
          <w:szCs w:val="20"/>
        </w:rPr>
      </w:pPr>
    </w:p>
    <w:p w:rsidR="00AF5416" w:rsidRDefault="00AF5416" w:rsidP="00AF5416">
      <w:pPr>
        <w:ind w:left="720"/>
        <w:rPr>
          <w:rFonts w:ascii="TimesNewRomanPSMT" w:hAnsi="TimesNewRomanPSMT" w:cs="TimesNewRomanPSMT"/>
          <w:b/>
          <w:sz w:val="20"/>
          <w:szCs w:val="20"/>
        </w:rPr>
      </w:pPr>
    </w:p>
    <w:p w:rsidR="00AF5416" w:rsidRDefault="00AF5416" w:rsidP="00AF5416">
      <w:pPr>
        <w:ind w:left="720"/>
        <w:rPr>
          <w:rFonts w:ascii="TimesNewRomanPSMT" w:hAnsi="TimesNewRomanPSMT" w:cs="TimesNewRomanPSMT"/>
          <w:b/>
          <w:sz w:val="20"/>
          <w:szCs w:val="20"/>
        </w:rPr>
      </w:pPr>
    </w:p>
    <w:p w:rsidR="00AF5416" w:rsidRDefault="00AF5416" w:rsidP="00AF5416">
      <w:pPr>
        <w:ind w:left="720"/>
        <w:rPr>
          <w:rFonts w:ascii="TimesNewRomanPSMT" w:hAnsi="TimesNewRomanPSMT" w:cs="TimesNewRomanPSMT"/>
          <w:b/>
          <w:sz w:val="20"/>
          <w:szCs w:val="20"/>
        </w:rPr>
      </w:pPr>
    </w:p>
    <w:p w:rsidR="00B80B09" w:rsidRDefault="00B80B09" w:rsidP="00AF5416">
      <w:pPr>
        <w:ind w:left="720"/>
        <w:rPr>
          <w:rFonts w:ascii="TimesNewRomanPSMT" w:hAnsi="TimesNewRomanPSMT" w:cs="TimesNewRomanPSMT"/>
          <w:b/>
          <w:sz w:val="20"/>
          <w:szCs w:val="20"/>
        </w:rPr>
      </w:pPr>
    </w:p>
    <w:p w:rsidR="00B80B09" w:rsidRDefault="00B80B09" w:rsidP="00AF5416">
      <w:pPr>
        <w:ind w:left="720"/>
        <w:rPr>
          <w:rFonts w:ascii="TimesNewRomanPSMT" w:hAnsi="TimesNewRomanPSMT" w:cs="TimesNewRomanPSMT"/>
          <w:b/>
          <w:sz w:val="20"/>
          <w:szCs w:val="20"/>
        </w:rPr>
      </w:pPr>
    </w:p>
    <w:p w:rsidR="00496C34" w:rsidRDefault="00496C34" w:rsidP="001277E4">
      <w:pPr>
        <w:rPr>
          <w:rFonts w:ascii="TimesNewRomanPSMT" w:hAnsi="TimesNewRomanPSMT" w:cs="TimesNewRomanPSMT"/>
          <w:b/>
          <w:sz w:val="20"/>
          <w:szCs w:val="20"/>
        </w:rPr>
      </w:pPr>
    </w:p>
    <w:p w:rsidR="00AF5416" w:rsidRPr="00C86F02" w:rsidRDefault="00AF5416" w:rsidP="001277E4">
      <w:pPr>
        <w:rPr>
          <w:rFonts w:ascii="TimesNewRomanPSMT" w:hAnsi="TimesNewRomanPSMT" w:cs="TimesNewRomanPSMT"/>
          <w:b/>
          <w:sz w:val="20"/>
          <w:szCs w:val="20"/>
        </w:rPr>
      </w:pPr>
      <w:r w:rsidRPr="00C86F02">
        <w:rPr>
          <w:rFonts w:ascii="TimesNewRomanPSMT" w:hAnsi="TimesNewRomanPSMT" w:cs="TimesNewRomanPSMT"/>
          <w:b/>
          <w:sz w:val="20"/>
          <w:szCs w:val="20"/>
        </w:rPr>
        <w:lastRenderedPageBreak/>
        <w:t xml:space="preserve">Form 5 </w:t>
      </w:r>
    </w:p>
    <w:p w:rsidR="00AF5416" w:rsidRDefault="00AF5416" w:rsidP="00AF5416">
      <w:pPr>
        <w:ind w:left="720"/>
      </w:pPr>
      <w:r>
        <w:t>Definitions and Formulas</w:t>
      </w:r>
    </w:p>
    <w:p w:rsidR="00AF5416" w:rsidRDefault="00AF5416" w:rsidP="00AF5416">
      <w:pPr>
        <w:autoSpaceDE w:val="0"/>
        <w:autoSpaceDN w:val="0"/>
        <w:adjustRightInd w:val="0"/>
        <w:spacing w:after="0" w:line="240" w:lineRule="auto"/>
        <w:ind w:left="720"/>
        <w:rPr>
          <w:rFonts w:ascii="Times New Roman" w:hAnsi="Times New Roman" w:cs="Times New Roman"/>
          <w:b/>
          <w:bCs/>
          <w:sz w:val="20"/>
          <w:szCs w:val="20"/>
        </w:rPr>
      </w:pPr>
      <w:r>
        <w:rPr>
          <w:rFonts w:ascii="Times New Roman" w:hAnsi="Times New Roman" w:cs="Times New Roman"/>
          <w:b/>
          <w:bCs/>
          <w:sz w:val="20"/>
          <w:szCs w:val="20"/>
        </w:rPr>
        <w:t>Current</w:t>
      </w:r>
    </w:p>
    <w:p w:rsidR="00AF5416" w:rsidRDefault="00AF5416" w:rsidP="00AF5416">
      <w:pPr>
        <w:autoSpaceDE w:val="0"/>
        <w:autoSpaceDN w:val="0"/>
        <w:adjustRightInd w:val="0"/>
        <w:spacing w:after="0" w:line="240" w:lineRule="auto"/>
        <w:ind w:left="720" w:firstLine="720"/>
        <w:rPr>
          <w:rFonts w:ascii="TimesNewRomanPSMT" w:hAnsi="TimesNewRomanPSMT" w:cs="TimesNewRomanPSMT"/>
          <w:sz w:val="20"/>
          <w:szCs w:val="20"/>
        </w:rPr>
      </w:pPr>
    </w:p>
    <w:p w:rsidR="00AF5416" w:rsidRDefault="00AF5416" w:rsidP="00AF5416">
      <w:pPr>
        <w:autoSpaceDE w:val="0"/>
        <w:autoSpaceDN w:val="0"/>
        <w:adjustRightInd w:val="0"/>
        <w:spacing w:after="0" w:line="240" w:lineRule="auto"/>
        <w:ind w:left="720" w:firstLine="720"/>
        <w:rPr>
          <w:rFonts w:ascii="TimesNewRomanPSMT" w:hAnsi="TimesNewRomanPSMT" w:cs="TimesNewRomanPSMT"/>
          <w:sz w:val="20"/>
          <w:szCs w:val="20"/>
        </w:rPr>
      </w:pPr>
      <w:proofErr w:type="gramStart"/>
      <w:r>
        <w:rPr>
          <w:rFonts w:ascii="TimesNewRomanPSMT" w:hAnsi="TimesNewRomanPSMT" w:cs="TimesNewRomanPSMT"/>
          <w:sz w:val="20"/>
          <w:szCs w:val="20"/>
        </w:rPr>
        <w:t>Current calendar year of reporting.</w:t>
      </w:r>
      <w:proofErr w:type="gramEnd"/>
    </w:p>
    <w:p w:rsidR="00AF5416" w:rsidRPr="00641515" w:rsidRDefault="00AF5416" w:rsidP="00AF5416">
      <w:pPr>
        <w:autoSpaceDE w:val="0"/>
        <w:autoSpaceDN w:val="0"/>
        <w:adjustRightInd w:val="0"/>
        <w:spacing w:after="0" w:line="240" w:lineRule="auto"/>
        <w:ind w:left="720" w:firstLine="720"/>
        <w:rPr>
          <w:rFonts w:ascii="Times New Roman" w:hAnsi="Times New Roman" w:cs="Times New Roman"/>
          <w:b/>
          <w:bCs/>
          <w:sz w:val="20"/>
          <w:szCs w:val="20"/>
        </w:rPr>
      </w:pPr>
    </w:p>
    <w:p w:rsidR="00AF5416" w:rsidRDefault="00AF5416" w:rsidP="00AF5416">
      <w:pPr>
        <w:autoSpaceDE w:val="0"/>
        <w:autoSpaceDN w:val="0"/>
        <w:adjustRightInd w:val="0"/>
        <w:spacing w:after="0" w:line="240" w:lineRule="auto"/>
        <w:ind w:left="720"/>
        <w:rPr>
          <w:rFonts w:ascii="Times New Roman" w:hAnsi="Times New Roman" w:cs="Times New Roman"/>
          <w:b/>
          <w:bCs/>
          <w:sz w:val="20"/>
          <w:szCs w:val="20"/>
        </w:rPr>
      </w:pPr>
      <w:r>
        <w:rPr>
          <w:rFonts w:ascii="Times New Roman" w:hAnsi="Times New Roman" w:cs="Times New Roman"/>
          <w:b/>
          <w:bCs/>
          <w:sz w:val="20"/>
          <w:szCs w:val="20"/>
        </w:rPr>
        <w:t>Total Inception-to-Date</w:t>
      </w:r>
    </w:p>
    <w:p w:rsidR="00AF5416" w:rsidRDefault="00AF5416" w:rsidP="00AF5416">
      <w:pPr>
        <w:autoSpaceDE w:val="0"/>
        <w:autoSpaceDN w:val="0"/>
        <w:adjustRightInd w:val="0"/>
        <w:spacing w:after="0" w:line="240" w:lineRule="auto"/>
        <w:ind w:left="720" w:firstLine="720"/>
        <w:rPr>
          <w:rFonts w:ascii="TimesNewRomanPSMT" w:hAnsi="TimesNewRomanPSMT" w:cs="TimesNewRomanPSMT"/>
          <w:sz w:val="20"/>
          <w:szCs w:val="20"/>
        </w:rPr>
      </w:pPr>
    </w:p>
    <w:p w:rsidR="00AF5416" w:rsidRDefault="00AF5416" w:rsidP="00AF5416">
      <w:pPr>
        <w:autoSpaceDE w:val="0"/>
        <w:autoSpaceDN w:val="0"/>
        <w:adjustRightInd w:val="0"/>
        <w:spacing w:after="0" w:line="240" w:lineRule="auto"/>
        <w:ind w:left="720" w:firstLine="720"/>
        <w:rPr>
          <w:rFonts w:ascii="TimesNewRomanPSMT" w:hAnsi="TimesNewRomanPSMT" w:cs="TimesNewRomanPSMT"/>
          <w:sz w:val="20"/>
          <w:szCs w:val="20"/>
        </w:rPr>
      </w:pPr>
      <w:proofErr w:type="gramStart"/>
      <w:r>
        <w:rPr>
          <w:rFonts w:ascii="TimesNewRomanPSMT" w:hAnsi="TimesNewRomanPSMT" w:cs="TimesNewRomanPSMT"/>
          <w:sz w:val="20"/>
          <w:szCs w:val="20"/>
        </w:rPr>
        <w:t>Aggregate experience data since issuance of policies.</w:t>
      </w:r>
      <w:proofErr w:type="gramEnd"/>
    </w:p>
    <w:p w:rsidR="00AF5416" w:rsidRDefault="00AF5416" w:rsidP="00AF5416">
      <w:pPr>
        <w:ind w:left="720"/>
        <w:rPr>
          <w:rFonts w:ascii="TimesNewRomanPSMT" w:hAnsi="TimesNewRomanPSMT" w:cs="TimesNewRomanPSMT"/>
          <w:b/>
          <w:sz w:val="20"/>
          <w:szCs w:val="20"/>
        </w:rPr>
      </w:pPr>
    </w:p>
    <w:p w:rsidR="00AF5416" w:rsidRDefault="00AF5416" w:rsidP="00AF5416">
      <w:pPr>
        <w:ind w:left="720"/>
        <w:rPr>
          <w:rFonts w:ascii="TimesNewRomanPSMT" w:hAnsi="TimesNewRomanPSMT" w:cs="TimesNewRomanPSMT"/>
          <w:b/>
          <w:sz w:val="20"/>
          <w:szCs w:val="20"/>
        </w:rPr>
      </w:pPr>
      <w:r>
        <w:rPr>
          <w:rFonts w:ascii="TimesNewRomanPSMT" w:hAnsi="TimesNewRomanPSMT" w:cs="TimesNewRomanPSMT"/>
          <w:b/>
          <w:sz w:val="20"/>
          <w:szCs w:val="20"/>
        </w:rPr>
        <w:t>Stand-alone LTC</w:t>
      </w:r>
    </w:p>
    <w:p w:rsidR="00AF5416" w:rsidRDefault="00AF5416" w:rsidP="00AF5416">
      <w:pPr>
        <w:ind w:left="720"/>
        <w:rPr>
          <w:rFonts w:ascii="TimesNewRomanPSMT" w:hAnsi="TimesNewRomanPSMT" w:cs="TimesNewRomanPSMT"/>
          <w:sz w:val="20"/>
          <w:szCs w:val="20"/>
        </w:rPr>
      </w:pPr>
      <w:r>
        <w:rPr>
          <w:rFonts w:ascii="TimesNewRomanPSMT" w:hAnsi="TimesNewRomanPSMT" w:cs="TimesNewRomanPSMT"/>
          <w:b/>
          <w:sz w:val="20"/>
          <w:szCs w:val="20"/>
        </w:rPr>
        <w:tab/>
      </w:r>
      <w:proofErr w:type="gramStart"/>
      <w:r>
        <w:rPr>
          <w:rFonts w:ascii="TimesNewRomanPSMT" w:hAnsi="TimesNewRomanPSMT" w:cs="TimesNewRomanPSMT"/>
          <w:sz w:val="20"/>
          <w:szCs w:val="20"/>
        </w:rPr>
        <w:t>An LTC product that is sold by itself, not as a rider on another type of insurance.</w:t>
      </w:r>
      <w:proofErr w:type="gramEnd"/>
    </w:p>
    <w:p w:rsidR="00AF5416" w:rsidRDefault="00AF5416" w:rsidP="00AF5416">
      <w:pPr>
        <w:ind w:left="720"/>
        <w:rPr>
          <w:rFonts w:ascii="TimesNewRomanPSMT" w:hAnsi="TimesNewRomanPSMT" w:cs="TimesNewRomanPSMT"/>
          <w:b/>
          <w:sz w:val="20"/>
          <w:szCs w:val="20"/>
        </w:rPr>
      </w:pPr>
      <w:r>
        <w:rPr>
          <w:rFonts w:ascii="TimesNewRomanPSMT" w:hAnsi="TimesNewRomanPSMT" w:cs="TimesNewRomanPSMT"/>
          <w:b/>
          <w:sz w:val="20"/>
          <w:szCs w:val="20"/>
        </w:rPr>
        <w:t>Life/LTC Accelerated Benefits Riders</w:t>
      </w:r>
    </w:p>
    <w:p w:rsidR="00AF5416" w:rsidRDefault="00AF5416" w:rsidP="001277E4">
      <w:pPr>
        <w:ind w:left="1440"/>
        <w:rPr>
          <w:rFonts w:ascii="TimesNewRomanPSMT" w:hAnsi="TimesNewRomanPSMT" w:cs="TimesNewRomanPSMT"/>
          <w:sz w:val="20"/>
          <w:szCs w:val="20"/>
        </w:rPr>
      </w:pPr>
      <w:r>
        <w:rPr>
          <w:rFonts w:ascii="TimesNewRomanPSMT" w:hAnsi="TimesNewRomanPSMT" w:cs="TimesNewRomanPSMT"/>
          <w:sz w:val="20"/>
          <w:szCs w:val="20"/>
        </w:rPr>
        <w:t>Riders attached to life insurance or annuity products that allow for a benefit to be claimed upon the occurrence of a long-term care need at the cost of reduction in the death benefit or annuity payout benefit.</w:t>
      </w:r>
    </w:p>
    <w:p w:rsidR="00AF5416" w:rsidRDefault="00AF5416" w:rsidP="00AF5416">
      <w:pPr>
        <w:ind w:left="720"/>
        <w:rPr>
          <w:rFonts w:ascii="TimesNewRomanPSMT" w:hAnsi="TimesNewRomanPSMT" w:cs="TimesNewRomanPSMT"/>
          <w:b/>
          <w:sz w:val="20"/>
          <w:szCs w:val="20"/>
        </w:rPr>
      </w:pPr>
      <w:r w:rsidRPr="00EA21CF">
        <w:rPr>
          <w:rFonts w:ascii="TimesNewRomanPSMT" w:hAnsi="TimesNewRomanPSMT" w:cs="TimesNewRomanPSMT"/>
          <w:b/>
          <w:sz w:val="20"/>
          <w:szCs w:val="20"/>
        </w:rPr>
        <w:t>LTC Extension of Benefit Riders</w:t>
      </w:r>
    </w:p>
    <w:p w:rsidR="00AF5416" w:rsidRDefault="00AF5416" w:rsidP="001277E4">
      <w:pPr>
        <w:ind w:left="1440"/>
        <w:rPr>
          <w:rFonts w:ascii="TimesNewRomanPSMT" w:hAnsi="TimesNewRomanPSMT" w:cs="TimesNewRomanPSMT"/>
          <w:sz w:val="20"/>
          <w:szCs w:val="20"/>
        </w:rPr>
      </w:pPr>
      <w:r>
        <w:rPr>
          <w:rFonts w:ascii="TimesNewRomanPSMT" w:hAnsi="TimesNewRomanPSMT" w:cs="TimesNewRomanPSMT"/>
          <w:sz w:val="20"/>
          <w:szCs w:val="20"/>
        </w:rPr>
        <w:t>Riders attached to life insurance or annuity products that allow for a benefit to be claimed above and beyond the initial benefit amount in the event that all accelerated benefits have been claimed and the insured is still in need of long-term care services.</w:t>
      </w:r>
    </w:p>
    <w:p w:rsidR="00AF5416" w:rsidRDefault="00AF5416" w:rsidP="00AF5416">
      <w:pPr>
        <w:ind w:left="720"/>
        <w:rPr>
          <w:rFonts w:ascii="TimesNewRomanPSMT" w:hAnsi="TimesNewRomanPSMT" w:cs="TimesNewRomanPSMT"/>
          <w:sz w:val="20"/>
          <w:szCs w:val="20"/>
        </w:rPr>
      </w:pPr>
      <w:r>
        <w:rPr>
          <w:rFonts w:ascii="TimesNewRomanPSMT" w:hAnsi="TimesNewRomanPSMT" w:cs="TimesNewRomanPSMT"/>
          <w:sz w:val="20"/>
          <w:szCs w:val="20"/>
        </w:rPr>
        <w:t>Column 1 – State Code</w:t>
      </w:r>
    </w:p>
    <w:p w:rsidR="00AF5416" w:rsidRDefault="00AF5416" w:rsidP="00AF5416">
      <w:pPr>
        <w:ind w:left="720"/>
        <w:rPr>
          <w:rFonts w:ascii="TimesNewRomanPSMT" w:hAnsi="TimesNewRomanPSMT" w:cs="TimesNewRomanPSMT"/>
          <w:sz w:val="20"/>
          <w:szCs w:val="20"/>
        </w:rPr>
      </w:pPr>
      <w:r>
        <w:rPr>
          <w:rFonts w:ascii="TimesNewRomanPSMT" w:hAnsi="TimesNewRomanPSMT" w:cs="TimesNewRomanPSMT"/>
          <w:sz w:val="20"/>
          <w:szCs w:val="20"/>
        </w:rPr>
        <w:tab/>
      </w:r>
      <w:proofErr w:type="gramStart"/>
      <w:r>
        <w:rPr>
          <w:rFonts w:ascii="TimesNewRomanPSMT" w:hAnsi="TimesNewRomanPSMT" w:cs="TimesNewRomanPSMT"/>
          <w:sz w:val="20"/>
          <w:szCs w:val="20"/>
        </w:rPr>
        <w:t>The state for which data is being reported.</w:t>
      </w:r>
      <w:proofErr w:type="gramEnd"/>
      <w:r>
        <w:rPr>
          <w:rFonts w:ascii="TimesNewRomanPSMT" w:hAnsi="TimesNewRomanPSMT" w:cs="TimesNewRomanPSMT"/>
          <w:sz w:val="20"/>
          <w:szCs w:val="20"/>
        </w:rPr>
        <w:t xml:space="preserve">  Example: CA for California</w:t>
      </w:r>
    </w:p>
    <w:p w:rsidR="00AF5416" w:rsidRDefault="00AF5416" w:rsidP="00AF5416">
      <w:pPr>
        <w:ind w:left="720"/>
        <w:rPr>
          <w:rFonts w:ascii="TimesNewRomanPSMT" w:hAnsi="TimesNewRomanPSMT" w:cs="TimesNewRomanPSMT"/>
          <w:sz w:val="20"/>
          <w:szCs w:val="20"/>
        </w:rPr>
      </w:pPr>
      <w:r>
        <w:rPr>
          <w:rFonts w:ascii="TimesNewRomanPSMT" w:hAnsi="TimesNewRomanPSMT" w:cs="TimesNewRomanPSMT"/>
          <w:sz w:val="20"/>
          <w:szCs w:val="20"/>
        </w:rPr>
        <w:t xml:space="preserve">Column </w:t>
      </w:r>
      <w:r w:rsidR="00A933FD">
        <w:rPr>
          <w:rFonts w:ascii="TimesNewRomanPSMT" w:hAnsi="TimesNewRomanPSMT" w:cs="TimesNewRomanPSMT"/>
          <w:sz w:val="20"/>
          <w:szCs w:val="20"/>
        </w:rPr>
        <w:t>2</w:t>
      </w:r>
      <w:r>
        <w:rPr>
          <w:rFonts w:ascii="TimesNewRomanPSMT" w:hAnsi="TimesNewRomanPSMT" w:cs="TimesNewRomanPSMT"/>
          <w:sz w:val="20"/>
          <w:szCs w:val="20"/>
        </w:rPr>
        <w:t xml:space="preserve"> – New Lives </w:t>
      </w:r>
      <w:proofErr w:type="gramStart"/>
      <w:r>
        <w:rPr>
          <w:rFonts w:ascii="TimesNewRomanPSMT" w:hAnsi="TimesNewRomanPSMT" w:cs="TimesNewRomanPSMT"/>
          <w:sz w:val="20"/>
          <w:szCs w:val="20"/>
        </w:rPr>
        <w:t>During</w:t>
      </w:r>
      <w:proofErr w:type="gramEnd"/>
      <w:r>
        <w:rPr>
          <w:rFonts w:ascii="TimesNewRomanPSMT" w:hAnsi="TimesNewRomanPSMT" w:cs="TimesNewRomanPSMT"/>
          <w:sz w:val="20"/>
          <w:szCs w:val="20"/>
        </w:rPr>
        <w:t xml:space="preserve"> Year</w:t>
      </w:r>
    </w:p>
    <w:p w:rsidR="00AF5416" w:rsidRDefault="00AF5416" w:rsidP="001277E4">
      <w:pPr>
        <w:ind w:left="1440"/>
        <w:rPr>
          <w:rFonts w:ascii="TimesNewRomanPSMT" w:hAnsi="TimesNewRomanPSMT" w:cs="TimesNewRomanPSMT"/>
          <w:sz w:val="20"/>
          <w:szCs w:val="20"/>
        </w:rPr>
      </w:pPr>
      <w:proofErr w:type="gramStart"/>
      <w:r>
        <w:rPr>
          <w:rFonts w:ascii="TimesNewRomanPSMT" w:hAnsi="TimesNewRomanPSMT" w:cs="TimesNewRomanPSMT"/>
          <w:sz w:val="20"/>
          <w:szCs w:val="20"/>
        </w:rPr>
        <w:t>Total number of new lives that entered the block during the year.</w:t>
      </w:r>
      <w:proofErr w:type="gramEnd"/>
      <w:r>
        <w:rPr>
          <w:rFonts w:ascii="TimesNewRomanPSMT" w:hAnsi="TimesNewRomanPSMT" w:cs="TimesNewRomanPSMT"/>
          <w:sz w:val="20"/>
          <w:szCs w:val="20"/>
        </w:rPr>
        <w:t xml:space="preserve">  Joint policies are to be counted as multiple lives.</w:t>
      </w:r>
    </w:p>
    <w:p w:rsidR="00AF5416" w:rsidRDefault="00AF5416" w:rsidP="00F77D8B">
      <w:pPr>
        <w:ind w:left="720"/>
        <w:rPr>
          <w:rFonts w:ascii="TimesNewRomanPSMT" w:hAnsi="TimesNewRomanPSMT" w:cs="TimesNewRomanPSMT"/>
          <w:sz w:val="20"/>
          <w:szCs w:val="20"/>
        </w:rPr>
      </w:pPr>
      <w:r>
        <w:rPr>
          <w:rFonts w:ascii="TimesNewRomanPSMT" w:hAnsi="TimesNewRomanPSMT" w:cs="TimesNewRomanPSMT"/>
          <w:sz w:val="20"/>
          <w:szCs w:val="20"/>
        </w:rPr>
        <w:t xml:space="preserve">Column </w:t>
      </w:r>
      <w:r w:rsidR="00A933FD">
        <w:rPr>
          <w:rFonts w:ascii="TimesNewRomanPSMT" w:hAnsi="TimesNewRomanPSMT" w:cs="TimesNewRomanPSMT"/>
          <w:sz w:val="20"/>
          <w:szCs w:val="20"/>
        </w:rPr>
        <w:t>3</w:t>
      </w:r>
      <w:r>
        <w:rPr>
          <w:rFonts w:ascii="TimesNewRomanPSMT" w:hAnsi="TimesNewRomanPSMT" w:cs="TimesNewRomanPSMT"/>
          <w:sz w:val="20"/>
          <w:szCs w:val="20"/>
        </w:rPr>
        <w:t xml:space="preserve"> – Lives In-force </w:t>
      </w:r>
      <w:r w:rsidR="00F77D8B">
        <w:rPr>
          <w:rFonts w:ascii="TimesNewRomanPSMT" w:hAnsi="TimesNewRomanPSMT" w:cs="TimesNewRomanPSMT"/>
          <w:sz w:val="20"/>
          <w:szCs w:val="20"/>
        </w:rPr>
        <w:t>Year End</w:t>
      </w:r>
    </w:p>
    <w:p w:rsidR="00AF5416" w:rsidRDefault="00AF5416" w:rsidP="00AF5416">
      <w:pPr>
        <w:ind w:left="720"/>
        <w:rPr>
          <w:rFonts w:ascii="TimesNewRomanPSMT" w:hAnsi="TimesNewRomanPSMT" w:cs="TimesNewRomanPSMT"/>
          <w:sz w:val="20"/>
          <w:szCs w:val="20"/>
        </w:rPr>
      </w:pPr>
      <w:r>
        <w:rPr>
          <w:rFonts w:ascii="TimesNewRomanPSMT" w:hAnsi="TimesNewRomanPSMT" w:cs="TimesNewRomanPSMT"/>
          <w:sz w:val="20"/>
          <w:szCs w:val="20"/>
        </w:rPr>
        <w:tab/>
      </w:r>
      <w:proofErr w:type="gramStart"/>
      <w:r>
        <w:rPr>
          <w:rFonts w:ascii="TimesNewRomanPSMT" w:hAnsi="TimesNewRomanPSMT" w:cs="TimesNewRomanPSMT"/>
          <w:sz w:val="20"/>
          <w:szCs w:val="20"/>
        </w:rPr>
        <w:t>Total number of lives in force at the end of the year.</w:t>
      </w:r>
      <w:proofErr w:type="gramEnd"/>
      <w:r>
        <w:rPr>
          <w:rFonts w:ascii="TimesNewRomanPSMT" w:hAnsi="TimesNewRomanPSMT" w:cs="TimesNewRomanPSMT"/>
          <w:sz w:val="20"/>
          <w:szCs w:val="20"/>
        </w:rPr>
        <w:t xml:space="preserve">  Joint policies are to be counted as two lives.</w:t>
      </w:r>
    </w:p>
    <w:p w:rsidR="00A933FD" w:rsidRDefault="00A933FD" w:rsidP="00A933FD">
      <w:pPr>
        <w:ind w:left="720"/>
      </w:pPr>
      <w:r>
        <w:rPr>
          <w:rFonts w:ascii="TimesNewRomanPSMT" w:hAnsi="TimesNewRomanPSMT" w:cs="TimesNewRomanPSMT"/>
          <w:sz w:val="20"/>
          <w:szCs w:val="20"/>
        </w:rPr>
        <w:t xml:space="preserve">Column </w:t>
      </w:r>
      <w:r w:rsidR="000C1171">
        <w:rPr>
          <w:rFonts w:ascii="TimesNewRomanPSMT" w:hAnsi="TimesNewRomanPSMT" w:cs="TimesNewRomanPSMT"/>
          <w:sz w:val="20"/>
          <w:szCs w:val="20"/>
        </w:rPr>
        <w:t>4</w:t>
      </w:r>
      <w:r>
        <w:rPr>
          <w:rFonts w:ascii="TimesNewRomanPSMT" w:hAnsi="TimesNewRomanPSMT" w:cs="TimesNewRomanPSMT"/>
          <w:sz w:val="20"/>
          <w:szCs w:val="20"/>
        </w:rPr>
        <w:t xml:space="preserve"> </w:t>
      </w:r>
      <w:r>
        <w:t>– Earned Premiums</w:t>
      </w:r>
    </w:p>
    <w:p w:rsidR="00A933FD" w:rsidRDefault="00A933FD" w:rsidP="00A933FD">
      <w:pPr>
        <w:autoSpaceDE w:val="0"/>
        <w:autoSpaceDN w:val="0"/>
        <w:adjustRightInd w:val="0"/>
        <w:spacing w:after="0" w:line="240" w:lineRule="auto"/>
        <w:ind w:left="720" w:firstLine="720"/>
        <w:rPr>
          <w:rFonts w:ascii="TimesNewRomanPSMT" w:hAnsi="TimesNewRomanPSMT" w:cs="TimesNewRomanPSMT"/>
          <w:sz w:val="20"/>
          <w:szCs w:val="20"/>
        </w:rPr>
      </w:pPr>
      <w:r>
        <w:rPr>
          <w:rFonts w:ascii="TimesNewRomanPSMT" w:hAnsi="TimesNewRomanPSMT" w:cs="TimesNewRomanPSMT"/>
          <w:sz w:val="20"/>
          <w:szCs w:val="20"/>
        </w:rPr>
        <w:t>Collected Premiums + Change in Due Premiums – Change in Advanced Premiums – Change in</w:t>
      </w:r>
    </w:p>
    <w:p w:rsidR="00A933FD" w:rsidRDefault="00A933FD" w:rsidP="00A933FD">
      <w:pPr>
        <w:autoSpaceDE w:val="0"/>
        <w:autoSpaceDN w:val="0"/>
        <w:adjustRightInd w:val="0"/>
        <w:spacing w:after="0" w:line="240" w:lineRule="auto"/>
        <w:ind w:left="720" w:firstLine="720"/>
        <w:rPr>
          <w:rFonts w:ascii="TimesNewRomanPSMT" w:hAnsi="TimesNewRomanPSMT" w:cs="TimesNewRomanPSMT"/>
          <w:sz w:val="20"/>
          <w:szCs w:val="20"/>
        </w:rPr>
      </w:pPr>
      <w:proofErr w:type="gramStart"/>
      <w:r>
        <w:rPr>
          <w:rFonts w:ascii="TimesNewRomanPSMT" w:hAnsi="TimesNewRomanPSMT" w:cs="TimesNewRomanPSMT"/>
          <w:sz w:val="20"/>
          <w:szCs w:val="20"/>
        </w:rPr>
        <w:t>Unearned Premium Reserves.</w:t>
      </w:r>
      <w:proofErr w:type="gramEnd"/>
    </w:p>
    <w:p w:rsidR="00A933FD" w:rsidRDefault="00A933FD" w:rsidP="00A933FD">
      <w:pPr>
        <w:autoSpaceDE w:val="0"/>
        <w:autoSpaceDN w:val="0"/>
        <w:adjustRightInd w:val="0"/>
        <w:spacing w:after="0" w:line="240" w:lineRule="auto"/>
        <w:ind w:left="720" w:firstLine="720"/>
        <w:rPr>
          <w:rFonts w:ascii="Times New Roman" w:hAnsi="Times New Roman" w:cs="Times New Roman"/>
          <w:b/>
          <w:bCs/>
          <w:sz w:val="20"/>
          <w:szCs w:val="20"/>
        </w:rPr>
      </w:pPr>
      <w:r>
        <w:rPr>
          <w:rFonts w:ascii="Times New Roman" w:hAnsi="Times New Roman" w:cs="Times New Roman"/>
          <w:b/>
          <w:bCs/>
          <w:sz w:val="20"/>
          <w:szCs w:val="20"/>
        </w:rPr>
        <w:t>Life, Accident &amp; Health, Fraternal and Property/Casualty Only</w:t>
      </w:r>
    </w:p>
    <w:p w:rsidR="00A933FD" w:rsidRDefault="00A933FD" w:rsidP="00A933FD">
      <w:pPr>
        <w:autoSpaceDE w:val="0"/>
        <w:autoSpaceDN w:val="0"/>
        <w:adjustRightInd w:val="0"/>
        <w:spacing w:after="0" w:line="240" w:lineRule="auto"/>
        <w:ind w:left="1440" w:firstLine="720"/>
        <w:rPr>
          <w:rFonts w:ascii="TimesNewRomanPSMT" w:hAnsi="TimesNewRomanPSMT" w:cs="TimesNewRomanPSMT"/>
          <w:sz w:val="20"/>
          <w:szCs w:val="20"/>
        </w:rPr>
      </w:pPr>
      <w:r>
        <w:rPr>
          <w:rFonts w:ascii="TimesNewRomanPSMT" w:hAnsi="TimesNewRomanPSMT" w:cs="TimesNewRomanPSMT"/>
          <w:sz w:val="20"/>
          <w:szCs w:val="20"/>
        </w:rPr>
        <w:t>Total earned premiums should equal direct earned premiums for LTC business from</w:t>
      </w:r>
    </w:p>
    <w:p w:rsidR="00A933FD" w:rsidRDefault="00A933FD" w:rsidP="00A933FD">
      <w:pPr>
        <w:ind w:left="1440" w:firstLine="720"/>
        <w:rPr>
          <w:rFonts w:ascii="TimesNewRomanPSMT" w:hAnsi="TimesNewRomanPSMT" w:cs="TimesNewRomanPSMT"/>
          <w:sz w:val="20"/>
          <w:szCs w:val="20"/>
        </w:rPr>
      </w:pPr>
      <w:r>
        <w:rPr>
          <w:rFonts w:ascii="TimesNewRomanPSMT" w:hAnsi="TimesNewRomanPSMT" w:cs="TimesNewRomanPSMT"/>
          <w:sz w:val="20"/>
          <w:szCs w:val="20"/>
        </w:rPr>
        <w:t>Schedule H, Part 1, Line 2.</w:t>
      </w:r>
    </w:p>
    <w:p w:rsidR="00AF5416" w:rsidRDefault="00AF5416" w:rsidP="00AF5416">
      <w:pPr>
        <w:ind w:left="720"/>
        <w:rPr>
          <w:rFonts w:ascii="TimesNewRomanPSMT" w:hAnsi="TimesNewRomanPSMT" w:cs="TimesNewRomanPSMT"/>
          <w:sz w:val="20"/>
          <w:szCs w:val="20"/>
        </w:rPr>
      </w:pPr>
    </w:p>
    <w:p w:rsidR="001F1F91" w:rsidRDefault="001F1F91" w:rsidP="00AF5416">
      <w:pPr>
        <w:ind w:left="720"/>
        <w:rPr>
          <w:rFonts w:ascii="TimesNewRomanPSMT" w:hAnsi="TimesNewRomanPSMT" w:cs="TimesNewRomanPSMT"/>
          <w:sz w:val="20"/>
          <w:szCs w:val="20"/>
        </w:rPr>
      </w:pPr>
    </w:p>
    <w:p w:rsidR="00AF5416" w:rsidRDefault="00AF5416" w:rsidP="00AF5416">
      <w:pPr>
        <w:ind w:left="720"/>
        <w:rPr>
          <w:rFonts w:ascii="TimesNewRomanPSMT" w:hAnsi="TimesNewRomanPSMT" w:cs="TimesNewRomanPSMT"/>
          <w:sz w:val="20"/>
          <w:szCs w:val="20"/>
        </w:rPr>
      </w:pPr>
      <w:r>
        <w:rPr>
          <w:rFonts w:ascii="TimesNewRomanPSMT" w:hAnsi="TimesNewRomanPSMT" w:cs="TimesNewRomanPSMT"/>
          <w:sz w:val="20"/>
          <w:szCs w:val="20"/>
        </w:rPr>
        <w:lastRenderedPageBreak/>
        <w:t xml:space="preserve">Column </w:t>
      </w:r>
      <w:r w:rsidR="000C1171">
        <w:rPr>
          <w:rFonts w:ascii="TimesNewRomanPSMT" w:hAnsi="TimesNewRomanPSMT" w:cs="TimesNewRomanPSMT"/>
          <w:sz w:val="20"/>
          <w:szCs w:val="20"/>
        </w:rPr>
        <w:t>5</w:t>
      </w:r>
      <w:r>
        <w:rPr>
          <w:rFonts w:ascii="TimesNewRomanPSMT" w:hAnsi="TimesNewRomanPSMT" w:cs="TimesNewRomanPSMT"/>
          <w:sz w:val="20"/>
          <w:szCs w:val="20"/>
        </w:rPr>
        <w:t xml:space="preserve"> – Incurred LTC Claims</w:t>
      </w:r>
    </w:p>
    <w:p w:rsidR="00AF5416" w:rsidRDefault="00AF5416" w:rsidP="001277E4">
      <w:pPr>
        <w:ind w:left="1440"/>
        <w:rPr>
          <w:rFonts w:ascii="TimesNewRomanPSMT" w:hAnsi="TimesNewRomanPSMT" w:cs="TimesNewRomanPSMT"/>
          <w:sz w:val="20"/>
          <w:szCs w:val="20"/>
        </w:rPr>
      </w:pPr>
      <w:r>
        <w:rPr>
          <w:rFonts w:ascii="TimesNewRomanPSMT" w:hAnsi="TimesNewRomanPSMT" w:cs="TimesNewRomanPSMT"/>
          <w:sz w:val="20"/>
          <w:szCs w:val="20"/>
        </w:rPr>
        <w:t>Developed claim amounts for LTC claims incurred during the calendar year including accelerated claims, but not including payments due to extension of benefits.  Equal to the present value of all claim payments and any claim reserves.   The discount rate is the statutory valuation interest rate for case reserves.</w:t>
      </w:r>
    </w:p>
    <w:p w:rsidR="00AF5416" w:rsidRDefault="00AF5416" w:rsidP="00AF5416">
      <w:pPr>
        <w:autoSpaceDE w:val="0"/>
        <w:autoSpaceDN w:val="0"/>
        <w:adjustRightInd w:val="0"/>
        <w:spacing w:after="0" w:line="240" w:lineRule="auto"/>
        <w:ind w:left="720" w:firstLine="720"/>
        <w:rPr>
          <w:rFonts w:ascii="TimesNewRomanPSMT" w:eastAsia="SymbolMT" w:hAnsi="TimesNewRomanPSMT" w:cs="TimesNewRomanPSMT"/>
          <w:sz w:val="20"/>
          <w:szCs w:val="20"/>
        </w:rPr>
      </w:pPr>
      <w:r>
        <w:rPr>
          <w:rFonts w:ascii="SymbolMT" w:eastAsia="SymbolMT" w:cs="SymbolMT" w:hint="eastAsia"/>
          <w:sz w:val="20"/>
          <w:szCs w:val="20"/>
        </w:rPr>
        <w:t></w:t>
      </w:r>
      <w:r>
        <w:rPr>
          <w:rFonts w:ascii="SymbolMT" w:eastAsia="SymbolMT" w:cs="SymbolMT"/>
          <w:sz w:val="20"/>
          <w:szCs w:val="20"/>
        </w:rPr>
        <w:t xml:space="preserve"> </w:t>
      </w:r>
      <w:r>
        <w:rPr>
          <w:rFonts w:ascii="TimesNewRomanPSMT" w:eastAsia="SymbolMT" w:hAnsi="TimesNewRomanPSMT" w:cs="TimesNewRomanPSMT"/>
          <w:sz w:val="20"/>
          <w:szCs w:val="20"/>
        </w:rPr>
        <w:t xml:space="preserve">Paid claims in the year of </w:t>
      </w:r>
      <w:proofErr w:type="spellStart"/>
      <w:r>
        <w:rPr>
          <w:rFonts w:ascii="TimesNewRomanPSMT" w:eastAsia="SymbolMT" w:hAnsi="TimesNewRomanPSMT" w:cs="TimesNewRomanPSMT"/>
          <w:sz w:val="20"/>
          <w:szCs w:val="20"/>
        </w:rPr>
        <w:t>incurral</w:t>
      </w:r>
      <w:proofErr w:type="spellEnd"/>
      <w:r>
        <w:rPr>
          <w:rFonts w:ascii="TimesNewRomanPSMT" w:eastAsia="SymbolMT" w:hAnsi="TimesNewRomanPSMT" w:cs="TimesNewRomanPSMT"/>
          <w:sz w:val="20"/>
          <w:szCs w:val="20"/>
        </w:rPr>
        <w:t xml:space="preserve"> are discounted one-quarter year.</w:t>
      </w:r>
    </w:p>
    <w:p w:rsidR="00AF5416" w:rsidRDefault="00AF5416" w:rsidP="00AF5416">
      <w:pPr>
        <w:autoSpaceDE w:val="0"/>
        <w:autoSpaceDN w:val="0"/>
        <w:adjustRightInd w:val="0"/>
        <w:spacing w:after="0" w:line="240" w:lineRule="auto"/>
        <w:ind w:left="1710" w:hanging="270"/>
        <w:rPr>
          <w:rFonts w:ascii="TimesNewRomanPSMT" w:eastAsia="SymbolMT" w:hAnsi="TimesNewRomanPSMT" w:cs="TimesNewRomanPSMT"/>
          <w:sz w:val="20"/>
          <w:szCs w:val="20"/>
        </w:rPr>
      </w:pPr>
      <w:r>
        <w:rPr>
          <w:rFonts w:ascii="SymbolMT" w:eastAsia="SymbolMT" w:cs="SymbolMT" w:hint="eastAsia"/>
          <w:sz w:val="20"/>
          <w:szCs w:val="20"/>
        </w:rPr>
        <w:t></w:t>
      </w:r>
      <w:r>
        <w:rPr>
          <w:rFonts w:ascii="SymbolMT" w:eastAsia="SymbolMT" w:cs="SymbolMT"/>
          <w:sz w:val="20"/>
          <w:szCs w:val="20"/>
        </w:rPr>
        <w:t xml:space="preserve"> </w:t>
      </w:r>
      <w:r>
        <w:rPr>
          <w:rFonts w:ascii="TimesNewRomanPSMT" w:eastAsia="SymbolMT" w:hAnsi="TimesNewRomanPSMT" w:cs="TimesNewRomanPSMT"/>
          <w:sz w:val="20"/>
          <w:szCs w:val="20"/>
        </w:rPr>
        <w:t xml:space="preserve">Paid claims subsequent to the year of </w:t>
      </w:r>
      <w:proofErr w:type="spellStart"/>
      <w:r>
        <w:rPr>
          <w:rFonts w:ascii="TimesNewRomanPSMT" w:eastAsia="SymbolMT" w:hAnsi="TimesNewRomanPSMT" w:cs="TimesNewRomanPSMT"/>
          <w:sz w:val="20"/>
          <w:szCs w:val="20"/>
        </w:rPr>
        <w:t>incurral</w:t>
      </w:r>
      <w:proofErr w:type="spellEnd"/>
      <w:r>
        <w:rPr>
          <w:rFonts w:ascii="TimesNewRomanPSMT" w:eastAsia="SymbolMT" w:hAnsi="TimesNewRomanPSMT" w:cs="TimesNewRomanPSMT"/>
          <w:sz w:val="20"/>
          <w:szCs w:val="20"/>
        </w:rPr>
        <w:t xml:space="preserve"> are assumed to be paid mid-year and discounted back to the midpoint of the incurred year.</w:t>
      </w:r>
    </w:p>
    <w:p w:rsidR="00AF5416" w:rsidRDefault="00AF5416" w:rsidP="00AF5416">
      <w:pPr>
        <w:autoSpaceDE w:val="0"/>
        <w:autoSpaceDN w:val="0"/>
        <w:adjustRightInd w:val="0"/>
        <w:spacing w:after="0" w:line="240" w:lineRule="auto"/>
        <w:ind w:left="1710" w:hanging="270"/>
        <w:rPr>
          <w:rFonts w:ascii="TimesNewRomanPSMT" w:eastAsia="SymbolMT" w:hAnsi="TimesNewRomanPSMT" w:cs="TimesNewRomanPSMT"/>
          <w:sz w:val="20"/>
          <w:szCs w:val="20"/>
        </w:rPr>
      </w:pPr>
      <w:r>
        <w:rPr>
          <w:rFonts w:ascii="SymbolMT" w:eastAsia="SymbolMT" w:cs="SymbolMT" w:hint="eastAsia"/>
          <w:sz w:val="20"/>
          <w:szCs w:val="20"/>
        </w:rPr>
        <w:t></w:t>
      </w:r>
      <w:r>
        <w:rPr>
          <w:rFonts w:ascii="SymbolMT" w:eastAsia="SymbolMT" w:cs="SymbolMT"/>
          <w:sz w:val="20"/>
          <w:szCs w:val="20"/>
        </w:rPr>
        <w:t xml:space="preserve"> </w:t>
      </w:r>
      <w:r w:rsidR="00F7566C">
        <w:rPr>
          <w:rFonts w:ascii="TimesNewRomanPSMT" w:eastAsia="SymbolMT" w:hAnsi="TimesNewRomanPSMT" w:cs="TimesNewRomanPSMT"/>
          <w:sz w:val="20"/>
          <w:szCs w:val="20"/>
        </w:rPr>
        <w:t>Claim</w:t>
      </w:r>
      <w:r>
        <w:rPr>
          <w:rFonts w:ascii="TimesNewRomanPSMT" w:eastAsia="SymbolMT" w:hAnsi="TimesNewRomanPSMT" w:cs="TimesNewRomanPSMT"/>
          <w:sz w:val="20"/>
          <w:szCs w:val="20"/>
        </w:rPr>
        <w:t xml:space="preserve"> reserves for a given incurred year are discounted from the valuation date to the midpoint of the incurred year.</w:t>
      </w:r>
    </w:p>
    <w:p w:rsidR="00AF5416" w:rsidRDefault="00AF5416" w:rsidP="00AF5416">
      <w:pPr>
        <w:autoSpaceDE w:val="0"/>
        <w:autoSpaceDN w:val="0"/>
        <w:adjustRightInd w:val="0"/>
        <w:spacing w:after="0" w:line="240" w:lineRule="auto"/>
        <w:ind w:left="1710" w:hanging="270"/>
        <w:rPr>
          <w:rFonts w:ascii="TimesNewRomanPSMT" w:eastAsia="SymbolMT" w:hAnsi="TimesNewRomanPSMT" w:cs="TimesNewRomanPSMT"/>
          <w:sz w:val="20"/>
          <w:szCs w:val="20"/>
        </w:rPr>
      </w:pPr>
      <w:r>
        <w:rPr>
          <w:rFonts w:ascii="SymbolMT" w:eastAsia="SymbolMT" w:cs="SymbolMT" w:hint="eastAsia"/>
          <w:sz w:val="20"/>
          <w:szCs w:val="20"/>
        </w:rPr>
        <w:t></w:t>
      </w:r>
      <w:r>
        <w:rPr>
          <w:rFonts w:ascii="SymbolMT" w:eastAsia="SymbolMT" w:cs="SymbolMT"/>
          <w:sz w:val="20"/>
          <w:szCs w:val="20"/>
        </w:rPr>
        <w:t xml:space="preserve"> </w:t>
      </w:r>
      <w:r>
        <w:rPr>
          <w:rFonts w:ascii="TimesNewRomanPSMT" w:eastAsia="SymbolMT" w:hAnsi="TimesNewRomanPSMT" w:cs="TimesNewRomanPSMT"/>
          <w:sz w:val="20"/>
          <w:szCs w:val="20"/>
        </w:rPr>
        <w:t>Negative results are possible for acquired business only. Negative results indicate downward development of ultimate claims.</w:t>
      </w:r>
    </w:p>
    <w:p w:rsidR="00AF5416" w:rsidRDefault="00AF5416" w:rsidP="00AF5416">
      <w:pPr>
        <w:autoSpaceDE w:val="0"/>
        <w:autoSpaceDN w:val="0"/>
        <w:adjustRightInd w:val="0"/>
        <w:spacing w:after="0" w:line="240" w:lineRule="auto"/>
        <w:ind w:left="720"/>
        <w:rPr>
          <w:rFonts w:ascii="TimesNewRomanPSMT" w:eastAsia="SymbolMT" w:hAnsi="TimesNewRomanPSMT" w:cs="TimesNewRomanPSMT"/>
          <w:sz w:val="20"/>
          <w:szCs w:val="20"/>
        </w:rPr>
      </w:pPr>
    </w:p>
    <w:p w:rsidR="00AF5416" w:rsidRDefault="00AF5416" w:rsidP="00AF5416">
      <w:pPr>
        <w:autoSpaceDE w:val="0"/>
        <w:autoSpaceDN w:val="0"/>
        <w:adjustRightInd w:val="0"/>
        <w:spacing w:after="0" w:line="240" w:lineRule="auto"/>
        <w:ind w:left="720"/>
        <w:rPr>
          <w:rFonts w:ascii="TimesNewRomanPSMT" w:eastAsia="SymbolMT" w:hAnsi="TimesNewRomanPSMT" w:cs="TimesNewRomanPSMT"/>
          <w:sz w:val="20"/>
          <w:szCs w:val="20"/>
        </w:rPr>
      </w:pPr>
      <w:r>
        <w:rPr>
          <w:rFonts w:ascii="TimesNewRomanPSMT" w:eastAsia="SymbolMT" w:hAnsi="TimesNewRomanPSMT" w:cs="TimesNewRomanPSMT"/>
          <w:sz w:val="20"/>
          <w:szCs w:val="20"/>
        </w:rPr>
        <w:t xml:space="preserve">Column </w:t>
      </w:r>
      <w:r w:rsidR="000C1171">
        <w:rPr>
          <w:rFonts w:ascii="TimesNewRomanPSMT" w:eastAsia="SymbolMT" w:hAnsi="TimesNewRomanPSMT" w:cs="TimesNewRomanPSMT"/>
          <w:sz w:val="20"/>
          <w:szCs w:val="20"/>
        </w:rPr>
        <w:t>6</w:t>
      </w:r>
      <w:r>
        <w:rPr>
          <w:rFonts w:ascii="TimesNewRomanPSMT" w:eastAsia="SymbolMT" w:hAnsi="TimesNewRomanPSMT" w:cs="TimesNewRomanPSMT"/>
          <w:sz w:val="20"/>
          <w:szCs w:val="20"/>
        </w:rPr>
        <w:t xml:space="preserve"> – Incurred Extended Benefits Claims</w:t>
      </w:r>
    </w:p>
    <w:p w:rsidR="00AF5416" w:rsidRDefault="00AF5416" w:rsidP="00AF5416">
      <w:pPr>
        <w:autoSpaceDE w:val="0"/>
        <w:autoSpaceDN w:val="0"/>
        <w:adjustRightInd w:val="0"/>
        <w:spacing w:after="0" w:line="240" w:lineRule="auto"/>
        <w:ind w:left="720"/>
        <w:rPr>
          <w:rFonts w:ascii="TimesNewRomanPSMT" w:eastAsia="SymbolMT" w:hAnsi="TimesNewRomanPSMT" w:cs="TimesNewRomanPSMT"/>
          <w:sz w:val="20"/>
          <w:szCs w:val="20"/>
        </w:rPr>
      </w:pPr>
      <w:r>
        <w:rPr>
          <w:rFonts w:ascii="TimesNewRomanPSMT" w:eastAsia="SymbolMT" w:hAnsi="TimesNewRomanPSMT" w:cs="TimesNewRomanPSMT"/>
          <w:sz w:val="20"/>
          <w:szCs w:val="20"/>
        </w:rPr>
        <w:tab/>
      </w:r>
    </w:p>
    <w:p w:rsidR="00AF5416" w:rsidRDefault="00AF5416" w:rsidP="001277E4">
      <w:pPr>
        <w:ind w:left="1440"/>
        <w:rPr>
          <w:rFonts w:ascii="TimesNewRomanPSMT" w:hAnsi="TimesNewRomanPSMT" w:cs="TimesNewRomanPSMT"/>
          <w:sz w:val="20"/>
          <w:szCs w:val="20"/>
        </w:rPr>
      </w:pPr>
      <w:r>
        <w:rPr>
          <w:rFonts w:ascii="TimesNewRomanPSMT" w:eastAsia="SymbolMT" w:hAnsi="TimesNewRomanPSMT" w:cs="TimesNewRomanPSMT"/>
          <w:sz w:val="20"/>
          <w:szCs w:val="20"/>
        </w:rPr>
        <w:tab/>
      </w:r>
      <w:r>
        <w:rPr>
          <w:rFonts w:ascii="TimesNewRomanPSMT" w:hAnsi="TimesNewRomanPSMT" w:cs="TimesNewRomanPSMT"/>
          <w:sz w:val="20"/>
          <w:szCs w:val="20"/>
        </w:rPr>
        <w:t>Developed claim amounts for LTC claims incurred during the calendar year due to extension of benefits after exhaustion of accelerated benefits.  Equal to the present value of all claim payments and any claim reserves.   The discount rate is the statutory valuation interest rate for case reserves.</w:t>
      </w:r>
    </w:p>
    <w:p w:rsidR="00AF5416" w:rsidRDefault="00AF5416" w:rsidP="00AF5416">
      <w:pPr>
        <w:autoSpaceDE w:val="0"/>
        <w:autoSpaceDN w:val="0"/>
        <w:adjustRightInd w:val="0"/>
        <w:spacing w:after="0" w:line="240" w:lineRule="auto"/>
        <w:ind w:left="720" w:firstLine="720"/>
        <w:rPr>
          <w:rFonts w:ascii="TimesNewRomanPSMT" w:eastAsia="SymbolMT" w:hAnsi="TimesNewRomanPSMT" w:cs="TimesNewRomanPSMT"/>
          <w:sz w:val="20"/>
          <w:szCs w:val="20"/>
        </w:rPr>
      </w:pPr>
      <w:r>
        <w:rPr>
          <w:rFonts w:ascii="SymbolMT" w:eastAsia="SymbolMT" w:cs="SymbolMT" w:hint="eastAsia"/>
          <w:sz w:val="20"/>
          <w:szCs w:val="20"/>
        </w:rPr>
        <w:t></w:t>
      </w:r>
      <w:r>
        <w:rPr>
          <w:rFonts w:ascii="SymbolMT" w:eastAsia="SymbolMT" w:cs="SymbolMT"/>
          <w:sz w:val="20"/>
          <w:szCs w:val="20"/>
        </w:rPr>
        <w:t xml:space="preserve"> </w:t>
      </w:r>
      <w:r>
        <w:rPr>
          <w:rFonts w:ascii="TimesNewRomanPSMT" w:eastAsia="SymbolMT" w:hAnsi="TimesNewRomanPSMT" w:cs="TimesNewRomanPSMT"/>
          <w:sz w:val="20"/>
          <w:szCs w:val="20"/>
        </w:rPr>
        <w:t xml:space="preserve">Paid claims in the year of </w:t>
      </w:r>
      <w:proofErr w:type="spellStart"/>
      <w:r>
        <w:rPr>
          <w:rFonts w:ascii="TimesNewRomanPSMT" w:eastAsia="SymbolMT" w:hAnsi="TimesNewRomanPSMT" w:cs="TimesNewRomanPSMT"/>
          <w:sz w:val="20"/>
          <w:szCs w:val="20"/>
        </w:rPr>
        <w:t>incurral</w:t>
      </w:r>
      <w:proofErr w:type="spellEnd"/>
      <w:r>
        <w:rPr>
          <w:rFonts w:ascii="TimesNewRomanPSMT" w:eastAsia="SymbolMT" w:hAnsi="TimesNewRomanPSMT" w:cs="TimesNewRomanPSMT"/>
          <w:sz w:val="20"/>
          <w:szCs w:val="20"/>
        </w:rPr>
        <w:t xml:space="preserve"> are discounted one-quarter year.</w:t>
      </w:r>
    </w:p>
    <w:p w:rsidR="00AF5416" w:rsidRDefault="00AF5416" w:rsidP="00AF5416">
      <w:pPr>
        <w:autoSpaceDE w:val="0"/>
        <w:autoSpaceDN w:val="0"/>
        <w:adjustRightInd w:val="0"/>
        <w:spacing w:after="0" w:line="240" w:lineRule="auto"/>
        <w:ind w:left="1710" w:hanging="270"/>
        <w:rPr>
          <w:rFonts w:ascii="TimesNewRomanPSMT" w:eastAsia="SymbolMT" w:hAnsi="TimesNewRomanPSMT" w:cs="TimesNewRomanPSMT"/>
          <w:sz w:val="20"/>
          <w:szCs w:val="20"/>
        </w:rPr>
      </w:pPr>
      <w:r>
        <w:rPr>
          <w:rFonts w:ascii="SymbolMT" w:eastAsia="SymbolMT" w:cs="SymbolMT" w:hint="eastAsia"/>
          <w:sz w:val="20"/>
          <w:szCs w:val="20"/>
        </w:rPr>
        <w:t></w:t>
      </w:r>
      <w:r>
        <w:rPr>
          <w:rFonts w:ascii="SymbolMT" w:eastAsia="SymbolMT" w:cs="SymbolMT"/>
          <w:sz w:val="20"/>
          <w:szCs w:val="20"/>
        </w:rPr>
        <w:t xml:space="preserve"> </w:t>
      </w:r>
      <w:r>
        <w:rPr>
          <w:rFonts w:ascii="TimesNewRomanPSMT" w:eastAsia="SymbolMT" w:hAnsi="TimesNewRomanPSMT" w:cs="TimesNewRomanPSMT"/>
          <w:sz w:val="20"/>
          <w:szCs w:val="20"/>
        </w:rPr>
        <w:t xml:space="preserve">Paid claims subsequent to the year of </w:t>
      </w:r>
      <w:proofErr w:type="spellStart"/>
      <w:r>
        <w:rPr>
          <w:rFonts w:ascii="TimesNewRomanPSMT" w:eastAsia="SymbolMT" w:hAnsi="TimesNewRomanPSMT" w:cs="TimesNewRomanPSMT"/>
          <w:sz w:val="20"/>
          <w:szCs w:val="20"/>
        </w:rPr>
        <w:t>incurral</w:t>
      </w:r>
      <w:proofErr w:type="spellEnd"/>
      <w:r>
        <w:rPr>
          <w:rFonts w:ascii="TimesNewRomanPSMT" w:eastAsia="SymbolMT" w:hAnsi="TimesNewRomanPSMT" w:cs="TimesNewRomanPSMT"/>
          <w:sz w:val="20"/>
          <w:szCs w:val="20"/>
        </w:rPr>
        <w:t xml:space="preserve"> are assumed to be paid mid-year and discounted back to the midpoint of the incurred year.</w:t>
      </w:r>
    </w:p>
    <w:p w:rsidR="00AF5416" w:rsidRDefault="00AF5416" w:rsidP="00AF5416">
      <w:pPr>
        <w:autoSpaceDE w:val="0"/>
        <w:autoSpaceDN w:val="0"/>
        <w:adjustRightInd w:val="0"/>
        <w:spacing w:after="0" w:line="240" w:lineRule="auto"/>
        <w:ind w:left="1710" w:hanging="270"/>
        <w:rPr>
          <w:rFonts w:ascii="TimesNewRomanPSMT" w:eastAsia="SymbolMT" w:hAnsi="TimesNewRomanPSMT" w:cs="TimesNewRomanPSMT"/>
          <w:sz w:val="20"/>
          <w:szCs w:val="20"/>
        </w:rPr>
      </w:pPr>
      <w:r>
        <w:rPr>
          <w:rFonts w:ascii="SymbolMT" w:eastAsia="SymbolMT" w:cs="SymbolMT" w:hint="eastAsia"/>
          <w:sz w:val="20"/>
          <w:szCs w:val="20"/>
        </w:rPr>
        <w:t></w:t>
      </w:r>
      <w:r>
        <w:rPr>
          <w:rFonts w:ascii="SymbolMT" w:eastAsia="SymbolMT" w:cs="SymbolMT"/>
          <w:sz w:val="20"/>
          <w:szCs w:val="20"/>
        </w:rPr>
        <w:t xml:space="preserve"> </w:t>
      </w:r>
      <w:r w:rsidR="00F7566C">
        <w:rPr>
          <w:rFonts w:ascii="TimesNewRomanPSMT" w:eastAsia="SymbolMT" w:hAnsi="TimesNewRomanPSMT" w:cs="TimesNewRomanPSMT"/>
          <w:sz w:val="20"/>
          <w:szCs w:val="20"/>
        </w:rPr>
        <w:t>C</w:t>
      </w:r>
      <w:r>
        <w:rPr>
          <w:rFonts w:ascii="TimesNewRomanPSMT" w:eastAsia="SymbolMT" w:hAnsi="TimesNewRomanPSMT" w:cs="TimesNewRomanPSMT"/>
          <w:sz w:val="20"/>
          <w:szCs w:val="20"/>
        </w:rPr>
        <w:t>laim reserves for a given incurred year are discounted from the valuation date to the midpoint of the incurred year.</w:t>
      </w:r>
    </w:p>
    <w:p w:rsidR="00AF5416" w:rsidRDefault="00AF5416" w:rsidP="00AF5416">
      <w:pPr>
        <w:autoSpaceDE w:val="0"/>
        <w:autoSpaceDN w:val="0"/>
        <w:adjustRightInd w:val="0"/>
        <w:spacing w:after="0" w:line="240" w:lineRule="auto"/>
        <w:ind w:left="1710" w:hanging="270"/>
        <w:rPr>
          <w:rFonts w:ascii="TimesNewRomanPSMT" w:eastAsia="SymbolMT" w:hAnsi="TimesNewRomanPSMT" w:cs="TimesNewRomanPSMT"/>
          <w:sz w:val="20"/>
          <w:szCs w:val="20"/>
        </w:rPr>
      </w:pPr>
      <w:r>
        <w:rPr>
          <w:rFonts w:ascii="SymbolMT" w:eastAsia="SymbolMT" w:cs="SymbolMT" w:hint="eastAsia"/>
          <w:sz w:val="20"/>
          <w:szCs w:val="20"/>
        </w:rPr>
        <w:t></w:t>
      </w:r>
      <w:r>
        <w:rPr>
          <w:rFonts w:ascii="SymbolMT" w:eastAsia="SymbolMT" w:cs="SymbolMT"/>
          <w:sz w:val="20"/>
          <w:szCs w:val="20"/>
        </w:rPr>
        <w:t xml:space="preserve"> </w:t>
      </w:r>
      <w:r>
        <w:rPr>
          <w:rFonts w:ascii="TimesNewRomanPSMT" w:eastAsia="SymbolMT" w:hAnsi="TimesNewRomanPSMT" w:cs="TimesNewRomanPSMT"/>
          <w:sz w:val="20"/>
          <w:szCs w:val="20"/>
        </w:rPr>
        <w:t>Negative results are possible for acquired business only. Negative results indicate downward development of ultimate claims.</w:t>
      </w:r>
    </w:p>
    <w:p w:rsidR="00AF5416" w:rsidRPr="00A915BC" w:rsidRDefault="00AF5416" w:rsidP="00AF5416">
      <w:pPr>
        <w:autoSpaceDE w:val="0"/>
        <w:autoSpaceDN w:val="0"/>
        <w:adjustRightInd w:val="0"/>
        <w:spacing w:after="0" w:line="240" w:lineRule="auto"/>
        <w:ind w:left="720"/>
        <w:rPr>
          <w:rFonts w:ascii="TimesNewRomanPSMT" w:eastAsia="SymbolMT" w:hAnsi="TimesNewRomanPSMT" w:cs="TimesNewRomanPSMT"/>
          <w:sz w:val="20"/>
          <w:szCs w:val="20"/>
        </w:rPr>
      </w:pPr>
    </w:p>
    <w:p w:rsidR="00AF5416" w:rsidRDefault="00AF5416" w:rsidP="00AF5416">
      <w:pPr>
        <w:autoSpaceDE w:val="0"/>
        <w:autoSpaceDN w:val="0"/>
        <w:adjustRightInd w:val="0"/>
        <w:spacing w:after="0" w:line="240" w:lineRule="auto"/>
        <w:ind w:left="720"/>
        <w:rPr>
          <w:rFonts w:ascii="TimesNewRomanPSMT" w:hAnsi="TimesNewRomanPSMT" w:cs="TimesNewRomanPSMT"/>
          <w:sz w:val="20"/>
          <w:szCs w:val="20"/>
        </w:rPr>
      </w:pPr>
    </w:p>
    <w:p w:rsidR="00AF5416" w:rsidRDefault="00AF5416" w:rsidP="00AF5416">
      <w:pPr>
        <w:ind w:left="720"/>
        <w:rPr>
          <w:rFonts w:ascii="TimesNewRomanPSMT" w:hAnsi="TimesNewRomanPSMT" w:cs="TimesNewRomanPSMT"/>
          <w:sz w:val="20"/>
          <w:szCs w:val="20"/>
        </w:rPr>
      </w:pPr>
      <w:r>
        <w:rPr>
          <w:rFonts w:ascii="TimesNewRomanPSMT" w:hAnsi="TimesNewRomanPSMT" w:cs="TimesNewRomanPSMT"/>
          <w:sz w:val="20"/>
          <w:szCs w:val="20"/>
        </w:rPr>
        <w:t xml:space="preserve">Column </w:t>
      </w:r>
      <w:r w:rsidR="000C1171">
        <w:rPr>
          <w:rFonts w:ascii="TimesNewRomanPSMT" w:hAnsi="TimesNewRomanPSMT" w:cs="TimesNewRomanPSMT"/>
          <w:sz w:val="20"/>
          <w:szCs w:val="20"/>
        </w:rPr>
        <w:t>7</w:t>
      </w:r>
      <w:r>
        <w:rPr>
          <w:rFonts w:ascii="TimesNewRomanPSMT" w:hAnsi="TimesNewRomanPSMT" w:cs="TimesNewRomanPSMT"/>
          <w:sz w:val="20"/>
          <w:szCs w:val="20"/>
        </w:rPr>
        <w:t xml:space="preserve"> – </w:t>
      </w:r>
      <w:r w:rsidR="00BB23C6">
        <w:rPr>
          <w:rFonts w:ascii="TimesNewRomanPSMT" w:hAnsi="TimesNewRomanPSMT" w:cs="TimesNewRomanPSMT"/>
          <w:sz w:val="20"/>
          <w:szCs w:val="20"/>
        </w:rPr>
        <w:t>Claims Remaining Open</w:t>
      </w:r>
    </w:p>
    <w:p w:rsidR="004D2EA3" w:rsidRDefault="00AF5416" w:rsidP="00AF5416">
      <w:pPr>
        <w:autoSpaceDE w:val="0"/>
        <w:autoSpaceDN w:val="0"/>
        <w:adjustRightInd w:val="0"/>
        <w:spacing w:after="0" w:line="240" w:lineRule="auto"/>
        <w:ind w:left="720"/>
        <w:rPr>
          <w:rFonts w:ascii="TimesNewRomanPSMT" w:hAnsi="TimesNewRomanPSMT" w:cs="TimesNewRomanPSMT"/>
          <w:sz w:val="20"/>
          <w:szCs w:val="20"/>
        </w:rPr>
      </w:pPr>
      <w:r>
        <w:rPr>
          <w:rFonts w:ascii="TimesNewRomanPSMT" w:hAnsi="TimesNewRomanPSMT" w:cs="TimesNewRomanPSMT"/>
          <w:sz w:val="20"/>
          <w:szCs w:val="20"/>
        </w:rPr>
        <w:tab/>
        <w:t xml:space="preserve">Open claims are all claims that have not been closed.  </w:t>
      </w:r>
    </w:p>
    <w:p w:rsidR="004D2EA3" w:rsidRDefault="004D2EA3" w:rsidP="00AF5416">
      <w:pPr>
        <w:autoSpaceDE w:val="0"/>
        <w:autoSpaceDN w:val="0"/>
        <w:adjustRightInd w:val="0"/>
        <w:spacing w:after="0" w:line="240" w:lineRule="auto"/>
        <w:ind w:left="720"/>
        <w:rPr>
          <w:rFonts w:ascii="TimesNewRomanPSMT" w:hAnsi="TimesNewRomanPSMT" w:cs="TimesNewRomanPSMT"/>
          <w:sz w:val="20"/>
          <w:szCs w:val="20"/>
        </w:rPr>
      </w:pPr>
    </w:p>
    <w:p w:rsidR="004D2EA3" w:rsidRDefault="004D2EA3" w:rsidP="00AF5416">
      <w:pPr>
        <w:autoSpaceDE w:val="0"/>
        <w:autoSpaceDN w:val="0"/>
        <w:adjustRightInd w:val="0"/>
        <w:spacing w:after="0" w:line="240" w:lineRule="auto"/>
        <w:ind w:left="720"/>
        <w:rPr>
          <w:rFonts w:ascii="TimesNewRomanPSMT" w:hAnsi="TimesNewRomanPSMT" w:cs="TimesNewRomanPSMT"/>
          <w:sz w:val="20"/>
          <w:szCs w:val="20"/>
        </w:rPr>
      </w:pPr>
    </w:p>
    <w:p w:rsidR="00AF5416" w:rsidRDefault="00AF5416" w:rsidP="00AF5416">
      <w:pPr>
        <w:autoSpaceDE w:val="0"/>
        <w:autoSpaceDN w:val="0"/>
        <w:adjustRightInd w:val="0"/>
        <w:spacing w:after="0" w:line="240" w:lineRule="auto"/>
        <w:ind w:left="720"/>
        <w:rPr>
          <w:rFonts w:ascii="TimesNewRomanPSMT" w:hAnsi="TimesNewRomanPSMT" w:cs="TimesNewRomanPSMT"/>
          <w:sz w:val="20"/>
          <w:szCs w:val="20"/>
        </w:rPr>
      </w:pPr>
    </w:p>
    <w:p w:rsidR="00AF5416" w:rsidRDefault="00AF5416" w:rsidP="00AF5416">
      <w:pPr>
        <w:ind w:left="720"/>
        <w:rPr>
          <w:rFonts w:ascii="TimesNewRomanPSMT" w:hAnsi="TimesNewRomanPSMT" w:cs="TimesNewRomanPSMT"/>
          <w:sz w:val="20"/>
          <w:szCs w:val="20"/>
        </w:rPr>
      </w:pPr>
      <w:r>
        <w:rPr>
          <w:rFonts w:ascii="TimesNewRomanPSMT" w:hAnsi="TimesNewRomanPSMT" w:cs="TimesNewRomanPSMT"/>
          <w:sz w:val="20"/>
          <w:szCs w:val="20"/>
        </w:rPr>
        <w:t xml:space="preserve">Column </w:t>
      </w:r>
      <w:r w:rsidR="000C1171">
        <w:rPr>
          <w:rFonts w:ascii="TimesNewRomanPSMT" w:hAnsi="TimesNewRomanPSMT" w:cs="TimesNewRomanPSMT"/>
          <w:sz w:val="20"/>
          <w:szCs w:val="20"/>
        </w:rPr>
        <w:t>8</w:t>
      </w:r>
      <w:r>
        <w:rPr>
          <w:rFonts w:ascii="TimesNewRomanPSMT" w:hAnsi="TimesNewRomanPSMT" w:cs="TimesNewRomanPSMT"/>
          <w:sz w:val="20"/>
          <w:szCs w:val="20"/>
        </w:rPr>
        <w:t xml:space="preserve"> – </w:t>
      </w:r>
      <w:r w:rsidR="004D2EA3">
        <w:rPr>
          <w:rFonts w:ascii="TimesNewRomanPSMT" w:hAnsi="TimesNewRomanPSMT" w:cs="TimesNewRomanPSMT"/>
          <w:sz w:val="20"/>
          <w:szCs w:val="20"/>
        </w:rPr>
        <w:t>Claims Opened</w:t>
      </w:r>
    </w:p>
    <w:p w:rsidR="00AF5416" w:rsidRDefault="00AF5416" w:rsidP="001277E4">
      <w:pPr>
        <w:autoSpaceDE w:val="0"/>
        <w:autoSpaceDN w:val="0"/>
        <w:adjustRightInd w:val="0"/>
        <w:spacing w:after="0" w:line="240" w:lineRule="auto"/>
        <w:ind w:left="1440"/>
        <w:rPr>
          <w:rFonts w:ascii="TimesNewRomanPSMT" w:hAnsi="TimesNewRomanPSMT" w:cs="TimesNewRomanPSMT"/>
          <w:sz w:val="20"/>
          <w:szCs w:val="20"/>
        </w:rPr>
      </w:pPr>
      <w:proofErr w:type="gramStart"/>
      <w:r>
        <w:rPr>
          <w:rFonts w:ascii="TimesNewRomanPSMT" w:hAnsi="TimesNewRomanPSMT" w:cs="TimesNewRomanPSMT"/>
          <w:sz w:val="20"/>
          <w:szCs w:val="20"/>
        </w:rPr>
        <w:t>The number of claims that have at least one LTC benefit payment made during the year after the elimination period but have no payments in previous years.</w:t>
      </w:r>
      <w:proofErr w:type="gramEnd"/>
      <w:r>
        <w:rPr>
          <w:rFonts w:ascii="TimesNewRomanPSMT" w:hAnsi="TimesNewRomanPSMT" w:cs="TimesNewRomanPSMT"/>
          <w:sz w:val="20"/>
          <w:szCs w:val="20"/>
        </w:rPr>
        <w:t xml:space="preserve"> If a claimant has prior claims, he or she should be</w:t>
      </w:r>
      <w:r w:rsidR="00FF7B0A">
        <w:rPr>
          <w:rFonts w:ascii="TimesNewRomanPSMT" w:hAnsi="TimesNewRomanPSMT" w:cs="TimesNewRomanPSMT"/>
          <w:sz w:val="20"/>
          <w:szCs w:val="20"/>
        </w:rPr>
        <w:t xml:space="preserve"> </w:t>
      </w:r>
      <w:r>
        <w:rPr>
          <w:rFonts w:ascii="TimesNewRomanPSMT" w:hAnsi="TimesNewRomanPSMT" w:cs="TimesNewRomanPSMT"/>
          <w:sz w:val="20"/>
          <w:szCs w:val="20"/>
        </w:rPr>
        <w:t>counted if the current claim is considered as a new claim. For the purpose of including a claim in this</w:t>
      </w:r>
      <w:r w:rsidR="00FF7B0A">
        <w:rPr>
          <w:rFonts w:ascii="TimesNewRomanPSMT" w:hAnsi="TimesNewRomanPSMT" w:cs="TimesNewRomanPSMT"/>
          <w:sz w:val="20"/>
          <w:szCs w:val="20"/>
        </w:rPr>
        <w:t xml:space="preserve"> </w:t>
      </w:r>
      <w:r>
        <w:rPr>
          <w:rFonts w:ascii="TimesNewRomanPSMT" w:hAnsi="TimesNewRomanPSMT" w:cs="TimesNewRomanPSMT"/>
          <w:sz w:val="20"/>
          <w:szCs w:val="20"/>
        </w:rPr>
        <w:t>count, payments that do not require satisfaction of the elimination period are excluded. A claim</w:t>
      </w:r>
      <w:r w:rsidRPr="0041124D">
        <w:rPr>
          <w:rFonts w:ascii="TimesNewRomanPSMT" w:hAnsi="TimesNewRomanPSMT" w:cs="TimesNewRomanPSMT"/>
          <w:sz w:val="20"/>
          <w:szCs w:val="20"/>
        </w:rPr>
        <w:t xml:space="preserve"> </w:t>
      </w:r>
      <w:r>
        <w:rPr>
          <w:rFonts w:ascii="TimesNewRomanPSMT" w:hAnsi="TimesNewRomanPSMT" w:cs="TimesNewRomanPSMT"/>
          <w:sz w:val="20"/>
          <w:szCs w:val="20"/>
        </w:rPr>
        <w:t>that has terminated</w:t>
      </w:r>
      <w:r w:rsidR="00FF7B0A">
        <w:rPr>
          <w:rFonts w:ascii="TimesNewRomanPSMT" w:hAnsi="TimesNewRomanPSMT" w:cs="TimesNewRomanPSMT"/>
          <w:sz w:val="20"/>
          <w:szCs w:val="20"/>
        </w:rPr>
        <w:t xml:space="preserve"> </w:t>
      </w:r>
      <w:r>
        <w:rPr>
          <w:rFonts w:ascii="TimesNewRomanPSMT" w:hAnsi="TimesNewRomanPSMT" w:cs="TimesNewRomanPSMT"/>
          <w:sz w:val="20"/>
          <w:szCs w:val="20"/>
        </w:rPr>
        <w:t>by the end of the year should be included in the count.</w:t>
      </w:r>
    </w:p>
    <w:p w:rsidR="00AF5416" w:rsidRDefault="00AF5416" w:rsidP="00AF5416">
      <w:pPr>
        <w:ind w:left="720"/>
        <w:rPr>
          <w:rFonts w:ascii="TimesNewRomanPSMT" w:hAnsi="TimesNewRomanPSMT" w:cs="TimesNewRomanPSMT"/>
          <w:sz w:val="20"/>
          <w:szCs w:val="20"/>
        </w:rPr>
      </w:pPr>
    </w:p>
    <w:p w:rsidR="00FF7B0A" w:rsidRDefault="00FF7B0A" w:rsidP="00AF5416">
      <w:pPr>
        <w:ind w:left="720"/>
        <w:rPr>
          <w:rFonts w:ascii="TimesNewRomanPSMT" w:hAnsi="TimesNewRomanPSMT" w:cs="TimesNewRomanPSMT"/>
          <w:sz w:val="20"/>
          <w:szCs w:val="20"/>
        </w:rPr>
      </w:pPr>
    </w:p>
    <w:p w:rsidR="00FF7B0A" w:rsidRDefault="00FF7B0A" w:rsidP="00AF5416">
      <w:pPr>
        <w:ind w:left="720"/>
        <w:rPr>
          <w:rFonts w:ascii="TimesNewRomanPSMT" w:hAnsi="TimesNewRomanPSMT" w:cs="TimesNewRomanPSMT"/>
          <w:sz w:val="20"/>
          <w:szCs w:val="20"/>
        </w:rPr>
      </w:pPr>
    </w:p>
    <w:p w:rsidR="000C1171" w:rsidRDefault="000C1171" w:rsidP="00AF5416">
      <w:pPr>
        <w:ind w:left="720"/>
        <w:rPr>
          <w:rFonts w:ascii="TimesNewRomanPSMT" w:hAnsi="TimesNewRomanPSMT" w:cs="TimesNewRomanPSMT"/>
          <w:sz w:val="20"/>
          <w:szCs w:val="20"/>
        </w:rPr>
      </w:pPr>
    </w:p>
    <w:p w:rsidR="000C1171" w:rsidRDefault="000C1171" w:rsidP="00AF5416">
      <w:pPr>
        <w:ind w:left="720"/>
        <w:rPr>
          <w:rFonts w:ascii="TimesNewRomanPSMT" w:hAnsi="TimesNewRomanPSMT" w:cs="TimesNewRomanPSMT"/>
          <w:sz w:val="20"/>
          <w:szCs w:val="20"/>
        </w:rPr>
      </w:pPr>
    </w:p>
    <w:p w:rsidR="00AF5416" w:rsidRDefault="00AF5416" w:rsidP="00AF5416">
      <w:pPr>
        <w:ind w:left="720"/>
        <w:rPr>
          <w:rFonts w:ascii="TimesNewRomanPSMT" w:hAnsi="TimesNewRomanPSMT" w:cs="TimesNewRomanPSMT"/>
          <w:sz w:val="20"/>
          <w:szCs w:val="20"/>
        </w:rPr>
      </w:pPr>
      <w:r>
        <w:rPr>
          <w:rFonts w:ascii="TimesNewRomanPSMT" w:hAnsi="TimesNewRomanPSMT" w:cs="TimesNewRomanPSMT"/>
          <w:sz w:val="20"/>
          <w:szCs w:val="20"/>
        </w:rPr>
        <w:t xml:space="preserve">Column </w:t>
      </w:r>
      <w:r w:rsidR="000C1171">
        <w:rPr>
          <w:rFonts w:ascii="TimesNewRomanPSMT" w:hAnsi="TimesNewRomanPSMT" w:cs="TimesNewRomanPSMT"/>
          <w:sz w:val="20"/>
          <w:szCs w:val="20"/>
        </w:rPr>
        <w:t>9</w:t>
      </w:r>
      <w:r>
        <w:rPr>
          <w:rFonts w:ascii="TimesNewRomanPSMT" w:hAnsi="TimesNewRomanPSMT" w:cs="TimesNewRomanPSMT"/>
          <w:sz w:val="20"/>
          <w:szCs w:val="20"/>
        </w:rPr>
        <w:t xml:space="preserve"> - New Extended Benefits Claims</w:t>
      </w:r>
    </w:p>
    <w:p w:rsidR="00AF5416" w:rsidRDefault="00AF5416" w:rsidP="001277E4">
      <w:pPr>
        <w:autoSpaceDE w:val="0"/>
        <w:autoSpaceDN w:val="0"/>
        <w:adjustRightInd w:val="0"/>
        <w:spacing w:after="0" w:line="240" w:lineRule="auto"/>
        <w:ind w:left="1440"/>
        <w:rPr>
          <w:rFonts w:ascii="TimesNewRomanPSMT" w:hAnsi="TimesNewRomanPSMT" w:cs="TimesNewRomanPSMT"/>
          <w:sz w:val="20"/>
          <w:szCs w:val="20"/>
        </w:rPr>
      </w:pPr>
      <w:r>
        <w:rPr>
          <w:rFonts w:ascii="TimesNewRomanPSMT" w:hAnsi="TimesNewRomanPSMT" w:cs="TimesNewRomanPSMT"/>
          <w:sz w:val="20"/>
          <w:szCs w:val="20"/>
        </w:rPr>
        <w:t xml:space="preserve">The </w:t>
      </w:r>
      <w:proofErr w:type="gramStart"/>
      <w:r>
        <w:rPr>
          <w:rFonts w:ascii="TimesNewRomanPSMT" w:hAnsi="TimesNewRomanPSMT" w:cs="TimesNewRomanPSMT"/>
          <w:sz w:val="20"/>
          <w:szCs w:val="20"/>
        </w:rPr>
        <w:t>number</w:t>
      </w:r>
      <w:proofErr w:type="gramEnd"/>
      <w:r>
        <w:rPr>
          <w:rFonts w:ascii="TimesNewRomanPSMT" w:hAnsi="TimesNewRomanPSMT" w:cs="TimesNewRomanPSMT"/>
          <w:sz w:val="20"/>
          <w:szCs w:val="20"/>
        </w:rPr>
        <w:t xml:space="preserve"> of claims that have at least one benefit payment made during the year resulting from extension of benefits, but have no extension of benefits payments in previous years. If a claimant has prior claims, he or she should be counted if the current claim is considered as a new claim.  A claim</w:t>
      </w:r>
      <w:r w:rsidRPr="0041124D">
        <w:rPr>
          <w:rFonts w:ascii="TimesNewRomanPSMT" w:hAnsi="TimesNewRomanPSMT" w:cs="TimesNewRomanPSMT"/>
          <w:sz w:val="20"/>
          <w:szCs w:val="20"/>
        </w:rPr>
        <w:t xml:space="preserve"> </w:t>
      </w:r>
      <w:r>
        <w:rPr>
          <w:rFonts w:ascii="TimesNewRomanPSMT" w:hAnsi="TimesNewRomanPSMT" w:cs="TimesNewRomanPSMT"/>
          <w:sz w:val="20"/>
          <w:szCs w:val="20"/>
        </w:rPr>
        <w:t>that has terminated by the end of the year should be included in the count.</w:t>
      </w:r>
    </w:p>
    <w:p w:rsidR="00FF7B0A" w:rsidRDefault="00FF7B0A" w:rsidP="00AF5416">
      <w:pPr>
        <w:ind w:left="720"/>
        <w:rPr>
          <w:rFonts w:ascii="TimesNewRomanPSMT" w:hAnsi="TimesNewRomanPSMT" w:cs="TimesNewRomanPSMT"/>
          <w:sz w:val="20"/>
          <w:szCs w:val="20"/>
        </w:rPr>
      </w:pPr>
    </w:p>
    <w:p w:rsidR="00AF5416" w:rsidRDefault="00AF5416" w:rsidP="00AF5416">
      <w:pPr>
        <w:ind w:left="720"/>
        <w:rPr>
          <w:rFonts w:ascii="TimesNewRomanPSMT" w:hAnsi="TimesNewRomanPSMT" w:cs="TimesNewRomanPSMT"/>
          <w:sz w:val="20"/>
          <w:szCs w:val="20"/>
        </w:rPr>
      </w:pPr>
      <w:r>
        <w:rPr>
          <w:rFonts w:ascii="TimesNewRomanPSMT" w:hAnsi="TimesNewRomanPSMT" w:cs="TimesNewRomanPSMT"/>
          <w:sz w:val="20"/>
          <w:szCs w:val="20"/>
        </w:rPr>
        <w:t>Column 1</w:t>
      </w:r>
      <w:r w:rsidR="000C1171">
        <w:rPr>
          <w:rFonts w:ascii="TimesNewRomanPSMT" w:hAnsi="TimesNewRomanPSMT" w:cs="TimesNewRomanPSMT"/>
          <w:sz w:val="20"/>
          <w:szCs w:val="20"/>
        </w:rPr>
        <w:t>0</w:t>
      </w:r>
      <w:r>
        <w:rPr>
          <w:rFonts w:ascii="TimesNewRomanPSMT" w:hAnsi="TimesNewRomanPSMT" w:cs="TimesNewRomanPSMT"/>
          <w:sz w:val="20"/>
          <w:szCs w:val="20"/>
        </w:rPr>
        <w:t xml:space="preserve"> – Accelerated Benefits Available</w:t>
      </w:r>
    </w:p>
    <w:p w:rsidR="00AF5416" w:rsidRDefault="00AF5416" w:rsidP="001277E4">
      <w:pPr>
        <w:ind w:left="1440"/>
        <w:rPr>
          <w:rFonts w:ascii="TimesNewRomanPSMT" w:hAnsi="TimesNewRomanPSMT" w:cs="TimesNewRomanPSMT"/>
          <w:sz w:val="20"/>
          <w:szCs w:val="20"/>
        </w:rPr>
      </w:pPr>
      <w:proofErr w:type="gramStart"/>
      <w:r>
        <w:rPr>
          <w:rFonts w:ascii="TimesNewRomanPSMT" w:hAnsi="TimesNewRomanPSMT" w:cs="TimesNewRomanPSMT"/>
          <w:sz w:val="20"/>
          <w:szCs w:val="20"/>
        </w:rPr>
        <w:t>Maximum amount of remaining death benefit available to be paid on an accelerated basis due to LTC Acceleration of Benefits riders.</w:t>
      </w:r>
      <w:proofErr w:type="gramEnd"/>
    </w:p>
    <w:p w:rsidR="00AF5416" w:rsidRDefault="00AF5416" w:rsidP="00AF5416">
      <w:pPr>
        <w:ind w:left="720"/>
        <w:rPr>
          <w:rFonts w:ascii="TimesNewRomanPSMT" w:hAnsi="TimesNewRomanPSMT" w:cs="TimesNewRomanPSMT"/>
          <w:sz w:val="20"/>
          <w:szCs w:val="20"/>
        </w:rPr>
      </w:pPr>
      <w:r>
        <w:rPr>
          <w:rFonts w:ascii="TimesNewRomanPSMT" w:hAnsi="TimesNewRomanPSMT" w:cs="TimesNewRomanPSMT"/>
          <w:sz w:val="20"/>
          <w:szCs w:val="20"/>
        </w:rPr>
        <w:t>Column 1</w:t>
      </w:r>
      <w:r w:rsidR="000C1171">
        <w:rPr>
          <w:rFonts w:ascii="TimesNewRomanPSMT" w:hAnsi="TimesNewRomanPSMT" w:cs="TimesNewRomanPSMT"/>
          <w:sz w:val="20"/>
          <w:szCs w:val="20"/>
        </w:rPr>
        <w:t>1</w:t>
      </w:r>
      <w:r>
        <w:rPr>
          <w:rFonts w:ascii="TimesNewRomanPSMT" w:hAnsi="TimesNewRomanPSMT" w:cs="TimesNewRomanPSMT"/>
          <w:sz w:val="20"/>
          <w:szCs w:val="20"/>
        </w:rPr>
        <w:t xml:space="preserve"> – Extended Benefits Available</w:t>
      </w:r>
    </w:p>
    <w:p w:rsidR="00AF5416" w:rsidRDefault="00AF5416" w:rsidP="001277E4">
      <w:pPr>
        <w:ind w:left="1440"/>
        <w:rPr>
          <w:rFonts w:ascii="TimesNewRomanPSMT" w:hAnsi="TimesNewRomanPSMT" w:cs="TimesNewRomanPSMT"/>
          <w:sz w:val="20"/>
          <w:szCs w:val="20"/>
        </w:rPr>
      </w:pPr>
      <w:r>
        <w:rPr>
          <w:rFonts w:ascii="TimesNewRomanPSMT" w:hAnsi="TimesNewRomanPSMT" w:cs="TimesNewRomanPSMT"/>
          <w:sz w:val="20"/>
          <w:szCs w:val="20"/>
        </w:rPr>
        <w:t>Maximum amount of remaining extended benefits available to policyholders with extension of benefit riders.</w:t>
      </w:r>
    </w:p>
    <w:p w:rsidR="00E6779D" w:rsidRDefault="001277E4"/>
    <w:sectPr w:rsidR="00E6779D" w:rsidSect="00F11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E78F9"/>
    <w:multiLevelType w:val="hybridMultilevel"/>
    <w:tmpl w:val="0BB2FA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DCF5409"/>
    <w:multiLevelType w:val="hybridMultilevel"/>
    <w:tmpl w:val="6E3C7E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416"/>
    <w:rsid w:val="00043B4F"/>
    <w:rsid w:val="00051BCA"/>
    <w:rsid w:val="00095784"/>
    <w:rsid w:val="000958EC"/>
    <w:rsid w:val="000C1171"/>
    <w:rsid w:val="001277E4"/>
    <w:rsid w:val="00135575"/>
    <w:rsid w:val="001F1F91"/>
    <w:rsid w:val="00264FFB"/>
    <w:rsid w:val="002F1008"/>
    <w:rsid w:val="003E3028"/>
    <w:rsid w:val="00496C34"/>
    <w:rsid w:val="004D2EA3"/>
    <w:rsid w:val="004F3C6F"/>
    <w:rsid w:val="005C131E"/>
    <w:rsid w:val="00861896"/>
    <w:rsid w:val="008E294E"/>
    <w:rsid w:val="00960D41"/>
    <w:rsid w:val="00A56CD5"/>
    <w:rsid w:val="00A933FD"/>
    <w:rsid w:val="00AA2FC7"/>
    <w:rsid w:val="00AC3F3E"/>
    <w:rsid w:val="00AF5416"/>
    <w:rsid w:val="00B4258B"/>
    <w:rsid w:val="00B80B09"/>
    <w:rsid w:val="00BB23C6"/>
    <w:rsid w:val="00C669C8"/>
    <w:rsid w:val="00ED0CE0"/>
    <w:rsid w:val="00F1171D"/>
    <w:rsid w:val="00F7566C"/>
    <w:rsid w:val="00F77D8B"/>
    <w:rsid w:val="00FF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F5416"/>
    <w:rPr>
      <w:sz w:val="16"/>
      <w:szCs w:val="16"/>
    </w:rPr>
  </w:style>
  <w:style w:type="paragraph" w:styleId="CommentText">
    <w:name w:val="annotation text"/>
    <w:basedOn w:val="Normal"/>
    <w:link w:val="CommentTextChar"/>
    <w:uiPriority w:val="99"/>
    <w:semiHidden/>
    <w:unhideWhenUsed/>
    <w:rsid w:val="00AF5416"/>
    <w:pPr>
      <w:spacing w:line="240" w:lineRule="auto"/>
    </w:pPr>
    <w:rPr>
      <w:sz w:val="20"/>
      <w:szCs w:val="20"/>
    </w:rPr>
  </w:style>
  <w:style w:type="character" w:customStyle="1" w:styleId="CommentTextChar">
    <w:name w:val="Comment Text Char"/>
    <w:basedOn w:val="DefaultParagraphFont"/>
    <w:link w:val="CommentText"/>
    <w:uiPriority w:val="99"/>
    <w:semiHidden/>
    <w:rsid w:val="00AF5416"/>
    <w:rPr>
      <w:sz w:val="20"/>
      <w:szCs w:val="20"/>
    </w:rPr>
  </w:style>
  <w:style w:type="paragraph" w:styleId="BalloonText">
    <w:name w:val="Balloon Text"/>
    <w:basedOn w:val="Normal"/>
    <w:link w:val="BalloonTextChar"/>
    <w:uiPriority w:val="99"/>
    <w:semiHidden/>
    <w:unhideWhenUsed/>
    <w:rsid w:val="00AF5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416"/>
    <w:rPr>
      <w:rFonts w:ascii="Tahoma" w:hAnsi="Tahoma" w:cs="Tahoma"/>
      <w:sz w:val="16"/>
      <w:szCs w:val="16"/>
    </w:rPr>
  </w:style>
  <w:style w:type="paragraph" w:styleId="ListParagraph">
    <w:name w:val="List Paragraph"/>
    <w:basedOn w:val="Normal"/>
    <w:uiPriority w:val="34"/>
    <w:qFormat/>
    <w:rsid w:val="00A56CD5"/>
    <w:pPr>
      <w:ind w:left="720"/>
      <w:contextualSpacing/>
    </w:pPr>
  </w:style>
  <w:style w:type="paragraph" w:styleId="CommentSubject">
    <w:name w:val="annotation subject"/>
    <w:basedOn w:val="CommentText"/>
    <w:next w:val="CommentText"/>
    <w:link w:val="CommentSubjectChar"/>
    <w:uiPriority w:val="99"/>
    <w:semiHidden/>
    <w:unhideWhenUsed/>
    <w:rsid w:val="002F1008"/>
    <w:rPr>
      <w:b/>
      <w:bCs/>
    </w:rPr>
  </w:style>
  <w:style w:type="character" w:customStyle="1" w:styleId="CommentSubjectChar">
    <w:name w:val="Comment Subject Char"/>
    <w:basedOn w:val="CommentTextChar"/>
    <w:link w:val="CommentSubject"/>
    <w:uiPriority w:val="99"/>
    <w:semiHidden/>
    <w:rsid w:val="002F1008"/>
    <w:rPr>
      <w:b/>
      <w:bCs/>
      <w:sz w:val="20"/>
      <w:szCs w:val="20"/>
    </w:rPr>
  </w:style>
  <w:style w:type="paragraph" w:styleId="Revision">
    <w:name w:val="Revision"/>
    <w:hidden/>
    <w:uiPriority w:val="99"/>
    <w:semiHidden/>
    <w:rsid w:val="002F10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F5416"/>
    <w:rPr>
      <w:sz w:val="16"/>
      <w:szCs w:val="16"/>
    </w:rPr>
  </w:style>
  <w:style w:type="paragraph" w:styleId="CommentText">
    <w:name w:val="annotation text"/>
    <w:basedOn w:val="Normal"/>
    <w:link w:val="CommentTextChar"/>
    <w:uiPriority w:val="99"/>
    <w:semiHidden/>
    <w:unhideWhenUsed/>
    <w:rsid w:val="00AF5416"/>
    <w:pPr>
      <w:spacing w:line="240" w:lineRule="auto"/>
    </w:pPr>
    <w:rPr>
      <w:sz w:val="20"/>
      <w:szCs w:val="20"/>
    </w:rPr>
  </w:style>
  <w:style w:type="character" w:customStyle="1" w:styleId="CommentTextChar">
    <w:name w:val="Comment Text Char"/>
    <w:basedOn w:val="DefaultParagraphFont"/>
    <w:link w:val="CommentText"/>
    <w:uiPriority w:val="99"/>
    <w:semiHidden/>
    <w:rsid w:val="00AF5416"/>
    <w:rPr>
      <w:sz w:val="20"/>
      <w:szCs w:val="20"/>
    </w:rPr>
  </w:style>
  <w:style w:type="paragraph" w:styleId="BalloonText">
    <w:name w:val="Balloon Text"/>
    <w:basedOn w:val="Normal"/>
    <w:link w:val="BalloonTextChar"/>
    <w:uiPriority w:val="99"/>
    <w:semiHidden/>
    <w:unhideWhenUsed/>
    <w:rsid w:val="00AF5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416"/>
    <w:rPr>
      <w:rFonts w:ascii="Tahoma" w:hAnsi="Tahoma" w:cs="Tahoma"/>
      <w:sz w:val="16"/>
      <w:szCs w:val="16"/>
    </w:rPr>
  </w:style>
  <w:style w:type="paragraph" w:styleId="ListParagraph">
    <w:name w:val="List Paragraph"/>
    <w:basedOn w:val="Normal"/>
    <w:uiPriority w:val="34"/>
    <w:qFormat/>
    <w:rsid w:val="00A56CD5"/>
    <w:pPr>
      <w:ind w:left="720"/>
      <w:contextualSpacing/>
    </w:pPr>
  </w:style>
  <w:style w:type="paragraph" w:styleId="CommentSubject">
    <w:name w:val="annotation subject"/>
    <w:basedOn w:val="CommentText"/>
    <w:next w:val="CommentText"/>
    <w:link w:val="CommentSubjectChar"/>
    <w:uiPriority w:val="99"/>
    <w:semiHidden/>
    <w:unhideWhenUsed/>
    <w:rsid w:val="002F1008"/>
    <w:rPr>
      <w:b/>
      <w:bCs/>
    </w:rPr>
  </w:style>
  <w:style w:type="character" w:customStyle="1" w:styleId="CommentSubjectChar">
    <w:name w:val="Comment Subject Char"/>
    <w:basedOn w:val="CommentTextChar"/>
    <w:link w:val="CommentSubject"/>
    <w:uiPriority w:val="99"/>
    <w:semiHidden/>
    <w:rsid w:val="002F1008"/>
    <w:rPr>
      <w:b/>
      <w:bCs/>
      <w:sz w:val="20"/>
      <w:szCs w:val="20"/>
    </w:rPr>
  </w:style>
  <w:style w:type="paragraph" w:styleId="Revision">
    <w:name w:val="Revision"/>
    <w:hidden/>
    <w:uiPriority w:val="99"/>
    <w:semiHidden/>
    <w:rsid w:val="002F10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5EF47-0E9E-46AE-8026-3D8004296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1981</Words>
  <Characters>11296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Insurance</Company>
  <LinksUpToDate>false</LinksUpToDate>
  <CharactersWithSpaces>13251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Hanson, Brian</dc:creator>
  <cp:lastModifiedBy>Hanson, Brian</cp:lastModifiedBy>
  <cp:revision>12</cp:revision>
  <cp:lastPrinted>2019-11-08T18:37:00Z</cp:lastPrinted>
  <dcterms:created xsi:type="dcterms:W3CDTF">2019-11-08T18:35:00Z</dcterms:created>
  <dcterms:modified xsi:type="dcterms:W3CDTF">2019-11-08T20:22:00Z</dcterms:modified>
</cp:coreProperties>
</file>