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3098" w14:textId="31FF3904" w:rsidR="00FA4F50" w:rsidRPr="00D13D50" w:rsidRDefault="00E0000C" w:rsidP="00E72930">
      <w:pPr>
        <w:pStyle w:val="RRCoverResearchReport"/>
        <w:spacing w:after="120" w:line="288" w:lineRule="auto"/>
        <w:rPr>
          <w:b/>
          <w:i/>
          <w:sz w:val="28"/>
          <w:szCs w:val="28"/>
        </w:rPr>
      </w:pPr>
      <w:bookmarkStart w:id="0" w:name="_GoBack"/>
      <w:bookmarkEnd w:id="0"/>
      <w:r w:rsidRPr="00CD5486">
        <w:rPr>
          <w:b/>
          <w:color w:val="0A4977" w:themeColor="text2"/>
          <w:sz w:val="28"/>
          <w:szCs w:val="28"/>
        </w:rPr>
        <w:t>Milliman</w:t>
      </w:r>
      <w:r w:rsidR="00DE1ED8" w:rsidRPr="00CD5486">
        <w:rPr>
          <w:b/>
          <w:color w:val="39414D"/>
          <w:sz w:val="28"/>
          <w:szCs w:val="28"/>
        </w:rPr>
        <w:t xml:space="preserve"> </w:t>
      </w:r>
      <w:r w:rsidR="00674815" w:rsidRPr="00CD5486">
        <w:rPr>
          <w:b/>
          <w:color w:val="39414D"/>
          <w:sz w:val="28"/>
          <w:szCs w:val="28"/>
        </w:rPr>
        <w:t>CLIENT</w:t>
      </w:r>
      <w:r w:rsidR="00DE1ED8" w:rsidRPr="00CD5486">
        <w:rPr>
          <w:b/>
          <w:color w:val="39414D"/>
          <w:sz w:val="28"/>
          <w:szCs w:val="28"/>
        </w:rPr>
        <w:t xml:space="preserve"> Report</w:t>
      </w:r>
      <w:r w:rsidR="00E72930" w:rsidRPr="00CD5486">
        <w:rPr>
          <w:b/>
          <w:color w:val="39414D"/>
          <w:sz w:val="28"/>
          <w:szCs w:val="28"/>
        </w:rPr>
        <w:t xml:space="preserve"> </w:t>
      </w:r>
      <w:r w:rsidR="00D13D50">
        <w:rPr>
          <w:b/>
          <w:color w:val="39414D"/>
          <w:sz w:val="28"/>
          <w:szCs w:val="28"/>
        </w:rPr>
        <w:t>–</w:t>
      </w:r>
      <w:r w:rsidR="00E72930" w:rsidRPr="00CD5486">
        <w:rPr>
          <w:b/>
          <w:color w:val="39414D"/>
          <w:sz w:val="28"/>
          <w:szCs w:val="28"/>
        </w:rPr>
        <w:t xml:space="preserve"> draft</w:t>
      </w:r>
    </w:p>
    <w:p w14:paraId="7B3ACFB3" w14:textId="0F9B37E6" w:rsidR="006836D4" w:rsidRPr="00CD5486" w:rsidRDefault="00783D69" w:rsidP="006836D4">
      <w:pPr>
        <w:pStyle w:val="RRCoverTitle"/>
        <w:spacing w:after="40" w:line="288" w:lineRule="auto"/>
        <w:rPr>
          <w:sz w:val="28"/>
          <w:szCs w:val="28"/>
        </w:rPr>
      </w:pPr>
      <w:r w:rsidRPr="00783D69">
        <w:rPr>
          <w:sz w:val="28"/>
          <w:szCs w:val="28"/>
        </w:rPr>
        <w:t>NAIC Mortgage Insurer Risk Sensitive Capital Model</w:t>
      </w:r>
    </w:p>
    <w:p w14:paraId="7D242B18" w14:textId="79DFC370" w:rsidR="006836D4" w:rsidRDefault="008A1C2B" w:rsidP="006836D4">
      <w:pPr>
        <w:pStyle w:val="RRCoverSubtitle"/>
        <w:spacing w:before="0" w:line="288" w:lineRule="auto"/>
        <w:rPr>
          <w:sz w:val="28"/>
          <w:szCs w:val="28"/>
        </w:rPr>
      </w:pPr>
      <w:r>
        <w:rPr>
          <w:sz w:val="28"/>
          <w:szCs w:val="28"/>
        </w:rPr>
        <w:t>Technical Documentation</w:t>
      </w:r>
    </w:p>
    <w:p w14:paraId="073F37D4" w14:textId="77777777" w:rsidR="00783D69" w:rsidRDefault="00783D69" w:rsidP="006836D4">
      <w:pPr>
        <w:pStyle w:val="RRCoverSubtitle"/>
        <w:spacing w:before="0" w:line="288" w:lineRule="auto"/>
        <w:rPr>
          <w:sz w:val="28"/>
          <w:szCs w:val="28"/>
        </w:rPr>
      </w:pPr>
    </w:p>
    <w:p w14:paraId="6F962CE7" w14:textId="6B407EC1" w:rsidR="006836D4" w:rsidRDefault="006836D4" w:rsidP="006836D4">
      <w:pPr>
        <w:pStyle w:val="RRCoverSubtitle"/>
        <w:spacing w:before="0" w:after="0" w:line="288" w:lineRule="auto"/>
        <w:rPr>
          <w:sz w:val="24"/>
          <w:szCs w:val="24"/>
        </w:rPr>
      </w:pPr>
      <w:r w:rsidRPr="00184C95">
        <w:rPr>
          <w:sz w:val="24"/>
          <w:szCs w:val="24"/>
        </w:rPr>
        <w:t>Prepared for:</w:t>
      </w:r>
      <w:r w:rsidR="00783D69">
        <w:rPr>
          <w:sz w:val="24"/>
          <w:szCs w:val="24"/>
        </w:rPr>
        <w:t xml:space="preserve">  </w:t>
      </w:r>
      <w:r w:rsidR="00783D69">
        <w:rPr>
          <w:sz w:val="24"/>
          <w:szCs w:val="24"/>
        </w:rPr>
        <w:tab/>
      </w:r>
      <w:r w:rsidR="00783D69" w:rsidRPr="00783D69">
        <w:rPr>
          <w:sz w:val="24"/>
          <w:szCs w:val="24"/>
        </w:rPr>
        <w:t>National Association of Insurance Commissioners</w:t>
      </w:r>
    </w:p>
    <w:p w14:paraId="5FDED3ED" w14:textId="49E2FDA1" w:rsidR="00184C95" w:rsidRPr="00CD5486" w:rsidRDefault="009B6C68" w:rsidP="00C73BD4">
      <w:pPr>
        <w:pStyle w:val="RRCoverSubtitle"/>
        <w:spacing w:before="0" w:after="0" w:line="288" w:lineRule="auto"/>
        <w:rPr>
          <w:sz w:val="28"/>
          <w:szCs w:val="28"/>
        </w:rPr>
      </w:pPr>
      <w:r>
        <w:rPr>
          <w:sz w:val="24"/>
          <w:szCs w:val="24"/>
        </w:rPr>
        <w:tab/>
      </w:r>
      <w:r>
        <w:rPr>
          <w:sz w:val="24"/>
          <w:szCs w:val="24"/>
        </w:rPr>
        <w:tab/>
      </w:r>
      <w:r>
        <w:rPr>
          <w:sz w:val="24"/>
          <w:szCs w:val="24"/>
        </w:rPr>
        <w:tab/>
      </w:r>
      <w:r>
        <w:rPr>
          <w:sz w:val="24"/>
          <w:szCs w:val="24"/>
        </w:rPr>
        <w:tab/>
      </w:r>
    </w:p>
    <w:p w14:paraId="10B69D02" w14:textId="3B5AF116" w:rsidR="00E72930" w:rsidRPr="000D726A" w:rsidRDefault="00F05097" w:rsidP="00E72930">
      <w:pPr>
        <w:pStyle w:val="RRCoverAuthor"/>
        <w:spacing w:after="120" w:line="288" w:lineRule="auto"/>
        <w:rPr>
          <w:sz w:val="24"/>
          <w:szCs w:val="24"/>
        </w:rPr>
      </w:pPr>
      <w:r w:rsidRPr="000D726A">
        <w:rPr>
          <w:sz w:val="24"/>
          <w:szCs w:val="24"/>
        </w:rPr>
        <w:fldChar w:fldCharType="begin"/>
      </w:r>
      <w:r w:rsidRPr="000D726A">
        <w:rPr>
          <w:sz w:val="24"/>
          <w:szCs w:val="24"/>
        </w:rPr>
        <w:instrText xml:space="preserve"> DATE \@ "MMMM d, yyyy" </w:instrText>
      </w:r>
      <w:r w:rsidRPr="000D726A">
        <w:rPr>
          <w:sz w:val="24"/>
          <w:szCs w:val="24"/>
        </w:rPr>
        <w:fldChar w:fldCharType="separate"/>
      </w:r>
      <w:r w:rsidR="00C05DD1">
        <w:rPr>
          <w:noProof/>
          <w:sz w:val="24"/>
          <w:szCs w:val="24"/>
        </w:rPr>
        <w:t>December 3, 2019</w:t>
      </w:r>
      <w:r w:rsidRPr="000D726A">
        <w:rPr>
          <w:sz w:val="24"/>
          <w:szCs w:val="24"/>
        </w:rPr>
        <w:fldChar w:fldCharType="end"/>
      </w:r>
    </w:p>
    <w:p w14:paraId="14AB66DA" w14:textId="77777777" w:rsidR="000D726A" w:rsidRDefault="000D726A" w:rsidP="00A51E6E">
      <w:pPr>
        <w:pStyle w:val="RRCoverAuthor"/>
        <w:spacing w:line="288" w:lineRule="auto"/>
        <w:rPr>
          <w:color w:val="0081E3" w:themeColor="accent4"/>
          <w:sz w:val="20"/>
          <w:szCs w:val="20"/>
        </w:rPr>
      </w:pPr>
    </w:p>
    <w:p w14:paraId="43003B25" w14:textId="53A0731F" w:rsidR="00133E22" w:rsidRDefault="00783D69" w:rsidP="00A51E6E">
      <w:pPr>
        <w:pStyle w:val="RRCoverAuthor"/>
        <w:spacing w:line="288" w:lineRule="auto"/>
        <w:rPr>
          <w:color w:val="0081E3" w:themeColor="accent4"/>
          <w:sz w:val="20"/>
          <w:szCs w:val="20"/>
        </w:rPr>
      </w:pPr>
      <w:r>
        <w:rPr>
          <w:color w:val="0081E3" w:themeColor="accent4"/>
          <w:sz w:val="20"/>
          <w:szCs w:val="20"/>
        </w:rPr>
        <w:t>Kenneth A Bjurstrom</w:t>
      </w:r>
      <w:r w:rsidR="00133E22">
        <w:rPr>
          <w:color w:val="0081E3" w:themeColor="accent4"/>
          <w:sz w:val="20"/>
          <w:szCs w:val="20"/>
        </w:rPr>
        <w:tab/>
      </w:r>
    </w:p>
    <w:p w14:paraId="1C181CCC" w14:textId="4D6D4DBE" w:rsidR="00133E22" w:rsidRDefault="00133E22" w:rsidP="00A51E6E">
      <w:pPr>
        <w:pStyle w:val="RRCoverAuthor"/>
        <w:spacing w:line="288" w:lineRule="auto"/>
        <w:rPr>
          <w:color w:val="0081E3" w:themeColor="accent4"/>
          <w:sz w:val="20"/>
          <w:szCs w:val="20"/>
        </w:rPr>
      </w:pPr>
      <w:r>
        <w:rPr>
          <w:color w:val="0081E3" w:themeColor="accent4"/>
          <w:sz w:val="20"/>
          <w:szCs w:val="20"/>
        </w:rPr>
        <w:t xml:space="preserve">Principal and </w:t>
      </w:r>
      <w:r w:rsidR="00783D69">
        <w:rPr>
          <w:color w:val="0081E3" w:themeColor="accent4"/>
          <w:sz w:val="20"/>
          <w:szCs w:val="20"/>
        </w:rPr>
        <w:t xml:space="preserve">Financial </w:t>
      </w:r>
      <w:r>
        <w:rPr>
          <w:color w:val="0081E3" w:themeColor="accent4"/>
          <w:sz w:val="20"/>
          <w:szCs w:val="20"/>
        </w:rPr>
        <w:t>Consult</w:t>
      </w:r>
      <w:r w:rsidR="00783D69">
        <w:rPr>
          <w:color w:val="0081E3" w:themeColor="accent4"/>
          <w:sz w:val="20"/>
          <w:szCs w:val="20"/>
        </w:rPr>
        <w:t>a</w:t>
      </w:r>
      <w:r>
        <w:rPr>
          <w:color w:val="0081E3" w:themeColor="accent4"/>
          <w:sz w:val="20"/>
          <w:szCs w:val="20"/>
        </w:rPr>
        <w:t>nt</w:t>
      </w:r>
      <w:r>
        <w:rPr>
          <w:color w:val="0081E3" w:themeColor="accent4"/>
          <w:sz w:val="20"/>
          <w:szCs w:val="20"/>
        </w:rPr>
        <w:tab/>
      </w:r>
    </w:p>
    <w:p w14:paraId="2743C012" w14:textId="77777777" w:rsidR="00E72930" w:rsidRDefault="00E72930" w:rsidP="00A51E6E">
      <w:pPr>
        <w:pStyle w:val="RRCoverAuthor"/>
        <w:spacing w:line="288" w:lineRule="auto"/>
        <w:rPr>
          <w:color w:val="0081E3" w:themeColor="accent4"/>
          <w:sz w:val="20"/>
          <w:szCs w:val="20"/>
        </w:rPr>
      </w:pPr>
    </w:p>
    <w:p w14:paraId="21944352" w14:textId="15AFB18F" w:rsidR="00133E22" w:rsidRDefault="00783D69" w:rsidP="00A51E6E">
      <w:pPr>
        <w:pStyle w:val="RRCoverAuthor"/>
        <w:spacing w:line="288" w:lineRule="auto"/>
        <w:rPr>
          <w:color w:val="0081E3" w:themeColor="accent4"/>
          <w:sz w:val="20"/>
          <w:szCs w:val="20"/>
        </w:rPr>
      </w:pPr>
      <w:r>
        <w:rPr>
          <w:color w:val="0081E3" w:themeColor="accent4"/>
          <w:sz w:val="20"/>
          <w:szCs w:val="20"/>
        </w:rPr>
        <w:t>Jonathan B. Glowacki</w:t>
      </w:r>
      <w:r w:rsidR="00E72930">
        <w:rPr>
          <w:color w:val="0081E3" w:themeColor="accent4"/>
          <w:sz w:val="20"/>
          <w:szCs w:val="20"/>
        </w:rPr>
        <w:t>, FS</w:t>
      </w:r>
      <w:r>
        <w:rPr>
          <w:color w:val="0081E3" w:themeColor="accent4"/>
          <w:sz w:val="20"/>
          <w:szCs w:val="20"/>
        </w:rPr>
        <w:t>A</w:t>
      </w:r>
      <w:r w:rsidR="00E72930">
        <w:rPr>
          <w:color w:val="0081E3" w:themeColor="accent4"/>
          <w:sz w:val="20"/>
          <w:szCs w:val="20"/>
        </w:rPr>
        <w:t xml:space="preserve">, </w:t>
      </w:r>
      <w:r>
        <w:rPr>
          <w:color w:val="0081E3" w:themeColor="accent4"/>
          <w:sz w:val="20"/>
          <w:szCs w:val="20"/>
        </w:rPr>
        <w:t xml:space="preserve">CERA, </w:t>
      </w:r>
      <w:r w:rsidR="008A1C2B">
        <w:rPr>
          <w:color w:val="0081E3" w:themeColor="accent4"/>
          <w:sz w:val="20"/>
          <w:szCs w:val="20"/>
        </w:rPr>
        <w:t xml:space="preserve">CSPA, </w:t>
      </w:r>
      <w:r w:rsidR="00E72930">
        <w:rPr>
          <w:color w:val="0081E3" w:themeColor="accent4"/>
          <w:sz w:val="20"/>
          <w:szCs w:val="20"/>
        </w:rPr>
        <w:t>MAAA</w:t>
      </w:r>
      <w:r w:rsidR="00133E22">
        <w:rPr>
          <w:color w:val="0081E3" w:themeColor="accent4"/>
          <w:sz w:val="20"/>
          <w:szCs w:val="20"/>
        </w:rPr>
        <w:tab/>
      </w:r>
    </w:p>
    <w:p w14:paraId="14742D32" w14:textId="0CD5FA24" w:rsidR="00184C95" w:rsidRDefault="00133E22" w:rsidP="00A51E6E">
      <w:pPr>
        <w:pStyle w:val="RRCoverAuthor"/>
        <w:spacing w:line="288" w:lineRule="auto"/>
        <w:rPr>
          <w:color w:val="0081E3" w:themeColor="accent4"/>
          <w:sz w:val="20"/>
          <w:szCs w:val="20"/>
        </w:rPr>
      </w:pPr>
      <w:r>
        <w:rPr>
          <w:color w:val="0081E3" w:themeColor="accent4"/>
          <w:sz w:val="20"/>
          <w:szCs w:val="20"/>
        </w:rPr>
        <w:t>Principal and Consulting Actuary</w:t>
      </w:r>
      <w:r w:rsidR="00F56FC8" w:rsidRPr="00E72930">
        <w:rPr>
          <w:sz w:val="20"/>
          <w:szCs w:val="20"/>
        </w:rPr>
        <w:tab/>
      </w:r>
    </w:p>
    <w:p w14:paraId="30DD309D" w14:textId="47F6A6BD" w:rsidR="00F56FC8" w:rsidRDefault="000F5615" w:rsidP="00A51E6E">
      <w:pPr>
        <w:pStyle w:val="RRCoverAuthor"/>
        <w:spacing w:line="288" w:lineRule="auto"/>
        <w:rPr>
          <w:color w:val="0081E3" w:themeColor="accent4"/>
          <w:sz w:val="20"/>
          <w:szCs w:val="20"/>
        </w:rPr>
      </w:pPr>
      <w:r>
        <w:rPr>
          <w:color w:val="0081E3" w:themeColor="accent4"/>
          <w:sz w:val="20"/>
          <w:szCs w:val="20"/>
        </w:rPr>
        <w:t xml:space="preserve"> </w:t>
      </w:r>
    </w:p>
    <w:p w14:paraId="566A2968" w14:textId="148A12B3" w:rsidR="00CD517A" w:rsidRDefault="00CD517A" w:rsidP="00A51E6E">
      <w:pPr>
        <w:pStyle w:val="RRCoverAuthor"/>
        <w:spacing w:line="288" w:lineRule="auto"/>
        <w:rPr>
          <w:color w:val="0081E3" w:themeColor="accent4"/>
          <w:sz w:val="20"/>
          <w:szCs w:val="20"/>
        </w:rPr>
      </w:pPr>
      <w:r>
        <w:rPr>
          <w:color w:val="0081E3" w:themeColor="accent4"/>
          <w:sz w:val="20"/>
          <w:szCs w:val="20"/>
        </w:rPr>
        <w:t>Edem Togbey</w:t>
      </w:r>
      <w:r w:rsidR="00E52142">
        <w:rPr>
          <w:color w:val="0081E3" w:themeColor="accent4"/>
          <w:sz w:val="20"/>
          <w:szCs w:val="20"/>
        </w:rPr>
        <w:t>, ACAS, MAAA</w:t>
      </w:r>
    </w:p>
    <w:p w14:paraId="41C35871" w14:textId="07F8E556" w:rsidR="00CD517A" w:rsidRDefault="007559A9" w:rsidP="00A51E6E">
      <w:pPr>
        <w:pStyle w:val="RRCoverAuthor"/>
        <w:spacing w:line="288" w:lineRule="auto"/>
        <w:rPr>
          <w:color w:val="0081E3" w:themeColor="accent4"/>
          <w:sz w:val="20"/>
          <w:szCs w:val="20"/>
        </w:rPr>
      </w:pPr>
      <w:r>
        <w:rPr>
          <w:color w:val="0081E3" w:themeColor="accent4"/>
          <w:sz w:val="20"/>
          <w:szCs w:val="20"/>
        </w:rPr>
        <w:t>A</w:t>
      </w:r>
      <w:r w:rsidR="00E52142">
        <w:rPr>
          <w:color w:val="0081E3" w:themeColor="accent4"/>
          <w:sz w:val="20"/>
          <w:szCs w:val="20"/>
        </w:rPr>
        <w:t>ssociate Actuary</w:t>
      </w:r>
    </w:p>
    <w:p w14:paraId="4E3CFAF3" w14:textId="77777777" w:rsidR="00184C95" w:rsidRPr="00E72930" w:rsidRDefault="00184C95" w:rsidP="00A51E6E">
      <w:pPr>
        <w:pStyle w:val="RRCoverAuthor"/>
        <w:spacing w:line="288" w:lineRule="auto"/>
        <w:rPr>
          <w:sz w:val="20"/>
          <w:szCs w:val="20"/>
        </w:rPr>
      </w:pPr>
    </w:p>
    <w:p w14:paraId="30DD30A0" w14:textId="77777777" w:rsidR="00610E90" w:rsidRPr="00E72930" w:rsidRDefault="00610E90" w:rsidP="00E72930">
      <w:pPr>
        <w:pStyle w:val="RRObject"/>
        <w:spacing w:before="0" w:after="120" w:line="288" w:lineRule="auto"/>
        <w:rPr>
          <w:noProof/>
          <w:sz w:val="20"/>
          <w:szCs w:val="20"/>
        </w:rPr>
      </w:pPr>
      <w:r w:rsidRPr="00E72930">
        <w:rPr>
          <w:noProof/>
          <w:sz w:val="20"/>
          <w:szCs w:val="20"/>
        </w:rPr>
        <w:drawing>
          <wp:anchor distT="0" distB="0" distL="114300" distR="114300" simplePos="0" relativeHeight="251659264" behindDoc="0" locked="1" layoutInCell="1" allowOverlap="1" wp14:anchorId="30DD3195" wp14:editId="72E2899C">
            <wp:simplePos x="0" y="0"/>
            <wp:positionH relativeFrom="margin">
              <wp:posOffset>4669155</wp:posOffset>
            </wp:positionH>
            <wp:positionV relativeFrom="margin">
              <wp:posOffset>7881620</wp:posOffset>
            </wp:positionV>
            <wp:extent cx="1663700" cy="356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iman Logo.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63700" cy="35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2930">
        <w:rPr>
          <w:noProof/>
          <w:sz w:val="20"/>
          <w:szCs w:val="20"/>
        </w:rPr>
        <w:drawing>
          <wp:anchor distT="0" distB="0" distL="114300" distR="114300" simplePos="0" relativeHeight="251658240" behindDoc="0" locked="1" layoutInCell="1" allowOverlap="1" wp14:anchorId="30DD3197" wp14:editId="716F951E">
            <wp:simplePos x="0" y="0"/>
            <wp:positionH relativeFrom="margin">
              <wp:posOffset>1136650</wp:posOffset>
            </wp:positionH>
            <wp:positionV relativeFrom="page">
              <wp:posOffset>2711450</wp:posOffset>
            </wp:positionV>
            <wp:extent cx="3664585" cy="7766685"/>
            <wp:effectExtent l="63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Image.jpg"/>
                    <pic:cNvPicPr/>
                  </pic:nvPicPr>
                  <pic:blipFill rotWithShape="1">
                    <a:blip r:embed="rId13">
                      <a:extLst>
                        <a:ext uri="{28A0092B-C50C-407E-A947-70E740481C1C}">
                          <a14:useLocalDpi xmlns:a14="http://schemas.microsoft.com/office/drawing/2010/main" val="0"/>
                        </a:ext>
                      </a:extLst>
                    </a:blip>
                    <a:srcRect l="42676" t="4779" r="15658" b="6777"/>
                    <a:stretch/>
                  </pic:blipFill>
                  <pic:spPr bwMode="auto">
                    <a:xfrm rot="16200000">
                      <a:off x="0" y="0"/>
                      <a:ext cx="3664585" cy="776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5ED9" w:rsidRPr="00E72930">
        <w:rPr>
          <w:noProof/>
          <w:sz w:val="20"/>
          <w:szCs w:val="20"/>
        </w:rPr>
        <w:t xml:space="preserve"> </w:t>
      </w:r>
    </w:p>
    <w:p w14:paraId="2972D063" w14:textId="77777777" w:rsidR="00AE4B3F" w:rsidRDefault="00AE4B3F" w:rsidP="00AE4B3F">
      <w:pPr>
        <w:spacing w:after="120" w:line="288" w:lineRule="auto"/>
        <w:sectPr w:rsidR="00AE4B3F" w:rsidSect="007356D1">
          <w:headerReference w:type="default" r:id="rId14"/>
          <w:footerReference w:type="default" r:id="rId15"/>
          <w:footerReference w:type="first" r:id="rId16"/>
          <w:pgSz w:w="12240" w:h="15840" w:code="1"/>
          <w:pgMar w:top="1440" w:right="1440" w:bottom="1440" w:left="1440" w:header="576" w:footer="720" w:gutter="0"/>
          <w:paperSrc w:first="258" w:other="258"/>
          <w:pgNumType w:start="1"/>
          <w:cols w:space="720"/>
          <w:titlePg/>
          <w:docGrid w:linePitch="360"/>
        </w:sectPr>
      </w:pPr>
    </w:p>
    <w:p w14:paraId="30DD30A4" w14:textId="4FBDFE57" w:rsidR="00B00F42" w:rsidRPr="00DA256C" w:rsidRDefault="006C3AFC" w:rsidP="00AE4B3F">
      <w:pPr>
        <w:spacing w:after="120" w:line="288" w:lineRule="auto"/>
        <w:rPr>
          <w:i/>
          <w:sz w:val="20"/>
          <w:szCs w:val="20"/>
        </w:rPr>
      </w:pPr>
      <w:r w:rsidRPr="00975396">
        <w:rPr>
          <w:color w:val="0081E3" w:themeColor="accent4"/>
          <w:sz w:val="28"/>
        </w:rPr>
        <w:lastRenderedPageBreak/>
        <w:t>Table of Contents</w:t>
      </w:r>
      <w:r w:rsidRPr="00975396">
        <w:rPr>
          <w:b/>
          <w:color w:val="0081E3" w:themeColor="accent4"/>
          <w:sz w:val="28"/>
        </w:rPr>
        <w:t xml:space="preserve"> </w:t>
      </w:r>
      <w:r w:rsidR="00975396">
        <w:rPr>
          <w:b/>
          <w:color w:val="0081E3" w:themeColor="accent4"/>
          <w:sz w:val="28"/>
        </w:rPr>
        <w:t xml:space="preserve">  </w:t>
      </w:r>
    </w:p>
    <w:p w14:paraId="30DD30B3" w14:textId="55817205" w:rsidR="006C3AFC" w:rsidRPr="00206A9E" w:rsidRDefault="006C3AFC" w:rsidP="00E72930">
      <w:pPr>
        <w:pStyle w:val="RRTOCDescription"/>
        <w:spacing w:before="0" w:after="120"/>
        <w:rPr>
          <w:sz w:val="20"/>
          <w:szCs w:val="20"/>
        </w:rPr>
      </w:pPr>
    </w:p>
    <w:p w14:paraId="456714BB" w14:textId="5604D7AB" w:rsidR="00E72930" w:rsidRPr="003E657B" w:rsidRDefault="00E72930" w:rsidP="00DA256C">
      <w:pPr>
        <w:pStyle w:val="Heading6"/>
        <w:spacing w:before="0" w:after="120" w:line="288" w:lineRule="auto"/>
        <w:ind w:right="-270"/>
        <w:rPr>
          <w:rFonts w:ascii="Arial" w:hAnsi="Arial" w:cs="Arial"/>
          <w:color w:val="auto"/>
          <w:sz w:val="20"/>
        </w:rPr>
      </w:pPr>
      <w:r w:rsidRPr="003E657B">
        <w:rPr>
          <w:rFonts w:ascii="Arial" w:hAnsi="Arial" w:cs="Arial"/>
          <w:color w:val="auto"/>
          <w:sz w:val="20"/>
        </w:rPr>
        <w:t>Section</w:t>
      </w:r>
      <w:r w:rsidRPr="003E657B">
        <w:rPr>
          <w:rFonts w:ascii="Arial" w:hAnsi="Arial" w:cs="Arial"/>
          <w:color w:val="auto"/>
          <w:sz w:val="20"/>
        </w:rPr>
        <w:tab/>
      </w:r>
      <w:r w:rsidRPr="003E657B">
        <w:rPr>
          <w:rFonts w:ascii="Arial" w:hAnsi="Arial" w:cs="Arial"/>
          <w:color w:val="auto"/>
          <w:sz w:val="20"/>
        </w:rPr>
        <w:tab/>
      </w:r>
      <w:r w:rsidRPr="003E657B">
        <w:rPr>
          <w:rFonts w:ascii="Arial" w:hAnsi="Arial" w:cs="Arial"/>
          <w:color w:val="auto"/>
          <w:sz w:val="20"/>
        </w:rPr>
        <w:tab/>
      </w:r>
      <w:r w:rsidRPr="003E657B">
        <w:rPr>
          <w:rFonts w:ascii="Arial" w:hAnsi="Arial" w:cs="Arial"/>
          <w:color w:val="auto"/>
          <w:sz w:val="20"/>
        </w:rPr>
        <w:tab/>
      </w:r>
      <w:r w:rsidRPr="003E657B">
        <w:rPr>
          <w:rFonts w:ascii="Arial" w:hAnsi="Arial" w:cs="Arial"/>
          <w:color w:val="auto"/>
          <w:sz w:val="20"/>
        </w:rPr>
        <w:tab/>
      </w:r>
      <w:r w:rsidRPr="003E657B">
        <w:rPr>
          <w:rFonts w:ascii="Arial" w:hAnsi="Arial" w:cs="Arial"/>
          <w:color w:val="auto"/>
          <w:sz w:val="20"/>
        </w:rPr>
        <w:tab/>
      </w:r>
      <w:r w:rsidRPr="003E657B">
        <w:rPr>
          <w:rFonts w:ascii="Arial" w:hAnsi="Arial" w:cs="Arial"/>
          <w:color w:val="auto"/>
          <w:sz w:val="20"/>
        </w:rPr>
        <w:tab/>
      </w:r>
      <w:r w:rsidRPr="003E657B">
        <w:rPr>
          <w:rFonts w:ascii="Arial" w:hAnsi="Arial" w:cs="Arial"/>
          <w:color w:val="auto"/>
          <w:sz w:val="20"/>
        </w:rPr>
        <w:tab/>
      </w:r>
      <w:r w:rsidRPr="003E657B">
        <w:rPr>
          <w:rFonts w:ascii="Arial" w:hAnsi="Arial" w:cs="Arial"/>
          <w:color w:val="auto"/>
          <w:sz w:val="20"/>
        </w:rPr>
        <w:tab/>
      </w:r>
      <w:r w:rsidR="00FF4976" w:rsidRPr="003E657B">
        <w:rPr>
          <w:rFonts w:ascii="Arial" w:hAnsi="Arial" w:cs="Arial"/>
          <w:color w:val="auto"/>
          <w:sz w:val="20"/>
        </w:rPr>
        <w:tab/>
      </w:r>
      <w:r w:rsidR="00FF4976" w:rsidRPr="003E657B">
        <w:rPr>
          <w:rFonts w:ascii="Arial" w:hAnsi="Arial" w:cs="Arial"/>
          <w:color w:val="auto"/>
          <w:sz w:val="20"/>
        </w:rPr>
        <w:tab/>
      </w:r>
      <w:r w:rsidR="00FF4976" w:rsidRPr="003E657B">
        <w:rPr>
          <w:rFonts w:ascii="Arial" w:hAnsi="Arial" w:cs="Arial"/>
          <w:color w:val="auto"/>
          <w:sz w:val="20"/>
        </w:rPr>
        <w:tab/>
      </w:r>
      <w:r w:rsidR="00FF4976" w:rsidRPr="003E657B">
        <w:rPr>
          <w:rFonts w:ascii="Arial" w:hAnsi="Arial" w:cs="Arial"/>
          <w:color w:val="auto"/>
          <w:sz w:val="20"/>
        </w:rPr>
        <w:tab/>
      </w:r>
      <w:r w:rsidR="00FF4976" w:rsidRPr="003E657B">
        <w:rPr>
          <w:rFonts w:ascii="Arial" w:hAnsi="Arial" w:cs="Arial"/>
          <w:color w:val="auto"/>
          <w:sz w:val="20"/>
        </w:rPr>
        <w:tab/>
      </w:r>
      <w:r w:rsidR="00FF4976" w:rsidRPr="003E657B">
        <w:rPr>
          <w:rFonts w:ascii="Arial" w:hAnsi="Arial" w:cs="Arial"/>
          <w:color w:val="auto"/>
          <w:sz w:val="20"/>
        </w:rPr>
        <w:tab/>
      </w:r>
      <w:r w:rsidR="00FF4976" w:rsidRPr="003E657B">
        <w:rPr>
          <w:rFonts w:ascii="Arial" w:hAnsi="Arial" w:cs="Arial"/>
          <w:color w:val="auto"/>
          <w:sz w:val="20"/>
        </w:rPr>
        <w:tab/>
      </w:r>
      <w:r w:rsidRPr="003E657B">
        <w:rPr>
          <w:rFonts w:ascii="Arial" w:hAnsi="Arial" w:cs="Arial"/>
          <w:color w:val="auto"/>
          <w:sz w:val="20"/>
        </w:rPr>
        <w:tab/>
        <w:t xml:space="preserve">   </w:t>
      </w:r>
      <w:r w:rsidR="00CD5486" w:rsidRPr="003E657B">
        <w:rPr>
          <w:rFonts w:ascii="Arial" w:hAnsi="Arial" w:cs="Arial"/>
          <w:color w:val="auto"/>
          <w:sz w:val="20"/>
        </w:rPr>
        <w:tab/>
      </w:r>
      <w:r w:rsidR="00975396" w:rsidRPr="003E657B">
        <w:rPr>
          <w:rFonts w:ascii="Arial" w:hAnsi="Arial" w:cs="Arial"/>
          <w:color w:val="auto"/>
          <w:sz w:val="20"/>
        </w:rPr>
        <w:tab/>
      </w:r>
      <w:r w:rsidR="00DA256C" w:rsidRPr="003E657B">
        <w:rPr>
          <w:rFonts w:ascii="Arial" w:hAnsi="Arial" w:cs="Arial"/>
          <w:color w:val="auto"/>
          <w:sz w:val="20"/>
        </w:rPr>
        <w:tab/>
      </w:r>
      <w:r w:rsidRPr="003E657B">
        <w:rPr>
          <w:rFonts w:ascii="Arial" w:hAnsi="Arial" w:cs="Arial"/>
          <w:color w:val="auto"/>
          <w:sz w:val="20"/>
        </w:rPr>
        <w:t>Page</w:t>
      </w:r>
    </w:p>
    <w:p w14:paraId="050B904D" w14:textId="77777777" w:rsidR="00CC18BE" w:rsidRPr="003E657B" w:rsidRDefault="00CC18BE" w:rsidP="00E72930">
      <w:pPr>
        <w:widowControl w:val="0"/>
        <w:spacing w:after="120" w:line="288" w:lineRule="auto"/>
        <w:rPr>
          <w:rFonts w:ascii="Arial" w:hAnsi="Arial" w:cs="Arial"/>
          <w:bCs/>
          <w:sz w:val="20"/>
        </w:rPr>
      </w:pPr>
    </w:p>
    <w:p w14:paraId="2304DC38" w14:textId="2839F19E" w:rsidR="00783D69" w:rsidRPr="003E657B" w:rsidRDefault="00783D69" w:rsidP="00316E79">
      <w:pPr>
        <w:widowControl w:val="0"/>
        <w:numPr>
          <w:ilvl w:val="0"/>
          <w:numId w:val="9"/>
        </w:numPr>
        <w:tabs>
          <w:tab w:val="right" w:leader="dot" w:pos="9360"/>
        </w:tabs>
        <w:spacing w:after="120" w:line="288" w:lineRule="auto"/>
        <w:ind w:left="360"/>
        <w:rPr>
          <w:rFonts w:ascii="Arial" w:hAnsi="Arial" w:cs="Arial"/>
          <w:bCs/>
          <w:sz w:val="20"/>
        </w:rPr>
      </w:pPr>
      <w:r w:rsidRPr="003E657B">
        <w:rPr>
          <w:rFonts w:ascii="Arial" w:hAnsi="Arial" w:cs="Arial"/>
          <w:bCs/>
          <w:sz w:val="20"/>
        </w:rPr>
        <w:t>Executive Summary</w:t>
      </w:r>
      <w:r w:rsidRPr="003E657B">
        <w:rPr>
          <w:rFonts w:ascii="Arial" w:hAnsi="Arial" w:cs="Arial"/>
          <w:bCs/>
          <w:sz w:val="20"/>
        </w:rPr>
        <w:tab/>
      </w:r>
      <w:r w:rsidR="005B5D1D" w:rsidRPr="003E657B">
        <w:rPr>
          <w:rFonts w:ascii="Arial" w:hAnsi="Arial" w:cs="Arial"/>
          <w:bCs/>
          <w:sz w:val="20"/>
        </w:rPr>
        <w:t>1</w:t>
      </w:r>
    </w:p>
    <w:p w14:paraId="0C8116C8" w14:textId="2DF518E0" w:rsidR="00783D69" w:rsidRPr="003E657B" w:rsidRDefault="00783D69" w:rsidP="00316E79">
      <w:pPr>
        <w:widowControl w:val="0"/>
        <w:numPr>
          <w:ilvl w:val="0"/>
          <w:numId w:val="9"/>
        </w:numPr>
        <w:tabs>
          <w:tab w:val="right" w:leader="dot" w:pos="9360"/>
        </w:tabs>
        <w:spacing w:after="120" w:line="288" w:lineRule="auto"/>
        <w:ind w:left="360"/>
        <w:rPr>
          <w:rFonts w:ascii="Arial" w:hAnsi="Arial" w:cs="Arial"/>
          <w:bCs/>
          <w:sz w:val="20"/>
        </w:rPr>
      </w:pPr>
      <w:r w:rsidRPr="003E657B">
        <w:rPr>
          <w:rFonts w:ascii="Arial" w:hAnsi="Arial" w:cs="Arial"/>
          <w:bCs/>
          <w:sz w:val="20"/>
        </w:rPr>
        <w:t>Introduction</w:t>
      </w:r>
      <w:r w:rsidRPr="003E657B">
        <w:rPr>
          <w:rFonts w:ascii="Arial" w:hAnsi="Arial" w:cs="Arial"/>
          <w:bCs/>
          <w:sz w:val="20"/>
        </w:rPr>
        <w:tab/>
      </w:r>
      <w:r w:rsidR="003E657B">
        <w:rPr>
          <w:rFonts w:ascii="Arial" w:hAnsi="Arial" w:cs="Arial"/>
          <w:bCs/>
          <w:sz w:val="20"/>
        </w:rPr>
        <w:t>2</w:t>
      </w:r>
    </w:p>
    <w:p w14:paraId="4F53A03E" w14:textId="4893CC2D" w:rsidR="00783D69" w:rsidRPr="003E657B" w:rsidRDefault="003E657B" w:rsidP="00316E79">
      <w:pPr>
        <w:widowControl w:val="0"/>
        <w:numPr>
          <w:ilvl w:val="0"/>
          <w:numId w:val="9"/>
        </w:numPr>
        <w:tabs>
          <w:tab w:val="right" w:leader="dot" w:pos="9360"/>
        </w:tabs>
        <w:spacing w:after="120" w:line="288" w:lineRule="auto"/>
        <w:ind w:left="360"/>
        <w:rPr>
          <w:rFonts w:ascii="Arial" w:hAnsi="Arial" w:cs="Arial"/>
          <w:bCs/>
          <w:sz w:val="20"/>
        </w:rPr>
      </w:pPr>
      <w:r>
        <w:rPr>
          <w:rFonts w:ascii="Arial" w:hAnsi="Arial" w:cs="Arial"/>
          <w:bCs/>
          <w:sz w:val="20"/>
        </w:rPr>
        <w:t>Data</w:t>
      </w:r>
      <w:r w:rsidR="00783D69" w:rsidRPr="003E657B">
        <w:rPr>
          <w:rFonts w:ascii="Arial" w:hAnsi="Arial" w:cs="Arial"/>
          <w:bCs/>
          <w:sz w:val="20"/>
        </w:rPr>
        <w:t xml:space="preserve"> Provided to Milliman</w:t>
      </w:r>
      <w:r w:rsidR="00783D69" w:rsidRPr="003E657B">
        <w:rPr>
          <w:rFonts w:ascii="Arial" w:hAnsi="Arial" w:cs="Arial"/>
          <w:bCs/>
          <w:sz w:val="20"/>
        </w:rPr>
        <w:tab/>
      </w:r>
      <w:r>
        <w:rPr>
          <w:rFonts w:ascii="Arial" w:hAnsi="Arial" w:cs="Arial"/>
          <w:bCs/>
          <w:sz w:val="20"/>
        </w:rPr>
        <w:t>3</w:t>
      </w:r>
    </w:p>
    <w:p w14:paraId="56373D18" w14:textId="711862D1" w:rsidR="00783D69" w:rsidRPr="003E657B" w:rsidRDefault="00783D69" w:rsidP="00316E79">
      <w:pPr>
        <w:widowControl w:val="0"/>
        <w:numPr>
          <w:ilvl w:val="0"/>
          <w:numId w:val="9"/>
        </w:numPr>
        <w:tabs>
          <w:tab w:val="right" w:leader="dot" w:pos="9360"/>
        </w:tabs>
        <w:spacing w:after="120" w:line="288" w:lineRule="auto"/>
        <w:ind w:left="360"/>
        <w:rPr>
          <w:rFonts w:ascii="Arial" w:hAnsi="Arial" w:cs="Arial"/>
          <w:bCs/>
          <w:sz w:val="20"/>
        </w:rPr>
      </w:pPr>
      <w:r w:rsidRPr="003E657B">
        <w:rPr>
          <w:rFonts w:ascii="Arial" w:hAnsi="Arial" w:cs="Arial"/>
          <w:bCs/>
          <w:sz w:val="20"/>
        </w:rPr>
        <w:t>Capital Theory</w:t>
      </w:r>
      <w:r w:rsidRPr="003E657B">
        <w:rPr>
          <w:rFonts w:ascii="Arial" w:hAnsi="Arial" w:cs="Arial"/>
          <w:bCs/>
          <w:sz w:val="20"/>
        </w:rPr>
        <w:tab/>
      </w:r>
      <w:r w:rsidR="003E657B">
        <w:rPr>
          <w:rFonts w:ascii="Arial" w:hAnsi="Arial" w:cs="Arial"/>
          <w:bCs/>
          <w:sz w:val="20"/>
        </w:rPr>
        <w:t>7</w:t>
      </w:r>
    </w:p>
    <w:p w14:paraId="5E66C37F" w14:textId="45BF20C7" w:rsidR="00783D69" w:rsidRPr="003E657B" w:rsidRDefault="006C59F0" w:rsidP="006C59F0">
      <w:pPr>
        <w:widowControl w:val="0"/>
        <w:numPr>
          <w:ilvl w:val="0"/>
          <w:numId w:val="9"/>
        </w:numPr>
        <w:tabs>
          <w:tab w:val="right" w:leader="dot" w:pos="9360"/>
        </w:tabs>
        <w:spacing w:after="120" w:line="288" w:lineRule="auto"/>
        <w:ind w:left="360"/>
        <w:rPr>
          <w:rFonts w:ascii="Arial" w:hAnsi="Arial" w:cs="Arial"/>
          <w:bCs/>
          <w:sz w:val="20"/>
        </w:rPr>
      </w:pPr>
      <w:r>
        <w:rPr>
          <w:rFonts w:ascii="Arial" w:hAnsi="Arial" w:cs="Arial"/>
          <w:bCs/>
          <w:sz w:val="20"/>
        </w:rPr>
        <w:t>RBC Capital Model Technical Documentation</w:t>
      </w:r>
      <w:r w:rsidR="00783D69" w:rsidRPr="003E657B">
        <w:rPr>
          <w:rFonts w:ascii="Arial" w:hAnsi="Arial" w:cs="Arial"/>
          <w:bCs/>
          <w:sz w:val="20"/>
        </w:rPr>
        <w:tab/>
      </w:r>
      <w:r>
        <w:rPr>
          <w:rFonts w:ascii="Arial" w:hAnsi="Arial" w:cs="Arial"/>
          <w:bCs/>
          <w:sz w:val="20"/>
        </w:rPr>
        <w:t>10</w:t>
      </w:r>
    </w:p>
    <w:p w14:paraId="38342A77" w14:textId="39079271" w:rsidR="00F05097" w:rsidRPr="003E657B" w:rsidRDefault="00783D69" w:rsidP="00316E79">
      <w:pPr>
        <w:widowControl w:val="0"/>
        <w:numPr>
          <w:ilvl w:val="0"/>
          <w:numId w:val="9"/>
        </w:numPr>
        <w:tabs>
          <w:tab w:val="right" w:leader="dot" w:pos="9360"/>
        </w:tabs>
        <w:spacing w:after="120" w:line="288" w:lineRule="auto"/>
        <w:ind w:left="360"/>
        <w:rPr>
          <w:rFonts w:ascii="Arial" w:hAnsi="Arial" w:cs="Arial"/>
          <w:bCs/>
          <w:sz w:val="20"/>
        </w:rPr>
      </w:pPr>
      <w:r w:rsidRPr="003E657B">
        <w:rPr>
          <w:rFonts w:ascii="Arial" w:hAnsi="Arial" w:cs="Arial"/>
          <w:bCs/>
          <w:sz w:val="20"/>
        </w:rPr>
        <w:t>Qualifications and Limitations</w:t>
      </w:r>
      <w:r w:rsidRPr="003E657B">
        <w:rPr>
          <w:rFonts w:ascii="Arial" w:hAnsi="Arial" w:cs="Arial"/>
          <w:bCs/>
          <w:sz w:val="20"/>
        </w:rPr>
        <w:tab/>
      </w:r>
      <w:r w:rsidR="00F9536D">
        <w:rPr>
          <w:rFonts w:ascii="Arial" w:hAnsi="Arial" w:cs="Arial"/>
          <w:bCs/>
          <w:sz w:val="20"/>
        </w:rPr>
        <w:t>20</w:t>
      </w:r>
    </w:p>
    <w:p w14:paraId="08AC61DD" w14:textId="6CE8A745" w:rsidR="00557175" w:rsidRPr="003E657B" w:rsidRDefault="00557175" w:rsidP="005B5D1D">
      <w:pPr>
        <w:widowControl w:val="0"/>
        <w:numPr>
          <w:ilvl w:val="0"/>
          <w:numId w:val="9"/>
        </w:numPr>
        <w:tabs>
          <w:tab w:val="right" w:leader="dot" w:pos="9360"/>
        </w:tabs>
        <w:spacing w:after="120" w:line="288" w:lineRule="auto"/>
        <w:ind w:left="360"/>
        <w:rPr>
          <w:rFonts w:ascii="Arial" w:hAnsi="Arial" w:cs="Arial"/>
          <w:bCs/>
          <w:sz w:val="20"/>
        </w:rPr>
      </w:pPr>
      <w:r w:rsidRPr="003E657B">
        <w:rPr>
          <w:rFonts w:ascii="Arial" w:hAnsi="Arial" w:cs="Arial"/>
          <w:bCs/>
          <w:sz w:val="20"/>
        </w:rPr>
        <w:t>Closing</w:t>
      </w:r>
      <w:r w:rsidR="003E657B">
        <w:rPr>
          <w:rFonts w:ascii="Arial" w:hAnsi="Arial" w:cs="Arial"/>
          <w:bCs/>
          <w:sz w:val="20"/>
        </w:rPr>
        <w:tab/>
      </w:r>
      <w:r w:rsidR="006C59F0">
        <w:rPr>
          <w:rFonts w:ascii="Arial" w:hAnsi="Arial" w:cs="Arial"/>
          <w:bCs/>
          <w:sz w:val="20"/>
        </w:rPr>
        <w:t>2</w:t>
      </w:r>
      <w:r w:rsidR="00F9536D">
        <w:rPr>
          <w:rFonts w:ascii="Arial" w:hAnsi="Arial" w:cs="Arial"/>
          <w:bCs/>
          <w:sz w:val="20"/>
        </w:rPr>
        <w:t>3</w:t>
      </w:r>
    </w:p>
    <w:p w14:paraId="7CBE8CE8" w14:textId="77777777" w:rsidR="00E72930" w:rsidRPr="00DA256C" w:rsidRDefault="00E72930" w:rsidP="00E72930">
      <w:pPr>
        <w:widowControl w:val="0"/>
        <w:spacing w:after="120" w:line="288" w:lineRule="auto"/>
        <w:rPr>
          <w:rFonts w:ascii="Arial" w:hAnsi="Arial" w:cs="Arial"/>
          <w:bCs/>
          <w:sz w:val="20"/>
        </w:rPr>
      </w:pPr>
    </w:p>
    <w:p w14:paraId="6B08D6AB" w14:textId="77777777" w:rsidR="00A80B1F" w:rsidRDefault="00A80B1F" w:rsidP="00E72930">
      <w:pPr>
        <w:spacing w:after="120" w:line="288" w:lineRule="auto"/>
      </w:pPr>
    </w:p>
    <w:p w14:paraId="4D2049B8" w14:textId="77777777" w:rsidR="00A80B1F" w:rsidRDefault="00A80B1F" w:rsidP="00E72930">
      <w:pPr>
        <w:spacing w:after="120" w:line="288" w:lineRule="auto"/>
      </w:pPr>
    </w:p>
    <w:p w14:paraId="6AB8EB63" w14:textId="77777777" w:rsidR="00A80B1F" w:rsidRDefault="00A80B1F" w:rsidP="00E72930">
      <w:pPr>
        <w:spacing w:after="120" w:line="288" w:lineRule="auto"/>
      </w:pPr>
    </w:p>
    <w:p w14:paraId="6E7443DF" w14:textId="77777777" w:rsidR="00A80B1F" w:rsidRDefault="00A80B1F" w:rsidP="00E72930">
      <w:pPr>
        <w:spacing w:after="120" w:line="288" w:lineRule="auto"/>
        <w:sectPr w:rsidR="00A80B1F" w:rsidSect="007356D1">
          <w:headerReference w:type="default" r:id="rId17"/>
          <w:footerReference w:type="default" r:id="rId18"/>
          <w:footerReference w:type="first" r:id="rId19"/>
          <w:pgSz w:w="12240" w:h="15840" w:code="1"/>
          <w:pgMar w:top="1440" w:right="1440" w:bottom="1440" w:left="1440" w:header="576" w:footer="720" w:gutter="0"/>
          <w:paperSrc w:first="258" w:other="258"/>
          <w:pgNumType w:start="0"/>
          <w:cols w:space="720"/>
          <w:docGrid w:linePitch="360"/>
        </w:sectPr>
      </w:pPr>
    </w:p>
    <w:p w14:paraId="1255E46D" w14:textId="1714BAE4" w:rsidR="00225328" w:rsidRDefault="00783D69" w:rsidP="004156C6">
      <w:pPr>
        <w:pStyle w:val="RRSubhead1"/>
        <w:spacing w:before="0" w:after="120" w:line="288" w:lineRule="auto"/>
        <w:rPr>
          <w:sz w:val="20"/>
          <w:szCs w:val="20"/>
        </w:rPr>
      </w:pPr>
      <w:r>
        <w:rPr>
          <w:sz w:val="28"/>
          <w:szCs w:val="28"/>
        </w:rPr>
        <w:lastRenderedPageBreak/>
        <w:t xml:space="preserve">A. </w:t>
      </w:r>
      <w:r w:rsidRPr="00783D69">
        <w:rPr>
          <w:sz w:val="28"/>
          <w:szCs w:val="28"/>
        </w:rPr>
        <w:t>Executive Summary</w:t>
      </w:r>
    </w:p>
    <w:p w14:paraId="302CCC18" w14:textId="6062BDC6" w:rsidR="00783D69" w:rsidRPr="00783D69" w:rsidRDefault="00783D69" w:rsidP="00783D69">
      <w:pPr>
        <w:spacing w:after="120" w:line="288" w:lineRule="auto"/>
        <w:jc w:val="both"/>
        <w:rPr>
          <w:rFonts w:cs="Arial"/>
          <w:sz w:val="20"/>
          <w:szCs w:val="20"/>
        </w:rPr>
      </w:pPr>
      <w:r w:rsidRPr="00783D69">
        <w:rPr>
          <w:rFonts w:cs="Arial"/>
          <w:sz w:val="20"/>
          <w:szCs w:val="20"/>
        </w:rPr>
        <w:t xml:space="preserve">The </w:t>
      </w:r>
      <w:r w:rsidR="004D4BAC">
        <w:rPr>
          <w:rFonts w:cs="Arial"/>
          <w:sz w:val="20"/>
          <w:szCs w:val="20"/>
        </w:rPr>
        <w:t>National Associati</w:t>
      </w:r>
      <w:r w:rsidR="00651B91">
        <w:rPr>
          <w:rFonts w:cs="Arial"/>
          <w:sz w:val="20"/>
          <w:szCs w:val="20"/>
        </w:rPr>
        <w:t>on of Insurance Commissioners</w:t>
      </w:r>
      <w:r w:rsidRPr="00783D69">
        <w:rPr>
          <w:rFonts w:cs="Arial"/>
          <w:sz w:val="20"/>
          <w:szCs w:val="20"/>
        </w:rPr>
        <w:t xml:space="preserve"> engaged Milliman</w:t>
      </w:r>
      <w:r w:rsidR="005B5D1D">
        <w:rPr>
          <w:rFonts w:cs="Arial"/>
          <w:sz w:val="20"/>
          <w:szCs w:val="20"/>
        </w:rPr>
        <w:t xml:space="preserve"> </w:t>
      </w:r>
      <w:r w:rsidRPr="00783D69">
        <w:rPr>
          <w:rFonts w:cs="Arial"/>
          <w:sz w:val="20"/>
          <w:szCs w:val="20"/>
        </w:rPr>
        <w:t xml:space="preserve">to </w:t>
      </w:r>
      <w:r w:rsidR="00887FE4">
        <w:rPr>
          <w:rFonts w:cs="Arial"/>
          <w:sz w:val="20"/>
          <w:szCs w:val="20"/>
        </w:rPr>
        <w:t>develop a</w:t>
      </w:r>
      <w:r w:rsidRPr="00783D69">
        <w:rPr>
          <w:rFonts w:cs="Arial"/>
          <w:sz w:val="20"/>
          <w:szCs w:val="20"/>
        </w:rPr>
        <w:t xml:space="preserve"> </w:t>
      </w:r>
      <w:r w:rsidR="00887FE4">
        <w:rPr>
          <w:rFonts w:cs="Arial"/>
          <w:sz w:val="20"/>
          <w:szCs w:val="20"/>
        </w:rPr>
        <w:t>Mortgage Guaranty Capital Model to support the NAIC Mortgage Guaranty Insurance Working Group’s development and implementation of a framework to evaluate the capital levels of mortgage insurance companies</w:t>
      </w:r>
      <w:r w:rsidRPr="00783D69">
        <w:rPr>
          <w:rFonts w:cs="Arial"/>
          <w:sz w:val="20"/>
          <w:szCs w:val="20"/>
        </w:rPr>
        <w:t xml:space="preserve">.  The Mortgage Guaranty Capital Model estimates the amount of capital required for mortgage insurance using </w:t>
      </w:r>
      <w:r w:rsidR="00887FE4">
        <w:rPr>
          <w:rFonts w:cs="Arial"/>
          <w:sz w:val="20"/>
          <w:szCs w:val="20"/>
        </w:rPr>
        <w:t>a loan-level approach</w:t>
      </w:r>
      <w:r w:rsidRPr="00783D69">
        <w:rPr>
          <w:rFonts w:cs="Arial"/>
          <w:sz w:val="20"/>
          <w:szCs w:val="20"/>
        </w:rPr>
        <w:t xml:space="preserve">. </w:t>
      </w:r>
    </w:p>
    <w:p w14:paraId="29D92D67" w14:textId="2477335C" w:rsidR="00887FE4" w:rsidRDefault="007F6931" w:rsidP="00887FE4">
      <w:pPr>
        <w:spacing w:after="120" w:line="288" w:lineRule="auto"/>
        <w:jc w:val="both"/>
        <w:rPr>
          <w:rFonts w:cs="Arial"/>
          <w:sz w:val="20"/>
          <w:szCs w:val="20"/>
        </w:rPr>
      </w:pPr>
      <w:r>
        <w:rPr>
          <w:rFonts w:cs="Arial"/>
          <w:sz w:val="20"/>
          <w:szCs w:val="20"/>
        </w:rPr>
        <w:t>The model is a counter-cyclical model that uses a factor based approach to apply a capital factor to each performing active loan as of the evaluation date based on the loans underwriting features and eco</w:t>
      </w:r>
      <w:r w:rsidR="001317C6">
        <w:rPr>
          <w:rFonts w:cs="Arial"/>
          <w:sz w:val="20"/>
          <w:szCs w:val="20"/>
        </w:rPr>
        <w:t>nomic environment at the time of</w:t>
      </w:r>
      <w:r>
        <w:rPr>
          <w:rFonts w:cs="Arial"/>
          <w:sz w:val="20"/>
          <w:szCs w:val="20"/>
        </w:rPr>
        <w:t xml:space="preserve"> loan origination.  The table below provides a summary of the model factors:</w:t>
      </w:r>
    </w:p>
    <w:tbl>
      <w:tblPr>
        <w:tblStyle w:val="GridTable4"/>
        <w:tblW w:w="0" w:type="auto"/>
        <w:tblLook w:val="04A0" w:firstRow="1" w:lastRow="0" w:firstColumn="1" w:lastColumn="0" w:noHBand="0" w:noVBand="1"/>
      </w:tblPr>
      <w:tblGrid>
        <w:gridCol w:w="1255"/>
        <w:gridCol w:w="3355"/>
        <w:gridCol w:w="2365"/>
        <w:gridCol w:w="2375"/>
      </w:tblGrid>
      <w:tr w:rsidR="00037A21" w:rsidRPr="009D1225" w14:paraId="681055AD" w14:textId="77777777" w:rsidTr="009D1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shd w:val="clear" w:color="auto" w:fill="0A4977" w:themeFill="text2"/>
          </w:tcPr>
          <w:p w14:paraId="0F683052" w14:textId="6C33E785" w:rsidR="00037A21" w:rsidRPr="009D1225" w:rsidRDefault="00037A21" w:rsidP="003F0287">
            <w:pPr>
              <w:jc w:val="both"/>
              <w:rPr>
                <w:rFonts w:cs="Arial"/>
                <w:sz w:val="16"/>
                <w:szCs w:val="20"/>
              </w:rPr>
            </w:pPr>
            <w:r w:rsidRPr="009D1225">
              <w:rPr>
                <w:rFonts w:cs="Arial"/>
                <w:sz w:val="16"/>
                <w:szCs w:val="20"/>
              </w:rPr>
              <w:t>Model Factor</w:t>
            </w:r>
          </w:p>
        </w:tc>
        <w:tc>
          <w:tcPr>
            <w:tcW w:w="3355" w:type="dxa"/>
            <w:shd w:val="clear" w:color="auto" w:fill="0A4977" w:themeFill="text2"/>
          </w:tcPr>
          <w:p w14:paraId="5A094B92" w14:textId="738FC144" w:rsidR="00037A21" w:rsidRPr="009D1225" w:rsidRDefault="00037A21" w:rsidP="003F0287">
            <w:pPr>
              <w:jc w:val="both"/>
              <w:cnfStyle w:val="100000000000" w:firstRow="1"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Description</w:t>
            </w:r>
          </w:p>
        </w:tc>
        <w:tc>
          <w:tcPr>
            <w:tcW w:w="2365" w:type="dxa"/>
            <w:shd w:val="clear" w:color="auto" w:fill="0A4977" w:themeFill="text2"/>
          </w:tcPr>
          <w:p w14:paraId="2B127ECD" w14:textId="71EADC10" w:rsidR="00037A21" w:rsidRPr="009D1225" w:rsidRDefault="00037A21" w:rsidP="003F0287">
            <w:pPr>
              <w:jc w:val="both"/>
              <w:cnfStyle w:val="100000000000" w:firstRow="1"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Level</w:t>
            </w:r>
          </w:p>
        </w:tc>
        <w:tc>
          <w:tcPr>
            <w:tcW w:w="2375" w:type="dxa"/>
            <w:shd w:val="clear" w:color="auto" w:fill="0A4977" w:themeFill="text2"/>
          </w:tcPr>
          <w:p w14:paraId="7F973D1C" w14:textId="4C2F07E8" w:rsidR="00037A21" w:rsidRPr="009D1225" w:rsidRDefault="00037A21" w:rsidP="003F0287">
            <w:pPr>
              <w:jc w:val="both"/>
              <w:cnfStyle w:val="100000000000" w:firstRow="1"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Value</w:t>
            </w:r>
          </w:p>
        </w:tc>
      </w:tr>
      <w:tr w:rsidR="00037A21" w:rsidRPr="009D1225" w14:paraId="51FEE84E" w14:textId="77777777" w:rsidTr="009D1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5B3CD73" w14:textId="59C2CEAE" w:rsidR="00037A21" w:rsidRPr="009D1225" w:rsidRDefault="00037A21" w:rsidP="003F0287">
            <w:pPr>
              <w:jc w:val="both"/>
              <w:rPr>
                <w:rFonts w:cs="Arial"/>
                <w:sz w:val="16"/>
                <w:szCs w:val="20"/>
              </w:rPr>
            </w:pPr>
            <w:r w:rsidRPr="009D1225">
              <w:rPr>
                <w:rFonts w:cs="Arial"/>
                <w:sz w:val="16"/>
                <w:szCs w:val="20"/>
              </w:rPr>
              <w:t>Base Factor</w:t>
            </w:r>
          </w:p>
        </w:tc>
        <w:tc>
          <w:tcPr>
            <w:tcW w:w="3355" w:type="dxa"/>
          </w:tcPr>
          <w:p w14:paraId="220A334A" w14:textId="433BA95D" w:rsidR="00037A21" w:rsidRPr="009D1225" w:rsidRDefault="00037A21"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Base factor applied to all mortgages</w:t>
            </w:r>
          </w:p>
        </w:tc>
        <w:tc>
          <w:tcPr>
            <w:tcW w:w="2365" w:type="dxa"/>
          </w:tcPr>
          <w:p w14:paraId="6DDD9B6D" w14:textId="6EA1C379" w:rsidR="00037A21" w:rsidRPr="009D1225" w:rsidRDefault="00037A21"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N/A</w:t>
            </w:r>
          </w:p>
        </w:tc>
        <w:tc>
          <w:tcPr>
            <w:tcW w:w="2375" w:type="dxa"/>
          </w:tcPr>
          <w:p w14:paraId="69A09EF4" w14:textId="33A2C358" w:rsidR="00037A21" w:rsidRPr="009D1225" w:rsidRDefault="00037A21" w:rsidP="008306F2">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0.</w:t>
            </w:r>
            <w:r w:rsidR="008306F2" w:rsidRPr="009D1225">
              <w:rPr>
                <w:rFonts w:cs="Arial"/>
                <w:sz w:val="16"/>
                <w:szCs w:val="20"/>
              </w:rPr>
              <w:t>5</w:t>
            </w:r>
            <w:r w:rsidRPr="009D1225">
              <w:rPr>
                <w:rFonts w:cs="Arial"/>
                <w:sz w:val="16"/>
                <w:szCs w:val="20"/>
              </w:rPr>
              <w:t>5%</w:t>
            </w:r>
          </w:p>
        </w:tc>
      </w:tr>
      <w:tr w:rsidR="00037A21" w:rsidRPr="009D1225" w14:paraId="27E98775" w14:textId="77777777" w:rsidTr="009D1225">
        <w:tc>
          <w:tcPr>
            <w:cnfStyle w:val="001000000000" w:firstRow="0" w:lastRow="0" w:firstColumn="1" w:lastColumn="0" w:oddVBand="0" w:evenVBand="0" w:oddHBand="0" w:evenHBand="0" w:firstRowFirstColumn="0" w:firstRowLastColumn="0" w:lastRowFirstColumn="0" w:lastRowLastColumn="0"/>
            <w:tcW w:w="1255" w:type="dxa"/>
          </w:tcPr>
          <w:p w14:paraId="3B22E73B" w14:textId="042B4694" w:rsidR="00037A21" w:rsidRPr="009D1225" w:rsidRDefault="003F0287" w:rsidP="003F0287">
            <w:pPr>
              <w:jc w:val="both"/>
              <w:rPr>
                <w:rFonts w:cs="Arial"/>
                <w:sz w:val="16"/>
                <w:szCs w:val="20"/>
              </w:rPr>
            </w:pPr>
            <w:r w:rsidRPr="009D1225">
              <w:rPr>
                <w:rFonts w:cs="Arial"/>
                <w:sz w:val="16"/>
                <w:szCs w:val="20"/>
              </w:rPr>
              <w:t>FICO Score</w:t>
            </w:r>
          </w:p>
        </w:tc>
        <w:tc>
          <w:tcPr>
            <w:tcW w:w="3355" w:type="dxa"/>
          </w:tcPr>
          <w:p w14:paraId="4DB3D66F" w14:textId="2009FCA3"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Borrower credit score at origination</w:t>
            </w:r>
          </w:p>
        </w:tc>
        <w:tc>
          <w:tcPr>
            <w:tcW w:w="2365" w:type="dxa"/>
          </w:tcPr>
          <w:p w14:paraId="6E5D695C"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760-850</w:t>
            </w:r>
          </w:p>
          <w:p w14:paraId="109FD4B4"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740-759</w:t>
            </w:r>
          </w:p>
          <w:p w14:paraId="5EAFAE9E"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720-739</w:t>
            </w:r>
          </w:p>
          <w:p w14:paraId="14CACA34"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700-719</w:t>
            </w:r>
          </w:p>
          <w:p w14:paraId="42BBE875"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680-699</w:t>
            </w:r>
          </w:p>
          <w:p w14:paraId="3DD1B9DB"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660-679</w:t>
            </w:r>
          </w:p>
          <w:p w14:paraId="31D3C8DF"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640-659</w:t>
            </w:r>
          </w:p>
          <w:p w14:paraId="24CDE356"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620-639</w:t>
            </w:r>
          </w:p>
          <w:p w14:paraId="0997294C"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600-619</w:t>
            </w:r>
          </w:p>
          <w:p w14:paraId="0717EDED"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580-599</w:t>
            </w:r>
          </w:p>
          <w:p w14:paraId="3C0F621B"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560-579</w:t>
            </w:r>
          </w:p>
          <w:p w14:paraId="35338AD0" w14:textId="77777777"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300-599</w:t>
            </w:r>
          </w:p>
          <w:p w14:paraId="450D95AE" w14:textId="156121B6" w:rsidR="00037A21"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Missing / Error</w:t>
            </w:r>
          </w:p>
        </w:tc>
        <w:tc>
          <w:tcPr>
            <w:tcW w:w="2375" w:type="dxa"/>
          </w:tcPr>
          <w:p w14:paraId="59E05D2A" w14:textId="77777777" w:rsidR="00037A21"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1.00</w:t>
            </w:r>
          </w:p>
          <w:p w14:paraId="465442B0" w14:textId="2E0CA574"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w:t>
            </w:r>
            <w:r w:rsidR="008306F2" w:rsidRPr="009D1225">
              <w:rPr>
                <w:rFonts w:cs="Arial"/>
                <w:sz w:val="16"/>
                <w:szCs w:val="20"/>
              </w:rPr>
              <w:t>35</w:t>
            </w:r>
          </w:p>
          <w:p w14:paraId="3B079DA8" w14:textId="04C6FB15" w:rsidR="003F0287" w:rsidRPr="009D1225" w:rsidRDefault="008D6235"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1.60</w:t>
            </w:r>
          </w:p>
          <w:p w14:paraId="3154F686" w14:textId="3BF6E819" w:rsidR="003F0287" w:rsidRPr="009D1225" w:rsidRDefault="00BA38D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1.95</w:t>
            </w:r>
          </w:p>
          <w:p w14:paraId="17F2344E" w14:textId="246FD5CC" w:rsidR="003F0287" w:rsidRPr="009D1225" w:rsidRDefault="008D6235"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2.40</w:t>
            </w:r>
          </w:p>
          <w:p w14:paraId="2EBF9A8D" w14:textId="00929F88" w:rsidR="003F0287"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2.90</w:t>
            </w:r>
          </w:p>
          <w:p w14:paraId="17EE81E6" w14:textId="7CC01816" w:rsidR="003F0287"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3.55</w:t>
            </w:r>
          </w:p>
          <w:p w14:paraId="7EAC25B3" w14:textId="2C27F53C" w:rsidR="003F0287"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4.40</w:t>
            </w:r>
          </w:p>
          <w:p w14:paraId="65E849BE" w14:textId="3B476397" w:rsidR="003F0287"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5.</w:t>
            </w:r>
            <w:r w:rsidR="00596868" w:rsidRPr="009D1225">
              <w:rPr>
                <w:rFonts w:cs="Arial"/>
                <w:sz w:val="16"/>
                <w:szCs w:val="20"/>
              </w:rPr>
              <w:t>5</w:t>
            </w:r>
            <w:r w:rsidR="00BA38D8">
              <w:rPr>
                <w:rFonts w:cs="Arial"/>
                <w:sz w:val="16"/>
                <w:szCs w:val="20"/>
              </w:rPr>
              <w:t>0</w:t>
            </w:r>
          </w:p>
          <w:p w14:paraId="23A9079B" w14:textId="011CD9AC" w:rsidR="003F0287"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6.</w:t>
            </w:r>
            <w:r w:rsidR="00596868" w:rsidRPr="009D1225">
              <w:rPr>
                <w:rFonts w:cs="Arial"/>
                <w:sz w:val="16"/>
                <w:szCs w:val="20"/>
              </w:rPr>
              <w:t>6</w:t>
            </w:r>
            <w:r w:rsidR="00BA38D8">
              <w:rPr>
                <w:rFonts w:cs="Arial"/>
                <w:sz w:val="16"/>
                <w:szCs w:val="20"/>
              </w:rPr>
              <w:t>0</w:t>
            </w:r>
          </w:p>
          <w:p w14:paraId="754B0379" w14:textId="1EB94450" w:rsidR="003F0287"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7.</w:t>
            </w:r>
            <w:r w:rsidR="00BA38D8">
              <w:rPr>
                <w:rFonts w:cs="Arial"/>
                <w:sz w:val="16"/>
                <w:szCs w:val="20"/>
              </w:rPr>
              <w:t>60</w:t>
            </w:r>
          </w:p>
          <w:p w14:paraId="6AC967C1" w14:textId="0C22B1D4" w:rsidR="003F0287"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9.</w:t>
            </w:r>
            <w:r w:rsidR="00596868" w:rsidRPr="009D1225">
              <w:rPr>
                <w:rFonts w:cs="Arial"/>
                <w:sz w:val="16"/>
                <w:szCs w:val="20"/>
              </w:rPr>
              <w:t>5</w:t>
            </w:r>
            <w:r w:rsidR="00BA38D8">
              <w:rPr>
                <w:rFonts w:cs="Arial"/>
                <w:sz w:val="16"/>
                <w:szCs w:val="20"/>
              </w:rPr>
              <w:t>0</w:t>
            </w:r>
          </w:p>
          <w:p w14:paraId="3534067C" w14:textId="684A28AB" w:rsidR="003F0287" w:rsidRPr="009D1225" w:rsidRDefault="003F0287"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5.00</w:t>
            </w:r>
          </w:p>
        </w:tc>
      </w:tr>
      <w:tr w:rsidR="00037A21" w:rsidRPr="009D1225" w14:paraId="225C1DA4" w14:textId="77777777" w:rsidTr="009D1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44FE6720" w14:textId="50D39CEC" w:rsidR="00037A21" w:rsidRPr="009D1225" w:rsidRDefault="003F0287" w:rsidP="003F0287">
            <w:pPr>
              <w:jc w:val="both"/>
              <w:rPr>
                <w:rFonts w:cs="Arial"/>
                <w:sz w:val="16"/>
                <w:szCs w:val="20"/>
              </w:rPr>
            </w:pPr>
            <w:r w:rsidRPr="009D1225">
              <w:rPr>
                <w:rFonts w:cs="Arial"/>
                <w:sz w:val="16"/>
                <w:szCs w:val="20"/>
              </w:rPr>
              <w:t>Loan-to-Value Ratio</w:t>
            </w:r>
          </w:p>
        </w:tc>
        <w:tc>
          <w:tcPr>
            <w:tcW w:w="3355" w:type="dxa"/>
          </w:tcPr>
          <w:p w14:paraId="44E6C000" w14:textId="2D98D7FF" w:rsidR="00037A21"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Loan-to-value ratio at origination</w:t>
            </w:r>
          </w:p>
        </w:tc>
        <w:tc>
          <w:tcPr>
            <w:tcW w:w="2365" w:type="dxa"/>
          </w:tcPr>
          <w:p w14:paraId="14240552" w14:textId="77777777" w:rsidR="00037A21"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(0, 80]</w:t>
            </w:r>
          </w:p>
          <w:p w14:paraId="30C3CA21" w14:textId="77777777"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(80, 85]</w:t>
            </w:r>
          </w:p>
          <w:p w14:paraId="689C9E67" w14:textId="7BF3B83F"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(85, 90]</w:t>
            </w:r>
          </w:p>
          <w:p w14:paraId="1CB3CBFD" w14:textId="77777777"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(90, 95]</w:t>
            </w:r>
          </w:p>
          <w:p w14:paraId="1DFF01C4" w14:textId="1DDD722C"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(95, 100]</w:t>
            </w:r>
          </w:p>
          <w:p w14:paraId="5371B2FD" w14:textId="48D04DE9"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100+</w:t>
            </w:r>
          </w:p>
          <w:p w14:paraId="6EC7055F" w14:textId="6AC54452"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Missing</w:t>
            </w:r>
          </w:p>
        </w:tc>
        <w:tc>
          <w:tcPr>
            <w:tcW w:w="2375" w:type="dxa"/>
          </w:tcPr>
          <w:p w14:paraId="57A04A58" w14:textId="77777777" w:rsidR="00037A21"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1.00</w:t>
            </w:r>
          </w:p>
          <w:p w14:paraId="6EA575BC" w14:textId="12C3C9F1" w:rsidR="003F0287" w:rsidRPr="009D1225" w:rsidRDefault="008306F2"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1.</w:t>
            </w:r>
            <w:r w:rsidR="00596868" w:rsidRPr="009D1225">
              <w:rPr>
                <w:rFonts w:cs="Arial"/>
                <w:sz w:val="16"/>
                <w:szCs w:val="20"/>
              </w:rPr>
              <w:t>45</w:t>
            </w:r>
          </w:p>
          <w:p w14:paraId="102FBD98" w14:textId="784B8128" w:rsidR="003F0287" w:rsidRPr="009D1225" w:rsidRDefault="008306F2"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1.</w:t>
            </w:r>
            <w:r w:rsidR="00596868" w:rsidRPr="009D1225">
              <w:rPr>
                <w:rFonts w:cs="Arial"/>
                <w:sz w:val="16"/>
                <w:szCs w:val="20"/>
              </w:rPr>
              <w:t>75</w:t>
            </w:r>
          </w:p>
          <w:p w14:paraId="4DF1DEAD" w14:textId="54D34A23" w:rsidR="003F0287" w:rsidRPr="009D1225" w:rsidRDefault="008306F2"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2.</w:t>
            </w:r>
            <w:r w:rsidR="00596868" w:rsidRPr="009D1225">
              <w:rPr>
                <w:rFonts w:cs="Arial"/>
                <w:sz w:val="16"/>
                <w:szCs w:val="20"/>
              </w:rPr>
              <w:t>00</w:t>
            </w:r>
          </w:p>
          <w:p w14:paraId="54E1E1CD" w14:textId="607FA589" w:rsidR="003F0287" w:rsidRPr="009D1225" w:rsidRDefault="008306F2"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3.</w:t>
            </w:r>
            <w:r w:rsidR="00596868" w:rsidRPr="009D1225">
              <w:rPr>
                <w:rFonts w:cs="Arial"/>
                <w:sz w:val="16"/>
                <w:szCs w:val="20"/>
              </w:rPr>
              <w:t>05</w:t>
            </w:r>
          </w:p>
          <w:p w14:paraId="56E890EF" w14:textId="77777777"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4.00</w:t>
            </w:r>
          </w:p>
          <w:p w14:paraId="64260A0A" w14:textId="2522CE3A" w:rsidR="003F0287" w:rsidRPr="009D1225" w:rsidRDefault="003F0287"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2.00</w:t>
            </w:r>
          </w:p>
        </w:tc>
      </w:tr>
      <w:tr w:rsidR="00037A21" w:rsidRPr="009D1225" w14:paraId="01B9EBC0" w14:textId="77777777" w:rsidTr="009D1225">
        <w:tc>
          <w:tcPr>
            <w:cnfStyle w:val="001000000000" w:firstRow="0" w:lastRow="0" w:firstColumn="1" w:lastColumn="0" w:oddVBand="0" w:evenVBand="0" w:oddHBand="0" w:evenHBand="0" w:firstRowFirstColumn="0" w:firstRowLastColumn="0" w:lastRowFirstColumn="0" w:lastRowLastColumn="0"/>
            <w:tcW w:w="1255" w:type="dxa"/>
          </w:tcPr>
          <w:p w14:paraId="42E9E7A8" w14:textId="5F638DBA" w:rsidR="00037A21" w:rsidRPr="009D1225" w:rsidRDefault="00E547E8" w:rsidP="00457A76">
            <w:pPr>
              <w:rPr>
                <w:rFonts w:cs="Arial"/>
                <w:sz w:val="16"/>
                <w:szCs w:val="20"/>
              </w:rPr>
            </w:pPr>
            <w:r w:rsidRPr="009D1225">
              <w:rPr>
                <w:rFonts w:cs="Arial"/>
                <w:sz w:val="16"/>
                <w:szCs w:val="20"/>
              </w:rPr>
              <w:t>Number of Alternative Risk Factors</w:t>
            </w:r>
          </w:p>
        </w:tc>
        <w:tc>
          <w:tcPr>
            <w:tcW w:w="3355" w:type="dxa"/>
          </w:tcPr>
          <w:p w14:paraId="0CF1D3A9" w14:textId="484C738F" w:rsidR="00037A21" w:rsidRPr="009D1225" w:rsidRDefault="00E547E8" w:rsidP="00E547E8">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Total number of Alternative Risk Factors on the mortgage</w:t>
            </w:r>
          </w:p>
        </w:tc>
        <w:tc>
          <w:tcPr>
            <w:tcW w:w="2365" w:type="dxa"/>
          </w:tcPr>
          <w:p w14:paraId="13429585" w14:textId="77777777" w:rsidR="00037A21" w:rsidRPr="009D1225" w:rsidRDefault="00E547E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0</w:t>
            </w:r>
          </w:p>
          <w:p w14:paraId="6CD5A861" w14:textId="77777777" w:rsidR="00E547E8" w:rsidRPr="009D1225" w:rsidRDefault="00E547E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w:t>
            </w:r>
          </w:p>
          <w:p w14:paraId="23A9DE67" w14:textId="77777777" w:rsidR="00E547E8" w:rsidRPr="009D1225" w:rsidRDefault="00E547E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2</w:t>
            </w:r>
          </w:p>
          <w:p w14:paraId="44E55715" w14:textId="77777777" w:rsidR="00E547E8" w:rsidRPr="009D1225" w:rsidRDefault="00E547E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3</w:t>
            </w:r>
          </w:p>
          <w:p w14:paraId="2268F206" w14:textId="30F519E7" w:rsidR="00E547E8" w:rsidRPr="009D1225" w:rsidRDefault="00E547E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4+</w:t>
            </w:r>
          </w:p>
        </w:tc>
        <w:tc>
          <w:tcPr>
            <w:tcW w:w="2375" w:type="dxa"/>
          </w:tcPr>
          <w:p w14:paraId="21E637B1" w14:textId="77777777" w:rsidR="00037A21" w:rsidRPr="009D1225" w:rsidRDefault="00E547E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1.00</w:t>
            </w:r>
          </w:p>
          <w:p w14:paraId="5343A24A" w14:textId="3826924E" w:rsidR="00E547E8"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w:t>
            </w:r>
            <w:r w:rsidR="00596868" w:rsidRPr="009D1225">
              <w:rPr>
                <w:rFonts w:cs="Arial"/>
                <w:sz w:val="16"/>
                <w:szCs w:val="20"/>
              </w:rPr>
              <w:t>30</w:t>
            </w:r>
          </w:p>
          <w:p w14:paraId="6C8DEDEA" w14:textId="4D1D3A57" w:rsidR="00E547E8" w:rsidRPr="009D1225" w:rsidRDefault="008306F2"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w:t>
            </w:r>
            <w:r w:rsidR="00596868" w:rsidRPr="009D1225">
              <w:rPr>
                <w:rFonts w:cs="Arial"/>
                <w:sz w:val="16"/>
                <w:szCs w:val="20"/>
              </w:rPr>
              <w:t>65</w:t>
            </w:r>
          </w:p>
          <w:p w14:paraId="5392CD27" w14:textId="279BABBB" w:rsidR="00E547E8" w:rsidRPr="009D1225" w:rsidRDefault="0059686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1.90</w:t>
            </w:r>
          </w:p>
          <w:p w14:paraId="2F19896D" w14:textId="67E5F7BC" w:rsidR="00596868" w:rsidRPr="009D1225" w:rsidRDefault="00596868" w:rsidP="003F0287">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2.00</w:t>
            </w:r>
          </w:p>
        </w:tc>
      </w:tr>
      <w:tr w:rsidR="00037A21" w:rsidRPr="009D1225" w14:paraId="230ECFA2" w14:textId="77777777" w:rsidTr="009D1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495CD5C" w14:textId="7E076610" w:rsidR="00037A21" w:rsidRPr="009D1225" w:rsidRDefault="00E547E8" w:rsidP="00457A76">
            <w:pPr>
              <w:rPr>
                <w:rFonts w:cs="Arial"/>
                <w:sz w:val="16"/>
                <w:szCs w:val="20"/>
              </w:rPr>
            </w:pPr>
            <w:r w:rsidRPr="009D1225">
              <w:rPr>
                <w:rFonts w:cs="Arial"/>
                <w:sz w:val="16"/>
                <w:szCs w:val="20"/>
              </w:rPr>
              <w:t>Number of High Risk Factors</w:t>
            </w:r>
          </w:p>
        </w:tc>
        <w:tc>
          <w:tcPr>
            <w:tcW w:w="3355" w:type="dxa"/>
          </w:tcPr>
          <w:p w14:paraId="3B18263D" w14:textId="4F00E435" w:rsidR="00037A21" w:rsidRPr="009D1225" w:rsidRDefault="00E547E8" w:rsidP="00E547E8">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Total number of High Risk Factors on the mortgage</w:t>
            </w:r>
          </w:p>
        </w:tc>
        <w:tc>
          <w:tcPr>
            <w:tcW w:w="2365" w:type="dxa"/>
          </w:tcPr>
          <w:p w14:paraId="6B13059A" w14:textId="77777777" w:rsidR="00037A21" w:rsidRPr="009D1225" w:rsidRDefault="00E547E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0</w:t>
            </w:r>
          </w:p>
          <w:p w14:paraId="15184B4E" w14:textId="77777777" w:rsidR="00E547E8" w:rsidRPr="009D1225" w:rsidRDefault="00E547E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1</w:t>
            </w:r>
          </w:p>
          <w:p w14:paraId="11B5D2D8" w14:textId="77777777" w:rsidR="00E547E8" w:rsidRPr="009D1225" w:rsidRDefault="00E547E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2</w:t>
            </w:r>
          </w:p>
          <w:p w14:paraId="63CCA7C1" w14:textId="6CB7F67B" w:rsidR="00E547E8" w:rsidRPr="009D1225" w:rsidRDefault="00E547E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3</w:t>
            </w:r>
          </w:p>
          <w:p w14:paraId="11F42D80" w14:textId="3F27A073" w:rsidR="00596868" w:rsidRPr="009D1225" w:rsidRDefault="0059686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4</w:t>
            </w:r>
          </w:p>
        </w:tc>
        <w:tc>
          <w:tcPr>
            <w:tcW w:w="2375" w:type="dxa"/>
          </w:tcPr>
          <w:p w14:paraId="459D751C" w14:textId="77777777" w:rsidR="00037A21" w:rsidRPr="009D1225" w:rsidRDefault="00E547E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1.00</w:t>
            </w:r>
          </w:p>
          <w:p w14:paraId="79D4C882" w14:textId="273530B5" w:rsidR="00E547E8" w:rsidRPr="009D1225" w:rsidRDefault="008306F2"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1.50</w:t>
            </w:r>
          </w:p>
          <w:p w14:paraId="576FD20D" w14:textId="2EF15139" w:rsidR="00E547E8" w:rsidRPr="009D1225" w:rsidRDefault="008306F2"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2.</w:t>
            </w:r>
            <w:r w:rsidR="00BA38D8">
              <w:rPr>
                <w:rFonts w:cs="Arial"/>
                <w:sz w:val="16"/>
                <w:szCs w:val="20"/>
              </w:rPr>
              <w:t>35</w:t>
            </w:r>
          </w:p>
          <w:p w14:paraId="79B1AE93" w14:textId="081FFA98" w:rsidR="00E547E8" w:rsidRPr="009D1225" w:rsidRDefault="00BA38D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2.95</w:t>
            </w:r>
          </w:p>
          <w:p w14:paraId="5F824145" w14:textId="6D00129E" w:rsidR="00596868" w:rsidRPr="009D1225" w:rsidRDefault="00596868" w:rsidP="003F0287">
            <w:pPr>
              <w:jc w:val="both"/>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3.</w:t>
            </w:r>
            <w:r w:rsidR="00BA38D8">
              <w:rPr>
                <w:rFonts w:cs="Arial"/>
                <w:sz w:val="16"/>
                <w:szCs w:val="20"/>
              </w:rPr>
              <w:t>25</w:t>
            </w:r>
          </w:p>
        </w:tc>
      </w:tr>
      <w:tr w:rsidR="008306F2" w:rsidRPr="009D1225" w14:paraId="5BC9C117" w14:textId="77777777" w:rsidTr="009D1225">
        <w:tc>
          <w:tcPr>
            <w:cnfStyle w:val="001000000000" w:firstRow="0" w:lastRow="0" w:firstColumn="1" w:lastColumn="0" w:oddVBand="0" w:evenVBand="0" w:oddHBand="0" w:evenHBand="0" w:firstRowFirstColumn="0" w:firstRowLastColumn="0" w:lastRowFirstColumn="0" w:lastRowLastColumn="0"/>
            <w:tcW w:w="1255" w:type="dxa"/>
          </w:tcPr>
          <w:p w14:paraId="1C6D9462" w14:textId="5018DCB6" w:rsidR="008306F2" w:rsidRPr="009D1225" w:rsidRDefault="008306F2" w:rsidP="00457A76">
            <w:pPr>
              <w:rPr>
                <w:rFonts w:cs="Arial"/>
                <w:sz w:val="16"/>
                <w:szCs w:val="20"/>
              </w:rPr>
            </w:pPr>
            <w:r w:rsidRPr="009D1225">
              <w:rPr>
                <w:rFonts w:cs="Arial"/>
                <w:sz w:val="16"/>
                <w:szCs w:val="20"/>
              </w:rPr>
              <w:t xml:space="preserve">Number of Risk </w:t>
            </w:r>
            <w:r w:rsidR="00DD3F28" w:rsidRPr="009D1225">
              <w:rPr>
                <w:rFonts w:cs="Arial"/>
                <w:sz w:val="16"/>
                <w:szCs w:val="20"/>
              </w:rPr>
              <w:t>Offset Factors</w:t>
            </w:r>
          </w:p>
        </w:tc>
        <w:tc>
          <w:tcPr>
            <w:tcW w:w="3355" w:type="dxa"/>
          </w:tcPr>
          <w:p w14:paraId="32E23F81" w14:textId="1044F76C" w:rsidR="008306F2" w:rsidRPr="009D1225" w:rsidRDefault="008306F2" w:rsidP="00DD3F28">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 xml:space="preserve">Total number of </w:t>
            </w:r>
            <w:r w:rsidR="00DD3F28" w:rsidRPr="009D1225">
              <w:rPr>
                <w:rFonts w:cs="Arial"/>
                <w:sz w:val="16"/>
                <w:szCs w:val="20"/>
              </w:rPr>
              <w:t xml:space="preserve">Risk Offset Factors </w:t>
            </w:r>
            <w:r w:rsidRPr="009D1225">
              <w:rPr>
                <w:rFonts w:cs="Arial"/>
                <w:sz w:val="16"/>
                <w:szCs w:val="20"/>
              </w:rPr>
              <w:t>on the mortgage</w:t>
            </w:r>
          </w:p>
        </w:tc>
        <w:tc>
          <w:tcPr>
            <w:tcW w:w="2365" w:type="dxa"/>
          </w:tcPr>
          <w:p w14:paraId="4F6B4B34" w14:textId="77777777" w:rsidR="008306F2" w:rsidRPr="009D1225" w:rsidRDefault="008306F2"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0</w:t>
            </w:r>
          </w:p>
          <w:p w14:paraId="6230DD6F" w14:textId="77777777" w:rsidR="008306F2" w:rsidRPr="009D1225" w:rsidRDefault="008306F2"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w:t>
            </w:r>
          </w:p>
          <w:p w14:paraId="0828F503" w14:textId="77777777" w:rsidR="008306F2" w:rsidRDefault="008306F2"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2</w:t>
            </w:r>
          </w:p>
          <w:p w14:paraId="2CAB11C7" w14:textId="23ECBB2C" w:rsidR="00EA3044" w:rsidRPr="009D1225" w:rsidRDefault="00EA3044"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3</w:t>
            </w:r>
          </w:p>
        </w:tc>
        <w:tc>
          <w:tcPr>
            <w:tcW w:w="2375" w:type="dxa"/>
          </w:tcPr>
          <w:p w14:paraId="55227538" w14:textId="77777777" w:rsidR="008306F2" w:rsidRPr="009D1225" w:rsidRDefault="008306F2"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1.00</w:t>
            </w:r>
          </w:p>
          <w:p w14:paraId="25F7CC5F" w14:textId="62C33DD3" w:rsidR="008306F2" w:rsidRPr="009D1225" w:rsidRDefault="00DD3F28"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0.65</w:t>
            </w:r>
          </w:p>
          <w:p w14:paraId="6654D408" w14:textId="77777777" w:rsidR="008306F2" w:rsidRDefault="00DD3F28"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0.50</w:t>
            </w:r>
          </w:p>
          <w:p w14:paraId="39D5D7EF" w14:textId="697B7DBA" w:rsidR="00BA38D8" w:rsidRPr="009D1225" w:rsidRDefault="00BA38D8" w:rsidP="008306F2">
            <w:pPr>
              <w:jc w:val="both"/>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0.50</w:t>
            </w:r>
          </w:p>
        </w:tc>
      </w:tr>
      <w:tr w:rsidR="008306F2" w:rsidRPr="009D1225" w14:paraId="3DB61A97" w14:textId="77777777" w:rsidTr="009D1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0A402BFB" w14:textId="22752CAC" w:rsidR="008306F2" w:rsidRPr="009D1225" w:rsidRDefault="008306F2" w:rsidP="008306F2">
            <w:pPr>
              <w:jc w:val="both"/>
              <w:rPr>
                <w:rFonts w:cs="Arial"/>
                <w:sz w:val="16"/>
                <w:szCs w:val="20"/>
              </w:rPr>
            </w:pPr>
            <w:r w:rsidRPr="009D1225">
              <w:rPr>
                <w:rFonts w:cs="Arial"/>
                <w:sz w:val="16"/>
                <w:szCs w:val="20"/>
              </w:rPr>
              <w:t>Economic Factor</w:t>
            </w:r>
          </w:p>
        </w:tc>
        <w:tc>
          <w:tcPr>
            <w:tcW w:w="3355" w:type="dxa"/>
          </w:tcPr>
          <w:p w14:paraId="4840BF00" w14:textId="138FF01B" w:rsidR="008306F2" w:rsidRPr="009D1225" w:rsidRDefault="008306F2" w:rsidP="008306F2">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Economic adjustment factor evaluated at origination</w:t>
            </w:r>
          </w:p>
        </w:tc>
        <w:tc>
          <w:tcPr>
            <w:tcW w:w="4740" w:type="dxa"/>
            <w:gridSpan w:val="2"/>
          </w:tcPr>
          <w:p w14:paraId="7867B5CB" w14:textId="5DDF73A9" w:rsidR="008306F2" w:rsidRPr="009D1225" w:rsidRDefault="008306F2" w:rsidP="008306F2">
            <w:pPr>
              <w:jc w:val="center"/>
              <w:cnfStyle w:val="000000100000" w:firstRow="0" w:lastRow="0" w:firstColumn="0" w:lastColumn="0" w:oddVBand="0" w:evenVBand="0" w:oddHBand="1" w:evenHBand="0" w:firstRowFirstColumn="0" w:firstRowLastColumn="0" w:lastRowFirstColumn="0" w:lastRowLastColumn="0"/>
              <w:rPr>
                <w:rFonts w:cs="Arial"/>
                <w:sz w:val="16"/>
                <w:szCs w:val="20"/>
              </w:rPr>
            </w:pPr>
            <w:r w:rsidRPr="009D1225">
              <w:rPr>
                <w:rFonts w:cs="Arial"/>
                <w:sz w:val="16"/>
                <w:szCs w:val="20"/>
              </w:rPr>
              <w:t>Varies by origination year</w:t>
            </w:r>
          </w:p>
        </w:tc>
      </w:tr>
      <w:tr w:rsidR="009D1225" w:rsidRPr="009D1225" w14:paraId="18D821A9" w14:textId="77777777" w:rsidTr="009D1225">
        <w:tc>
          <w:tcPr>
            <w:cnfStyle w:val="001000000000" w:firstRow="0" w:lastRow="0" w:firstColumn="1" w:lastColumn="0" w:oddVBand="0" w:evenVBand="0" w:oddHBand="0" w:evenHBand="0" w:firstRowFirstColumn="0" w:firstRowLastColumn="0" w:lastRowFirstColumn="0" w:lastRowLastColumn="0"/>
            <w:tcW w:w="1255" w:type="dxa"/>
          </w:tcPr>
          <w:p w14:paraId="0C82C2F9" w14:textId="5487B8B4" w:rsidR="009D1225" w:rsidRPr="009D1225" w:rsidRDefault="009D1225" w:rsidP="009D1225">
            <w:pPr>
              <w:jc w:val="both"/>
              <w:rPr>
                <w:rFonts w:cs="Arial"/>
                <w:sz w:val="16"/>
                <w:szCs w:val="20"/>
              </w:rPr>
            </w:pPr>
            <w:r w:rsidRPr="009D1225">
              <w:rPr>
                <w:rFonts w:cs="Arial"/>
                <w:sz w:val="16"/>
                <w:szCs w:val="20"/>
              </w:rPr>
              <w:t>Severity Rate</w:t>
            </w:r>
          </w:p>
        </w:tc>
        <w:tc>
          <w:tcPr>
            <w:tcW w:w="3355" w:type="dxa"/>
          </w:tcPr>
          <w:p w14:paraId="75C5B318" w14:textId="77777777" w:rsidR="009D1225" w:rsidRPr="009D1225" w:rsidRDefault="009D1225" w:rsidP="009D1225">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 xml:space="preserve">Severity rate, as a percent of original loan amount, applied to mortgage insurance coverage in excess of </w:t>
            </w:r>
          </w:p>
          <w:p w14:paraId="0F7E8820" w14:textId="3C74A5FE" w:rsidR="009D1225" w:rsidRPr="009D1225" w:rsidRDefault="009D1225" w:rsidP="009D1225">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Standard Coverage</w:t>
            </w:r>
          </w:p>
        </w:tc>
        <w:tc>
          <w:tcPr>
            <w:tcW w:w="4740" w:type="dxa"/>
            <w:gridSpan w:val="2"/>
          </w:tcPr>
          <w:p w14:paraId="0438F9E9" w14:textId="6210C7EE" w:rsidR="009D1225" w:rsidRPr="009D1225" w:rsidRDefault="009D1225" w:rsidP="009D1225">
            <w:pPr>
              <w:jc w:val="center"/>
              <w:cnfStyle w:val="000000000000" w:firstRow="0" w:lastRow="0" w:firstColumn="0" w:lastColumn="0" w:oddVBand="0" w:evenVBand="0" w:oddHBand="0" w:evenHBand="0" w:firstRowFirstColumn="0" w:firstRowLastColumn="0" w:lastRowFirstColumn="0" w:lastRowLastColumn="0"/>
              <w:rPr>
                <w:rFonts w:cs="Arial"/>
                <w:sz w:val="16"/>
                <w:szCs w:val="20"/>
              </w:rPr>
            </w:pPr>
            <w:r w:rsidRPr="009D1225">
              <w:rPr>
                <w:rFonts w:cs="Arial"/>
                <w:sz w:val="16"/>
                <w:szCs w:val="20"/>
              </w:rPr>
              <w:t>Varies by the Economic Factor</w:t>
            </w:r>
          </w:p>
        </w:tc>
      </w:tr>
    </w:tbl>
    <w:p w14:paraId="68B3CF25" w14:textId="77777777" w:rsidR="009D1225" w:rsidRDefault="009D1225" w:rsidP="00887FE4">
      <w:pPr>
        <w:spacing w:after="120" w:line="288" w:lineRule="auto"/>
        <w:jc w:val="both"/>
        <w:rPr>
          <w:rFonts w:cs="Arial"/>
          <w:sz w:val="20"/>
          <w:szCs w:val="20"/>
        </w:rPr>
      </w:pPr>
    </w:p>
    <w:p w14:paraId="215BCB6E" w14:textId="2F805118" w:rsidR="00F844D9" w:rsidRDefault="00F844D9" w:rsidP="00887FE4">
      <w:pPr>
        <w:spacing w:after="120" w:line="288" w:lineRule="auto"/>
        <w:jc w:val="both"/>
        <w:rPr>
          <w:rFonts w:cs="Arial"/>
          <w:sz w:val="20"/>
          <w:szCs w:val="20"/>
        </w:rPr>
      </w:pPr>
      <w:r>
        <w:rPr>
          <w:rFonts w:cs="Arial"/>
          <w:sz w:val="20"/>
          <w:szCs w:val="20"/>
        </w:rPr>
        <w:t>This document provides the technical documentation for the development of the Mortgage Guaranty Capital Model.</w:t>
      </w:r>
    </w:p>
    <w:p w14:paraId="3304EBBB" w14:textId="4BD77DBA" w:rsidR="00D61E3E" w:rsidRDefault="00887FE4" w:rsidP="00887FE4">
      <w:pPr>
        <w:spacing w:after="120" w:line="288" w:lineRule="auto"/>
        <w:jc w:val="both"/>
        <w:rPr>
          <w:color w:val="0081E3" w:themeColor="accent4"/>
          <w:sz w:val="28"/>
          <w:szCs w:val="28"/>
        </w:rPr>
      </w:pPr>
      <w:r>
        <w:rPr>
          <w:color w:val="0081E3" w:themeColor="accent4"/>
          <w:sz w:val="28"/>
          <w:szCs w:val="28"/>
        </w:rPr>
        <w:br w:type="column"/>
      </w:r>
      <w:r w:rsidR="00783D69">
        <w:rPr>
          <w:color w:val="0081E3" w:themeColor="accent4"/>
          <w:sz w:val="28"/>
          <w:szCs w:val="28"/>
        </w:rPr>
        <w:lastRenderedPageBreak/>
        <w:t>B.</w:t>
      </w:r>
      <w:r w:rsidR="00783D69">
        <w:rPr>
          <w:color w:val="0081E3" w:themeColor="accent4"/>
          <w:sz w:val="28"/>
          <w:szCs w:val="28"/>
        </w:rPr>
        <w:tab/>
      </w:r>
      <w:r w:rsidR="00783D69" w:rsidRPr="00783D69">
        <w:rPr>
          <w:color w:val="0081E3" w:themeColor="accent4"/>
          <w:sz w:val="28"/>
          <w:szCs w:val="28"/>
        </w:rPr>
        <w:t>Introduction</w:t>
      </w:r>
    </w:p>
    <w:p w14:paraId="27389258" w14:textId="1BC45FA2" w:rsidR="00783D69" w:rsidRPr="00783D69" w:rsidRDefault="00783D69" w:rsidP="00783D69">
      <w:pPr>
        <w:spacing w:after="120" w:line="288" w:lineRule="auto"/>
        <w:jc w:val="both"/>
        <w:rPr>
          <w:sz w:val="20"/>
          <w:szCs w:val="20"/>
        </w:rPr>
      </w:pPr>
      <w:r w:rsidRPr="00783D69">
        <w:rPr>
          <w:sz w:val="20"/>
          <w:szCs w:val="20"/>
        </w:rPr>
        <w:t>The National Association of Insurance Commissioners (</w:t>
      </w:r>
      <w:r w:rsidR="005B5D1D">
        <w:rPr>
          <w:sz w:val="20"/>
          <w:szCs w:val="20"/>
        </w:rPr>
        <w:t>“</w:t>
      </w:r>
      <w:r w:rsidRPr="00783D69">
        <w:rPr>
          <w:sz w:val="20"/>
          <w:szCs w:val="20"/>
        </w:rPr>
        <w:t>NAIC</w:t>
      </w:r>
      <w:r w:rsidR="005B5D1D">
        <w:rPr>
          <w:sz w:val="20"/>
          <w:szCs w:val="20"/>
        </w:rPr>
        <w:t>”</w:t>
      </w:r>
      <w:r w:rsidRPr="00783D69">
        <w:rPr>
          <w:sz w:val="20"/>
          <w:szCs w:val="20"/>
        </w:rPr>
        <w:t>) is the U.S. standard-setting and regulatory support organization created and governed by the chief insurance regulators from the 50 states, the District of Columbia and five U.S. territories.  Through the NAIC, state insurance regulators establish standards and best practices, conduct peer review, and coordinate their regulatory oversight.</w:t>
      </w:r>
    </w:p>
    <w:p w14:paraId="4CEF8C19" w14:textId="43FF5C55" w:rsidR="00783D69" w:rsidRPr="00783D69" w:rsidRDefault="00783D69" w:rsidP="00783D69">
      <w:pPr>
        <w:spacing w:after="120" w:line="288" w:lineRule="auto"/>
        <w:jc w:val="both"/>
        <w:rPr>
          <w:sz w:val="20"/>
          <w:szCs w:val="20"/>
        </w:rPr>
      </w:pPr>
      <w:r w:rsidRPr="00783D69">
        <w:rPr>
          <w:sz w:val="20"/>
          <w:szCs w:val="20"/>
        </w:rPr>
        <w:t>The NAIC Mortgage Guaranty Insurance Model Act (#630, or “the Model Act”) establishes the overall regulatory approach adopted by states for monitoring the solvency of mortgage guaranty insurers domiciled in their state.  Within the NAIC, the Mortgage Gua</w:t>
      </w:r>
      <w:r w:rsidR="00651B91">
        <w:rPr>
          <w:sz w:val="20"/>
          <w:szCs w:val="20"/>
        </w:rPr>
        <w:t>ranty Insurance Working Group (</w:t>
      </w:r>
      <w:r w:rsidR="004319B7">
        <w:rPr>
          <w:sz w:val="20"/>
          <w:szCs w:val="20"/>
        </w:rPr>
        <w:t>“</w:t>
      </w:r>
      <w:r w:rsidR="00651B91">
        <w:rPr>
          <w:sz w:val="20"/>
          <w:szCs w:val="20"/>
        </w:rPr>
        <w:t>Working Group</w:t>
      </w:r>
      <w:r w:rsidR="004319B7">
        <w:rPr>
          <w:sz w:val="20"/>
          <w:szCs w:val="20"/>
        </w:rPr>
        <w:t>”</w:t>
      </w:r>
      <w:r w:rsidRPr="00783D69">
        <w:rPr>
          <w:sz w:val="20"/>
          <w:szCs w:val="20"/>
        </w:rPr>
        <w:t>) is charged with developing changes to the Model Act and other areas of solvency regulation of mortgage guaranty insurers.  The Working Group was formed to address solvency and regulatory issues that became apparent during the recent residential housing price collapse, mortgage crisis, and economic downturn.</w:t>
      </w:r>
    </w:p>
    <w:p w14:paraId="363A55BA" w14:textId="755C04FD" w:rsidR="00783D69" w:rsidRPr="00783D69" w:rsidRDefault="00783D69" w:rsidP="00557175">
      <w:pPr>
        <w:spacing w:after="120" w:line="288" w:lineRule="auto"/>
        <w:jc w:val="both"/>
        <w:rPr>
          <w:sz w:val="20"/>
          <w:szCs w:val="20"/>
        </w:rPr>
      </w:pPr>
      <w:r w:rsidRPr="00783D69">
        <w:rPr>
          <w:sz w:val="20"/>
          <w:szCs w:val="20"/>
        </w:rPr>
        <w:t>The NAIC and the Working Group engaged Milliman</w:t>
      </w:r>
      <w:r w:rsidR="004319B7">
        <w:rPr>
          <w:sz w:val="20"/>
          <w:szCs w:val="20"/>
        </w:rPr>
        <w:t>, Inc. (“Milliman”)</w:t>
      </w:r>
      <w:r w:rsidRPr="00783D69">
        <w:rPr>
          <w:sz w:val="20"/>
          <w:szCs w:val="20"/>
        </w:rPr>
        <w:t xml:space="preserve"> </w:t>
      </w:r>
      <w:r w:rsidR="00A079EA" w:rsidRPr="00783D69">
        <w:rPr>
          <w:rFonts w:cs="Arial"/>
          <w:sz w:val="20"/>
          <w:szCs w:val="20"/>
        </w:rPr>
        <w:t xml:space="preserve">to </w:t>
      </w:r>
      <w:r w:rsidR="00A079EA">
        <w:rPr>
          <w:rFonts w:cs="Arial"/>
          <w:sz w:val="20"/>
          <w:szCs w:val="20"/>
        </w:rPr>
        <w:t>develop a</w:t>
      </w:r>
      <w:r w:rsidR="00A079EA" w:rsidRPr="00783D69">
        <w:rPr>
          <w:rFonts w:cs="Arial"/>
          <w:sz w:val="20"/>
          <w:szCs w:val="20"/>
        </w:rPr>
        <w:t xml:space="preserve"> </w:t>
      </w:r>
      <w:r w:rsidR="00A079EA">
        <w:rPr>
          <w:rFonts w:cs="Arial"/>
          <w:sz w:val="20"/>
          <w:szCs w:val="20"/>
        </w:rPr>
        <w:t>Mortgage Guaranty Capital Model to support the Working Group’s development and implementation of a framework to evaluate the capital levels of mortgage insurance companies</w:t>
      </w:r>
      <w:r w:rsidR="00A079EA" w:rsidRPr="00783D69">
        <w:rPr>
          <w:rFonts w:cs="Arial"/>
          <w:sz w:val="20"/>
          <w:szCs w:val="20"/>
        </w:rPr>
        <w:t xml:space="preserve">.  </w:t>
      </w:r>
      <w:r w:rsidR="00A079EA">
        <w:rPr>
          <w:rFonts w:cs="Arial"/>
          <w:sz w:val="20"/>
          <w:szCs w:val="20"/>
        </w:rPr>
        <w:t xml:space="preserve">Specifically, </w:t>
      </w:r>
      <w:r w:rsidRPr="00783D69">
        <w:rPr>
          <w:sz w:val="20"/>
          <w:szCs w:val="20"/>
        </w:rPr>
        <w:t>Milliman was engaged to:</w:t>
      </w:r>
    </w:p>
    <w:p w14:paraId="68EADD03" w14:textId="4246E135" w:rsidR="00A079EA" w:rsidRPr="00A079EA" w:rsidRDefault="00A079EA" w:rsidP="00A079EA">
      <w:pPr>
        <w:pStyle w:val="ListParagraph"/>
        <w:numPr>
          <w:ilvl w:val="0"/>
          <w:numId w:val="11"/>
        </w:numPr>
        <w:tabs>
          <w:tab w:val="left" w:pos="1080"/>
        </w:tabs>
        <w:contextualSpacing w:val="0"/>
        <w:rPr>
          <w:rFonts w:asciiTheme="majorHAnsi" w:eastAsia="Calibri" w:hAnsiTheme="majorHAnsi" w:cstheme="majorHAnsi"/>
          <w:szCs w:val="20"/>
        </w:rPr>
      </w:pPr>
      <w:r>
        <w:rPr>
          <w:rFonts w:asciiTheme="majorHAnsi" w:eastAsia="Calibri" w:hAnsiTheme="majorHAnsi" w:cstheme="majorHAnsi"/>
          <w:szCs w:val="20"/>
        </w:rPr>
        <w:t>Develop a</w:t>
      </w:r>
      <w:r w:rsidRPr="00A079EA">
        <w:rPr>
          <w:rFonts w:asciiTheme="majorHAnsi" w:eastAsia="Calibri" w:hAnsiTheme="majorHAnsi" w:cstheme="majorHAnsi"/>
          <w:szCs w:val="20"/>
        </w:rPr>
        <w:t xml:space="preserve"> capital standard framework</w:t>
      </w:r>
      <w:r w:rsidR="000146B2">
        <w:rPr>
          <w:rFonts w:asciiTheme="majorHAnsi" w:eastAsia="Calibri" w:hAnsiTheme="majorHAnsi" w:cstheme="majorHAnsi"/>
          <w:szCs w:val="20"/>
        </w:rPr>
        <w:t>;</w:t>
      </w:r>
    </w:p>
    <w:p w14:paraId="152DACDC" w14:textId="77777777" w:rsidR="00A079EA" w:rsidRPr="00A079EA" w:rsidRDefault="00A079EA" w:rsidP="00A079EA">
      <w:pPr>
        <w:pStyle w:val="ListParagraph"/>
        <w:rPr>
          <w:rFonts w:asciiTheme="majorHAnsi" w:eastAsia="Calibri" w:hAnsiTheme="majorHAnsi" w:cstheme="majorHAnsi"/>
          <w:szCs w:val="20"/>
        </w:rPr>
      </w:pPr>
    </w:p>
    <w:p w14:paraId="144D3590" w14:textId="41A520DF" w:rsidR="00A079EA" w:rsidRPr="00A079EA" w:rsidRDefault="00A079EA" w:rsidP="00A079EA">
      <w:pPr>
        <w:pStyle w:val="ListParagraph"/>
        <w:numPr>
          <w:ilvl w:val="0"/>
          <w:numId w:val="11"/>
        </w:numPr>
        <w:tabs>
          <w:tab w:val="left" w:pos="1080"/>
        </w:tabs>
        <w:contextualSpacing w:val="0"/>
        <w:rPr>
          <w:rFonts w:asciiTheme="majorHAnsi" w:eastAsia="Calibri" w:hAnsiTheme="majorHAnsi" w:cstheme="majorHAnsi"/>
          <w:szCs w:val="20"/>
        </w:rPr>
      </w:pPr>
      <w:r w:rsidRPr="00A079EA">
        <w:rPr>
          <w:rFonts w:asciiTheme="majorHAnsi" w:eastAsia="Calibri" w:hAnsiTheme="majorHAnsi" w:cstheme="majorHAnsi"/>
          <w:szCs w:val="20"/>
        </w:rPr>
        <w:t xml:space="preserve">Fully document the capital standard framework and operational requirements including (1) mortgage insurer data; (2) model variable segmentation significance testing; and (3) economic data; </w:t>
      </w:r>
    </w:p>
    <w:p w14:paraId="710C8D48" w14:textId="77777777" w:rsidR="00A079EA" w:rsidRPr="00A079EA" w:rsidRDefault="00A079EA" w:rsidP="00A079EA">
      <w:pPr>
        <w:pStyle w:val="ListParagraph"/>
        <w:rPr>
          <w:rFonts w:asciiTheme="majorHAnsi" w:eastAsia="Calibri" w:hAnsiTheme="majorHAnsi" w:cstheme="majorHAnsi"/>
          <w:szCs w:val="20"/>
        </w:rPr>
      </w:pPr>
    </w:p>
    <w:p w14:paraId="0CD30748" w14:textId="4705FA05" w:rsidR="00A079EA" w:rsidRPr="00A079EA" w:rsidRDefault="00A079EA" w:rsidP="00A079EA">
      <w:pPr>
        <w:pStyle w:val="ListParagraph"/>
        <w:numPr>
          <w:ilvl w:val="0"/>
          <w:numId w:val="11"/>
        </w:numPr>
        <w:tabs>
          <w:tab w:val="left" w:pos="1080"/>
        </w:tabs>
        <w:contextualSpacing w:val="0"/>
        <w:rPr>
          <w:rFonts w:asciiTheme="majorHAnsi" w:eastAsia="Calibri" w:hAnsiTheme="majorHAnsi" w:cstheme="majorHAnsi"/>
          <w:szCs w:val="20"/>
        </w:rPr>
      </w:pPr>
      <w:r w:rsidRPr="00A079EA">
        <w:rPr>
          <w:rFonts w:asciiTheme="majorHAnsi" w:eastAsia="Calibri" w:hAnsiTheme="majorHAnsi" w:cstheme="majorHAnsi"/>
          <w:szCs w:val="20"/>
        </w:rPr>
        <w:t>Verify that the output from the proposed capital standard produces</w:t>
      </w:r>
      <w:r>
        <w:rPr>
          <w:rFonts w:asciiTheme="majorHAnsi" w:eastAsia="Calibri" w:hAnsiTheme="majorHAnsi" w:cstheme="majorHAnsi"/>
          <w:szCs w:val="20"/>
        </w:rPr>
        <w:t xml:space="preserve"> a reasonable capital standard;</w:t>
      </w:r>
    </w:p>
    <w:p w14:paraId="198D80D8" w14:textId="77777777" w:rsidR="00A079EA" w:rsidRDefault="00A079EA" w:rsidP="00A079EA">
      <w:pPr>
        <w:pStyle w:val="ListParagraph"/>
        <w:tabs>
          <w:tab w:val="left" w:pos="1080"/>
        </w:tabs>
        <w:ind w:left="360"/>
        <w:contextualSpacing w:val="0"/>
        <w:rPr>
          <w:rFonts w:asciiTheme="majorHAnsi" w:eastAsia="Calibri" w:hAnsiTheme="majorHAnsi" w:cstheme="majorHAnsi"/>
          <w:bCs/>
          <w:szCs w:val="20"/>
        </w:rPr>
      </w:pPr>
    </w:p>
    <w:p w14:paraId="52B04374" w14:textId="1C7EB2E0" w:rsidR="00A079EA" w:rsidRPr="00A079EA" w:rsidRDefault="00A079EA" w:rsidP="00A079EA">
      <w:pPr>
        <w:pStyle w:val="ListParagraph"/>
        <w:numPr>
          <w:ilvl w:val="0"/>
          <w:numId w:val="11"/>
        </w:numPr>
        <w:tabs>
          <w:tab w:val="left" w:pos="1080"/>
        </w:tabs>
        <w:contextualSpacing w:val="0"/>
        <w:rPr>
          <w:rFonts w:asciiTheme="majorHAnsi" w:eastAsia="Calibri" w:hAnsiTheme="majorHAnsi" w:cstheme="majorHAnsi"/>
          <w:bCs/>
          <w:szCs w:val="20"/>
        </w:rPr>
      </w:pPr>
      <w:r w:rsidRPr="00A079EA">
        <w:rPr>
          <w:rFonts w:asciiTheme="majorHAnsi" w:eastAsia="Calibri" w:hAnsiTheme="majorHAnsi" w:cstheme="majorHAnsi"/>
          <w:bCs/>
          <w:szCs w:val="20"/>
        </w:rPr>
        <w:t>Recertify mortgage insurer’s loan-level data dictionary</w:t>
      </w:r>
      <w:r>
        <w:rPr>
          <w:rFonts w:asciiTheme="majorHAnsi" w:eastAsia="Calibri" w:hAnsiTheme="majorHAnsi" w:cstheme="majorHAnsi"/>
          <w:bCs/>
          <w:szCs w:val="20"/>
        </w:rPr>
        <w:t>; and</w:t>
      </w:r>
    </w:p>
    <w:p w14:paraId="4F188F88" w14:textId="77777777" w:rsidR="00A079EA" w:rsidRPr="00A079EA" w:rsidRDefault="00A079EA" w:rsidP="00A079EA">
      <w:pPr>
        <w:pStyle w:val="ListParagraph"/>
        <w:tabs>
          <w:tab w:val="left" w:pos="1080"/>
        </w:tabs>
        <w:ind w:left="1080"/>
        <w:rPr>
          <w:rFonts w:asciiTheme="majorHAnsi" w:eastAsia="Calibri" w:hAnsiTheme="majorHAnsi" w:cstheme="majorHAnsi"/>
          <w:bCs/>
          <w:szCs w:val="20"/>
        </w:rPr>
      </w:pPr>
    </w:p>
    <w:p w14:paraId="2FF401CE" w14:textId="6D65F51D" w:rsidR="00A079EA" w:rsidRDefault="00A079EA" w:rsidP="00A079EA">
      <w:pPr>
        <w:pStyle w:val="ListParagraph"/>
        <w:numPr>
          <w:ilvl w:val="0"/>
          <w:numId w:val="11"/>
        </w:numPr>
        <w:tabs>
          <w:tab w:val="left" w:pos="1080"/>
        </w:tabs>
        <w:contextualSpacing w:val="0"/>
        <w:rPr>
          <w:rFonts w:asciiTheme="majorHAnsi" w:eastAsia="Calibri" w:hAnsiTheme="majorHAnsi" w:cstheme="majorHAnsi"/>
          <w:bCs/>
          <w:szCs w:val="20"/>
        </w:rPr>
      </w:pPr>
      <w:r w:rsidRPr="00A079EA">
        <w:rPr>
          <w:rFonts w:asciiTheme="majorHAnsi" w:eastAsia="Calibri" w:hAnsiTheme="majorHAnsi" w:cstheme="majorHAnsi"/>
          <w:bCs/>
          <w:szCs w:val="20"/>
        </w:rPr>
        <w:t>Assist, review, evaluate and consult on developing an NAIC Model Act "Green Book" reporting requirements, including (1) Survey NAIC Working Group for amended/update existing Yellow Book requirements (State of Domicile's); (2) the development of available historical data in identified "Green Book" format; (3) integrate Annual Statement of Opinion actuarial framework into Statutory Financial Examination framework</w:t>
      </w:r>
      <w:r>
        <w:rPr>
          <w:rFonts w:asciiTheme="majorHAnsi" w:eastAsia="Calibri" w:hAnsiTheme="majorHAnsi" w:cstheme="majorHAnsi"/>
          <w:bCs/>
          <w:szCs w:val="20"/>
        </w:rPr>
        <w:t>.</w:t>
      </w:r>
    </w:p>
    <w:p w14:paraId="403D65AA" w14:textId="09C57F45" w:rsidR="004116A7" w:rsidRPr="00A079EA" w:rsidRDefault="004116A7" w:rsidP="00783D69">
      <w:pPr>
        <w:spacing w:after="120" w:line="288" w:lineRule="auto"/>
        <w:jc w:val="both"/>
        <w:rPr>
          <w:rFonts w:asciiTheme="majorHAnsi" w:hAnsiTheme="majorHAnsi" w:cstheme="majorHAnsi"/>
          <w:sz w:val="20"/>
          <w:szCs w:val="20"/>
        </w:rPr>
      </w:pPr>
    </w:p>
    <w:p w14:paraId="5379745A" w14:textId="78F03080" w:rsidR="00F10B6B" w:rsidRPr="00783D69" w:rsidRDefault="00783D69" w:rsidP="00783D69">
      <w:pPr>
        <w:spacing w:after="120" w:line="288" w:lineRule="auto"/>
        <w:jc w:val="both"/>
        <w:rPr>
          <w:sz w:val="20"/>
          <w:szCs w:val="20"/>
        </w:rPr>
      </w:pPr>
      <w:r w:rsidRPr="00783D69">
        <w:rPr>
          <w:sz w:val="20"/>
          <w:szCs w:val="20"/>
        </w:rPr>
        <w:t xml:space="preserve">This report provides </w:t>
      </w:r>
      <w:r w:rsidR="00A079EA">
        <w:rPr>
          <w:sz w:val="20"/>
          <w:szCs w:val="20"/>
        </w:rPr>
        <w:t>documentation for the development of the capital model</w:t>
      </w:r>
      <w:r w:rsidRPr="00783D69">
        <w:rPr>
          <w:sz w:val="20"/>
          <w:szCs w:val="20"/>
        </w:rPr>
        <w:t>.</w:t>
      </w:r>
    </w:p>
    <w:p w14:paraId="78B596A5" w14:textId="77777777" w:rsidR="00783D69" w:rsidRDefault="00783D69" w:rsidP="00CD5486">
      <w:pPr>
        <w:pStyle w:val="RRBody"/>
        <w:rPr>
          <w:color w:val="0081E3" w:themeColor="accent4"/>
          <w:sz w:val="28"/>
          <w:szCs w:val="28"/>
        </w:rPr>
      </w:pPr>
    </w:p>
    <w:p w14:paraId="4E04DF9B" w14:textId="77777777" w:rsidR="00783D69" w:rsidRDefault="00783D69">
      <w:pPr>
        <w:rPr>
          <w:color w:val="0081E3" w:themeColor="accent4"/>
          <w:sz w:val="28"/>
          <w:szCs w:val="28"/>
        </w:rPr>
      </w:pPr>
      <w:r>
        <w:rPr>
          <w:color w:val="0081E3" w:themeColor="accent4"/>
          <w:sz w:val="28"/>
          <w:szCs w:val="28"/>
        </w:rPr>
        <w:br w:type="page"/>
      </w:r>
    </w:p>
    <w:p w14:paraId="1A261F6A" w14:textId="3FA6609F" w:rsidR="00CD5486" w:rsidRDefault="00783D69" w:rsidP="00CD5486">
      <w:pPr>
        <w:pStyle w:val="RRBody"/>
        <w:rPr>
          <w:color w:val="0081E3" w:themeColor="accent4"/>
          <w:sz w:val="28"/>
          <w:szCs w:val="28"/>
        </w:rPr>
      </w:pPr>
      <w:r w:rsidRPr="00783D69">
        <w:rPr>
          <w:color w:val="0081E3" w:themeColor="accent4"/>
          <w:sz w:val="28"/>
          <w:szCs w:val="28"/>
        </w:rPr>
        <w:lastRenderedPageBreak/>
        <w:t>C.</w:t>
      </w:r>
      <w:r w:rsidRPr="00783D69">
        <w:rPr>
          <w:color w:val="0081E3" w:themeColor="accent4"/>
          <w:sz w:val="28"/>
          <w:szCs w:val="28"/>
        </w:rPr>
        <w:tab/>
      </w:r>
      <w:r w:rsidR="00BF012C">
        <w:rPr>
          <w:color w:val="0081E3" w:themeColor="accent4"/>
          <w:sz w:val="28"/>
          <w:szCs w:val="28"/>
        </w:rPr>
        <w:t>Data</w:t>
      </w:r>
      <w:r w:rsidR="007B2D7F">
        <w:rPr>
          <w:color w:val="0081E3" w:themeColor="accent4"/>
          <w:sz w:val="28"/>
          <w:szCs w:val="28"/>
        </w:rPr>
        <w:t xml:space="preserve"> Provided to Milliman</w:t>
      </w:r>
    </w:p>
    <w:p w14:paraId="76E979DF" w14:textId="28BC4F03" w:rsidR="00783D69" w:rsidRPr="00783D69" w:rsidRDefault="00783D69" w:rsidP="00783D69">
      <w:pPr>
        <w:jc w:val="both"/>
        <w:rPr>
          <w:rFonts w:cs="Arial"/>
          <w:sz w:val="20"/>
          <w:szCs w:val="20"/>
        </w:rPr>
      </w:pPr>
      <w:r w:rsidRPr="00783D69">
        <w:rPr>
          <w:rFonts w:cs="Arial"/>
          <w:sz w:val="20"/>
          <w:szCs w:val="20"/>
        </w:rPr>
        <w:t>The NAIC and Working Group provided to Milliman data</w:t>
      </w:r>
      <w:r w:rsidR="007B2D7F">
        <w:rPr>
          <w:rFonts w:cs="Arial"/>
          <w:sz w:val="20"/>
          <w:szCs w:val="20"/>
        </w:rPr>
        <w:t xml:space="preserve"> to develop the capital model</w:t>
      </w:r>
      <w:r w:rsidRPr="00783D69">
        <w:rPr>
          <w:rFonts w:cs="Arial"/>
          <w:sz w:val="20"/>
          <w:szCs w:val="20"/>
        </w:rPr>
        <w:t xml:space="preserve">.  The table below provides a summary of the </w:t>
      </w:r>
      <w:r w:rsidR="007B2D7F">
        <w:rPr>
          <w:rFonts w:cs="Arial"/>
          <w:sz w:val="20"/>
          <w:szCs w:val="20"/>
        </w:rPr>
        <w:t>data</w:t>
      </w:r>
      <w:r w:rsidRPr="00783D69">
        <w:rPr>
          <w:rFonts w:cs="Arial"/>
          <w:sz w:val="20"/>
          <w:szCs w:val="20"/>
        </w:rPr>
        <w:t xml:space="preserve"> provided to Milliman:</w:t>
      </w:r>
    </w:p>
    <w:p w14:paraId="6FA5F36B" w14:textId="77777777" w:rsidR="00F10B6B" w:rsidRPr="00776F2F" w:rsidRDefault="00F10B6B">
      <w:pPr>
        <w:rPr>
          <w:color w:val="0081E3" w:themeColor="accent4"/>
          <w:sz w:val="8"/>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3867"/>
        <w:gridCol w:w="3868"/>
      </w:tblGrid>
      <w:tr w:rsidR="00783D69" w:rsidRPr="00783D69" w14:paraId="028E342C" w14:textId="77777777" w:rsidTr="00783D69">
        <w:trPr>
          <w:tblHeader/>
        </w:trPr>
        <w:tc>
          <w:tcPr>
            <w:tcW w:w="9350" w:type="dxa"/>
            <w:gridSpan w:val="3"/>
          </w:tcPr>
          <w:p w14:paraId="21BFDE5A" w14:textId="28312AA7" w:rsidR="00783D69" w:rsidRDefault="00783D69" w:rsidP="00783D69">
            <w:pPr>
              <w:spacing w:line="288" w:lineRule="auto"/>
              <w:jc w:val="center"/>
              <w:rPr>
                <w:rFonts w:cs="Arial"/>
                <w:b/>
                <w:sz w:val="20"/>
                <w:szCs w:val="20"/>
              </w:rPr>
            </w:pPr>
            <w:r w:rsidRPr="00783D69">
              <w:rPr>
                <w:rFonts w:cs="Arial"/>
                <w:b/>
                <w:sz w:val="20"/>
                <w:szCs w:val="20"/>
              </w:rPr>
              <w:t>Table C</w:t>
            </w:r>
            <w:r w:rsidR="005B5D1D">
              <w:rPr>
                <w:rFonts w:cs="Arial"/>
                <w:b/>
                <w:sz w:val="20"/>
                <w:szCs w:val="20"/>
              </w:rPr>
              <w:t>.</w:t>
            </w:r>
            <w:r w:rsidRPr="00783D69">
              <w:rPr>
                <w:rFonts w:cs="Arial"/>
                <w:b/>
                <w:sz w:val="20"/>
                <w:szCs w:val="20"/>
              </w:rPr>
              <w:t>1</w:t>
            </w:r>
          </w:p>
          <w:p w14:paraId="69C9F890" w14:textId="77777777" w:rsidR="00783D69" w:rsidRPr="00783D69" w:rsidRDefault="00783D69" w:rsidP="00783D69">
            <w:pPr>
              <w:spacing w:line="288" w:lineRule="auto"/>
              <w:jc w:val="center"/>
              <w:rPr>
                <w:rFonts w:ascii="Arial" w:hAnsi="Arial" w:cs="Arial"/>
                <w:b/>
                <w:bCs/>
                <w:sz w:val="20"/>
                <w:szCs w:val="18"/>
              </w:rPr>
            </w:pPr>
            <w:r w:rsidRPr="00783D69">
              <w:rPr>
                <w:rFonts w:cs="Arial"/>
                <w:b/>
                <w:sz w:val="20"/>
                <w:szCs w:val="20"/>
              </w:rPr>
              <w:t xml:space="preserve"> </w:t>
            </w:r>
            <w:r w:rsidRPr="00783D69">
              <w:rPr>
                <w:rFonts w:ascii="Arial" w:hAnsi="Arial" w:cs="Arial"/>
                <w:b/>
                <w:bCs/>
                <w:sz w:val="20"/>
                <w:szCs w:val="18"/>
              </w:rPr>
              <w:t>NAIC Mortgage Insurer Risk Sensitive Capital Model</w:t>
            </w:r>
          </w:p>
          <w:p w14:paraId="3AC2576E" w14:textId="7EE650DB" w:rsidR="00783D69" w:rsidRPr="00783D69" w:rsidRDefault="00783D69" w:rsidP="00783D69">
            <w:pPr>
              <w:spacing w:line="288" w:lineRule="auto"/>
              <w:jc w:val="center"/>
              <w:rPr>
                <w:rFonts w:cs="Arial"/>
                <w:b/>
                <w:sz w:val="20"/>
                <w:szCs w:val="20"/>
              </w:rPr>
            </w:pPr>
            <w:r w:rsidRPr="00783D69">
              <w:rPr>
                <w:rFonts w:cs="Arial"/>
                <w:b/>
                <w:sz w:val="20"/>
                <w:szCs w:val="20"/>
              </w:rPr>
              <w:t>Summary of Materials Provided to Milliman</w:t>
            </w:r>
          </w:p>
          <w:p w14:paraId="11A503C4" w14:textId="367BCC43" w:rsidR="00783D69" w:rsidRPr="00776F2F" w:rsidRDefault="00783D69" w:rsidP="00783D69">
            <w:pPr>
              <w:spacing w:line="288" w:lineRule="auto"/>
              <w:jc w:val="both"/>
              <w:rPr>
                <w:rFonts w:cs="Arial"/>
                <w:b/>
                <w:sz w:val="14"/>
                <w:szCs w:val="20"/>
              </w:rPr>
            </w:pPr>
          </w:p>
        </w:tc>
      </w:tr>
      <w:tr w:rsidR="00783D69" w:rsidRPr="00783D69" w14:paraId="763B8BCB" w14:textId="77777777" w:rsidTr="00783D69">
        <w:tc>
          <w:tcPr>
            <w:tcW w:w="1615" w:type="dxa"/>
            <w:tcBorders>
              <w:bottom w:val="single" w:sz="4" w:space="0" w:color="auto"/>
            </w:tcBorders>
          </w:tcPr>
          <w:p w14:paraId="1C8E0612" w14:textId="145AAE71" w:rsidR="00783D69" w:rsidRPr="00783D69" w:rsidRDefault="00783D69" w:rsidP="00783D69">
            <w:pPr>
              <w:widowControl w:val="0"/>
              <w:spacing w:line="288" w:lineRule="auto"/>
              <w:jc w:val="both"/>
              <w:rPr>
                <w:rFonts w:cs="Arial"/>
                <w:b/>
                <w:sz w:val="20"/>
                <w:szCs w:val="20"/>
              </w:rPr>
            </w:pPr>
            <w:r w:rsidRPr="00783D69">
              <w:rPr>
                <w:rFonts w:cs="Arial"/>
                <w:b/>
                <w:sz w:val="20"/>
                <w:szCs w:val="20"/>
              </w:rPr>
              <w:t>Material</w:t>
            </w:r>
          </w:p>
        </w:tc>
        <w:tc>
          <w:tcPr>
            <w:tcW w:w="3867" w:type="dxa"/>
            <w:tcBorders>
              <w:bottom w:val="single" w:sz="4" w:space="0" w:color="auto"/>
            </w:tcBorders>
          </w:tcPr>
          <w:p w14:paraId="0F8B942B" w14:textId="75E2D155" w:rsidR="00783D69" w:rsidRPr="00783D69" w:rsidRDefault="00783D69" w:rsidP="00783D69">
            <w:pPr>
              <w:widowControl w:val="0"/>
              <w:spacing w:line="288" w:lineRule="auto"/>
              <w:jc w:val="both"/>
              <w:rPr>
                <w:rFonts w:cs="Arial"/>
                <w:b/>
                <w:sz w:val="20"/>
                <w:szCs w:val="20"/>
              </w:rPr>
            </w:pPr>
            <w:r w:rsidRPr="00783D69">
              <w:rPr>
                <w:rFonts w:cs="Arial"/>
                <w:b/>
                <w:sz w:val="20"/>
                <w:szCs w:val="20"/>
              </w:rPr>
              <w:t>Name</w:t>
            </w:r>
          </w:p>
        </w:tc>
        <w:tc>
          <w:tcPr>
            <w:tcW w:w="3868" w:type="dxa"/>
            <w:tcBorders>
              <w:bottom w:val="single" w:sz="4" w:space="0" w:color="auto"/>
            </w:tcBorders>
          </w:tcPr>
          <w:p w14:paraId="78BFEEDD" w14:textId="19859122" w:rsidR="00783D69" w:rsidRPr="00783D69" w:rsidRDefault="00783D69" w:rsidP="00783D69">
            <w:pPr>
              <w:widowControl w:val="0"/>
              <w:spacing w:line="288" w:lineRule="auto"/>
              <w:jc w:val="both"/>
              <w:rPr>
                <w:rFonts w:cs="Arial"/>
                <w:b/>
                <w:sz w:val="20"/>
                <w:szCs w:val="20"/>
              </w:rPr>
            </w:pPr>
            <w:r w:rsidRPr="00783D69">
              <w:rPr>
                <w:rFonts w:cs="Arial"/>
                <w:b/>
                <w:sz w:val="20"/>
                <w:szCs w:val="20"/>
              </w:rPr>
              <w:t>Description</w:t>
            </w:r>
          </w:p>
        </w:tc>
      </w:tr>
      <w:tr w:rsidR="00783D69" w:rsidRPr="00783D69" w14:paraId="4390C4DD" w14:textId="77777777" w:rsidTr="00783D69">
        <w:tc>
          <w:tcPr>
            <w:tcW w:w="1615" w:type="dxa"/>
          </w:tcPr>
          <w:p w14:paraId="7BBEDA2B" w14:textId="77777777" w:rsidR="00783D69" w:rsidRPr="00783D69" w:rsidRDefault="00783D69" w:rsidP="00964E02">
            <w:pPr>
              <w:spacing w:before="40" w:after="40"/>
              <w:jc w:val="both"/>
              <w:rPr>
                <w:rFonts w:cs="Arial"/>
                <w:sz w:val="20"/>
                <w:szCs w:val="20"/>
              </w:rPr>
            </w:pPr>
            <w:r w:rsidRPr="00783D69">
              <w:rPr>
                <w:rFonts w:cs="Arial"/>
                <w:sz w:val="20"/>
                <w:szCs w:val="20"/>
              </w:rPr>
              <w:t>Data</w:t>
            </w:r>
          </w:p>
        </w:tc>
        <w:tc>
          <w:tcPr>
            <w:tcW w:w="3867" w:type="dxa"/>
          </w:tcPr>
          <w:p w14:paraId="63C49A02" w14:textId="77777777" w:rsidR="00783D69" w:rsidRPr="00783D69" w:rsidRDefault="00783D69" w:rsidP="00964E02">
            <w:pPr>
              <w:widowControl w:val="0"/>
              <w:spacing w:before="40" w:after="40"/>
              <w:rPr>
                <w:rFonts w:cs="Arial"/>
                <w:sz w:val="20"/>
                <w:szCs w:val="20"/>
              </w:rPr>
            </w:pPr>
            <w:r w:rsidRPr="00783D69">
              <w:rPr>
                <w:rFonts w:cs="Arial"/>
                <w:sz w:val="20"/>
                <w:szCs w:val="20"/>
              </w:rPr>
              <w:t>Raw Data (423 files)</w:t>
            </w:r>
          </w:p>
        </w:tc>
        <w:tc>
          <w:tcPr>
            <w:tcW w:w="3868" w:type="dxa"/>
          </w:tcPr>
          <w:p w14:paraId="08551845" w14:textId="743DED4F" w:rsidR="00783D69" w:rsidRPr="00783D69" w:rsidRDefault="00414A46" w:rsidP="00964E02">
            <w:pPr>
              <w:widowControl w:val="0"/>
              <w:spacing w:before="40" w:after="40"/>
              <w:jc w:val="both"/>
              <w:rPr>
                <w:rFonts w:cs="Arial"/>
                <w:sz w:val="20"/>
                <w:szCs w:val="20"/>
              </w:rPr>
            </w:pPr>
            <w:r>
              <w:rPr>
                <w:rFonts w:cs="Arial"/>
                <w:sz w:val="20"/>
                <w:szCs w:val="20"/>
              </w:rPr>
              <w:t>Loan-level</w:t>
            </w:r>
            <w:r w:rsidR="00783D69" w:rsidRPr="00783D69">
              <w:rPr>
                <w:rFonts w:cs="Arial"/>
                <w:sz w:val="20"/>
                <w:szCs w:val="20"/>
              </w:rPr>
              <w:t xml:space="preserve"> data from each mortgage insurance company that included information on mortgage performance and origination characteristics</w:t>
            </w:r>
            <w:r w:rsidR="00776F2F">
              <w:rPr>
                <w:rFonts w:cs="Arial"/>
                <w:sz w:val="20"/>
                <w:szCs w:val="20"/>
              </w:rPr>
              <w:t>.</w:t>
            </w:r>
          </w:p>
        </w:tc>
      </w:tr>
      <w:tr w:rsidR="00783D69" w:rsidRPr="00783D69" w14:paraId="742323B0" w14:textId="77777777" w:rsidTr="00783D69">
        <w:tc>
          <w:tcPr>
            <w:tcW w:w="1615" w:type="dxa"/>
            <w:shd w:val="clear" w:color="auto" w:fill="D9D9D9" w:themeFill="background1" w:themeFillShade="D9"/>
          </w:tcPr>
          <w:p w14:paraId="23DD3C29" w14:textId="77777777" w:rsidR="00783D69" w:rsidRPr="00783D69" w:rsidRDefault="00783D69" w:rsidP="00964E02">
            <w:pPr>
              <w:spacing w:before="40" w:after="40"/>
              <w:jc w:val="both"/>
              <w:rPr>
                <w:rFonts w:cs="Arial"/>
                <w:sz w:val="20"/>
                <w:szCs w:val="20"/>
              </w:rPr>
            </w:pPr>
            <w:r w:rsidRPr="00783D69">
              <w:rPr>
                <w:rFonts w:cs="Arial"/>
                <w:sz w:val="20"/>
                <w:szCs w:val="20"/>
              </w:rPr>
              <w:t>Data</w:t>
            </w:r>
          </w:p>
        </w:tc>
        <w:tc>
          <w:tcPr>
            <w:tcW w:w="3867" w:type="dxa"/>
            <w:shd w:val="clear" w:color="auto" w:fill="D9D9D9" w:themeFill="background1" w:themeFillShade="D9"/>
          </w:tcPr>
          <w:p w14:paraId="7959BD9E" w14:textId="77777777" w:rsidR="00783D69" w:rsidRPr="00783D69" w:rsidRDefault="00783D69" w:rsidP="00964E02">
            <w:pPr>
              <w:widowControl w:val="0"/>
              <w:spacing w:before="40" w:after="40"/>
              <w:rPr>
                <w:rFonts w:cs="Arial"/>
                <w:sz w:val="20"/>
                <w:szCs w:val="20"/>
              </w:rPr>
            </w:pPr>
            <w:r w:rsidRPr="00783D69">
              <w:rPr>
                <w:rFonts w:cs="Arial"/>
                <w:sz w:val="20"/>
                <w:szCs w:val="20"/>
              </w:rPr>
              <w:t>Processed Data (3 files)</w:t>
            </w:r>
          </w:p>
        </w:tc>
        <w:tc>
          <w:tcPr>
            <w:tcW w:w="3868" w:type="dxa"/>
            <w:shd w:val="clear" w:color="auto" w:fill="D9D9D9" w:themeFill="background1" w:themeFillShade="D9"/>
          </w:tcPr>
          <w:p w14:paraId="02CC569B" w14:textId="06C5F3A7" w:rsidR="00783D69" w:rsidRPr="00783D69" w:rsidRDefault="00414A46" w:rsidP="00964E02">
            <w:pPr>
              <w:widowControl w:val="0"/>
              <w:spacing w:before="40" w:after="40"/>
              <w:jc w:val="both"/>
              <w:rPr>
                <w:rFonts w:cs="Arial"/>
                <w:sz w:val="20"/>
                <w:szCs w:val="20"/>
              </w:rPr>
            </w:pPr>
            <w:r>
              <w:rPr>
                <w:rFonts w:cs="Arial"/>
                <w:sz w:val="20"/>
                <w:szCs w:val="20"/>
              </w:rPr>
              <w:t>Loan-level</w:t>
            </w:r>
            <w:r w:rsidR="00783D69" w:rsidRPr="00783D69">
              <w:rPr>
                <w:rFonts w:cs="Arial"/>
                <w:sz w:val="20"/>
                <w:szCs w:val="20"/>
              </w:rPr>
              <w:t xml:space="preserve"> data after individual company data has been normalized and stacked into performance histories</w:t>
            </w:r>
            <w:r w:rsidR="00776F2F">
              <w:rPr>
                <w:rFonts w:cs="Arial"/>
                <w:sz w:val="20"/>
                <w:szCs w:val="20"/>
              </w:rPr>
              <w:t>.</w:t>
            </w:r>
          </w:p>
        </w:tc>
      </w:tr>
      <w:tr w:rsidR="00783D69" w:rsidRPr="00783D69" w14:paraId="17BE0DE0" w14:textId="77777777" w:rsidTr="00783D69">
        <w:tc>
          <w:tcPr>
            <w:tcW w:w="1615" w:type="dxa"/>
          </w:tcPr>
          <w:p w14:paraId="3F711312" w14:textId="77777777" w:rsidR="00783D69" w:rsidRPr="00783D69" w:rsidRDefault="00783D69" w:rsidP="00964E02">
            <w:pPr>
              <w:spacing w:before="40" w:after="40"/>
              <w:jc w:val="both"/>
              <w:rPr>
                <w:rFonts w:cs="Arial"/>
                <w:sz w:val="20"/>
                <w:szCs w:val="20"/>
              </w:rPr>
            </w:pPr>
            <w:r w:rsidRPr="00783D69">
              <w:rPr>
                <w:rFonts w:cs="Arial"/>
                <w:sz w:val="20"/>
                <w:szCs w:val="20"/>
              </w:rPr>
              <w:t>Data</w:t>
            </w:r>
          </w:p>
        </w:tc>
        <w:tc>
          <w:tcPr>
            <w:tcW w:w="3867" w:type="dxa"/>
          </w:tcPr>
          <w:p w14:paraId="6FF567D6" w14:textId="77777777" w:rsidR="00783D69" w:rsidRPr="00783D69" w:rsidRDefault="00783D69" w:rsidP="00964E02">
            <w:pPr>
              <w:widowControl w:val="0"/>
              <w:spacing w:before="40" w:after="40"/>
              <w:rPr>
                <w:rFonts w:cs="Arial"/>
                <w:sz w:val="20"/>
                <w:szCs w:val="20"/>
              </w:rPr>
            </w:pPr>
            <w:r w:rsidRPr="00783D69">
              <w:rPr>
                <w:rFonts w:cs="Arial"/>
                <w:sz w:val="20"/>
                <w:szCs w:val="20"/>
              </w:rPr>
              <w:t>Loan-level spec third revision.xlsx</w:t>
            </w:r>
          </w:p>
        </w:tc>
        <w:tc>
          <w:tcPr>
            <w:tcW w:w="3868" w:type="dxa"/>
          </w:tcPr>
          <w:p w14:paraId="349D75D4" w14:textId="3E0A7724" w:rsidR="00783D69" w:rsidRPr="00783D69" w:rsidRDefault="00783D69" w:rsidP="00964E02">
            <w:pPr>
              <w:widowControl w:val="0"/>
              <w:spacing w:before="40" w:after="40"/>
              <w:jc w:val="both"/>
              <w:rPr>
                <w:rFonts w:cs="Arial"/>
                <w:sz w:val="20"/>
                <w:szCs w:val="20"/>
              </w:rPr>
            </w:pPr>
            <w:r w:rsidRPr="00783D69">
              <w:rPr>
                <w:rFonts w:cs="Arial"/>
                <w:sz w:val="20"/>
                <w:szCs w:val="20"/>
              </w:rPr>
              <w:t>Data request form provided to individual MI’s in how to aggregate and report data</w:t>
            </w:r>
            <w:r w:rsidR="00776F2F">
              <w:rPr>
                <w:rFonts w:cs="Arial"/>
                <w:sz w:val="20"/>
                <w:szCs w:val="20"/>
              </w:rPr>
              <w:t>.</w:t>
            </w:r>
          </w:p>
        </w:tc>
      </w:tr>
    </w:tbl>
    <w:p w14:paraId="75F558F1" w14:textId="77777777" w:rsidR="00783D69" w:rsidRDefault="00783D69">
      <w:pPr>
        <w:rPr>
          <w:color w:val="0081E3" w:themeColor="accent4"/>
          <w:sz w:val="20"/>
          <w:szCs w:val="20"/>
        </w:rPr>
      </w:pPr>
    </w:p>
    <w:p w14:paraId="49070679" w14:textId="53B8B81A" w:rsidR="00511D3E" w:rsidRDefault="00511D3E" w:rsidP="00511D3E">
      <w:pPr>
        <w:rPr>
          <w:rFonts w:cs="Arial"/>
          <w:b/>
          <w:sz w:val="20"/>
          <w:szCs w:val="20"/>
        </w:rPr>
      </w:pPr>
      <w:r w:rsidRPr="00C53631">
        <w:rPr>
          <w:rFonts w:cs="Arial"/>
          <w:b/>
          <w:sz w:val="20"/>
          <w:szCs w:val="20"/>
        </w:rPr>
        <w:t>C.</w:t>
      </w:r>
      <w:r>
        <w:rPr>
          <w:rFonts w:cs="Arial"/>
          <w:b/>
          <w:sz w:val="20"/>
          <w:szCs w:val="20"/>
        </w:rPr>
        <w:t>1</w:t>
      </w:r>
      <w:r w:rsidRPr="00C53631">
        <w:rPr>
          <w:rFonts w:cs="Arial"/>
          <w:b/>
          <w:sz w:val="20"/>
          <w:szCs w:val="20"/>
        </w:rPr>
        <w:t xml:space="preserve"> </w:t>
      </w:r>
      <w:r>
        <w:rPr>
          <w:rFonts w:cs="Arial"/>
          <w:b/>
          <w:sz w:val="20"/>
          <w:szCs w:val="20"/>
        </w:rPr>
        <w:t>Description of the Data</w:t>
      </w:r>
    </w:p>
    <w:p w14:paraId="181A1D03" w14:textId="0027C49E" w:rsidR="00B01E0D" w:rsidRDefault="00B01E0D" w:rsidP="00B01E0D">
      <w:pPr>
        <w:spacing w:after="120" w:line="288" w:lineRule="auto"/>
        <w:jc w:val="both"/>
        <w:rPr>
          <w:sz w:val="20"/>
          <w:szCs w:val="20"/>
        </w:rPr>
      </w:pPr>
      <w:r>
        <w:rPr>
          <w:sz w:val="20"/>
          <w:szCs w:val="20"/>
        </w:rPr>
        <w:t xml:space="preserve">The data provided to Milliman </w:t>
      </w:r>
      <w:r w:rsidR="00FD18E0">
        <w:rPr>
          <w:sz w:val="20"/>
          <w:szCs w:val="20"/>
        </w:rPr>
        <w:t xml:space="preserve">contained both raw data from multiple </w:t>
      </w:r>
      <w:r>
        <w:rPr>
          <w:sz w:val="20"/>
          <w:szCs w:val="20"/>
        </w:rPr>
        <w:t>MI companies</w:t>
      </w:r>
      <w:r w:rsidR="00FD18E0">
        <w:rPr>
          <w:sz w:val="20"/>
          <w:szCs w:val="20"/>
        </w:rPr>
        <w:t xml:space="preserve"> as well as a processed dataset which normalized the data between the MI companies and stacked the data together in a usable dataset for modeling. Milliman reviewed both the raw data files and processed data files to ensure they could be used for building the capital model. This section describes the data and processes used by Milliman to validate the data.</w:t>
      </w:r>
    </w:p>
    <w:p w14:paraId="10AE8358" w14:textId="65A18400" w:rsidR="00B84725" w:rsidRPr="00B01E0D" w:rsidRDefault="00B84725" w:rsidP="00B01E0D">
      <w:pPr>
        <w:spacing w:after="120" w:line="288" w:lineRule="auto"/>
        <w:jc w:val="both"/>
        <w:rPr>
          <w:sz w:val="20"/>
          <w:szCs w:val="20"/>
        </w:rPr>
      </w:pPr>
      <w:r>
        <w:rPr>
          <w:sz w:val="20"/>
          <w:szCs w:val="20"/>
        </w:rPr>
        <w:t>The companies that provided data for this analysis are: MGIC, Radian, UGC, Genworth, PMI, and CMG.</w:t>
      </w:r>
      <w:r w:rsidR="005276DB">
        <w:rPr>
          <w:sz w:val="20"/>
          <w:szCs w:val="20"/>
        </w:rPr>
        <w:t xml:space="preserve"> The data includes original mortgage underwriting features and annual performance data for the period 1996 through 2013. Some MI companies provided additional data beyond this performance period; the data used in our analysis is limited to originations between 1996 and 2013 and their associated performance.</w:t>
      </w:r>
    </w:p>
    <w:p w14:paraId="60F04919" w14:textId="296C5BD4" w:rsidR="00B01E0D" w:rsidRPr="00316E79" w:rsidRDefault="00BE7439" w:rsidP="00B01E0D">
      <w:pPr>
        <w:spacing w:after="120" w:line="288" w:lineRule="auto"/>
        <w:jc w:val="both"/>
        <w:rPr>
          <w:b/>
          <w:i/>
          <w:sz w:val="20"/>
          <w:szCs w:val="20"/>
        </w:rPr>
      </w:pPr>
      <w:r>
        <w:rPr>
          <w:b/>
          <w:i/>
          <w:sz w:val="20"/>
          <w:szCs w:val="20"/>
        </w:rPr>
        <w:t>Compare Loan-level Data to Statutory Filings</w:t>
      </w:r>
    </w:p>
    <w:p w14:paraId="7D31251C" w14:textId="3E59149F" w:rsidR="00B01E0D" w:rsidRPr="00316E79" w:rsidRDefault="00B01E0D" w:rsidP="00B01E0D">
      <w:pPr>
        <w:spacing w:after="120" w:line="288" w:lineRule="auto"/>
        <w:jc w:val="both"/>
        <w:rPr>
          <w:rFonts w:cs="Arial"/>
          <w:sz w:val="20"/>
          <w:szCs w:val="20"/>
        </w:rPr>
      </w:pPr>
      <w:r w:rsidRPr="00316E79">
        <w:rPr>
          <w:rFonts w:cs="Arial"/>
          <w:sz w:val="20"/>
          <w:szCs w:val="20"/>
        </w:rPr>
        <w:t>To ensure that the data</w:t>
      </w:r>
      <w:r>
        <w:rPr>
          <w:rFonts w:cs="Arial"/>
          <w:sz w:val="20"/>
          <w:szCs w:val="20"/>
        </w:rPr>
        <w:t xml:space="preserve"> </w:t>
      </w:r>
      <w:r w:rsidRPr="00316E79">
        <w:rPr>
          <w:rFonts w:cs="Arial"/>
          <w:sz w:val="20"/>
          <w:szCs w:val="20"/>
        </w:rPr>
        <w:t xml:space="preserve">used to develop the models is consistent with historical MI origination volume, Milliman compared the data used in the modelling process to each MI’s 2013 year-end statutory data. </w:t>
      </w:r>
      <w:r>
        <w:rPr>
          <w:rFonts w:cs="Arial"/>
          <w:sz w:val="20"/>
          <w:szCs w:val="20"/>
        </w:rPr>
        <w:t xml:space="preserve"> The data used to develop this model was provided as of year-end 2013.  </w:t>
      </w:r>
      <w:r w:rsidRPr="00316E79">
        <w:rPr>
          <w:rFonts w:cs="Arial"/>
          <w:sz w:val="20"/>
          <w:szCs w:val="20"/>
        </w:rPr>
        <w:t>Insurance in-force (</w:t>
      </w:r>
      <w:r>
        <w:rPr>
          <w:rFonts w:cs="Arial"/>
          <w:sz w:val="20"/>
          <w:szCs w:val="20"/>
        </w:rPr>
        <w:t>“</w:t>
      </w:r>
      <w:r w:rsidRPr="00316E79">
        <w:rPr>
          <w:rFonts w:cs="Arial"/>
          <w:sz w:val="20"/>
          <w:szCs w:val="20"/>
        </w:rPr>
        <w:t>IIF</w:t>
      </w:r>
      <w:r>
        <w:rPr>
          <w:rFonts w:cs="Arial"/>
          <w:sz w:val="20"/>
          <w:szCs w:val="20"/>
        </w:rPr>
        <w:t>”</w:t>
      </w:r>
      <w:r w:rsidRPr="00316E79">
        <w:rPr>
          <w:rFonts w:cs="Arial"/>
          <w:sz w:val="20"/>
          <w:szCs w:val="20"/>
        </w:rPr>
        <w:t>) and risk in-force (</w:t>
      </w:r>
      <w:r>
        <w:rPr>
          <w:rFonts w:cs="Arial"/>
          <w:sz w:val="20"/>
          <w:szCs w:val="20"/>
        </w:rPr>
        <w:t>“</w:t>
      </w:r>
      <w:r w:rsidRPr="00316E79">
        <w:rPr>
          <w:rFonts w:cs="Arial"/>
          <w:sz w:val="20"/>
          <w:szCs w:val="20"/>
        </w:rPr>
        <w:t>RIF</w:t>
      </w:r>
      <w:r>
        <w:rPr>
          <w:rFonts w:cs="Arial"/>
          <w:sz w:val="20"/>
          <w:szCs w:val="20"/>
        </w:rPr>
        <w:t>”</w:t>
      </w:r>
      <w:r w:rsidRPr="00316E79">
        <w:rPr>
          <w:rFonts w:cs="Arial"/>
          <w:sz w:val="20"/>
          <w:szCs w:val="20"/>
        </w:rPr>
        <w:t>) were calculated from the raw data (</w:t>
      </w:r>
      <w:r>
        <w:rPr>
          <w:rFonts w:cs="Arial"/>
          <w:sz w:val="20"/>
          <w:szCs w:val="20"/>
        </w:rPr>
        <w:t>i.e.,</w:t>
      </w:r>
      <w:r w:rsidRPr="00316E79">
        <w:rPr>
          <w:rFonts w:cs="Arial"/>
          <w:sz w:val="20"/>
          <w:szCs w:val="20"/>
        </w:rPr>
        <w:t xml:space="preserve"> data provided by the individual mortgage insurance companies) and processed modeling data for comparison.</w:t>
      </w:r>
      <w:r>
        <w:rPr>
          <w:rFonts w:cs="Arial"/>
          <w:sz w:val="20"/>
          <w:szCs w:val="20"/>
        </w:rPr>
        <w:t xml:space="preserve"> </w:t>
      </w:r>
      <w:r w:rsidRPr="00316E79">
        <w:rPr>
          <w:rFonts w:cs="Arial"/>
          <w:sz w:val="20"/>
          <w:szCs w:val="20"/>
        </w:rPr>
        <w:t xml:space="preserve"> </w:t>
      </w:r>
      <w:r>
        <w:rPr>
          <w:rFonts w:cs="Arial"/>
          <w:sz w:val="20"/>
          <w:szCs w:val="20"/>
        </w:rPr>
        <w:t>E</w:t>
      </w:r>
      <w:r w:rsidR="00BE7439">
        <w:rPr>
          <w:rFonts w:cs="Arial"/>
          <w:sz w:val="20"/>
          <w:szCs w:val="20"/>
        </w:rPr>
        <w:t>xhibit C</w:t>
      </w:r>
      <w:r>
        <w:rPr>
          <w:rFonts w:cs="Arial"/>
          <w:sz w:val="20"/>
          <w:szCs w:val="20"/>
        </w:rPr>
        <w:t>.</w:t>
      </w:r>
      <w:r w:rsidR="00BE7439">
        <w:rPr>
          <w:rFonts w:cs="Arial"/>
          <w:sz w:val="20"/>
          <w:szCs w:val="20"/>
        </w:rPr>
        <w:t>1.1</w:t>
      </w:r>
      <w:r w:rsidRPr="00316E79">
        <w:rPr>
          <w:rFonts w:cs="Arial"/>
          <w:sz w:val="20"/>
          <w:szCs w:val="20"/>
        </w:rPr>
        <w:t xml:space="preserve"> provides a summary of this comparison.</w:t>
      </w:r>
      <w:r>
        <w:rPr>
          <w:rFonts w:cs="Arial"/>
          <w:sz w:val="20"/>
          <w:szCs w:val="20"/>
        </w:rPr>
        <w:t xml:space="preserve"> </w:t>
      </w:r>
      <w:r w:rsidRPr="00316E79">
        <w:rPr>
          <w:rFonts w:cs="Arial"/>
          <w:sz w:val="20"/>
          <w:szCs w:val="20"/>
        </w:rPr>
        <w:t xml:space="preserve"> The exhibit shows insurance and risk in force by policy year as taken from statutory filings (green bars), processed data for estimating the models (yellow bars), and source files from the individual mortgage insurance companies (blue bars). </w:t>
      </w:r>
      <w:r>
        <w:rPr>
          <w:rFonts w:cs="Arial"/>
          <w:sz w:val="20"/>
          <w:szCs w:val="20"/>
        </w:rPr>
        <w:t xml:space="preserve"> </w:t>
      </w:r>
      <w:r w:rsidRPr="00316E79">
        <w:rPr>
          <w:rFonts w:cs="Arial"/>
          <w:sz w:val="20"/>
          <w:szCs w:val="20"/>
        </w:rPr>
        <w:t xml:space="preserve">From the exhibit, the data provided by the mortgage insurance companies is consistent with statutory filings, indicating the loan-level data is </w:t>
      </w:r>
      <w:r w:rsidR="00F55353">
        <w:rPr>
          <w:rFonts w:cs="Arial"/>
          <w:sz w:val="20"/>
          <w:szCs w:val="20"/>
        </w:rPr>
        <w:t xml:space="preserve">representative of historical MI </w:t>
      </w:r>
      <w:r w:rsidRPr="00316E79">
        <w:rPr>
          <w:rFonts w:cs="Arial"/>
          <w:sz w:val="20"/>
          <w:szCs w:val="20"/>
        </w:rPr>
        <w:t>volume.</w:t>
      </w:r>
    </w:p>
    <w:p w14:paraId="6169ABFD" w14:textId="77777777" w:rsidR="00B01E0D" w:rsidRPr="00316E79" w:rsidRDefault="00B01E0D" w:rsidP="00B01E0D">
      <w:pPr>
        <w:spacing w:after="120" w:line="288" w:lineRule="auto"/>
        <w:jc w:val="both"/>
        <w:rPr>
          <w:rFonts w:cs="Arial"/>
          <w:sz w:val="20"/>
          <w:szCs w:val="20"/>
        </w:rPr>
      </w:pPr>
      <w:r w:rsidRPr="00316E79">
        <w:rPr>
          <w:rFonts w:cs="Arial"/>
          <w:sz w:val="20"/>
          <w:szCs w:val="20"/>
        </w:rPr>
        <w:t xml:space="preserve">In the exhibit insurance in force is calculated as the total current UPB </w:t>
      </w:r>
      <w:r>
        <w:rPr>
          <w:rFonts w:cs="Arial"/>
          <w:sz w:val="20"/>
          <w:szCs w:val="20"/>
        </w:rPr>
        <w:t xml:space="preserve">(“Unpaid Principal Balance”) </w:t>
      </w:r>
      <w:r w:rsidRPr="00316E79">
        <w:rPr>
          <w:rFonts w:cs="Arial"/>
          <w:sz w:val="20"/>
          <w:szCs w:val="20"/>
        </w:rPr>
        <w:t>for in-force loans as of report year end 2013.</w:t>
      </w:r>
      <w:r>
        <w:rPr>
          <w:rFonts w:cs="Arial"/>
          <w:sz w:val="20"/>
          <w:szCs w:val="20"/>
        </w:rPr>
        <w:t xml:space="preserve">  Risk in force</w:t>
      </w:r>
      <w:r w:rsidRPr="00316E79">
        <w:rPr>
          <w:rFonts w:cs="Arial"/>
          <w:sz w:val="20"/>
          <w:szCs w:val="20"/>
        </w:rPr>
        <w:t xml:space="preserve"> is calculated as the total current UPB for in-force loans </w:t>
      </w:r>
      <w:r w:rsidRPr="00316E79">
        <w:rPr>
          <w:rFonts w:cs="Arial"/>
          <w:sz w:val="20"/>
          <w:szCs w:val="20"/>
        </w:rPr>
        <w:lastRenderedPageBreak/>
        <w:t>as of report year end 2013, multiplied by the MI coverage.</w:t>
      </w:r>
      <w:r>
        <w:rPr>
          <w:rFonts w:cs="Arial"/>
          <w:sz w:val="20"/>
          <w:szCs w:val="20"/>
        </w:rPr>
        <w:t xml:space="preserve"> </w:t>
      </w:r>
      <w:r w:rsidRPr="00316E79">
        <w:rPr>
          <w:rFonts w:cs="Arial"/>
          <w:sz w:val="20"/>
          <w:szCs w:val="20"/>
        </w:rPr>
        <w:t xml:space="preserve"> Only primary loans (defined as non-pool loans) were included in these calculations to maintain consistency with the statutory data.</w:t>
      </w:r>
    </w:p>
    <w:p w14:paraId="2DF7FCD3" w14:textId="77777777" w:rsidR="00B01E0D" w:rsidRPr="00316E79" w:rsidRDefault="00B01E0D" w:rsidP="00B01E0D">
      <w:pPr>
        <w:spacing w:after="120" w:line="288" w:lineRule="auto"/>
        <w:jc w:val="both"/>
        <w:rPr>
          <w:rFonts w:cs="Arial"/>
          <w:sz w:val="20"/>
        </w:rPr>
      </w:pPr>
      <w:r w:rsidRPr="00316E79">
        <w:rPr>
          <w:rFonts w:cs="Arial"/>
          <w:sz w:val="20"/>
        </w:rPr>
        <w:t xml:space="preserve">“Loan-Level Raw” refers to the raw data that was provided by the MI companies. </w:t>
      </w:r>
      <w:r>
        <w:rPr>
          <w:rFonts w:cs="Arial"/>
          <w:sz w:val="20"/>
        </w:rPr>
        <w:t xml:space="preserve"> </w:t>
      </w:r>
      <w:r w:rsidRPr="00316E79">
        <w:rPr>
          <w:rFonts w:cs="Arial"/>
          <w:sz w:val="20"/>
        </w:rPr>
        <w:t xml:space="preserve">Milliman performed simple data manipulations to maintain standardization throughout the datasets. </w:t>
      </w:r>
      <w:r>
        <w:rPr>
          <w:rFonts w:cs="Arial"/>
          <w:sz w:val="20"/>
        </w:rPr>
        <w:t xml:space="preserve"> </w:t>
      </w:r>
      <w:r w:rsidRPr="00316E79">
        <w:rPr>
          <w:rFonts w:cs="Arial"/>
          <w:sz w:val="20"/>
        </w:rPr>
        <w:t xml:space="preserve">Loans from all origination years were included. </w:t>
      </w:r>
      <w:r>
        <w:rPr>
          <w:rFonts w:cs="Arial"/>
          <w:sz w:val="20"/>
        </w:rPr>
        <w:t xml:space="preserve"> </w:t>
      </w:r>
      <w:r w:rsidRPr="00316E79">
        <w:rPr>
          <w:rFonts w:cs="Arial"/>
          <w:sz w:val="20"/>
        </w:rPr>
        <w:t xml:space="preserve">Observations with errors (such as blank certificate ID numbers) or duplicate loans were excluded from the analysis. </w:t>
      </w:r>
    </w:p>
    <w:p w14:paraId="1DAB046B" w14:textId="77777777" w:rsidR="00B01E0D" w:rsidRPr="00316E79" w:rsidRDefault="00B01E0D" w:rsidP="00B01E0D">
      <w:pPr>
        <w:spacing w:after="120" w:line="288" w:lineRule="auto"/>
        <w:jc w:val="both"/>
        <w:rPr>
          <w:rFonts w:cs="Arial"/>
          <w:sz w:val="20"/>
        </w:rPr>
      </w:pPr>
      <w:r w:rsidRPr="00316E79">
        <w:rPr>
          <w:rFonts w:cs="Arial"/>
          <w:sz w:val="20"/>
        </w:rPr>
        <w:t xml:space="preserve">“Loan-Level Full Dynamic” refers to the data that is used to estimate model coefficients after data processing has occurred. </w:t>
      </w:r>
      <w:r>
        <w:rPr>
          <w:rFonts w:cs="Arial"/>
          <w:sz w:val="20"/>
        </w:rPr>
        <w:t xml:space="preserve"> </w:t>
      </w:r>
      <w:r w:rsidRPr="00316E79">
        <w:rPr>
          <w:rFonts w:cs="Arial"/>
          <w:sz w:val="20"/>
        </w:rPr>
        <w:t>Data was removed in this process, which could affect the volume calculations.</w:t>
      </w:r>
      <w:r>
        <w:rPr>
          <w:rFonts w:cs="Arial"/>
          <w:sz w:val="20"/>
        </w:rPr>
        <w:t xml:space="preserve"> </w:t>
      </w:r>
      <w:r w:rsidRPr="00316E79">
        <w:rPr>
          <w:rFonts w:cs="Arial"/>
          <w:sz w:val="20"/>
        </w:rPr>
        <w:t xml:space="preserve"> Specifically, loans with origination year prior to 1975 and performance data from quarters 1, 2 or 3 were removed in this data processing. </w:t>
      </w:r>
      <w:r>
        <w:rPr>
          <w:rFonts w:cs="Arial"/>
          <w:sz w:val="20"/>
        </w:rPr>
        <w:t xml:space="preserve"> </w:t>
      </w:r>
      <w:r w:rsidRPr="00316E79">
        <w:rPr>
          <w:rFonts w:cs="Arial"/>
          <w:sz w:val="20"/>
        </w:rPr>
        <w:t>The analysis was performed on both the raw data and processed data to verify that both the data provided and the final dataset used were representative of the MI’s business.</w:t>
      </w:r>
    </w:p>
    <w:p w14:paraId="44D54793" w14:textId="45124300" w:rsidR="00B01E0D" w:rsidRDefault="00B01E0D" w:rsidP="00B01E0D">
      <w:pPr>
        <w:spacing w:after="120" w:line="288" w:lineRule="auto"/>
        <w:jc w:val="both"/>
        <w:rPr>
          <w:sz w:val="20"/>
        </w:rPr>
      </w:pPr>
      <w:r w:rsidRPr="00316E79">
        <w:rPr>
          <w:sz w:val="20"/>
        </w:rPr>
        <w:t xml:space="preserve">In addition to reviewing the data in aggregate, Milliman reviewed the data comparisons for each mortgage insurer. </w:t>
      </w:r>
      <w:r>
        <w:rPr>
          <w:sz w:val="20"/>
        </w:rPr>
        <w:t xml:space="preserve"> </w:t>
      </w:r>
      <w:r w:rsidRPr="00316E79">
        <w:rPr>
          <w:sz w:val="20"/>
        </w:rPr>
        <w:t xml:space="preserve">The individual MI companies are not shown in order to maintain anonymity on the individual mortgage insurance company data.  </w:t>
      </w:r>
    </w:p>
    <w:p w14:paraId="4527AFEA" w14:textId="77777777" w:rsidR="00B01E0D" w:rsidRDefault="00B01E0D" w:rsidP="00B01E0D">
      <w:pPr>
        <w:spacing w:after="120" w:line="288" w:lineRule="auto"/>
        <w:jc w:val="both"/>
        <w:rPr>
          <w:sz w:val="20"/>
        </w:rPr>
      </w:pPr>
    </w:p>
    <w:p w14:paraId="1E9471DC" w14:textId="77777777" w:rsidR="00B01E0D" w:rsidRPr="00316E79" w:rsidRDefault="00B01E0D" w:rsidP="00B01E0D">
      <w:pPr>
        <w:spacing w:after="120" w:line="288" w:lineRule="auto"/>
        <w:jc w:val="both"/>
        <w:rPr>
          <w:b/>
          <w:i/>
          <w:sz w:val="20"/>
        </w:rPr>
      </w:pPr>
      <w:r w:rsidRPr="00316E79">
        <w:rPr>
          <w:b/>
          <w:i/>
          <w:sz w:val="20"/>
        </w:rPr>
        <w:t>Compare MI Data to Industry Data</w:t>
      </w:r>
    </w:p>
    <w:p w14:paraId="3FE0D432" w14:textId="4999E239" w:rsidR="00B01E0D" w:rsidRPr="00316E79" w:rsidRDefault="00F55353" w:rsidP="00B01E0D">
      <w:pPr>
        <w:spacing w:after="120" w:line="288" w:lineRule="auto"/>
        <w:jc w:val="both"/>
        <w:rPr>
          <w:rFonts w:cs="Arial"/>
          <w:sz w:val="20"/>
        </w:rPr>
      </w:pPr>
      <w:r>
        <w:rPr>
          <w:rFonts w:cs="Arial"/>
          <w:sz w:val="20"/>
        </w:rPr>
        <w:t xml:space="preserve">In addition to the above data check, </w:t>
      </w:r>
      <w:r w:rsidR="00B01E0D" w:rsidRPr="00316E79">
        <w:rPr>
          <w:rFonts w:cs="Arial"/>
          <w:sz w:val="20"/>
        </w:rPr>
        <w:t xml:space="preserve">Milliman assessed the claim and prepayment rates provided in the data used to estimate the models against industry data. </w:t>
      </w:r>
      <w:r w:rsidR="00B01E0D">
        <w:rPr>
          <w:rFonts w:cs="Arial"/>
          <w:sz w:val="20"/>
        </w:rPr>
        <w:t xml:space="preserve"> </w:t>
      </w:r>
      <w:r w:rsidR="00B01E0D" w:rsidRPr="00316E79">
        <w:rPr>
          <w:rFonts w:cs="Arial"/>
          <w:sz w:val="20"/>
        </w:rPr>
        <w:t xml:space="preserve">Specifically, we compared cumulative claim rates and prepay rates for all primary loans (non-pool loans) originated by each MI company to industry data. </w:t>
      </w:r>
      <w:r w:rsidR="00B01E0D">
        <w:rPr>
          <w:rFonts w:cs="Arial"/>
          <w:sz w:val="20"/>
        </w:rPr>
        <w:t xml:space="preserve"> Exhibit </w:t>
      </w:r>
      <w:r w:rsidR="004749DC">
        <w:rPr>
          <w:rFonts w:cs="Arial"/>
          <w:sz w:val="20"/>
        </w:rPr>
        <w:t>C</w:t>
      </w:r>
      <w:r w:rsidR="00B01E0D">
        <w:rPr>
          <w:rFonts w:cs="Arial"/>
          <w:sz w:val="20"/>
        </w:rPr>
        <w:t>.</w:t>
      </w:r>
      <w:r w:rsidR="00B01E0D" w:rsidRPr="00316E79">
        <w:rPr>
          <w:rFonts w:cs="Arial"/>
          <w:sz w:val="20"/>
        </w:rPr>
        <w:t xml:space="preserve">1.2 </w:t>
      </w:r>
      <w:r w:rsidR="00B01E0D">
        <w:rPr>
          <w:rFonts w:cs="Arial"/>
          <w:sz w:val="20"/>
        </w:rPr>
        <w:t xml:space="preserve">Pages 1 and 2 </w:t>
      </w:r>
      <w:r w:rsidR="00B01E0D" w:rsidRPr="00316E79">
        <w:rPr>
          <w:rFonts w:cs="Arial"/>
          <w:sz w:val="20"/>
        </w:rPr>
        <w:t>provides visual comparison</w:t>
      </w:r>
      <w:r w:rsidR="00B01E0D">
        <w:rPr>
          <w:rFonts w:cs="Arial"/>
          <w:sz w:val="20"/>
        </w:rPr>
        <w:t>s</w:t>
      </w:r>
      <w:r w:rsidR="00B01E0D" w:rsidRPr="00316E79">
        <w:rPr>
          <w:rFonts w:cs="Arial"/>
          <w:sz w:val="20"/>
        </w:rPr>
        <w:t xml:space="preserve"> of cumulative claim and prepay rates, respectively, by FICO and original loan-to-value cohort. </w:t>
      </w:r>
    </w:p>
    <w:p w14:paraId="2F3962BF" w14:textId="77777777" w:rsidR="00B01E0D" w:rsidRPr="00316E79" w:rsidRDefault="00B01E0D" w:rsidP="00B01E0D">
      <w:pPr>
        <w:spacing w:after="120" w:line="288" w:lineRule="auto"/>
        <w:jc w:val="both"/>
        <w:rPr>
          <w:rFonts w:cs="Arial"/>
          <w:sz w:val="20"/>
        </w:rPr>
      </w:pPr>
      <w:r w:rsidRPr="00316E79">
        <w:rPr>
          <w:rFonts w:cs="Arial"/>
          <w:sz w:val="20"/>
        </w:rPr>
        <w:t>The source of the industry data are datasets published by Fannie Mae and Freddie Mac that contain historical monthly performance on select loans.</w:t>
      </w:r>
      <w:r>
        <w:rPr>
          <w:rFonts w:cs="Arial"/>
          <w:sz w:val="20"/>
        </w:rPr>
        <w:t xml:space="preserve"> </w:t>
      </w:r>
      <w:r w:rsidRPr="00316E79">
        <w:rPr>
          <w:rFonts w:cs="Arial"/>
          <w:sz w:val="20"/>
        </w:rPr>
        <w:t xml:space="preserve"> The data is generally filtered to</w:t>
      </w:r>
      <w:r>
        <w:rPr>
          <w:rFonts w:cs="Arial"/>
          <w:sz w:val="20"/>
        </w:rPr>
        <w:t xml:space="preserve"> fixed rate mortgages with a 30-</w:t>
      </w:r>
      <w:r w:rsidRPr="00316E79">
        <w:rPr>
          <w:rFonts w:cs="Arial"/>
          <w:sz w:val="20"/>
        </w:rPr>
        <w:t>year amortization term and full documentation</w:t>
      </w:r>
      <w:r w:rsidRPr="00316E79">
        <w:rPr>
          <w:rStyle w:val="FootnoteReference"/>
          <w:rFonts w:cs="Arial"/>
          <w:sz w:val="20"/>
        </w:rPr>
        <w:footnoteReference w:id="1"/>
      </w:r>
      <w:r w:rsidRPr="00316E79">
        <w:rPr>
          <w:rFonts w:cs="Arial"/>
          <w:sz w:val="20"/>
        </w:rPr>
        <w:t>.</w:t>
      </w:r>
    </w:p>
    <w:p w14:paraId="478E1865" w14:textId="77777777" w:rsidR="00B01E0D" w:rsidRPr="00316E79" w:rsidRDefault="00B01E0D" w:rsidP="00B01E0D">
      <w:pPr>
        <w:spacing w:after="120" w:line="288" w:lineRule="auto"/>
        <w:jc w:val="both"/>
        <w:rPr>
          <w:rFonts w:cs="Arial"/>
          <w:sz w:val="20"/>
        </w:rPr>
      </w:pPr>
      <w:r w:rsidRPr="00316E79">
        <w:rPr>
          <w:rFonts w:cs="Arial"/>
          <w:sz w:val="20"/>
        </w:rPr>
        <w:t xml:space="preserve">In order to maintain consistency with the data used to develop the models, Milliman applied similar filters from the </w:t>
      </w:r>
      <w:r>
        <w:rPr>
          <w:rFonts w:cs="Arial"/>
          <w:sz w:val="20"/>
        </w:rPr>
        <w:t xml:space="preserve">Fannie Mae </w:t>
      </w:r>
      <w:r w:rsidRPr="00316E79">
        <w:rPr>
          <w:rFonts w:cs="Arial"/>
          <w:sz w:val="20"/>
        </w:rPr>
        <w:t xml:space="preserve">and </w:t>
      </w:r>
      <w:r>
        <w:rPr>
          <w:rFonts w:cs="Arial"/>
          <w:sz w:val="20"/>
        </w:rPr>
        <w:t>Freddie Mac</w:t>
      </w:r>
      <w:r w:rsidRPr="00316E79">
        <w:rPr>
          <w:rFonts w:cs="Arial"/>
          <w:sz w:val="20"/>
        </w:rPr>
        <w:t xml:space="preserve"> data to the loan-level mortgage insurer data. </w:t>
      </w:r>
      <w:r>
        <w:rPr>
          <w:rFonts w:cs="Arial"/>
          <w:sz w:val="20"/>
        </w:rPr>
        <w:t xml:space="preserve"> </w:t>
      </w:r>
      <w:r w:rsidRPr="00316E79">
        <w:rPr>
          <w:rFonts w:cs="Arial"/>
          <w:sz w:val="20"/>
        </w:rPr>
        <w:t xml:space="preserve">Specifically, we limited the MI data to primary, 30-year, fixed rate mortgages. </w:t>
      </w:r>
      <w:r>
        <w:rPr>
          <w:rFonts w:cs="Arial"/>
          <w:sz w:val="20"/>
        </w:rPr>
        <w:t xml:space="preserve"> </w:t>
      </w:r>
      <w:r w:rsidRPr="00316E79">
        <w:rPr>
          <w:rFonts w:cs="Arial"/>
          <w:sz w:val="20"/>
        </w:rPr>
        <w:t>The GSE data was limited to performance observations from 1995 to 2013 for 30-year mortgages with MI coverage originating during or after 1975.</w:t>
      </w:r>
    </w:p>
    <w:p w14:paraId="314AC0D2" w14:textId="0EB70EBE" w:rsidR="00B01E0D" w:rsidRPr="00316E79" w:rsidRDefault="00B01E0D" w:rsidP="00B01E0D">
      <w:pPr>
        <w:spacing w:after="120" w:line="288" w:lineRule="auto"/>
        <w:jc w:val="both"/>
        <w:rPr>
          <w:rFonts w:cs="Arial"/>
          <w:sz w:val="20"/>
        </w:rPr>
      </w:pPr>
      <w:r>
        <w:rPr>
          <w:rFonts w:cs="Arial"/>
          <w:sz w:val="20"/>
        </w:rPr>
        <w:t>E</w:t>
      </w:r>
      <w:r w:rsidR="00BE7439">
        <w:rPr>
          <w:rFonts w:cs="Arial"/>
          <w:sz w:val="20"/>
        </w:rPr>
        <w:t>xhibit C</w:t>
      </w:r>
      <w:r>
        <w:rPr>
          <w:rFonts w:cs="Arial"/>
          <w:sz w:val="20"/>
        </w:rPr>
        <w:t>.</w:t>
      </w:r>
      <w:r w:rsidR="00BE7439">
        <w:rPr>
          <w:rFonts w:cs="Arial"/>
          <w:sz w:val="20"/>
        </w:rPr>
        <w:t>1.2</w:t>
      </w:r>
      <w:r w:rsidRPr="00316E79">
        <w:rPr>
          <w:rFonts w:cs="Arial"/>
          <w:sz w:val="20"/>
        </w:rPr>
        <w:t xml:space="preserve"> Page 1 shows that claims rates between the </w:t>
      </w:r>
      <w:r>
        <w:rPr>
          <w:rFonts w:cs="Arial"/>
          <w:sz w:val="20"/>
        </w:rPr>
        <w:t xml:space="preserve">Freddie Mac </w:t>
      </w:r>
      <w:r w:rsidRPr="00316E79">
        <w:rPr>
          <w:rFonts w:cs="Arial"/>
          <w:sz w:val="20"/>
        </w:rPr>
        <w:t xml:space="preserve">and </w:t>
      </w:r>
      <w:r>
        <w:rPr>
          <w:rFonts w:cs="Arial"/>
          <w:sz w:val="20"/>
        </w:rPr>
        <w:t xml:space="preserve">Fannie Mae </w:t>
      </w:r>
      <w:r w:rsidRPr="00316E79">
        <w:rPr>
          <w:rFonts w:cs="Arial"/>
          <w:sz w:val="20"/>
        </w:rPr>
        <w:t xml:space="preserve">data is generally consistent with the claim rates calculated from the mortgage insurer data. </w:t>
      </w:r>
      <w:r>
        <w:rPr>
          <w:rFonts w:cs="Arial"/>
          <w:sz w:val="20"/>
        </w:rPr>
        <w:t xml:space="preserve"> Exhibi</w:t>
      </w:r>
      <w:r w:rsidR="00BE7439">
        <w:rPr>
          <w:rFonts w:cs="Arial"/>
          <w:sz w:val="20"/>
        </w:rPr>
        <w:t>t C.1.2</w:t>
      </w:r>
      <w:r w:rsidRPr="00316E79">
        <w:rPr>
          <w:rFonts w:cs="Arial"/>
          <w:sz w:val="20"/>
        </w:rPr>
        <w:t xml:space="preserve"> Page 2 shows the cumulative prepayment rates in the </w:t>
      </w:r>
      <w:r>
        <w:rPr>
          <w:rFonts w:cs="Arial"/>
          <w:sz w:val="20"/>
        </w:rPr>
        <w:t xml:space="preserve">Freddie Mac </w:t>
      </w:r>
      <w:r w:rsidRPr="00316E79">
        <w:rPr>
          <w:rFonts w:cs="Arial"/>
          <w:sz w:val="20"/>
        </w:rPr>
        <w:t xml:space="preserve">and </w:t>
      </w:r>
      <w:r>
        <w:rPr>
          <w:rFonts w:cs="Arial"/>
          <w:sz w:val="20"/>
        </w:rPr>
        <w:t xml:space="preserve">Fannie Mae </w:t>
      </w:r>
      <w:r w:rsidRPr="00316E79">
        <w:rPr>
          <w:rFonts w:cs="Arial"/>
          <w:sz w:val="20"/>
        </w:rPr>
        <w:t xml:space="preserve">data is also generally consistent with the prepayment rates calculated from the mortgage insurer data. </w:t>
      </w:r>
      <w:r>
        <w:rPr>
          <w:rFonts w:cs="Arial"/>
          <w:sz w:val="20"/>
        </w:rPr>
        <w:t xml:space="preserve"> </w:t>
      </w:r>
      <w:r w:rsidRPr="00316E79">
        <w:rPr>
          <w:rFonts w:cs="Arial"/>
          <w:sz w:val="20"/>
        </w:rPr>
        <w:t xml:space="preserve">We note the mortgage insurer data does appear to have slightly more variation in prepayment rates between credit scores relative to the </w:t>
      </w:r>
      <w:r>
        <w:rPr>
          <w:rFonts w:cs="Arial"/>
          <w:sz w:val="20"/>
        </w:rPr>
        <w:t xml:space="preserve">Freddie Mac </w:t>
      </w:r>
      <w:r w:rsidRPr="00316E79">
        <w:rPr>
          <w:rFonts w:cs="Arial"/>
          <w:sz w:val="20"/>
        </w:rPr>
        <w:t xml:space="preserve">and </w:t>
      </w:r>
      <w:r>
        <w:rPr>
          <w:rFonts w:cs="Arial"/>
          <w:sz w:val="20"/>
        </w:rPr>
        <w:t xml:space="preserve">Fannie Mae </w:t>
      </w:r>
      <w:r w:rsidRPr="00316E79">
        <w:rPr>
          <w:rFonts w:cs="Arial"/>
          <w:sz w:val="20"/>
        </w:rPr>
        <w:t>data.</w:t>
      </w:r>
      <w:r>
        <w:rPr>
          <w:rFonts w:cs="Arial"/>
          <w:sz w:val="20"/>
        </w:rPr>
        <w:t xml:space="preserve"> </w:t>
      </w:r>
      <w:r w:rsidRPr="00316E79">
        <w:rPr>
          <w:rFonts w:cs="Arial"/>
          <w:sz w:val="20"/>
        </w:rPr>
        <w:t xml:space="preserve"> Further examination of the differences in the data did not result in any strong conc</w:t>
      </w:r>
      <w:r w:rsidR="00BE7439">
        <w:rPr>
          <w:rFonts w:cs="Arial"/>
          <w:sz w:val="20"/>
        </w:rPr>
        <w:t xml:space="preserve">lusions onto the cause for this </w:t>
      </w:r>
      <w:r w:rsidRPr="00316E79">
        <w:rPr>
          <w:rFonts w:cs="Arial"/>
          <w:sz w:val="20"/>
        </w:rPr>
        <w:t>observation.</w:t>
      </w:r>
    </w:p>
    <w:p w14:paraId="1BD401DF" w14:textId="00B9AC5B" w:rsidR="00B01E0D" w:rsidRDefault="00B01E0D" w:rsidP="00B01E0D">
      <w:pPr>
        <w:spacing w:after="120" w:line="288" w:lineRule="auto"/>
        <w:jc w:val="both"/>
        <w:rPr>
          <w:sz w:val="20"/>
        </w:rPr>
      </w:pPr>
      <w:r w:rsidRPr="00316E79">
        <w:rPr>
          <w:rFonts w:cs="Arial"/>
          <w:sz w:val="20"/>
        </w:rPr>
        <w:t xml:space="preserve">Milliman reviewed these exhibits individually for each mortgage insurance company and found the results to be generally consistent across mortgage insurers. </w:t>
      </w:r>
      <w:r>
        <w:rPr>
          <w:rFonts w:cs="Arial"/>
          <w:sz w:val="20"/>
        </w:rPr>
        <w:t xml:space="preserve"> </w:t>
      </w:r>
      <w:r w:rsidRPr="00316E79">
        <w:rPr>
          <w:sz w:val="20"/>
        </w:rPr>
        <w:t xml:space="preserve">The individual MI companies are not shown in order to maintain anonymity of the individual mortgage insurance company data.  </w:t>
      </w:r>
    </w:p>
    <w:p w14:paraId="6E15DFA5" w14:textId="0554A2EA" w:rsidR="00BE7439" w:rsidRDefault="00BE7439" w:rsidP="00B01E0D">
      <w:pPr>
        <w:spacing w:after="120" w:line="288" w:lineRule="auto"/>
        <w:jc w:val="both"/>
        <w:rPr>
          <w:sz w:val="20"/>
        </w:rPr>
      </w:pPr>
      <w:r>
        <w:rPr>
          <w:sz w:val="20"/>
        </w:rPr>
        <w:lastRenderedPageBreak/>
        <w:t>Our review concluded the “Loan-Level Full Dynamic” data appears reasonable and consistent with the statutory filings and individual data for use in the model.</w:t>
      </w:r>
    </w:p>
    <w:p w14:paraId="11F6D875" w14:textId="3DCF3D49" w:rsidR="00C53631" w:rsidRDefault="00C53631">
      <w:pPr>
        <w:rPr>
          <w:rFonts w:cs="Arial"/>
          <w:b/>
          <w:sz w:val="20"/>
          <w:szCs w:val="20"/>
        </w:rPr>
      </w:pPr>
      <w:r w:rsidRPr="00C53631">
        <w:rPr>
          <w:rFonts w:cs="Arial"/>
          <w:b/>
          <w:sz w:val="20"/>
          <w:szCs w:val="20"/>
        </w:rPr>
        <w:t>C.</w:t>
      </w:r>
      <w:r w:rsidR="00511D3E">
        <w:rPr>
          <w:rFonts w:cs="Arial"/>
          <w:b/>
          <w:sz w:val="20"/>
          <w:szCs w:val="20"/>
        </w:rPr>
        <w:t>2</w:t>
      </w:r>
      <w:r w:rsidRPr="00C53631">
        <w:rPr>
          <w:rFonts w:cs="Arial"/>
          <w:b/>
          <w:sz w:val="20"/>
          <w:szCs w:val="20"/>
        </w:rPr>
        <w:t xml:space="preserve"> </w:t>
      </w:r>
      <w:r>
        <w:rPr>
          <w:rFonts w:cs="Arial"/>
          <w:b/>
          <w:sz w:val="20"/>
          <w:szCs w:val="20"/>
        </w:rPr>
        <w:t xml:space="preserve">Data </w:t>
      </w:r>
      <w:r w:rsidR="005101C4">
        <w:rPr>
          <w:rFonts w:cs="Arial"/>
          <w:b/>
          <w:sz w:val="20"/>
          <w:szCs w:val="20"/>
        </w:rPr>
        <w:t>Preparation</w:t>
      </w:r>
    </w:p>
    <w:p w14:paraId="59AB3514" w14:textId="2EAF18F4" w:rsidR="00BE7439" w:rsidRDefault="00BE7439" w:rsidP="00511D3E">
      <w:pPr>
        <w:jc w:val="both"/>
        <w:rPr>
          <w:rFonts w:cs="Arial"/>
          <w:sz w:val="20"/>
          <w:szCs w:val="20"/>
        </w:rPr>
      </w:pPr>
      <w:r>
        <w:rPr>
          <w:rFonts w:cs="Arial"/>
          <w:sz w:val="20"/>
          <w:szCs w:val="20"/>
        </w:rPr>
        <w:t>While the above review</w:t>
      </w:r>
      <w:r w:rsidR="002B05FE">
        <w:rPr>
          <w:rFonts w:cs="Arial"/>
          <w:sz w:val="20"/>
          <w:szCs w:val="20"/>
        </w:rPr>
        <w:t xml:space="preserve"> concluded the aggregate data </w:t>
      </w:r>
      <w:r w:rsidR="00CE50EF">
        <w:rPr>
          <w:rFonts w:cs="Arial"/>
          <w:sz w:val="20"/>
          <w:szCs w:val="20"/>
        </w:rPr>
        <w:t>was reasonable, there were adjustments made to the data to clean the data or account for multiple termination events. This section describes the process and adjustments that were made to the data for this analysis.</w:t>
      </w:r>
    </w:p>
    <w:p w14:paraId="6CB91471" w14:textId="55AD2A80" w:rsidR="007C4D99" w:rsidRPr="007C4D99" w:rsidRDefault="00261E16" w:rsidP="00511D3E">
      <w:pPr>
        <w:jc w:val="both"/>
        <w:rPr>
          <w:rFonts w:cs="Arial"/>
          <w:b/>
          <w:i/>
          <w:sz w:val="20"/>
          <w:szCs w:val="20"/>
        </w:rPr>
      </w:pPr>
      <w:r>
        <w:rPr>
          <w:rFonts w:cs="Arial"/>
          <w:b/>
          <w:i/>
          <w:sz w:val="20"/>
          <w:szCs w:val="20"/>
        </w:rPr>
        <w:t xml:space="preserve">C.2.i </w:t>
      </w:r>
      <w:r w:rsidR="007C4D99">
        <w:rPr>
          <w:rFonts w:cs="Arial"/>
          <w:b/>
          <w:i/>
          <w:sz w:val="20"/>
          <w:szCs w:val="20"/>
        </w:rPr>
        <w:t>Data Preparation Code</w:t>
      </w:r>
    </w:p>
    <w:p w14:paraId="115140C1" w14:textId="0B5A98BD" w:rsidR="00C53631" w:rsidRDefault="005101C4" w:rsidP="00511D3E">
      <w:pPr>
        <w:jc w:val="both"/>
        <w:rPr>
          <w:rFonts w:cs="Arial"/>
          <w:sz w:val="20"/>
          <w:szCs w:val="20"/>
        </w:rPr>
      </w:pPr>
      <w:r>
        <w:rPr>
          <w:rFonts w:cs="Arial"/>
          <w:sz w:val="20"/>
          <w:szCs w:val="20"/>
        </w:rPr>
        <w:t>All data preparation for this assignment was performed in a single program called “1 – Data Preparation.sas”. This section of the documentation describes the data preparation steps applied to the data for the analysis.</w:t>
      </w:r>
    </w:p>
    <w:p w14:paraId="025C5BFA" w14:textId="14C7F825" w:rsidR="005101C4" w:rsidRDefault="00511D3E">
      <w:pPr>
        <w:rPr>
          <w:rFonts w:cs="Arial"/>
          <w:sz w:val="20"/>
          <w:szCs w:val="20"/>
        </w:rPr>
      </w:pPr>
      <w:r>
        <w:rPr>
          <w:rFonts w:cs="Arial"/>
          <w:sz w:val="20"/>
          <w:szCs w:val="20"/>
        </w:rPr>
        <w:t>The first step of the data preparation process began with a data file provided to Milliman called “fullmidynamicsampwprob.sas7bdat.” This file is an aggregation of the individual MI data that contains over 36</w:t>
      </w:r>
      <w:r w:rsidR="00214D1E">
        <w:rPr>
          <w:rFonts w:cs="Arial"/>
          <w:sz w:val="20"/>
          <w:szCs w:val="20"/>
        </w:rPr>
        <w:t>0</w:t>
      </w:r>
      <w:r>
        <w:rPr>
          <w:rFonts w:cs="Arial"/>
          <w:sz w:val="20"/>
          <w:szCs w:val="20"/>
        </w:rPr>
        <w:t xml:space="preserve"> million observations. Each observation corresponds to the unique combination of a given insured mortgage and its status within a given year. Of the 36</w:t>
      </w:r>
      <w:r w:rsidR="00214D1E">
        <w:rPr>
          <w:rFonts w:cs="Arial"/>
          <w:sz w:val="20"/>
          <w:szCs w:val="20"/>
        </w:rPr>
        <w:t>0</w:t>
      </w:r>
      <w:r>
        <w:rPr>
          <w:rFonts w:cs="Arial"/>
          <w:sz w:val="20"/>
          <w:szCs w:val="20"/>
        </w:rPr>
        <w:t xml:space="preserve"> mil</w:t>
      </w:r>
      <w:r w:rsidR="00214D1E">
        <w:rPr>
          <w:rFonts w:cs="Arial"/>
          <w:sz w:val="20"/>
          <w:szCs w:val="20"/>
        </w:rPr>
        <w:t xml:space="preserve">lion observations, there are 27 million </w:t>
      </w:r>
      <w:r>
        <w:rPr>
          <w:rFonts w:cs="Arial"/>
          <w:sz w:val="20"/>
          <w:szCs w:val="20"/>
        </w:rPr>
        <w:t>unique insured mortgages.</w:t>
      </w:r>
    </w:p>
    <w:p w14:paraId="77B35EA2" w14:textId="7262C876" w:rsidR="00214D1E" w:rsidRDefault="00214D1E">
      <w:pPr>
        <w:rPr>
          <w:rFonts w:cs="Arial"/>
          <w:sz w:val="20"/>
          <w:szCs w:val="20"/>
        </w:rPr>
      </w:pPr>
      <w:r>
        <w:rPr>
          <w:rFonts w:cs="Arial"/>
          <w:sz w:val="20"/>
          <w:szCs w:val="20"/>
        </w:rPr>
        <w:t>To this data, we defined the loan status for each loan using the field “simple_status” in the data. Specifically, loans with a “simple_status” of 1 where defined as performing, 2 as de</w:t>
      </w:r>
      <w:r w:rsidR="00C01E6A">
        <w:rPr>
          <w:rFonts w:cs="Arial"/>
          <w:sz w:val="20"/>
          <w:szCs w:val="20"/>
        </w:rPr>
        <w:t>linquent, and 3 as termination.</w:t>
      </w:r>
    </w:p>
    <w:p w14:paraId="57AD8E26" w14:textId="6CD947EE" w:rsidR="00214D1E" w:rsidRDefault="00214D1E">
      <w:pPr>
        <w:rPr>
          <w:rFonts w:cs="Arial"/>
          <w:sz w:val="20"/>
          <w:szCs w:val="20"/>
        </w:rPr>
      </w:pPr>
      <w:r>
        <w:rPr>
          <w:rFonts w:cs="Arial"/>
          <w:sz w:val="20"/>
          <w:szCs w:val="20"/>
        </w:rPr>
        <w:t>Loans with a simple_status of 6 or loans with a final_payment greater than 0 were defined as a claim. Loans with a simple_status of 3, 4, or 5 were defined as a prepayment. For loans with a simple_status of 3, a prepayment was only defined if the monthsleft field was greater than 0.</w:t>
      </w:r>
    </w:p>
    <w:p w14:paraId="2B803AB4" w14:textId="69538185" w:rsidR="00214D1E" w:rsidRDefault="00214D1E">
      <w:pPr>
        <w:rPr>
          <w:rFonts w:cs="Arial"/>
          <w:sz w:val="20"/>
          <w:szCs w:val="20"/>
        </w:rPr>
      </w:pPr>
      <w:r>
        <w:rPr>
          <w:rFonts w:cs="Arial"/>
          <w:sz w:val="20"/>
          <w:szCs w:val="20"/>
        </w:rPr>
        <w:t>The following loans were then removed from the analysis:</w:t>
      </w:r>
    </w:p>
    <w:tbl>
      <w:tblPr>
        <w:tblStyle w:val="TableGrid"/>
        <w:tblW w:w="9355" w:type="dxa"/>
        <w:tblLook w:val="04A0" w:firstRow="1" w:lastRow="0" w:firstColumn="1" w:lastColumn="0" w:noHBand="0" w:noVBand="1"/>
      </w:tblPr>
      <w:tblGrid>
        <w:gridCol w:w="4675"/>
        <w:gridCol w:w="4680"/>
      </w:tblGrid>
      <w:tr w:rsidR="00214D1E" w14:paraId="7D9B76C1" w14:textId="77777777" w:rsidTr="00214D1E">
        <w:tc>
          <w:tcPr>
            <w:tcW w:w="4675" w:type="dxa"/>
          </w:tcPr>
          <w:p w14:paraId="57D66ADA" w14:textId="38A51ACE" w:rsidR="00214D1E" w:rsidRPr="00214D1E" w:rsidRDefault="00214D1E">
            <w:pPr>
              <w:rPr>
                <w:rFonts w:cs="Arial"/>
                <w:b/>
                <w:sz w:val="20"/>
                <w:szCs w:val="20"/>
              </w:rPr>
            </w:pPr>
            <w:r w:rsidRPr="00214D1E">
              <w:rPr>
                <w:rFonts w:cs="Arial"/>
                <w:b/>
                <w:sz w:val="20"/>
                <w:szCs w:val="20"/>
              </w:rPr>
              <w:t>Description</w:t>
            </w:r>
          </w:p>
        </w:tc>
        <w:tc>
          <w:tcPr>
            <w:tcW w:w="4680" w:type="dxa"/>
          </w:tcPr>
          <w:p w14:paraId="57CE0D54" w14:textId="47287971" w:rsidR="00214D1E" w:rsidRPr="00214D1E" w:rsidRDefault="00214D1E">
            <w:pPr>
              <w:rPr>
                <w:rFonts w:cs="Arial"/>
                <w:b/>
                <w:sz w:val="20"/>
                <w:szCs w:val="20"/>
              </w:rPr>
            </w:pPr>
            <w:r w:rsidRPr="00214D1E">
              <w:rPr>
                <w:rFonts w:cs="Arial"/>
                <w:b/>
                <w:sz w:val="20"/>
                <w:szCs w:val="20"/>
              </w:rPr>
              <w:t>Number of Observations</w:t>
            </w:r>
          </w:p>
        </w:tc>
      </w:tr>
      <w:tr w:rsidR="00685112" w14:paraId="3F581C4B" w14:textId="77777777" w:rsidTr="00214D1E">
        <w:tc>
          <w:tcPr>
            <w:tcW w:w="4675" w:type="dxa"/>
          </w:tcPr>
          <w:p w14:paraId="666DA877" w14:textId="12F909E6" w:rsidR="00685112" w:rsidRDefault="00685112" w:rsidP="00214D1E">
            <w:pPr>
              <w:rPr>
                <w:rFonts w:cs="Arial"/>
                <w:sz w:val="20"/>
                <w:szCs w:val="20"/>
              </w:rPr>
            </w:pPr>
            <w:r>
              <w:rPr>
                <w:rFonts w:cs="Arial"/>
                <w:sz w:val="20"/>
                <w:szCs w:val="20"/>
              </w:rPr>
              <w:t>Total Observations</w:t>
            </w:r>
          </w:p>
        </w:tc>
        <w:tc>
          <w:tcPr>
            <w:tcW w:w="4680" w:type="dxa"/>
          </w:tcPr>
          <w:p w14:paraId="17E4CB4E" w14:textId="3BEB3D5D" w:rsidR="00685112" w:rsidRDefault="00685112" w:rsidP="00214D1E">
            <w:pPr>
              <w:rPr>
                <w:rFonts w:cs="Arial"/>
                <w:sz w:val="20"/>
                <w:szCs w:val="20"/>
              </w:rPr>
            </w:pPr>
            <w:r>
              <w:rPr>
                <w:rFonts w:cs="Arial"/>
                <w:sz w:val="20"/>
                <w:szCs w:val="20"/>
              </w:rPr>
              <w:t>27,171,180</w:t>
            </w:r>
          </w:p>
        </w:tc>
      </w:tr>
      <w:tr w:rsidR="00214D1E" w14:paraId="5B251519" w14:textId="77777777" w:rsidTr="00214D1E">
        <w:tc>
          <w:tcPr>
            <w:tcW w:w="4675" w:type="dxa"/>
          </w:tcPr>
          <w:p w14:paraId="5027B7CF" w14:textId="2EA008BB" w:rsidR="00214D1E" w:rsidRDefault="00685112" w:rsidP="00685112">
            <w:pPr>
              <w:rPr>
                <w:rFonts w:cs="Arial"/>
                <w:sz w:val="20"/>
                <w:szCs w:val="20"/>
              </w:rPr>
            </w:pPr>
            <w:r>
              <w:rPr>
                <w:rFonts w:cs="Arial"/>
                <w:sz w:val="20"/>
                <w:szCs w:val="20"/>
              </w:rPr>
              <w:t>Remove r</w:t>
            </w:r>
            <w:r w:rsidR="00214D1E">
              <w:rPr>
                <w:rFonts w:cs="Arial"/>
                <w:sz w:val="20"/>
                <w:szCs w:val="20"/>
              </w:rPr>
              <w:t>ecords that appear in the origination data but do not have performance data</w:t>
            </w:r>
          </w:p>
        </w:tc>
        <w:tc>
          <w:tcPr>
            <w:tcW w:w="4680" w:type="dxa"/>
          </w:tcPr>
          <w:p w14:paraId="1EC3570B" w14:textId="55FDE8C1" w:rsidR="00214D1E" w:rsidRDefault="00685112" w:rsidP="00214D1E">
            <w:pPr>
              <w:rPr>
                <w:rFonts w:cs="Arial"/>
                <w:sz w:val="20"/>
                <w:szCs w:val="20"/>
              </w:rPr>
            </w:pPr>
            <w:r>
              <w:rPr>
                <w:rFonts w:cs="Arial"/>
                <w:sz w:val="20"/>
                <w:szCs w:val="20"/>
              </w:rPr>
              <w:t>23,904,723</w:t>
            </w:r>
          </w:p>
        </w:tc>
      </w:tr>
      <w:tr w:rsidR="00214D1E" w14:paraId="6A02ED0B" w14:textId="77777777" w:rsidTr="00214D1E">
        <w:tc>
          <w:tcPr>
            <w:tcW w:w="4675" w:type="dxa"/>
          </w:tcPr>
          <w:p w14:paraId="38A745B0" w14:textId="3EE8FFFD" w:rsidR="00214D1E" w:rsidRDefault="00685112" w:rsidP="00685112">
            <w:pPr>
              <w:rPr>
                <w:rFonts w:cs="Arial"/>
                <w:sz w:val="20"/>
                <w:szCs w:val="20"/>
              </w:rPr>
            </w:pPr>
            <w:r>
              <w:rPr>
                <w:rFonts w:cs="Arial"/>
                <w:sz w:val="20"/>
                <w:szCs w:val="20"/>
              </w:rPr>
              <w:t>Remove p</w:t>
            </w:r>
            <w:r w:rsidR="00214D1E">
              <w:rPr>
                <w:rFonts w:cs="Arial"/>
                <w:sz w:val="20"/>
                <w:szCs w:val="20"/>
              </w:rPr>
              <w:t xml:space="preserve">ool </w:t>
            </w:r>
            <w:r w:rsidR="002E75B3">
              <w:rPr>
                <w:rFonts w:cs="Arial"/>
                <w:sz w:val="20"/>
                <w:szCs w:val="20"/>
              </w:rPr>
              <w:t xml:space="preserve">and bulk </w:t>
            </w:r>
            <w:r w:rsidR="00214D1E">
              <w:rPr>
                <w:rFonts w:cs="Arial"/>
                <w:sz w:val="20"/>
                <w:szCs w:val="20"/>
              </w:rPr>
              <w:t>loans</w:t>
            </w:r>
          </w:p>
        </w:tc>
        <w:tc>
          <w:tcPr>
            <w:tcW w:w="4680" w:type="dxa"/>
          </w:tcPr>
          <w:p w14:paraId="0429301B" w14:textId="7D3CF29D" w:rsidR="00214D1E" w:rsidRDefault="00685112" w:rsidP="00214D1E">
            <w:pPr>
              <w:rPr>
                <w:rFonts w:cs="Arial"/>
                <w:sz w:val="20"/>
                <w:szCs w:val="20"/>
              </w:rPr>
            </w:pPr>
            <w:r>
              <w:rPr>
                <w:rFonts w:cs="Arial"/>
                <w:sz w:val="20"/>
                <w:szCs w:val="20"/>
              </w:rPr>
              <w:t>20,360,186</w:t>
            </w:r>
          </w:p>
        </w:tc>
      </w:tr>
      <w:tr w:rsidR="00214D1E" w14:paraId="6524CEB1" w14:textId="77777777" w:rsidTr="00214D1E">
        <w:tc>
          <w:tcPr>
            <w:tcW w:w="4675" w:type="dxa"/>
          </w:tcPr>
          <w:p w14:paraId="0D4CA14E" w14:textId="530A3930" w:rsidR="00214D1E" w:rsidRDefault="00685112" w:rsidP="00685112">
            <w:pPr>
              <w:rPr>
                <w:rFonts w:cs="Arial"/>
                <w:sz w:val="20"/>
                <w:szCs w:val="20"/>
              </w:rPr>
            </w:pPr>
            <w:r>
              <w:rPr>
                <w:rFonts w:cs="Arial"/>
                <w:sz w:val="20"/>
                <w:szCs w:val="20"/>
              </w:rPr>
              <w:t>Remove m</w:t>
            </w:r>
            <w:r w:rsidR="00214D1E">
              <w:rPr>
                <w:rFonts w:cs="Arial"/>
                <w:sz w:val="20"/>
                <w:szCs w:val="20"/>
              </w:rPr>
              <w:t>odified loans</w:t>
            </w:r>
          </w:p>
        </w:tc>
        <w:tc>
          <w:tcPr>
            <w:tcW w:w="4680" w:type="dxa"/>
          </w:tcPr>
          <w:p w14:paraId="4FD4ECCD" w14:textId="0FAB00C1" w:rsidR="00214D1E" w:rsidRDefault="00685112" w:rsidP="00214D1E">
            <w:pPr>
              <w:rPr>
                <w:rFonts w:cs="Arial"/>
                <w:sz w:val="20"/>
                <w:szCs w:val="20"/>
              </w:rPr>
            </w:pPr>
            <w:r>
              <w:rPr>
                <w:rFonts w:cs="Arial"/>
                <w:sz w:val="20"/>
                <w:szCs w:val="20"/>
              </w:rPr>
              <w:t>20,164,220</w:t>
            </w:r>
          </w:p>
        </w:tc>
      </w:tr>
      <w:tr w:rsidR="00214D1E" w14:paraId="674E1545" w14:textId="77777777" w:rsidTr="00214D1E">
        <w:tc>
          <w:tcPr>
            <w:tcW w:w="4675" w:type="dxa"/>
          </w:tcPr>
          <w:p w14:paraId="501A401B" w14:textId="1F900D1F" w:rsidR="00214D1E" w:rsidRDefault="00685112" w:rsidP="00685112">
            <w:pPr>
              <w:rPr>
                <w:rFonts w:cs="Arial"/>
                <w:sz w:val="20"/>
                <w:szCs w:val="20"/>
              </w:rPr>
            </w:pPr>
            <w:r>
              <w:rPr>
                <w:rFonts w:cs="Arial"/>
                <w:sz w:val="20"/>
                <w:szCs w:val="20"/>
              </w:rPr>
              <w:t>Remove r</w:t>
            </w:r>
            <w:r w:rsidR="00214D1E">
              <w:rPr>
                <w:rFonts w:cs="Arial"/>
                <w:sz w:val="20"/>
                <w:szCs w:val="20"/>
              </w:rPr>
              <w:t>ecords with multiple terminations</w:t>
            </w:r>
          </w:p>
        </w:tc>
        <w:tc>
          <w:tcPr>
            <w:tcW w:w="4680" w:type="dxa"/>
          </w:tcPr>
          <w:p w14:paraId="1A1A238D" w14:textId="33450C62" w:rsidR="00214D1E" w:rsidRDefault="00685112" w:rsidP="00214D1E">
            <w:pPr>
              <w:rPr>
                <w:rFonts w:cs="Arial"/>
                <w:sz w:val="20"/>
                <w:szCs w:val="20"/>
              </w:rPr>
            </w:pPr>
            <w:r>
              <w:rPr>
                <w:rFonts w:cs="Arial"/>
                <w:sz w:val="20"/>
                <w:szCs w:val="20"/>
              </w:rPr>
              <w:t>20,062,974</w:t>
            </w:r>
          </w:p>
        </w:tc>
      </w:tr>
    </w:tbl>
    <w:p w14:paraId="163F08E3" w14:textId="77777777" w:rsidR="00D61AEF" w:rsidRDefault="00D61AEF">
      <w:pPr>
        <w:rPr>
          <w:rFonts w:cs="Arial"/>
          <w:sz w:val="20"/>
          <w:szCs w:val="20"/>
        </w:rPr>
      </w:pPr>
    </w:p>
    <w:p w14:paraId="6C3BF12C" w14:textId="654B566A" w:rsidR="00214D1E" w:rsidRDefault="002E75B3">
      <w:pPr>
        <w:rPr>
          <w:rFonts w:cs="Arial"/>
          <w:sz w:val="20"/>
          <w:szCs w:val="20"/>
        </w:rPr>
      </w:pPr>
      <w:r>
        <w:rPr>
          <w:rFonts w:cs="Arial"/>
          <w:sz w:val="20"/>
          <w:szCs w:val="20"/>
        </w:rPr>
        <w:t>The data was then aggregated into an analysis dataset</w:t>
      </w:r>
      <w:r w:rsidR="00D82100">
        <w:rPr>
          <w:rFonts w:cs="Arial"/>
          <w:sz w:val="20"/>
          <w:szCs w:val="20"/>
        </w:rPr>
        <w:t xml:space="preserve"> with one record per loan with the following data fields:</w:t>
      </w:r>
    </w:p>
    <w:tbl>
      <w:tblPr>
        <w:tblStyle w:val="TableGrid"/>
        <w:tblW w:w="0" w:type="auto"/>
        <w:tblLook w:val="04A0" w:firstRow="1" w:lastRow="0" w:firstColumn="1" w:lastColumn="0" w:noHBand="0" w:noVBand="1"/>
      </w:tblPr>
      <w:tblGrid>
        <w:gridCol w:w="2965"/>
        <w:gridCol w:w="6385"/>
      </w:tblGrid>
      <w:tr w:rsidR="00D82100" w14:paraId="6390F9A4" w14:textId="77777777" w:rsidTr="00987398">
        <w:tc>
          <w:tcPr>
            <w:tcW w:w="2965" w:type="dxa"/>
          </w:tcPr>
          <w:p w14:paraId="7A663DAF" w14:textId="0EE23F30" w:rsidR="00D82100" w:rsidRPr="00D82100" w:rsidRDefault="00D82100">
            <w:pPr>
              <w:rPr>
                <w:rFonts w:cs="Arial"/>
                <w:b/>
                <w:sz w:val="20"/>
                <w:szCs w:val="20"/>
              </w:rPr>
            </w:pPr>
            <w:r w:rsidRPr="00D82100">
              <w:rPr>
                <w:rFonts w:cs="Arial"/>
                <w:b/>
                <w:sz w:val="20"/>
                <w:szCs w:val="20"/>
              </w:rPr>
              <w:t>Field</w:t>
            </w:r>
          </w:p>
        </w:tc>
        <w:tc>
          <w:tcPr>
            <w:tcW w:w="6385" w:type="dxa"/>
          </w:tcPr>
          <w:p w14:paraId="3F596553" w14:textId="51F2F249" w:rsidR="00D82100" w:rsidRPr="00D82100" w:rsidRDefault="00D82100">
            <w:pPr>
              <w:rPr>
                <w:rFonts w:cs="Arial"/>
                <w:b/>
                <w:sz w:val="20"/>
                <w:szCs w:val="20"/>
              </w:rPr>
            </w:pPr>
            <w:r w:rsidRPr="00D82100">
              <w:rPr>
                <w:rFonts w:cs="Arial"/>
                <w:b/>
                <w:sz w:val="20"/>
                <w:szCs w:val="20"/>
              </w:rPr>
              <w:t>Description</w:t>
            </w:r>
          </w:p>
        </w:tc>
      </w:tr>
      <w:tr w:rsidR="00D82100" w14:paraId="1814EEEA" w14:textId="77777777" w:rsidTr="00987398">
        <w:tc>
          <w:tcPr>
            <w:tcW w:w="2965" w:type="dxa"/>
          </w:tcPr>
          <w:p w14:paraId="4BC5F646" w14:textId="2C620451" w:rsidR="00D82100" w:rsidRDefault="00D82100">
            <w:pPr>
              <w:rPr>
                <w:rFonts w:cs="Arial"/>
                <w:sz w:val="20"/>
                <w:szCs w:val="20"/>
              </w:rPr>
            </w:pPr>
            <w:r>
              <w:rPr>
                <w:rFonts w:cs="Arial"/>
                <w:sz w:val="20"/>
                <w:szCs w:val="20"/>
              </w:rPr>
              <w:t>Company</w:t>
            </w:r>
          </w:p>
        </w:tc>
        <w:tc>
          <w:tcPr>
            <w:tcW w:w="6385" w:type="dxa"/>
          </w:tcPr>
          <w:p w14:paraId="0485B247" w14:textId="7FE6B8DE" w:rsidR="00D82100" w:rsidRDefault="00D82100">
            <w:pPr>
              <w:rPr>
                <w:rFonts w:cs="Arial"/>
                <w:sz w:val="20"/>
                <w:szCs w:val="20"/>
              </w:rPr>
            </w:pPr>
            <w:r>
              <w:rPr>
                <w:rFonts w:cs="Arial"/>
                <w:sz w:val="20"/>
                <w:szCs w:val="20"/>
              </w:rPr>
              <w:t>Name of MI company</w:t>
            </w:r>
          </w:p>
        </w:tc>
      </w:tr>
      <w:tr w:rsidR="00D82100" w14:paraId="576A6845" w14:textId="77777777" w:rsidTr="00987398">
        <w:tc>
          <w:tcPr>
            <w:tcW w:w="2965" w:type="dxa"/>
          </w:tcPr>
          <w:p w14:paraId="761E456C" w14:textId="36C3D906" w:rsidR="00D82100" w:rsidRDefault="00D82100">
            <w:pPr>
              <w:rPr>
                <w:rFonts w:cs="Arial"/>
                <w:sz w:val="20"/>
                <w:szCs w:val="20"/>
              </w:rPr>
            </w:pPr>
            <w:r>
              <w:rPr>
                <w:rFonts w:cs="Arial"/>
                <w:sz w:val="20"/>
                <w:szCs w:val="20"/>
              </w:rPr>
              <w:t>Origination Year</w:t>
            </w:r>
          </w:p>
        </w:tc>
        <w:tc>
          <w:tcPr>
            <w:tcW w:w="6385" w:type="dxa"/>
          </w:tcPr>
          <w:p w14:paraId="025A25D7" w14:textId="7B61B3CB" w:rsidR="00D82100" w:rsidRDefault="00D82100">
            <w:pPr>
              <w:rPr>
                <w:rFonts w:cs="Arial"/>
                <w:sz w:val="20"/>
                <w:szCs w:val="20"/>
              </w:rPr>
            </w:pPr>
            <w:r>
              <w:rPr>
                <w:rFonts w:cs="Arial"/>
                <w:sz w:val="20"/>
                <w:szCs w:val="20"/>
              </w:rPr>
              <w:t>Origination year of the mortgage</w:t>
            </w:r>
          </w:p>
        </w:tc>
      </w:tr>
      <w:tr w:rsidR="00D82100" w14:paraId="7457CA70" w14:textId="77777777" w:rsidTr="00987398">
        <w:tc>
          <w:tcPr>
            <w:tcW w:w="2965" w:type="dxa"/>
          </w:tcPr>
          <w:p w14:paraId="282EFDA1" w14:textId="7808F39C" w:rsidR="00D82100" w:rsidRDefault="00D82100">
            <w:pPr>
              <w:rPr>
                <w:rFonts w:cs="Arial"/>
                <w:sz w:val="20"/>
                <w:szCs w:val="20"/>
              </w:rPr>
            </w:pPr>
            <w:r>
              <w:rPr>
                <w:rFonts w:cs="Arial"/>
                <w:sz w:val="20"/>
                <w:szCs w:val="20"/>
              </w:rPr>
              <w:t>FICO Bucket</w:t>
            </w:r>
          </w:p>
        </w:tc>
        <w:tc>
          <w:tcPr>
            <w:tcW w:w="6385" w:type="dxa"/>
          </w:tcPr>
          <w:p w14:paraId="2DC4DCCF" w14:textId="76D9C791" w:rsidR="00D82100" w:rsidRDefault="00D82100">
            <w:pPr>
              <w:rPr>
                <w:rFonts w:cs="Arial"/>
                <w:sz w:val="20"/>
                <w:szCs w:val="20"/>
              </w:rPr>
            </w:pPr>
            <w:r>
              <w:rPr>
                <w:rFonts w:cs="Arial"/>
                <w:sz w:val="20"/>
                <w:szCs w:val="20"/>
              </w:rPr>
              <w:t>FICO cohort for the loan (e.g. 760-850)</w:t>
            </w:r>
          </w:p>
        </w:tc>
      </w:tr>
      <w:tr w:rsidR="00D82100" w14:paraId="696540EA" w14:textId="77777777" w:rsidTr="00987398">
        <w:tc>
          <w:tcPr>
            <w:tcW w:w="2965" w:type="dxa"/>
          </w:tcPr>
          <w:p w14:paraId="66FE1156" w14:textId="3B4F18D8" w:rsidR="00D82100" w:rsidRDefault="00D82100">
            <w:pPr>
              <w:rPr>
                <w:rFonts w:cs="Arial"/>
                <w:sz w:val="20"/>
                <w:szCs w:val="20"/>
              </w:rPr>
            </w:pPr>
            <w:r>
              <w:rPr>
                <w:rFonts w:cs="Arial"/>
                <w:sz w:val="20"/>
                <w:szCs w:val="20"/>
              </w:rPr>
              <w:t>LTV Bucket</w:t>
            </w:r>
          </w:p>
        </w:tc>
        <w:tc>
          <w:tcPr>
            <w:tcW w:w="6385" w:type="dxa"/>
          </w:tcPr>
          <w:p w14:paraId="3BEC0AC0" w14:textId="14B653C3" w:rsidR="00D82100" w:rsidRDefault="00D82100">
            <w:pPr>
              <w:rPr>
                <w:rFonts w:cs="Arial"/>
                <w:sz w:val="20"/>
                <w:szCs w:val="20"/>
              </w:rPr>
            </w:pPr>
            <w:r>
              <w:rPr>
                <w:rFonts w:cs="Arial"/>
                <w:sz w:val="20"/>
                <w:szCs w:val="20"/>
              </w:rPr>
              <w:t>LTV cohort for the loan (e.g. 90-95)</w:t>
            </w:r>
          </w:p>
        </w:tc>
      </w:tr>
      <w:tr w:rsidR="00D61AEF" w14:paraId="77595BC4" w14:textId="77777777" w:rsidTr="00987398">
        <w:tc>
          <w:tcPr>
            <w:tcW w:w="2965" w:type="dxa"/>
          </w:tcPr>
          <w:p w14:paraId="2FA5F1AE" w14:textId="67588517" w:rsidR="00D61AEF" w:rsidRDefault="00D61AEF">
            <w:pPr>
              <w:rPr>
                <w:rFonts w:cs="Arial"/>
                <w:sz w:val="20"/>
                <w:szCs w:val="20"/>
              </w:rPr>
            </w:pPr>
            <w:r>
              <w:rPr>
                <w:rFonts w:cs="Arial"/>
                <w:sz w:val="20"/>
                <w:szCs w:val="20"/>
              </w:rPr>
              <w:t>State</w:t>
            </w:r>
          </w:p>
        </w:tc>
        <w:tc>
          <w:tcPr>
            <w:tcW w:w="6385" w:type="dxa"/>
          </w:tcPr>
          <w:p w14:paraId="0C356466" w14:textId="152D953A" w:rsidR="00D61AEF" w:rsidRDefault="00D61AEF">
            <w:pPr>
              <w:rPr>
                <w:rFonts w:cs="Arial"/>
                <w:sz w:val="20"/>
                <w:szCs w:val="20"/>
              </w:rPr>
            </w:pPr>
            <w:r>
              <w:rPr>
                <w:rFonts w:cs="Arial"/>
                <w:sz w:val="20"/>
                <w:szCs w:val="20"/>
              </w:rPr>
              <w:t>Property state of the mortgage</w:t>
            </w:r>
          </w:p>
        </w:tc>
      </w:tr>
      <w:tr w:rsidR="00D61AEF" w14:paraId="232D3665" w14:textId="77777777" w:rsidTr="00987398">
        <w:tc>
          <w:tcPr>
            <w:tcW w:w="2965" w:type="dxa"/>
          </w:tcPr>
          <w:p w14:paraId="3B4D1307" w14:textId="0F518CE2" w:rsidR="00D61AEF" w:rsidRDefault="00D61AEF">
            <w:pPr>
              <w:rPr>
                <w:rFonts w:cs="Arial"/>
                <w:sz w:val="20"/>
                <w:szCs w:val="20"/>
              </w:rPr>
            </w:pPr>
            <w:r>
              <w:rPr>
                <w:rFonts w:cs="Arial"/>
                <w:sz w:val="20"/>
                <w:szCs w:val="20"/>
              </w:rPr>
              <w:t>MI premium rate</w:t>
            </w:r>
          </w:p>
        </w:tc>
        <w:tc>
          <w:tcPr>
            <w:tcW w:w="6385" w:type="dxa"/>
          </w:tcPr>
          <w:p w14:paraId="16DFCFA2" w14:textId="750D245F" w:rsidR="00D61AEF" w:rsidRDefault="00D61AEF">
            <w:pPr>
              <w:rPr>
                <w:rFonts w:cs="Arial"/>
                <w:sz w:val="20"/>
                <w:szCs w:val="20"/>
              </w:rPr>
            </w:pPr>
            <w:r>
              <w:rPr>
                <w:rFonts w:cs="Arial"/>
                <w:sz w:val="20"/>
                <w:szCs w:val="20"/>
              </w:rPr>
              <w:t>Premium rate of the mortgage insurance policy</w:t>
            </w:r>
          </w:p>
        </w:tc>
      </w:tr>
      <w:tr w:rsidR="00D61AEF" w14:paraId="2326AFDF" w14:textId="77777777" w:rsidTr="00987398">
        <w:tc>
          <w:tcPr>
            <w:tcW w:w="2965" w:type="dxa"/>
          </w:tcPr>
          <w:p w14:paraId="460A8D24" w14:textId="7BC1EBC6" w:rsidR="00D61AEF" w:rsidRDefault="00D61AEF">
            <w:pPr>
              <w:rPr>
                <w:rFonts w:cs="Arial"/>
                <w:sz w:val="20"/>
                <w:szCs w:val="20"/>
              </w:rPr>
            </w:pPr>
            <w:r>
              <w:rPr>
                <w:rFonts w:cs="Arial"/>
                <w:sz w:val="20"/>
                <w:szCs w:val="20"/>
              </w:rPr>
              <w:t>Interest only indicator</w:t>
            </w:r>
          </w:p>
        </w:tc>
        <w:tc>
          <w:tcPr>
            <w:tcW w:w="6385" w:type="dxa"/>
          </w:tcPr>
          <w:p w14:paraId="1DD5839C" w14:textId="11EB0E8F" w:rsidR="00D61AEF" w:rsidRDefault="00D61AEF">
            <w:pPr>
              <w:rPr>
                <w:rFonts w:cs="Arial"/>
                <w:sz w:val="20"/>
                <w:szCs w:val="20"/>
              </w:rPr>
            </w:pPr>
            <w:r>
              <w:rPr>
                <w:rFonts w:cs="Arial"/>
                <w:sz w:val="20"/>
                <w:szCs w:val="20"/>
              </w:rPr>
              <w:t>Binary flag if the loan has an interest only feature</w:t>
            </w:r>
          </w:p>
        </w:tc>
      </w:tr>
      <w:tr w:rsidR="00D61AEF" w14:paraId="4DD7DF2F" w14:textId="77777777" w:rsidTr="00987398">
        <w:tc>
          <w:tcPr>
            <w:tcW w:w="2965" w:type="dxa"/>
          </w:tcPr>
          <w:p w14:paraId="4CC87FAE" w14:textId="290961C2" w:rsidR="00D61AEF" w:rsidRDefault="00D61AEF" w:rsidP="00D61AEF">
            <w:pPr>
              <w:rPr>
                <w:rFonts w:cs="Arial"/>
                <w:sz w:val="20"/>
                <w:szCs w:val="20"/>
              </w:rPr>
            </w:pPr>
            <w:r>
              <w:rPr>
                <w:rFonts w:cs="Arial"/>
                <w:sz w:val="20"/>
                <w:szCs w:val="20"/>
              </w:rPr>
              <w:t xml:space="preserve">Loan Purpose </w:t>
            </w:r>
          </w:p>
        </w:tc>
        <w:tc>
          <w:tcPr>
            <w:tcW w:w="6385" w:type="dxa"/>
          </w:tcPr>
          <w:p w14:paraId="42D70497" w14:textId="3D536090" w:rsidR="00D61AEF" w:rsidRDefault="00D61AEF">
            <w:pPr>
              <w:rPr>
                <w:rFonts w:cs="Arial"/>
                <w:sz w:val="20"/>
                <w:szCs w:val="20"/>
              </w:rPr>
            </w:pPr>
            <w:r>
              <w:rPr>
                <w:rFonts w:cs="Arial"/>
                <w:sz w:val="20"/>
                <w:szCs w:val="20"/>
              </w:rPr>
              <w:t>Loan purpose of the mortgage</w:t>
            </w:r>
          </w:p>
        </w:tc>
      </w:tr>
      <w:tr w:rsidR="00D61AEF" w14:paraId="466CE2AD" w14:textId="77777777" w:rsidTr="00987398">
        <w:tc>
          <w:tcPr>
            <w:tcW w:w="2965" w:type="dxa"/>
          </w:tcPr>
          <w:p w14:paraId="07706792" w14:textId="7DDE8706" w:rsidR="00D61AEF" w:rsidRDefault="00D61AEF">
            <w:pPr>
              <w:rPr>
                <w:rFonts w:cs="Arial"/>
                <w:sz w:val="20"/>
                <w:szCs w:val="20"/>
              </w:rPr>
            </w:pPr>
            <w:r>
              <w:rPr>
                <w:rFonts w:cs="Arial"/>
                <w:sz w:val="20"/>
                <w:szCs w:val="20"/>
              </w:rPr>
              <w:t>Property Type</w:t>
            </w:r>
          </w:p>
        </w:tc>
        <w:tc>
          <w:tcPr>
            <w:tcW w:w="6385" w:type="dxa"/>
          </w:tcPr>
          <w:p w14:paraId="7E420954" w14:textId="5CCB2F43" w:rsidR="00D61AEF" w:rsidRDefault="00D61AEF">
            <w:pPr>
              <w:rPr>
                <w:rFonts w:cs="Arial"/>
                <w:sz w:val="20"/>
                <w:szCs w:val="20"/>
              </w:rPr>
            </w:pPr>
            <w:r>
              <w:rPr>
                <w:rFonts w:cs="Arial"/>
                <w:sz w:val="20"/>
                <w:szCs w:val="20"/>
              </w:rPr>
              <w:t>Property type of the collateral</w:t>
            </w:r>
          </w:p>
        </w:tc>
      </w:tr>
      <w:tr w:rsidR="00D61AEF" w14:paraId="4235664E" w14:textId="77777777" w:rsidTr="00987398">
        <w:tc>
          <w:tcPr>
            <w:tcW w:w="2965" w:type="dxa"/>
          </w:tcPr>
          <w:p w14:paraId="4C552301" w14:textId="1194A2CA" w:rsidR="00D61AEF" w:rsidRDefault="00D61AEF">
            <w:pPr>
              <w:rPr>
                <w:rFonts w:cs="Arial"/>
                <w:sz w:val="20"/>
                <w:szCs w:val="20"/>
              </w:rPr>
            </w:pPr>
            <w:r>
              <w:rPr>
                <w:rFonts w:cs="Arial"/>
                <w:sz w:val="20"/>
                <w:szCs w:val="20"/>
              </w:rPr>
              <w:t>Occupancy Type</w:t>
            </w:r>
          </w:p>
        </w:tc>
        <w:tc>
          <w:tcPr>
            <w:tcW w:w="6385" w:type="dxa"/>
          </w:tcPr>
          <w:p w14:paraId="792CAEA8" w14:textId="062B24D3" w:rsidR="00D61AEF" w:rsidRDefault="00D61AEF">
            <w:pPr>
              <w:rPr>
                <w:rFonts w:cs="Arial"/>
                <w:sz w:val="20"/>
                <w:szCs w:val="20"/>
              </w:rPr>
            </w:pPr>
            <w:r>
              <w:rPr>
                <w:rFonts w:cs="Arial"/>
                <w:sz w:val="20"/>
                <w:szCs w:val="20"/>
              </w:rPr>
              <w:t>Occupancy type of the borrower</w:t>
            </w:r>
          </w:p>
        </w:tc>
      </w:tr>
      <w:tr w:rsidR="00D61AEF" w14:paraId="60701E2A" w14:textId="77777777" w:rsidTr="00987398">
        <w:tc>
          <w:tcPr>
            <w:tcW w:w="2965" w:type="dxa"/>
          </w:tcPr>
          <w:p w14:paraId="1988FA69" w14:textId="3B0DE829" w:rsidR="00D61AEF" w:rsidRDefault="00D61AEF">
            <w:pPr>
              <w:rPr>
                <w:rFonts w:cs="Arial"/>
                <w:sz w:val="20"/>
                <w:szCs w:val="20"/>
              </w:rPr>
            </w:pPr>
            <w:r>
              <w:rPr>
                <w:rFonts w:cs="Arial"/>
                <w:sz w:val="20"/>
                <w:szCs w:val="20"/>
              </w:rPr>
              <w:t>Documentation Type</w:t>
            </w:r>
          </w:p>
        </w:tc>
        <w:tc>
          <w:tcPr>
            <w:tcW w:w="6385" w:type="dxa"/>
          </w:tcPr>
          <w:p w14:paraId="36FB4418" w14:textId="4FAF701B" w:rsidR="00D61AEF" w:rsidRDefault="00D61AEF">
            <w:pPr>
              <w:rPr>
                <w:rFonts w:cs="Arial"/>
                <w:sz w:val="20"/>
                <w:szCs w:val="20"/>
              </w:rPr>
            </w:pPr>
            <w:r>
              <w:rPr>
                <w:rFonts w:cs="Arial"/>
                <w:sz w:val="20"/>
                <w:szCs w:val="20"/>
              </w:rPr>
              <w:t>Documentation type of the mortgage</w:t>
            </w:r>
          </w:p>
        </w:tc>
      </w:tr>
      <w:tr w:rsidR="00D61AEF" w14:paraId="16019B42" w14:textId="77777777" w:rsidTr="00987398">
        <w:tc>
          <w:tcPr>
            <w:tcW w:w="2965" w:type="dxa"/>
          </w:tcPr>
          <w:p w14:paraId="36ADD0C0" w14:textId="0EE5AD43" w:rsidR="00D61AEF" w:rsidRDefault="00D61AEF">
            <w:pPr>
              <w:rPr>
                <w:rFonts w:cs="Arial"/>
                <w:sz w:val="20"/>
                <w:szCs w:val="20"/>
              </w:rPr>
            </w:pPr>
            <w:r>
              <w:rPr>
                <w:rFonts w:cs="Arial"/>
                <w:sz w:val="20"/>
                <w:szCs w:val="20"/>
              </w:rPr>
              <w:lastRenderedPageBreak/>
              <w:t>Loan Term</w:t>
            </w:r>
          </w:p>
        </w:tc>
        <w:tc>
          <w:tcPr>
            <w:tcW w:w="6385" w:type="dxa"/>
          </w:tcPr>
          <w:p w14:paraId="452E2300" w14:textId="2A3912F4" w:rsidR="00D61AEF" w:rsidRDefault="00D61AEF">
            <w:pPr>
              <w:rPr>
                <w:rFonts w:cs="Arial"/>
                <w:sz w:val="20"/>
                <w:szCs w:val="20"/>
              </w:rPr>
            </w:pPr>
            <w:r>
              <w:rPr>
                <w:rFonts w:cs="Arial"/>
                <w:sz w:val="20"/>
                <w:szCs w:val="20"/>
              </w:rPr>
              <w:t>Original term of the mortgage</w:t>
            </w:r>
          </w:p>
        </w:tc>
      </w:tr>
      <w:tr w:rsidR="00D61AEF" w14:paraId="74CC0502" w14:textId="77777777" w:rsidTr="00987398">
        <w:tc>
          <w:tcPr>
            <w:tcW w:w="2965" w:type="dxa"/>
          </w:tcPr>
          <w:p w14:paraId="3FC657D1" w14:textId="4BA0A316" w:rsidR="00D61AEF" w:rsidRDefault="00D61AEF">
            <w:pPr>
              <w:rPr>
                <w:rFonts w:cs="Arial"/>
                <w:sz w:val="20"/>
                <w:szCs w:val="20"/>
              </w:rPr>
            </w:pPr>
            <w:r>
              <w:rPr>
                <w:rFonts w:cs="Arial"/>
                <w:sz w:val="20"/>
                <w:szCs w:val="20"/>
              </w:rPr>
              <w:t>Amortization Type</w:t>
            </w:r>
          </w:p>
        </w:tc>
        <w:tc>
          <w:tcPr>
            <w:tcW w:w="6385" w:type="dxa"/>
          </w:tcPr>
          <w:p w14:paraId="3723D5C0" w14:textId="105DC211" w:rsidR="00D61AEF" w:rsidRDefault="00D61AEF">
            <w:pPr>
              <w:rPr>
                <w:rFonts w:cs="Arial"/>
                <w:sz w:val="20"/>
                <w:szCs w:val="20"/>
              </w:rPr>
            </w:pPr>
            <w:r>
              <w:rPr>
                <w:rFonts w:cs="Arial"/>
                <w:sz w:val="20"/>
                <w:szCs w:val="20"/>
              </w:rPr>
              <w:t>Amortization type of the mortgage</w:t>
            </w:r>
          </w:p>
        </w:tc>
      </w:tr>
      <w:tr w:rsidR="00D82100" w14:paraId="062BA9BA" w14:textId="77777777" w:rsidTr="00987398">
        <w:tc>
          <w:tcPr>
            <w:tcW w:w="2965" w:type="dxa"/>
          </w:tcPr>
          <w:p w14:paraId="6C7830B0" w14:textId="48574512" w:rsidR="00D82100" w:rsidRDefault="00D82100">
            <w:pPr>
              <w:rPr>
                <w:rFonts w:cs="Arial"/>
                <w:sz w:val="20"/>
                <w:szCs w:val="20"/>
              </w:rPr>
            </w:pPr>
            <w:r>
              <w:rPr>
                <w:rFonts w:cs="Arial"/>
                <w:sz w:val="20"/>
                <w:szCs w:val="20"/>
              </w:rPr>
              <w:t>Number of Alternative Risk</w:t>
            </w:r>
          </w:p>
        </w:tc>
        <w:tc>
          <w:tcPr>
            <w:tcW w:w="6385" w:type="dxa"/>
          </w:tcPr>
          <w:p w14:paraId="59F0CE6A" w14:textId="7250C4D4" w:rsidR="00D82100" w:rsidRDefault="00D82100">
            <w:pPr>
              <w:rPr>
                <w:rFonts w:cs="Arial"/>
                <w:sz w:val="20"/>
                <w:szCs w:val="20"/>
              </w:rPr>
            </w:pPr>
            <w:r>
              <w:rPr>
                <w:rFonts w:cs="Arial"/>
                <w:sz w:val="20"/>
                <w:szCs w:val="20"/>
              </w:rPr>
              <w:t>Number of alternative risk features</w:t>
            </w:r>
          </w:p>
        </w:tc>
      </w:tr>
      <w:tr w:rsidR="00D82100" w14:paraId="4FB95E9A" w14:textId="77777777" w:rsidTr="00987398">
        <w:tc>
          <w:tcPr>
            <w:tcW w:w="2965" w:type="dxa"/>
          </w:tcPr>
          <w:p w14:paraId="541B09A7" w14:textId="7E7F4A32" w:rsidR="00D82100" w:rsidRDefault="00D82100" w:rsidP="00D82100">
            <w:pPr>
              <w:rPr>
                <w:rFonts w:cs="Arial"/>
                <w:sz w:val="20"/>
                <w:szCs w:val="20"/>
              </w:rPr>
            </w:pPr>
            <w:r>
              <w:rPr>
                <w:rFonts w:cs="Arial"/>
                <w:sz w:val="20"/>
                <w:szCs w:val="20"/>
              </w:rPr>
              <w:t>Number of High Risk</w:t>
            </w:r>
          </w:p>
        </w:tc>
        <w:tc>
          <w:tcPr>
            <w:tcW w:w="6385" w:type="dxa"/>
          </w:tcPr>
          <w:p w14:paraId="2C4E37A4" w14:textId="165A6BDD" w:rsidR="00D82100" w:rsidRDefault="00D82100">
            <w:pPr>
              <w:rPr>
                <w:rFonts w:cs="Arial"/>
                <w:sz w:val="20"/>
                <w:szCs w:val="20"/>
              </w:rPr>
            </w:pPr>
            <w:r>
              <w:rPr>
                <w:rFonts w:cs="Arial"/>
                <w:sz w:val="20"/>
                <w:szCs w:val="20"/>
              </w:rPr>
              <w:t>Number of high risk features</w:t>
            </w:r>
          </w:p>
        </w:tc>
      </w:tr>
      <w:tr w:rsidR="00BA603E" w14:paraId="01156255" w14:textId="77777777" w:rsidTr="00987398">
        <w:tc>
          <w:tcPr>
            <w:tcW w:w="2965" w:type="dxa"/>
          </w:tcPr>
          <w:p w14:paraId="27C25BCC" w14:textId="75BBCD1B" w:rsidR="00BA603E" w:rsidRDefault="00BA603E" w:rsidP="00D82100">
            <w:pPr>
              <w:rPr>
                <w:rFonts w:cs="Arial"/>
                <w:sz w:val="20"/>
                <w:szCs w:val="20"/>
              </w:rPr>
            </w:pPr>
            <w:r>
              <w:rPr>
                <w:rFonts w:cs="Arial"/>
                <w:sz w:val="20"/>
                <w:szCs w:val="20"/>
              </w:rPr>
              <w:t>Number of Risk Offset</w:t>
            </w:r>
          </w:p>
        </w:tc>
        <w:tc>
          <w:tcPr>
            <w:tcW w:w="6385" w:type="dxa"/>
          </w:tcPr>
          <w:p w14:paraId="66485C9A" w14:textId="433DC16F" w:rsidR="00BA603E" w:rsidRDefault="00BA603E">
            <w:pPr>
              <w:rPr>
                <w:rFonts w:cs="Arial"/>
                <w:sz w:val="20"/>
                <w:szCs w:val="20"/>
              </w:rPr>
            </w:pPr>
            <w:r>
              <w:rPr>
                <w:rFonts w:cs="Arial"/>
                <w:sz w:val="20"/>
                <w:szCs w:val="20"/>
              </w:rPr>
              <w:t>Number of low risk features</w:t>
            </w:r>
          </w:p>
        </w:tc>
      </w:tr>
      <w:tr w:rsidR="00D82100" w14:paraId="2283D321" w14:textId="77777777" w:rsidTr="00987398">
        <w:tc>
          <w:tcPr>
            <w:tcW w:w="2965" w:type="dxa"/>
          </w:tcPr>
          <w:p w14:paraId="156F137D" w14:textId="25CF75A5" w:rsidR="00D82100" w:rsidRDefault="00D82100">
            <w:pPr>
              <w:rPr>
                <w:rFonts w:cs="Arial"/>
                <w:sz w:val="20"/>
                <w:szCs w:val="20"/>
              </w:rPr>
            </w:pPr>
            <w:r>
              <w:rPr>
                <w:rFonts w:cs="Arial"/>
                <w:sz w:val="20"/>
                <w:szCs w:val="20"/>
              </w:rPr>
              <w:t>Removal Indicator</w:t>
            </w:r>
          </w:p>
        </w:tc>
        <w:tc>
          <w:tcPr>
            <w:tcW w:w="6385" w:type="dxa"/>
          </w:tcPr>
          <w:p w14:paraId="614B5835" w14:textId="2B3558DA" w:rsidR="00D82100" w:rsidRDefault="00D82100">
            <w:pPr>
              <w:rPr>
                <w:rFonts w:cs="Arial"/>
                <w:sz w:val="20"/>
                <w:szCs w:val="20"/>
              </w:rPr>
            </w:pPr>
            <w:r>
              <w:rPr>
                <w:rFonts w:cs="Arial"/>
                <w:sz w:val="20"/>
                <w:szCs w:val="20"/>
              </w:rPr>
              <w:t>Indicator for removing the loan from the analysis due to the above defined data inconsistencies</w:t>
            </w:r>
          </w:p>
        </w:tc>
      </w:tr>
      <w:tr w:rsidR="00D82100" w14:paraId="64D51960" w14:textId="77777777" w:rsidTr="00987398">
        <w:tc>
          <w:tcPr>
            <w:tcW w:w="2965" w:type="dxa"/>
          </w:tcPr>
          <w:p w14:paraId="62F1242B" w14:textId="4CBD44F2" w:rsidR="00D82100" w:rsidRDefault="00D82100">
            <w:pPr>
              <w:rPr>
                <w:rFonts w:cs="Arial"/>
                <w:sz w:val="20"/>
                <w:szCs w:val="20"/>
              </w:rPr>
            </w:pPr>
            <w:r>
              <w:rPr>
                <w:rFonts w:cs="Arial"/>
                <w:sz w:val="20"/>
                <w:szCs w:val="20"/>
              </w:rPr>
              <w:t>Incomplete Record Indicator</w:t>
            </w:r>
          </w:p>
        </w:tc>
        <w:tc>
          <w:tcPr>
            <w:tcW w:w="6385" w:type="dxa"/>
          </w:tcPr>
          <w:p w14:paraId="580577E3" w14:textId="3E7E190F" w:rsidR="00D82100" w:rsidRDefault="00D82100">
            <w:pPr>
              <w:rPr>
                <w:rFonts w:cs="Arial"/>
                <w:sz w:val="20"/>
                <w:szCs w:val="20"/>
              </w:rPr>
            </w:pPr>
            <w:r>
              <w:rPr>
                <w:rFonts w:cs="Arial"/>
                <w:sz w:val="20"/>
                <w:szCs w:val="20"/>
              </w:rPr>
              <w:t>Indicator for records without a complete performance history (e.g. originated in 1998 with first performance record in 2004)</w:t>
            </w:r>
          </w:p>
        </w:tc>
      </w:tr>
      <w:tr w:rsidR="00D82100" w14:paraId="19FBBE97" w14:textId="77777777" w:rsidTr="00987398">
        <w:tc>
          <w:tcPr>
            <w:tcW w:w="2965" w:type="dxa"/>
          </w:tcPr>
          <w:p w14:paraId="7F9C86F5" w14:textId="61BE5829" w:rsidR="00D82100" w:rsidRDefault="00D82100">
            <w:pPr>
              <w:rPr>
                <w:rFonts w:cs="Arial"/>
                <w:sz w:val="20"/>
                <w:szCs w:val="20"/>
              </w:rPr>
            </w:pPr>
            <w:r>
              <w:rPr>
                <w:rFonts w:cs="Arial"/>
                <w:sz w:val="20"/>
                <w:szCs w:val="20"/>
              </w:rPr>
              <w:t>Original UPB</w:t>
            </w:r>
          </w:p>
        </w:tc>
        <w:tc>
          <w:tcPr>
            <w:tcW w:w="6385" w:type="dxa"/>
          </w:tcPr>
          <w:p w14:paraId="32F27192" w14:textId="02D6174D" w:rsidR="00D82100" w:rsidRDefault="00D82100">
            <w:pPr>
              <w:rPr>
                <w:rFonts w:cs="Arial"/>
                <w:sz w:val="20"/>
                <w:szCs w:val="20"/>
              </w:rPr>
            </w:pPr>
            <w:r>
              <w:rPr>
                <w:rFonts w:cs="Arial"/>
                <w:sz w:val="20"/>
                <w:szCs w:val="20"/>
              </w:rPr>
              <w:t>Origination mortgage amount</w:t>
            </w:r>
          </w:p>
        </w:tc>
      </w:tr>
      <w:tr w:rsidR="00D82100" w14:paraId="3B23A119" w14:textId="77777777" w:rsidTr="00987398">
        <w:tc>
          <w:tcPr>
            <w:tcW w:w="2965" w:type="dxa"/>
          </w:tcPr>
          <w:p w14:paraId="68C0EBEF" w14:textId="325A9FCA" w:rsidR="00D82100" w:rsidRDefault="00D82100">
            <w:pPr>
              <w:rPr>
                <w:rFonts w:cs="Arial"/>
                <w:sz w:val="20"/>
                <w:szCs w:val="20"/>
              </w:rPr>
            </w:pPr>
            <w:r>
              <w:rPr>
                <w:rFonts w:cs="Arial"/>
                <w:sz w:val="20"/>
                <w:szCs w:val="20"/>
              </w:rPr>
              <w:t>Risk in Force</w:t>
            </w:r>
          </w:p>
        </w:tc>
        <w:tc>
          <w:tcPr>
            <w:tcW w:w="6385" w:type="dxa"/>
          </w:tcPr>
          <w:p w14:paraId="4C282516" w14:textId="265F332C" w:rsidR="00D82100" w:rsidRDefault="00D82100">
            <w:pPr>
              <w:rPr>
                <w:rFonts w:cs="Arial"/>
                <w:sz w:val="20"/>
                <w:szCs w:val="20"/>
              </w:rPr>
            </w:pPr>
            <w:r>
              <w:rPr>
                <w:rFonts w:cs="Arial"/>
                <w:sz w:val="20"/>
                <w:szCs w:val="20"/>
              </w:rPr>
              <w:t>Original risk for the mortgage calculated as the original UPB times the coverage amount</w:t>
            </w:r>
          </w:p>
        </w:tc>
      </w:tr>
      <w:tr w:rsidR="00D82100" w14:paraId="1D491AFF" w14:textId="77777777" w:rsidTr="00987398">
        <w:tc>
          <w:tcPr>
            <w:tcW w:w="2965" w:type="dxa"/>
          </w:tcPr>
          <w:p w14:paraId="4C33FF24" w14:textId="230C1016" w:rsidR="00D82100" w:rsidRDefault="00D82100">
            <w:pPr>
              <w:rPr>
                <w:rFonts w:cs="Arial"/>
                <w:sz w:val="20"/>
                <w:szCs w:val="20"/>
              </w:rPr>
            </w:pPr>
            <w:r>
              <w:rPr>
                <w:rFonts w:cs="Arial"/>
                <w:sz w:val="20"/>
                <w:szCs w:val="20"/>
              </w:rPr>
              <w:t>Claim Amount</w:t>
            </w:r>
          </w:p>
        </w:tc>
        <w:tc>
          <w:tcPr>
            <w:tcW w:w="6385" w:type="dxa"/>
          </w:tcPr>
          <w:p w14:paraId="01CFD5C8" w14:textId="341B0ACA" w:rsidR="00D82100" w:rsidRDefault="00D82100">
            <w:pPr>
              <w:rPr>
                <w:rFonts w:cs="Arial"/>
                <w:sz w:val="20"/>
                <w:szCs w:val="20"/>
              </w:rPr>
            </w:pPr>
            <w:r>
              <w:rPr>
                <w:rFonts w:cs="Arial"/>
                <w:sz w:val="20"/>
                <w:szCs w:val="20"/>
              </w:rPr>
              <w:t>Amount of claim paid by the MI, net of recoveries</w:t>
            </w:r>
          </w:p>
        </w:tc>
      </w:tr>
      <w:tr w:rsidR="00D82100" w14:paraId="32757B83" w14:textId="77777777" w:rsidTr="00987398">
        <w:tc>
          <w:tcPr>
            <w:tcW w:w="2965" w:type="dxa"/>
          </w:tcPr>
          <w:p w14:paraId="5FF1F252" w14:textId="794EE439" w:rsidR="00D82100" w:rsidRDefault="00D82100">
            <w:pPr>
              <w:rPr>
                <w:rFonts w:cs="Arial"/>
                <w:sz w:val="20"/>
                <w:szCs w:val="20"/>
              </w:rPr>
            </w:pPr>
            <w:r>
              <w:rPr>
                <w:rFonts w:cs="Arial"/>
                <w:sz w:val="20"/>
                <w:szCs w:val="20"/>
              </w:rPr>
              <w:t>Performing UPB by year from 1995 through 2013</w:t>
            </w:r>
          </w:p>
        </w:tc>
        <w:tc>
          <w:tcPr>
            <w:tcW w:w="6385" w:type="dxa"/>
          </w:tcPr>
          <w:p w14:paraId="5FEA16B1" w14:textId="449E8ADF" w:rsidR="00D82100" w:rsidRDefault="00D82100">
            <w:pPr>
              <w:rPr>
                <w:rFonts w:cs="Arial"/>
                <w:sz w:val="20"/>
                <w:szCs w:val="20"/>
              </w:rPr>
            </w:pPr>
            <w:r>
              <w:rPr>
                <w:rFonts w:cs="Arial"/>
                <w:sz w:val="20"/>
                <w:szCs w:val="20"/>
              </w:rPr>
              <w:t>One column per year of the Performing UPB of the mortgage for each calendar year</w:t>
            </w:r>
          </w:p>
        </w:tc>
      </w:tr>
      <w:tr w:rsidR="00D82100" w14:paraId="146FC6B1" w14:textId="77777777" w:rsidTr="00987398">
        <w:tc>
          <w:tcPr>
            <w:tcW w:w="2965" w:type="dxa"/>
          </w:tcPr>
          <w:p w14:paraId="7B9ECC36" w14:textId="2C610BCD" w:rsidR="00D82100" w:rsidRDefault="00D82100" w:rsidP="00D82100">
            <w:pPr>
              <w:rPr>
                <w:rFonts w:cs="Arial"/>
                <w:sz w:val="20"/>
                <w:szCs w:val="20"/>
              </w:rPr>
            </w:pPr>
            <w:r>
              <w:rPr>
                <w:rFonts w:cs="Arial"/>
                <w:sz w:val="20"/>
                <w:szCs w:val="20"/>
              </w:rPr>
              <w:t>Delinquent UPB by year from 1995 through 2013</w:t>
            </w:r>
          </w:p>
        </w:tc>
        <w:tc>
          <w:tcPr>
            <w:tcW w:w="6385" w:type="dxa"/>
          </w:tcPr>
          <w:p w14:paraId="160D39D1" w14:textId="00CA938E" w:rsidR="00D82100" w:rsidRDefault="00D82100" w:rsidP="00D82100">
            <w:pPr>
              <w:rPr>
                <w:rFonts w:cs="Arial"/>
                <w:sz w:val="20"/>
                <w:szCs w:val="20"/>
              </w:rPr>
            </w:pPr>
            <w:r>
              <w:rPr>
                <w:rFonts w:cs="Arial"/>
                <w:sz w:val="20"/>
                <w:szCs w:val="20"/>
              </w:rPr>
              <w:t>One column per year of the Delinquent UPB of the mortgage for each calendar year</w:t>
            </w:r>
          </w:p>
        </w:tc>
      </w:tr>
      <w:tr w:rsidR="00D82100" w14:paraId="36D57EF0" w14:textId="77777777" w:rsidTr="00987398">
        <w:tc>
          <w:tcPr>
            <w:tcW w:w="2965" w:type="dxa"/>
          </w:tcPr>
          <w:p w14:paraId="4A2B083E" w14:textId="5A348020" w:rsidR="00D82100" w:rsidRDefault="00D82100" w:rsidP="00D82100">
            <w:pPr>
              <w:rPr>
                <w:rFonts w:cs="Arial"/>
                <w:sz w:val="20"/>
                <w:szCs w:val="20"/>
              </w:rPr>
            </w:pPr>
            <w:r>
              <w:rPr>
                <w:rFonts w:cs="Arial"/>
                <w:sz w:val="20"/>
                <w:szCs w:val="20"/>
              </w:rPr>
              <w:t>Performing RIF by year from 1995 through 2013</w:t>
            </w:r>
          </w:p>
        </w:tc>
        <w:tc>
          <w:tcPr>
            <w:tcW w:w="6385" w:type="dxa"/>
          </w:tcPr>
          <w:p w14:paraId="6FE81E0B" w14:textId="4B5236C1" w:rsidR="00D82100" w:rsidRDefault="00D82100" w:rsidP="00D82100">
            <w:pPr>
              <w:rPr>
                <w:rFonts w:cs="Arial"/>
                <w:sz w:val="20"/>
                <w:szCs w:val="20"/>
              </w:rPr>
            </w:pPr>
            <w:r>
              <w:rPr>
                <w:rFonts w:cs="Arial"/>
                <w:sz w:val="20"/>
                <w:szCs w:val="20"/>
              </w:rPr>
              <w:t>One column per year of the Performing Risk in Force of the mortgage for each calendar year</w:t>
            </w:r>
          </w:p>
        </w:tc>
      </w:tr>
      <w:tr w:rsidR="00D82100" w14:paraId="2CD75CE6" w14:textId="77777777" w:rsidTr="00987398">
        <w:tc>
          <w:tcPr>
            <w:tcW w:w="2965" w:type="dxa"/>
          </w:tcPr>
          <w:p w14:paraId="148B5B83" w14:textId="1F64741E" w:rsidR="00D82100" w:rsidRDefault="00D82100" w:rsidP="00D82100">
            <w:pPr>
              <w:rPr>
                <w:rFonts w:cs="Arial"/>
                <w:sz w:val="20"/>
                <w:szCs w:val="20"/>
              </w:rPr>
            </w:pPr>
            <w:r>
              <w:rPr>
                <w:rFonts w:cs="Arial"/>
                <w:sz w:val="20"/>
                <w:szCs w:val="20"/>
              </w:rPr>
              <w:t>Delinquent RIF by year from 1995 through 2013</w:t>
            </w:r>
          </w:p>
        </w:tc>
        <w:tc>
          <w:tcPr>
            <w:tcW w:w="6385" w:type="dxa"/>
          </w:tcPr>
          <w:p w14:paraId="41427034" w14:textId="1BBE5A20" w:rsidR="00D82100" w:rsidRDefault="00D82100" w:rsidP="00D82100">
            <w:pPr>
              <w:rPr>
                <w:rFonts w:cs="Arial"/>
                <w:sz w:val="20"/>
                <w:szCs w:val="20"/>
              </w:rPr>
            </w:pPr>
            <w:r>
              <w:rPr>
                <w:rFonts w:cs="Arial"/>
                <w:sz w:val="20"/>
                <w:szCs w:val="20"/>
              </w:rPr>
              <w:t>One column per year of the Delinquent Risk in Force of the mortgage for each calendar year</w:t>
            </w:r>
          </w:p>
        </w:tc>
      </w:tr>
      <w:tr w:rsidR="00D82100" w14:paraId="0573ABAE" w14:textId="77777777" w:rsidTr="00987398">
        <w:tc>
          <w:tcPr>
            <w:tcW w:w="2965" w:type="dxa"/>
          </w:tcPr>
          <w:p w14:paraId="40EC765D" w14:textId="2155C513" w:rsidR="00D82100" w:rsidRDefault="00D82100" w:rsidP="00D82100">
            <w:pPr>
              <w:rPr>
                <w:rFonts w:cs="Arial"/>
                <w:sz w:val="20"/>
                <w:szCs w:val="20"/>
              </w:rPr>
            </w:pPr>
            <w:r>
              <w:rPr>
                <w:rFonts w:cs="Arial"/>
                <w:sz w:val="20"/>
                <w:szCs w:val="20"/>
              </w:rPr>
              <w:t>Claim amount by year from 1995 through 2013</w:t>
            </w:r>
          </w:p>
        </w:tc>
        <w:tc>
          <w:tcPr>
            <w:tcW w:w="6385" w:type="dxa"/>
          </w:tcPr>
          <w:p w14:paraId="4A85AE11" w14:textId="03130C05" w:rsidR="00D82100" w:rsidRDefault="00D82100" w:rsidP="00D82100">
            <w:pPr>
              <w:rPr>
                <w:rFonts w:cs="Arial"/>
                <w:sz w:val="20"/>
                <w:szCs w:val="20"/>
              </w:rPr>
            </w:pPr>
            <w:r>
              <w:rPr>
                <w:rFonts w:cs="Arial"/>
                <w:sz w:val="20"/>
                <w:szCs w:val="20"/>
              </w:rPr>
              <w:t>One column per year of the net claim paid</w:t>
            </w:r>
            <w:r w:rsidR="00B6769F">
              <w:rPr>
                <w:rFonts w:cs="Arial"/>
                <w:sz w:val="20"/>
                <w:szCs w:val="20"/>
              </w:rPr>
              <w:t xml:space="preserve"> </w:t>
            </w:r>
            <w:r>
              <w:rPr>
                <w:rFonts w:cs="Arial"/>
                <w:sz w:val="20"/>
                <w:szCs w:val="20"/>
              </w:rPr>
              <w:t>each calendar year</w:t>
            </w:r>
          </w:p>
        </w:tc>
      </w:tr>
    </w:tbl>
    <w:p w14:paraId="1B61FC0B" w14:textId="0BDDAF93" w:rsidR="00D61AEF" w:rsidRDefault="00D61AEF">
      <w:pPr>
        <w:rPr>
          <w:rFonts w:cs="Arial"/>
          <w:sz w:val="20"/>
          <w:szCs w:val="20"/>
        </w:rPr>
      </w:pPr>
      <w:r>
        <w:rPr>
          <w:rFonts w:cs="Arial"/>
          <w:sz w:val="20"/>
          <w:szCs w:val="20"/>
        </w:rPr>
        <w:t>The above dataset was used for th</w:t>
      </w:r>
      <w:r w:rsidR="000A6DF0">
        <w:rPr>
          <w:rFonts w:cs="Arial"/>
          <w:sz w:val="20"/>
          <w:szCs w:val="20"/>
        </w:rPr>
        <w:t>e entirety of this analysis, with the exception of the severity estimation. For the severity estimates, Milliman relied upon data published by Fannie Mae and Freddie Mac. The dataset can be downloaded at the following links (which also include detailed descriptions of the data):</w:t>
      </w:r>
    </w:p>
    <w:p w14:paraId="0D0C7DE2" w14:textId="2CB11FF2" w:rsidR="000A6DF0" w:rsidRDefault="000A6DF0">
      <w:pPr>
        <w:rPr>
          <w:rFonts w:cs="Arial"/>
          <w:sz w:val="20"/>
          <w:szCs w:val="20"/>
        </w:rPr>
      </w:pPr>
      <w:r>
        <w:rPr>
          <w:rFonts w:cs="Arial"/>
          <w:sz w:val="20"/>
          <w:szCs w:val="20"/>
        </w:rPr>
        <w:t xml:space="preserve">Fannie Mae: </w:t>
      </w:r>
      <w:hyperlink r:id="rId20" w:history="1">
        <w:r w:rsidRPr="00A9561A">
          <w:rPr>
            <w:rStyle w:val="Hyperlink"/>
            <w:rFonts w:cs="Arial"/>
            <w:sz w:val="20"/>
            <w:szCs w:val="20"/>
          </w:rPr>
          <w:t>https://www.fanniemae.com/portal/funding-the-market/data/loan-performance-data.html</w:t>
        </w:r>
      </w:hyperlink>
    </w:p>
    <w:p w14:paraId="5E89FC18" w14:textId="5A37D0EA" w:rsidR="000A6DF0" w:rsidRDefault="000A6DF0">
      <w:pPr>
        <w:rPr>
          <w:rFonts w:cs="Arial"/>
          <w:sz w:val="20"/>
          <w:szCs w:val="20"/>
        </w:rPr>
      </w:pPr>
      <w:r>
        <w:rPr>
          <w:rFonts w:cs="Arial"/>
          <w:sz w:val="20"/>
          <w:szCs w:val="20"/>
        </w:rPr>
        <w:t xml:space="preserve">Freddie Mac: </w:t>
      </w:r>
      <w:hyperlink r:id="rId21" w:history="1">
        <w:r w:rsidRPr="00A9561A">
          <w:rPr>
            <w:rStyle w:val="Hyperlink"/>
            <w:rFonts w:cs="Arial"/>
            <w:sz w:val="20"/>
            <w:szCs w:val="20"/>
          </w:rPr>
          <w:t>http://www.freddiemac.com/research/datasets/sf_loanlevel_dataset.page</w:t>
        </w:r>
      </w:hyperlink>
    </w:p>
    <w:p w14:paraId="18D488A0" w14:textId="45817712" w:rsidR="00261E16" w:rsidRDefault="00261E16" w:rsidP="00261E16">
      <w:pPr>
        <w:spacing w:after="120" w:line="288" w:lineRule="auto"/>
        <w:jc w:val="both"/>
        <w:rPr>
          <w:b/>
          <w:i/>
          <w:sz w:val="20"/>
          <w:szCs w:val="20"/>
        </w:rPr>
      </w:pPr>
      <w:r>
        <w:rPr>
          <w:b/>
          <w:i/>
          <w:sz w:val="20"/>
          <w:szCs w:val="20"/>
        </w:rPr>
        <w:t>C.2.ii Summary Statistics</w:t>
      </w:r>
    </w:p>
    <w:p w14:paraId="2C8A1321" w14:textId="439BE653" w:rsidR="00261E16" w:rsidRDefault="00261E16" w:rsidP="00261E16">
      <w:pPr>
        <w:spacing w:after="120" w:line="288" w:lineRule="auto"/>
        <w:jc w:val="both"/>
        <w:rPr>
          <w:sz w:val="20"/>
        </w:rPr>
      </w:pPr>
      <w:r>
        <w:rPr>
          <w:sz w:val="20"/>
        </w:rPr>
        <w:t>Exhibit C</w:t>
      </w:r>
      <w:r w:rsidR="006D5D30">
        <w:rPr>
          <w:sz w:val="20"/>
        </w:rPr>
        <w:t>.2.1</w:t>
      </w:r>
      <w:r>
        <w:rPr>
          <w:sz w:val="20"/>
        </w:rPr>
        <w:t xml:space="preserve"> provides summary statistics of the</w:t>
      </w:r>
      <w:r w:rsidR="00F660EF">
        <w:rPr>
          <w:sz w:val="20"/>
        </w:rPr>
        <w:t xml:space="preserve"> mortgage insurer</w:t>
      </w:r>
      <w:r>
        <w:rPr>
          <w:sz w:val="20"/>
        </w:rPr>
        <w:t xml:space="preserve"> data. </w:t>
      </w:r>
      <w:r w:rsidR="00835F7B">
        <w:rPr>
          <w:sz w:val="20"/>
        </w:rPr>
        <w:t xml:space="preserve">For each data element the exhibits show the original risk by origination year and each variable, the percentage distribution for each origination year, the claim amount, the loss rate (claim amount divided by original risk), and the relativity of the loss rate to the baseline factor. </w:t>
      </w:r>
      <w:r>
        <w:rPr>
          <w:sz w:val="20"/>
        </w:rPr>
        <w:t>The table below provides a summary of the exhibits.</w:t>
      </w:r>
    </w:p>
    <w:tbl>
      <w:tblPr>
        <w:tblStyle w:val="TableGrid"/>
        <w:tblW w:w="0" w:type="auto"/>
        <w:tblLook w:val="04A0" w:firstRow="1" w:lastRow="0" w:firstColumn="1" w:lastColumn="0" w:noHBand="0" w:noVBand="1"/>
      </w:tblPr>
      <w:tblGrid>
        <w:gridCol w:w="1705"/>
        <w:gridCol w:w="7645"/>
      </w:tblGrid>
      <w:tr w:rsidR="00261E16" w14:paraId="2ED7A0EB" w14:textId="77777777" w:rsidTr="002C6321">
        <w:tc>
          <w:tcPr>
            <w:tcW w:w="1705" w:type="dxa"/>
          </w:tcPr>
          <w:p w14:paraId="480CAAE2" w14:textId="4B6913FB" w:rsidR="00261E16" w:rsidRDefault="00261E16" w:rsidP="00FE4D9D">
            <w:pPr>
              <w:spacing w:line="288" w:lineRule="auto"/>
              <w:jc w:val="both"/>
              <w:rPr>
                <w:sz w:val="20"/>
              </w:rPr>
            </w:pPr>
            <w:r>
              <w:rPr>
                <w:sz w:val="20"/>
              </w:rPr>
              <w:t>Exhibit C.</w:t>
            </w:r>
            <w:r w:rsidR="00FE4D9D">
              <w:rPr>
                <w:sz w:val="20"/>
              </w:rPr>
              <w:t>2.1</w:t>
            </w:r>
          </w:p>
        </w:tc>
        <w:tc>
          <w:tcPr>
            <w:tcW w:w="7645" w:type="dxa"/>
          </w:tcPr>
          <w:p w14:paraId="29048E66" w14:textId="0D288B09" w:rsidR="00261E16" w:rsidRDefault="00835F7B" w:rsidP="00987398">
            <w:pPr>
              <w:spacing w:line="288" w:lineRule="auto"/>
              <w:jc w:val="both"/>
              <w:rPr>
                <w:sz w:val="20"/>
              </w:rPr>
            </w:pPr>
            <w:r>
              <w:rPr>
                <w:sz w:val="20"/>
              </w:rPr>
              <w:t>Data Element</w:t>
            </w:r>
          </w:p>
        </w:tc>
      </w:tr>
      <w:tr w:rsidR="00261E16" w14:paraId="59596640" w14:textId="77777777" w:rsidTr="002C6321">
        <w:tc>
          <w:tcPr>
            <w:tcW w:w="1705" w:type="dxa"/>
          </w:tcPr>
          <w:p w14:paraId="0F98DBE0" w14:textId="5AAE5585" w:rsidR="00261E16" w:rsidRDefault="00835F7B" w:rsidP="00987398">
            <w:pPr>
              <w:spacing w:line="288" w:lineRule="auto"/>
              <w:jc w:val="both"/>
              <w:rPr>
                <w:sz w:val="20"/>
              </w:rPr>
            </w:pPr>
            <w:r>
              <w:rPr>
                <w:sz w:val="20"/>
              </w:rPr>
              <w:t>Page 1-5</w:t>
            </w:r>
          </w:p>
        </w:tc>
        <w:tc>
          <w:tcPr>
            <w:tcW w:w="7645" w:type="dxa"/>
          </w:tcPr>
          <w:p w14:paraId="7637E502" w14:textId="5D79C5CF" w:rsidR="00261E16" w:rsidRDefault="00835F7B" w:rsidP="00987398">
            <w:pPr>
              <w:spacing w:line="288" w:lineRule="auto"/>
              <w:jc w:val="both"/>
              <w:rPr>
                <w:sz w:val="20"/>
              </w:rPr>
            </w:pPr>
            <w:r>
              <w:rPr>
                <w:sz w:val="20"/>
              </w:rPr>
              <w:t>FICO</w:t>
            </w:r>
          </w:p>
        </w:tc>
      </w:tr>
      <w:tr w:rsidR="00261E16" w14:paraId="4E8C0B11" w14:textId="77777777" w:rsidTr="002C6321">
        <w:tc>
          <w:tcPr>
            <w:tcW w:w="1705" w:type="dxa"/>
          </w:tcPr>
          <w:p w14:paraId="55B48E13" w14:textId="70233997" w:rsidR="00261E16" w:rsidRDefault="00835F7B" w:rsidP="00987398">
            <w:pPr>
              <w:spacing w:line="288" w:lineRule="auto"/>
              <w:jc w:val="both"/>
              <w:rPr>
                <w:sz w:val="20"/>
              </w:rPr>
            </w:pPr>
            <w:r>
              <w:rPr>
                <w:sz w:val="20"/>
              </w:rPr>
              <w:t>Page 6-10</w:t>
            </w:r>
          </w:p>
        </w:tc>
        <w:tc>
          <w:tcPr>
            <w:tcW w:w="7645" w:type="dxa"/>
          </w:tcPr>
          <w:p w14:paraId="0ABB4D2A" w14:textId="55935CD4" w:rsidR="00261E16" w:rsidRDefault="00835F7B" w:rsidP="00987398">
            <w:pPr>
              <w:spacing w:line="288" w:lineRule="auto"/>
              <w:jc w:val="both"/>
              <w:rPr>
                <w:sz w:val="20"/>
              </w:rPr>
            </w:pPr>
            <w:r>
              <w:rPr>
                <w:sz w:val="20"/>
              </w:rPr>
              <w:t>Loan-to-Value Ratio</w:t>
            </w:r>
          </w:p>
        </w:tc>
      </w:tr>
      <w:tr w:rsidR="00261E16" w14:paraId="0B50C6AA" w14:textId="77777777" w:rsidTr="002C6321">
        <w:tc>
          <w:tcPr>
            <w:tcW w:w="1705" w:type="dxa"/>
          </w:tcPr>
          <w:p w14:paraId="6D91579A" w14:textId="4213D8E8" w:rsidR="00261E16" w:rsidRDefault="00835F7B" w:rsidP="00987398">
            <w:pPr>
              <w:spacing w:line="288" w:lineRule="auto"/>
              <w:jc w:val="both"/>
              <w:rPr>
                <w:sz w:val="20"/>
              </w:rPr>
            </w:pPr>
            <w:r>
              <w:rPr>
                <w:sz w:val="20"/>
              </w:rPr>
              <w:t>Page 11-15</w:t>
            </w:r>
          </w:p>
        </w:tc>
        <w:tc>
          <w:tcPr>
            <w:tcW w:w="7645" w:type="dxa"/>
          </w:tcPr>
          <w:p w14:paraId="7BDA9345" w14:textId="7C8089BB" w:rsidR="00261E16" w:rsidRDefault="00835F7B" w:rsidP="00987398">
            <w:pPr>
              <w:spacing w:line="288" w:lineRule="auto"/>
              <w:jc w:val="both"/>
              <w:rPr>
                <w:sz w:val="20"/>
              </w:rPr>
            </w:pPr>
            <w:r>
              <w:rPr>
                <w:sz w:val="20"/>
              </w:rPr>
              <w:t>Amortization Type</w:t>
            </w:r>
          </w:p>
        </w:tc>
      </w:tr>
      <w:tr w:rsidR="00261E16" w14:paraId="11EF5B8D" w14:textId="77777777" w:rsidTr="002C6321">
        <w:tc>
          <w:tcPr>
            <w:tcW w:w="1705" w:type="dxa"/>
          </w:tcPr>
          <w:p w14:paraId="34E22054" w14:textId="0DF37680" w:rsidR="00261E16" w:rsidRDefault="00835F7B" w:rsidP="00987398">
            <w:pPr>
              <w:spacing w:line="288" w:lineRule="auto"/>
              <w:jc w:val="both"/>
              <w:rPr>
                <w:sz w:val="20"/>
              </w:rPr>
            </w:pPr>
            <w:r>
              <w:rPr>
                <w:sz w:val="20"/>
              </w:rPr>
              <w:t>Page 16-20</w:t>
            </w:r>
          </w:p>
        </w:tc>
        <w:tc>
          <w:tcPr>
            <w:tcW w:w="7645" w:type="dxa"/>
          </w:tcPr>
          <w:p w14:paraId="61FF15AC" w14:textId="60909686" w:rsidR="00261E16" w:rsidRDefault="00835F7B" w:rsidP="00987398">
            <w:pPr>
              <w:spacing w:line="288" w:lineRule="auto"/>
              <w:jc w:val="both"/>
              <w:rPr>
                <w:sz w:val="20"/>
              </w:rPr>
            </w:pPr>
            <w:r>
              <w:rPr>
                <w:sz w:val="20"/>
              </w:rPr>
              <w:t>Loan Purpose</w:t>
            </w:r>
          </w:p>
        </w:tc>
      </w:tr>
      <w:tr w:rsidR="00261E16" w14:paraId="58A10130" w14:textId="77777777" w:rsidTr="002C6321">
        <w:tc>
          <w:tcPr>
            <w:tcW w:w="1705" w:type="dxa"/>
          </w:tcPr>
          <w:p w14:paraId="2697F190" w14:textId="5D4ABBC2" w:rsidR="00261E16" w:rsidRDefault="00835F7B" w:rsidP="00987398">
            <w:pPr>
              <w:spacing w:line="288" w:lineRule="auto"/>
              <w:jc w:val="both"/>
              <w:rPr>
                <w:sz w:val="20"/>
              </w:rPr>
            </w:pPr>
            <w:r>
              <w:rPr>
                <w:sz w:val="20"/>
              </w:rPr>
              <w:t>Page 21-25</w:t>
            </w:r>
          </w:p>
        </w:tc>
        <w:tc>
          <w:tcPr>
            <w:tcW w:w="7645" w:type="dxa"/>
          </w:tcPr>
          <w:p w14:paraId="2E1AE3C6" w14:textId="51A79BC8" w:rsidR="00261E16" w:rsidRDefault="00835F7B" w:rsidP="00987398">
            <w:pPr>
              <w:spacing w:line="288" w:lineRule="auto"/>
              <w:jc w:val="both"/>
              <w:rPr>
                <w:sz w:val="20"/>
              </w:rPr>
            </w:pPr>
            <w:r>
              <w:rPr>
                <w:sz w:val="20"/>
              </w:rPr>
              <w:t>Occupancy Type</w:t>
            </w:r>
          </w:p>
        </w:tc>
      </w:tr>
      <w:tr w:rsidR="00261E16" w14:paraId="2BC18F6A" w14:textId="77777777" w:rsidTr="002C6321">
        <w:tc>
          <w:tcPr>
            <w:tcW w:w="1705" w:type="dxa"/>
          </w:tcPr>
          <w:p w14:paraId="33B77B9C" w14:textId="79C6FB79" w:rsidR="00261E16" w:rsidRDefault="00835F7B" w:rsidP="00987398">
            <w:pPr>
              <w:spacing w:line="288" w:lineRule="auto"/>
              <w:jc w:val="both"/>
              <w:rPr>
                <w:sz w:val="20"/>
              </w:rPr>
            </w:pPr>
            <w:r>
              <w:rPr>
                <w:sz w:val="20"/>
              </w:rPr>
              <w:t>Page 26-30</w:t>
            </w:r>
          </w:p>
        </w:tc>
        <w:tc>
          <w:tcPr>
            <w:tcW w:w="7645" w:type="dxa"/>
          </w:tcPr>
          <w:p w14:paraId="210DDC1A" w14:textId="0B6B08F7" w:rsidR="00261E16" w:rsidRDefault="00835F7B" w:rsidP="00987398">
            <w:pPr>
              <w:spacing w:line="288" w:lineRule="auto"/>
              <w:jc w:val="both"/>
              <w:rPr>
                <w:sz w:val="20"/>
              </w:rPr>
            </w:pPr>
            <w:r>
              <w:rPr>
                <w:sz w:val="20"/>
              </w:rPr>
              <w:t>Interest Only Indicator</w:t>
            </w:r>
          </w:p>
        </w:tc>
      </w:tr>
      <w:tr w:rsidR="00261E16" w14:paraId="4D0D1099" w14:textId="77777777" w:rsidTr="002C6321">
        <w:tc>
          <w:tcPr>
            <w:tcW w:w="1705" w:type="dxa"/>
          </w:tcPr>
          <w:p w14:paraId="3BA7914D" w14:textId="51B67A78" w:rsidR="00261E16" w:rsidRDefault="00835F7B" w:rsidP="00987398">
            <w:pPr>
              <w:spacing w:line="288" w:lineRule="auto"/>
              <w:jc w:val="both"/>
              <w:rPr>
                <w:sz w:val="20"/>
              </w:rPr>
            </w:pPr>
            <w:r>
              <w:rPr>
                <w:sz w:val="20"/>
              </w:rPr>
              <w:t>Page 31-35</w:t>
            </w:r>
          </w:p>
        </w:tc>
        <w:tc>
          <w:tcPr>
            <w:tcW w:w="7645" w:type="dxa"/>
          </w:tcPr>
          <w:p w14:paraId="267E0EDE" w14:textId="6D084830" w:rsidR="00261E16" w:rsidRDefault="00835F7B" w:rsidP="00987398">
            <w:pPr>
              <w:spacing w:line="288" w:lineRule="auto"/>
              <w:jc w:val="both"/>
              <w:rPr>
                <w:sz w:val="20"/>
              </w:rPr>
            </w:pPr>
            <w:r>
              <w:rPr>
                <w:sz w:val="20"/>
              </w:rPr>
              <w:t>Property Type Description</w:t>
            </w:r>
          </w:p>
        </w:tc>
      </w:tr>
      <w:tr w:rsidR="00261E16" w14:paraId="1BADD8EB" w14:textId="77777777" w:rsidTr="002C6321">
        <w:tc>
          <w:tcPr>
            <w:tcW w:w="1705" w:type="dxa"/>
          </w:tcPr>
          <w:p w14:paraId="09428F08" w14:textId="2B8C71FC" w:rsidR="00261E16" w:rsidRDefault="00835F7B" w:rsidP="00987398">
            <w:pPr>
              <w:spacing w:line="288" w:lineRule="auto"/>
              <w:jc w:val="both"/>
              <w:rPr>
                <w:sz w:val="20"/>
              </w:rPr>
            </w:pPr>
            <w:r>
              <w:rPr>
                <w:sz w:val="20"/>
              </w:rPr>
              <w:t>Page 36-40</w:t>
            </w:r>
          </w:p>
        </w:tc>
        <w:tc>
          <w:tcPr>
            <w:tcW w:w="7645" w:type="dxa"/>
          </w:tcPr>
          <w:p w14:paraId="5975EA64" w14:textId="164B4DFA" w:rsidR="00261E16" w:rsidRDefault="00835F7B" w:rsidP="00987398">
            <w:pPr>
              <w:spacing w:line="288" w:lineRule="auto"/>
              <w:jc w:val="both"/>
              <w:rPr>
                <w:sz w:val="20"/>
              </w:rPr>
            </w:pPr>
            <w:r>
              <w:rPr>
                <w:sz w:val="20"/>
              </w:rPr>
              <w:t>Documentation Type</w:t>
            </w:r>
          </w:p>
        </w:tc>
      </w:tr>
      <w:tr w:rsidR="00835F7B" w14:paraId="44AE4D5C" w14:textId="77777777" w:rsidTr="002C6321">
        <w:tc>
          <w:tcPr>
            <w:tcW w:w="1705" w:type="dxa"/>
          </w:tcPr>
          <w:p w14:paraId="443D35A1" w14:textId="35630AA4" w:rsidR="00835F7B" w:rsidRDefault="00835F7B" w:rsidP="00987398">
            <w:pPr>
              <w:spacing w:line="288" w:lineRule="auto"/>
              <w:jc w:val="both"/>
              <w:rPr>
                <w:sz w:val="20"/>
              </w:rPr>
            </w:pPr>
            <w:r>
              <w:rPr>
                <w:sz w:val="20"/>
              </w:rPr>
              <w:t>Page 41-45</w:t>
            </w:r>
          </w:p>
        </w:tc>
        <w:tc>
          <w:tcPr>
            <w:tcW w:w="7645" w:type="dxa"/>
          </w:tcPr>
          <w:p w14:paraId="7B3F4105" w14:textId="322550D9" w:rsidR="00835F7B" w:rsidRDefault="00835F7B" w:rsidP="00987398">
            <w:pPr>
              <w:spacing w:line="288" w:lineRule="auto"/>
              <w:jc w:val="both"/>
              <w:rPr>
                <w:sz w:val="20"/>
              </w:rPr>
            </w:pPr>
            <w:r>
              <w:rPr>
                <w:sz w:val="20"/>
              </w:rPr>
              <w:t>Original Term</w:t>
            </w:r>
          </w:p>
        </w:tc>
      </w:tr>
      <w:tr w:rsidR="00835F7B" w14:paraId="66C9BB8D" w14:textId="77777777" w:rsidTr="002C6321">
        <w:tc>
          <w:tcPr>
            <w:tcW w:w="1705" w:type="dxa"/>
          </w:tcPr>
          <w:p w14:paraId="22260036" w14:textId="3AC300E5" w:rsidR="00835F7B" w:rsidRDefault="00835F7B" w:rsidP="00987398">
            <w:pPr>
              <w:spacing w:line="288" w:lineRule="auto"/>
              <w:jc w:val="both"/>
              <w:rPr>
                <w:sz w:val="20"/>
              </w:rPr>
            </w:pPr>
            <w:r>
              <w:rPr>
                <w:sz w:val="20"/>
              </w:rPr>
              <w:t>Page 46-50</w:t>
            </w:r>
          </w:p>
        </w:tc>
        <w:tc>
          <w:tcPr>
            <w:tcW w:w="7645" w:type="dxa"/>
          </w:tcPr>
          <w:p w14:paraId="26E2D31D" w14:textId="64D2A3FD" w:rsidR="00835F7B" w:rsidRDefault="00835F7B" w:rsidP="00987398">
            <w:pPr>
              <w:spacing w:line="288" w:lineRule="auto"/>
              <w:jc w:val="both"/>
              <w:rPr>
                <w:sz w:val="20"/>
              </w:rPr>
            </w:pPr>
            <w:r>
              <w:rPr>
                <w:sz w:val="20"/>
              </w:rPr>
              <w:t>Number of High Risk Features</w:t>
            </w:r>
          </w:p>
        </w:tc>
      </w:tr>
      <w:tr w:rsidR="00835F7B" w14:paraId="0EC4649E" w14:textId="77777777" w:rsidTr="00987398">
        <w:trPr>
          <w:trHeight w:val="60"/>
        </w:trPr>
        <w:tc>
          <w:tcPr>
            <w:tcW w:w="1705" w:type="dxa"/>
          </w:tcPr>
          <w:p w14:paraId="6E72511D" w14:textId="58857D97" w:rsidR="00835F7B" w:rsidRDefault="00835F7B" w:rsidP="00987398">
            <w:pPr>
              <w:spacing w:line="288" w:lineRule="auto"/>
              <w:jc w:val="both"/>
              <w:rPr>
                <w:sz w:val="20"/>
              </w:rPr>
            </w:pPr>
            <w:r>
              <w:rPr>
                <w:sz w:val="20"/>
              </w:rPr>
              <w:t>Page 51-55</w:t>
            </w:r>
          </w:p>
        </w:tc>
        <w:tc>
          <w:tcPr>
            <w:tcW w:w="7645" w:type="dxa"/>
          </w:tcPr>
          <w:p w14:paraId="329EBCF9" w14:textId="063A8B13" w:rsidR="00835F7B" w:rsidRDefault="00835F7B" w:rsidP="00987398">
            <w:pPr>
              <w:spacing w:line="288" w:lineRule="auto"/>
              <w:jc w:val="both"/>
              <w:rPr>
                <w:sz w:val="20"/>
              </w:rPr>
            </w:pPr>
            <w:r>
              <w:rPr>
                <w:sz w:val="20"/>
              </w:rPr>
              <w:t>Number of Alternative Risk Features</w:t>
            </w:r>
          </w:p>
        </w:tc>
      </w:tr>
      <w:tr w:rsidR="007F17DC" w14:paraId="68F60275" w14:textId="77777777" w:rsidTr="00987398">
        <w:trPr>
          <w:trHeight w:val="60"/>
        </w:trPr>
        <w:tc>
          <w:tcPr>
            <w:tcW w:w="1705" w:type="dxa"/>
          </w:tcPr>
          <w:p w14:paraId="4B47AAA6" w14:textId="063DC668" w:rsidR="007F17DC" w:rsidRDefault="00100B99" w:rsidP="00987398">
            <w:pPr>
              <w:spacing w:line="288" w:lineRule="auto"/>
              <w:jc w:val="both"/>
              <w:rPr>
                <w:sz w:val="20"/>
              </w:rPr>
            </w:pPr>
            <w:r>
              <w:rPr>
                <w:sz w:val="20"/>
              </w:rPr>
              <w:t>Page 56-60</w:t>
            </w:r>
          </w:p>
        </w:tc>
        <w:tc>
          <w:tcPr>
            <w:tcW w:w="7645" w:type="dxa"/>
          </w:tcPr>
          <w:p w14:paraId="176A6D76" w14:textId="5CCB5A54" w:rsidR="007F17DC" w:rsidRDefault="007F17DC" w:rsidP="00987398">
            <w:pPr>
              <w:spacing w:line="288" w:lineRule="auto"/>
              <w:jc w:val="both"/>
              <w:rPr>
                <w:sz w:val="20"/>
              </w:rPr>
            </w:pPr>
            <w:r>
              <w:rPr>
                <w:sz w:val="20"/>
              </w:rPr>
              <w:t>Number of Risk Offset Factors</w:t>
            </w:r>
          </w:p>
        </w:tc>
      </w:tr>
    </w:tbl>
    <w:p w14:paraId="0F0EAFD6" w14:textId="44CF34B0" w:rsidR="00726C66" w:rsidRDefault="008F5543">
      <w:pPr>
        <w:rPr>
          <w:color w:val="0081E3" w:themeColor="accent4"/>
          <w:sz w:val="28"/>
          <w:szCs w:val="28"/>
        </w:rPr>
      </w:pPr>
      <w:r>
        <w:rPr>
          <w:color w:val="0081E3" w:themeColor="accent4"/>
          <w:sz w:val="28"/>
          <w:szCs w:val="28"/>
        </w:rPr>
        <w:lastRenderedPageBreak/>
        <w:t>D</w:t>
      </w:r>
      <w:r w:rsidR="00783D69">
        <w:rPr>
          <w:color w:val="0081E3" w:themeColor="accent4"/>
          <w:sz w:val="28"/>
          <w:szCs w:val="28"/>
        </w:rPr>
        <w:t xml:space="preserve">. </w:t>
      </w:r>
      <w:r w:rsidR="00783D69" w:rsidRPr="00783D69">
        <w:rPr>
          <w:color w:val="0081E3" w:themeColor="accent4"/>
          <w:sz w:val="28"/>
          <w:szCs w:val="28"/>
        </w:rPr>
        <w:t>Mortgage Insurance Capital Theory</w:t>
      </w:r>
    </w:p>
    <w:p w14:paraId="1ECC9BA8" w14:textId="4B304E52" w:rsidR="00E008B5" w:rsidRPr="00316E79" w:rsidRDefault="00E008B5" w:rsidP="00E008B5">
      <w:pPr>
        <w:jc w:val="both"/>
        <w:rPr>
          <w:rFonts w:cs="Arial"/>
          <w:sz w:val="20"/>
          <w:szCs w:val="20"/>
        </w:rPr>
      </w:pPr>
      <w:r w:rsidRPr="00316E79">
        <w:rPr>
          <w:rFonts w:cs="Arial"/>
          <w:sz w:val="20"/>
          <w:szCs w:val="20"/>
        </w:rPr>
        <w:t xml:space="preserve">This section of the report provides a </w:t>
      </w:r>
      <w:r w:rsidR="00884D64">
        <w:rPr>
          <w:rFonts w:cs="Arial"/>
          <w:sz w:val="20"/>
          <w:szCs w:val="20"/>
        </w:rPr>
        <w:t xml:space="preserve">discussion of the risk profile of mortgage insurance and the theory of </w:t>
      </w:r>
      <w:r w:rsidR="002E10C5">
        <w:rPr>
          <w:rFonts w:cs="Arial"/>
          <w:sz w:val="20"/>
          <w:szCs w:val="20"/>
        </w:rPr>
        <w:t>an</w:t>
      </w:r>
      <w:r w:rsidR="00884D64">
        <w:rPr>
          <w:rFonts w:cs="Arial"/>
          <w:sz w:val="20"/>
          <w:szCs w:val="20"/>
        </w:rPr>
        <w:t xml:space="preserve"> RBC </w:t>
      </w:r>
      <w:r w:rsidR="001E5AEA">
        <w:rPr>
          <w:rFonts w:cs="Arial"/>
          <w:sz w:val="20"/>
          <w:szCs w:val="20"/>
        </w:rPr>
        <w:t xml:space="preserve">countercyclical capital </w:t>
      </w:r>
      <w:r w:rsidR="00884D64">
        <w:rPr>
          <w:rFonts w:cs="Arial"/>
          <w:sz w:val="20"/>
          <w:szCs w:val="20"/>
        </w:rPr>
        <w:t>framework.</w:t>
      </w:r>
    </w:p>
    <w:p w14:paraId="777AF8DF" w14:textId="77777777" w:rsidR="005B5D1D" w:rsidRDefault="005B5D1D" w:rsidP="006D6D2B">
      <w:pPr>
        <w:spacing w:after="120" w:line="288" w:lineRule="auto"/>
        <w:jc w:val="both"/>
        <w:rPr>
          <w:b/>
          <w:sz w:val="20"/>
          <w:szCs w:val="20"/>
        </w:rPr>
      </w:pPr>
    </w:p>
    <w:p w14:paraId="237D73B5" w14:textId="4FDA70A0" w:rsidR="00E008B5" w:rsidRPr="006D53DC" w:rsidRDefault="00E008B5" w:rsidP="006D6D2B">
      <w:pPr>
        <w:spacing w:after="120" w:line="288" w:lineRule="auto"/>
        <w:jc w:val="both"/>
        <w:rPr>
          <w:b/>
          <w:sz w:val="20"/>
          <w:szCs w:val="20"/>
        </w:rPr>
      </w:pPr>
      <w:r>
        <w:rPr>
          <w:b/>
          <w:sz w:val="20"/>
          <w:szCs w:val="20"/>
        </w:rPr>
        <w:t xml:space="preserve">D.1 </w:t>
      </w:r>
      <w:r w:rsidRPr="006D53DC">
        <w:rPr>
          <w:b/>
          <w:sz w:val="20"/>
          <w:szCs w:val="20"/>
        </w:rPr>
        <w:t>History of Mortgage Insurance</w:t>
      </w:r>
      <w:r w:rsidR="008B7C7A">
        <w:rPr>
          <w:rStyle w:val="FootnoteReference"/>
          <w:b/>
          <w:sz w:val="20"/>
          <w:szCs w:val="20"/>
        </w:rPr>
        <w:footnoteReference w:id="2"/>
      </w:r>
    </w:p>
    <w:p w14:paraId="299A210C" w14:textId="6EFDEF9B" w:rsidR="006D6D2B" w:rsidRDefault="006D6D2B" w:rsidP="006D6D2B">
      <w:pPr>
        <w:spacing w:after="120" w:line="288" w:lineRule="auto"/>
        <w:jc w:val="both"/>
        <w:rPr>
          <w:sz w:val="20"/>
          <w:szCs w:val="20"/>
        </w:rPr>
      </w:pPr>
      <w:r>
        <w:rPr>
          <w:sz w:val="20"/>
          <w:szCs w:val="20"/>
        </w:rPr>
        <w:t>The current form of the p</w:t>
      </w:r>
      <w:r w:rsidRPr="00252B46">
        <w:rPr>
          <w:sz w:val="20"/>
          <w:szCs w:val="20"/>
        </w:rPr>
        <w:t xml:space="preserve">rivate mortgage insurance industry was </w:t>
      </w:r>
      <w:r>
        <w:rPr>
          <w:sz w:val="20"/>
          <w:szCs w:val="20"/>
        </w:rPr>
        <w:t xml:space="preserve">developed </w:t>
      </w:r>
      <w:r w:rsidRPr="00252B46">
        <w:rPr>
          <w:sz w:val="20"/>
          <w:szCs w:val="20"/>
        </w:rPr>
        <w:t>i</w:t>
      </w:r>
      <w:r>
        <w:rPr>
          <w:sz w:val="20"/>
          <w:szCs w:val="20"/>
        </w:rPr>
        <w:t>n the 1950s, but the industry’s framework</w:t>
      </w:r>
      <w:r w:rsidRPr="00252B46">
        <w:rPr>
          <w:sz w:val="20"/>
          <w:szCs w:val="20"/>
        </w:rPr>
        <w:t xml:space="preserve"> go</w:t>
      </w:r>
      <w:r>
        <w:rPr>
          <w:sz w:val="20"/>
          <w:szCs w:val="20"/>
        </w:rPr>
        <w:t>es</w:t>
      </w:r>
      <w:r w:rsidRPr="00252B46">
        <w:rPr>
          <w:sz w:val="20"/>
          <w:szCs w:val="20"/>
        </w:rPr>
        <w:t xml:space="preserve"> back to the late 1800s</w:t>
      </w:r>
      <w:r>
        <w:rPr>
          <w:sz w:val="20"/>
          <w:szCs w:val="20"/>
        </w:rPr>
        <w:t xml:space="preserve">.  </w:t>
      </w:r>
      <w:r w:rsidRPr="00252B46">
        <w:rPr>
          <w:sz w:val="20"/>
          <w:szCs w:val="20"/>
        </w:rPr>
        <w:t xml:space="preserve">To make </w:t>
      </w:r>
      <w:r>
        <w:rPr>
          <w:sz w:val="20"/>
          <w:szCs w:val="20"/>
        </w:rPr>
        <w:t xml:space="preserve">mortgage </w:t>
      </w:r>
      <w:r w:rsidRPr="00252B46">
        <w:rPr>
          <w:sz w:val="20"/>
          <w:szCs w:val="20"/>
        </w:rPr>
        <w:t>loans more marketable</w:t>
      </w:r>
      <w:r w:rsidR="007E43AF">
        <w:rPr>
          <w:sz w:val="20"/>
          <w:szCs w:val="20"/>
        </w:rPr>
        <w:t xml:space="preserve"> to investors</w:t>
      </w:r>
      <w:r>
        <w:rPr>
          <w:sz w:val="20"/>
          <w:szCs w:val="20"/>
        </w:rPr>
        <w:t xml:space="preserve">, </w:t>
      </w:r>
      <w:r w:rsidRPr="00252B46">
        <w:rPr>
          <w:sz w:val="20"/>
          <w:szCs w:val="20"/>
        </w:rPr>
        <w:t>New York</w:t>
      </w:r>
      <w:r>
        <w:rPr>
          <w:sz w:val="20"/>
          <w:szCs w:val="20"/>
        </w:rPr>
        <w:t xml:space="preserve"> S</w:t>
      </w:r>
      <w:r w:rsidRPr="00252B46">
        <w:rPr>
          <w:sz w:val="20"/>
          <w:szCs w:val="20"/>
        </w:rPr>
        <w:t xml:space="preserve">tate passed </w:t>
      </w:r>
      <w:r>
        <w:rPr>
          <w:sz w:val="20"/>
          <w:szCs w:val="20"/>
        </w:rPr>
        <w:t>l</w:t>
      </w:r>
      <w:r w:rsidRPr="00252B46">
        <w:rPr>
          <w:sz w:val="20"/>
          <w:szCs w:val="20"/>
        </w:rPr>
        <w:t>egislation authorizing the</w:t>
      </w:r>
      <w:r>
        <w:rPr>
          <w:sz w:val="20"/>
          <w:szCs w:val="20"/>
        </w:rPr>
        <w:t xml:space="preserve"> insuring of mortgages in 1904. </w:t>
      </w:r>
      <w:r w:rsidR="005B5D1D">
        <w:rPr>
          <w:sz w:val="20"/>
          <w:szCs w:val="20"/>
        </w:rPr>
        <w:t xml:space="preserve"> </w:t>
      </w:r>
      <w:r>
        <w:rPr>
          <w:sz w:val="20"/>
          <w:szCs w:val="20"/>
        </w:rPr>
        <w:t xml:space="preserve">Due to an expanding economy and a general growth in property values, </w:t>
      </w:r>
      <w:r w:rsidRPr="00252B46">
        <w:rPr>
          <w:sz w:val="20"/>
          <w:szCs w:val="20"/>
        </w:rPr>
        <w:t xml:space="preserve">mortgage insurance was </w:t>
      </w:r>
      <w:r>
        <w:rPr>
          <w:sz w:val="20"/>
          <w:szCs w:val="20"/>
        </w:rPr>
        <w:t xml:space="preserve">generally </w:t>
      </w:r>
      <w:r w:rsidRPr="00252B46">
        <w:rPr>
          <w:sz w:val="20"/>
          <w:szCs w:val="20"/>
        </w:rPr>
        <w:t xml:space="preserve">considered a </w:t>
      </w:r>
      <w:r>
        <w:rPr>
          <w:sz w:val="20"/>
          <w:szCs w:val="20"/>
        </w:rPr>
        <w:t>low-risk business.</w:t>
      </w:r>
      <w:r w:rsidR="00776F2F">
        <w:rPr>
          <w:sz w:val="20"/>
          <w:szCs w:val="20"/>
        </w:rPr>
        <w:t xml:space="preserve"> </w:t>
      </w:r>
      <w:r>
        <w:rPr>
          <w:sz w:val="20"/>
          <w:szCs w:val="20"/>
        </w:rPr>
        <w:t xml:space="preserve"> F</w:t>
      </w:r>
      <w:r w:rsidRPr="00252B46">
        <w:rPr>
          <w:sz w:val="20"/>
          <w:szCs w:val="20"/>
        </w:rPr>
        <w:t xml:space="preserve">irms </w:t>
      </w:r>
      <w:r>
        <w:rPr>
          <w:sz w:val="20"/>
          <w:szCs w:val="20"/>
        </w:rPr>
        <w:t xml:space="preserve">participating in mortgage insurance had minimal </w:t>
      </w:r>
      <w:r w:rsidRPr="00252B46">
        <w:rPr>
          <w:sz w:val="20"/>
          <w:szCs w:val="20"/>
        </w:rPr>
        <w:t>re</w:t>
      </w:r>
      <w:r>
        <w:rPr>
          <w:sz w:val="20"/>
          <w:szCs w:val="20"/>
        </w:rPr>
        <w:t>gulation and were thinly capitalized.  The c</w:t>
      </w:r>
      <w:r w:rsidRPr="00252B46">
        <w:rPr>
          <w:sz w:val="20"/>
          <w:szCs w:val="20"/>
        </w:rPr>
        <w:t xml:space="preserve">ollapse of real estate values </w:t>
      </w:r>
      <w:r>
        <w:rPr>
          <w:sz w:val="20"/>
          <w:szCs w:val="20"/>
        </w:rPr>
        <w:t xml:space="preserve">during the </w:t>
      </w:r>
      <w:r w:rsidRPr="00252B46">
        <w:rPr>
          <w:sz w:val="20"/>
          <w:szCs w:val="20"/>
        </w:rPr>
        <w:t xml:space="preserve">Great </w:t>
      </w:r>
      <w:r>
        <w:rPr>
          <w:sz w:val="20"/>
          <w:szCs w:val="20"/>
        </w:rPr>
        <w:t>D</w:t>
      </w:r>
      <w:r w:rsidRPr="00252B46">
        <w:rPr>
          <w:sz w:val="20"/>
          <w:szCs w:val="20"/>
        </w:rPr>
        <w:t xml:space="preserve">epression </w:t>
      </w:r>
      <w:r>
        <w:rPr>
          <w:sz w:val="20"/>
          <w:szCs w:val="20"/>
        </w:rPr>
        <w:t xml:space="preserve">precipitated the collapse of the </w:t>
      </w:r>
      <w:r w:rsidRPr="00252B46">
        <w:rPr>
          <w:sz w:val="20"/>
          <w:szCs w:val="20"/>
        </w:rPr>
        <w:t>entire mor</w:t>
      </w:r>
      <w:r>
        <w:rPr>
          <w:sz w:val="20"/>
          <w:szCs w:val="20"/>
        </w:rPr>
        <w:t>tgage insurance industry.</w:t>
      </w:r>
      <w:r w:rsidRPr="00252B46">
        <w:rPr>
          <w:sz w:val="20"/>
          <w:szCs w:val="20"/>
        </w:rPr>
        <w:t xml:space="preserve"> </w:t>
      </w:r>
      <w:r w:rsidR="005B5D1D">
        <w:rPr>
          <w:sz w:val="20"/>
          <w:szCs w:val="20"/>
        </w:rPr>
        <w:t xml:space="preserve"> </w:t>
      </w:r>
      <w:r>
        <w:rPr>
          <w:sz w:val="20"/>
          <w:szCs w:val="20"/>
        </w:rPr>
        <w:t>Subsequently</w:t>
      </w:r>
      <w:r w:rsidRPr="00252B46">
        <w:rPr>
          <w:sz w:val="20"/>
          <w:szCs w:val="20"/>
        </w:rPr>
        <w:t xml:space="preserve"> </w:t>
      </w:r>
      <w:r>
        <w:rPr>
          <w:sz w:val="20"/>
          <w:szCs w:val="20"/>
        </w:rPr>
        <w:t xml:space="preserve">the State of New York </w:t>
      </w:r>
      <w:r w:rsidRPr="00252B46">
        <w:rPr>
          <w:sz w:val="20"/>
          <w:szCs w:val="20"/>
        </w:rPr>
        <w:t>commissioned a study</w:t>
      </w:r>
      <w:r>
        <w:rPr>
          <w:sz w:val="20"/>
          <w:szCs w:val="20"/>
        </w:rPr>
        <w:t>,</w:t>
      </w:r>
      <w:r w:rsidRPr="00252B46">
        <w:rPr>
          <w:sz w:val="20"/>
          <w:szCs w:val="20"/>
        </w:rPr>
        <w:t xml:space="preserve"> </w:t>
      </w:r>
      <w:r>
        <w:rPr>
          <w:sz w:val="20"/>
          <w:szCs w:val="20"/>
        </w:rPr>
        <w:t>which r</w:t>
      </w:r>
      <w:r w:rsidRPr="00252B46">
        <w:rPr>
          <w:sz w:val="20"/>
          <w:szCs w:val="20"/>
        </w:rPr>
        <w:t xml:space="preserve">ecommended </w:t>
      </w:r>
      <w:r>
        <w:rPr>
          <w:sz w:val="20"/>
          <w:szCs w:val="20"/>
        </w:rPr>
        <w:t xml:space="preserve">among other things, the </w:t>
      </w:r>
      <w:r w:rsidRPr="00252B46">
        <w:rPr>
          <w:sz w:val="20"/>
          <w:szCs w:val="20"/>
        </w:rPr>
        <w:t xml:space="preserve">setting </w:t>
      </w:r>
      <w:r>
        <w:rPr>
          <w:sz w:val="20"/>
          <w:szCs w:val="20"/>
        </w:rPr>
        <w:t xml:space="preserve">of </w:t>
      </w:r>
      <w:r w:rsidRPr="00252B46">
        <w:rPr>
          <w:sz w:val="20"/>
          <w:szCs w:val="20"/>
        </w:rPr>
        <w:t>stringent c</w:t>
      </w:r>
      <w:r>
        <w:rPr>
          <w:sz w:val="20"/>
          <w:szCs w:val="20"/>
        </w:rPr>
        <w:t>apital and reserve requirements</w:t>
      </w:r>
      <w:r w:rsidRPr="00252B46">
        <w:rPr>
          <w:sz w:val="20"/>
          <w:szCs w:val="20"/>
        </w:rPr>
        <w:t xml:space="preserve"> and </w:t>
      </w:r>
      <w:r>
        <w:rPr>
          <w:sz w:val="20"/>
          <w:szCs w:val="20"/>
        </w:rPr>
        <w:t>the implementation of more</w:t>
      </w:r>
      <w:r w:rsidR="008B7C7A">
        <w:rPr>
          <w:sz w:val="20"/>
          <w:szCs w:val="20"/>
        </w:rPr>
        <w:t xml:space="preserve"> sound </w:t>
      </w:r>
      <w:r w:rsidRPr="00252B46">
        <w:rPr>
          <w:sz w:val="20"/>
          <w:szCs w:val="20"/>
        </w:rPr>
        <w:t>appraisal, invest</w:t>
      </w:r>
      <w:r>
        <w:rPr>
          <w:sz w:val="20"/>
          <w:szCs w:val="20"/>
        </w:rPr>
        <w:t xml:space="preserve">ment and accounting procedures. </w:t>
      </w:r>
    </w:p>
    <w:p w14:paraId="18F29BC9" w14:textId="333EAE81" w:rsidR="006D6D2B" w:rsidRDefault="006D6D2B" w:rsidP="006D6D2B">
      <w:pPr>
        <w:spacing w:after="120" w:line="288" w:lineRule="auto"/>
        <w:jc w:val="both"/>
        <w:rPr>
          <w:sz w:val="20"/>
          <w:szCs w:val="20"/>
        </w:rPr>
      </w:pPr>
      <w:r>
        <w:rPr>
          <w:sz w:val="20"/>
          <w:szCs w:val="20"/>
        </w:rPr>
        <w:t xml:space="preserve">Mortgage insurance was revitalized when various government sponsored guaranty programs were initiated in the 1930s and 40s (Federal Housing Administration’s Mutual Mortgage Insurance Fund </w:t>
      </w:r>
      <w:r w:rsidR="00DB71E5">
        <w:rPr>
          <w:sz w:val="20"/>
          <w:szCs w:val="20"/>
        </w:rPr>
        <w:t xml:space="preserve">[“FHA”] </w:t>
      </w:r>
      <w:r>
        <w:rPr>
          <w:sz w:val="20"/>
          <w:szCs w:val="20"/>
        </w:rPr>
        <w:t xml:space="preserve">and the Veteran Administration’s </w:t>
      </w:r>
      <w:r w:rsidRPr="00074241">
        <w:rPr>
          <w:sz w:val="20"/>
          <w:szCs w:val="20"/>
        </w:rPr>
        <w:t>Home Loan Guaranty Program</w:t>
      </w:r>
      <w:r>
        <w:rPr>
          <w:sz w:val="20"/>
          <w:szCs w:val="20"/>
        </w:rPr>
        <w:t xml:space="preserve">). </w:t>
      </w:r>
      <w:r w:rsidR="005B5D1D">
        <w:rPr>
          <w:sz w:val="20"/>
          <w:szCs w:val="20"/>
        </w:rPr>
        <w:t xml:space="preserve"> </w:t>
      </w:r>
      <w:r>
        <w:rPr>
          <w:sz w:val="20"/>
          <w:szCs w:val="20"/>
        </w:rPr>
        <w:t xml:space="preserve">Private mortgage insurance reestablished itself soon after in the 1950s.  During the relatively stable economic period of the 1960s and 70s, the private mortgage industry flourished and expanded to more than a dozen national companies. </w:t>
      </w:r>
      <w:r w:rsidR="005B5D1D">
        <w:rPr>
          <w:sz w:val="20"/>
          <w:szCs w:val="20"/>
        </w:rPr>
        <w:t xml:space="preserve"> </w:t>
      </w:r>
      <w:r>
        <w:rPr>
          <w:sz w:val="20"/>
          <w:szCs w:val="20"/>
        </w:rPr>
        <w:t xml:space="preserve">The early </w:t>
      </w:r>
      <w:r w:rsidRPr="00252B46">
        <w:rPr>
          <w:sz w:val="20"/>
          <w:szCs w:val="20"/>
        </w:rPr>
        <w:t xml:space="preserve">1980s </w:t>
      </w:r>
      <w:r>
        <w:rPr>
          <w:sz w:val="20"/>
          <w:szCs w:val="20"/>
        </w:rPr>
        <w:t xml:space="preserve">however brought a period of untested idiosyncratic underwriting, risk management and pricing strategies during a period of double-digit interest rates, </w:t>
      </w:r>
      <w:r w:rsidRPr="00252B46">
        <w:rPr>
          <w:sz w:val="20"/>
          <w:szCs w:val="20"/>
        </w:rPr>
        <w:t>inflation</w:t>
      </w:r>
      <w:r>
        <w:rPr>
          <w:sz w:val="20"/>
          <w:szCs w:val="20"/>
        </w:rPr>
        <w:t xml:space="preserve"> and regional recessions.  Once again, several private mortgage insurance companies failed and payment obligations were minimally met through regulatory relief, liquidation, acquisition and an industry strategy for </w:t>
      </w:r>
      <w:r w:rsidRPr="003E48FD">
        <w:rPr>
          <w:sz w:val="20"/>
          <w:szCs w:val="20"/>
        </w:rPr>
        <w:t>replacement mortgage insurance for loans which had been insured</w:t>
      </w:r>
      <w:r>
        <w:rPr>
          <w:sz w:val="20"/>
          <w:szCs w:val="20"/>
        </w:rPr>
        <w:t xml:space="preserve"> by a failed company.  </w:t>
      </w:r>
    </w:p>
    <w:p w14:paraId="5C026530" w14:textId="3A1EF331" w:rsidR="007E43AF" w:rsidRPr="002D4442" w:rsidRDefault="006D6D2B" w:rsidP="006D53DC">
      <w:pPr>
        <w:spacing w:after="120" w:line="288" w:lineRule="auto"/>
        <w:jc w:val="both"/>
        <w:rPr>
          <w:sz w:val="20"/>
          <w:szCs w:val="20"/>
        </w:rPr>
      </w:pPr>
      <w:r>
        <w:rPr>
          <w:sz w:val="20"/>
          <w:szCs w:val="20"/>
        </w:rPr>
        <w:t xml:space="preserve">The industry once again attracted investment capital and new entrants in the late 1980s due to historically low interest rates and steady but rising home prices.  Mortgage credit risk once again seemed </w:t>
      </w:r>
      <w:r w:rsidR="00D0087E">
        <w:rPr>
          <w:sz w:val="20"/>
          <w:szCs w:val="20"/>
        </w:rPr>
        <w:t xml:space="preserve">to have </w:t>
      </w:r>
      <w:r>
        <w:rPr>
          <w:sz w:val="20"/>
          <w:szCs w:val="20"/>
        </w:rPr>
        <w:t>minimal risk in the 1990s and early 2000s</w:t>
      </w:r>
      <w:r w:rsidR="00D0087E">
        <w:rPr>
          <w:sz w:val="20"/>
          <w:szCs w:val="20"/>
        </w:rPr>
        <w:t>,</w:t>
      </w:r>
      <w:r>
        <w:rPr>
          <w:sz w:val="20"/>
          <w:szCs w:val="20"/>
        </w:rPr>
        <w:t xml:space="preserve"> and the industry lost market share to competing financial products and government programs which created incentives for homeownership to low and moderate-income households across the banking and insurance markets.  The Great Recession followed and once again the </w:t>
      </w:r>
      <w:r w:rsidRPr="002D4442">
        <w:rPr>
          <w:sz w:val="20"/>
          <w:szCs w:val="20"/>
        </w:rPr>
        <w:t>private mortgage insurance industry lost several companies due to inadequate capital reserves.</w:t>
      </w:r>
    </w:p>
    <w:p w14:paraId="064C3952" w14:textId="7E82B149" w:rsidR="007E43AF" w:rsidRDefault="007E43AF" w:rsidP="006D53DC">
      <w:pPr>
        <w:spacing w:after="120" w:line="288" w:lineRule="auto"/>
        <w:jc w:val="both"/>
        <w:rPr>
          <w:sz w:val="20"/>
          <w:szCs w:val="20"/>
        </w:rPr>
      </w:pPr>
      <w:r w:rsidRPr="002D4442">
        <w:rPr>
          <w:sz w:val="20"/>
          <w:szCs w:val="20"/>
        </w:rPr>
        <w:t>Figure D</w:t>
      </w:r>
      <w:r w:rsidR="005B5D1D">
        <w:rPr>
          <w:sz w:val="20"/>
          <w:szCs w:val="20"/>
        </w:rPr>
        <w:t>.</w:t>
      </w:r>
      <w:r w:rsidRPr="002D4442">
        <w:rPr>
          <w:sz w:val="20"/>
          <w:szCs w:val="20"/>
        </w:rPr>
        <w:t>1 shows</w:t>
      </w:r>
      <w:r w:rsidR="00435B09" w:rsidRPr="002D4442">
        <w:rPr>
          <w:sz w:val="20"/>
          <w:szCs w:val="20"/>
        </w:rPr>
        <w:t xml:space="preserve"> the</w:t>
      </w:r>
      <w:r w:rsidR="00AD70AF">
        <w:rPr>
          <w:sz w:val="20"/>
          <w:szCs w:val="20"/>
        </w:rPr>
        <w:t xml:space="preserve"> historical mortgage insurance</w:t>
      </w:r>
      <w:r w:rsidRPr="002D4442">
        <w:rPr>
          <w:sz w:val="20"/>
          <w:szCs w:val="20"/>
        </w:rPr>
        <w:t xml:space="preserve"> </w:t>
      </w:r>
      <w:r w:rsidR="00435B09" w:rsidRPr="002D4442">
        <w:rPr>
          <w:sz w:val="20"/>
          <w:szCs w:val="20"/>
        </w:rPr>
        <w:t xml:space="preserve">industry average </w:t>
      </w:r>
      <w:r w:rsidR="002B7FA6">
        <w:rPr>
          <w:sz w:val="20"/>
          <w:szCs w:val="20"/>
        </w:rPr>
        <w:t xml:space="preserve">combined </w:t>
      </w:r>
      <w:r w:rsidRPr="002D4442">
        <w:rPr>
          <w:sz w:val="20"/>
          <w:szCs w:val="20"/>
        </w:rPr>
        <w:t>ratio</w:t>
      </w:r>
      <w:r w:rsidR="002B7FA6">
        <w:rPr>
          <w:sz w:val="20"/>
          <w:szCs w:val="20"/>
        </w:rPr>
        <w:t xml:space="preserve"> (incurred losses plus expenses divided by earned premium)</w:t>
      </w:r>
      <w:r w:rsidR="00CA4865">
        <w:rPr>
          <w:sz w:val="20"/>
          <w:szCs w:val="20"/>
        </w:rPr>
        <w:t xml:space="preserve"> </w:t>
      </w:r>
      <w:r w:rsidRPr="002D4442">
        <w:rPr>
          <w:sz w:val="20"/>
          <w:szCs w:val="20"/>
        </w:rPr>
        <w:t xml:space="preserve">from 1980 through 2014. </w:t>
      </w:r>
      <w:r w:rsidR="005B5D1D">
        <w:rPr>
          <w:sz w:val="20"/>
          <w:szCs w:val="20"/>
        </w:rPr>
        <w:t xml:space="preserve"> </w:t>
      </w:r>
      <w:r w:rsidRPr="002D4442">
        <w:rPr>
          <w:sz w:val="20"/>
          <w:szCs w:val="20"/>
        </w:rPr>
        <w:t xml:space="preserve">The figure highlights the cyclical nature of mortgage insurance described above. </w:t>
      </w:r>
      <w:r w:rsidR="005B5D1D">
        <w:rPr>
          <w:sz w:val="20"/>
          <w:szCs w:val="20"/>
        </w:rPr>
        <w:t xml:space="preserve"> </w:t>
      </w:r>
      <w:r w:rsidRPr="002D4442">
        <w:rPr>
          <w:sz w:val="20"/>
          <w:szCs w:val="20"/>
        </w:rPr>
        <w:t>Namely, the insurance is characterized as a relatively stable, low risk exposure followed by stark periods of high loss environments.</w:t>
      </w:r>
    </w:p>
    <w:p w14:paraId="4B7A5DF8" w14:textId="77777777" w:rsidR="002D4442" w:rsidRDefault="002D4442" w:rsidP="006D53DC">
      <w:pPr>
        <w:spacing w:after="120" w:line="288" w:lineRule="auto"/>
        <w:jc w:val="both"/>
        <w:rPr>
          <w:sz w:val="20"/>
          <w:szCs w:val="20"/>
        </w:rPr>
      </w:pPr>
    </w:p>
    <w:p w14:paraId="3073D986" w14:textId="77777777" w:rsidR="002D4442" w:rsidRDefault="002D4442" w:rsidP="006D53DC">
      <w:pPr>
        <w:spacing w:after="120" w:line="288" w:lineRule="auto"/>
        <w:jc w:val="both"/>
        <w:rPr>
          <w:sz w:val="20"/>
          <w:szCs w:val="20"/>
        </w:rPr>
      </w:pPr>
    </w:p>
    <w:p w14:paraId="45BA8BD5" w14:textId="76D84849" w:rsidR="007E43AF" w:rsidRDefault="007E43AF" w:rsidP="006D53DC">
      <w:pPr>
        <w:spacing w:after="120" w:line="288" w:lineRule="auto"/>
        <w:jc w:val="both"/>
        <w:rPr>
          <w:b/>
          <w:sz w:val="20"/>
          <w:szCs w:val="20"/>
        </w:rPr>
      </w:pPr>
      <w:r w:rsidRPr="002D4442">
        <w:rPr>
          <w:b/>
          <w:sz w:val="20"/>
          <w:szCs w:val="20"/>
        </w:rPr>
        <w:lastRenderedPageBreak/>
        <w:t>Figure D</w:t>
      </w:r>
      <w:r w:rsidR="005B5D1D">
        <w:rPr>
          <w:b/>
          <w:sz w:val="20"/>
          <w:szCs w:val="20"/>
        </w:rPr>
        <w:t>.</w:t>
      </w:r>
      <w:r w:rsidRPr="002D4442">
        <w:rPr>
          <w:b/>
          <w:sz w:val="20"/>
          <w:szCs w:val="20"/>
        </w:rPr>
        <w:t>1: Historical loss and LAE Ratio for Mortgage Insurers</w:t>
      </w:r>
    </w:p>
    <w:p w14:paraId="394854AA" w14:textId="77777777" w:rsidR="005B5D1D" w:rsidRPr="005B5D1D" w:rsidRDefault="005B5D1D" w:rsidP="006D53DC">
      <w:pPr>
        <w:spacing w:after="120" w:line="288" w:lineRule="auto"/>
        <w:jc w:val="both"/>
        <w:rPr>
          <w:b/>
          <w:sz w:val="6"/>
          <w:szCs w:val="20"/>
        </w:rPr>
      </w:pPr>
    </w:p>
    <w:p w14:paraId="353FC466" w14:textId="53819B05" w:rsidR="007E43AF" w:rsidRDefault="00CC1EE4" w:rsidP="007E43AF">
      <w:pPr>
        <w:spacing w:after="120" w:line="288" w:lineRule="auto"/>
        <w:jc w:val="center"/>
        <w:rPr>
          <w:sz w:val="20"/>
          <w:szCs w:val="20"/>
        </w:rPr>
      </w:pPr>
      <w:r w:rsidRPr="00CC1EE4">
        <w:rPr>
          <w:noProof/>
        </w:rPr>
        <w:drawing>
          <wp:inline distT="0" distB="0" distL="0" distR="0" wp14:anchorId="2C379A5E" wp14:editId="65CE495A">
            <wp:extent cx="5943600" cy="3211529"/>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211529"/>
                    </a:xfrm>
                    <a:prstGeom prst="rect">
                      <a:avLst/>
                    </a:prstGeom>
                    <a:noFill/>
                    <a:ln>
                      <a:noFill/>
                    </a:ln>
                  </pic:spPr>
                </pic:pic>
              </a:graphicData>
            </a:graphic>
          </wp:inline>
        </w:drawing>
      </w:r>
    </w:p>
    <w:p w14:paraId="33E7FD7D" w14:textId="77777777" w:rsidR="005B5D1D" w:rsidRPr="005B5D1D" w:rsidRDefault="005B5D1D" w:rsidP="006D6D2B">
      <w:pPr>
        <w:spacing w:after="120" w:line="288" w:lineRule="auto"/>
        <w:jc w:val="both"/>
        <w:rPr>
          <w:sz w:val="2"/>
          <w:szCs w:val="20"/>
        </w:rPr>
      </w:pPr>
    </w:p>
    <w:p w14:paraId="07CE096C" w14:textId="35E0DC96" w:rsidR="007E43AF" w:rsidRDefault="00CC1EE4" w:rsidP="005B5D1D">
      <w:pPr>
        <w:spacing w:after="120" w:line="288" w:lineRule="auto"/>
        <w:jc w:val="center"/>
        <w:rPr>
          <w:sz w:val="20"/>
          <w:szCs w:val="20"/>
        </w:rPr>
      </w:pPr>
      <w:r>
        <w:rPr>
          <w:sz w:val="20"/>
          <w:szCs w:val="20"/>
        </w:rPr>
        <w:t>*Source: MICA Fact Book, SNL</w:t>
      </w:r>
    </w:p>
    <w:p w14:paraId="26E4D5BA" w14:textId="77777777" w:rsidR="005B5D1D" w:rsidRDefault="005B5D1D" w:rsidP="006D6D2B">
      <w:pPr>
        <w:pStyle w:val="Heading2"/>
        <w:spacing w:before="0" w:after="120" w:line="288" w:lineRule="auto"/>
        <w:jc w:val="both"/>
        <w:rPr>
          <w:b/>
          <w:color w:val="auto"/>
          <w:sz w:val="20"/>
          <w:szCs w:val="20"/>
        </w:rPr>
      </w:pPr>
    </w:p>
    <w:p w14:paraId="14972FF1" w14:textId="69F54A9A" w:rsidR="006D6D2B" w:rsidRPr="006D53DC" w:rsidRDefault="00E008B5" w:rsidP="006D6D2B">
      <w:pPr>
        <w:pStyle w:val="Heading2"/>
        <w:spacing w:before="0" w:after="120" w:line="288" w:lineRule="auto"/>
        <w:jc w:val="both"/>
        <w:rPr>
          <w:b/>
          <w:color w:val="auto"/>
          <w:sz w:val="20"/>
          <w:szCs w:val="20"/>
        </w:rPr>
      </w:pPr>
      <w:r>
        <w:rPr>
          <w:b/>
          <w:color w:val="auto"/>
          <w:sz w:val="20"/>
          <w:szCs w:val="20"/>
        </w:rPr>
        <w:t xml:space="preserve">D.2 </w:t>
      </w:r>
      <w:r w:rsidR="006D6D2B" w:rsidRPr="006D53DC">
        <w:rPr>
          <w:b/>
          <w:color w:val="auto"/>
          <w:sz w:val="20"/>
          <w:szCs w:val="20"/>
        </w:rPr>
        <w:t>Countercyclical Capital Regulatory Approach</w:t>
      </w:r>
    </w:p>
    <w:p w14:paraId="0716E681" w14:textId="4FB79A48" w:rsidR="006D6D2B" w:rsidRDefault="006D6D2B" w:rsidP="006D6D2B">
      <w:pPr>
        <w:spacing w:after="120" w:line="288" w:lineRule="auto"/>
        <w:jc w:val="both"/>
        <w:rPr>
          <w:sz w:val="20"/>
          <w:szCs w:val="20"/>
        </w:rPr>
      </w:pPr>
      <w:r>
        <w:rPr>
          <w:sz w:val="20"/>
          <w:szCs w:val="20"/>
        </w:rPr>
        <w:t>In response to the resulting financial crisis, the Dodd-Frank Financial Reform and Consumer Protection Act of 2010 mandated changes to the financial markets to require countercyclical capital.  The transformation from procyclical capital regulation would require financial institutions to hold higher capital amounts during periods of economic prosperity and therefore dampen excessive growth.  A countercyclical structure would also facilitate more responsive capital positions that could absorb future increased losses and sustain mortgage lending during periods of economic stress</w:t>
      </w:r>
      <w:r w:rsidR="00435B09">
        <w:rPr>
          <w:sz w:val="20"/>
          <w:szCs w:val="20"/>
        </w:rPr>
        <w:t>,</w:t>
      </w:r>
      <w:r>
        <w:rPr>
          <w:sz w:val="20"/>
          <w:szCs w:val="20"/>
        </w:rPr>
        <w:t xml:space="preserve"> as highlighted by the private mortgage insurance industry’s volatile past.</w:t>
      </w:r>
    </w:p>
    <w:p w14:paraId="14958DF3" w14:textId="75816B14" w:rsidR="006D6D2B" w:rsidRDefault="006D6D2B" w:rsidP="00776F2F">
      <w:pPr>
        <w:spacing w:after="120" w:line="288" w:lineRule="auto"/>
        <w:jc w:val="both"/>
        <w:rPr>
          <w:sz w:val="20"/>
          <w:szCs w:val="20"/>
        </w:rPr>
      </w:pPr>
      <w:r>
        <w:rPr>
          <w:sz w:val="20"/>
          <w:szCs w:val="20"/>
        </w:rPr>
        <w:t xml:space="preserve">A mortgage insurer’s capital requirement has generally been met by exceeding a minimum capital amount measured by a simple measure of the proportion of risk in force to assets.  In 2008 and revised more recently (2015), Fannie Mae and Freddie Mac, of which the mortgage insurance industry is their largest counterparties, enhanced this procyclical capital requirement by adding more granularity to the quantification of risk and the definition of eligible assets through the introduction of the </w:t>
      </w:r>
      <w:r w:rsidRPr="00033E4D">
        <w:rPr>
          <w:sz w:val="20"/>
          <w:szCs w:val="20"/>
        </w:rPr>
        <w:t>Private Mortgage Insurer Eligibility Requirements (</w:t>
      </w:r>
      <w:r w:rsidR="00776F2F">
        <w:rPr>
          <w:sz w:val="20"/>
          <w:szCs w:val="20"/>
        </w:rPr>
        <w:t>“</w:t>
      </w:r>
      <w:r w:rsidRPr="00033E4D">
        <w:rPr>
          <w:bCs/>
          <w:sz w:val="20"/>
          <w:szCs w:val="20"/>
        </w:rPr>
        <w:t>PMIERs</w:t>
      </w:r>
      <w:r w:rsidR="00776F2F">
        <w:rPr>
          <w:bCs/>
          <w:sz w:val="20"/>
          <w:szCs w:val="20"/>
        </w:rPr>
        <w:t>”</w:t>
      </w:r>
      <w:r w:rsidRPr="00033E4D">
        <w:rPr>
          <w:sz w:val="20"/>
          <w:szCs w:val="20"/>
        </w:rPr>
        <w:t>)</w:t>
      </w:r>
      <w:r>
        <w:rPr>
          <w:sz w:val="20"/>
          <w:szCs w:val="20"/>
        </w:rPr>
        <w:t xml:space="preserve">.  The defined </w:t>
      </w:r>
      <w:r w:rsidRPr="00CE02CE">
        <w:rPr>
          <w:i/>
          <w:sz w:val="20"/>
          <w:szCs w:val="20"/>
        </w:rPr>
        <w:t>Risk-Based Required Asset Amount</w:t>
      </w:r>
      <w:r>
        <w:rPr>
          <w:sz w:val="20"/>
          <w:szCs w:val="20"/>
        </w:rPr>
        <w:t xml:space="preserve"> for loans insured are generally determined by factors that are applied to an insurers risk in force.  Factors include, but are not limited to, the insured loan’s </w:t>
      </w:r>
      <w:r w:rsidR="00435B09">
        <w:rPr>
          <w:sz w:val="20"/>
          <w:szCs w:val="20"/>
        </w:rPr>
        <w:t>loan-to-value ratio</w:t>
      </w:r>
      <w:r>
        <w:rPr>
          <w:sz w:val="20"/>
          <w:szCs w:val="20"/>
        </w:rPr>
        <w:t xml:space="preserve">, original credit score, vintage, modification and delinquency status.  The </w:t>
      </w:r>
      <w:r w:rsidRPr="00CE02CE">
        <w:rPr>
          <w:i/>
          <w:sz w:val="20"/>
          <w:szCs w:val="20"/>
        </w:rPr>
        <w:t>Risk-Based Required Asset Amount</w:t>
      </w:r>
      <w:r>
        <w:rPr>
          <w:sz w:val="20"/>
          <w:szCs w:val="20"/>
        </w:rPr>
        <w:t xml:space="preserve"> for an i</w:t>
      </w:r>
      <w:r w:rsidRPr="00BE5D33">
        <w:rPr>
          <w:sz w:val="20"/>
          <w:szCs w:val="20"/>
        </w:rPr>
        <w:t xml:space="preserve">nsurer's portfolio </w:t>
      </w:r>
      <w:r>
        <w:rPr>
          <w:sz w:val="20"/>
          <w:szCs w:val="20"/>
        </w:rPr>
        <w:t>is than compared a</w:t>
      </w:r>
      <w:r w:rsidRPr="00BE5D33">
        <w:rPr>
          <w:sz w:val="20"/>
          <w:szCs w:val="20"/>
        </w:rPr>
        <w:t>gainst the liquid capital investments available to pay claims under a scenario of significant market stress</w:t>
      </w:r>
      <w:r>
        <w:rPr>
          <w:sz w:val="20"/>
          <w:szCs w:val="20"/>
        </w:rPr>
        <w:t>.  Although PMIER</w:t>
      </w:r>
      <w:r w:rsidR="00776F2F">
        <w:rPr>
          <w:sz w:val="20"/>
          <w:szCs w:val="20"/>
        </w:rPr>
        <w:t>s</w:t>
      </w:r>
      <w:r>
        <w:rPr>
          <w:sz w:val="20"/>
          <w:szCs w:val="20"/>
        </w:rPr>
        <w:t xml:space="preserve"> certainly provides a more measured risk-based capital requirement and enhances the likelihood of a given mortgage insurers’ solvency during periods of stress it does not mitigate the volatile </w:t>
      </w:r>
      <w:r>
        <w:rPr>
          <w:sz w:val="20"/>
          <w:szCs w:val="20"/>
        </w:rPr>
        <w:lastRenderedPageBreak/>
        <w:t>insurance market’s business cycle amplifications of originating too many policies during periods of excess and the constriction of mortgage originations durin</w:t>
      </w:r>
      <w:r w:rsidR="00776F2F">
        <w:rPr>
          <w:sz w:val="20"/>
          <w:szCs w:val="20"/>
        </w:rPr>
        <w:t>g periods of stress.  The PMIERs</w:t>
      </w:r>
      <w:r>
        <w:rPr>
          <w:sz w:val="20"/>
          <w:szCs w:val="20"/>
        </w:rPr>
        <w:t xml:space="preserve"> requirements are also devoid of the defined specific market stress and solvency conditions that are being imposed on their mortgage insurance counterparties.</w:t>
      </w:r>
      <w:r w:rsidR="00D55919">
        <w:rPr>
          <w:sz w:val="20"/>
          <w:szCs w:val="20"/>
        </w:rPr>
        <w:t xml:space="preserve"> </w:t>
      </w:r>
      <w:r w:rsidR="005B5D1D">
        <w:rPr>
          <w:sz w:val="20"/>
          <w:szCs w:val="20"/>
        </w:rPr>
        <w:t xml:space="preserve"> </w:t>
      </w:r>
      <w:r w:rsidR="00D55919">
        <w:rPr>
          <w:sz w:val="20"/>
          <w:szCs w:val="20"/>
        </w:rPr>
        <w:t>For example, it is not clear through documentation or published materials what stress environment is assumed in the development of PMIER</w:t>
      </w:r>
      <w:r w:rsidR="00776F2F">
        <w:rPr>
          <w:sz w:val="20"/>
          <w:szCs w:val="20"/>
        </w:rPr>
        <w:t>s</w:t>
      </w:r>
      <w:r w:rsidR="00D55919">
        <w:rPr>
          <w:sz w:val="20"/>
          <w:szCs w:val="20"/>
        </w:rPr>
        <w:t>.</w:t>
      </w:r>
    </w:p>
    <w:p w14:paraId="487367C3" w14:textId="08743484" w:rsidR="006D6D2B" w:rsidRDefault="006D6D2B" w:rsidP="006D6D2B">
      <w:pPr>
        <w:spacing w:after="120" w:line="288" w:lineRule="auto"/>
        <w:jc w:val="both"/>
        <w:rPr>
          <w:sz w:val="20"/>
          <w:szCs w:val="20"/>
        </w:rPr>
      </w:pPr>
      <w:r>
        <w:rPr>
          <w:sz w:val="20"/>
          <w:szCs w:val="20"/>
        </w:rPr>
        <w:t xml:space="preserve">A rules-based countercyclical mortgage insurance capital regulation approach is designed to address the historical deficiencies caused by the current risk-based procyclical capital regulations.  The </w:t>
      </w:r>
      <w:r w:rsidR="002E10C5">
        <w:rPr>
          <w:sz w:val="20"/>
          <w:szCs w:val="20"/>
        </w:rPr>
        <w:t>RBC capital model</w:t>
      </w:r>
      <w:r>
        <w:rPr>
          <w:sz w:val="20"/>
          <w:szCs w:val="20"/>
        </w:rPr>
        <w:t xml:space="preserve"> </w:t>
      </w:r>
      <w:r w:rsidR="002E10C5">
        <w:rPr>
          <w:sz w:val="20"/>
          <w:szCs w:val="20"/>
        </w:rPr>
        <w:t xml:space="preserve">described in this document </w:t>
      </w:r>
      <w:r>
        <w:rPr>
          <w:sz w:val="20"/>
          <w:szCs w:val="20"/>
        </w:rPr>
        <w:t>would increase required capital ratios in strong economic periods allowing for more potential claim loss absorption during future recessions.  The construct would also potentially increase the likelihood that mortgage insurers would continue to prudently originate mortgage insurance policies through the cycle.</w:t>
      </w:r>
    </w:p>
    <w:p w14:paraId="02CD6F98" w14:textId="05AC6C9C" w:rsidR="00726C66" w:rsidRDefault="002E10C5" w:rsidP="005B5D1D">
      <w:pPr>
        <w:spacing w:after="120" w:line="288" w:lineRule="auto"/>
        <w:rPr>
          <w:color w:val="0081E3" w:themeColor="accent4"/>
          <w:sz w:val="28"/>
          <w:szCs w:val="28"/>
        </w:rPr>
      </w:pPr>
      <w:r>
        <w:rPr>
          <w:sz w:val="20"/>
          <w:szCs w:val="20"/>
        </w:rPr>
        <w:br w:type="column"/>
      </w:r>
      <w:r w:rsidR="00B3773D" w:rsidRPr="00252B46">
        <w:rPr>
          <w:sz w:val="20"/>
          <w:szCs w:val="20"/>
        </w:rPr>
        <w:lastRenderedPageBreak/>
        <w:t> </w:t>
      </w:r>
      <w:r w:rsidR="00783D69" w:rsidRPr="00783D69">
        <w:rPr>
          <w:color w:val="0081E3" w:themeColor="accent4"/>
          <w:sz w:val="28"/>
          <w:szCs w:val="28"/>
        </w:rPr>
        <w:t>E.</w:t>
      </w:r>
      <w:r w:rsidR="00783D69" w:rsidRPr="00783D69">
        <w:rPr>
          <w:color w:val="0081E3" w:themeColor="accent4"/>
          <w:sz w:val="28"/>
          <w:szCs w:val="28"/>
        </w:rPr>
        <w:tab/>
        <w:t xml:space="preserve">RBC </w:t>
      </w:r>
      <w:r w:rsidR="00711359">
        <w:rPr>
          <w:color w:val="0081E3" w:themeColor="accent4"/>
          <w:sz w:val="28"/>
          <w:szCs w:val="28"/>
        </w:rPr>
        <w:t>Capital Model Technical Documentation</w:t>
      </w:r>
    </w:p>
    <w:p w14:paraId="037A9873" w14:textId="6E0E40FB" w:rsidR="00C05685" w:rsidRDefault="00783D69" w:rsidP="00783D69">
      <w:pPr>
        <w:jc w:val="both"/>
        <w:rPr>
          <w:rFonts w:cs="Arial"/>
          <w:sz w:val="20"/>
          <w:szCs w:val="20"/>
        </w:rPr>
      </w:pPr>
      <w:r w:rsidRPr="00316E79">
        <w:rPr>
          <w:rFonts w:cs="Arial"/>
          <w:sz w:val="20"/>
          <w:szCs w:val="20"/>
        </w:rPr>
        <w:t>This section of the report provides</w:t>
      </w:r>
      <w:r w:rsidR="00A378D8">
        <w:rPr>
          <w:rFonts w:cs="Arial"/>
          <w:sz w:val="20"/>
          <w:szCs w:val="20"/>
        </w:rPr>
        <w:t xml:space="preserve"> documentation </w:t>
      </w:r>
      <w:r w:rsidR="006D4CFE">
        <w:rPr>
          <w:rFonts w:cs="Arial"/>
          <w:sz w:val="20"/>
          <w:szCs w:val="20"/>
        </w:rPr>
        <w:t xml:space="preserve">of the RBC </w:t>
      </w:r>
      <w:r w:rsidR="00A378D8">
        <w:rPr>
          <w:rFonts w:cs="Arial"/>
          <w:sz w:val="20"/>
          <w:szCs w:val="20"/>
        </w:rPr>
        <w:t xml:space="preserve">capital model </w:t>
      </w:r>
      <w:r w:rsidR="006D4CFE">
        <w:rPr>
          <w:rFonts w:cs="Arial"/>
          <w:sz w:val="20"/>
          <w:szCs w:val="20"/>
        </w:rPr>
        <w:t xml:space="preserve">approach, including a </w:t>
      </w:r>
      <w:r w:rsidR="00A378D8">
        <w:rPr>
          <w:rFonts w:cs="Arial"/>
          <w:sz w:val="20"/>
          <w:szCs w:val="20"/>
        </w:rPr>
        <w:t xml:space="preserve">description of the </w:t>
      </w:r>
      <w:r w:rsidR="006D4CFE">
        <w:rPr>
          <w:rFonts w:cs="Arial"/>
          <w:sz w:val="20"/>
          <w:szCs w:val="20"/>
        </w:rPr>
        <w:t>methodology used to develop the factors.</w:t>
      </w:r>
    </w:p>
    <w:p w14:paraId="1003B7E3" w14:textId="2E4ED924" w:rsidR="006D4CFE" w:rsidRPr="006D4CFE" w:rsidRDefault="006D4CFE" w:rsidP="006D4CFE">
      <w:pPr>
        <w:spacing w:after="120" w:line="288" w:lineRule="auto"/>
        <w:jc w:val="both"/>
        <w:rPr>
          <w:b/>
          <w:sz w:val="20"/>
          <w:szCs w:val="20"/>
        </w:rPr>
      </w:pPr>
      <w:r>
        <w:rPr>
          <w:b/>
          <w:sz w:val="20"/>
          <w:szCs w:val="20"/>
        </w:rPr>
        <w:t>E.1 RBC Model Framework</w:t>
      </w:r>
    </w:p>
    <w:p w14:paraId="5CF4379A" w14:textId="4746D07C" w:rsidR="006D4CFE" w:rsidRDefault="006D4CFE" w:rsidP="006D4CFE">
      <w:pPr>
        <w:spacing w:after="120" w:line="288" w:lineRule="auto"/>
        <w:jc w:val="both"/>
        <w:rPr>
          <w:rFonts w:cs="Arial"/>
          <w:sz w:val="20"/>
          <w:szCs w:val="20"/>
        </w:rPr>
      </w:pPr>
      <w:r>
        <w:rPr>
          <w:rFonts w:cs="Arial"/>
          <w:sz w:val="20"/>
          <w:szCs w:val="20"/>
        </w:rPr>
        <w:t>The model is a counter-cyclical model that uses a factor based approach to apply a capital factor to each performing active loan as of the evaluation date based on the loan</w:t>
      </w:r>
      <w:r w:rsidR="00103A2E">
        <w:rPr>
          <w:rFonts w:cs="Arial"/>
          <w:sz w:val="20"/>
          <w:szCs w:val="20"/>
        </w:rPr>
        <w:t>’</w:t>
      </w:r>
      <w:r>
        <w:rPr>
          <w:rFonts w:cs="Arial"/>
          <w:sz w:val="20"/>
          <w:szCs w:val="20"/>
        </w:rPr>
        <w:t>s underwriting features and eco</w:t>
      </w:r>
      <w:r w:rsidR="00103A2E">
        <w:rPr>
          <w:rFonts w:cs="Arial"/>
          <w:sz w:val="20"/>
          <w:szCs w:val="20"/>
        </w:rPr>
        <w:t>nomic environment at the time of</w:t>
      </w:r>
      <w:r>
        <w:rPr>
          <w:rFonts w:cs="Arial"/>
          <w:sz w:val="20"/>
          <w:szCs w:val="20"/>
        </w:rPr>
        <w:t xml:space="preserve"> loan origination.  The factors are combined together (as described below) to estimate a capital factor for each loan. The capital factor is multiplied by the insurer’s risk in force for performing loans only and aggregated to produce a total capital requirement. This capital requirement is offset by a premium credit to produce an aggregate required level of capital. Required capital for delinquent risks are accounted for using the standard RBC process for reserve risk. The diagram below provides a visual of the RBC model framework:</w:t>
      </w:r>
    </w:p>
    <w:p w14:paraId="5110ABAA" w14:textId="3C6A55F2" w:rsidR="006D4CFE" w:rsidRDefault="006D4CFE" w:rsidP="006D4CFE">
      <w:pPr>
        <w:spacing w:after="120" w:line="288" w:lineRule="auto"/>
        <w:jc w:val="both"/>
        <w:rPr>
          <w:rFonts w:cs="Arial"/>
          <w:sz w:val="20"/>
          <w:szCs w:val="20"/>
        </w:rPr>
      </w:pPr>
      <w:r>
        <w:rPr>
          <w:rFonts w:cs="Arial"/>
          <w:noProof/>
          <w:sz w:val="20"/>
          <w:szCs w:val="20"/>
        </w:rPr>
        <w:drawing>
          <wp:inline distT="0" distB="0" distL="0" distR="0" wp14:anchorId="566FFD41" wp14:editId="45DA7A45">
            <wp:extent cx="5486400" cy="837445"/>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C10074A" w14:textId="200E2DED" w:rsidR="006D4CFE" w:rsidRDefault="006D4CFE" w:rsidP="006D4CFE">
      <w:pPr>
        <w:spacing w:after="120" w:line="288" w:lineRule="auto"/>
        <w:jc w:val="both"/>
        <w:rPr>
          <w:rFonts w:cs="Arial"/>
          <w:sz w:val="20"/>
          <w:szCs w:val="20"/>
        </w:rPr>
      </w:pPr>
      <w:r>
        <w:rPr>
          <w:rFonts w:cs="Arial"/>
          <w:sz w:val="20"/>
          <w:szCs w:val="20"/>
        </w:rPr>
        <w:t>The table below provides a summary of the model factors:</w:t>
      </w:r>
    </w:p>
    <w:tbl>
      <w:tblPr>
        <w:tblStyle w:val="GridTable4"/>
        <w:tblW w:w="0" w:type="auto"/>
        <w:tblLook w:val="04A0" w:firstRow="1" w:lastRow="0" w:firstColumn="1" w:lastColumn="0" w:noHBand="0" w:noVBand="1"/>
      </w:tblPr>
      <w:tblGrid>
        <w:gridCol w:w="2392"/>
        <w:gridCol w:w="2218"/>
        <w:gridCol w:w="2365"/>
        <w:gridCol w:w="2375"/>
      </w:tblGrid>
      <w:tr w:rsidR="004F14FD" w:rsidRPr="008306F2" w14:paraId="7C09E7A6" w14:textId="77777777" w:rsidTr="00040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shd w:val="clear" w:color="auto" w:fill="0A4977" w:themeFill="text2"/>
          </w:tcPr>
          <w:p w14:paraId="31F345A1" w14:textId="77777777" w:rsidR="004F14FD" w:rsidRPr="008306F2" w:rsidRDefault="004F14FD" w:rsidP="00040D04">
            <w:pPr>
              <w:jc w:val="both"/>
              <w:rPr>
                <w:rFonts w:cs="Arial"/>
                <w:sz w:val="18"/>
                <w:szCs w:val="20"/>
              </w:rPr>
            </w:pPr>
            <w:r w:rsidRPr="008306F2">
              <w:rPr>
                <w:rFonts w:cs="Arial"/>
                <w:sz w:val="18"/>
                <w:szCs w:val="20"/>
              </w:rPr>
              <w:t>Model Factor</w:t>
            </w:r>
          </w:p>
        </w:tc>
        <w:tc>
          <w:tcPr>
            <w:tcW w:w="2218" w:type="dxa"/>
            <w:shd w:val="clear" w:color="auto" w:fill="0A4977" w:themeFill="text2"/>
          </w:tcPr>
          <w:p w14:paraId="5CC300C3" w14:textId="77777777" w:rsidR="004F14FD" w:rsidRPr="008306F2" w:rsidRDefault="004F14FD" w:rsidP="00040D04">
            <w:pPr>
              <w:jc w:val="both"/>
              <w:cnfStyle w:val="100000000000" w:firstRow="1"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Description</w:t>
            </w:r>
          </w:p>
        </w:tc>
        <w:tc>
          <w:tcPr>
            <w:tcW w:w="2365" w:type="dxa"/>
            <w:shd w:val="clear" w:color="auto" w:fill="0A4977" w:themeFill="text2"/>
          </w:tcPr>
          <w:p w14:paraId="4001196C" w14:textId="77777777" w:rsidR="004F14FD" w:rsidRPr="008306F2" w:rsidRDefault="004F14FD" w:rsidP="00040D04">
            <w:pPr>
              <w:jc w:val="both"/>
              <w:cnfStyle w:val="100000000000" w:firstRow="1"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Level</w:t>
            </w:r>
          </w:p>
        </w:tc>
        <w:tc>
          <w:tcPr>
            <w:tcW w:w="2375" w:type="dxa"/>
            <w:shd w:val="clear" w:color="auto" w:fill="0A4977" w:themeFill="text2"/>
          </w:tcPr>
          <w:p w14:paraId="0539233F" w14:textId="77777777" w:rsidR="004F14FD" w:rsidRPr="008306F2" w:rsidRDefault="004F14FD" w:rsidP="00040D04">
            <w:pPr>
              <w:jc w:val="both"/>
              <w:cnfStyle w:val="100000000000" w:firstRow="1"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Value</w:t>
            </w:r>
          </w:p>
        </w:tc>
      </w:tr>
      <w:tr w:rsidR="004F14FD" w:rsidRPr="008306F2" w14:paraId="0DE5D32B" w14:textId="77777777" w:rsidTr="0004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2308BB40" w14:textId="77777777" w:rsidR="004F14FD" w:rsidRPr="008306F2" w:rsidRDefault="004F14FD" w:rsidP="00040D04">
            <w:pPr>
              <w:jc w:val="both"/>
              <w:rPr>
                <w:rFonts w:cs="Arial"/>
                <w:sz w:val="18"/>
                <w:szCs w:val="20"/>
              </w:rPr>
            </w:pPr>
            <w:r w:rsidRPr="008306F2">
              <w:rPr>
                <w:rFonts w:cs="Arial"/>
                <w:sz w:val="18"/>
                <w:szCs w:val="20"/>
              </w:rPr>
              <w:t>Base Factor</w:t>
            </w:r>
          </w:p>
        </w:tc>
        <w:tc>
          <w:tcPr>
            <w:tcW w:w="2218" w:type="dxa"/>
          </w:tcPr>
          <w:p w14:paraId="2104481D"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Base factor applied to all mortgages</w:t>
            </w:r>
          </w:p>
        </w:tc>
        <w:tc>
          <w:tcPr>
            <w:tcW w:w="2365" w:type="dxa"/>
          </w:tcPr>
          <w:p w14:paraId="3C4F4D6A"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N/A</w:t>
            </w:r>
          </w:p>
        </w:tc>
        <w:tc>
          <w:tcPr>
            <w:tcW w:w="2375" w:type="dxa"/>
          </w:tcPr>
          <w:p w14:paraId="49599CEC"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0.55%</w:t>
            </w:r>
          </w:p>
        </w:tc>
      </w:tr>
      <w:tr w:rsidR="004F14FD" w:rsidRPr="008306F2" w14:paraId="6C7C1328" w14:textId="77777777" w:rsidTr="00040D04">
        <w:tc>
          <w:tcPr>
            <w:cnfStyle w:val="001000000000" w:firstRow="0" w:lastRow="0" w:firstColumn="1" w:lastColumn="0" w:oddVBand="0" w:evenVBand="0" w:oddHBand="0" w:evenHBand="0" w:firstRowFirstColumn="0" w:firstRowLastColumn="0" w:lastRowFirstColumn="0" w:lastRowLastColumn="0"/>
            <w:tcW w:w="2392" w:type="dxa"/>
          </w:tcPr>
          <w:p w14:paraId="44E2CC66" w14:textId="77777777" w:rsidR="004F14FD" w:rsidRPr="008306F2" w:rsidRDefault="004F14FD" w:rsidP="00040D04">
            <w:pPr>
              <w:jc w:val="both"/>
              <w:rPr>
                <w:rFonts w:cs="Arial"/>
                <w:sz w:val="18"/>
                <w:szCs w:val="20"/>
              </w:rPr>
            </w:pPr>
            <w:r w:rsidRPr="008306F2">
              <w:rPr>
                <w:rFonts w:cs="Arial"/>
                <w:sz w:val="18"/>
                <w:szCs w:val="20"/>
              </w:rPr>
              <w:t>FICO Score</w:t>
            </w:r>
          </w:p>
        </w:tc>
        <w:tc>
          <w:tcPr>
            <w:tcW w:w="2218" w:type="dxa"/>
          </w:tcPr>
          <w:p w14:paraId="4BC82C3C"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Borrower credit score at origination</w:t>
            </w:r>
          </w:p>
        </w:tc>
        <w:tc>
          <w:tcPr>
            <w:tcW w:w="2365" w:type="dxa"/>
          </w:tcPr>
          <w:p w14:paraId="5955E910"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760-850</w:t>
            </w:r>
          </w:p>
          <w:p w14:paraId="4FDB00E6"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740-759</w:t>
            </w:r>
          </w:p>
          <w:p w14:paraId="1FBE5B96"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720-739</w:t>
            </w:r>
          </w:p>
          <w:p w14:paraId="64CC4FC6"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700-719</w:t>
            </w:r>
          </w:p>
          <w:p w14:paraId="0D1D474F"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680-699</w:t>
            </w:r>
          </w:p>
          <w:p w14:paraId="37455626"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660-679</w:t>
            </w:r>
          </w:p>
          <w:p w14:paraId="7A06CF56"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640-659</w:t>
            </w:r>
          </w:p>
          <w:p w14:paraId="724D06C8"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620-639</w:t>
            </w:r>
          </w:p>
          <w:p w14:paraId="100A2045"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600-619</w:t>
            </w:r>
          </w:p>
          <w:p w14:paraId="6F84A30C"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580-599</w:t>
            </w:r>
          </w:p>
          <w:p w14:paraId="4E6FF51A"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560-579</w:t>
            </w:r>
          </w:p>
          <w:p w14:paraId="381AB618"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300-599</w:t>
            </w:r>
          </w:p>
          <w:p w14:paraId="73C893C7"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Missing / Error</w:t>
            </w:r>
          </w:p>
        </w:tc>
        <w:tc>
          <w:tcPr>
            <w:tcW w:w="2375" w:type="dxa"/>
          </w:tcPr>
          <w:p w14:paraId="70DA2A0F"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1.00</w:t>
            </w:r>
          </w:p>
          <w:p w14:paraId="7C8C6985"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1.35</w:t>
            </w:r>
          </w:p>
          <w:p w14:paraId="31B91F0F"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1.60</w:t>
            </w:r>
          </w:p>
          <w:p w14:paraId="25E95326" w14:textId="5AC042F1" w:rsidR="004F14FD" w:rsidRPr="008306F2" w:rsidRDefault="00BA38D8"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1.95</w:t>
            </w:r>
          </w:p>
          <w:p w14:paraId="0327A456"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2.40</w:t>
            </w:r>
          </w:p>
          <w:p w14:paraId="22D82E51"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2.90</w:t>
            </w:r>
          </w:p>
          <w:p w14:paraId="5A75A04F"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3.55</w:t>
            </w:r>
          </w:p>
          <w:p w14:paraId="6D93E118"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4.40</w:t>
            </w:r>
          </w:p>
          <w:p w14:paraId="5D2F5339" w14:textId="49B736D0"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5.</w:t>
            </w:r>
            <w:r w:rsidR="006D5D30">
              <w:rPr>
                <w:rFonts w:cs="Arial"/>
                <w:sz w:val="18"/>
                <w:szCs w:val="20"/>
              </w:rPr>
              <w:t>5</w:t>
            </w:r>
            <w:r w:rsidR="00BA38D8">
              <w:rPr>
                <w:rFonts w:cs="Arial"/>
                <w:sz w:val="18"/>
                <w:szCs w:val="20"/>
              </w:rPr>
              <w:t>0</w:t>
            </w:r>
          </w:p>
          <w:p w14:paraId="7B989522" w14:textId="5993C316"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6.</w:t>
            </w:r>
            <w:r w:rsidR="006D5D30">
              <w:rPr>
                <w:rFonts w:cs="Arial"/>
                <w:sz w:val="18"/>
                <w:szCs w:val="20"/>
              </w:rPr>
              <w:t>6</w:t>
            </w:r>
            <w:r w:rsidR="00BA38D8">
              <w:rPr>
                <w:rFonts w:cs="Arial"/>
                <w:sz w:val="18"/>
                <w:szCs w:val="20"/>
              </w:rPr>
              <w:t>0</w:t>
            </w:r>
          </w:p>
          <w:p w14:paraId="279E3AFB" w14:textId="12A8527E"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7.</w:t>
            </w:r>
            <w:r w:rsidR="00BA38D8">
              <w:rPr>
                <w:rFonts w:cs="Arial"/>
                <w:sz w:val="18"/>
                <w:szCs w:val="20"/>
              </w:rPr>
              <w:t>60</w:t>
            </w:r>
          </w:p>
          <w:p w14:paraId="7C496BF2" w14:textId="28FB9486"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9.</w:t>
            </w:r>
            <w:r w:rsidR="006D5D30">
              <w:rPr>
                <w:rFonts w:cs="Arial"/>
                <w:sz w:val="18"/>
                <w:szCs w:val="20"/>
              </w:rPr>
              <w:t>5</w:t>
            </w:r>
            <w:r w:rsidR="00BA38D8">
              <w:rPr>
                <w:rFonts w:cs="Arial"/>
                <w:sz w:val="18"/>
                <w:szCs w:val="20"/>
              </w:rPr>
              <w:t>0</w:t>
            </w:r>
          </w:p>
          <w:p w14:paraId="27BF2F08"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5.00</w:t>
            </w:r>
          </w:p>
        </w:tc>
      </w:tr>
      <w:tr w:rsidR="004F14FD" w:rsidRPr="008306F2" w14:paraId="00BECB79" w14:textId="77777777" w:rsidTr="0004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6EF7C9C8" w14:textId="77777777" w:rsidR="004F14FD" w:rsidRPr="008306F2" w:rsidRDefault="004F14FD" w:rsidP="00040D04">
            <w:pPr>
              <w:jc w:val="both"/>
              <w:rPr>
                <w:rFonts w:cs="Arial"/>
                <w:sz w:val="18"/>
                <w:szCs w:val="20"/>
              </w:rPr>
            </w:pPr>
            <w:r w:rsidRPr="008306F2">
              <w:rPr>
                <w:rFonts w:cs="Arial"/>
                <w:sz w:val="18"/>
                <w:szCs w:val="20"/>
              </w:rPr>
              <w:t>Loan-to-Value Ratio</w:t>
            </w:r>
          </w:p>
        </w:tc>
        <w:tc>
          <w:tcPr>
            <w:tcW w:w="2218" w:type="dxa"/>
          </w:tcPr>
          <w:p w14:paraId="3304FF5C"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Loan-to-value ratio at origination</w:t>
            </w:r>
          </w:p>
        </w:tc>
        <w:tc>
          <w:tcPr>
            <w:tcW w:w="2365" w:type="dxa"/>
          </w:tcPr>
          <w:p w14:paraId="61C53015"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(0, 80]</w:t>
            </w:r>
          </w:p>
          <w:p w14:paraId="64D2704A"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(80, 85]</w:t>
            </w:r>
          </w:p>
          <w:p w14:paraId="782ABED7"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(85, 90]</w:t>
            </w:r>
          </w:p>
          <w:p w14:paraId="1AE836E4"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(90, 95]</w:t>
            </w:r>
          </w:p>
          <w:p w14:paraId="598E9B2C"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(95, 100]</w:t>
            </w:r>
          </w:p>
          <w:p w14:paraId="4EE3D8BA"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100+</w:t>
            </w:r>
          </w:p>
          <w:p w14:paraId="15FE2712"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Missing</w:t>
            </w:r>
          </w:p>
        </w:tc>
        <w:tc>
          <w:tcPr>
            <w:tcW w:w="2375" w:type="dxa"/>
          </w:tcPr>
          <w:p w14:paraId="522DACAA"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1.00</w:t>
            </w:r>
          </w:p>
          <w:p w14:paraId="3D45C867" w14:textId="798FF5DF"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1.</w:t>
            </w:r>
            <w:r w:rsidR="006D5D30">
              <w:rPr>
                <w:rFonts w:cs="Arial"/>
                <w:sz w:val="18"/>
                <w:szCs w:val="20"/>
              </w:rPr>
              <w:t>45</w:t>
            </w:r>
          </w:p>
          <w:p w14:paraId="3925FEAB" w14:textId="3B656806"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1.</w:t>
            </w:r>
            <w:r w:rsidR="006D5D30">
              <w:rPr>
                <w:rFonts w:cs="Arial"/>
                <w:sz w:val="18"/>
                <w:szCs w:val="20"/>
              </w:rPr>
              <w:t>7</w:t>
            </w:r>
            <w:r w:rsidR="006D5D30" w:rsidRPr="008306F2">
              <w:rPr>
                <w:rFonts w:cs="Arial"/>
                <w:sz w:val="18"/>
                <w:szCs w:val="20"/>
              </w:rPr>
              <w:t>5</w:t>
            </w:r>
          </w:p>
          <w:p w14:paraId="01A7CB81" w14:textId="6D7C5066"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2.</w:t>
            </w:r>
            <w:r w:rsidR="006D5D30">
              <w:rPr>
                <w:rFonts w:cs="Arial"/>
                <w:sz w:val="18"/>
                <w:szCs w:val="20"/>
              </w:rPr>
              <w:t>00</w:t>
            </w:r>
          </w:p>
          <w:p w14:paraId="1D36BE20" w14:textId="639648A6"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3.</w:t>
            </w:r>
            <w:r w:rsidR="006D5D30">
              <w:rPr>
                <w:rFonts w:cs="Arial"/>
                <w:sz w:val="18"/>
                <w:szCs w:val="20"/>
              </w:rPr>
              <w:t>05</w:t>
            </w:r>
          </w:p>
          <w:p w14:paraId="5828962F"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4.00</w:t>
            </w:r>
          </w:p>
          <w:p w14:paraId="28167622"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2.00</w:t>
            </w:r>
          </w:p>
        </w:tc>
      </w:tr>
      <w:tr w:rsidR="004F14FD" w:rsidRPr="008306F2" w14:paraId="3E06CD07" w14:textId="77777777" w:rsidTr="000146B2">
        <w:trPr>
          <w:trHeight w:val="1493"/>
        </w:trPr>
        <w:tc>
          <w:tcPr>
            <w:cnfStyle w:val="001000000000" w:firstRow="0" w:lastRow="0" w:firstColumn="1" w:lastColumn="0" w:oddVBand="0" w:evenVBand="0" w:oddHBand="0" w:evenHBand="0" w:firstRowFirstColumn="0" w:firstRowLastColumn="0" w:lastRowFirstColumn="0" w:lastRowLastColumn="0"/>
            <w:tcW w:w="2392" w:type="dxa"/>
          </w:tcPr>
          <w:p w14:paraId="3290A19F" w14:textId="77777777" w:rsidR="004F14FD" w:rsidRPr="008306F2" w:rsidRDefault="004F14FD" w:rsidP="002C037A">
            <w:pPr>
              <w:rPr>
                <w:rFonts w:cs="Arial"/>
                <w:sz w:val="18"/>
                <w:szCs w:val="20"/>
              </w:rPr>
            </w:pPr>
            <w:r w:rsidRPr="008306F2">
              <w:rPr>
                <w:rFonts w:cs="Arial"/>
                <w:sz w:val="18"/>
                <w:szCs w:val="20"/>
              </w:rPr>
              <w:t>Number of Alternative Risk Factors</w:t>
            </w:r>
          </w:p>
        </w:tc>
        <w:tc>
          <w:tcPr>
            <w:tcW w:w="2218" w:type="dxa"/>
          </w:tcPr>
          <w:p w14:paraId="7195213C" w14:textId="77777777" w:rsidR="004F14FD" w:rsidRPr="008306F2" w:rsidRDefault="004F14FD" w:rsidP="00040D04">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Total number of Alternative Risk Factors on the mortgage</w:t>
            </w:r>
          </w:p>
        </w:tc>
        <w:tc>
          <w:tcPr>
            <w:tcW w:w="2365" w:type="dxa"/>
          </w:tcPr>
          <w:p w14:paraId="0128E34A"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0</w:t>
            </w:r>
          </w:p>
          <w:p w14:paraId="18A439B8"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w:t>
            </w:r>
          </w:p>
          <w:p w14:paraId="6F470549"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2</w:t>
            </w:r>
          </w:p>
          <w:p w14:paraId="12A2A4C4"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3</w:t>
            </w:r>
          </w:p>
          <w:p w14:paraId="0497A9FB"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4+</w:t>
            </w:r>
          </w:p>
        </w:tc>
        <w:tc>
          <w:tcPr>
            <w:tcW w:w="2375" w:type="dxa"/>
          </w:tcPr>
          <w:p w14:paraId="4960AD31"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1.00</w:t>
            </w:r>
          </w:p>
          <w:p w14:paraId="1CE114AF" w14:textId="3963E3B3"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w:t>
            </w:r>
            <w:r w:rsidR="006D5D30">
              <w:rPr>
                <w:rFonts w:cs="Arial"/>
                <w:sz w:val="18"/>
                <w:szCs w:val="20"/>
              </w:rPr>
              <w:t>3</w:t>
            </w:r>
            <w:r w:rsidR="006D5D30" w:rsidRPr="008306F2">
              <w:rPr>
                <w:rFonts w:cs="Arial"/>
                <w:sz w:val="18"/>
                <w:szCs w:val="20"/>
              </w:rPr>
              <w:t>0</w:t>
            </w:r>
          </w:p>
          <w:p w14:paraId="01E335ED" w14:textId="6C0FE5EF"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w:t>
            </w:r>
            <w:r w:rsidR="006D5D30">
              <w:rPr>
                <w:rFonts w:cs="Arial"/>
                <w:sz w:val="18"/>
                <w:szCs w:val="20"/>
              </w:rPr>
              <w:t>6</w:t>
            </w:r>
            <w:r w:rsidR="006D5D30" w:rsidRPr="008306F2">
              <w:rPr>
                <w:rFonts w:cs="Arial"/>
                <w:sz w:val="18"/>
                <w:szCs w:val="20"/>
              </w:rPr>
              <w:t>5</w:t>
            </w:r>
          </w:p>
          <w:p w14:paraId="049868FE" w14:textId="207245C7" w:rsidR="004F14FD" w:rsidRPr="008306F2" w:rsidRDefault="006D5D30"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1.90</w:t>
            </w:r>
          </w:p>
          <w:p w14:paraId="66008BF9" w14:textId="1E258345" w:rsidR="004F14FD" w:rsidRPr="008306F2" w:rsidRDefault="006D5D30"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2.00</w:t>
            </w:r>
          </w:p>
        </w:tc>
      </w:tr>
      <w:tr w:rsidR="004F14FD" w:rsidRPr="008306F2" w14:paraId="07D0E001" w14:textId="77777777" w:rsidTr="0004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25F46095" w14:textId="77777777" w:rsidR="004F14FD" w:rsidRPr="008306F2" w:rsidRDefault="004F14FD" w:rsidP="002C037A">
            <w:pPr>
              <w:rPr>
                <w:rFonts w:cs="Arial"/>
                <w:sz w:val="18"/>
                <w:szCs w:val="20"/>
              </w:rPr>
            </w:pPr>
            <w:r w:rsidRPr="008306F2">
              <w:rPr>
                <w:rFonts w:cs="Arial"/>
                <w:sz w:val="18"/>
                <w:szCs w:val="20"/>
              </w:rPr>
              <w:lastRenderedPageBreak/>
              <w:t>Number of High Risk Factors</w:t>
            </w:r>
          </w:p>
        </w:tc>
        <w:tc>
          <w:tcPr>
            <w:tcW w:w="2218" w:type="dxa"/>
          </w:tcPr>
          <w:p w14:paraId="2B2A0235" w14:textId="77777777" w:rsidR="004F14FD" w:rsidRPr="008306F2" w:rsidRDefault="004F14FD" w:rsidP="00040D04">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Total number of High Risk Factors on the mortgage</w:t>
            </w:r>
          </w:p>
        </w:tc>
        <w:tc>
          <w:tcPr>
            <w:tcW w:w="2365" w:type="dxa"/>
          </w:tcPr>
          <w:p w14:paraId="05A36913"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0</w:t>
            </w:r>
          </w:p>
          <w:p w14:paraId="6902ABC2"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1</w:t>
            </w:r>
          </w:p>
          <w:p w14:paraId="2684119D"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2</w:t>
            </w:r>
          </w:p>
          <w:p w14:paraId="10DF24CB" w14:textId="5D398F4A" w:rsidR="004F14FD"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3</w:t>
            </w:r>
          </w:p>
          <w:p w14:paraId="33A4693C" w14:textId="07CF93DE" w:rsidR="006D5D30" w:rsidRPr="008306F2" w:rsidRDefault="006D5D30"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Pr>
                <w:rFonts w:cs="Arial"/>
                <w:sz w:val="18"/>
                <w:szCs w:val="20"/>
              </w:rPr>
              <w:t>4</w:t>
            </w:r>
          </w:p>
        </w:tc>
        <w:tc>
          <w:tcPr>
            <w:tcW w:w="2375" w:type="dxa"/>
          </w:tcPr>
          <w:p w14:paraId="4565FB4A"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1.00</w:t>
            </w:r>
          </w:p>
          <w:p w14:paraId="74660D36" w14:textId="77777777"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1.50</w:t>
            </w:r>
          </w:p>
          <w:p w14:paraId="0A15CDD3" w14:textId="24CC46D9" w:rsidR="004F14FD" w:rsidRPr="008306F2" w:rsidRDefault="004F14FD" w:rsidP="00040D04">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2.</w:t>
            </w:r>
            <w:r w:rsidR="00BA38D8">
              <w:rPr>
                <w:rFonts w:cs="Arial"/>
                <w:sz w:val="18"/>
                <w:szCs w:val="20"/>
              </w:rPr>
              <w:t>35</w:t>
            </w:r>
          </w:p>
          <w:p w14:paraId="3C6B0AD7" w14:textId="7E8E59DF" w:rsidR="004F14FD" w:rsidRDefault="004F14FD" w:rsidP="006D5D30">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3.</w:t>
            </w:r>
            <w:r w:rsidR="00BA38D8">
              <w:rPr>
                <w:rFonts w:cs="Arial"/>
                <w:sz w:val="18"/>
                <w:szCs w:val="20"/>
              </w:rPr>
              <w:t>95</w:t>
            </w:r>
          </w:p>
          <w:p w14:paraId="0185DF37" w14:textId="31BF423D" w:rsidR="006D5D30" w:rsidRPr="008306F2" w:rsidRDefault="006D5D30" w:rsidP="006D5D30">
            <w:pPr>
              <w:jc w:val="both"/>
              <w:cnfStyle w:val="000000100000" w:firstRow="0" w:lastRow="0" w:firstColumn="0" w:lastColumn="0" w:oddVBand="0" w:evenVBand="0" w:oddHBand="1" w:evenHBand="0" w:firstRowFirstColumn="0" w:firstRowLastColumn="0" w:lastRowFirstColumn="0" w:lastRowLastColumn="0"/>
              <w:rPr>
                <w:rFonts w:cs="Arial"/>
                <w:sz w:val="18"/>
                <w:szCs w:val="20"/>
              </w:rPr>
            </w:pPr>
            <w:r>
              <w:rPr>
                <w:rFonts w:cs="Arial"/>
                <w:sz w:val="18"/>
                <w:szCs w:val="20"/>
              </w:rPr>
              <w:t>3.</w:t>
            </w:r>
            <w:r w:rsidR="00BA38D8">
              <w:rPr>
                <w:rFonts w:cs="Arial"/>
                <w:sz w:val="18"/>
                <w:szCs w:val="20"/>
              </w:rPr>
              <w:t>25</w:t>
            </w:r>
          </w:p>
        </w:tc>
      </w:tr>
      <w:tr w:rsidR="004F14FD" w:rsidRPr="008306F2" w14:paraId="38208BAA" w14:textId="77777777" w:rsidTr="00040D04">
        <w:tc>
          <w:tcPr>
            <w:cnfStyle w:val="001000000000" w:firstRow="0" w:lastRow="0" w:firstColumn="1" w:lastColumn="0" w:oddVBand="0" w:evenVBand="0" w:oddHBand="0" w:evenHBand="0" w:firstRowFirstColumn="0" w:firstRowLastColumn="0" w:lastRowFirstColumn="0" w:lastRowLastColumn="0"/>
            <w:tcW w:w="2392" w:type="dxa"/>
          </w:tcPr>
          <w:p w14:paraId="732E417B" w14:textId="77777777" w:rsidR="004F14FD" w:rsidRPr="008306F2" w:rsidRDefault="004F14FD" w:rsidP="002C037A">
            <w:pPr>
              <w:rPr>
                <w:rFonts w:cs="Arial"/>
                <w:sz w:val="18"/>
                <w:szCs w:val="20"/>
              </w:rPr>
            </w:pPr>
            <w:r w:rsidRPr="008306F2">
              <w:rPr>
                <w:rFonts w:cs="Arial"/>
                <w:sz w:val="18"/>
                <w:szCs w:val="20"/>
              </w:rPr>
              <w:t xml:space="preserve">Number of Risk </w:t>
            </w:r>
            <w:r>
              <w:rPr>
                <w:rFonts w:cs="Arial"/>
                <w:sz w:val="18"/>
                <w:szCs w:val="20"/>
              </w:rPr>
              <w:t>Offset Factors</w:t>
            </w:r>
          </w:p>
        </w:tc>
        <w:tc>
          <w:tcPr>
            <w:tcW w:w="2218" w:type="dxa"/>
          </w:tcPr>
          <w:p w14:paraId="5092FD16" w14:textId="77777777" w:rsidR="004F14FD" w:rsidRPr="008306F2" w:rsidRDefault="004F14FD" w:rsidP="00040D04">
            <w:pPr>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 xml:space="preserve">Total number of </w:t>
            </w:r>
            <w:r>
              <w:rPr>
                <w:rFonts w:cs="Arial"/>
                <w:sz w:val="18"/>
                <w:szCs w:val="20"/>
              </w:rPr>
              <w:t xml:space="preserve">Risk Offset Factors </w:t>
            </w:r>
            <w:r w:rsidRPr="008306F2">
              <w:rPr>
                <w:rFonts w:cs="Arial"/>
                <w:sz w:val="18"/>
                <w:szCs w:val="20"/>
              </w:rPr>
              <w:t>on the mortgage</w:t>
            </w:r>
          </w:p>
        </w:tc>
        <w:tc>
          <w:tcPr>
            <w:tcW w:w="2365" w:type="dxa"/>
          </w:tcPr>
          <w:p w14:paraId="32041EB8"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0</w:t>
            </w:r>
          </w:p>
          <w:p w14:paraId="631B37A2"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w:t>
            </w:r>
          </w:p>
          <w:p w14:paraId="5B156AA3" w14:textId="77777777" w:rsidR="004F14FD"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2</w:t>
            </w:r>
          </w:p>
          <w:p w14:paraId="263223EF" w14:textId="08407A6C" w:rsidR="00EA3044" w:rsidRPr="008306F2" w:rsidRDefault="00EA3044"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3</w:t>
            </w:r>
          </w:p>
        </w:tc>
        <w:tc>
          <w:tcPr>
            <w:tcW w:w="2375" w:type="dxa"/>
          </w:tcPr>
          <w:p w14:paraId="6C9958BF"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sidRPr="008306F2">
              <w:rPr>
                <w:rFonts w:cs="Arial"/>
                <w:sz w:val="18"/>
                <w:szCs w:val="20"/>
              </w:rPr>
              <w:t>1.00</w:t>
            </w:r>
          </w:p>
          <w:p w14:paraId="51EE77D2" w14:textId="77777777" w:rsidR="004F14FD" w:rsidRPr="008306F2"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0.65</w:t>
            </w:r>
          </w:p>
          <w:p w14:paraId="0712E270" w14:textId="77777777" w:rsidR="004F14FD" w:rsidRDefault="004F14FD"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0.50</w:t>
            </w:r>
          </w:p>
          <w:p w14:paraId="44778470" w14:textId="5950F336" w:rsidR="00BA38D8" w:rsidRPr="008306F2" w:rsidRDefault="00BA38D8" w:rsidP="00040D04">
            <w:pPr>
              <w:jc w:val="both"/>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0.50</w:t>
            </w:r>
          </w:p>
        </w:tc>
      </w:tr>
      <w:tr w:rsidR="004F14FD" w:rsidRPr="008306F2" w14:paraId="0AC5877D" w14:textId="77777777" w:rsidTr="00040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14:paraId="539ABD77" w14:textId="77777777" w:rsidR="004F14FD" w:rsidRPr="008306F2" w:rsidRDefault="004F14FD" w:rsidP="00040D04">
            <w:pPr>
              <w:jc w:val="both"/>
              <w:rPr>
                <w:rFonts w:cs="Arial"/>
                <w:sz w:val="18"/>
                <w:szCs w:val="20"/>
              </w:rPr>
            </w:pPr>
            <w:r w:rsidRPr="008306F2">
              <w:rPr>
                <w:rFonts w:cs="Arial"/>
                <w:sz w:val="18"/>
                <w:szCs w:val="20"/>
              </w:rPr>
              <w:t>Economic Factor</w:t>
            </w:r>
          </w:p>
        </w:tc>
        <w:tc>
          <w:tcPr>
            <w:tcW w:w="2218" w:type="dxa"/>
          </w:tcPr>
          <w:p w14:paraId="72636DB9" w14:textId="77777777" w:rsidR="004F14FD" w:rsidRPr="008306F2" w:rsidRDefault="004F14FD" w:rsidP="00040D04">
            <w:pPr>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Economic adjustment factor evaluated at origination</w:t>
            </w:r>
          </w:p>
        </w:tc>
        <w:tc>
          <w:tcPr>
            <w:tcW w:w="4740" w:type="dxa"/>
            <w:gridSpan w:val="2"/>
          </w:tcPr>
          <w:p w14:paraId="6B7536D5" w14:textId="77777777" w:rsidR="004F14FD" w:rsidRPr="008306F2" w:rsidRDefault="004F14FD" w:rsidP="00040D04">
            <w:pPr>
              <w:jc w:val="center"/>
              <w:cnfStyle w:val="000000100000" w:firstRow="0" w:lastRow="0" w:firstColumn="0" w:lastColumn="0" w:oddVBand="0" w:evenVBand="0" w:oddHBand="1" w:evenHBand="0" w:firstRowFirstColumn="0" w:firstRowLastColumn="0" w:lastRowFirstColumn="0" w:lastRowLastColumn="0"/>
              <w:rPr>
                <w:rFonts w:cs="Arial"/>
                <w:sz w:val="18"/>
                <w:szCs w:val="20"/>
              </w:rPr>
            </w:pPr>
            <w:r w:rsidRPr="008306F2">
              <w:rPr>
                <w:rFonts w:cs="Arial"/>
                <w:sz w:val="18"/>
                <w:szCs w:val="20"/>
              </w:rPr>
              <w:t>Varies by origination year</w:t>
            </w:r>
          </w:p>
        </w:tc>
      </w:tr>
      <w:tr w:rsidR="00F454B6" w:rsidRPr="008306F2" w14:paraId="3A0B8CAC" w14:textId="77777777" w:rsidTr="00040D04">
        <w:tc>
          <w:tcPr>
            <w:cnfStyle w:val="001000000000" w:firstRow="0" w:lastRow="0" w:firstColumn="1" w:lastColumn="0" w:oddVBand="0" w:evenVBand="0" w:oddHBand="0" w:evenHBand="0" w:firstRowFirstColumn="0" w:firstRowLastColumn="0" w:lastRowFirstColumn="0" w:lastRowLastColumn="0"/>
            <w:tcW w:w="2392" w:type="dxa"/>
          </w:tcPr>
          <w:p w14:paraId="7EF2572D" w14:textId="3401568C" w:rsidR="00F454B6" w:rsidRPr="008306F2" w:rsidRDefault="00F454B6" w:rsidP="00F454B6">
            <w:pPr>
              <w:jc w:val="both"/>
              <w:rPr>
                <w:rFonts w:cs="Arial"/>
                <w:sz w:val="18"/>
                <w:szCs w:val="20"/>
              </w:rPr>
            </w:pPr>
            <w:r>
              <w:rPr>
                <w:rFonts w:cs="Arial"/>
                <w:sz w:val="18"/>
                <w:szCs w:val="20"/>
              </w:rPr>
              <w:t>Severity Rate</w:t>
            </w:r>
          </w:p>
        </w:tc>
        <w:tc>
          <w:tcPr>
            <w:tcW w:w="2218" w:type="dxa"/>
          </w:tcPr>
          <w:p w14:paraId="6D3D9FD0" w14:textId="77777777" w:rsidR="00F454B6" w:rsidRDefault="00F454B6" w:rsidP="00F454B6">
            <w:pP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 xml:space="preserve">Severity rate, as a percent of original loan amount, applied to mortgage insurance coverage in excess of </w:t>
            </w:r>
          </w:p>
          <w:p w14:paraId="320742B3" w14:textId="3C1A7990" w:rsidR="00F454B6" w:rsidRPr="008306F2" w:rsidRDefault="00F454B6" w:rsidP="00F454B6">
            <w:pP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Standard Coverage</w:t>
            </w:r>
          </w:p>
        </w:tc>
        <w:tc>
          <w:tcPr>
            <w:tcW w:w="4740" w:type="dxa"/>
            <w:gridSpan w:val="2"/>
          </w:tcPr>
          <w:p w14:paraId="5B968F7D" w14:textId="5E01C885" w:rsidR="00F454B6" w:rsidRPr="008306F2" w:rsidRDefault="00F454B6" w:rsidP="00F454B6">
            <w:pPr>
              <w:jc w:val="center"/>
              <w:cnfStyle w:val="000000000000" w:firstRow="0" w:lastRow="0" w:firstColumn="0" w:lastColumn="0" w:oddVBand="0" w:evenVBand="0" w:oddHBand="0" w:evenHBand="0" w:firstRowFirstColumn="0" w:firstRowLastColumn="0" w:lastRowFirstColumn="0" w:lastRowLastColumn="0"/>
              <w:rPr>
                <w:rFonts w:cs="Arial"/>
                <w:sz w:val="18"/>
                <w:szCs w:val="20"/>
              </w:rPr>
            </w:pPr>
            <w:r>
              <w:rPr>
                <w:rFonts w:cs="Arial"/>
                <w:sz w:val="18"/>
                <w:szCs w:val="20"/>
              </w:rPr>
              <w:t>Varies by the Economic Factor</w:t>
            </w:r>
          </w:p>
        </w:tc>
      </w:tr>
    </w:tbl>
    <w:p w14:paraId="51FAB772" w14:textId="77777777" w:rsidR="006D4CFE" w:rsidRDefault="006D4CFE" w:rsidP="006D4CFE">
      <w:pPr>
        <w:spacing w:after="120" w:line="288" w:lineRule="auto"/>
        <w:jc w:val="both"/>
        <w:rPr>
          <w:b/>
          <w:sz w:val="20"/>
          <w:szCs w:val="20"/>
        </w:rPr>
      </w:pPr>
    </w:p>
    <w:p w14:paraId="0E9D6883" w14:textId="206E7F6B" w:rsidR="006D4CFE" w:rsidRDefault="006D4CFE" w:rsidP="006D4CFE">
      <w:pPr>
        <w:spacing w:after="120" w:line="288" w:lineRule="auto"/>
        <w:jc w:val="both"/>
        <w:rPr>
          <w:b/>
          <w:sz w:val="20"/>
          <w:szCs w:val="20"/>
        </w:rPr>
      </w:pPr>
      <w:r>
        <w:rPr>
          <w:b/>
          <w:sz w:val="20"/>
          <w:szCs w:val="20"/>
        </w:rPr>
        <w:t>E.2 RBC Capital Factors</w:t>
      </w:r>
    </w:p>
    <w:p w14:paraId="3EA5E333" w14:textId="7596F8A0" w:rsidR="0098308F" w:rsidRPr="002E10C5" w:rsidRDefault="0098308F" w:rsidP="006D4CFE">
      <w:pPr>
        <w:spacing w:after="120" w:line="288" w:lineRule="auto"/>
        <w:jc w:val="both"/>
        <w:rPr>
          <w:sz w:val="20"/>
          <w:szCs w:val="20"/>
        </w:rPr>
      </w:pPr>
      <w:r w:rsidRPr="002E10C5">
        <w:rPr>
          <w:sz w:val="20"/>
          <w:szCs w:val="20"/>
        </w:rPr>
        <w:t xml:space="preserve">This section of the report describes the development of the </w:t>
      </w:r>
      <w:r w:rsidR="000E347C" w:rsidRPr="002E10C5">
        <w:rPr>
          <w:sz w:val="20"/>
          <w:szCs w:val="20"/>
        </w:rPr>
        <w:t xml:space="preserve">RBC </w:t>
      </w:r>
      <w:r w:rsidRPr="002E10C5">
        <w:rPr>
          <w:sz w:val="20"/>
          <w:szCs w:val="20"/>
        </w:rPr>
        <w:t xml:space="preserve">capital factors. </w:t>
      </w:r>
      <w:r w:rsidR="000E347C" w:rsidRPr="002E10C5">
        <w:rPr>
          <w:sz w:val="20"/>
          <w:szCs w:val="20"/>
        </w:rPr>
        <w:t>The RBC capital factors were developed in a three step process:</w:t>
      </w:r>
    </w:p>
    <w:p w14:paraId="3BCCFA20" w14:textId="4F1D9AD7" w:rsidR="000E347C" w:rsidRPr="002E10C5" w:rsidRDefault="000E347C" w:rsidP="000E347C">
      <w:pPr>
        <w:pStyle w:val="ListParagraph"/>
        <w:numPr>
          <w:ilvl w:val="0"/>
          <w:numId w:val="43"/>
        </w:numPr>
        <w:spacing w:after="120" w:line="288" w:lineRule="auto"/>
        <w:jc w:val="both"/>
        <w:rPr>
          <w:szCs w:val="20"/>
        </w:rPr>
      </w:pPr>
      <w:r w:rsidRPr="002E10C5">
        <w:rPr>
          <w:szCs w:val="20"/>
        </w:rPr>
        <w:t>Develop FICO, LTV, and risk factor relativities;</w:t>
      </w:r>
    </w:p>
    <w:p w14:paraId="3DCA01C6" w14:textId="302B38CF" w:rsidR="000E347C" w:rsidRPr="002E10C5" w:rsidRDefault="000E347C" w:rsidP="000E347C">
      <w:pPr>
        <w:pStyle w:val="ListParagraph"/>
        <w:numPr>
          <w:ilvl w:val="0"/>
          <w:numId w:val="43"/>
        </w:numPr>
        <w:spacing w:after="120" w:line="288" w:lineRule="auto"/>
        <w:jc w:val="both"/>
        <w:rPr>
          <w:szCs w:val="20"/>
        </w:rPr>
      </w:pPr>
      <w:r w:rsidRPr="002E10C5">
        <w:rPr>
          <w:szCs w:val="20"/>
        </w:rPr>
        <w:t>Develop economic factor; and</w:t>
      </w:r>
    </w:p>
    <w:p w14:paraId="7DF81BFC" w14:textId="0F5613A0" w:rsidR="000E347C" w:rsidRPr="002E10C5" w:rsidRDefault="000E347C" w:rsidP="000E347C">
      <w:pPr>
        <w:pStyle w:val="ListParagraph"/>
        <w:numPr>
          <w:ilvl w:val="0"/>
          <w:numId w:val="43"/>
        </w:numPr>
        <w:spacing w:after="120" w:line="288" w:lineRule="auto"/>
        <w:jc w:val="both"/>
        <w:rPr>
          <w:szCs w:val="20"/>
        </w:rPr>
      </w:pPr>
      <w:r w:rsidRPr="002E10C5">
        <w:rPr>
          <w:szCs w:val="20"/>
        </w:rPr>
        <w:t>Set base rate factor.</w:t>
      </w:r>
    </w:p>
    <w:p w14:paraId="3AF34533" w14:textId="723B6FC0" w:rsidR="000E347C" w:rsidRPr="002E10C5" w:rsidRDefault="000E347C" w:rsidP="000E347C">
      <w:pPr>
        <w:spacing w:after="120" w:line="288" w:lineRule="auto"/>
        <w:jc w:val="both"/>
        <w:rPr>
          <w:i/>
          <w:sz w:val="20"/>
          <w:szCs w:val="20"/>
        </w:rPr>
      </w:pPr>
      <w:r w:rsidRPr="002E10C5">
        <w:rPr>
          <w:i/>
          <w:sz w:val="20"/>
          <w:szCs w:val="20"/>
        </w:rPr>
        <w:t>E.2.i FICO, LTV and Risk Factor Relativities</w:t>
      </w:r>
    </w:p>
    <w:p w14:paraId="6D3B14E7" w14:textId="5962C544" w:rsidR="000E347C" w:rsidRPr="002E10C5" w:rsidRDefault="00A7751B" w:rsidP="000E347C">
      <w:pPr>
        <w:spacing w:after="120" w:line="288" w:lineRule="auto"/>
        <w:jc w:val="both"/>
        <w:rPr>
          <w:sz w:val="20"/>
          <w:szCs w:val="20"/>
        </w:rPr>
      </w:pPr>
      <w:r w:rsidRPr="002E10C5">
        <w:rPr>
          <w:sz w:val="20"/>
          <w:szCs w:val="20"/>
        </w:rPr>
        <w:t>The FICO, LTV, and Risk Factor relativities were selected after reviewing three indications of relativities between a base loan and loans with different risk factors. The three relativities are:</w:t>
      </w:r>
    </w:p>
    <w:p w14:paraId="3D369B3F" w14:textId="60D32F70" w:rsidR="00A7751B" w:rsidRPr="002E10C5" w:rsidRDefault="00A7751B" w:rsidP="00A7751B">
      <w:pPr>
        <w:pStyle w:val="ListParagraph"/>
        <w:numPr>
          <w:ilvl w:val="0"/>
          <w:numId w:val="44"/>
        </w:numPr>
        <w:spacing w:after="120" w:line="288" w:lineRule="auto"/>
        <w:jc w:val="both"/>
        <w:rPr>
          <w:szCs w:val="20"/>
        </w:rPr>
      </w:pPr>
      <w:r w:rsidRPr="002E10C5">
        <w:rPr>
          <w:szCs w:val="20"/>
        </w:rPr>
        <w:t>Empiric</w:t>
      </w:r>
      <w:r w:rsidR="00103A2E">
        <w:rPr>
          <w:szCs w:val="20"/>
        </w:rPr>
        <w:t>al odds relativity from the</w:t>
      </w:r>
      <w:r w:rsidRPr="002E10C5">
        <w:rPr>
          <w:szCs w:val="20"/>
        </w:rPr>
        <w:t xml:space="preserve"> loan-level data;</w:t>
      </w:r>
    </w:p>
    <w:p w14:paraId="38DAFC6A" w14:textId="7853C3AF" w:rsidR="00BC5A9C" w:rsidRPr="002E10C5" w:rsidRDefault="00BC5A9C" w:rsidP="00BC5A9C">
      <w:pPr>
        <w:pStyle w:val="ListParagraph"/>
        <w:numPr>
          <w:ilvl w:val="1"/>
          <w:numId w:val="44"/>
        </w:numPr>
        <w:spacing w:after="120" w:line="288" w:lineRule="auto"/>
        <w:jc w:val="both"/>
        <w:rPr>
          <w:szCs w:val="20"/>
        </w:rPr>
      </w:pPr>
      <w:r w:rsidRPr="002E10C5">
        <w:rPr>
          <w:szCs w:val="20"/>
        </w:rPr>
        <w:t>The empirical odds relativity is calculated as the ratio of the odds from a given cohort (e.g. FICO range between of 640-659) to the odds from the baseline cohort (e.g. FICO range between 760-850). The odds is calculated as A / (1-A), where A is the ratio of the number of claims to the number of total observations with</w:t>
      </w:r>
      <w:r w:rsidR="00FC7E93">
        <w:rPr>
          <w:szCs w:val="20"/>
        </w:rPr>
        <w:t>in</w:t>
      </w:r>
      <w:r w:rsidRPr="002E10C5">
        <w:rPr>
          <w:szCs w:val="20"/>
        </w:rPr>
        <w:t xml:space="preserve"> a given cohort.</w:t>
      </w:r>
    </w:p>
    <w:p w14:paraId="269113FB" w14:textId="5011E682" w:rsidR="00A7751B" w:rsidRPr="002E10C5" w:rsidRDefault="00A7751B" w:rsidP="00A7751B">
      <w:pPr>
        <w:pStyle w:val="ListParagraph"/>
        <w:numPr>
          <w:ilvl w:val="0"/>
          <w:numId w:val="44"/>
        </w:numPr>
        <w:spacing w:after="120" w:line="288" w:lineRule="auto"/>
        <w:jc w:val="both"/>
        <w:rPr>
          <w:szCs w:val="20"/>
        </w:rPr>
      </w:pPr>
      <w:r w:rsidRPr="002E10C5">
        <w:rPr>
          <w:szCs w:val="20"/>
        </w:rPr>
        <w:t xml:space="preserve">Rate card price relativity from a </w:t>
      </w:r>
      <w:r w:rsidR="00103A2E">
        <w:rPr>
          <w:szCs w:val="20"/>
        </w:rPr>
        <w:t>representative MI company</w:t>
      </w:r>
      <w:r w:rsidRPr="002E10C5">
        <w:rPr>
          <w:szCs w:val="20"/>
        </w:rPr>
        <w:t xml:space="preserve"> rate card; and</w:t>
      </w:r>
    </w:p>
    <w:p w14:paraId="2BBE7D60" w14:textId="3B169BC6" w:rsidR="00BC5A9C" w:rsidRPr="002E10C5" w:rsidRDefault="00BC5A9C" w:rsidP="00BC5A9C">
      <w:pPr>
        <w:pStyle w:val="ListParagraph"/>
        <w:numPr>
          <w:ilvl w:val="1"/>
          <w:numId w:val="44"/>
        </w:numPr>
        <w:spacing w:after="120" w:line="288" w:lineRule="auto"/>
        <w:jc w:val="both"/>
        <w:rPr>
          <w:szCs w:val="20"/>
        </w:rPr>
      </w:pPr>
      <w:r w:rsidRPr="002E10C5">
        <w:rPr>
          <w:szCs w:val="20"/>
        </w:rPr>
        <w:t xml:space="preserve">This is the simple division of the mortgage insurance </w:t>
      </w:r>
      <w:r w:rsidR="008E0F3D">
        <w:rPr>
          <w:szCs w:val="20"/>
        </w:rPr>
        <w:t>premium</w:t>
      </w:r>
      <w:r w:rsidRPr="002E10C5">
        <w:rPr>
          <w:szCs w:val="20"/>
        </w:rPr>
        <w:t xml:space="preserve"> for a given cohort relative to the </w:t>
      </w:r>
      <w:r w:rsidR="008E0F3D">
        <w:rPr>
          <w:szCs w:val="20"/>
        </w:rPr>
        <w:t>premium</w:t>
      </w:r>
      <w:r w:rsidRPr="002E10C5">
        <w:rPr>
          <w:szCs w:val="20"/>
        </w:rPr>
        <w:t xml:space="preserve"> for the baseline cohort</w:t>
      </w:r>
    </w:p>
    <w:p w14:paraId="0EE6FD38" w14:textId="1DF733E4" w:rsidR="00A7751B" w:rsidRPr="002E10C5" w:rsidRDefault="00A7751B" w:rsidP="00A7751B">
      <w:pPr>
        <w:pStyle w:val="ListParagraph"/>
        <w:numPr>
          <w:ilvl w:val="0"/>
          <w:numId w:val="44"/>
        </w:numPr>
        <w:spacing w:after="120" w:line="288" w:lineRule="auto"/>
        <w:jc w:val="both"/>
        <w:rPr>
          <w:szCs w:val="20"/>
        </w:rPr>
      </w:pPr>
      <w:r w:rsidRPr="002E10C5">
        <w:rPr>
          <w:szCs w:val="20"/>
        </w:rPr>
        <w:t>Logistic regression model on the MI’s loan-level data.</w:t>
      </w:r>
    </w:p>
    <w:p w14:paraId="2F8E7604" w14:textId="28AD175B" w:rsidR="00BC5A9C" w:rsidRPr="002E10C5" w:rsidRDefault="00261E16" w:rsidP="00BC5A9C">
      <w:pPr>
        <w:pStyle w:val="ListParagraph"/>
        <w:numPr>
          <w:ilvl w:val="1"/>
          <w:numId w:val="44"/>
        </w:numPr>
        <w:spacing w:after="120" w:line="288" w:lineRule="auto"/>
        <w:jc w:val="both"/>
        <w:rPr>
          <w:szCs w:val="20"/>
        </w:rPr>
      </w:pPr>
      <w:r>
        <w:rPr>
          <w:szCs w:val="20"/>
        </w:rPr>
        <w:t xml:space="preserve">A logistic regression was performed on the loan-level data where the removal indicator and the incomplete record indicator were both 0 – that is, the records </w:t>
      </w:r>
      <w:r w:rsidR="00EE677C">
        <w:rPr>
          <w:szCs w:val="20"/>
        </w:rPr>
        <w:t xml:space="preserve">that </w:t>
      </w:r>
      <w:r>
        <w:rPr>
          <w:szCs w:val="20"/>
        </w:rPr>
        <w:t>were complete without data errors</w:t>
      </w:r>
      <w:r w:rsidR="00BC5A9C" w:rsidRPr="002E10C5">
        <w:rPr>
          <w:szCs w:val="20"/>
        </w:rPr>
        <w:t xml:space="preserve">. The regression model </w:t>
      </w:r>
      <w:r w:rsidR="00EE677C">
        <w:rPr>
          <w:szCs w:val="20"/>
        </w:rPr>
        <w:t>is</w:t>
      </w:r>
      <w:r w:rsidR="00BC5A9C" w:rsidRPr="002E10C5">
        <w:rPr>
          <w:szCs w:val="20"/>
        </w:rPr>
        <w:t xml:space="preserve"> a logistic regression model for loans seasoned at least five years in the data where the dependent variable </w:t>
      </w:r>
      <w:r w:rsidR="00EE677C">
        <w:rPr>
          <w:szCs w:val="20"/>
        </w:rPr>
        <w:t>is</w:t>
      </w:r>
      <w:r w:rsidR="00BC5A9C" w:rsidRPr="002E10C5">
        <w:rPr>
          <w:szCs w:val="20"/>
        </w:rPr>
        <w:t xml:space="preserve"> a </w:t>
      </w:r>
      <w:r>
        <w:rPr>
          <w:szCs w:val="20"/>
        </w:rPr>
        <w:t>binary indicator of claim or no</w:t>
      </w:r>
      <w:r w:rsidR="00BC5A9C" w:rsidRPr="002E10C5">
        <w:rPr>
          <w:szCs w:val="20"/>
        </w:rPr>
        <w:t xml:space="preserve"> claim</w:t>
      </w:r>
      <w:r>
        <w:rPr>
          <w:szCs w:val="20"/>
        </w:rPr>
        <w:t xml:space="preserve"> and the claim occurred within the first five years of origination (to control for seasoning)</w:t>
      </w:r>
      <w:r w:rsidR="00BC5A9C" w:rsidRPr="002E10C5">
        <w:rPr>
          <w:szCs w:val="20"/>
        </w:rPr>
        <w:t xml:space="preserve">. The independent variables </w:t>
      </w:r>
      <w:r w:rsidR="00EE677C">
        <w:rPr>
          <w:szCs w:val="20"/>
        </w:rPr>
        <w:t>are</w:t>
      </w:r>
      <w:r w:rsidR="00BC5A9C" w:rsidRPr="002E10C5">
        <w:rPr>
          <w:szCs w:val="20"/>
        </w:rPr>
        <w:t xml:space="preserve"> FICO cohort, LTV cohort, number of alternative risk factors, number of high risk factors,</w:t>
      </w:r>
      <w:r w:rsidR="00FC7E93">
        <w:rPr>
          <w:szCs w:val="20"/>
        </w:rPr>
        <w:t xml:space="preserve"> number of risk offsets,</w:t>
      </w:r>
      <w:r w:rsidR="00BC5A9C" w:rsidRPr="002E10C5">
        <w:rPr>
          <w:szCs w:val="20"/>
        </w:rPr>
        <w:t xml:space="preserve"> and an origination year variable to control from economic differences.</w:t>
      </w:r>
    </w:p>
    <w:p w14:paraId="59365F3B" w14:textId="184B8A92" w:rsidR="00A7751B" w:rsidRPr="002E10C5" w:rsidRDefault="00A7751B" w:rsidP="00A7751B">
      <w:pPr>
        <w:spacing w:after="120" w:line="288" w:lineRule="auto"/>
        <w:jc w:val="both"/>
        <w:rPr>
          <w:sz w:val="20"/>
          <w:szCs w:val="20"/>
        </w:rPr>
      </w:pPr>
      <w:r w:rsidRPr="002E10C5">
        <w:rPr>
          <w:sz w:val="20"/>
          <w:szCs w:val="20"/>
        </w:rPr>
        <w:t xml:space="preserve">The above relativities were reviewed (along with the distribution of observations within the data) and the RBC capital factors were selected from the indications. </w:t>
      </w:r>
    </w:p>
    <w:p w14:paraId="474B54C9" w14:textId="3F304501" w:rsidR="00BD52AF" w:rsidRPr="00016E7D" w:rsidRDefault="00232E68" w:rsidP="00A7751B">
      <w:pPr>
        <w:spacing w:after="120" w:line="288" w:lineRule="auto"/>
        <w:jc w:val="both"/>
        <w:rPr>
          <w:sz w:val="20"/>
          <w:szCs w:val="20"/>
        </w:rPr>
      </w:pPr>
      <w:r w:rsidRPr="00016E7D">
        <w:rPr>
          <w:sz w:val="20"/>
          <w:szCs w:val="20"/>
        </w:rPr>
        <w:lastRenderedPageBreak/>
        <w:t>Exhibits E</w:t>
      </w:r>
      <w:r w:rsidR="005C5323">
        <w:rPr>
          <w:sz w:val="20"/>
          <w:szCs w:val="20"/>
        </w:rPr>
        <w:t>.</w:t>
      </w:r>
      <w:r w:rsidR="00FE4D9D">
        <w:rPr>
          <w:sz w:val="20"/>
          <w:szCs w:val="20"/>
        </w:rPr>
        <w:t>2.</w:t>
      </w:r>
      <w:r w:rsidRPr="00016E7D">
        <w:rPr>
          <w:sz w:val="20"/>
          <w:szCs w:val="20"/>
        </w:rPr>
        <w:t>1</w:t>
      </w:r>
      <w:r w:rsidR="00BC5A9C" w:rsidRPr="00016E7D">
        <w:rPr>
          <w:sz w:val="20"/>
          <w:szCs w:val="20"/>
        </w:rPr>
        <w:t xml:space="preserve"> </w:t>
      </w:r>
      <w:r w:rsidR="00BC5A9C" w:rsidRPr="002E10C5">
        <w:rPr>
          <w:sz w:val="20"/>
          <w:szCs w:val="20"/>
        </w:rPr>
        <w:t xml:space="preserve">shows these relativities for FICO score. In the exhibit there are three bar graphs (left axis) and one area chart (right axis). The blue bars on the chart show the odds relativity calculated from the empirical data. The orange lines show the premium relativity from a representative rate card. The grey bar shows the results from the logistic regression model. The back dots on the chart are the selected RBC capital factors. </w:t>
      </w:r>
      <w:r w:rsidR="00BC5A9C" w:rsidRPr="00016E7D">
        <w:rPr>
          <w:sz w:val="20"/>
          <w:szCs w:val="20"/>
        </w:rPr>
        <w:t xml:space="preserve">The blue area shows the percent of total observations for each FICO cohort. </w:t>
      </w:r>
    </w:p>
    <w:p w14:paraId="25F5DA4C" w14:textId="1F88F46C" w:rsidR="00BD52AF" w:rsidRPr="002E10C5" w:rsidRDefault="00BD52AF" w:rsidP="00A7751B">
      <w:pPr>
        <w:spacing w:after="120" w:line="288" w:lineRule="auto"/>
        <w:jc w:val="both"/>
        <w:rPr>
          <w:sz w:val="20"/>
          <w:szCs w:val="20"/>
        </w:rPr>
      </w:pPr>
      <w:r w:rsidRPr="00016E7D">
        <w:rPr>
          <w:sz w:val="20"/>
          <w:szCs w:val="20"/>
        </w:rPr>
        <w:t>Exhibits E</w:t>
      </w:r>
      <w:r w:rsidR="005C5323">
        <w:rPr>
          <w:sz w:val="20"/>
          <w:szCs w:val="20"/>
        </w:rPr>
        <w:t>.</w:t>
      </w:r>
      <w:r w:rsidR="00FE4D9D">
        <w:rPr>
          <w:sz w:val="20"/>
          <w:szCs w:val="20"/>
        </w:rPr>
        <w:t>2.</w:t>
      </w:r>
      <w:r w:rsidRPr="00016E7D">
        <w:rPr>
          <w:sz w:val="20"/>
          <w:szCs w:val="20"/>
        </w:rPr>
        <w:t>2 through E</w:t>
      </w:r>
      <w:r w:rsidR="005C5323">
        <w:rPr>
          <w:sz w:val="20"/>
          <w:szCs w:val="20"/>
        </w:rPr>
        <w:t>.</w:t>
      </w:r>
      <w:r w:rsidR="00FE4D9D">
        <w:rPr>
          <w:sz w:val="20"/>
          <w:szCs w:val="20"/>
        </w:rPr>
        <w:t>2.5</w:t>
      </w:r>
      <w:r w:rsidRPr="00016E7D">
        <w:rPr>
          <w:b/>
          <w:sz w:val="20"/>
          <w:szCs w:val="20"/>
        </w:rPr>
        <w:t xml:space="preserve"> </w:t>
      </w:r>
      <w:r w:rsidRPr="002E10C5">
        <w:rPr>
          <w:sz w:val="20"/>
          <w:szCs w:val="20"/>
        </w:rPr>
        <w:t>show these relativities for the LTV, number of alternative risk, number of high risk factors</w:t>
      </w:r>
      <w:r w:rsidR="0069548E">
        <w:rPr>
          <w:sz w:val="20"/>
          <w:szCs w:val="20"/>
        </w:rPr>
        <w:t>, and risk offset factors</w:t>
      </w:r>
      <w:r w:rsidRPr="002E10C5">
        <w:rPr>
          <w:sz w:val="20"/>
          <w:szCs w:val="20"/>
        </w:rPr>
        <w:t>, respectively.</w:t>
      </w:r>
      <w:r w:rsidR="0069548E">
        <w:rPr>
          <w:sz w:val="20"/>
          <w:szCs w:val="20"/>
        </w:rPr>
        <w:t xml:space="preserve"> Note, a risk offset factor indicates the presence of the factor reduces the overall default risk of the mortgage.</w:t>
      </w:r>
    </w:p>
    <w:p w14:paraId="7FD1E2BB" w14:textId="09352D10" w:rsidR="00BC5A9C" w:rsidRPr="002E10C5" w:rsidRDefault="00BD52AF" w:rsidP="00A7751B">
      <w:pPr>
        <w:spacing w:after="120" w:line="288" w:lineRule="auto"/>
        <w:jc w:val="both"/>
        <w:rPr>
          <w:sz w:val="20"/>
          <w:szCs w:val="20"/>
        </w:rPr>
      </w:pPr>
      <w:r w:rsidRPr="002E10C5">
        <w:rPr>
          <w:sz w:val="20"/>
          <w:szCs w:val="20"/>
        </w:rPr>
        <w:t xml:space="preserve">A review of the exhibits shows the selected RBC capital factors are most similar to the logistic regression results. </w:t>
      </w:r>
      <w:r w:rsidR="00730B02" w:rsidRPr="002E10C5">
        <w:rPr>
          <w:sz w:val="20"/>
          <w:szCs w:val="20"/>
        </w:rPr>
        <w:t>A logistic regression controls for multiple risk factors, while empirical data does not.  For example, data indicates borrowers with low credit scores have higher default rates relative to borrowers with high credit scores, all else equal. However, the percent of loans with low credit scores tends to be more prevalent during expansion</w:t>
      </w:r>
      <w:r w:rsidR="002D09AA">
        <w:rPr>
          <w:sz w:val="20"/>
          <w:szCs w:val="20"/>
        </w:rPr>
        <w:t>ary</w:t>
      </w:r>
      <w:r w:rsidR="00730B02" w:rsidRPr="002E10C5">
        <w:rPr>
          <w:sz w:val="20"/>
          <w:szCs w:val="20"/>
        </w:rPr>
        <w:t xml:space="preserve"> period</w:t>
      </w:r>
      <w:r w:rsidR="002D09AA">
        <w:rPr>
          <w:sz w:val="20"/>
          <w:szCs w:val="20"/>
        </w:rPr>
        <w:t>s of the housing market</w:t>
      </w:r>
      <w:r w:rsidR="00730B02" w:rsidRPr="002E10C5">
        <w:rPr>
          <w:sz w:val="20"/>
          <w:szCs w:val="20"/>
        </w:rPr>
        <w:t xml:space="preserve"> and may have a higher representation in the </w:t>
      </w:r>
      <w:r w:rsidR="00EE677C">
        <w:rPr>
          <w:sz w:val="20"/>
          <w:szCs w:val="20"/>
        </w:rPr>
        <w:t>empirical data during</w:t>
      </w:r>
      <w:r w:rsidR="00C42128">
        <w:rPr>
          <w:sz w:val="20"/>
          <w:szCs w:val="20"/>
        </w:rPr>
        <w:t xml:space="preserve"> such</w:t>
      </w:r>
      <w:r w:rsidR="00EE677C">
        <w:rPr>
          <w:sz w:val="20"/>
          <w:szCs w:val="20"/>
        </w:rPr>
        <w:t xml:space="preserve"> </w:t>
      </w:r>
      <w:r w:rsidR="002D09AA">
        <w:rPr>
          <w:sz w:val="20"/>
          <w:szCs w:val="20"/>
        </w:rPr>
        <w:t>periods</w:t>
      </w:r>
      <w:r w:rsidR="00730B02" w:rsidRPr="002E10C5">
        <w:rPr>
          <w:sz w:val="20"/>
          <w:szCs w:val="20"/>
        </w:rPr>
        <w:t xml:space="preserve">. </w:t>
      </w:r>
      <w:r w:rsidR="00C42128">
        <w:rPr>
          <w:sz w:val="20"/>
          <w:szCs w:val="20"/>
        </w:rPr>
        <w:t xml:space="preserve">After a correction, the volume of low credit score loans tends to decline. </w:t>
      </w:r>
      <w:r w:rsidR="00730B02" w:rsidRPr="002E10C5">
        <w:rPr>
          <w:sz w:val="20"/>
          <w:szCs w:val="20"/>
        </w:rPr>
        <w:t xml:space="preserve">This could distort claim rate </w:t>
      </w:r>
      <w:r w:rsidR="00CB1FBC">
        <w:rPr>
          <w:sz w:val="20"/>
          <w:szCs w:val="20"/>
        </w:rPr>
        <w:t>relativities</w:t>
      </w:r>
      <w:r w:rsidR="00730B02" w:rsidRPr="002E10C5">
        <w:rPr>
          <w:sz w:val="20"/>
          <w:szCs w:val="20"/>
        </w:rPr>
        <w:t xml:space="preserve"> observed through empirical analysis. Regression analysis, by adding an origination year variable, provides one methodology to control for such observations. </w:t>
      </w:r>
    </w:p>
    <w:p w14:paraId="31FCDE5A" w14:textId="77777777" w:rsidR="00B5130C" w:rsidRPr="002E10C5" w:rsidRDefault="00730B02" w:rsidP="00A7751B">
      <w:pPr>
        <w:spacing w:after="120" w:line="288" w:lineRule="auto"/>
        <w:jc w:val="both"/>
        <w:rPr>
          <w:sz w:val="20"/>
          <w:szCs w:val="20"/>
        </w:rPr>
      </w:pPr>
      <w:r w:rsidRPr="002E10C5">
        <w:rPr>
          <w:sz w:val="20"/>
          <w:szCs w:val="20"/>
        </w:rPr>
        <w:t>MI rate cards provide an indication of how MI companies view the risk, but for business specific reasons, rate cards can be priced competitively or to target specific risks and/or markets. In addition, the information that is published on how insurance companies develop their rates may not be fully transparent. Therefore, while they provide a good benchmark, rate cards were not relied upon fully in setting the relativity factors.</w:t>
      </w:r>
      <w:r w:rsidR="00B5130C" w:rsidRPr="002E10C5">
        <w:rPr>
          <w:sz w:val="20"/>
          <w:szCs w:val="20"/>
        </w:rPr>
        <w:t xml:space="preserve"> </w:t>
      </w:r>
    </w:p>
    <w:p w14:paraId="37BCE76E" w14:textId="34BA9307" w:rsidR="00B05886" w:rsidRPr="002E10C5" w:rsidRDefault="00B5130C" w:rsidP="00A7751B">
      <w:pPr>
        <w:spacing w:after="120" w:line="288" w:lineRule="auto"/>
        <w:jc w:val="both"/>
        <w:rPr>
          <w:sz w:val="20"/>
          <w:szCs w:val="20"/>
        </w:rPr>
      </w:pPr>
      <w:r w:rsidRPr="002E10C5">
        <w:rPr>
          <w:sz w:val="20"/>
          <w:szCs w:val="20"/>
        </w:rPr>
        <w:t>Additionally, for the number of alternative and high risk factors, MI companies typically have adjustment factors for specific underwriting characteristics. Those factors and magnitude can change over time. Instead of identifying specific factors that could require a re-work of the entire RBC capital factor framework, the model i</w:t>
      </w:r>
      <w:r w:rsidR="004918AD">
        <w:rPr>
          <w:sz w:val="20"/>
          <w:szCs w:val="20"/>
        </w:rPr>
        <w:t xml:space="preserve">ncludes a number of alternative, </w:t>
      </w:r>
      <w:r w:rsidRPr="002E10C5">
        <w:rPr>
          <w:sz w:val="20"/>
          <w:szCs w:val="20"/>
        </w:rPr>
        <w:t>high</w:t>
      </w:r>
      <w:r w:rsidR="004918AD">
        <w:rPr>
          <w:sz w:val="20"/>
          <w:szCs w:val="20"/>
        </w:rPr>
        <w:t>, and offsetting</w:t>
      </w:r>
      <w:r w:rsidRPr="002E10C5">
        <w:rPr>
          <w:sz w:val="20"/>
          <w:szCs w:val="20"/>
        </w:rPr>
        <w:t xml:space="preserve"> risk factors. Regulators can, in the future, determine which variables should be include</w:t>
      </w:r>
      <w:r w:rsidR="008D18DF">
        <w:rPr>
          <w:sz w:val="20"/>
          <w:szCs w:val="20"/>
        </w:rPr>
        <w:t xml:space="preserve">d as either alternative, </w:t>
      </w:r>
      <w:r w:rsidRPr="002E10C5">
        <w:rPr>
          <w:sz w:val="20"/>
          <w:szCs w:val="20"/>
        </w:rPr>
        <w:t>high</w:t>
      </w:r>
      <w:r w:rsidR="008D18DF">
        <w:rPr>
          <w:sz w:val="20"/>
          <w:szCs w:val="20"/>
        </w:rPr>
        <w:t>, or offsetting</w:t>
      </w:r>
      <w:r w:rsidRPr="002E10C5">
        <w:rPr>
          <w:sz w:val="20"/>
          <w:szCs w:val="20"/>
        </w:rPr>
        <w:t xml:space="preserve"> risk factors. Using rate cards, this approach would be difficult to implement.</w:t>
      </w:r>
    </w:p>
    <w:p w14:paraId="797E60E9" w14:textId="1D715E1D" w:rsidR="00B05886" w:rsidRPr="002E10C5" w:rsidRDefault="00B05886" w:rsidP="00A7751B">
      <w:pPr>
        <w:spacing w:after="120" w:line="288" w:lineRule="auto"/>
        <w:jc w:val="both"/>
        <w:rPr>
          <w:sz w:val="20"/>
          <w:szCs w:val="20"/>
        </w:rPr>
      </w:pPr>
      <w:r w:rsidRPr="002E10C5">
        <w:rPr>
          <w:sz w:val="20"/>
          <w:szCs w:val="20"/>
        </w:rPr>
        <w:t>The table below pro</w:t>
      </w:r>
      <w:r w:rsidR="008D18DF">
        <w:rPr>
          <w:sz w:val="20"/>
          <w:szCs w:val="20"/>
        </w:rPr>
        <w:t xml:space="preserve">vides a list of the alternative, </w:t>
      </w:r>
      <w:r w:rsidRPr="002E10C5">
        <w:rPr>
          <w:sz w:val="20"/>
          <w:szCs w:val="20"/>
        </w:rPr>
        <w:t>high</w:t>
      </w:r>
      <w:r w:rsidR="008D18DF">
        <w:rPr>
          <w:sz w:val="20"/>
          <w:szCs w:val="20"/>
        </w:rPr>
        <w:t>, and offsetting</w:t>
      </w:r>
      <w:r w:rsidRPr="002E10C5">
        <w:rPr>
          <w:sz w:val="20"/>
          <w:szCs w:val="20"/>
        </w:rPr>
        <w:t xml:space="preserve"> risk factors in the model.</w:t>
      </w:r>
      <w:r w:rsidR="00F134C2">
        <w:rPr>
          <w:sz w:val="20"/>
          <w:szCs w:val="20"/>
        </w:rPr>
        <w:t xml:space="preserve"> </w:t>
      </w:r>
    </w:p>
    <w:tbl>
      <w:tblPr>
        <w:tblStyle w:val="TableGrid"/>
        <w:tblW w:w="0" w:type="auto"/>
        <w:tblLook w:val="04A0" w:firstRow="1" w:lastRow="0" w:firstColumn="1" w:lastColumn="0" w:noHBand="0" w:noVBand="1"/>
      </w:tblPr>
      <w:tblGrid>
        <w:gridCol w:w="3246"/>
        <w:gridCol w:w="3139"/>
        <w:gridCol w:w="2965"/>
      </w:tblGrid>
      <w:tr w:rsidR="0069548E" w:rsidRPr="002E10C5" w14:paraId="24E8FCFE" w14:textId="34ADC3FF" w:rsidTr="00AD21CB">
        <w:tc>
          <w:tcPr>
            <w:tcW w:w="3246" w:type="dxa"/>
          </w:tcPr>
          <w:p w14:paraId="3CC95B5A" w14:textId="57562609" w:rsidR="0069548E" w:rsidRPr="002E10C5" w:rsidRDefault="0069548E" w:rsidP="00A7751B">
            <w:pPr>
              <w:spacing w:after="120" w:line="288" w:lineRule="auto"/>
              <w:jc w:val="both"/>
              <w:rPr>
                <w:b/>
                <w:sz w:val="20"/>
                <w:szCs w:val="20"/>
              </w:rPr>
            </w:pPr>
            <w:r w:rsidRPr="002E10C5">
              <w:rPr>
                <w:b/>
                <w:sz w:val="20"/>
                <w:szCs w:val="20"/>
              </w:rPr>
              <w:t>Alternative Risk Factors</w:t>
            </w:r>
          </w:p>
        </w:tc>
        <w:tc>
          <w:tcPr>
            <w:tcW w:w="3139" w:type="dxa"/>
          </w:tcPr>
          <w:p w14:paraId="13C26D54" w14:textId="52F8A778" w:rsidR="0069548E" w:rsidRPr="002E10C5" w:rsidRDefault="0069548E" w:rsidP="00A7751B">
            <w:pPr>
              <w:spacing w:after="120" w:line="288" w:lineRule="auto"/>
              <w:jc w:val="both"/>
              <w:rPr>
                <w:b/>
                <w:sz w:val="20"/>
                <w:szCs w:val="20"/>
              </w:rPr>
            </w:pPr>
            <w:r w:rsidRPr="002E10C5">
              <w:rPr>
                <w:b/>
                <w:sz w:val="20"/>
                <w:szCs w:val="20"/>
              </w:rPr>
              <w:t>High Risk Factors</w:t>
            </w:r>
          </w:p>
        </w:tc>
        <w:tc>
          <w:tcPr>
            <w:tcW w:w="2965" w:type="dxa"/>
          </w:tcPr>
          <w:p w14:paraId="0944D3A0" w14:textId="177FF2AE" w:rsidR="0069548E" w:rsidRPr="002E10C5" w:rsidRDefault="0069548E" w:rsidP="00A7751B">
            <w:pPr>
              <w:spacing w:after="120" w:line="288" w:lineRule="auto"/>
              <w:jc w:val="both"/>
              <w:rPr>
                <w:b/>
                <w:sz w:val="20"/>
                <w:szCs w:val="20"/>
              </w:rPr>
            </w:pPr>
            <w:r>
              <w:rPr>
                <w:b/>
                <w:sz w:val="20"/>
                <w:szCs w:val="20"/>
              </w:rPr>
              <w:t>Risk Offset Factors</w:t>
            </w:r>
          </w:p>
        </w:tc>
      </w:tr>
      <w:tr w:rsidR="0069548E" w:rsidRPr="002E10C5" w14:paraId="77DAD0EB" w14:textId="30774744" w:rsidTr="00AD21CB">
        <w:tc>
          <w:tcPr>
            <w:tcW w:w="3246" w:type="dxa"/>
          </w:tcPr>
          <w:p w14:paraId="193E6F12" w14:textId="4C9C72F7" w:rsidR="0069548E" w:rsidRPr="002E10C5" w:rsidRDefault="0069548E" w:rsidP="00A7751B">
            <w:pPr>
              <w:spacing w:after="120" w:line="288" w:lineRule="auto"/>
              <w:jc w:val="both"/>
              <w:rPr>
                <w:sz w:val="20"/>
                <w:szCs w:val="20"/>
              </w:rPr>
            </w:pPr>
            <w:r w:rsidRPr="002E10C5">
              <w:rPr>
                <w:sz w:val="20"/>
                <w:szCs w:val="20"/>
              </w:rPr>
              <w:t>Loan purpose other than Purchase</w:t>
            </w:r>
          </w:p>
        </w:tc>
        <w:tc>
          <w:tcPr>
            <w:tcW w:w="3139" w:type="dxa"/>
          </w:tcPr>
          <w:p w14:paraId="0B37D45E" w14:textId="70756B5E" w:rsidR="0069548E" w:rsidRPr="002E10C5" w:rsidRDefault="0069548E" w:rsidP="00A7751B">
            <w:pPr>
              <w:spacing w:after="120" w:line="288" w:lineRule="auto"/>
              <w:jc w:val="both"/>
              <w:rPr>
                <w:sz w:val="20"/>
                <w:szCs w:val="20"/>
              </w:rPr>
            </w:pPr>
            <w:r w:rsidRPr="002E10C5">
              <w:rPr>
                <w:sz w:val="20"/>
                <w:szCs w:val="20"/>
              </w:rPr>
              <w:t>Not full documentation</w:t>
            </w:r>
          </w:p>
        </w:tc>
        <w:tc>
          <w:tcPr>
            <w:tcW w:w="2965" w:type="dxa"/>
          </w:tcPr>
          <w:p w14:paraId="6AF5C0A3" w14:textId="406F9059" w:rsidR="0069548E" w:rsidRPr="002E10C5" w:rsidRDefault="00AD21CB" w:rsidP="00A7751B">
            <w:pPr>
              <w:spacing w:after="120" w:line="288" w:lineRule="auto"/>
              <w:jc w:val="both"/>
              <w:rPr>
                <w:sz w:val="20"/>
                <w:szCs w:val="20"/>
              </w:rPr>
            </w:pPr>
            <w:r>
              <w:rPr>
                <w:sz w:val="20"/>
                <w:szCs w:val="20"/>
              </w:rPr>
              <w:t>More than one borrower</w:t>
            </w:r>
          </w:p>
        </w:tc>
      </w:tr>
      <w:tr w:rsidR="0069548E" w:rsidRPr="002E10C5" w14:paraId="2A1BC864" w14:textId="70EC0B3F" w:rsidTr="00AD21CB">
        <w:tc>
          <w:tcPr>
            <w:tcW w:w="3246" w:type="dxa"/>
          </w:tcPr>
          <w:p w14:paraId="208DBF1C" w14:textId="1F8BF020" w:rsidR="0069548E" w:rsidRPr="002E10C5" w:rsidRDefault="000146B2" w:rsidP="000146B2">
            <w:pPr>
              <w:spacing w:after="120" w:line="288" w:lineRule="auto"/>
              <w:jc w:val="both"/>
              <w:rPr>
                <w:sz w:val="20"/>
                <w:szCs w:val="20"/>
              </w:rPr>
            </w:pPr>
            <w:r>
              <w:rPr>
                <w:sz w:val="20"/>
                <w:szCs w:val="20"/>
              </w:rPr>
              <w:t>Property type other than Single Family Residence</w:t>
            </w:r>
          </w:p>
        </w:tc>
        <w:tc>
          <w:tcPr>
            <w:tcW w:w="3139" w:type="dxa"/>
          </w:tcPr>
          <w:p w14:paraId="78E952D6" w14:textId="58FADA97" w:rsidR="0069548E" w:rsidRPr="002E10C5" w:rsidRDefault="006D5D30" w:rsidP="006D5D30">
            <w:pPr>
              <w:spacing w:after="120" w:line="288" w:lineRule="auto"/>
              <w:jc w:val="both"/>
              <w:rPr>
                <w:sz w:val="20"/>
                <w:szCs w:val="20"/>
              </w:rPr>
            </w:pPr>
            <w:r>
              <w:rPr>
                <w:sz w:val="20"/>
                <w:szCs w:val="20"/>
              </w:rPr>
              <w:t>Interest only or other non-fully amortizing loan</w:t>
            </w:r>
          </w:p>
        </w:tc>
        <w:tc>
          <w:tcPr>
            <w:tcW w:w="2965" w:type="dxa"/>
          </w:tcPr>
          <w:p w14:paraId="2A786E98" w14:textId="39E04009" w:rsidR="0069548E" w:rsidRPr="002E10C5" w:rsidRDefault="006D5D30" w:rsidP="00A7751B">
            <w:pPr>
              <w:spacing w:after="120" w:line="288" w:lineRule="auto"/>
              <w:jc w:val="both"/>
              <w:rPr>
                <w:sz w:val="20"/>
                <w:szCs w:val="20"/>
              </w:rPr>
            </w:pPr>
            <w:r>
              <w:rPr>
                <w:sz w:val="20"/>
                <w:szCs w:val="20"/>
              </w:rPr>
              <w:t>Original loan term is less than or equal to 240 months</w:t>
            </w:r>
          </w:p>
        </w:tc>
      </w:tr>
      <w:tr w:rsidR="0069548E" w:rsidRPr="002E10C5" w14:paraId="0CC2A630" w14:textId="693776B0" w:rsidTr="00AB30CF">
        <w:tc>
          <w:tcPr>
            <w:tcW w:w="3246" w:type="dxa"/>
          </w:tcPr>
          <w:p w14:paraId="06E3667E" w14:textId="1BE30855" w:rsidR="0069548E" w:rsidRPr="002E10C5" w:rsidRDefault="006D5D30" w:rsidP="00A7751B">
            <w:pPr>
              <w:spacing w:after="120" w:line="288" w:lineRule="auto"/>
              <w:jc w:val="both"/>
              <w:rPr>
                <w:sz w:val="20"/>
                <w:szCs w:val="20"/>
              </w:rPr>
            </w:pPr>
            <w:r w:rsidRPr="002E10C5">
              <w:rPr>
                <w:sz w:val="20"/>
                <w:szCs w:val="20"/>
              </w:rPr>
              <w:t>Greater than 360 month amortization term</w:t>
            </w:r>
          </w:p>
        </w:tc>
        <w:tc>
          <w:tcPr>
            <w:tcW w:w="3139" w:type="dxa"/>
          </w:tcPr>
          <w:p w14:paraId="5CDFB229" w14:textId="148499A0" w:rsidR="0069548E" w:rsidRPr="002E10C5" w:rsidRDefault="006D5D30" w:rsidP="00A7751B">
            <w:pPr>
              <w:spacing w:after="120" w:line="288" w:lineRule="auto"/>
              <w:jc w:val="both"/>
              <w:rPr>
                <w:sz w:val="20"/>
                <w:szCs w:val="20"/>
              </w:rPr>
            </w:pPr>
            <w:r>
              <w:rPr>
                <w:sz w:val="20"/>
                <w:szCs w:val="20"/>
              </w:rPr>
              <w:t>Occupancy Type other than Primary</w:t>
            </w:r>
          </w:p>
        </w:tc>
        <w:tc>
          <w:tcPr>
            <w:tcW w:w="2965" w:type="dxa"/>
            <w:shd w:val="clear" w:color="auto" w:fill="auto"/>
          </w:tcPr>
          <w:p w14:paraId="0FD123FE" w14:textId="566C2082" w:rsidR="0069548E" w:rsidRPr="002E10C5" w:rsidRDefault="00EA3044" w:rsidP="00971674">
            <w:pPr>
              <w:spacing w:after="120" w:line="288" w:lineRule="auto"/>
              <w:jc w:val="both"/>
              <w:rPr>
                <w:sz w:val="20"/>
                <w:szCs w:val="20"/>
              </w:rPr>
            </w:pPr>
            <w:r>
              <w:rPr>
                <w:sz w:val="20"/>
                <w:szCs w:val="20"/>
              </w:rPr>
              <w:t>Loan originator is a credit union</w:t>
            </w:r>
          </w:p>
        </w:tc>
      </w:tr>
      <w:tr w:rsidR="0069548E" w:rsidRPr="002E10C5" w14:paraId="1C9EC061" w14:textId="655E89E2" w:rsidTr="000146B2">
        <w:tc>
          <w:tcPr>
            <w:tcW w:w="3246" w:type="dxa"/>
          </w:tcPr>
          <w:p w14:paraId="226E4A5E" w14:textId="2CF787A0" w:rsidR="0069548E" w:rsidRPr="002E10C5" w:rsidRDefault="006D5D30" w:rsidP="00A7751B">
            <w:pPr>
              <w:spacing w:after="120" w:line="288" w:lineRule="auto"/>
              <w:jc w:val="both"/>
              <w:rPr>
                <w:sz w:val="20"/>
                <w:szCs w:val="20"/>
              </w:rPr>
            </w:pPr>
            <w:r w:rsidRPr="002E10C5">
              <w:rPr>
                <w:sz w:val="20"/>
                <w:szCs w:val="20"/>
              </w:rPr>
              <w:t>Amortization type</w:t>
            </w:r>
            <w:r>
              <w:rPr>
                <w:sz w:val="20"/>
                <w:szCs w:val="20"/>
              </w:rPr>
              <w:t xml:space="preserve"> other than fixed</w:t>
            </w:r>
          </w:p>
        </w:tc>
        <w:tc>
          <w:tcPr>
            <w:tcW w:w="3139" w:type="dxa"/>
            <w:shd w:val="clear" w:color="auto" w:fill="auto"/>
          </w:tcPr>
          <w:p w14:paraId="7C27C433" w14:textId="3B5319E5" w:rsidR="0069548E" w:rsidRPr="002E10C5" w:rsidRDefault="006D5D30" w:rsidP="00A7751B">
            <w:pPr>
              <w:spacing w:after="120" w:line="288" w:lineRule="auto"/>
              <w:jc w:val="both"/>
              <w:rPr>
                <w:sz w:val="20"/>
                <w:szCs w:val="20"/>
              </w:rPr>
            </w:pPr>
            <w:r>
              <w:rPr>
                <w:sz w:val="20"/>
                <w:szCs w:val="20"/>
              </w:rPr>
              <w:t>Back-end DTI above 50</w:t>
            </w:r>
          </w:p>
        </w:tc>
        <w:tc>
          <w:tcPr>
            <w:tcW w:w="2965" w:type="dxa"/>
            <w:shd w:val="clear" w:color="auto" w:fill="000000" w:themeFill="text1"/>
          </w:tcPr>
          <w:p w14:paraId="76DC8F4C" w14:textId="77777777" w:rsidR="0069548E" w:rsidRPr="002E10C5" w:rsidRDefault="0069548E" w:rsidP="00A7751B">
            <w:pPr>
              <w:spacing w:after="120" w:line="288" w:lineRule="auto"/>
              <w:jc w:val="both"/>
              <w:rPr>
                <w:sz w:val="20"/>
                <w:szCs w:val="20"/>
              </w:rPr>
            </w:pPr>
          </w:p>
        </w:tc>
      </w:tr>
      <w:tr w:rsidR="006D5D30" w:rsidRPr="002E10C5" w14:paraId="54ECD505" w14:textId="77777777" w:rsidTr="000146B2">
        <w:tc>
          <w:tcPr>
            <w:tcW w:w="3246" w:type="dxa"/>
          </w:tcPr>
          <w:p w14:paraId="63CAADB4" w14:textId="5B727B44" w:rsidR="006D5D30" w:rsidRPr="002E10C5" w:rsidRDefault="006D5D30" w:rsidP="00A7751B">
            <w:pPr>
              <w:spacing w:after="120" w:line="288" w:lineRule="auto"/>
              <w:jc w:val="both"/>
              <w:rPr>
                <w:sz w:val="20"/>
                <w:szCs w:val="20"/>
              </w:rPr>
            </w:pPr>
            <w:r>
              <w:rPr>
                <w:sz w:val="20"/>
                <w:szCs w:val="20"/>
              </w:rPr>
              <w:t>Back-end DTI greater than 43 and less than or equal to 50</w:t>
            </w:r>
          </w:p>
        </w:tc>
        <w:tc>
          <w:tcPr>
            <w:tcW w:w="3139" w:type="dxa"/>
            <w:shd w:val="clear" w:color="auto" w:fill="000000" w:themeFill="text1"/>
          </w:tcPr>
          <w:p w14:paraId="7176C720" w14:textId="77777777" w:rsidR="006D5D30" w:rsidRDefault="006D5D30" w:rsidP="00A7751B">
            <w:pPr>
              <w:spacing w:after="120" w:line="288" w:lineRule="auto"/>
              <w:jc w:val="both"/>
              <w:rPr>
                <w:sz w:val="20"/>
                <w:szCs w:val="20"/>
              </w:rPr>
            </w:pPr>
          </w:p>
        </w:tc>
        <w:tc>
          <w:tcPr>
            <w:tcW w:w="2965" w:type="dxa"/>
            <w:shd w:val="clear" w:color="auto" w:fill="000000" w:themeFill="text1"/>
          </w:tcPr>
          <w:p w14:paraId="74C216AD" w14:textId="77777777" w:rsidR="006D5D30" w:rsidRPr="002E10C5" w:rsidRDefault="006D5D30" w:rsidP="00A7751B">
            <w:pPr>
              <w:spacing w:after="120" w:line="288" w:lineRule="auto"/>
              <w:jc w:val="both"/>
              <w:rPr>
                <w:sz w:val="20"/>
                <w:szCs w:val="20"/>
              </w:rPr>
            </w:pPr>
          </w:p>
        </w:tc>
      </w:tr>
    </w:tbl>
    <w:p w14:paraId="7C8321F9" w14:textId="4F8CF8E2" w:rsidR="00730B02" w:rsidRDefault="00B5130C" w:rsidP="00A7751B">
      <w:pPr>
        <w:spacing w:after="120" w:line="288" w:lineRule="auto"/>
        <w:jc w:val="both"/>
        <w:rPr>
          <w:sz w:val="20"/>
          <w:szCs w:val="20"/>
        </w:rPr>
      </w:pPr>
      <w:r w:rsidRPr="002E10C5">
        <w:rPr>
          <w:sz w:val="20"/>
          <w:szCs w:val="20"/>
        </w:rPr>
        <w:t xml:space="preserve"> </w:t>
      </w:r>
    </w:p>
    <w:p w14:paraId="374D63DA" w14:textId="0A57496F" w:rsidR="00F9536D" w:rsidRDefault="00F134C2" w:rsidP="00A7751B">
      <w:pPr>
        <w:spacing w:after="120" w:line="288" w:lineRule="auto"/>
        <w:jc w:val="both"/>
        <w:rPr>
          <w:sz w:val="20"/>
          <w:szCs w:val="20"/>
        </w:rPr>
      </w:pPr>
      <w:r>
        <w:rPr>
          <w:sz w:val="20"/>
          <w:szCs w:val="20"/>
        </w:rPr>
        <w:t>Loan</w:t>
      </w:r>
      <w:r w:rsidR="0036281B">
        <w:rPr>
          <w:sz w:val="20"/>
          <w:szCs w:val="20"/>
        </w:rPr>
        <w:t>s</w:t>
      </w:r>
      <w:r>
        <w:rPr>
          <w:sz w:val="20"/>
          <w:szCs w:val="20"/>
        </w:rPr>
        <w:t xml:space="preserve"> were categorized into alternative, hi</w:t>
      </w:r>
      <w:r w:rsidR="00F9536D">
        <w:rPr>
          <w:sz w:val="20"/>
          <w:szCs w:val="20"/>
        </w:rPr>
        <w:t xml:space="preserve">gh, and risk offsets based on the distribution of observations for each risk factor as a percent of total observations, distribution of observations by origination year, distribution of observations by mortgage insurance company, empirical default odds within the data, and a </w:t>
      </w:r>
      <w:r w:rsidR="00F9536D">
        <w:rPr>
          <w:sz w:val="20"/>
          <w:szCs w:val="20"/>
        </w:rPr>
        <w:lastRenderedPageBreak/>
        <w:t>review of regression coefficients for each variable. For the regression analysis, each variable was labeled as an independent variable in the regression. Variables with an odds ratio at or around 1.50 or higher were classified as high risk variables, variables with an odds ratio between 1.00 and 1.50 were classified as alternative risk variables, and variables with an odds ratio less than 1 were classified as risk offsets. Note, some variables has odds ratios close to 1.50 (e.g. 1.4</w:t>
      </w:r>
      <w:r w:rsidR="00EA3044">
        <w:rPr>
          <w:sz w:val="20"/>
          <w:szCs w:val="20"/>
        </w:rPr>
        <w:t>6</w:t>
      </w:r>
      <w:r w:rsidR="00F9536D">
        <w:rPr>
          <w:sz w:val="20"/>
          <w:szCs w:val="20"/>
        </w:rPr>
        <w:t>) and were classified as high risk variables upon review of the distribution of observations and empirical odds ratios. The table below provides the regression variables and risk category for each variable.</w:t>
      </w:r>
    </w:p>
    <w:tbl>
      <w:tblPr>
        <w:tblW w:w="8520" w:type="dxa"/>
        <w:tblLook w:val="04A0" w:firstRow="1" w:lastRow="0" w:firstColumn="1" w:lastColumn="0" w:noHBand="0" w:noVBand="1"/>
      </w:tblPr>
      <w:tblGrid>
        <w:gridCol w:w="2237"/>
        <w:gridCol w:w="2838"/>
        <w:gridCol w:w="2003"/>
        <w:gridCol w:w="1442"/>
      </w:tblGrid>
      <w:tr w:rsidR="00F9536D" w:rsidRPr="00F9536D" w14:paraId="494FD0EF" w14:textId="77777777" w:rsidTr="00F9536D">
        <w:trPr>
          <w:trHeight w:val="300"/>
        </w:trPr>
        <w:tc>
          <w:tcPr>
            <w:tcW w:w="8520" w:type="dxa"/>
            <w:gridSpan w:val="4"/>
            <w:tcBorders>
              <w:top w:val="nil"/>
              <w:left w:val="nil"/>
              <w:bottom w:val="nil"/>
              <w:right w:val="nil"/>
            </w:tcBorders>
            <w:shd w:val="clear" w:color="auto" w:fill="auto"/>
            <w:noWrap/>
            <w:vAlign w:val="bottom"/>
            <w:hideMark/>
          </w:tcPr>
          <w:p w14:paraId="2CBF7DF4" w14:textId="7C59E6C1" w:rsidR="00F9536D" w:rsidRPr="00F9536D" w:rsidRDefault="00F9536D" w:rsidP="00F9536D">
            <w:pPr>
              <w:spacing w:after="0" w:line="240" w:lineRule="auto"/>
              <w:jc w:val="center"/>
              <w:rPr>
                <w:rFonts w:ascii="Calibri" w:eastAsia="Times New Roman" w:hAnsi="Calibri" w:cs="Calibri"/>
                <w:b/>
                <w:bCs/>
              </w:rPr>
            </w:pPr>
            <w:r>
              <w:rPr>
                <w:rFonts w:ascii="Calibri" w:eastAsia="Times New Roman" w:hAnsi="Calibri" w:cs="Calibri"/>
                <w:b/>
                <w:bCs/>
              </w:rPr>
              <w:t>Risk Variable Classification and Odds Ratio</w:t>
            </w:r>
          </w:p>
        </w:tc>
      </w:tr>
      <w:tr w:rsidR="00F9536D" w:rsidRPr="00F9536D" w14:paraId="746C2C2B" w14:textId="77777777" w:rsidTr="00F9536D">
        <w:trPr>
          <w:trHeight w:val="300"/>
        </w:trPr>
        <w:tc>
          <w:tcPr>
            <w:tcW w:w="2237" w:type="dxa"/>
            <w:tcBorders>
              <w:top w:val="nil"/>
              <w:left w:val="nil"/>
              <w:bottom w:val="single" w:sz="4" w:space="0" w:color="auto"/>
              <w:right w:val="nil"/>
            </w:tcBorders>
            <w:shd w:val="clear" w:color="auto" w:fill="auto"/>
            <w:noWrap/>
            <w:vAlign w:val="bottom"/>
            <w:hideMark/>
          </w:tcPr>
          <w:p w14:paraId="4EE72879" w14:textId="77777777" w:rsidR="00F9536D" w:rsidRPr="00F9536D" w:rsidRDefault="00F9536D" w:rsidP="00F9536D">
            <w:pPr>
              <w:spacing w:after="0" w:line="240" w:lineRule="auto"/>
              <w:jc w:val="center"/>
              <w:rPr>
                <w:rFonts w:ascii="Calibri" w:eastAsia="Times New Roman" w:hAnsi="Calibri" w:cs="Calibri"/>
                <w:b/>
                <w:bCs/>
              </w:rPr>
            </w:pPr>
            <w:r w:rsidRPr="00F9536D">
              <w:rPr>
                <w:rFonts w:ascii="Calibri" w:eastAsia="Times New Roman" w:hAnsi="Calibri" w:cs="Calibri"/>
                <w:b/>
                <w:bCs/>
              </w:rPr>
              <w:t>Variable</w:t>
            </w:r>
          </w:p>
        </w:tc>
        <w:tc>
          <w:tcPr>
            <w:tcW w:w="2838" w:type="dxa"/>
            <w:tcBorders>
              <w:top w:val="nil"/>
              <w:left w:val="nil"/>
              <w:bottom w:val="single" w:sz="4" w:space="0" w:color="auto"/>
              <w:right w:val="nil"/>
            </w:tcBorders>
            <w:shd w:val="clear" w:color="auto" w:fill="auto"/>
            <w:noWrap/>
            <w:vAlign w:val="bottom"/>
            <w:hideMark/>
          </w:tcPr>
          <w:p w14:paraId="150888D2" w14:textId="77777777" w:rsidR="00F9536D" w:rsidRPr="00F9536D" w:rsidRDefault="00F9536D" w:rsidP="00F9536D">
            <w:pPr>
              <w:spacing w:after="0" w:line="240" w:lineRule="auto"/>
              <w:jc w:val="center"/>
              <w:rPr>
                <w:rFonts w:ascii="Calibri" w:eastAsia="Times New Roman" w:hAnsi="Calibri" w:cs="Calibri"/>
                <w:b/>
                <w:bCs/>
              </w:rPr>
            </w:pPr>
            <w:r w:rsidRPr="00F9536D">
              <w:rPr>
                <w:rFonts w:ascii="Calibri" w:eastAsia="Times New Roman" w:hAnsi="Calibri" w:cs="Calibri"/>
                <w:b/>
                <w:bCs/>
              </w:rPr>
              <w:t>Category</w:t>
            </w:r>
          </w:p>
        </w:tc>
        <w:tc>
          <w:tcPr>
            <w:tcW w:w="2003" w:type="dxa"/>
            <w:tcBorders>
              <w:top w:val="nil"/>
              <w:left w:val="nil"/>
              <w:bottom w:val="single" w:sz="4" w:space="0" w:color="auto"/>
              <w:right w:val="nil"/>
            </w:tcBorders>
            <w:shd w:val="clear" w:color="auto" w:fill="auto"/>
            <w:noWrap/>
            <w:vAlign w:val="bottom"/>
            <w:hideMark/>
          </w:tcPr>
          <w:p w14:paraId="0375921F" w14:textId="77777777" w:rsidR="00F9536D" w:rsidRPr="00F9536D" w:rsidRDefault="00F9536D" w:rsidP="00F9536D">
            <w:pPr>
              <w:spacing w:after="0" w:line="240" w:lineRule="auto"/>
              <w:jc w:val="center"/>
              <w:rPr>
                <w:rFonts w:ascii="Calibri" w:eastAsia="Times New Roman" w:hAnsi="Calibri" w:cs="Calibri"/>
                <w:b/>
                <w:bCs/>
              </w:rPr>
            </w:pPr>
            <w:r w:rsidRPr="00F9536D">
              <w:rPr>
                <w:rFonts w:ascii="Calibri" w:eastAsia="Times New Roman" w:hAnsi="Calibri" w:cs="Calibri"/>
                <w:b/>
                <w:bCs/>
              </w:rPr>
              <w:t>Logistic Odds Ratio</w:t>
            </w:r>
          </w:p>
        </w:tc>
        <w:tc>
          <w:tcPr>
            <w:tcW w:w="1442" w:type="dxa"/>
            <w:tcBorders>
              <w:top w:val="nil"/>
              <w:left w:val="nil"/>
              <w:bottom w:val="single" w:sz="4" w:space="0" w:color="auto"/>
              <w:right w:val="nil"/>
            </w:tcBorders>
            <w:shd w:val="clear" w:color="auto" w:fill="auto"/>
            <w:noWrap/>
            <w:vAlign w:val="bottom"/>
            <w:hideMark/>
          </w:tcPr>
          <w:p w14:paraId="50735AB8" w14:textId="77777777" w:rsidR="00F9536D" w:rsidRPr="00F9536D" w:rsidRDefault="00F9536D" w:rsidP="00F9536D">
            <w:pPr>
              <w:spacing w:after="0" w:line="240" w:lineRule="auto"/>
              <w:jc w:val="center"/>
              <w:rPr>
                <w:rFonts w:ascii="Calibri" w:eastAsia="Times New Roman" w:hAnsi="Calibri" w:cs="Calibri"/>
                <w:b/>
                <w:bCs/>
              </w:rPr>
            </w:pPr>
            <w:r w:rsidRPr="00F9536D">
              <w:rPr>
                <w:rFonts w:ascii="Calibri" w:eastAsia="Times New Roman" w:hAnsi="Calibri" w:cs="Calibri"/>
                <w:b/>
                <w:bCs/>
              </w:rPr>
              <w:t>Risk Category</w:t>
            </w:r>
          </w:p>
        </w:tc>
      </w:tr>
      <w:tr w:rsidR="00F9536D" w:rsidRPr="00F9536D" w14:paraId="32B4F679" w14:textId="77777777" w:rsidTr="00F9536D">
        <w:trPr>
          <w:trHeight w:val="300"/>
        </w:trPr>
        <w:tc>
          <w:tcPr>
            <w:tcW w:w="2237" w:type="dxa"/>
            <w:tcBorders>
              <w:top w:val="nil"/>
              <w:left w:val="nil"/>
              <w:bottom w:val="nil"/>
              <w:right w:val="nil"/>
            </w:tcBorders>
            <w:shd w:val="clear" w:color="auto" w:fill="auto"/>
            <w:noWrap/>
            <w:vAlign w:val="bottom"/>
            <w:hideMark/>
          </w:tcPr>
          <w:p w14:paraId="74E759F7"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Documentation_Type</w:t>
            </w:r>
          </w:p>
        </w:tc>
        <w:tc>
          <w:tcPr>
            <w:tcW w:w="2838" w:type="dxa"/>
            <w:tcBorders>
              <w:top w:val="nil"/>
              <w:left w:val="nil"/>
              <w:bottom w:val="nil"/>
              <w:right w:val="nil"/>
            </w:tcBorders>
            <w:shd w:val="clear" w:color="auto" w:fill="auto"/>
            <w:noWrap/>
            <w:vAlign w:val="bottom"/>
            <w:hideMark/>
          </w:tcPr>
          <w:p w14:paraId="6A734BBE"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Full Doc</w:t>
            </w:r>
          </w:p>
        </w:tc>
        <w:tc>
          <w:tcPr>
            <w:tcW w:w="2003" w:type="dxa"/>
            <w:tcBorders>
              <w:top w:val="nil"/>
              <w:left w:val="nil"/>
              <w:bottom w:val="nil"/>
              <w:right w:val="nil"/>
            </w:tcBorders>
            <w:shd w:val="clear" w:color="auto" w:fill="auto"/>
            <w:noWrap/>
            <w:vAlign w:val="bottom"/>
            <w:hideMark/>
          </w:tcPr>
          <w:p w14:paraId="642DB155"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47F8E6A4"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1AE816BE" w14:textId="77777777" w:rsidTr="00F9536D">
        <w:trPr>
          <w:trHeight w:val="300"/>
        </w:trPr>
        <w:tc>
          <w:tcPr>
            <w:tcW w:w="2237" w:type="dxa"/>
            <w:tcBorders>
              <w:top w:val="nil"/>
              <w:left w:val="nil"/>
              <w:bottom w:val="nil"/>
              <w:right w:val="nil"/>
            </w:tcBorders>
            <w:shd w:val="clear" w:color="auto" w:fill="auto"/>
            <w:noWrap/>
            <w:vAlign w:val="bottom"/>
            <w:hideMark/>
          </w:tcPr>
          <w:p w14:paraId="63605214" w14:textId="77777777" w:rsidR="00F9536D" w:rsidRPr="00F9536D" w:rsidRDefault="00F9536D" w:rsidP="00F9536D">
            <w:pPr>
              <w:spacing w:after="0" w:line="240" w:lineRule="auto"/>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0139A61B"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Non Full Doc</w:t>
            </w:r>
          </w:p>
        </w:tc>
        <w:tc>
          <w:tcPr>
            <w:tcW w:w="2003" w:type="dxa"/>
            <w:tcBorders>
              <w:top w:val="nil"/>
              <w:left w:val="nil"/>
              <w:bottom w:val="nil"/>
              <w:right w:val="nil"/>
            </w:tcBorders>
            <w:shd w:val="clear" w:color="000000" w:fill="FCE4D6"/>
            <w:noWrap/>
            <w:vAlign w:val="bottom"/>
            <w:hideMark/>
          </w:tcPr>
          <w:p w14:paraId="1BA60F4F" w14:textId="38184DFB"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1.4</w:t>
            </w:r>
            <w:r w:rsidR="00EA3044">
              <w:rPr>
                <w:rFonts w:ascii="Calibri" w:eastAsia="Times New Roman" w:hAnsi="Calibri" w:cs="Calibri"/>
              </w:rPr>
              <w:t>6</w:t>
            </w:r>
          </w:p>
        </w:tc>
        <w:tc>
          <w:tcPr>
            <w:tcW w:w="1442" w:type="dxa"/>
            <w:tcBorders>
              <w:top w:val="nil"/>
              <w:left w:val="nil"/>
              <w:bottom w:val="nil"/>
              <w:right w:val="nil"/>
            </w:tcBorders>
            <w:shd w:val="clear" w:color="000000" w:fill="FCE4D6"/>
            <w:noWrap/>
            <w:vAlign w:val="bottom"/>
            <w:hideMark/>
          </w:tcPr>
          <w:p w14:paraId="4CA617B3"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High</w:t>
            </w:r>
          </w:p>
        </w:tc>
      </w:tr>
      <w:tr w:rsidR="00F9536D" w:rsidRPr="00F9536D" w14:paraId="02D0BAC7" w14:textId="77777777" w:rsidTr="00F9536D">
        <w:trPr>
          <w:trHeight w:val="300"/>
        </w:trPr>
        <w:tc>
          <w:tcPr>
            <w:tcW w:w="2237" w:type="dxa"/>
            <w:tcBorders>
              <w:top w:val="nil"/>
              <w:left w:val="nil"/>
              <w:bottom w:val="nil"/>
              <w:right w:val="nil"/>
            </w:tcBorders>
            <w:shd w:val="clear" w:color="auto" w:fill="auto"/>
            <w:noWrap/>
            <w:vAlign w:val="bottom"/>
            <w:hideMark/>
          </w:tcPr>
          <w:p w14:paraId="54BD379C"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Interest_Only_Ind</w:t>
            </w:r>
          </w:p>
        </w:tc>
        <w:tc>
          <w:tcPr>
            <w:tcW w:w="2838" w:type="dxa"/>
            <w:tcBorders>
              <w:top w:val="nil"/>
              <w:left w:val="nil"/>
              <w:bottom w:val="nil"/>
              <w:right w:val="nil"/>
            </w:tcBorders>
            <w:shd w:val="clear" w:color="auto" w:fill="auto"/>
            <w:noWrap/>
            <w:vAlign w:val="bottom"/>
            <w:hideMark/>
          </w:tcPr>
          <w:p w14:paraId="7A0B4B89"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No</w:t>
            </w:r>
          </w:p>
        </w:tc>
        <w:tc>
          <w:tcPr>
            <w:tcW w:w="2003" w:type="dxa"/>
            <w:tcBorders>
              <w:top w:val="nil"/>
              <w:left w:val="nil"/>
              <w:bottom w:val="nil"/>
              <w:right w:val="nil"/>
            </w:tcBorders>
            <w:shd w:val="clear" w:color="auto" w:fill="auto"/>
            <w:noWrap/>
            <w:vAlign w:val="bottom"/>
            <w:hideMark/>
          </w:tcPr>
          <w:p w14:paraId="1E5DCE3E"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0FBDE396"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54E9D8CE" w14:textId="77777777" w:rsidTr="00F9536D">
        <w:trPr>
          <w:trHeight w:val="300"/>
        </w:trPr>
        <w:tc>
          <w:tcPr>
            <w:tcW w:w="2237" w:type="dxa"/>
            <w:tcBorders>
              <w:top w:val="nil"/>
              <w:left w:val="nil"/>
              <w:bottom w:val="nil"/>
              <w:right w:val="nil"/>
            </w:tcBorders>
            <w:shd w:val="clear" w:color="auto" w:fill="auto"/>
            <w:noWrap/>
            <w:vAlign w:val="bottom"/>
            <w:hideMark/>
          </w:tcPr>
          <w:p w14:paraId="1C9A0A22"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5C8389C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Yes</w:t>
            </w:r>
          </w:p>
        </w:tc>
        <w:tc>
          <w:tcPr>
            <w:tcW w:w="2003" w:type="dxa"/>
            <w:tcBorders>
              <w:top w:val="nil"/>
              <w:left w:val="nil"/>
              <w:bottom w:val="nil"/>
              <w:right w:val="nil"/>
            </w:tcBorders>
            <w:shd w:val="clear" w:color="000000" w:fill="FCE4D6"/>
            <w:noWrap/>
            <w:vAlign w:val="bottom"/>
            <w:hideMark/>
          </w:tcPr>
          <w:p w14:paraId="3D497674" w14:textId="6BAE87BA"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1.5</w:t>
            </w:r>
            <w:r w:rsidR="00EA3044">
              <w:rPr>
                <w:rFonts w:ascii="Calibri" w:eastAsia="Times New Roman" w:hAnsi="Calibri" w:cs="Calibri"/>
              </w:rPr>
              <w:t>0</w:t>
            </w:r>
          </w:p>
        </w:tc>
        <w:tc>
          <w:tcPr>
            <w:tcW w:w="1442" w:type="dxa"/>
            <w:tcBorders>
              <w:top w:val="nil"/>
              <w:left w:val="nil"/>
              <w:bottom w:val="nil"/>
              <w:right w:val="nil"/>
            </w:tcBorders>
            <w:shd w:val="clear" w:color="000000" w:fill="FCE4D6"/>
            <w:noWrap/>
            <w:vAlign w:val="bottom"/>
            <w:hideMark/>
          </w:tcPr>
          <w:p w14:paraId="46520DD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High</w:t>
            </w:r>
          </w:p>
        </w:tc>
      </w:tr>
      <w:tr w:rsidR="00F9536D" w:rsidRPr="00F9536D" w14:paraId="5F3BC89B" w14:textId="77777777" w:rsidTr="00F9536D">
        <w:trPr>
          <w:trHeight w:val="300"/>
        </w:trPr>
        <w:tc>
          <w:tcPr>
            <w:tcW w:w="2237" w:type="dxa"/>
            <w:tcBorders>
              <w:top w:val="nil"/>
              <w:left w:val="nil"/>
              <w:bottom w:val="nil"/>
              <w:right w:val="nil"/>
            </w:tcBorders>
            <w:shd w:val="clear" w:color="auto" w:fill="auto"/>
            <w:noWrap/>
            <w:vAlign w:val="bottom"/>
            <w:hideMark/>
          </w:tcPr>
          <w:p w14:paraId="2A2F3FAA"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Num_Borrowers</w:t>
            </w:r>
          </w:p>
        </w:tc>
        <w:tc>
          <w:tcPr>
            <w:tcW w:w="2838" w:type="dxa"/>
            <w:tcBorders>
              <w:top w:val="nil"/>
              <w:left w:val="nil"/>
              <w:bottom w:val="nil"/>
              <w:right w:val="nil"/>
            </w:tcBorders>
            <w:shd w:val="clear" w:color="auto" w:fill="auto"/>
            <w:noWrap/>
            <w:vAlign w:val="bottom"/>
            <w:hideMark/>
          </w:tcPr>
          <w:p w14:paraId="71AA14A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w:t>
            </w:r>
          </w:p>
        </w:tc>
        <w:tc>
          <w:tcPr>
            <w:tcW w:w="2003" w:type="dxa"/>
            <w:tcBorders>
              <w:top w:val="nil"/>
              <w:left w:val="nil"/>
              <w:bottom w:val="nil"/>
              <w:right w:val="nil"/>
            </w:tcBorders>
            <w:shd w:val="clear" w:color="auto" w:fill="auto"/>
            <w:noWrap/>
            <w:vAlign w:val="bottom"/>
            <w:hideMark/>
          </w:tcPr>
          <w:p w14:paraId="24E737D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5555FF9B"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690E3041" w14:textId="77777777" w:rsidTr="00AB30CF">
        <w:trPr>
          <w:trHeight w:val="300"/>
        </w:trPr>
        <w:tc>
          <w:tcPr>
            <w:tcW w:w="2237" w:type="dxa"/>
            <w:tcBorders>
              <w:top w:val="nil"/>
              <w:left w:val="nil"/>
              <w:bottom w:val="nil"/>
              <w:right w:val="nil"/>
            </w:tcBorders>
            <w:shd w:val="clear" w:color="auto" w:fill="auto"/>
            <w:noWrap/>
            <w:vAlign w:val="bottom"/>
            <w:hideMark/>
          </w:tcPr>
          <w:p w14:paraId="138BC059"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735EC83B"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GT1</w:t>
            </w:r>
          </w:p>
        </w:tc>
        <w:tc>
          <w:tcPr>
            <w:tcW w:w="2003" w:type="dxa"/>
            <w:tcBorders>
              <w:top w:val="nil"/>
              <w:left w:val="nil"/>
              <w:bottom w:val="nil"/>
              <w:right w:val="nil"/>
            </w:tcBorders>
            <w:shd w:val="clear" w:color="auto" w:fill="DFF4CB" w:themeFill="accent6" w:themeFillTint="33"/>
            <w:noWrap/>
            <w:vAlign w:val="bottom"/>
            <w:hideMark/>
          </w:tcPr>
          <w:p w14:paraId="16347E97" w14:textId="714322DC"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0.6</w:t>
            </w:r>
            <w:r w:rsidR="00EA3044">
              <w:rPr>
                <w:rFonts w:ascii="Calibri" w:eastAsia="Times New Roman" w:hAnsi="Calibri" w:cs="Calibri"/>
              </w:rPr>
              <w:t>1</w:t>
            </w:r>
          </w:p>
        </w:tc>
        <w:tc>
          <w:tcPr>
            <w:tcW w:w="1442" w:type="dxa"/>
            <w:tcBorders>
              <w:top w:val="nil"/>
              <w:left w:val="nil"/>
              <w:bottom w:val="nil"/>
              <w:right w:val="nil"/>
            </w:tcBorders>
            <w:shd w:val="clear" w:color="auto" w:fill="DFF4CB" w:themeFill="accent6" w:themeFillTint="33"/>
            <w:noWrap/>
            <w:vAlign w:val="bottom"/>
            <w:hideMark/>
          </w:tcPr>
          <w:p w14:paraId="76E923C5"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Offset</w:t>
            </w:r>
          </w:p>
        </w:tc>
      </w:tr>
      <w:tr w:rsidR="00F9536D" w:rsidRPr="00F9536D" w14:paraId="2C5B3E02" w14:textId="77777777" w:rsidTr="00F9536D">
        <w:trPr>
          <w:trHeight w:val="300"/>
        </w:trPr>
        <w:tc>
          <w:tcPr>
            <w:tcW w:w="2237" w:type="dxa"/>
            <w:tcBorders>
              <w:top w:val="nil"/>
              <w:left w:val="nil"/>
              <w:bottom w:val="nil"/>
              <w:right w:val="nil"/>
            </w:tcBorders>
            <w:shd w:val="clear" w:color="auto" w:fill="auto"/>
            <w:noWrap/>
            <w:vAlign w:val="bottom"/>
            <w:hideMark/>
          </w:tcPr>
          <w:p w14:paraId="605E18D6"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Term_240</w:t>
            </w:r>
          </w:p>
        </w:tc>
        <w:tc>
          <w:tcPr>
            <w:tcW w:w="2838" w:type="dxa"/>
            <w:tcBorders>
              <w:top w:val="nil"/>
              <w:left w:val="nil"/>
              <w:bottom w:val="nil"/>
              <w:right w:val="nil"/>
            </w:tcBorders>
            <w:shd w:val="clear" w:color="auto" w:fill="auto"/>
            <w:noWrap/>
            <w:vAlign w:val="bottom"/>
            <w:hideMark/>
          </w:tcPr>
          <w:p w14:paraId="14EBA0D0"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GT360</w:t>
            </w:r>
          </w:p>
        </w:tc>
        <w:tc>
          <w:tcPr>
            <w:tcW w:w="2003" w:type="dxa"/>
            <w:tcBorders>
              <w:top w:val="nil"/>
              <w:left w:val="nil"/>
              <w:bottom w:val="nil"/>
              <w:right w:val="nil"/>
            </w:tcBorders>
            <w:shd w:val="clear" w:color="000000" w:fill="DDEBF7"/>
            <w:noWrap/>
            <w:vAlign w:val="bottom"/>
            <w:hideMark/>
          </w:tcPr>
          <w:p w14:paraId="2E850196" w14:textId="1BDB98AA"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1.4</w:t>
            </w:r>
            <w:r w:rsidR="00EA3044">
              <w:rPr>
                <w:rFonts w:ascii="Calibri" w:eastAsia="Times New Roman" w:hAnsi="Calibri" w:cs="Calibri"/>
              </w:rPr>
              <w:t>2</w:t>
            </w:r>
          </w:p>
        </w:tc>
        <w:tc>
          <w:tcPr>
            <w:tcW w:w="1442" w:type="dxa"/>
            <w:tcBorders>
              <w:top w:val="nil"/>
              <w:left w:val="nil"/>
              <w:bottom w:val="nil"/>
              <w:right w:val="nil"/>
            </w:tcBorders>
            <w:shd w:val="clear" w:color="000000" w:fill="DDEBF7"/>
            <w:noWrap/>
            <w:vAlign w:val="bottom"/>
            <w:hideMark/>
          </w:tcPr>
          <w:p w14:paraId="3F9AAFE8"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4CA2269C" w14:textId="77777777" w:rsidTr="00F9536D">
        <w:trPr>
          <w:trHeight w:val="300"/>
        </w:trPr>
        <w:tc>
          <w:tcPr>
            <w:tcW w:w="2237" w:type="dxa"/>
            <w:tcBorders>
              <w:top w:val="nil"/>
              <w:left w:val="nil"/>
              <w:bottom w:val="nil"/>
              <w:right w:val="nil"/>
            </w:tcBorders>
            <w:shd w:val="clear" w:color="auto" w:fill="auto"/>
            <w:noWrap/>
            <w:vAlign w:val="bottom"/>
            <w:hideMark/>
          </w:tcPr>
          <w:p w14:paraId="4366ADB1"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55222668"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241-360</w:t>
            </w:r>
          </w:p>
        </w:tc>
        <w:tc>
          <w:tcPr>
            <w:tcW w:w="2003" w:type="dxa"/>
            <w:tcBorders>
              <w:top w:val="nil"/>
              <w:left w:val="nil"/>
              <w:bottom w:val="nil"/>
              <w:right w:val="nil"/>
            </w:tcBorders>
            <w:shd w:val="clear" w:color="auto" w:fill="auto"/>
            <w:noWrap/>
            <w:vAlign w:val="bottom"/>
            <w:hideMark/>
          </w:tcPr>
          <w:p w14:paraId="1A284C16"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16FB957A"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4792AAC2" w14:textId="77777777" w:rsidTr="00AB30CF">
        <w:trPr>
          <w:trHeight w:val="300"/>
        </w:trPr>
        <w:tc>
          <w:tcPr>
            <w:tcW w:w="2237" w:type="dxa"/>
            <w:tcBorders>
              <w:top w:val="nil"/>
              <w:left w:val="nil"/>
              <w:bottom w:val="nil"/>
              <w:right w:val="nil"/>
            </w:tcBorders>
            <w:shd w:val="clear" w:color="auto" w:fill="auto"/>
            <w:noWrap/>
            <w:vAlign w:val="bottom"/>
            <w:hideMark/>
          </w:tcPr>
          <w:p w14:paraId="03B01ED8"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169BF4BA"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LE240</w:t>
            </w:r>
          </w:p>
        </w:tc>
        <w:tc>
          <w:tcPr>
            <w:tcW w:w="2003" w:type="dxa"/>
            <w:tcBorders>
              <w:top w:val="nil"/>
              <w:left w:val="nil"/>
              <w:bottom w:val="nil"/>
              <w:right w:val="nil"/>
            </w:tcBorders>
            <w:shd w:val="clear" w:color="auto" w:fill="DFF4CB" w:themeFill="accent6" w:themeFillTint="33"/>
            <w:noWrap/>
            <w:vAlign w:val="bottom"/>
            <w:hideMark/>
          </w:tcPr>
          <w:p w14:paraId="78083625" w14:textId="5FCF8B5E"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0.4</w:t>
            </w:r>
            <w:r w:rsidR="00EA3044">
              <w:rPr>
                <w:rFonts w:ascii="Calibri" w:eastAsia="Times New Roman" w:hAnsi="Calibri" w:cs="Calibri"/>
              </w:rPr>
              <w:t>8</w:t>
            </w:r>
          </w:p>
        </w:tc>
        <w:tc>
          <w:tcPr>
            <w:tcW w:w="1442" w:type="dxa"/>
            <w:tcBorders>
              <w:top w:val="nil"/>
              <w:left w:val="nil"/>
              <w:bottom w:val="nil"/>
              <w:right w:val="nil"/>
            </w:tcBorders>
            <w:shd w:val="clear" w:color="auto" w:fill="DFF4CB" w:themeFill="accent6" w:themeFillTint="33"/>
            <w:noWrap/>
            <w:vAlign w:val="bottom"/>
            <w:hideMark/>
          </w:tcPr>
          <w:p w14:paraId="6E121A95" w14:textId="24F35E0E" w:rsidR="00F9536D" w:rsidRPr="00F9536D" w:rsidRDefault="00211483" w:rsidP="00F9536D">
            <w:pPr>
              <w:spacing w:after="0" w:line="240" w:lineRule="auto"/>
              <w:jc w:val="center"/>
              <w:rPr>
                <w:rFonts w:ascii="Calibri" w:eastAsia="Times New Roman" w:hAnsi="Calibri" w:cs="Calibri"/>
              </w:rPr>
            </w:pPr>
            <w:r>
              <w:rPr>
                <w:rFonts w:ascii="Calibri" w:eastAsia="Times New Roman" w:hAnsi="Calibri" w:cs="Calibri"/>
              </w:rPr>
              <w:t>Offset</w:t>
            </w:r>
            <w:r w:rsidR="00F9536D" w:rsidRPr="00F9536D">
              <w:rPr>
                <w:rFonts w:ascii="Calibri" w:eastAsia="Times New Roman" w:hAnsi="Calibri" w:cs="Calibri"/>
              </w:rPr>
              <w:t> </w:t>
            </w:r>
          </w:p>
        </w:tc>
      </w:tr>
      <w:tr w:rsidR="00F9536D" w:rsidRPr="00F9536D" w14:paraId="404ABE7D" w14:textId="77777777" w:rsidTr="00F9536D">
        <w:trPr>
          <w:trHeight w:val="300"/>
        </w:trPr>
        <w:tc>
          <w:tcPr>
            <w:tcW w:w="2237" w:type="dxa"/>
            <w:tcBorders>
              <w:top w:val="nil"/>
              <w:left w:val="nil"/>
              <w:bottom w:val="nil"/>
              <w:right w:val="nil"/>
            </w:tcBorders>
            <w:shd w:val="clear" w:color="auto" w:fill="auto"/>
            <w:noWrap/>
            <w:vAlign w:val="bottom"/>
            <w:hideMark/>
          </w:tcPr>
          <w:p w14:paraId="60ADAC37"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Loan_Purpose_Desc</w:t>
            </w:r>
          </w:p>
        </w:tc>
        <w:tc>
          <w:tcPr>
            <w:tcW w:w="2838" w:type="dxa"/>
            <w:tcBorders>
              <w:top w:val="nil"/>
              <w:left w:val="nil"/>
              <w:bottom w:val="nil"/>
              <w:right w:val="nil"/>
            </w:tcBorders>
            <w:shd w:val="clear" w:color="auto" w:fill="auto"/>
            <w:noWrap/>
            <w:vAlign w:val="bottom"/>
            <w:hideMark/>
          </w:tcPr>
          <w:p w14:paraId="01B4AEB9"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Purchase</w:t>
            </w:r>
          </w:p>
        </w:tc>
        <w:tc>
          <w:tcPr>
            <w:tcW w:w="2003" w:type="dxa"/>
            <w:tcBorders>
              <w:top w:val="nil"/>
              <w:left w:val="nil"/>
              <w:bottom w:val="nil"/>
              <w:right w:val="nil"/>
            </w:tcBorders>
            <w:shd w:val="clear" w:color="auto" w:fill="auto"/>
            <w:noWrap/>
            <w:vAlign w:val="bottom"/>
            <w:hideMark/>
          </w:tcPr>
          <w:p w14:paraId="0B9FA289"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062B2583"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539C2AEE" w14:textId="77777777" w:rsidTr="00F9536D">
        <w:trPr>
          <w:trHeight w:val="300"/>
        </w:trPr>
        <w:tc>
          <w:tcPr>
            <w:tcW w:w="2237" w:type="dxa"/>
            <w:tcBorders>
              <w:top w:val="nil"/>
              <w:left w:val="nil"/>
              <w:bottom w:val="nil"/>
              <w:right w:val="nil"/>
            </w:tcBorders>
            <w:shd w:val="clear" w:color="auto" w:fill="auto"/>
            <w:noWrap/>
            <w:vAlign w:val="bottom"/>
            <w:hideMark/>
          </w:tcPr>
          <w:p w14:paraId="0E7A9CEE"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10E3090A"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Cash-Out Refi</w:t>
            </w:r>
          </w:p>
        </w:tc>
        <w:tc>
          <w:tcPr>
            <w:tcW w:w="2003" w:type="dxa"/>
            <w:tcBorders>
              <w:top w:val="nil"/>
              <w:left w:val="nil"/>
              <w:bottom w:val="nil"/>
              <w:right w:val="nil"/>
            </w:tcBorders>
            <w:shd w:val="clear" w:color="000000" w:fill="DDEBF7"/>
            <w:noWrap/>
            <w:vAlign w:val="bottom"/>
            <w:hideMark/>
          </w:tcPr>
          <w:p w14:paraId="70DE8F69"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1.41</w:t>
            </w:r>
          </w:p>
        </w:tc>
        <w:tc>
          <w:tcPr>
            <w:tcW w:w="1442" w:type="dxa"/>
            <w:tcBorders>
              <w:top w:val="nil"/>
              <w:left w:val="nil"/>
              <w:bottom w:val="nil"/>
              <w:right w:val="nil"/>
            </w:tcBorders>
            <w:shd w:val="clear" w:color="000000" w:fill="DDEBF7"/>
            <w:noWrap/>
            <w:vAlign w:val="bottom"/>
            <w:hideMark/>
          </w:tcPr>
          <w:p w14:paraId="253093A0"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45B7C183" w14:textId="77777777" w:rsidTr="00F9536D">
        <w:trPr>
          <w:trHeight w:val="300"/>
        </w:trPr>
        <w:tc>
          <w:tcPr>
            <w:tcW w:w="2237" w:type="dxa"/>
            <w:tcBorders>
              <w:top w:val="nil"/>
              <w:left w:val="nil"/>
              <w:bottom w:val="nil"/>
              <w:right w:val="nil"/>
            </w:tcBorders>
            <w:shd w:val="clear" w:color="auto" w:fill="auto"/>
            <w:noWrap/>
            <w:vAlign w:val="bottom"/>
            <w:hideMark/>
          </w:tcPr>
          <w:p w14:paraId="2927C314"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7573AF34"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Other</w:t>
            </w:r>
          </w:p>
        </w:tc>
        <w:tc>
          <w:tcPr>
            <w:tcW w:w="2003" w:type="dxa"/>
            <w:tcBorders>
              <w:top w:val="nil"/>
              <w:left w:val="nil"/>
              <w:bottom w:val="nil"/>
              <w:right w:val="nil"/>
            </w:tcBorders>
            <w:shd w:val="clear" w:color="000000" w:fill="DDEBF7"/>
            <w:noWrap/>
            <w:vAlign w:val="bottom"/>
            <w:hideMark/>
          </w:tcPr>
          <w:p w14:paraId="72154F08"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0.58</w:t>
            </w:r>
          </w:p>
        </w:tc>
        <w:tc>
          <w:tcPr>
            <w:tcW w:w="1442" w:type="dxa"/>
            <w:tcBorders>
              <w:top w:val="nil"/>
              <w:left w:val="nil"/>
              <w:bottom w:val="nil"/>
              <w:right w:val="nil"/>
            </w:tcBorders>
            <w:shd w:val="clear" w:color="000000" w:fill="DDEBF7"/>
            <w:noWrap/>
            <w:vAlign w:val="bottom"/>
            <w:hideMark/>
          </w:tcPr>
          <w:p w14:paraId="3685CA89"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00FB4B20" w14:textId="77777777" w:rsidTr="00F9536D">
        <w:trPr>
          <w:trHeight w:val="300"/>
        </w:trPr>
        <w:tc>
          <w:tcPr>
            <w:tcW w:w="2237" w:type="dxa"/>
            <w:tcBorders>
              <w:top w:val="nil"/>
              <w:left w:val="nil"/>
              <w:bottom w:val="nil"/>
              <w:right w:val="nil"/>
            </w:tcBorders>
            <w:shd w:val="clear" w:color="auto" w:fill="auto"/>
            <w:noWrap/>
            <w:vAlign w:val="bottom"/>
            <w:hideMark/>
          </w:tcPr>
          <w:p w14:paraId="35878CF7"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2C37B96C"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Rate/Term Refi</w:t>
            </w:r>
          </w:p>
        </w:tc>
        <w:tc>
          <w:tcPr>
            <w:tcW w:w="2003" w:type="dxa"/>
            <w:tcBorders>
              <w:top w:val="nil"/>
              <w:left w:val="nil"/>
              <w:bottom w:val="nil"/>
              <w:right w:val="nil"/>
            </w:tcBorders>
            <w:shd w:val="clear" w:color="000000" w:fill="DDEBF7"/>
            <w:noWrap/>
            <w:vAlign w:val="bottom"/>
            <w:hideMark/>
          </w:tcPr>
          <w:p w14:paraId="70D127F8"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1.46</w:t>
            </w:r>
          </w:p>
        </w:tc>
        <w:tc>
          <w:tcPr>
            <w:tcW w:w="1442" w:type="dxa"/>
            <w:tcBorders>
              <w:top w:val="nil"/>
              <w:left w:val="nil"/>
              <w:bottom w:val="nil"/>
              <w:right w:val="nil"/>
            </w:tcBorders>
            <w:shd w:val="clear" w:color="000000" w:fill="DDEBF7"/>
            <w:noWrap/>
            <w:vAlign w:val="bottom"/>
            <w:hideMark/>
          </w:tcPr>
          <w:p w14:paraId="22F736BA"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732D69D3" w14:textId="77777777" w:rsidTr="00F9536D">
        <w:trPr>
          <w:trHeight w:val="300"/>
        </w:trPr>
        <w:tc>
          <w:tcPr>
            <w:tcW w:w="2237" w:type="dxa"/>
            <w:tcBorders>
              <w:top w:val="nil"/>
              <w:left w:val="nil"/>
              <w:bottom w:val="nil"/>
              <w:right w:val="nil"/>
            </w:tcBorders>
            <w:shd w:val="clear" w:color="auto" w:fill="auto"/>
            <w:noWrap/>
            <w:vAlign w:val="bottom"/>
            <w:hideMark/>
          </w:tcPr>
          <w:p w14:paraId="437DBE07"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49EFDD3F"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Refi-Property Improvement</w:t>
            </w:r>
          </w:p>
        </w:tc>
        <w:tc>
          <w:tcPr>
            <w:tcW w:w="2003" w:type="dxa"/>
            <w:tcBorders>
              <w:top w:val="nil"/>
              <w:left w:val="nil"/>
              <w:bottom w:val="nil"/>
              <w:right w:val="nil"/>
            </w:tcBorders>
            <w:shd w:val="clear" w:color="000000" w:fill="DDEBF7"/>
            <w:noWrap/>
            <w:vAlign w:val="bottom"/>
            <w:hideMark/>
          </w:tcPr>
          <w:p w14:paraId="1207A2DD" w14:textId="07787396"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0.</w:t>
            </w:r>
            <w:r w:rsidR="00EA3044">
              <w:rPr>
                <w:rFonts w:ascii="Calibri" w:eastAsia="Times New Roman" w:hAnsi="Calibri" w:cs="Calibri"/>
              </w:rPr>
              <w:t>80</w:t>
            </w:r>
          </w:p>
        </w:tc>
        <w:tc>
          <w:tcPr>
            <w:tcW w:w="1442" w:type="dxa"/>
            <w:tcBorders>
              <w:top w:val="nil"/>
              <w:left w:val="nil"/>
              <w:bottom w:val="nil"/>
              <w:right w:val="nil"/>
            </w:tcBorders>
            <w:shd w:val="clear" w:color="000000" w:fill="DDEBF7"/>
            <w:noWrap/>
            <w:vAlign w:val="bottom"/>
            <w:hideMark/>
          </w:tcPr>
          <w:p w14:paraId="49FFBE1E"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131CC48A" w14:textId="77777777" w:rsidTr="00F9536D">
        <w:trPr>
          <w:trHeight w:val="300"/>
        </w:trPr>
        <w:tc>
          <w:tcPr>
            <w:tcW w:w="2237" w:type="dxa"/>
            <w:tcBorders>
              <w:top w:val="nil"/>
              <w:left w:val="nil"/>
              <w:bottom w:val="nil"/>
              <w:right w:val="nil"/>
            </w:tcBorders>
            <w:shd w:val="clear" w:color="auto" w:fill="auto"/>
            <w:noWrap/>
            <w:vAlign w:val="bottom"/>
            <w:hideMark/>
          </w:tcPr>
          <w:p w14:paraId="3041B731"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641DB03C"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Refi-Use Unknown</w:t>
            </w:r>
          </w:p>
        </w:tc>
        <w:tc>
          <w:tcPr>
            <w:tcW w:w="2003" w:type="dxa"/>
            <w:tcBorders>
              <w:top w:val="nil"/>
              <w:left w:val="nil"/>
              <w:bottom w:val="nil"/>
              <w:right w:val="nil"/>
            </w:tcBorders>
            <w:shd w:val="clear" w:color="000000" w:fill="DDEBF7"/>
            <w:noWrap/>
            <w:vAlign w:val="bottom"/>
            <w:hideMark/>
          </w:tcPr>
          <w:p w14:paraId="61FEDB0A"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1.39</w:t>
            </w:r>
          </w:p>
        </w:tc>
        <w:tc>
          <w:tcPr>
            <w:tcW w:w="1442" w:type="dxa"/>
            <w:tcBorders>
              <w:top w:val="nil"/>
              <w:left w:val="nil"/>
              <w:bottom w:val="nil"/>
              <w:right w:val="nil"/>
            </w:tcBorders>
            <w:shd w:val="clear" w:color="000000" w:fill="DDEBF7"/>
            <w:noWrap/>
            <w:vAlign w:val="bottom"/>
            <w:hideMark/>
          </w:tcPr>
          <w:p w14:paraId="09260865"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60CDCDDC" w14:textId="77777777" w:rsidTr="00F9536D">
        <w:trPr>
          <w:trHeight w:val="300"/>
        </w:trPr>
        <w:tc>
          <w:tcPr>
            <w:tcW w:w="2237" w:type="dxa"/>
            <w:tcBorders>
              <w:top w:val="nil"/>
              <w:left w:val="nil"/>
              <w:bottom w:val="nil"/>
              <w:right w:val="nil"/>
            </w:tcBorders>
            <w:shd w:val="clear" w:color="auto" w:fill="auto"/>
            <w:noWrap/>
            <w:vAlign w:val="bottom"/>
            <w:hideMark/>
          </w:tcPr>
          <w:p w14:paraId="51AC9E4D"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Property_Type_Desc</w:t>
            </w:r>
          </w:p>
        </w:tc>
        <w:tc>
          <w:tcPr>
            <w:tcW w:w="2838" w:type="dxa"/>
            <w:tcBorders>
              <w:top w:val="nil"/>
              <w:left w:val="nil"/>
              <w:bottom w:val="nil"/>
              <w:right w:val="nil"/>
            </w:tcBorders>
            <w:shd w:val="clear" w:color="auto" w:fill="auto"/>
            <w:noWrap/>
            <w:vAlign w:val="bottom"/>
            <w:hideMark/>
          </w:tcPr>
          <w:p w14:paraId="6641C45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Not Condo</w:t>
            </w:r>
          </w:p>
        </w:tc>
        <w:tc>
          <w:tcPr>
            <w:tcW w:w="2003" w:type="dxa"/>
            <w:tcBorders>
              <w:top w:val="nil"/>
              <w:left w:val="nil"/>
              <w:bottom w:val="nil"/>
              <w:right w:val="nil"/>
            </w:tcBorders>
            <w:shd w:val="clear" w:color="auto" w:fill="auto"/>
            <w:noWrap/>
            <w:vAlign w:val="bottom"/>
            <w:hideMark/>
          </w:tcPr>
          <w:p w14:paraId="04162BAE"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61965F2B"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2684A8FF" w14:textId="77777777" w:rsidTr="00F9536D">
        <w:trPr>
          <w:trHeight w:val="300"/>
        </w:trPr>
        <w:tc>
          <w:tcPr>
            <w:tcW w:w="2237" w:type="dxa"/>
            <w:tcBorders>
              <w:top w:val="nil"/>
              <w:left w:val="nil"/>
              <w:bottom w:val="nil"/>
              <w:right w:val="nil"/>
            </w:tcBorders>
            <w:shd w:val="clear" w:color="auto" w:fill="auto"/>
            <w:noWrap/>
            <w:vAlign w:val="bottom"/>
            <w:hideMark/>
          </w:tcPr>
          <w:p w14:paraId="525F5793"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2EAF7666"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Condo</w:t>
            </w:r>
          </w:p>
        </w:tc>
        <w:tc>
          <w:tcPr>
            <w:tcW w:w="2003" w:type="dxa"/>
            <w:tcBorders>
              <w:top w:val="nil"/>
              <w:left w:val="nil"/>
              <w:bottom w:val="nil"/>
              <w:right w:val="nil"/>
            </w:tcBorders>
            <w:shd w:val="clear" w:color="000000" w:fill="DDEBF7"/>
            <w:noWrap/>
            <w:vAlign w:val="bottom"/>
            <w:hideMark/>
          </w:tcPr>
          <w:p w14:paraId="1C5DF249"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1.06</w:t>
            </w:r>
          </w:p>
        </w:tc>
        <w:tc>
          <w:tcPr>
            <w:tcW w:w="1442" w:type="dxa"/>
            <w:tcBorders>
              <w:top w:val="nil"/>
              <w:left w:val="nil"/>
              <w:bottom w:val="nil"/>
              <w:right w:val="nil"/>
            </w:tcBorders>
            <w:shd w:val="clear" w:color="000000" w:fill="DDEBF7"/>
            <w:noWrap/>
            <w:vAlign w:val="bottom"/>
            <w:hideMark/>
          </w:tcPr>
          <w:p w14:paraId="5B249C15"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227C3330" w14:textId="77777777" w:rsidTr="00F9536D">
        <w:trPr>
          <w:trHeight w:val="300"/>
        </w:trPr>
        <w:tc>
          <w:tcPr>
            <w:tcW w:w="2237" w:type="dxa"/>
            <w:tcBorders>
              <w:top w:val="nil"/>
              <w:left w:val="nil"/>
              <w:bottom w:val="nil"/>
              <w:right w:val="nil"/>
            </w:tcBorders>
            <w:shd w:val="clear" w:color="auto" w:fill="auto"/>
            <w:noWrap/>
            <w:vAlign w:val="bottom"/>
            <w:hideMark/>
          </w:tcPr>
          <w:p w14:paraId="4A541088"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Occupancy_Type</w:t>
            </w:r>
          </w:p>
        </w:tc>
        <w:tc>
          <w:tcPr>
            <w:tcW w:w="2838" w:type="dxa"/>
            <w:tcBorders>
              <w:top w:val="nil"/>
              <w:left w:val="nil"/>
              <w:bottom w:val="nil"/>
              <w:right w:val="nil"/>
            </w:tcBorders>
            <w:shd w:val="clear" w:color="auto" w:fill="auto"/>
            <w:noWrap/>
            <w:vAlign w:val="bottom"/>
            <w:hideMark/>
          </w:tcPr>
          <w:p w14:paraId="160B1FB4"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Primary</w:t>
            </w:r>
          </w:p>
        </w:tc>
        <w:tc>
          <w:tcPr>
            <w:tcW w:w="2003" w:type="dxa"/>
            <w:tcBorders>
              <w:top w:val="nil"/>
              <w:left w:val="nil"/>
              <w:bottom w:val="nil"/>
              <w:right w:val="nil"/>
            </w:tcBorders>
            <w:shd w:val="clear" w:color="auto" w:fill="auto"/>
            <w:noWrap/>
            <w:vAlign w:val="bottom"/>
            <w:hideMark/>
          </w:tcPr>
          <w:p w14:paraId="43CBFE41"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03E5D07E"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21720DDB" w14:textId="77777777" w:rsidTr="00F9536D">
        <w:trPr>
          <w:trHeight w:val="300"/>
        </w:trPr>
        <w:tc>
          <w:tcPr>
            <w:tcW w:w="2237" w:type="dxa"/>
            <w:tcBorders>
              <w:top w:val="nil"/>
              <w:left w:val="nil"/>
              <w:bottom w:val="nil"/>
              <w:right w:val="nil"/>
            </w:tcBorders>
            <w:shd w:val="clear" w:color="auto" w:fill="auto"/>
            <w:noWrap/>
            <w:vAlign w:val="bottom"/>
            <w:hideMark/>
          </w:tcPr>
          <w:p w14:paraId="11C481DF"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3AB6FBCA"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Investment</w:t>
            </w:r>
          </w:p>
        </w:tc>
        <w:tc>
          <w:tcPr>
            <w:tcW w:w="2003" w:type="dxa"/>
            <w:tcBorders>
              <w:top w:val="nil"/>
              <w:left w:val="nil"/>
              <w:bottom w:val="nil"/>
              <w:right w:val="nil"/>
            </w:tcBorders>
            <w:shd w:val="clear" w:color="000000" w:fill="FCE4D6"/>
            <w:noWrap/>
            <w:vAlign w:val="bottom"/>
            <w:hideMark/>
          </w:tcPr>
          <w:p w14:paraId="18E63B91" w14:textId="06F26882"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2.1</w:t>
            </w:r>
            <w:r w:rsidR="00EA3044">
              <w:rPr>
                <w:rFonts w:ascii="Calibri" w:eastAsia="Times New Roman" w:hAnsi="Calibri" w:cs="Calibri"/>
              </w:rPr>
              <w:t>6</w:t>
            </w:r>
          </w:p>
        </w:tc>
        <w:tc>
          <w:tcPr>
            <w:tcW w:w="1442" w:type="dxa"/>
            <w:tcBorders>
              <w:top w:val="nil"/>
              <w:left w:val="nil"/>
              <w:bottom w:val="nil"/>
              <w:right w:val="nil"/>
            </w:tcBorders>
            <w:shd w:val="clear" w:color="000000" w:fill="FCE4D6"/>
            <w:noWrap/>
            <w:vAlign w:val="bottom"/>
            <w:hideMark/>
          </w:tcPr>
          <w:p w14:paraId="5387F295"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High</w:t>
            </w:r>
          </w:p>
        </w:tc>
      </w:tr>
      <w:tr w:rsidR="00F9536D" w:rsidRPr="00F9536D" w14:paraId="3238FD3B" w14:textId="77777777" w:rsidTr="00F9536D">
        <w:trPr>
          <w:trHeight w:val="300"/>
        </w:trPr>
        <w:tc>
          <w:tcPr>
            <w:tcW w:w="2237" w:type="dxa"/>
            <w:tcBorders>
              <w:top w:val="nil"/>
              <w:left w:val="nil"/>
              <w:bottom w:val="nil"/>
              <w:right w:val="nil"/>
            </w:tcBorders>
            <w:shd w:val="clear" w:color="auto" w:fill="auto"/>
            <w:noWrap/>
            <w:vAlign w:val="bottom"/>
            <w:hideMark/>
          </w:tcPr>
          <w:p w14:paraId="2F8A483A"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67019F5A"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Secondary</w:t>
            </w:r>
          </w:p>
        </w:tc>
        <w:tc>
          <w:tcPr>
            <w:tcW w:w="2003" w:type="dxa"/>
            <w:tcBorders>
              <w:top w:val="nil"/>
              <w:left w:val="nil"/>
              <w:bottom w:val="nil"/>
              <w:right w:val="nil"/>
            </w:tcBorders>
            <w:shd w:val="clear" w:color="000000" w:fill="FCE4D6"/>
            <w:noWrap/>
            <w:vAlign w:val="bottom"/>
            <w:hideMark/>
          </w:tcPr>
          <w:p w14:paraId="444B2812" w14:textId="74CCD878"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1.4</w:t>
            </w:r>
            <w:r w:rsidR="00EA3044">
              <w:rPr>
                <w:rFonts w:ascii="Calibri" w:eastAsia="Times New Roman" w:hAnsi="Calibri" w:cs="Calibri"/>
              </w:rPr>
              <w:t>6</w:t>
            </w:r>
          </w:p>
        </w:tc>
        <w:tc>
          <w:tcPr>
            <w:tcW w:w="1442" w:type="dxa"/>
            <w:tcBorders>
              <w:top w:val="nil"/>
              <w:left w:val="nil"/>
              <w:bottom w:val="nil"/>
              <w:right w:val="nil"/>
            </w:tcBorders>
            <w:shd w:val="clear" w:color="000000" w:fill="FCE4D6"/>
            <w:noWrap/>
            <w:vAlign w:val="bottom"/>
            <w:hideMark/>
          </w:tcPr>
          <w:p w14:paraId="124D155B"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High</w:t>
            </w:r>
          </w:p>
        </w:tc>
      </w:tr>
      <w:tr w:rsidR="00F9536D" w:rsidRPr="00F9536D" w14:paraId="385B97BA" w14:textId="77777777" w:rsidTr="00F9536D">
        <w:trPr>
          <w:trHeight w:val="300"/>
        </w:trPr>
        <w:tc>
          <w:tcPr>
            <w:tcW w:w="2237" w:type="dxa"/>
            <w:tcBorders>
              <w:top w:val="nil"/>
              <w:left w:val="nil"/>
              <w:bottom w:val="nil"/>
              <w:right w:val="nil"/>
            </w:tcBorders>
            <w:shd w:val="clear" w:color="auto" w:fill="auto"/>
            <w:noWrap/>
            <w:vAlign w:val="bottom"/>
            <w:hideMark/>
          </w:tcPr>
          <w:p w14:paraId="4F578A9D"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6C6D7C21"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Unknown</w:t>
            </w:r>
          </w:p>
        </w:tc>
        <w:tc>
          <w:tcPr>
            <w:tcW w:w="2003" w:type="dxa"/>
            <w:tcBorders>
              <w:top w:val="nil"/>
              <w:left w:val="nil"/>
              <w:bottom w:val="nil"/>
              <w:right w:val="nil"/>
            </w:tcBorders>
            <w:shd w:val="clear" w:color="000000" w:fill="FCE4D6"/>
            <w:noWrap/>
            <w:vAlign w:val="bottom"/>
            <w:hideMark/>
          </w:tcPr>
          <w:p w14:paraId="3F3FE8B0" w14:textId="7AE0536E"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2.5</w:t>
            </w:r>
            <w:r w:rsidR="00EA3044">
              <w:rPr>
                <w:rFonts w:ascii="Calibri" w:eastAsia="Times New Roman" w:hAnsi="Calibri" w:cs="Calibri"/>
              </w:rPr>
              <w:t>8</w:t>
            </w:r>
          </w:p>
        </w:tc>
        <w:tc>
          <w:tcPr>
            <w:tcW w:w="1442" w:type="dxa"/>
            <w:tcBorders>
              <w:top w:val="nil"/>
              <w:left w:val="nil"/>
              <w:bottom w:val="nil"/>
              <w:right w:val="nil"/>
            </w:tcBorders>
            <w:shd w:val="clear" w:color="000000" w:fill="FCE4D6"/>
            <w:noWrap/>
            <w:vAlign w:val="bottom"/>
            <w:hideMark/>
          </w:tcPr>
          <w:p w14:paraId="11CE7498"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High</w:t>
            </w:r>
          </w:p>
        </w:tc>
      </w:tr>
      <w:tr w:rsidR="00F9536D" w:rsidRPr="00F9536D" w14:paraId="148E49A6" w14:textId="77777777" w:rsidTr="00F9536D">
        <w:trPr>
          <w:trHeight w:val="300"/>
        </w:trPr>
        <w:tc>
          <w:tcPr>
            <w:tcW w:w="2237" w:type="dxa"/>
            <w:tcBorders>
              <w:top w:val="nil"/>
              <w:left w:val="nil"/>
              <w:bottom w:val="nil"/>
              <w:right w:val="nil"/>
            </w:tcBorders>
            <w:shd w:val="clear" w:color="auto" w:fill="auto"/>
            <w:noWrap/>
            <w:vAlign w:val="bottom"/>
            <w:hideMark/>
          </w:tcPr>
          <w:p w14:paraId="2CD8905D"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Amort_Type</w:t>
            </w:r>
          </w:p>
        </w:tc>
        <w:tc>
          <w:tcPr>
            <w:tcW w:w="2838" w:type="dxa"/>
            <w:tcBorders>
              <w:top w:val="nil"/>
              <w:left w:val="nil"/>
              <w:bottom w:val="nil"/>
              <w:right w:val="nil"/>
            </w:tcBorders>
            <w:shd w:val="clear" w:color="auto" w:fill="auto"/>
            <w:noWrap/>
            <w:vAlign w:val="bottom"/>
            <w:hideMark/>
          </w:tcPr>
          <w:p w14:paraId="0B2718CE"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Fixed</w:t>
            </w:r>
          </w:p>
        </w:tc>
        <w:tc>
          <w:tcPr>
            <w:tcW w:w="2003" w:type="dxa"/>
            <w:tcBorders>
              <w:top w:val="nil"/>
              <w:left w:val="nil"/>
              <w:bottom w:val="nil"/>
              <w:right w:val="nil"/>
            </w:tcBorders>
            <w:shd w:val="clear" w:color="auto" w:fill="auto"/>
            <w:noWrap/>
            <w:vAlign w:val="bottom"/>
            <w:hideMark/>
          </w:tcPr>
          <w:p w14:paraId="75EF423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76CC3EB3"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43505F75" w14:textId="77777777" w:rsidTr="00F9536D">
        <w:trPr>
          <w:trHeight w:val="300"/>
        </w:trPr>
        <w:tc>
          <w:tcPr>
            <w:tcW w:w="2237" w:type="dxa"/>
            <w:tcBorders>
              <w:top w:val="nil"/>
              <w:left w:val="nil"/>
              <w:bottom w:val="nil"/>
              <w:right w:val="nil"/>
            </w:tcBorders>
            <w:shd w:val="clear" w:color="auto" w:fill="auto"/>
            <w:noWrap/>
            <w:vAlign w:val="bottom"/>
            <w:hideMark/>
          </w:tcPr>
          <w:p w14:paraId="31AC1915"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324B01D0"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5/1ARM</w:t>
            </w:r>
          </w:p>
        </w:tc>
        <w:tc>
          <w:tcPr>
            <w:tcW w:w="2003" w:type="dxa"/>
            <w:tcBorders>
              <w:top w:val="nil"/>
              <w:left w:val="nil"/>
              <w:bottom w:val="nil"/>
              <w:right w:val="nil"/>
            </w:tcBorders>
            <w:shd w:val="clear" w:color="000000" w:fill="DDEBF7"/>
            <w:noWrap/>
            <w:vAlign w:val="bottom"/>
            <w:hideMark/>
          </w:tcPr>
          <w:p w14:paraId="02915179" w14:textId="57581E9D"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1.2</w:t>
            </w:r>
            <w:r w:rsidR="00EA3044">
              <w:rPr>
                <w:rFonts w:ascii="Calibri" w:eastAsia="Times New Roman" w:hAnsi="Calibri" w:cs="Calibri"/>
              </w:rPr>
              <w:t>5</w:t>
            </w:r>
          </w:p>
        </w:tc>
        <w:tc>
          <w:tcPr>
            <w:tcW w:w="1442" w:type="dxa"/>
            <w:tcBorders>
              <w:top w:val="nil"/>
              <w:left w:val="nil"/>
              <w:bottom w:val="nil"/>
              <w:right w:val="nil"/>
            </w:tcBorders>
            <w:shd w:val="clear" w:color="000000" w:fill="DDEBF7"/>
            <w:noWrap/>
            <w:vAlign w:val="bottom"/>
            <w:hideMark/>
          </w:tcPr>
          <w:p w14:paraId="1BEF3852"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4EC6A684" w14:textId="77777777" w:rsidTr="00F9536D">
        <w:trPr>
          <w:trHeight w:val="300"/>
        </w:trPr>
        <w:tc>
          <w:tcPr>
            <w:tcW w:w="2237" w:type="dxa"/>
            <w:tcBorders>
              <w:top w:val="nil"/>
              <w:left w:val="nil"/>
              <w:bottom w:val="nil"/>
              <w:right w:val="nil"/>
            </w:tcBorders>
            <w:shd w:val="clear" w:color="auto" w:fill="auto"/>
            <w:noWrap/>
            <w:vAlign w:val="bottom"/>
            <w:hideMark/>
          </w:tcPr>
          <w:p w14:paraId="7D6AE8C9"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09716CB2"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&lt; 5/1ARM</w:t>
            </w:r>
          </w:p>
        </w:tc>
        <w:tc>
          <w:tcPr>
            <w:tcW w:w="2003" w:type="dxa"/>
            <w:tcBorders>
              <w:top w:val="nil"/>
              <w:left w:val="nil"/>
              <w:bottom w:val="nil"/>
              <w:right w:val="nil"/>
            </w:tcBorders>
            <w:shd w:val="clear" w:color="000000" w:fill="DDEBF7"/>
            <w:noWrap/>
            <w:vAlign w:val="bottom"/>
            <w:hideMark/>
          </w:tcPr>
          <w:p w14:paraId="5F639DF0"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1.46</w:t>
            </w:r>
          </w:p>
        </w:tc>
        <w:tc>
          <w:tcPr>
            <w:tcW w:w="1442" w:type="dxa"/>
            <w:tcBorders>
              <w:top w:val="nil"/>
              <w:left w:val="nil"/>
              <w:bottom w:val="nil"/>
              <w:right w:val="nil"/>
            </w:tcBorders>
            <w:shd w:val="clear" w:color="000000" w:fill="DDEBF7"/>
            <w:noWrap/>
            <w:vAlign w:val="bottom"/>
            <w:hideMark/>
          </w:tcPr>
          <w:p w14:paraId="0BAEDFA6"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49C34E83" w14:textId="77777777" w:rsidTr="00F9536D">
        <w:trPr>
          <w:trHeight w:val="300"/>
        </w:trPr>
        <w:tc>
          <w:tcPr>
            <w:tcW w:w="2237" w:type="dxa"/>
            <w:tcBorders>
              <w:top w:val="nil"/>
              <w:left w:val="nil"/>
              <w:bottom w:val="nil"/>
              <w:right w:val="nil"/>
            </w:tcBorders>
            <w:shd w:val="clear" w:color="auto" w:fill="auto"/>
            <w:noWrap/>
            <w:vAlign w:val="bottom"/>
            <w:hideMark/>
          </w:tcPr>
          <w:p w14:paraId="35EEED2C"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2A0D74F2"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&gt; 5/1ARM</w:t>
            </w:r>
          </w:p>
        </w:tc>
        <w:tc>
          <w:tcPr>
            <w:tcW w:w="2003" w:type="dxa"/>
            <w:tcBorders>
              <w:top w:val="nil"/>
              <w:left w:val="nil"/>
              <w:bottom w:val="nil"/>
              <w:right w:val="nil"/>
            </w:tcBorders>
            <w:shd w:val="clear" w:color="000000" w:fill="DDEBF7"/>
            <w:noWrap/>
            <w:vAlign w:val="bottom"/>
            <w:hideMark/>
          </w:tcPr>
          <w:p w14:paraId="614C3816" w14:textId="1B5A06E1"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1.1</w:t>
            </w:r>
            <w:r w:rsidR="00EA3044">
              <w:rPr>
                <w:rFonts w:ascii="Calibri" w:eastAsia="Times New Roman" w:hAnsi="Calibri" w:cs="Calibri"/>
              </w:rPr>
              <w:t>1</w:t>
            </w:r>
          </w:p>
        </w:tc>
        <w:tc>
          <w:tcPr>
            <w:tcW w:w="1442" w:type="dxa"/>
            <w:tcBorders>
              <w:top w:val="nil"/>
              <w:left w:val="nil"/>
              <w:bottom w:val="nil"/>
              <w:right w:val="nil"/>
            </w:tcBorders>
            <w:shd w:val="clear" w:color="000000" w:fill="DDEBF7"/>
            <w:noWrap/>
            <w:vAlign w:val="bottom"/>
            <w:hideMark/>
          </w:tcPr>
          <w:p w14:paraId="44108B78"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5415FE28" w14:textId="77777777" w:rsidTr="00F9536D">
        <w:trPr>
          <w:trHeight w:val="300"/>
        </w:trPr>
        <w:tc>
          <w:tcPr>
            <w:tcW w:w="2237" w:type="dxa"/>
            <w:tcBorders>
              <w:top w:val="nil"/>
              <w:left w:val="nil"/>
              <w:bottom w:val="nil"/>
              <w:right w:val="nil"/>
            </w:tcBorders>
            <w:shd w:val="clear" w:color="auto" w:fill="auto"/>
            <w:noWrap/>
            <w:vAlign w:val="bottom"/>
            <w:hideMark/>
          </w:tcPr>
          <w:p w14:paraId="64A7E236"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179E1DAB"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ARM</w:t>
            </w:r>
          </w:p>
        </w:tc>
        <w:tc>
          <w:tcPr>
            <w:tcW w:w="2003" w:type="dxa"/>
            <w:tcBorders>
              <w:top w:val="nil"/>
              <w:left w:val="nil"/>
              <w:bottom w:val="nil"/>
              <w:right w:val="nil"/>
            </w:tcBorders>
            <w:shd w:val="clear" w:color="000000" w:fill="DDEBF7"/>
            <w:noWrap/>
            <w:vAlign w:val="bottom"/>
            <w:hideMark/>
          </w:tcPr>
          <w:p w14:paraId="27E4D9C0" w14:textId="7BEE3AFE"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1.3</w:t>
            </w:r>
            <w:r w:rsidR="00EA3044">
              <w:rPr>
                <w:rFonts w:ascii="Calibri" w:eastAsia="Times New Roman" w:hAnsi="Calibri" w:cs="Calibri"/>
              </w:rPr>
              <w:t>2</w:t>
            </w:r>
          </w:p>
        </w:tc>
        <w:tc>
          <w:tcPr>
            <w:tcW w:w="1442" w:type="dxa"/>
            <w:tcBorders>
              <w:top w:val="nil"/>
              <w:left w:val="nil"/>
              <w:bottom w:val="nil"/>
              <w:right w:val="nil"/>
            </w:tcBorders>
            <w:shd w:val="clear" w:color="000000" w:fill="DDEBF7"/>
            <w:noWrap/>
            <w:vAlign w:val="bottom"/>
            <w:hideMark/>
          </w:tcPr>
          <w:p w14:paraId="1182702C"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573C52C5" w14:textId="77777777" w:rsidTr="00F9536D">
        <w:trPr>
          <w:trHeight w:val="300"/>
        </w:trPr>
        <w:tc>
          <w:tcPr>
            <w:tcW w:w="2237" w:type="dxa"/>
            <w:tcBorders>
              <w:top w:val="nil"/>
              <w:left w:val="nil"/>
              <w:bottom w:val="nil"/>
              <w:right w:val="nil"/>
            </w:tcBorders>
            <w:shd w:val="clear" w:color="auto" w:fill="auto"/>
            <w:noWrap/>
            <w:vAlign w:val="bottom"/>
            <w:hideMark/>
          </w:tcPr>
          <w:p w14:paraId="6AC42AE2"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02ADFE9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UNKNOWN</w:t>
            </w:r>
          </w:p>
        </w:tc>
        <w:tc>
          <w:tcPr>
            <w:tcW w:w="2003" w:type="dxa"/>
            <w:tcBorders>
              <w:top w:val="nil"/>
              <w:left w:val="nil"/>
              <w:bottom w:val="nil"/>
              <w:right w:val="nil"/>
            </w:tcBorders>
            <w:shd w:val="clear" w:color="000000" w:fill="DDEBF7"/>
            <w:noWrap/>
            <w:vAlign w:val="bottom"/>
            <w:hideMark/>
          </w:tcPr>
          <w:p w14:paraId="680C9C47" w14:textId="52F680AB"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2.0</w:t>
            </w:r>
            <w:r w:rsidR="00EA3044">
              <w:rPr>
                <w:rFonts w:ascii="Calibri" w:eastAsia="Times New Roman" w:hAnsi="Calibri" w:cs="Calibri"/>
              </w:rPr>
              <w:t>1</w:t>
            </w:r>
          </w:p>
        </w:tc>
        <w:tc>
          <w:tcPr>
            <w:tcW w:w="1442" w:type="dxa"/>
            <w:tcBorders>
              <w:top w:val="nil"/>
              <w:left w:val="nil"/>
              <w:bottom w:val="nil"/>
              <w:right w:val="nil"/>
            </w:tcBorders>
            <w:shd w:val="clear" w:color="000000" w:fill="DDEBF7"/>
            <w:noWrap/>
            <w:vAlign w:val="bottom"/>
            <w:hideMark/>
          </w:tcPr>
          <w:p w14:paraId="46D43D31"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0055BD88" w14:textId="77777777" w:rsidTr="00F9536D">
        <w:trPr>
          <w:trHeight w:val="300"/>
        </w:trPr>
        <w:tc>
          <w:tcPr>
            <w:tcW w:w="2237" w:type="dxa"/>
            <w:tcBorders>
              <w:top w:val="nil"/>
              <w:left w:val="nil"/>
              <w:bottom w:val="nil"/>
              <w:right w:val="nil"/>
            </w:tcBorders>
            <w:shd w:val="clear" w:color="auto" w:fill="auto"/>
            <w:noWrap/>
            <w:vAlign w:val="bottom"/>
            <w:hideMark/>
          </w:tcPr>
          <w:p w14:paraId="404044D4" w14:textId="77777777" w:rsidR="00F9536D" w:rsidRPr="00F9536D" w:rsidRDefault="00F9536D" w:rsidP="00F9536D">
            <w:pPr>
              <w:spacing w:after="0" w:line="240" w:lineRule="auto"/>
              <w:rPr>
                <w:rFonts w:ascii="Calibri" w:eastAsia="Times New Roman" w:hAnsi="Calibri" w:cs="Calibri"/>
              </w:rPr>
            </w:pPr>
            <w:r w:rsidRPr="00F9536D">
              <w:rPr>
                <w:rFonts w:ascii="Calibri" w:eastAsia="Times New Roman" w:hAnsi="Calibri" w:cs="Calibri"/>
              </w:rPr>
              <w:t>Final_DTI_Bucket</w:t>
            </w:r>
          </w:p>
        </w:tc>
        <w:tc>
          <w:tcPr>
            <w:tcW w:w="2838" w:type="dxa"/>
            <w:tcBorders>
              <w:top w:val="nil"/>
              <w:left w:val="nil"/>
              <w:bottom w:val="nil"/>
              <w:right w:val="nil"/>
            </w:tcBorders>
            <w:shd w:val="clear" w:color="auto" w:fill="auto"/>
            <w:noWrap/>
            <w:vAlign w:val="bottom"/>
            <w:hideMark/>
          </w:tcPr>
          <w:p w14:paraId="7C9D5D1E"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LE 43</w:t>
            </w:r>
          </w:p>
        </w:tc>
        <w:tc>
          <w:tcPr>
            <w:tcW w:w="2003" w:type="dxa"/>
            <w:tcBorders>
              <w:top w:val="nil"/>
              <w:left w:val="nil"/>
              <w:bottom w:val="nil"/>
              <w:right w:val="nil"/>
            </w:tcBorders>
            <w:shd w:val="clear" w:color="auto" w:fill="auto"/>
            <w:noWrap/>
            <w:vAlign w:val="bottom"/>
            <w:hideMark/>
          </w:tcPr>
          <w:p w14:paraId="3C0A3B83"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1.00</w:t>
            </w:r>
          </w:p>
        </w:tc>
        <w:tc>
          <w:tcPr>
            <w:tcW w:w="1442" w:type="dxa"/>
            <w:tcBorders>
              <w:top w:val="nil"/>
              <w:left w:val="nil"/>
              <w:bottom w:val="nil"/>
              <w:right w:val="nil"/>
            </w:tcBorders>
            <w:shd w:val="clear" w:color="auto" w:fill="auto"/>
            <w:noWrap/>
            <w:vAlign w:val="bottom"/>
            <w:hideMark/>
          </w:tcPr>
          <w:p w14:paraId="6F99F4EB" w14:textId="77777777" w:rsidR="00F9536D" w:rsidRPr="00F9536D" w:rsidRDefault="00F9536D" w:rsidP="00F9536D">
            <w:pPr>
              <w:spacing w:after="0" w:line="240" w:lineRule="auto"/>
              <w:jc w:val="center"/>
              <w:rPr>
                <w:rFonts w:ascii="Calibri" w:eastAsia="Times New Roman" w:hAnsi="Calibri" w:cs="Calibri"/>
              </w:rPr>
            </w:pPr>
          </w:p>
        </w:tc>
      </w:tr>
      <w:tr w:rsidR="00F9536D" w:rsidRPr="00F9536D" w14:paraId="24E75C4E" w14:textId="77777777" w:rsidTr="00F9536D">
        <w:trPr>
          <w:trHeight w:val="300"/>
        </w:trPr>
        <w:tc>
          <w:tcPr>
            <w:tcW w:w="2237" w:type="dxa"/>
            <w:tcBorders>
              <w:top w:val="nil"/>
              <w:left w:val="nil"/>
              <w:bottom w:val="nil"/>
              <w:right w:val="nil"/>
            </w:tcBorders>
            <w:shd w:val="clear" w:color="auto" w:fill="auto"/>
            <w:noWrap/>
            <w:vAlign w:val="bottom"/>
            <w:hideMark/>
          </w:tcPr>
          <w:p w14:paraId="7454BC15" w14:textId="77777777" w:rsidR="00F9536D" w:rsidRPr="00F9536D" w:rsidRDefault="00F9536D" w:rsidP="00F9536D">
            <w:pPr>
              <w:spacing w:after="0" w:line="240" w:lineRule="auto"/>
              <w:jc w:val="center"/>
              <w:rPr>
                <w:rFonts w:ascii="Times New Roman" w:eastAsia="Times New Roman" w:hAnsi="Times New Roman" w:cs="Times New Roman"/>
                <w:sz w:val="20"/>
                <w:szCs w:val="20"/>
              </w:rPr>
            </w:pPr>
          </w:p>
        </w:tc>
        <w:tc>
          <w:tcPr>
            <w:tcW w:w="2838" w:type="dxa"/>
            <w:tcBorders>
              <w:top w:val="nil"/>
              <w:left w:val="nil"/>
              <w:bottom w:val="nil"/>
              <w:right w:val="nil"/>
            </w:tcBorders>
            <w:shd w:val="clear" w:color="auto" w:fill="auto"/>
            <w:noWrap/>
            <w:vAlign w:val="bottom"/>
            <w:hideMark/>
          </w:tcPr>
          <w:p w14:paraId="71C05BE0"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(43, 50]</w:t>
            </w:r>
          </w:p>
        </w:tc>
        <w:tc>
          <w:tcPr>
            <w:tcW w:w="2003" w:type="dxa"/>
            <w:tcBorders>
              <w:top w:val="nil"/>
              <w:left w:val="nil"/>
              <w:bottom w:val="nil"/>
              <w:right w:val="nil"/>
            </w:tcBorders>
            <w:shd w:val="clear" w:color="000000" w:fill="DDEBF7"/>
            <w:noWrap/>
            <w:vAlign w:val="bottom"/>
            <w:hideMark/>
          </w:tcPr>
          <w:p w14:paraId="7B919E53"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1.20</w:t>
            </w:r>
          </w:p>
        </w:tc>
        <w:tc>
          <w:tcPr>
            <w:tcW w:w="1442" w:type="dxa"/>
            <w:tcBorders>
              <w:top w:val="nil"/>
              <w:left w:val="nil"/>
              <w:bottom w:val="nil"/>
              <w:right w:val="nil"/>
            </w:tcBorders>
            <w:shd w:val="clear" w:color="000000" w:fill="DDEBF7"/>
            <w:noWrap/>
            <w:vAlign w:val="bottom"/>
            <w:hideMark/>
          </w:tcPr>
          <w:p w14:paraId="1C73E365"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Alternative</w:t>
            </w:r>
          </w:p>
        </w:tc>
      </w:tr>
      <w:tr w:rsidR="00F9536D" w:rsidRPr="00F9536D" w14:paraId="6314D087" w14:textId="77777777" w:rsidTr="00F9536D">
        <w:trPr>
          <w:trHeight w:val="300"/>
        </w:trPr>
        <w:tc>
          <w:tcPr>
            <w:tcW w:w="2237" w:type="dxa"/>
            <w:tcBorders>
              <w:top w:val="nil"/>
              <w:left w:val="nil"/>
              <w:bottom w:val="nil"/>
              <w:right w:val="nil"/>
            </w:tcBorders>
            <w:shd w:val="clear" w:color="auto" w:fill="auto"/>
            <w:noWrap/>
            <w:vAlign w:val="bottom"/>
            <w:hideMark/>
          </w:tcPr>
          <w:p w14:paraId="5ACCE22B"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010D708E"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GT 50</w:t>
            </w:r>
          </w:p>
        </w:tc>
        <w:tc>
          <w:tcPr>
            <w:tcW w:w="2003" w:type="dxa"/>
            <w:tcBorders>
              <w:top w:val="nil"/>
              <w:left w:val="nil"/>
              <w:bottom w:val="nil"/>
              <w:right w:val="nil"/>
            </w:tcBorders>
            <w:shd w:val="clear" w:color="000000" w:fill="FCE4D6"/>
            <w:noWrap/>
            <w:vAlign w:val="bottom"/>
            <w:hideMark/>
          </w:tcPr>
          <w:p w14:paraId="7BA39E65"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1.29</w:t>
            </w:r>
          </w:p>
        </w:tc>
        <w:tc>
          <w:tcPr>
            <w:tcW w:w="1442" w:type="dxa"/>
            <w:tcBorders>
              <w:top w:val="nil"/>
              <w:left w:val="nil"/>
              <w:bottom w:val="nil"/>
              <w:right w:val="nil"/>
            </w:tcBorders>
            <w:shd w:val="clear" w:color="000000" w:fill="FCE4D6"/>
            <w:noWrap/>
            <w:vAlign w:val="bottom"/>
            <w:hideMark/>
          </w:tcPr>
          <w:p w14:paraId="4F008C57"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High</w:t>
            </w:r>
          </w:p>
        </w:tc>
      </w:tr>
      <w:tr w:rsidR="00F9536D" w:rsidRPr="00F9536D" w14:paraId="60B88036" w14:textId="77777777" w:rsidTr="00F9536D">
        <w:trPr>
          <w:trHeight w:val="300"/>
        </w:trPr>
        <w:tc>
          <w:tcPr>
            <w:tcW w:w="2237" w:type="dxa"/>
            <w:tcBorders>
              <w:top w:val="nil"/>
              <w:left w:val="nil"/>
              <w:bottom w:val="nil"/>
              <w:right w:val="nil"/>
            </w:tcBorders>
            <w:shd w:val="clear" w:color="auto" w:fill="auto"/>
            <w:noWrap/>
            <w:vAlign w:val="bottom"/>
            <w:hideMark/>
          </w:tcPr>
          <w:p w14:paraId="3090AC9A" w14:textId="77777777" w:rsidR="00F9536D" w:rsidRPr="00F9536D" w:rsidRDefault="00F9536D"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hideMark/>
          </w:tcPr>
          <w:p w14:paraId="393A5674" w14:textId="77777777"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Missing</w:t>
            </w:r>
          </w:p>
        </w:tc>
        <w:tc>
          <w:tcPr>
            <w:tcW w:w="2003" w:type="dxa"/>
            <w:tcBorders>
              <w:top w:val="nil"/>
              <w:left w:val="nil"/>
              <w:bottom w:val="nil"/>
              <w:right w:val="nil"/>
            </w:tcBorders>
            <w:shd w:val="clear" w:color="auto" w:fill="auto"/>
            <w:noWrap/>
            <w:vAlign w:val="bottom"/>
            <w:hideMark/>
          </w:tcPr>
          <w:p w14:paraId="0E137710" w14:textId="7B5244ED" w:rsidR="00F9536D" w:rsidRPr="00F9536D" w:rsidRDefault="00F9536D" w:rsidP="00F9536D">
            <w:pPr>
              <w:spacing w:after="0" w:line="240" w:lineRule="auto"/>
              <w:jc w:val="center"/>
              <w:rPr>
                <w:rFonts w:ascii="Calibri" w:eastAsia="Times New Roman" w:hAnsi="Calibri" w:cs="Calibri"/>
              </w:rPr>
            </w:pPr>
            <w:r w:rsidRPr="00F9536D">
              <w:rPr>
                <w:rFonts w:ascii="Calibri" w:eastAsia="Times New Roman" w:hAnsi="Calibri" w:cs="Calibri"/>
              </w:rPr>
              <w:t>1.3</w:t>
            </w:r>
            <w:r w:rsidR="00EA3044">
              <w:rPr>
                <w:rFonts w:ascii="Calibri" w:eastAsia="Times New Roman" w:hAnsi="Calibri" w:cs="Calibri"/>
              </w:rPr>
              <w:t>4</w:t>
            </w:r>
          </w:p>
        </w:tc>
        <w:tc>
          <w:tcPr>
            <w:tcW w:w="1442" w:type="dxa"/>
            <w:tcBorders>
              <w:top w:val="nil"/>
              <w:left w:val="nil"/>
              <w:bottom w:val="nil"/>
              <w:right w:val="nil"/>
            </w:tcBorders>
            <w:shd w:val="clear" w:color="auto" w:fill="auto"/>
            <w:noWrap/>
            <w:vAlign w:val="bottom"/>
            <w:hideMark/>
          </w:tcPr>
          <w:p w14:paraId="1BCB48E7" w14:textId="77777777" w:rsidR="00F9536D" w:rsidRPr="00F9536D" w:rsidRDefault="00F9536D" w:rsidP="00F9536D">
            <w:pPr>
              <w:spacing w:after="0" w:line="240" w:lineRule="auto"/>
              <w:jc w:val="center"/>
              <w:rPr>
                <w:rFonts w:ascii="Calibri" w:eastAsia="Times New Roman" w:hAnsi="Calibri" w:cs="Calibri"/>
              </w:rPr>
            </w:pPr>
          </w:p>
        </w:tc>
      </w:tr>
      <w:tr w:rsidR="00EA3044" w:rsidRPr="00F9536D" w14:paraId="795A0E4E" w14:textId="77777777" w:rsidTr="00F9536D">
        <w:trPr>
          <w:trHeight w:val="300"/>
        </w:trPr>
        <w:tc>
          <w:tcPr>
            <w:tcW w:w="2237" w:type="dxa"/>
            <w:tcBorders>
              <w:top w:val="nil"/>
              <w:left w:val="nil"/>
              <w:bottom w:val="nil"/>
              <w:right w:val="nil"/>
            </w:tcBorders>
            <w:shd w:val="clear" w:color="auto" w:fill="auto"/>
            <w:noWrap/>
            <w:vAlign w:val="bottom"/>
          </w:tcPr>
          <w:p w14:paraId="7B8C9C9C" w14:textId="0932BC66" w:rsidR="00EA3044" w:rsidRPr="00F9536D" w:rsidRDefault="00EA3044" w:rsidP="00AB30CF">
            <w:pPr>
              <w:spacing w:after="0" w:line="240" w:lineRule="auto"/>
              <w:rPr>
                <w:rFonts w:ascii="Calibri" w:eastAsia="Times New Roman" w:hAnsi="Calibri" w:cs="Calibri"/>
              </w:rPr>
            </w:pPr>
            <w:r>
              <w:rPr>
                <w:rFonts w:ascii="Calibri" w:eastAsia="Times New Roman" w:hAnsi="Calibri" w:cs="Calibri"/>
              </w:rPr>
              <w:t>Cred_Union_Flg</w:t>
            </w:r>
          </w:p>
        </w:tc>
        <w:tc>
          <w:tcPr>
            <w:tcW w:w="2838" w:type="dxa"/>
            <w:tcBorders>
              <w:top w:val="nil"/>
              <w:left w:val="nil"/>
              <w:bottom w:val="nil"/>
              <w:right w:val="nil"/>
            </w:tcBorders>
            <w:shd w:val="clear" w:color="auto" w:fill="auto"/>
            <w:noWrap/>
            <w:vAlign w:val="bottom"/>
          </w:tcPr>
          <w:p w14:paraId="5C60F858" w14:textId="12C4B110" w:rsidR="00EA3044" w:rsidRPr="00F9536D" w:rsidRDefault="00EA3044" w:rsidP="00F9536D">
            <w:pPr>
              <w:spacing w:after="0" w:line="240" w:lineRule="auto"/>
              <w:jc w:val="center"/>
              <w:rPr>
                <w:rFonts w:ascii="Calibri" w:eastAsia="Times New Roman" w:hAnsi="Calibri" w:cs="Calibri"/>
              </w:rPr>
            </w:pPr>
            <w:r>
              <w:rPr>
                <w:rFonts w:ascii="Calibri" w:eastAsia="Times New Roman" w:hAnsi="Calibri" w:cs="Calibri"/>
              </w:rPr>
              <w:t>Other</w:t>
            </w:r>
          </w:p>
        </w:tc>
        <w:tc>
          <w:tcPr>
            <w:tcW w:w="2003" w:type="dxa"/>
            <w:tcBorders>
              <w:top w:val="nil"/>
              <w:left w:val="nil"/>
              <w:bottom w:val="nil"/>
              <w:right w:val="nil"/>
            </w:tcBorders>
            <w:shd w:val="clear" w:color="auto" w:fill="auto"/>
            <w:noWrap/>
            <w:vAlign w:val="bottom"/>
          </w:tcPr>
          <w:p w14:paraId="0F24228F" w14:textId="688A208D" w:rsidR="00EA3044" w:rsidRPr="00F9536D" w:rsidRDefault="00EA3044" w:rsidP="00F9536D">
            <w:pPr>
              <w:spacing w:after="0" w:line="240" w:lineRule="auto"/>
              <w:jc w:val="center"/>
              <w:rPr>
                <w:rFonts w:ascii="Calibri" w:eastAsia="Times New Roman" w:hAnsi="Calibri" w:cs="Calibri"/>
              </w:rPr>
            </w:pPr>
            <w:r>
              <w:rPr>
                <w:rFonts w:ascii="Calibri" w:eastAsia="Times New Roman" w:hAnsi="Calibri" w:cs="Calibri"/>
              </w:rPr>
              <w:t>1.00</w:t>
            </w:r>
          </w:p>
        </w:tc>
        <w:tc>
          <w:tcPr>
            <w:tcW w:w="1442" w:type="dxa"/>
            <w:tcBorders>
              <w:top w:val="nil"/>
              <w:left w:val="nil"/>
              <w:bottom w:val="nil"/>
              <w:right w:val="nil"/>
            </w:tcBorders>
            <w:shd w:val="clear" w:color="auto" w:fill="auto"/>
            <w:noWrap/>
            <w:vAlign w:val="bottom"/>
          </w:tcPr>
          <w:p w14:paraId="784E9293" w14:textId="77777777" w:rsidR="00EA3044" w:rsidRPr="00F9536D" w:rsidRDefault="00EA3044" w:rsidP="00F9536D">
            <w:pPr>
              <w:spacing w:after="0" w:line="240" w:lineRule="auto"/>
              <w:jc w:val="center"/>
              <w:rPr>
                <w:rFonts w:ascii="Calibri" w:eastAsia="Times New Roman" w:hAnsi="Calibri" w:cs="Calibri"/>
              </w:rPr>
            </w:pPr>
          </w:p>
        </w:tc>
      </w:tr>
      <w:tr w:rsidR="00EA3044" w:rsidRPr="00F9536D" w14:paraId="0D0BFC74" w14:textId="77777777" w:rsidTr="00AB30CF">
        <w:trPr>
          <w:trHeight w:val="300"/>
        </w:trPr>
        <w:tc>
          <w:tcPr>
            <w:tcW w:w="2237" w:type="dxa"/>
            <w:tcBorders>
              <w:top w:val="nil"/>
              <w:left w:val="nil"/>
              <w:bottom w:val="nil"/>
              <w:right w:val="nil"/>
            </w:tcBorders>
            <w:shd w:val="clear" w:color="auto" w:fill="auto"/>
            <w:noWrap/>
            <w:vAlign w:val="bottom"/>
          </w:tcPr>
          <w:p w14:paraId="4048D271" w14:textId="77777777" w:rsidR="00EA3044" w:rsidRPr="00F9536D" w:rsidRDefault="00EA3044" w:rsidP="00F9536D">
            <w:pPr>
              <w:spacing w:after="0" w:line="240" w:lineRule="auto"/>
              <w:jc w:val="center"/>
              <w:rPr>
                <w:rFonts w:ascii="Calibri" w:eastAsia="Times New Roman" w:hAnsi="Calibri" w:cs="Calibri"/>
              </w:rPr>
            </w:pPr>
          </w:p>
        </w:tc>
        <w:tc>
          <w:tcPr>
            <w:tcW w:w="2838" w:type="dxa"/>
            <w:tcBorders>
              <w:top w:val="nil"/>
              <w:left w:val="nil"/>
              <w:bottom w:val="nil"/>
              <w:right w:val="nil"/>
            </w:tcBorders>
            <w:shd w:val="clear" w:color="auto" w:fill="auto"/>
            <w:noWrap/>
            <w:vAlign w:val="bottom"/>
          </w:tcPr>
          <w:p w14:paraId="44BE07F3" w14:textId="04C088B0" w:rsidR="00EA3044" w:rsidRPr="00F9536D" w:rsidRDefault="00EA3044" w:rsidP="00F9536D">
            <w:pPr>
              <w:spacing w:after="0" w:line="240" w:lineRule="auto"/>
              <w:jc w:val="center"/>
              <w:rPr>
                <w:rFonts w:ascii="Calibri" w:eastAsia="Times New Roman" w:hAnsi="Calibri" w:cs="Calibri"/>
              </w:rPr>
            </w:pPr>
            <w:r>
              <w:rPr>
                <w:rFonts w:ascii="Calibri" w:eastAsia="Times New Roman" w:hAnsi="Calibri" w:cs="Calibri"/>
              </w:rPr>
              <w:t>Credit Union</w:t>
            </w:r>
          </w:p>
        </w:tc>
        <w:tc>
          <w:tcPr>
            <w:tcW w:w="2003" w:type="dxa"/>
            <w:tcBorders>
              <w:top w:val="nil"/>
              <w:left w:val="nil"/>
              <w:bottom w:val="nil"/>
              <w:right w:val="nil"/>
            </w:tcBorders>
            <w:shd w:val="clear" w:color="auto" w:fill="DFF4CB" w:themeFill="accent6" w:themeFillTint="33"/>
            <w:noWrap/>
            <w:vAlign w:val="bottom"/>
          </w:tcPr>
          <w:p w14:paraId="4943D962" w14:textId="40D64F0E" w:rsidR="00EA3044" w:rsidRPr="00F9536D" w:rsidRDefault="00EA3044" w:rsidP="00F9536D">
            <w:pPr>
              <w:spacing w:after="0" w:line="240" w:lineRule="auto"/>
              <w:jc w:val="center"/>
              <w:rPr>
                <w:rFonts w:ascii="Calibri" w:eastAsia="Times New Roman" w:hAnsi="Calibri" w:cs="Calibri"/>
              </w:rPr>
            </w:pPr>
            <w:r>
              <w:rPr>
                <w:rFonts w:ascii="Calibri" w:eastAsia="Times New Roman" w:hAnsi="Calibri" w:cs="Calibri"/>
              </w:rPr>
              <w:t>0.54</w:t>
            </w:r>
          </w:p>
        </w:tc>
        <w:tc>
          <w:tcPr>
            <w:tcW w:w="1442" w:type="dxa"/>
            <w:tcBorders>
              <w:top w:val="nil"/>
              <w:left w:val="nil"/>
              <w:bottom w:val="nil"/>
              <w:right w:val="nil"/>
            </w:tcBorders>
            <w:shd w:val="clear" w:color="auto" w:fill="DFF4CB" w:themeFill="accent6" w:themeFillTint="33"/>
            <w:noWrap/>
            <w:vAlign w:val="bottom"/>
          </w:tcPr>
          <w:p w14:paraId="4AF751DA" w14:textId="4E047410" w:rsidR="00EA3044" w:rsidRPr="00F9536D" w:rsidRDefault="00EA3044" w:rsidP="00F9536D">
            <w:pPr>
              <w:spacing w:after="0" w:line="240" w:lineRule="auto"/>
              <w:jc w:val="center"/>
              <w:rPr>
                <w:rFonts w:ascii="Calibri" w:eastAsia="Times New Roman" w:hAnsi="Calibri" w:cs="Calibri"/>
              </w:rPr>
            </w:pPr>
            <w:r>
              <w:rPr>
                <w:rFonts w:ascii="Calibri" w:eastAsia="Times New Roman" w:hAnsi="Calibri" w:cs="Calibri"/>
              </w:rPr>
              <w:t>Offset</w:t>
            </w:r>
          </w:p>
        </w:tc>
      </w:tr>
    </w:tbl>
    <w:p w14:paraId="6E34E4B1" w14:textId="441D9CE2" w:rsidR="00F134C2" w:rsidRPr="002E10C5" w:rsidRDefault="00F9536D" w:rsidP="00AB30CF">
      <w:pPr>
        <w:spacing w:after="0" w:line="240" w:lineRule="auto"/>
        <w:jc w:val="center"/>
        <w:rPr>
          <w:sz w:val="20"/>
          <w:szCs w:val="20"/>
        </w:rPr>
      </w:pPr>
      <w:r>
        <w:rPr>
          <w:sz w:val="20"/>
          <w:szCs w:val="20"/>
        </w:rPr>
        <w:t xml:space="preserve">  </w:t>
      </w:r>
    </w:p>
    <w:p w14:paraId="6BCA047B" w14:textId="5E0A829C" w:rsidR="00B5130C" w:rsidRPr="002E10C5" w:rsidRDefault="00B5130C" w:rsidP="00B5130C">
      <w:pPr>
        <w:spacing w:after="120" w:line="288" w:lineRule="auto"/>
        <w:jc w:val="both"/>
        <w:rPr>
          <w:i/>
          <w:sz w:val="20"/>
          <w:szCs w:val="20"/>
        </w:rPr>
      </w:pPr>
      <w:r w:rsidRPr="002E10C5">
        <w:rPr>
          <w:i/>
          <w:sz w:val="20"/>
          <w:szCs w:val="20"/>
        </w:rPr>
        <w:t>E.2.ii Economic Factor</w:t>
      </w:r>
    </w:p>
    <w:p w14:paraId="4CC44C04" w14:textId="33435579" w:rsidR="00A3071B" w:rsidRDefault="002E10C5" w:rsidP="000E347C">
      <w:pPr>
        <w:spacing w:after="120" w:line="288" w:lineRule="auto"/>
        <w:jc w:val="both"/>
        <w:rPr>
          <w:sz w:val="20"/>
          <w:szCs w:val="20"/>
        </w:rPr>
      </w:pPr>
      <w:r>
        <w:rPr>
          <w:sz w:val="20"/>
          <w:szCs w:val="20"/>
        </w:rPr>
        <w:t xml:space="preserve">An important criteria for the RBC capital model is to introduce a countercyclical component to the model framework. The countercyclical component is incorporated into the framework through the economic factor. The economic factor is measured using two economic data series: </w:t>
      </w:r>
      <w:r w:rsidR="002E36FB">
        <w:rPr>
          <w:sz w:val="20"/>
          <w:szCs w:val="20"/>
        </w:rPr>
        <w:t>per capita</w:t>
      </w:r>
      <w:r>
        <w:rPr>
          <w:sz w:val="20"/>
          <w:szCs w:val="20"/>
        </w:rPr>
        <w:t xml:space="preserve"> income and the FHFA conventional and conforming home price index. </w:t>
      </w:r>
      <w:r w:rsidR="00E274FC">
        <w:rPr>
          <w:sz w:val="20"/>
          <w:szCs w:val="20"/>
        </w:rPr>
        <w:t xml:space="preserve">The model compares the rolling four-year change in income relative to the four-year change in home prices. </w:t>
      </w:r>
    </w:p>
    <w:p w14:paraId="0B7F2734" w14:textId="6D045556" w:rsidR="00E274FC" w:rsidRDefault="00A3071B" w:rsidP="000E347C">
      <w:pPr>
        <w:spacing w:after="120" w:line="288" w:lineRule="auto"/>
        <w:jc w:val="both"/>
        <w:rPr>
          <w:sz w:val="20"/>
          <w:szCs w:val="20"/>
        </w:rPr>
      </w:pPr>
      <w:r>
        <w:rPr>
          <w:sz w:val="20"/>
          <w:szCs w:val="20"/>
        </w:rPr>
        <w:t>Historical data shows</w:t>
      </w:r>
      <w:r w:rsidR="00E274FC">
        <w:rPr>
          <w:sz w:val="20"/>
          <w:szCs w:val="20"/>
        </w:rPr>
        <w:t xml:space="preserve"> when the growth in home prices exceeds the growth in income by a significant margin, there </w:t>
      </w:r>
      <w:r w:rsidR="002D1CAF">
        <w:rPr>
          <w:sz w:val="20"/>
          <w:szCs w:val="20"/>
        </w:rPr>
        <w:t xml:space="preserve">tends to be a correction in house prices that restores the long-term relationship between home prices and </w:t>
      </w:r>
      <w:r w:rsidR="002E36FB">
        <w:rPr>
          <w:sz w:val="20"/>
          <w:szCs w:val="20"/>
        </w:rPr>
        <w:t>per capita</w:t>
      </w:r>
      <w:r w:rsidR="002D1CAF">
        <w:rPr>
          <w:sz w:val="20"/>
          <w:szCs w:val="20"/>
        </w:rPr>
        <w:t xml:space="preserve"> income. </w:t>
      </w:r>
    </w:p>
    <w:p w14:paraId="2F2DA145" w14:textId="018F3DE4" w:rsidR="00B11A0B" w:rsidRDefault="00B11A0B" w:rsidP="000E347C">
      <w:pPr>
        <w:spacing w:after="120" w:line="288" w:lineRule="auto"/>
        <w:jc w:val="both"/>
        <w:rPr>
          <w:sz w:val="20"/>
          <w:szCs w:val="20"/>
        </w:rPr>
      </w:pPr>
      <w:r>
        <w:rPr>
          <w:sz w:val="20"/>
          <w:szCs w:val="20"/>
        </w:rPr>
        <w:t xml:space="preserve">The data used for the calculation is performed at the State-level using data that is publicly available. Note, State-level income data is published with a one-year lag. That is, 2018 income </w:t>
      </w:r>
      <w:r w:rsidR="00F86B28">
        <w:rPr>
          <w:sz w:val="20"/>
          <w:szCs w:val="20"/>
        </w:rPr>
        <w:t>data would not be collected and published until 2019. Therefore, there is a one-year lag in the data series. The steps below provide a sample of the calculation for California for origination years 2005 through 2008</w:t>
      </w:r>
      <w:r w:rsidR="00C1354A">
        <w:rPr>
          <w:sz w:val="20"/>
          <w:szCs w:val="20"/>
        </w:rPr>
        <w:t xml:space="preserve"> using annual data for demonstration purposes. In application of the model, this calculation would be performed using quarterly data</w:t>
      </w:r>
      <w:r w:rsidR="00497D53">
        <w:rPr>
          <w:sz w:val="20"/>
          <w:szCs w:val="20"/>
        </w:rPr>
        <w:t xml:space="preserve"> series</w:t>
      </w:r>
      <w:r w:rsidR="00F86B28">
        <w:rPr>
          <w:sz w:val="20"/>
          <w:szCs w:val="20"/>
        </w:rPr>
        <w:t>.</w:t>
      </w:r>
    </w:p>
    <w:tbl>
      <w:tblPr>
        <w:tblStyle w:val="TableGrid"/>
        <w:tblW w:w="0" w:type="auto"/>
        <w:tblLook w:val="04A0" w:firstRow="1" w:lastRow="0" w:firstColumn="1" w:lastColumn="0" w:noHBand="0" w:noVBand="1"/>
      </w:tblPr>
      <w:tblGrid>
        <w:gridCol w:w="1173"/>
        <w:gridCol w:w="817"/>
        <w:gridCol w:w="818"/>
        <w:gridCol w:w="67"/>
        <w:gridCol w:w="751"/>
        <w:gridCol w:w="817"/>
        <w:gridCol w:w="818"/>
        <w:gridCol w:w="818"/>
        <w:gridCol w:w="817"/>
        <w:gridCol w:w="818"/>
        <w:gridCol w:w="818"/>
        <w:gridCol w:w="818"/>
      </w:tblGrid>
      <w:tr w:rsidR="002221A8" w14:paraId="4752AD84" w14:textId="77777777" w:rsidTr="002221A8">
        <w:tc>
          <w:tcPr>
            <w:tcW w:w="1173" w:type="dxa"/>
          </w:tcPr>
          <w:p w14:paraId="5E5E58C5" w14:textId="77777777" w:rsidR="002221A8" w:rsidRPr="00F86B28" w:rsidRDefault="002221A8" w:rsidP="00F86B28">
            <w:pPr>
              <w:spacing w:after="120" w:line="288" w:lineRule="auto"/>
              <w:jc w:val="right"/>
              <w:rPr>
                <w:sz w:val="18"/>
                <w:szCs w:val="20"/>
              </w:rPr>
            </w:pPr>
          </w:p>
        </w:tc>
        <w:tc>
          <w:tcPr>
            <w:tcW w:w="817" w:type="dxa"/>
          </w:tcPr>
          <w:p w14:paraId="5B66524C" w14:textId="13145994" w:rsidR="002221A8" w:rsidRPr="00F86B28" w:rsidRDefault="002221A8" w:rsidP="00F86B28">
            <w:pPr>
              <w:spacing w:after="120" w:line="288" w:lineRule="auto"/>
              <w:jc w:val="right"/>
              <w:rPr>
                <w:sz w:val="18"/>
                <w:szCs w:val="20"/>
              </w:rPr>
            </w:pPr>
            <w:r>
              <w:rPr>
                <w:sz w:val="18"/>
                <w:szCs w:val="20"/>
              </w:rPr>
              <w:t>1999</w:t>
            </w:r>
          </w:p>
        </w:tc>
        <w:tc>
          <w:tcPr>
            <w:tcW w:w="818" w:type="dxa"/>
          </w:tcPr>
          <w:p w14:paraId="35158C28" w14:textId="7FCFA127" w:rsidR="002221A8" w:rsidRPr="00F86B28" w:rsidRDefault="002221A8" w:rsidP="00F86B28">
            <w:pPr>
              <w:spacing w:after="120" w:line="288" w:lineRule="auto"/>
              <w:jc w:val="right"/>
              <w:rPr>
                <w:sz w:val="18"/>
                <w:szCs w:val="20"/>
              </w:rPr>
            </w:pPr>
            <w:r w:rsidRPr="00F86B28">
              <w:rPr>
                <w:sz w:val="18"/>
                <w:szCs w:val="20"/>
              </w:rPr>
              <w:t>2000</w:t>
            </w:r>
          </w:p>
        </w:tc>
        <w:tc>
          <w:tcPr>
            <w:tcW w:w="818" w:type="dxa"/>
            <w:gridSpan w:val="2"/>
          </w:tcPr>
          <w:p w14:paraId="16AE9ABF" w14:textId="4867AFAC" w:rsidR="002221A8" w:rsidRPr="00F86B28" w:rsidRDefault="002221A8" w:rsidP="00F86B28">
            <w:pPr>
              <w:spacing w:after="120" w:line="288" w:lineRule="auto"/>
              <w:jc w:val="right"/>
              <w:rPr>
                <w:sz w:val="18"/>
                <w:szCs w:val="20"/>
              </w:rPr>
            </w:pPr>
            <w:r w:rsidRPr="00F86B28">
              <w:rPr>
                <w:sz w:val="18"/>
                <w:szCs w:val="20"/>
              </w:rPr>
              <w:t>2001</w:t>
            </w:r>
          </w:p>
        </w:tc>
        <w:tc>
          <w:tcPr>
            <w:tcW w:w="817" w:type="dxa"/>
          </w:tcPr>
          <w:p w14:paraId="43735E6A" w14:textId="07F319BF" w:rsidR="002221A8" w:rsidRPr="00F86B28" w:rsidRDefault="002221A8" w:rsidP="00F86B28">
            <w:pPr>
              <w:spacing w:after="120" w:line="288" w:lineRule="auto"/>
              <w:jc w:val="right"/>
              <w:rPr>
                <w:sz w:val="18"/>
                <w:szCs w:val="20"/>
              </w:rPr>
            </w:pPr>
            <w:r w:rsidRPr="00F86B28">
              <w:rPr>
                <w:sz w:val="18"/>
                <w:szCs w:val="20"/>
              </w:rPr>
              <w:t>2002</w:t>
            </w:r>
          </w:p>
        </w:tc>
        <w:tc>
          <w:tcPr>
            <w:tcW w:w="818" w:type="dxa"/>
          </w:tcPr>
          <w:p w14:paraId="3BF9D7DC" w14:textId="5A0D3B3B" w:rsidR="002221A8" w:rsidRPr="00F86B28" w:rsidRDefault="002221A8" w:rsidP="00F86B28">
            <w:pPr>
              <w:spacing w:after="120" w:line="288" w:lineRule="auto"/>
              <w:jc w:val="right"/>
              <w:rPr>
                <w:sz w:val="18"/>
                <w:szCs w:val="20"/>
              </w:rPr>
            </w:pPr>
            <w:r w:rsidRPr="00F86B28">
              <w:rPr>
                <w:sz w:val="18"/>
                <w:szCs w:val="20"/>
              </w:rPr>
              <w:t>2003</w:t>
            </w:r>
          </w:p>
        </w:tc>
        <w:tc>
          <w:tcPr>
            <w:tcW w:w="818" w:type="dxa"/>
          </w:tcPr>
          <w:p w14:paraId="7ADAD41B" w14:textId="7C714FC9" w:rsidR="002221A8" w:rsidRPr="00F86B28" w:rsidRDefault="002221A8" w:rsidP="00F86B28">
            <w:pPr>
              <w:spacing w:after="120" w:line="288" w:lineRule="auto"/>
              <w:jc w:val="right"/>
              <w:rPr>
                <w:sz w:val="18"/>
                <w:szCs w:val="20"/>
              </w:rPr>
            </w:pPr>
            <w:r w:rsidRPr="00F86B28">
              <w:rPr>
                <w:sz w:val="18"/>
                <w:szCs w:val="20"/>
              </w:rPr>
              <w:t>2004</w:t>
            </w:r>
          </w:p>
        </w:tc>
        <w:tc>
          <w:tcPr>
            <w:tcW w:w="817" w:type="dxa"/>
          </w:tcPr>
          <w:p w14:paraId="38081110" w14:textId="4A05983F" w:rsidR="002221A8" w:rsidRPr="00F86B28" w:rsidRDefault="002221A8" w:rsidP="00F86B28">
            <w:pPr>
              <w:spacing w:after="120" w:line="288" w:lineRule="auto"/>
              <w:jc w:val="right"/>
              <w:rPr>
                <w:sz w:val="18"/>
                <w:szCs w:val="20"/>
              </w:rPr>
            </w:pPr>
            <w:r w:rsidRPr="00F86B28">
              <w:rPr>
                <w:sz w:val="18"/>
                <w:szCs w:val="20"/>
              </w:rPr>
              <w:t>2005</w:t>
            </w:r>
          </w:p>
        </w:tc>
        <w:tc>
          <w:tcPr>
            <w:tcW w:w="818" w:type="dxa"/>
          </w:tcPr>
          <w:p w14:paraId="28835307" w14:textId="14B0AD50" w:rsidR="002221A8" w:rsidRPr="00F86B28" w:rsidRDefault="002221A8" w:rsidP="00F86B28">
            <w:pPr>
              <w:spacing w:after="120" w:line="288" w:lineRule="auto"/>
              <w:jc w:val="right"/>
              <w:rPr>
                <w:sz w:val="18"/>
                <w:szCs w:val="20"/>
              </w:rPr>
            </w:pPr>
            <w:r w:rsidRPr="00F86B28">
              <w:rPr>
                <w:sz w:val="18"/>
                <w:szCs w:val="20"/>
              </w:rPr>
              <w:t>2006</w:t>
            </w:r>
          </w:p>
        </w:tc>
        <w:tc>
          <w:tcPr>
            <w:tcW w:w="818" w:type="dxa"/>
          </w:tcPr>
          <w:p w14:paraId="51150092" w14:textId="0D662A95" w:rsidR="002221A8" w:rsidRPr="00F86B28" w:rsidRDefault="002221A8" w:rsidP="00F86B28">
            <w:pPr>
              <w:spacing w:after="120" w:line="288" w:lineRule="auto"/>
              <w:jc w:val="right"/>
              <w:rPr>
                <w:sz w:val="18"/>
                <w:szCs w:val="20"/>
              </w:rPr>
            </w:pPr>
            <w:r w:rsidRPr="00F86B28">
              <w:rPr>
                <w:sz w:val="18"/>
                <w:szCs w:val="20"/>
              </w:rPr>
              <w:t>2007</w:t>
            </w:r>
          </w:p>
        </w:tc>
        <w:tc>
          <w:tcPr>
            <w:tcW w:w="818" w:type="dxa"/>
          </w:tcPr>
          <w:p w14:paraId="2DC3B064" w14:textId="47BA4C91" w:rsidR="002221A8" w:rsidRPr="00F86B28" w:rsidRDefault="002221A8" w:rsidP="00F86B28">
            <w:pPr>
              <w:spacing w:after="120" w:line="288" w:lineRule="auto"/>
              <w:jc w:val="right"/>
              <w:rPr>
                <w:sz w:val="18"/>
                <w:szCs w:val="20"/>
              </w:rPr>
            </w:pPr>
            <w:r w:rsidRPr="00F86B28">
              <w:rPr>
                <w:sz w:val="18"/>
                <w:szCs w:val="20"/>
              </w:rPr>
              <w:t>2008</w:t>
            </w:r>
          </w:p>
        </w:tc>
      </w:tr>
      <w:tr w:rsidR="002221A8" w14:paraId="679BFABD" w14:textId="77777777" w:rsidTr="002221A8">
        <w:trPr>
          <w:trHeight w:val="497"/>
        </w:trPr>
        <w:tc>
          <w:tcPr>
            <w:tcW w:w="1173" w:type="dxa"/>
            <w:vMerge w:val="restart"/>
            <w:vAlign w:val="center"/>
          </w:tcPr>
          <w:p w14:paraId="49D77BD7" w14:textId="041DB658" w:rsidR="002221A8" w:rsidRPr="00F86B28" w:rsidRDefault="002221A8" w:rsidP="00633FDB">
            <w:pPr>
              <w:spacing w:line="288" w:lineRule="auto"/>
              <w:rPr>
                <w:sz w:val="18"/>
                <w:szCs w:val="20"/>
              </w:rPr>
            </w:pPr>
            <w:r>
              <w:rPr>
                <w:sz w:val="18"/>
                <w:szCs w:val="20"/>
              </w:rPr>
              <w:t>Per capita</w:t>
            </w:r>
            <w:r w:rsidRPr="00F86B28">
              <w:rPr>
                <w:sz w:val="18"/>
                <w:szCs w:val="20"/>
              </w:rPr>
              <w:t xml:space="preserve"> Income</w:t>
            </w:r>
          </w:p>
        </w:tc>
        <w:tc>
          <w:tcPr>
            <w:tcW w:w="817" w:type="dxa"/>
          </w:tcPr>
          <w:p w14:paraId="09D481B1" w14:textId="383D28E3" w:rsidR="002221A8" w:rsidRDefault="002221A8" w:rsidP="00F86B28">
            <w:pPr>
              <w:spacing w:after="120" w:line="288" w:lineRule="auto"/>
              <w:jc w:val="right"/>
              <w:rPr>
                <w:sz w:val="18"/>
                <w:szCs w:val="20"/>
              </w:rPr>
            </w:pPr>
            <w:r>
              <w:rPr>
                <w:sz w:val="18"/>
                <w:szCs w:val="20"/>
              </w:rPr>
              <w:t>30,641</w:t>
            </w:r>
          </w:p>
        </w:tc>
        <w:tc>
          <w:tcPr>
            <w:tcW w:w="818" w:type="dxa"/>
          </w:tcPr>
          <w:p w14:paraId="7ECC53FE" w14:textId="5BB27EA3" w:rsidR="002221A8" w:rsidRPr="00F86B28" w:rsidRDefault="002221A8" w:rsidP="00F86B28">
            <w:pPr>
              <w:spacing w:after="120" w:line="288" w:lineRule="auto"/>
              <w:jc w:val="right"/>
              <w:rPr>
                <w:sz w:val="18"/>
                <w:szCs w:val="20"/>
              </w:rPr>
            </w:pPr>
            <w:r>
              <w:rPr>
                <w:sz w:val="18"/>
                <w:szCs w:val="20"/>
              </w:rPr>
              <w:t>33,338</w:t>
            </w:r>
          </w:p>
        </w:tc>
        <w:tc>
          <w:tcPr>
            <w:tcW w:w="818" w:type="dxa"/>
            <w:gridSpan w:val="2"/>
          </w:tcPr>
          <w:p w14:paraId="3AC4EC19" w14:textId="3DC53F2F" w:rsidR="002221A8" w:rsidRDefault="002221A8" w:rsidP="00F86B28">
            <w:pPr>
              <w:spacing w:after="120" w:line="288" w:lineRule="auto"/>
              <w:jc w:val="right"/>
              <w:rPr>
                <w:sz w:val="18"/>
                <w:szCs w:val="20"/>
              </w:rPr>
            </w:pPr>
            <w:r>
              <w:rPr>
                <w:sz w:val="18"/>
                <w:szCs w:val="20"/>
              </w:rPr>
              <w:t>34,036</w:t>
            </w:r>
          </w:p>
        </w:tc>
        <w:tc>
          <w:tcPr>
            <w:tcW w:w="817" w:type="dxa"/>
          </w:tcPr>
          <w:p w14:paraId="721366AD" w14:textId="6C639B7B" w:rsidR="002221A8" w:rsidRPr="00F86B28" w:rsidRDefault="002221A8" w:rsidP="00F86B28">
            <w:pPr>
              <w:spacing w:after="120" w:line="288" w:lineRule="auto"/>
              <w:jc w:val="right"/>
              <w:rPr>
                <w:sz w:val="18"/>
                <w:szCs w:val="20"/>
              </w:rPr>
            </w:pPr>
            <w:r>
              <w:rPr>
                <w:sz w:val="18"/>
                <w:szCs w:val="20"/>
              </w:rPr>
              <w:t>34,185</w:t>
            </w:r>
          </w:p>
        </w:tc>
        <w:tc>
          <w:tcPr>
            <w:tcW w:w="818" w:type="dxa"/>
          </w:tcPr>
          <w:p w14:paraId="7A4104CD" w14:textId="32D9B933" w:rsidR="002221A8" w:rsidRPr="00F86B28" w:rsidRDefault="002221A8" w:rsidP="00F86B28">
            <w:pPr>
              <w:spacing w:after="120" w:line="288" w:lineRule="auto"/>
              <w:jc w:val="right"/>
              <w:rPr>
                <w:sz w:val="18"/>
                <w:szCs w:val="20"/>
              </w:rPr>
            </w:pPr>
            <w:r>
              <w:rPr>
                <w:sz w:val="18"/>
                <w:szCs w:val="20"/>
              </w:rPr>
              <w:t>35,409</w:t>
            </w:r>
          </w:p>
        </w:tc>
        <w:tc>
          <w:tcPr>
            <w:tcW w:w="818" w:type="dxa"/>
          </w:tcPr>
          <w:p w14:paraId="5629D735" w14:textId="2F4FA0C0" w:rsidR="002221A8" w:rsidRPr="00F86B28" w:rsidRDefault="002221A8" w:rsidP="00F86B28">
            <w:pPr>
              <w:spacing w:after="120" w:line="288" w:lineRule="auto"/>
              <w:jc w:val="right"/>
              <w:rPr>
                <w:sz w:val="18"/>
                <w:szCs w:val="20"/>
              </w:rPr>
            </w:pPr>
            <w:r>
              <w:rPr>
                <w:sz w:val="18"/>
                <w:szCs w:val="20"/>
              </w:rPr>
              <w:t>37,327</w:t>
            </w:r>
          </w:p>
        </w:tc>
        <w:tc>
          <w:tcPr>
            <w:tcW w:w="817" w:type="dxa"/>
          </w:tcPr>
          <w:p w14:paraId="076A186E" w14:textId="24738074" w:rsidR="002221A8" w:rsidRPr="00F86B28" w:rsidRDefault="002221A8" w:rsidP="00F86B28">
            <w:pPr>
              <w:spacing w:after="120" w:line="288" w:lineRule="auto"/>
              <w:jc w:val="right"/>
              <w:rPr>
                <w:sz w:val="18"/>
                <w:szCs w:val="20"/>
              </w:rPr>
            </w:pPr>
            <w:r>
              <w:rPr>
                <w:sz w:val="18"/>
                <w:szCs w:val="20"/>
              </w:rPr>
              <w:t>39,296</w:t>
            </w:r>
          </w:p>
        </w:tc>
        <w:tc>
          <w:tcPr>
            <w:tcW w:w="818" w:type="dxa"/>
          </w:tcPr>
          <w:p w14:paraId="3243567F" w14:textId="2F4EE0BD" w:rsidR="002221A8" w:rsidRPr="00F86B28" w:rsidRDefault="002221A8" w:rsidP="00F86B28">
            <w:pPr>
              <w:spacing w:after="120" w:line="288" w:lineRule="auto"/>
              <w:jc w:val="right"/>
              <w:rPr>
                <w:sz w:val="18"/>
                <w:szCs w:val="20"/>
              </w:rPr>
            </w:pPr>
            <w:r>
              <w:rPr>
                <w:sz w:val="18"/>
                <w:szCs w:val="20"/>
              </w:rPr>
              <w:t>42,111</w:t>
            </w:r>
          </w:p>
        </w:tc>
        <w:tc>
          <w:tcPr>
            <w:tcW w:w="818" w:type="dxa"/>
          </w:tcPr>
          <w:p w14:paraId="22C5448E" w14:textId="0BF691AF" w:rsidR="002221A8" w:rsidRPr="00F86B28" w:rsidRDefault="002221A8" w:rsidP="00F86B28">
            <w:pPr>
              <w:spacing w:after="120" w:line="288" w:lineRule="auto"/>
              <w:jc w:val="right"/>
              <w:rPr>
                <w:sz w:val="18"/>
                <w:szCs w:val="20"/>
              </w:rPr>
            </w:pPr>
            <w:r>
              <w:rPr>
                <w:sz w:val="18"/>
                <w:szCs w:val="20"/>
              </w:rPr>
              <w:t>43,615</w:t>
            </w:r>
          </w:p>
        </w:tc>
        <w:tc>
          <w:tcPr>
            <w:tcW w:w="818" w:type="dxa"/>
          </w:tcPr>
          <w:p w14:paraId="329A6185" w14:textId="074A1066" w:rsidR="002221A8" w:rsidRPr="00F86B28" w:rsidRDefault="002221A8" w:rsidP="00F86B28">
            <w:pPr>
              <w:spacing w:after="120" w:line="288" w:lineRule="auto"/>
              <w:jc w:val="right"/>
              <w:rPr>
                <w:sz w:val="18"/>
                <w:szCs w:val="20"/>
              </w:rPr>
            </w:pPr>
            <w:r>
              <w:rPr>
                <w:sz w:val="18"/>
                <w:szCs w:val="20"/>
              </w:rPr>
              <w:t>43,843</w:t>
            </w:r>
          </w:p>
        </w:tc>
      </w:tr>
      <w:tr w:rsidR="002221A8" w14:paraId="1CAD1BB4" w14:textId="77777777" w:rsidTr="009834CE">
        <w:trPr>
          <w:trHeight w:val="497"/>
        </w:trPr>
        <w:tc>
          <w:tcPr>
            <w:tcW w:w="1173" w:type="dxa"/>
            <w:vMerge/>
            <w:vAlign w:val="center"/>
          </w:tcPr>
          <w:p w14:paraId="16C86026" w14:textId="77777777" w:rsidR="002221A8" w:rsidRPr="00F86B28" w:rsidRDefault="002221A8" w:rsidP="00633FDB">
            <w:pPr>
              <w:spacing w:after="120" w:line="288" w:lineRule="auto"/>
              <w:rPr>
                <w:sz w:val="18"/>
                <w:szCs w:val="20"/>
              </w:rPr>
            </w:pPr>
          </w:p>
        </w:tc>
        <w:tc>
          <w:tcPr>
            <w:tcW w:w="4088" w:type="dxa"/>
            <w:gridSpan w:val="6"/>
            <w:shd w:val="clear" w:color="auto" w:fill="BFBFBF" w:themeFill="background1" w:themeFillShade="BF"/>
          </w:tcPr>
          <w:p w14:paraId="5E0F6529" w14:textId="38801A13" w:rsidR="002221A8" w:rsidRDefault="002221A8" w:rsidP="00F86B28">
            <w:pPr>
              <w:spacing w:after="120" w:line="288" w:lineRule="auto"/>
              <w:jc w:val="right"/>
              <w:rPr>
                <w:sz w:val="18"/>
                <w:szCs w:val="20"/>
              </w:rPr>
            </w:pPr>
            <w:r>
              <w:rPr>
                <w:sz w:val="18"/>
                <w:szCs w:val="20"/>
              </w:rPr>
              <w:t xml:space="preserve">4 Year Percentage Change </w:t>
            </w:r>
          </w:p>
          <w:p w14:paraId="7FC5E21D" w14:textId="3278C44C" w:rsidR="002221A8" w:rsidRPr="00F86B28" w:rsidRDefault="002221A8" w:rsidP="00F86B28">
            <w:pPr>
              <w:spacing w:after="120" w:line="288" w:lineRule="auto"/>
              <w:jc w:val="right"/>
              <w:rPr>
                <w:sz w:val="18"/>
                <w:szCs w:val="20"/>
              </w:rPr>
            </w:pPr>
            <w:r>
              <w:rPr>
                <w:sz w:val="18"/>
                <w:szCs w:val="20"/>
              </w:rPr>
              <w:t>(A)</w:t>
            </w:r>
          </w:p>
        </w:tc>
        <w:tc>
          <w:tcPr>
            <w:tcW w:w="818" w:type="dxa"/>
          </w:tcPr>
          <w:p w14:paraId="65807A87" w14:textId="4A093672" w:rsidR="002221A8" w:rsidRPr="00F86B28" w:rsidRDefault="002221A8" w:rsidP="00F86B28">
            <w:pPr>
              <w:spacing w:after="120" w:line="288" w:lineRule="auto"/>
              <w:jc w:val="right"/>
              <w:rPr>
                <w:sz w:val="18"/>
                <w:szCs w:val="20"/>
              </w:rPr>
            </w:pPr>
            <w:r>
              <w:rPr>
                <w:sz w:val="18"/>
                <w:szCs w:val="20"/>
              </w:rPr>
              <w:t>15.6%</w:t>
            </w:r>
          </w:p>
        </w:tc>
        <w:tc>
          <w:tcPr>
            <w:tcW w:w="817" w:type="dxa"/>
          </w:tcPr>
          <w:p w14:paraId="0CE980F6" w14:textId="322A6235" w:rsidR="002221A8" w:rsidRPr="00F86B28" w:rsidRDefault="002221A8" w:rsidP="00F86B28">
            <w:pPr>
              <w:spacing w:after="120" w:line="288" w:lineRule="auto"/>
              <w:jc w:val="right"/>
              <w:rPr>
                <w:sz w:val="18"/>
                <w:szCs w:val="20"/>
              </w:rPr>
            </w:pPr>
            <w:r>
              <w:rPr>
                <w:sz w:val="18"/>
                <w:szCs w:val="20"/>
              </w:rPr>
              <w:t>12.0%</w:t>
            </w:r>
          </w:p>
        </w:tc>
        <w:tc>
          <w:tcPr>
            <w:tcW w:w="818" w:type="dxa"/>
          </w:tcPr>
          <w:p w14:paraId="750510C4" w14:textId="47B22A4C" w:rsidR="002221A8" w:rsidRPr="00F86B28" w:rsidRDefault="002221A8" w:rsidP="00F86B28">
            <w:pPr>
              <w:spacing w:after="120" w:line="288" w:lineRule="auto"/>
              <w:jc w:val="right"/>
              <w:rPr>
                <w:sz w:val="18"/>
                <w:szCs w:val="20"/>
              </w:rPr>
            </w:pPr>
            <w:r>
              <w:rPr>
                <w:sz w:val="18"/>
                <w:szCs w:val="20"/>
              </w:rPr>
              <w:t>15.5%</w:t>
            </w:r>
          </w:p>
        </w:tc>
        <w:tc>
          <w:tcPr>
            <w:tcW w:w="818" w:type="dxa"/>
          </w:tcPr>
          <w:p w14:paraId="5E612045" w14:textId="58CFE400" w:rsidR="002221A8" w:rsidRPr="00F86B28" w:rsidRDefault="002221A8" w:rsidP="00F86B28">
            <w:pPr>
              <w:spacing w:after="120" w:line="288" w:lineRule="auto"/>
              <w:jc w:val="right"/>
              <w:rPr>
                <w:sz w:val="18"/>
                <w:szCs w:val="20"/>
              </w:rPr>
            </w:pPr>
            <w:r>
              <w:rPr>
                <w:sz w:val="18"/>
                <w:szCs w:val="20"/>
              </w:rPr>
              <w:t>23.2%</w:t>
            </w:r>
          </w:p>
        </w:tc>
        <w:tc>
          <w:tcPr>
            <w:tcW w:w="818" w:type="dxa"/>
          </w:tcPr>
          <w:p w14:paraId="201D3CAA" w14:textId="671963E4" w:rsidR="002221A8" w:rsidRPr="00F86B28" w:rsidRDefault="002221A8" w:rsidP="00F86B28">
            <w:pPr>
              <w:spacing w:after="120" w:line="288" w:lineRule="auto"/>
              <w:jc w:val="right"/>
              <w:rPr>
                <w:sz w:val="18"/>
                <w:szCs w:val="20"/>
              </w:rPr>
            </w:pPr>
            <w:r>
              <w:rPr>
                <w:sz w:val="18"/>
                <w:szCs w:val="20"/>
              </w:rPr>
              <w:t>23.2%</w:t>
            </w:r>
          </w:p>
        </w:tc>
      </w:tr>
      <w:tr w:rsidR="002221A8" w14:paraId="6699232E" w14:textId="77777777" w:rsidTr="002221A8">
        <w:trPr>
          <w:trHeight w:val="497"/>
        </w:trPr>
        <w:tc>
          <w:tcPr>
            <w:tcW w:w="1173" w:type="dxa"/>
            <w:vMerge w:val="restart"/>
            <w:vAlign w:val="center"/>
          </w:tcPr>
          <w:p w14:paraId="65EF132D" w14:textId="592E6100" w:rsidR="002221A8" w:rsidRPr="00F86B28" w:rsidRDefault="002221A8" w:rsidP="00633FDB">
            <w:pPr>
              <w:spacing w:line="288" w:lineRule="auto"/>
              <w:rPr>
                <w:sz w:val="18"/>
                <w:szCs w:val="20"/>
              </w:rPr>
            </w:pPr>
            <w:r w:rsidRPr="00F86B28">
              <w:rPr>
                <w:sz w:val="18"/>
                <w:szCs w:val="20"/>
              </w:rPr>
              <w:t>Home Price Index</w:t>
            </w:r>
          </w:p>
        </w:tc>
        <w:tc>
          <w:tcPr>
            <w:tcW w:w="817" w:type="dxa"/>
          </w:tcPr>
          <w:p w14:paraId="2D9BEE69" w14:textId="003A2B40" w:rsidR="002221A8" w:rsidRDefault="002221A8" w:rsidP="00F86B28">
            <w:pPr>
              <w:spacing w:after="120" w:line="288" w:lineRule="auto"/>
              <w:jc w:val="right"/>
              <w:rPr>
                <w:sz w:val="18"/>
                <w:szCs w:val="20"/>
              </w:rPr>
            </w:pPr>
            <w:r>
              <w:rPr>
                <w:sz w:val="18"/>
                <w:szCs w:val="20"/>
              </w:rPr>
              <w:t>242</w:t>
            </w:r>
          </w:p>
        </w:tc>
        <w:tc>
          <w:tcPr>
            <w:tcW w:w="885" w:type="dxa"/>
            <w:gridSpan w:val="2"/>
          </w:tcPr>
          <w:p w14:paraId="3434CE0C" w14:textId="18CA8D50" w:rsidR="002221A8" w:rsidRPr="00F86B28" w:rsidRDefault="002221A8" w:rsidP="00F86B28">
            <w:pPr>
              <w:spacing w:after="120" w:line="288" w:lineRule="auto"/>
              <w:jc w:val="right"/>
              <w:rPr>
                <w:sz w:val="18"/>
                <w:szCs w:val="20"/>
              </w:rPr>
            </w:pPr>
            <w:r>
              <w:rPr>
                <w:sz w:val="18"/>
                <w:szCs w:val="20"/>
              </w:rPr>
              <w:t>273</w:t>
            </w:r>
          </w:p>
        </w:tc>
        <w:tc>
          <w:tcPr>
            <w:tcW w:w="751" w:type="dxa"/>
          </w:tcPr>
          <w:p w14:paraId="429985F5" w14:textId="16B4E152" w:rsidR="002221A8" w:rsidRPr="00F86B28" w:rsidRDefault="002221A8" w:rsidP="00F86B28">
            <w:pPr>
              <w:spacing w:after="120" w:line="288" w:lineRule="auto"/>
              <w:jc w:val="right"/>
              <w:rPr>
                <w:sz w:val="18"/>
                <w:szCs w:val="20"/>
              </w:rPr>
            </w:pPr>
            <w:r>
              <w:rPr>
                <w:sz w:val="18"/>
                <w:szCs w:val="20"/>
              </w:rPr>
              <w:t>308</w:t>
            </w:r>
          </w:p>
        </w:tc>
        <w:tc>
          <w:tcPr>
            <w:tcW w:w="817" w:type="dxa"/>
          </w:tcPr>
          <w:p w14:paraId="3768DF48" w14:textId="4D4A9DEE" w:rsidR="002221A8" w:rsidRPr="00F86B28" w:rsidRDefault="002221A8" w:rsidP="00F86B28">
            <w:pPr>
              <w:spacing w:after="120" w:line="288" w:lineRule="auto"/>
              <w:jc w:val="right"/>
              <w:rPr>
                <w:sz w:val="18"/>
                <w:szCs w:val="20"/>
              </w:rPr>
            </w:pPr>
            <w:r>
              <w:rPr>
                <w:sz w:val="18"/>
                <w:szCs w:val="20"/>
              </w:rPr>
              <w:t>342</w:t>
            </w:r>
          </w:p>
        </w:tc>
        <w:tc>
          <w:tcPr>
            <w:tcW w:w="818" w:type="dxa"/>
          </w:tcPr>
          <w:p w14:paraId="4EDB9CDC" w14:textId="5A1D76F1" w:rsidR="002221A8" w:rsidRPr="00F86B28" w:rsidRDefault="002221A8" w:rsidP="00F86B28">
            <w:pPr>
              <w:spacing w:after="120" w:line="288" w:lineRule="auto"/>
              <w:jc w:val="right"/>
              <w:rPr>
                <w:sz w:val="18"/>
                <w:szCs w:val="20"/>
              </w:rPr>
            </w:pPr>
            <w:r>
              <w:rPr>
                <w:sz w:val="18"/>
                <w:szCs w:val="20"/>
              </w:rPr>
              <w:t>385</w:t>
            </w:r>
          </w:p>
        </w:tc>
        <w:tc>
          <w:tcPr>
            <w:tcW w:w="818" w:type="dxa"/>
          </w:tcPr>
          <w:p w14:paraId="538E3BAB" w14:textId="1293E597" w:rsidR="002221A8" w:rsidRPr="00F86B28" w:rsidRDefault="002221A8" w:rsidP="00F86B28">
            <w:pPr>
              <w:spacing w:after="120" w:line="288" w:lineRule="auto"/>
              <w:jc w:val="right"/>
              <w:rPr>
                <w:sz w:val="18"/>
                <w:szCs w:val="20"/>
              </w:rPr>
            </w:pPr>
            <w:r>
              <w:rPr>
                <w:sz w:val="18"/>
                <w:szCs w:val="20"/>
              </w:rPr>
              <w:t>472</w:t>
            </w:r>
          </w:p>
        </w:tc>
        <w:tc>
          <w:tcPr>
            <w:tcW w:w="817" w:type="dxa"/>
          </w:tcPr>
          <w:p w14:paraId="224B8AC1" w14:textId="4716DFA3" w:rsidR="002221A8" w:rsidRPr="00F86B28" w:rsidRDefault="002221A8" w:rsidP="00F86B28">
            <w:pPr>
              <w:spacing w:after="120" w:line="288" w:lineRule="auto"/>
              <w:jc w:val="right"/>
              <w:rPr>
                <w:sz w:val="18"/>
                <w:szCs w:val="20"/>
              </w:rPr>
            </w:pPr>
            <w:r>
              <w:rPr>
                <w:sz w:val="18"/>
                <w:szCs w:val="20"/>
              </w:rPr>
              <w:t>583</w:t>
            </w:r>
          </w:p>
        </w:tc>
        <w:tc>
          <w:tcPr>
            <w:tcW w:w="818" w:type="dxa"/>
          </w:tcPr>
          <w:p w14:paraId="373FBBAB" w14:textId="230F7015" w:rsidR="002221A8" w:rsidRPr="00F86B28" w:rsidRDefault="002221A8" w:rsidP="00F86B28">
            <w:pPr>
              <w:spacing w:after="120" w:line="288" w:lineRule="auto"/>
              <w:jc w:val="right"/>
              <w:rPr>
                <w:sz w:val="18"/>
                <w:szCs w:val="20"/>
              </w:rPr>
            </w:pPr>
            <w:r>
              <w:rPr>
                <w:sz w:val="18"/>
                <w:szCs w:val="20"/>
              </w:rPr>
              <w:t>642</w:t>
            </w:r>
          </w:p>
        </w:tc>
        <w:tc>
          <w:tcPr>
            <w:tcW w:w="818" w:type="dxa"/>
          </w:tcPr>
          <w:p w14:paraId="734E858B" w14:textId="26662254" w:rsidR="002221A8" w:rsidRPr="00F86B28" w:rsidRDefault="002221A8" w:rsidP="00F86B28">
            <w:pPr>
              <w:spacing w:after="120" w:line="288" w:lineRule="auto"/>
              <w:jc w:val="right"/>
              <w:rPr>
                <w:sz w:val="18"/>
                <w:szCs w:val="20"/>
              </w:rPr>
            </w:pPr>
            <w:r>
              <w:rPr>
                <w:sz w:val="18"/>
                <w:szCs w:val="20"/>
              </w:rPr>
              <w:t>607</w:t>
            </w:r>
          </w:p>
        </w:tc>
        <w:tc>
          <w:tcPr>
            <w:tcW w:w="818" w:type="dxa"/>
          </w:tcPr>
          <w:p w14:paraId="53650C63" w14:textId="20223FC1" w:rsidR="002221A8" w:rsidRPr="00F86B28" w:rsidRDefault="002221A8" w:rsidP="00F86B28">
            <w:pPr>
              <w:spacing w:after="120" w:line="288" w:lineRule="auto"/>
              <w:jc w:val="right"/>
              <w:rPr>
                <w:sz w:val="18"/>
                <w:szCs w:val="20"/>
              </w:rPr>
            </w:pPr>
            <w:r>
              <w:rPr>
                <w:sz w:val="18"/>
                <w:szCs w:val="20"/>
              </w:rPr>
              <w:t>486</w:t>
            </w:r>
          </w:p>
        </w:tc>
      </w:tr>
      <w:tr w:rsidR="002221A8" w14:paraId="7240FE58" w14:textId="77777777" w:rsidTr="00A507E0">
        <w:trPr>
          <w:trHeight w:val="497"/>
        </w:trPr>
        <w:tc>
          <w:tcPr>
            <w:tcW w:w="1173" w:type="dxa"/>
            <w:vMerge/>
            <w:vAlign w:val="center"/>
          </w:tcPr>
          <w:p w14:paraId="6B52EDD5" w14:textId="77777777" w:rsidR="002221A8" w:rsidRPr="00F86B28" w:rsidRDefault="002221A8" w:rsidP="00633FDB">
            <w:pPr>
              <w:spacing w:after="120" w:line="288" w:lineRule="auto"/>
              <w:rPr>
                <w:sz w:val="18"/>
                <w:szCs w:val="20"/>
              </w:rPr>
            </w:pPr>
          </w:p>
        </w:tc>
        <w:tc>
          <w:tcPr>
            <w:tcW w:w="4088" w:type="dxa"/>
            <w:gridSpan w:val="6"/>
            <w:shd w:val="clear" w:color="auto" w:fill="BFBFBF" w:themeFill="background1" w:themeFillShade="BF"/>
          </w:tcPr>
          <w:p w14:paraId="094C7F6E" w14:textId="5215FC66" w:rsidR="002221A8" w:rsidRDefault="002221A8" w:rsidP="00F86B28">
            <w:pPr>
              <w:spacing w:after="120" w:line="288" w:lineRule="auto"/>
              <w:jc w:val="right"/>
              <w:rPr>
                <w:sz w:val="18"/>
                <w:szCs w:val="20"/>
              </w:rPr>
            </w:pPr>
            <w:r>
              <w:rPr>
                <w:sz w:val="18"/>
                <w:szCs w:val="20"/>
              </w:rPr>
              <w:t xml:space="preserve">4 Year Percentage Change </w:t>
            </w:r>
          </w:p>
          <w:p w14:paraId="3AA2F8C7" w14:textId="227F50D3" w:rsidR="002221A8" w:rsidRDefault="002221A8" w:rsidP="00F86B28">
            <w:pPr>
              <w:spacing w:after="120" w:line="288" w:lineRule="auto"/>
              <w:jc w:val="right"/>
              <w:rPr>
                <w:sz w:val="18"/>
                <w:szCs w:val="20"/>
              </w:rPr>
            </w:pPr>
            <w:r>
              <w:rPr>
                <w:sz w:val="18"/>
                <w:szCs w:val="20"/>
              </w:rPr>
              <w:t>(B)</w:t>
            </w:r>
          </w:p>
        </w:tc>
        <w:tc>
          <w:tcPr>
            <w:tcW w:w="818" w:type="dxa"/>
          </w:tcPr>
          <w:p w14:paraId="192ECD20" w14:textId="6FB4C806" w:rsidR="002221A8" w:rsidRDefault="004D177B" w:rsidP="00F86B28">
            <w:pPr>
              <w:spacing w:after="120" w:line="288" w:lineRule="auto"/>
              <w:jc w:val="right"/>
              <w:rPr>
                <w:sz w:val="18"/>
                <w:szCs w:val="20"/>
              </w:rPr>
            </w:pPr>
            <w:r>
              <w:rPr>
                <w:sz w:val="18"/>
                <w:szCs w:val="20"/>
              </w:rPr>
              <w:t>59.1</w:t>
            </w:r>
            <w:r w:rsidR="002221A8">
              <w:rPr>
                <w:sz w:val="18"/>
                <w:szCs w:val="20"/>
              </w:rPr>
              <w:t>%</w:t>
            </w:r>
          </w:p>
        </w:tc>
        <w:tc>
          <w:tcPr>
            <w:tcW w:w="817" w:type="dxa"/>
          </w:tcPr>
          <w:p w14:paraId="33800E81" w14:textId="49D074DD" w:rsidR="002221A8" w:rsidRDefault="002221A8" w:rsidP="00F86B28">
            <w:pPr>
              <w:spacing w:after="120" w:line="288" w:lineRule="auto"/>
              <w:jc w:val="right"/>
              <w:rPr>
                <w:sz w:val="18"/>
                <w:szCs w:val="20"/>
              </w:rPr>
            </w:pPr>
            <w:r>
              <w:rPr>
                <w:sz w:val="18"/>
                <w:szCs w:val="20"/>
              </w:rPr>
              <w:t>72.9%</w:t>
            </w:r>
          </w:p>
        </w:tc>
        <w:tc>
          <w:tcPr>
            <w:tcW w:w="818" w:type="dxa"/>
          </w:tcPr>
          <w:p w14:paraId="52B94873" w14:textId="1F4EE2B0" w:rsidR="002221A8" w:rsidRDefault="002221A8" w:rsidP="00F86B28">
            <w:pPr>
              <w:spacing w:after="120" w:line="288" w:lineRule="auto"/>
              <w:jc w:val="right"/>
              <w:rPr>
                <w:sz w:val="18"/>
                <w:szCs w:val="20"/>
              </w:rPr>
            </w:pPr>
            <w:r>
              <w:rPr>
                <w:sz w:val="18"/>
                <w:szCs w:val="20"/>
              </w:rPr>
              <w:t>89.3%</w:t>
            </w:r>
          </w:p>
        </w:tc>
        <w:tc>
          <w:tcPr>
            <w:tcW w:w="818" w:type="dxa"/>
          </w:tcPr>
          <w:p w14:paraId="291D3899" w14:textId="60AE427A" w:rsidR="002221A8" w:rsidRDefault="002221A8" w:rsidP="00F86B28">
            <w:pPr>
              <w:spacing w:after="120" w:line="288" w:lineRule="auto"/>
              <w:jc w:val="right"/>
              <w:rPr>
                <w:sz w:val="18"/>
                <w:szCs w:val="20"/>
              </w:rPr>
            </w:pPr>
            <w:r>
              <w:rPr>
                <w:sz w:val="18"/>
                <w:szCs w:val="20"/>
              </w:rPr>
              <w:t>87.6%</w:t>
            </w:r>
          </w:p>
        </w:tc>
        <w:tc>
          <w:tcPr>
            <w:tcW w:w="818" w:type="dxa"/>
          </w:tcPr>
          <w:p w14:paraId="677AEF73" w14:textId="2B7A441F" w:rsidR="002221A8" w:rsidRDefault="002221A8" w:rsidP="00F86B28">
            <w:pPr>
              <w:spacing w:after="120" w:line="288" w:lineRule="auto"/>
              <w:jc w:val="right"/>
              <w:rPr>
                <w:sz w:val="18"/>
                <w:szCs w:val="20"/>
              </w:rPr>
            </w:pPr>
            <w:r>
              <w:rPr>
                <w:sz w:val="18"/>
                <w:szCs w:val="20"/>
              </w:rPr>
              <w:t>57.7%</w:t>
            </w:r>
          </w:p>
        </w:tc>
      </w:tr>
      <w:tr w:rsidR="002221A8" w14:paraId="1B9D8D76" w14:textId="77777777" w:rsidTr="002221A8">
        <w:trPr>
          <w:trHeight w:val="497"/>
        </w:trPr>
        <w:tc>
          <w:tcPr>
            <w:tcW w:w="5261" w:type="dxa"/>
            <w:gridSpan w:val="7"/>
            <w:shd w:val="clear" w:color="auto" w:fill="BFBFBF" w:themeFill="background1" w:themeFillShade="BF"/>
          </w:tcPr>
          <w:p w14:paraId="1139DF38" w14:textId="53CAF879" w:rsidR="002221A8" w:rsidRDefault="002221A8" w:rsidP="00A25A6E">
            <w:pPr>
              <w:spacing w:after="120" w:line="288" w:lineRule="auto"/>
              <w:rPr>
                <w:sz w:val="18"/>
                <w:szCs w:val="20"/>
              </w:rPr>
            </w:pPr>
            <w:r>
              <w:rPr>
                <w:sz w:val="18"/>
                <w:szCs w:val="20"/>
              </w:rPr>
              <w:t>Difference in 4 Year Change Between Home Price Appreciation and Average Household Income Growth</w:t>
            </w:r>
          </w:p>
          <w:p w14:paraId="793C724A" w14:textId="5586034F" w:rsidR="002221A8" w:rsidRDefault="002221A8" w:rsidP="00A25A6E">
            <w:pPr>
              <w:spacing w:after="120" w:line="288" w:lineRule="auto"/>
              <w:rPr>
                <w:sz w:val="18"/>
                <w:szCs w:val="20"/>
              </w:rPr>
            </w:pPr>
            <w:r>
              <w:rPr>
                <w:sz w:val="18"/>
                <w:szCs w:val="20"/>
              </w:rPr>
              <w:t>(C = B – A)</w:t>
            </w:r>
          </w:p>
        </w:tc>
        <w:tc>
          <w:tcPr>
            <w:tcW w:w="818" w:type="dxa"/>
          </w:tcPr>
          <w:p w14:paraId="1EF97480" w14:textId="51A658CD" w:rsidR="002221A8" w:rsidRDefault="002221A8" w:rsidP="004D177B">
            <w:pPr>
              <w:spacing w:after="120" w:line="288" w:lineRule="auto"/>
              <w:jc w:val="right"/>
              <w:rPr>
                <w:sz w:val="18"/>
                <w:szCs w:val="20"/>
              </w:rPr>
            </w:pPr>
            <w:r>
              <w:rPr>
                <w:sz w:val="18"/>
                <w:szCs w:val="20"/>
              </w:rPr>
              <w:t>43.</w:t>
            </w:r>
            <w:r w:rsidR="004D177B">
              <w:rPr>
                <w:sz w:val="18"/>
                <w:szCs w:val="20"/>
              </w:rPr>
              <w:t>5</w:t>
            </w:r>
            <w:r>
              <w:rPr>
                <w:sz w:val="18"/>
                <w:szCs w:val="20"/>
              </w:rPr>
              <w:t>%</w:t>
            </w:r>
          </w:p>
        </w:tc>
        <w:tc>
          <w:tcPr>
            <w:tcW w:w="817" w:type="dxa"/>
          </w:tcPr>
          <w:p w14:paraId="62F71077" w14:textId="6C082A11" w:rsidR="002221A8" w:rsidRDefault="002221A8" w:rsidP="00A25A6E">
            <w:pPr>
              <w:spacing w:after="120" w:line="288" w:lineRule="auto"/>
              <w:jc w:val="right"/>
              <w:rPr>
                <w:sz w:val="18"/>
                <w:szCs w:val="20"/>
              </w:rPr>
            </w:pPr>
            <w:r>
              <w:rPr>
                <w:sz w:val="18"/>
                <w:szCs w:val="20"/>
              </w:rPr>
              <w:t>61.0%</w:t>
            </w:r>
          </w:p>
        </w:tc>
        <w:tc>
          <w:tcPr>
            <w:tcW w:w="818" w:type="dxa"/>
          </w:tcPr>
          <w:p w14:paraId="3B3F8763" w14:textId="1458C62A" w:rsidR="002221A8" w:rsidRDefault="002221A8" w:rsidP="00A25A6E">
            <w:pPr>
              <w:spacing w:after="120" w:line="288" w:lineRule="auto"/>
              <w:jc w:val="right"/>
              <w:rPr>
                <w:sz w:val="18"/>
                <w:szCs w:val="20"/>
              </w:rPr>
            </w:pPr>
            <w:r>
              <w:rPr>
                <w:sz w:val="18"/>
                <w:szCs w:val="20"/>
              </w:rPr>
              <w:t>73.9%</w:t>
            </w:r>
          </w:p>
        </w:tc>
        <w:tc>
          <w:tcPr>
            <w:tcW w:w="818" w:type="dxa"/>
          </w:tcPr>
          <w:p w14:paraId="0F39B8DC" w14:textId="5EFC4D84" w:rsidR="002221A8" w:rsidRDefault="002221A8" w:rsidP="00A25A6E">
            <w:pPr>
              <w:spacing w:after="120" w:line="288" w:lineRule="auto"/>
              <w:jc w:val="right"/>
              <w:rPr>
                <w:sz w:val="18"/>
                <w:szCs w:val="20"/>
              </w:rPr>
            </w:pPr>
            <w:r>
              <w:rPr>
                <w:sz w:val="18"/>
                <w:szCs w:val="20"/>
              </w:rPr>
              <w:t>64.4%</w:t>
            </w:r>
          </w:p>
        </w:tc>
        <w:tc>
          <w:tcPr>
            <w:tcW w:w="818" w:type="dxa"/>
          </w:tcPr>
          <w:p w14:paraId="347585DF" w14:textId="196EDDF0" w:rsidR="002221A8" w:rsidRDefault="002221A8" w:rsidP="00A25A6E">
            <w:pPr>
              <w:spacing w:after="120" w:line="288" w:lineRule="auto"/>
              <w:jc w:val="right"/>
              <w:rPr>
                <w:sz w:val="18"/>
                <w:szCs w:val="20"/>
              </w:rPr>
            </w:pPr>
            <w:r>
              <w:rPr>
                <w:sz w:val="18"/>
                <w:szCs w:val="20"/>
              </w:rPr>
              <w:t>34.5%</w:t>
            </w:r>
          </w:p>
        </w:tc>
      </w:tr>
    </w:tbl>
    <w:p w14:paraId="524B8E15" w14:textId="749B2496" w:rsidR="00F86B28" w:rsidRDefault="00F86B28" w:rsidP="000E347C">
      <w:pPr>
        <w:spacing w:after="120" w:line="288" w:lineRule="auto"/>
        <w:jc w:val="both"/>
        <w:rPr>
          <w:sz w:val="20"/>
          <w:szCs w:val="20"/>
        </w:rPr>
      </w:pPr>
    </w:p>
    <w:p w14:paraId="7ED77464" w14:textId="08BEC169" w:rsidR="00EA6C20" w:rsidRDefault="00EA6C20" w:rsidP="000E347C">
      <w:pPr>
        <w:spacing w:after="120" w:line="288" w:lineRule="auto"/>
        <w:jc w:val="both"/>
        <w:rPr>
          <w:sz w:val="20"/>
          <w:szCs w:val="20"/>
        </w:rPr>
      </w:pPr>
      <w:r>
        <w:rPr>
          <w:sz w:val="20"/>
          <w:szCs w:val="20"/>
        </w:rPr>
        <w:t xml:space="preserve">The difference in the 4 year change between home price growth and income is applied to an equation to develop the RBC capital factor. </w:t>
      </w:r>
      <w:r w:rsidR="006D0C29">
        <w:rPr>
          <w:sz w:val="20"/>
          <w:szCs w:val="20"/>
        </w:rPr>
        <w:t>The specific equation is:</w:t>
      </w:r>
    </w:p>
    <w:p w14:paraId="3D400CF3" w14:textId="5C394FCC" w:rsidR="006D0C29" w:rsidRDefault="006D0C29" w:rsidP="006D0C29">
      <w:pPr>
        <w:spacing w:after="120" w:line="288" w:lineRule="auto"/>
        <w:jc w:val="center"/>
        <w:rPr>
          <w:rFonts w:eastAsiaTheme="minorEastAsia"/>
          <w:sz w:val="20"/>
          <w:szCs w:val="20"/>
        </w:rPr>
      </w:pPr>
      <m:oMath>
        <m:r>
          <w:rPr>
            <w:rFonts w:ascii="Cambria Math" w:hAnsi="Cambria Math"/>
            <w:sz w:val="20"/>
            <w:szCs w:val="20"/>
          </w:rPr>
          <m:t>RBC Capital Factor=Max(1,</m:t>
        </m:r>
        <m:r>
          <m:rPr>
            <m:sty m:val="p"/>
          </m:rPr>
          <w:rPr>
            <w:rFonts w:ascii="Cambria Math" w:hAnsi="Cambria Math"/>
            <w:sz w:val="20"/>
            <w:szCs w:val="20"/>
          </w:rPr>
          <m:t>min⁡</m:t>
        </m:r>
        <m:r>
          <w:rPr>
            <w:rFonts w:ascii="Cambria Math" w:hAnsi="Cambria Math"/>
            <w:sz w:val="20"/>
            <w:szCs w:val="20"/>
          </w:rPr>
          <m:t xml:space="preserve">(20, </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5x</m:t>
            </m:r>
          </m:sup>
        </m:sSup>
        <m:r>
          <w:rPr>
            <w:rFonts w:ascii="Cambria Math" w:hAnsi="Cambria Math"/>
            <w:sz w:val="20"/>
            <w:szCs w:val="20"/>
          </w:rPr>
          <m:t>))</m:t>
        </m:r>
      </m:oMath>
      <w:r>
        <w:rPr>
          <w:rFonts w:eastAsiaTheme="minorEastAsia"/>
          <w:sz w:val="20"/>
          <w:szCs w:val="20"/>
        </w:rPr>
        <w:t xml:space="preserve">, where x = percentage difference in 4 year change between home price appreciation and </w:t>
      </w:r>
      <w:r w:rsidR="002E36FB">
        <w:rPr>
          <w:rFonts w:eastAsiaTheme="minorEastAsia"/>
          <w:sz w:val="20"/>
          <w:szCs w:val="20"/>
        </w:rPr>
        <w:t>per capita</w:t>
      </w:r>
      <w:r>
        <w:rPr>
          <w:rFonts w:eastAsiaTheme="minorEastAsia"/>
          <w:sz w:val="20"/>
          <w:szCs w:val="20"/>
        </w:rPr>
        <w:t xml:space="preserve"> growth measured at the State level</w:t>
      </w:r>
    </w:p>
    <w:p w14:paraId="02703C79" w14:textId="719150A6" w:rsidR="003A1211" w:rsidRDefault="00A82517" w:rsidP="006D0C29">
      <w:pPr>
        <w:spacing w:after="120" w:line="288" w:lineRule="auto"/>
        <w:jc w:val="both"/>
        <w:rPr>
          <w:sz w:val="20"/>
          <w:szCs w:val="20"/>
        </w:rPr>
      </w:pPr>
      <w:r w:rsidRPr="00016E7D">
        <w:rPr>
          <w:sz w:val="20"/>
          <w:szCs w:val="20"/>
        </w:rPr>
        <w:t xml:space="preserve">Exhibits </w:t>
      </w:r>
      <w:r w:rsidR="00FE4D9D" w:rsidRPr="00016E7D">
        <w:rPr>
          <w:sz w:val="20"/>
          <w:szCs w:val="20"/>
        </w:rPr>
        <w:t>E</w:t>
      </w:r>
      <w:r w:rsidR="005C5323">
        <w:rPr>
          <w:sz w:val="20"/>
          <w:szCs w:val="20"/>
        </w:rPr>
        <w:t>.</w:t>
      </w:r>
      <w:r w:rsidR="00FE4D9D">
        <w:rPr>
          <w:sz w:val="20"/>
          <w:szCs w:val="20"/>
        </w:rPr>
        <w:t>2.6</w:t>
      </w:r>
      <w:r w:rsidR="00FE4D9D" w:rsidRPr="00016E7D">
        <w:rPr>
          <w:sz w:val="20"/>
          <w:szCs w:val="20"/>
        </w:rPr>
        <w:t xml:space="preserve"> </w:t>
      </w:r>
      <w:r w:rsidRPr="00016E7D">
        <w:rPr>
          <w:sz w:val="20"/>
          <w:szCs w:val="20"/>
        </w:rPr>
        <w:t>through E</w:t>
      </w:r>
      <w:r w:rsidR="005C5323">
        <w:rPr>
          <w:sz w:val="20"/>
          <w:szCs w:val="20"/>
        </w:rPr>
        <w:t>.</w:t>
      </w:r>
      <w:r w:rsidR="00FE4D9D">
        <w:rPr>
          <w:sz w:val="20"/>
          <w:szCs w:val="20"/>
        </w:rPr>
        <w:t>2.</w:t>
      </w:r>
      <w:r w:rsidRPr="00016E7D">
        <w:rPr>
          <w:sz w:val="20"/>
          <w:szCs w:val="20"/>
        </w:rPr>
        <w:t>5</w:t>
      </w:r>
      <w:r w:rsidR="00FE4D9D">
        <w:rPr>
          <w:sz w:val="20"/>
          <w:szCs w:val="20"/>
        </w:rPr>
        <w:t>7</w:t>
      </w:r>
      <w:r w:rsidR="006D0C29" w:rsidRPr="00016E7D">
        <w:rPr>
          <w:sz w:val="20"/>
          <w:szCs w:val="20"/>
        </w:rPr>
        <w:t xml:space="preserve"> provide time series data of the RBC capital factor from 1980 through 2018 for </w:t>
      </w:r>
      <w:r w:rsidR="00EA56AC" w:rsidRPr="00016E7D">
        <w:rPr>
          <w:sz w:val="20"/>
          <w:szCs w:val="20"/>
        </w:rPr>
        <w:t>all States as well as a weighted average portfolio using the State distributions in the loan-level data.</w:t>
      </w:r>
      <w:r w:rsidR="00240002" w:rsidRPr="00016E7D">
        <w:rPr>
          <w:sz w:val="20"/>
          <w:szCs w:val="20"/>
        </w:rPr>
        <w:t xml:space="preserve"> The exhibits show the economic factor (i.e. difference between home </w:t>
      </w:r>
      <w:r w:rsidR="000140CB">
        <w:rPr>
          <w:sz w:val="20"/>
          <w:szCs w:val="20"/>
        </w:rPr>
        <w:t>price appreciation and per capita income growth</w:t>
      </w:r>
      <w:r w:rsidR="00240002" w:rsidRPr="00016E7D">
        <w:rPr>
          <w:sz w:val="20"/>
          <w:szCs w:val="20"/>
        </w:rPr>
        <w:t>) in the blue line against the left axis and RBC capital factor (“economic factor”) in the orange bars against the right axis. The exhibits demonstrate the volatility of differences between States. For example, Exhibit E</w:t>
      </w:r>
      <w:r w:rsidR="005C5323">
        <w:rPr>
          <w:sz w:val="20"/>
          <w:szCs w:val="20"/>
        </w:rPr>
        <w:t>.</w:t>
      </w:r>
      <w:r w:rsidR="00FE4D9D">
        <w:rPr>
          <w:sz w:val="20"/>
          <w:szCs w:val="20"/>
        </w:rPr>
        <w:t>2.6</w:t>
      </w:r>
      <w:r w:rsidR="00240002" w:rsidRPr="00016E7D">
        <w:rPr>
          <w:sz w:val="20"/>
          <w:szCs w:val="20"/>
        </w:rPr>
        <w:t xml:space="preserve"> shows the weighted average for all States. The economic factor ranges from 1.0 to </w:t>
      </w:r>
      <w:r w:rsidR="000140CB">
        <w:rPr>
          <w:sz w:val="20"/>
          <w:szCs w:val="20"/>
        </w:rPr>
        <w:t>8.45</w:t>
      </w:r>
      <w:r w:rsidR="00240002" w:rsidRPr="00016E7D">
        <w:rPr>
          <w:sz w:val="20"/>
          <w:szCs w:val="20"/>
        </w:rPr>
        <w:t xml:space="preserve"> for </w:t>
      </w:r>
      <w:r w:rsidR="00240002" w:rsidRPr="00016E7D">
        <w:rPr>
          <w:sz w:val="20"/>
          <w:szCs w:val="20"/>
        </w:rPr>
        <w:lastRenderedPageBreak/>
        <w:t>2006 originations. Exhibit E</w:t>
      </w:r>
      <w:r w:rsidR="005C5323">
        <w:rPr>
          <w:sz w:val="20"/>
          <w:szCs w:val="20"/>
        </w:rPr>
        <w:t>.</w:t>
      </w:r>
      <w:r w:rsidR="00FE4D9D">
        <w:rPr>
          <w:sz w:val="20"/>
          <w:szCs w:val="20"/>
        </w:rPr>
        <w:t>2.</w:t>
      </w:r>
      <w:r w:rsidR="00240002" w:rsidRPr="00016E7D">
        <w:rPr>
          <w:sz w:val="20"/>
          <w:szCs w:val="20"/>
        </w:rPr>
        <w:t>1</w:t>
      </w:r>
      <w:r w:rsidR="00FE4D9D">
        <w:rPr>
          <w:sz w:val="20"/>
          <w:szCs w:val="20"/>
        </w:rPr>
        <w:t>1</w:t>
      </w:r>
      <w:r w:rsidR="00240002" w:rsidRPr="00016E7D">
        <w:rPr>
          <w:sz w:val="20"/>
          <w:szCs w:val="20"/>
        </w:rPr>
        <w:t xml:space="preserve"> shows the data for California; on this exhibit the economic factor ranges from 1 to </w:t>
      </w:r>
      <w:r w:rsidR="0090212F">
        <w:rPr>
          <w:sz w:val="20"/>
          <w:szCs w:val="20"/>
        </w:rPr>
        <w:t>4</w:t>
      </w:r>
      <w:r w:rsidR="000140CB">
        <w:rPr>
          <w:sz w:val="20"/>
          <w:szCs w:val="20"/>
        </w:rPr>
        <w:t>0</w:t>
      </w:r>
      <w:r w:rsidR="00D80C51">
        <w:rPr>
          <w:sz w:val="20"/>
          <w:szCs w:val="20"/>
        </w:rPr>
        <w:t xml:space="preserve"> (</w:t>
      </w:r>
      <w:r w:rsidR="0090212F">
        <w:rPr>
          <w:sz w:val="20"/>
          <w:szCs w:val="20"/>
        </w:rPr>
        <w:t xml:space="preserve">note, </w:t>
      </w:r>
      <w:r w:rsidR="00D80C51">
        <w:rPr>
          <w:sz w:val="20"/>
          <w:szCs w:val="20"/>
        </w:rPr>
        <w:t>the model uses a cap of 20 for the economic factor adjustment</w:t>
      </w:r>
      <w:r w:rsidR="0090212F">
        <w:rPr>
          <w:sz w:val="20"/>
          <w:szCs w:val="20"/>
        </w:rPr>
        <w:t xml:space="preserve"> while this exhibit does not include the cap</w:t>
      </w:r>
      <w:r w:rsidR="00D80C51">
        <w:rPr>
          <w:sz w:val="20"/>
          <w:szCs w:val="20"/>
        </w:rPr>
        <w:t>)</w:t>
      </w:r>
      <w:r w:rsidR="00240002" w:rsidRPr="00016E7D">
        <w:rPr>
          <w:sz w:val="20"/>
          <w:szCs w:val="20"/>
        </w:rPr>
        <w:t>, with many observed cycles going back to 1980. Exhibit E</w:t>
      </w:r>
      <w:r w:rsidR="005C5323">
        <w:rPr>
          <w:sz w:val="20"/>
          <w:szCs w:val="20"/>
        </w:rPr>
        <w:t>.2</w:t>
      </w:r>
      <w:r w:rsidR="00FE4D9D">
        <w:rPr>
          <w:sz w:val="20"/>
          <w:szCs w:val="20"/>
        </w:rPr>
        <w:t>.</w:t>
      </w:r>
      <w:r w:rsidR="00240002" w:rsidRPr="00016E7D">
        <w:rPr>
          <w:sz w:val="20"/>
          <w:szCs w:val="20"/>
        </w:rPr>
        <w:t>1</w:t>
      </w:r>
      <w:r w:rsidR="00FE4D9D">
        <w:rPr>
          <w:sz w:val="20"/>
          <w:szCs w:val="20"/>
        </w:rPr>
        <w:t>2</w:t>
      </w:r>
      <w:r w:rsidR="00240002" w:rsidRPr="00016E7D">
        <w:rPr>
          <w:sz w:val="20"/>
          <w:szCs w:val="20"/>
        </w:rPr>
        <w:t xml:space="preserve"> shows the data for Colorado; on this exhibit the economic factor ranges from 1 to </w:t>
      </w:r>
      <w:r w:rsidR="000140CB">
        <w:rPr>
          <w:sz w:val="20"/>
          <w:szCs w:val="20"/>
        </w:rPr>
        <w:t>4</w:t>
      </w:r>
      <w:r w:rsidR="00240002" w:rsidRPr="00016E7D">
        <w:rPr>
          <w:sz w:val="20"/>
          <w:szCs w:val="20"/>
        </w:rPr>
        <w:t xml:space="preserve">.5, </w:t>
      </w:r>
      <w:r w:rsidR="00852057" w:rsidRPr="00016E7D">
        <w:rPr>
          <w:sz w:val="20"/>
          <w:szCs w:val="20"/>
        </w:rPr>
        <w:t>with</w:t>
      </w:r>
      <w:r w:rsidR="00240002" w:rsidRPr="00016E7D">
        <w:rPr>
          <w:sz w:val="20"/>
          <w:szCs w:val="20"/>
        </w:rPr>
        <w:t xml:space="preserve"> few cycles in the </w:t>
      </w:r>
      <w:r w:rsidR="00240002">
        <w:rPr>
          <w:sz w:val="20"/>
          <w:szCs w:val="20"/>
        </w:rPr>
        <w:t xml:space="preserve">data. Due to these types of observations and to capture regional differences in economic risks and portfolio concentration, the economic factors are calculated and assigned at the State level. </w:t>
      </w:r>
      <w:r w:rsidR="00946639">
        <w:rPr>
          <w:sz w:val="20"/>
          <w:szCs w:val="20"/>
        </w:rPr>
        <w:t>Note, these exhibits are calculated using annual data series for demonstration purposes and for readability.</w:t>
      </w:r>
    </w:p>
    <w:p w14:paraId="723B9A1A" w14:textId="572EC4C1" w:rsidR="006D0C29" w:rsidRDefault="007546C1" w:rsidP="006D0C29">
      <w:pPr>
        <w:spacing w:after="120" w:line="288" w:lineRule="auto"/>
        <w:rPr>
          <w:sz w:val="20"/>
          <w:szCs w:val="20"/>
        </w:rPr>
      </w:pPr>
      <w:r>
        <w:rPr>
          <w:sz w:val="20"/>
          <w:szCs w:val="20"/>
        </w:rPr>
        <w:t>The above equation was estimated by comparing the historical claim odds relativities from the loan-level data against the economic variable at the State level, national level, an</w:t>
      </w:r>
      <w:r w:rsidR="003864AD">
        <w:rPr>
          <w:sz w:val="20"/>
          <w:szCs w:val="20"/>
        </w:rPr>
        <w:t>d using a State weighted average</w:t>
      </w:r>
      <w:r>
        <w:rPr>
          <w:sz w:val="20"/>
          <w:szCs w:val="20"/>
        </w:rPr>
        <w:t>.</w:t>
      </w:r>
      <w:r w:rsidR="003864AD">
        <w:rPr>
          <w:sz w:val="20"/>
          <w:szCs w:val="20"/>
        </w:rPr>
        <w:t xml:space="preserve"> The loan-level data and claim rates were calculated by origination year for origi</w:t>
      </w:r>
      <w:r w:rsidR="00973EDD">
        <w:rPr>
          <w:sz w:val="20"/>
          <w:szCs w:val="20"/>
        </w:rPr>
        <w:t>nation years 1995 through 2008. Odds relativities were calculated using 2000 as the baseline year.</w:t>
      </w:r>
      <w:r w:rsidR="000F1D4A">
        <w:rPr>
          <w:sz w:val="20"/>
          <w:szCs w:val="20"/>
        </w:rPr>
        <w:t xml:space="preserve"> An exponential curve was fit against the data and parameters were selected upon reviewing State level results and national average results. The par</w:t>
      </w:r>
      <w:r w:rsidR="00E355D6">
        <w:rPr>
          <w:sz w:val="20"/>
          <w:szCs w:val="20"/>
        </w:rPr>
        <w:t xml:space="preserve">ameters Alpha = 1 and Beta = </w:t>
      </w:r>
      <w:r w:rsidR="009E023F">
        <w:rPr>
          <w:sz w:val="20"/>
          <w:szCs w:val="20"/>
        </w:rPr>
        <w:t>5</w:t>
      </w:r>
      <w:r w:rsidR="000F1D4A">
        <w:rPr>
          <w:sz w:val="20"/>
          <w:szCs w:val="20"/>
        </w:rPr>
        <w:t xml:space="preserve"> were the final selections.</w:t>
      </w:r>
    </w:p>
    <w:p w14:paraId="5029D166" w14:textId="1E568C8C" w:rsidR="00240002" w:rsidRDefault="00240002" w:rsidP="006D0C29">
      <w:pPr>
        <w:spacing w:after="120" w:line="288" w:lineRule="auto"/>
        <w:rPr>
          <w:sz w:val="20"/>
          <w:szCs w:val="20"/>
        </w:rPr>
      </w:pPr>
      <w:r>
        <w:rPr>
          <w:sz w:val="20"/>
          <w:szCs w:val="20"/>
        </w:rPr>
        <w:t>Empirical odds relativities were also compared to the origination year odds ratios from the logistic regression analysis performed on the loan-level dataset. Note, the odds ratios from the logistic regression would represent a national weighted-average portfolio and would not be State specific.</w:t>
      </w:r>
    </w:p>
    <w:p w14:paraId="531FB620" w14:textId="7C5800CD" w:rsidR="00973EDD" w:rsidRDefault="00A82517" w:rsidP="006D0C29">
      <w:pPr>
        <w:spacing w:after="120" w:line="288" w:lineRule="auto"/>
        <w:rPr>
          <w:sz w:val="20"/>
          <w:szCs w:val="20"/>
        </w:rPr>
      </w:pPr>
      <w:r w:rsidRPr="00016E7D">
        <w:rPr>
          <w:sz w:val="20"/>
          <w:szCs w:val="20"/>
        </w:rPr>
        <w:t>Exhibit E</w:t>
      </w:r>
      <w:r w:rsidR="005C5323">
        <w:rPr>
          <w:sz w:val="20"/>
          <w:szCs w:val="20"/>
        </w:rPr>
        <w:t>.</w:t>
      </w:r>
      <w:r w:rsidR="00FE4D9D">
        <w:rPr>
          <w:sz w:val="20"/>
          <w:szCs w:val="20"/>
        </w:rPr>
        <w:t>2.58</w:t>
      </w:r>
      <w:r w:rsidR="00973EDD" w:rsidRPr="00016E7D">
        <w:rPr>
          <w:sz w:val="20"/>
          <w:szCs w:val="20"/>
        </w:rPr>
        <w:t xml:space="preserve"> shows a graphical comparison </w:t>
      </w:r>
      <w:r w:rsidR="00AE0D95" w:rsidRPr="00016E7D">
        <w:rPr>
          <w:sz w:val="20"/>
          <w:szCs w:val="20"/>
        </w:rPr>
        <w:t>of the empirical odds ratios (Black bar)</w:t>
      </w:r>
      <w:r w:rsidR="00240002" w:rsidRPr="00016E7D">
        <w:rPr>
          <w:sz w:val="20"/>
          <w:szCs w:val="20"/>
        </w:rPr>
        <w:t xml:space="preserve">, </w:t>
      </w:r>
      <w:r w:rsidR="00C1354A" w:rsidRPr="00016E7D">
        <w:rPr>
          <w:sz w:val="20"/>
          <w:szCs w:val="20"/>
        </w:rPr>
        <w:t xml:space="preserve">logistic regression (Green bar), and </w:t>
      </w:r>
      <w:r w:rsidR="00C1354A">
        <w:rPr>
          <w:sz w:val="20"/>
          <w:szCs w:val="20"/>
        </w:rPr>
        <w:t xml:space="preserve">State-level weighted average exponential fit (Blue bar) on the left axis against the economic variable on the right axis. The exponential fit produces results that are consistent with the empirical data and </w:t>
      </w:r>
      <w:r w:rsidR="00747D97">
        <w:rPr>
          <w:sz w:val="20"/>
          <w:szCs w:val="20"/>
        </w:rPr>
        <w:t>logistic regression</w:t>
      </w:r>
      <w:r w:rsidR="00C1354A">
        <w:rPr>
          <w:sz w:val="20"/>
          <w:szCs w:val="20"/>
        </w:rPr>
        <w:t xml:space="preserve">. The exhibit also shows the range of the RBC capital factor (“economic factor”) below the chart for varying levels of differences between home price appreciation and average </w:t>
      </w:r>
      <w:r w:rsidR="009E023F">
        <w:rPr>
          <w:sz w:val="20"/>
          <w:szCs w:val="20"/>
        </w:rPr>
        <w:t>per capita</w:t>
      </w:r>
      <w:r w:rsidR="00C1354A">
        <w:rPr>
          <w:sz w:val="20"/>
          <w:szCs w:val="20"/>
        </w:rPr>
        <w:t xml:space="preserve"> income. </w:t>
      </w:r>
    </w:p>
    <w:p w14:paraId="3F1F7AC0" w14:textId="4A93A53C" w:rsidR="00C1354A" w:rsidRDefault="00C1354A" w:rsidP="006D0C29">
      <w:pPr>
        <w:spacing w:after="120" w:line="288" w:lineRule="auto"/>
        <w:rPr>
          <w:sz w:val="20"/>
          <w:szCs w:val="20"/>
        </w:rPr>
      </w:pPr>
      <w:r>
        <w:rPr>
          <w:sz w:val="20"/>
          <w:szCs w:val="20"/>
        </w:rPr>
        <w:t>Finally, a minimum floor of 1 was applied to the equation and a maximum value of 20; these values were judgmentally selected after reviewing the</w:t>
      </w:r>
      <w:r w:rsidR="00946639">
        <w:rPr>
          <w:sz w:val="20"/>
          <w:szCs w:val="20"/>
        </w:rPr>
        <w:t xml:space="preserve"> distribution of historical data by State and quarter. For some regions, the economic factor exceeded </w:t>
      </w:r>
      <w:r w:rsidR="009E023F">
        <w:rPr>
          <w:sz w:val="20"/>
          <w:szCs w:val="20"/>
        </w:rPr>
        <w:t>4</w:t>
      </w:r>
      <w:r w:rsidR="00946639">
        <w:rPr>
          <w:sz w:val="20"/>
          <w:szCs w:val="20"/>
        </w:rPr>
        <w:t>0 (i.e. in California for 2006Q3 originations); a cap was applied to these instances in order to produce an aggregate annual factor that was consistent with the empirical data and logistic odds ratios when calculated by origination quarter and State and aggregated to a historical weighted-average basis</w:t>
      </w:r>
      <w:r>
        <w:rPr>
          <w:sz w:val="20"/>
          <w:szCs w:val="20"/>
        </w:rPr>
        <w:t>.</w:t>
      </w:r>
    </w:p>
    <w:p w14:paraId="32464371" w14:textId="594592D0" w:rsidR="00087B5F" w:rsidRPr="002E10C5" w:rsidRDefault="00087B5F" w:rsidP="00087B5F">
      <w:pPr>
        <w:spacing w:after="120" w:line="288" w:lineRule="auto"/>
        <w:jc w:val="both"/>
        <w:rPr>
          <w:i/>
          <w:sz w:val="20"/>
          <w:szCs w:val="20"/>
        </w:rPr>
      </w:pPr>
      <w:r>
        <w:rPr>
          <w:i/>
          <w:sz w:val="20"/>
          <w:szCs w:val="20"/>
        </w:rPr>
        <w:t>E.2.iii Combining the Factors</w:t>
      </w:r>
    </w:p>
    <w:p w14:paraId="51F9D2D6" w14:textId="439CFB2D" w:rsidR="00087B5F" w:rsidRDefault="00087B5F" w:rsidP="00087B5F">
      <w:pPr>
        <w:spacing w:after="120" w:line="288" w:lineRule="auto"/>
        <w:rPr>
          <w:sz w:val="20"/>
          <w:szCs w:val="20"/>
        </w:rPr>
      </w:pPr>
      <w:r>
        <w:rPr>
          <w:sz w:val="20"/>
          <w:szCs w:val="20"/>
        </w:rPr>
        <w:t>The above factors are all estimated using a relative odds framework. Therefore, when combining the factors, they must similarly be accounted for as odds</w:t>
      </w:r>
      <w:r w:rsidR="002561C9">
        <w:rPr>
          <w:sz w:val="20"/>
          <w:szCs w:val="20"/>
        </w:rPr>
        <w:t xml:space="preserve"> ratios</w:t>
      </w:r>
      <w:r>
        <w:rPr>
          <w:sz w:val="20"/>
          <w:szCs w:val="20"/>
        </w:rPr>
        <w:t>. Treating them as odds</w:t>
      </w:r>
      <w:r w:rsidR="00A03A77">
        <w:rPr>
          <w:sz w:val="20"/>
          <w:szCs w:val="20"/>
        </w:rPr>
        <w:t xml:space="preserve"> </w:t>
      </w:r>
      <w:r w:rsidR="002561C9">
        <w:rPr>
          <w:sz w:val="20"/>
          <w:szCs w:val="20"/>
        </w:rPr>
        <w:t xml:space="preserve">ratios </w:t>
      </w:r>
      <w:r w:rsidR="00A03A77">
        <w:rPr>
          <w:sz w:val="20"/>
          <w:szCs w:val="20"/>
        </w:rPr>
        <w:t>results in two desirable outcomes:</w:t>
      </w:r>
    </w:p>
    <w:p w14:paraId="78F853C2" w14:textId="6EA327E1" w:rsidR="00A03A77" w:rsidRDefault="00A03A77" w:rsidP="00A03A77">
      <w:pPr>
        <w:pStyle w:val="ListParagraph"/>
        <w:numPr>
          <w:ilvl w:val="0"/>
          <w:numId w:val="45"/>
        </w:numPr>
        <w:spacing w:after="120" w:line="288" w:lineRule="auto"/>
        <w:rPr>
          <w:szCs w:val="20"/>
        </w:rPr>
      </w:pPr>
      <w:r>
        <w:rPr>
          <w:szCs w:val="20"/>
        </w:rPr>
        <w:t>It ensures the capital factor is always between 0 and 1; and</w:t>
      </w:r>
    </w:p>
    <w:p w14:paraId="17DD8BC1" w14:textId="5B9915D7" w:rsidR="002561C9" w:rsidRDefault="00A03A77" w:rsidP="002561C9">
      <w:pPr>
        <w:pStyle w:val="ListParagraph"/>
        <w:numPr>
          <w:ilvl w:val="0"/>
          <w:numId w:val="45"/>
        </w:numPr>
        <w:spacing w:after="120" w:line="288" w:lineRule="auto"/>
        <w:rPr>
          <w:szCs w:val="20"/>
        </w:rPr>
      </w:pPr>
      <w:r>
        <w:rPr>
          <w:szCs w:val="20"/>
        </w:rPr>
        <w:t>It aligns the development of the factors with the implementation.</w:t>
      </w:r>
    </w:p>
    <w:p w14:paraId="08312B5D" w14:textId="77777777" w:rsidR="002561C9" w:rsidRDefault="002561C9" w:rsidP="002561C9">
      <w:pPr>
        <w:spacing w:after="120" w:line="288" w:lineRule="auto"/>
        <w:rPr>
          <w:sz w:val="20"/>
          <w:szCs w:val="20"/>
        </w:rPr>
      </w:pPr>
      <w:r>
        <w:rPr>
          <w:sz w:val="20"/>
          <w:szCs w:val="20"/>
        </w:rPr>
        <w:t>The specific calculation for combining the RBC capital factors is shown in the formula below.</w:t>
      </w:r>
    </w:p>
    <w:p w14:paraId="1AE7C455" w14:textId="71DD4020" w:rsidR="002561C9" w:rsidRPr="002561C9" w:rsidRDefault="002561C9" w:rsidP="002561C9">
      <w:pPr>
        <w:spacing w:after="120" w:line="288" w:lineRule="auto"/>
        <w:jc w:val="center"/>
        <w:rPr>
          <w:sz w:val="20"/>
          <w:szCs w:val="20"/>
        </w:rPr>
      </w:pPr>
      <w:r>
        <w:rPr>
          <w:sz w:val="20"/>
          <w:szCs w:val="20"/>
        </w:rPr>
        <w:t xml:space="preserve">RBC Capital Factor = </w:t>
      </w:r>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b</m:t>
                </m:r>
              </m:sup>
            </m:sSup>
          </m:num>
          <m:den>
            <m:r>
              <w:rPr>
                <w:rFonts w:ascii="Cambria Math" w:hAnsi="Cambria Math"/>
                <w:sz w:val="20"/>
                <w:szCs w:val="20"/>
              </w:rPr>
              <m:t>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b</m:t>
                </m:r>
              </m:sup>
            </m:sSup>
            <m:r>
              <w:rPr>
                <w:rFonts w:ascii="Cambria Math" w:hAnsi="Cambria Math"/>
                <w:sz w:val="20"/>
                <w:szCs w:val="20"/>
              </w:rPr>
              <m:t xml:space="preserve"> </m:t>
            </m:r>
          </m:den>
        </m:f>
      </m:oMath>
      <w:r>
        <w:rPr>
          <w:rFonts w:eastAsiaTheme="minorEastAsia"/>
          <w:sz w:val="20"/>
          <w:szCs w:val="20"/>
        </w:rPr>
        <w:t xml:space="preserve">, where </w:t>
      </w:r>
      <m:oMath>
        <m:r>
          <w:rPr>
            <w:rFonts w:ascii="Cambria Math" w:eastAsiaTheme="minorEastAsia" w:hAnsi="Cambria Math"/>
            <w:sz w:val="20"/>
            <w:szCs w:val="20"/>
          </w:rPr>
          <m:t>b=</m:t>
        </m:r>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ln</m:t>
            </m:r>
          </m:fName>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base rate</m:t>
                    </m:r>
                  </m:num>
                  <m:den>
                    <m:r>
                      <w:rPr>
                        <w:rFonts w:ascii="Cambria Math" w:eastAsiaTheme="minorEastAsia" w:hAnsi="Cambria Math"/>
                        <w:sz w:val="20"/>
                        <w:szCs w:val="20"/>
                      </w:rPr>
                      <m:t>1-base rate</m:t>
                    </m:r>
                  </m:den>
                </m:f>
              </m:e>
            </m:d>
          </m:e>
        </m:func>
        <m:r>
          <w:rPr>
            <w:rFonts w:ascii="Cambria Math" w:eastAsiaTheme="minorEastAsia" w:hAnsi="Cambria Math"/>
            <w:sz w:val="20"/>
            <w:szCs w:val="20"/>
          </w:rPr>
          <m:t>+</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ln</m:t>
            </m:r>
          </m:fName>
          <m:e>
            <m:d>
              <m:dPr>
                <m:ctrlPr>
                  <w:rPr>
                    <w:rFonts w:ascii="Cambria Math" w:eastAsiaTheme="minorEastAsia" w:hAnsi="Cambria Math"/>
                    <w:i/>
                    <w:sz w:val="20"/>
                    <w:szCs w:val="20"/>
                  </w:rPr>
                </m:ctrlPr>
              </m:dPr>
              <m:e>
                <m:r>
                  <w:rPr>
                    <w:rFonts w:ascii="Cambria Math" w:eastAsiaTheme="minorEastAsia" w:hAnsi="Cambria Math"/>
                    <w:sz w:val="20"/>
                    <w:szCs w:val="20"/>
                  </w:rPr>
                  <m:t>FICO Factor</m:t>
                </m:r>
              </m:e>
            </m:d>
          </m:e>
        </m:func>
        <m:r>
          <w:rPr>
            <w:rFonts w:ascii="Cambria Math" w:eastAsiaTheme="minorEastAsia" w:hAnsi="Cambria Math"/>
            <w:sz w:val="20"/>
            <w:szCs w:val="20"/>
          </w:rPr>
          <m:t>+</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ln</m:t>
            </m:r>
          </m:fName>
          <m:e>
            <m:d>
              <m:dPr>
                <m:ctrlPr>
                  <w:rPr>
                    <w:rFonts w:ascii="Cambria Math" w:eastAsiaTheme="minorEastAsia" w:hAnsi="Cambria Math"/>
                    <w:i/>
                    <w:sz w:val="20"/>
                    <w:szCs w:val="20"/>
                  </w:rPr>
                </m:ctrlPr>
              </m:dPr>
              <m:e>
                <m:r>
                  <w:rPr>
                    <w:rFonts w:ascii="Cambria Math" w:eastAsiaTheme="minorEastAsia" w:hAnsi="Cambria Math"/>
                    <w:sz w:val="20"/>
                    <w:szCs w:val="20"/>
                  </w:rPr>
                  <m:t>LTV Factor</m:t>
                </m:r>
              </m:e>
            </m:d>
          </m:e>
        </m:func>
        <m:r>
          <w:rPr>
            <w:rFonts w:ascii="Cambria Math" w:eastAsiaTheme="minorEastAsia" w:hAnsi="Cambria Math"/>
            <w:sz w:val="20"/>
            <w:szCs w:val="20"/>
          </w:rPr>
          <m:t>+</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ln</m:t>
            </m:r>
          </m:fName>
          <m:e>
            <m:d>
              <m:dPr>
                <m:ctrlPr>
                  <w:rPr>
                    <w:rFonts w:ascii="Cambria Math" w:eastAsiaTheme="minorEastAsia" w:hAnsi="Cambria Math"/>
                    <w:i/>
                    <w:sz w:val="20"/>
                    <w:szCs w:val="20"/>
                  </w:rPr>
                </m:ctrlPr>
              </m:dPr>
              <m:e>
                <m:r>
                  <w:rPr>
                    <w:rFonts w:ascii="Cambria Math" w:eastAsiaTheme="minorEastAsia" w:hAnsi="Cambria Math"/>
                    <w:sz w:val="20"/>
                    <w:szCs w:val="20"/>
                  </w:rPr>
                  <m:t>alternative risk factor</m:t>
                </m:r>
              </m:e>
            </m:d>
          </m:e>
        </m:func>
        <m:r>
          <w:rPr>
            <w:rFonts w:ascii="Cambria Math" w:eastAsiaTheme="minorEastAsia" w:hAnsi="Cambria Math"/>
            <w:sz w:val="20"/>
            <w:szCs w:val="20"/>
          </w:rPr>
          <m:t>+</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ln</m:t>
            </m:r>
          </m:fName>
          <m:e>
            <m:d>
              <m:dPr>
                <m:ctrlPr>
                  <w:rPr>
                    <w:rFonts w:ascii="Cambria Math" w:eastAsiaTheme="minorEastAsia" w:hAnsi="Cambria Math"/>
                    <w:i/>
                    <w:sz w:val="20"/>
                    <w:szCs w:val="20"/>
                  </w:rPr>
                </m:ctrlPr>
              </m:dPr>
              <m:e>
                <m:r>
                  <w:rPr>
                    <w:rFonts w:ascii="Cambria Math" w:eastAsiaTheme="minorEastAsia" w:hAnsi="Cambria Math"/>
                    <w:sz w:val="20"/>
                    <w:szCs w:val="20"/>
                  </w:rPr>
                  <m:t>high risk factor</m:t>
                </m:r>
              </m:e>
            </m:d>
          </m:e>
        </m:func>
        <m:r>
          <w:rPr>
            <w:rFonts w:ascii="Cambria Math" w:eastAsiaTheme="minorEastAsia" w:hAnsi="Cambria Math"/>
            <w:sz w:val="20"/>
            <w:szCs w:val="20"/>
          </w:rPr>
          <m:t>+</m:t>
        </m:r>
        <m:func>
          <m:funcPr>
            <m:ctrlPr>
              <w:rPr>
                <w:rFonts w:ascii="Cambria Math" w:eastAsiaTheme="minorEastAsia" w:hAnsi="Cambria Math"/>
                <w:i/>
                <w:sz w:val="20"/>
                <w:szCs w:val="20"/>
              </w:rPr>
            </m:ctrlPr>
          </m:funcPr>
          <m:fName>
            <m:r>
              <m:rPr>
                <m:sty m:val="p"/>
              </m:rPr>
              <w:rPr>
                <w:rFonts w:ascii="Cambria Math" w:eastAsiaTheme="minorEastAsia" w:hAnsi="Cambria Math"/>
                <w:sz w:val="20"/>
                <w:szCs w:val="20"/>
              </w:rPr>
              <m:t>ln</m:t>
            </m:r>
          </m:fName>
          <m:e>
            <m:d>
              <m:dPr>
                <m:ctrlPr>
                  <w:rPr>
                    <w:rFonts w:ascii="Cambria Math" w:eastAsiaTheme="minorEastAsia" w:hAnsi="Cambria Math"/>
                    <w:i/>
                    <w:sz w:val="20"/>
                    <w:szCs w:val="20"/>
                  </w:rPr>
                </m:ctrlPr>
              </m:dPr>
              <m:e>
                <m:r>
                  <w:rPr>
                    <w:rFonts w:ascii="Cambria Math" w:eastAsiaTheme="minorEastAsia" w:hAnsi="Cambria Math"/>
                    <w:sz w:val="20"/>
                    <w:szCs w:val="20"/>
                  </w:rPr>
                  <m:t>risk offset factor</m:t>
                </m:r>
              </m:e>
            </m:d>
          </m:e>
        </m:func>
        <m:r>
          <w:rPr>
            <w:rFonts w:ascii="Cambria Math" w:eastAsiaTheme="minorEastAsia" w:hAnsi="Cambria Math"/>
            <w:sz w:val="20"/>
            <w:szCs w:val="20"/>
          </w:rPr>
          <m:t>+</m:t>
        </m:r>
        <m:r>
          <m:rPr>
            <m:sty m:val="p"/>
          </m:rPr>
          <w:rPr>
            <w:rFonts w:ascii="Cambria Math" w:eastAsiaTheme="minorEastAsia" w:hAnsi="Cambria Math"/>
            <w:sz w:val="20"/>
            <w:szCs w:val="20"/>
          </w:rPr>
          <m:t>ln⁡</m:t>
        </m:r>
        <m:r>
          <w:rPr>
            <w:rFonts w:ascii="Cambria Math" w:eastAsiaTheme="minorEastAsia" w:hAnsi="Cambria Math"/>
            <w:sz w:val="20"/>
            <w:szCs w:val="20"/>
          </w:rPr>
          <m:t>(economic risk factor)</m:t>
        </m:r>
      </m:oMath>
    </w:p>
    <w:p w14:paraId="2930B30A" w14:textId="70637AF0" w:rsidR="0070768F" w:rsidRPr="002E10C5" w:rsidRDefault="0070768F" w:rsidP="0070768F">
      <w:pPr>
        <w:spacing w:after="120" w:line="288" w:lineRule="auto"/>
        <w:jc w:val="both"/>
        <w:rPr>
          <w:i/>
          <w:sz w:val="20"/>
          <w:szCs w:val="20"/>
        </w:rPr>
      </w:pPr>
      <w:r>
        <w:rPr>
          <w:i/>
          <w:sz w:val="20"/>
          <w:szCs w:val="20"/>
        </w:rPr>
        <w:t>E.2.iv Credit for Future Premium</w:t>
      </w:r>
    </w:p>
    <w:p w14:paraId="1B16329F" w14:textId="109A5143" w:rsidR="000838BE" w:rsidRPr="00900EAD" w:rsidRDefault="001F4F75" w:rsidP="00900EAD">
      <w:pPr>
        <w:spacing w:after="120" w:line="288" w:lineRule="auto"/>
        <w:jc w:val="both"/>
        <w:rPr>
          <w:i/>
          <w:sz w:val="20"/>
          <w:szCs w:val="20"/>
        </w:rPr>
      </w:pPr>
      <w:r w:rsidRPr="00900EAD">
        <w:rPr>
          <w:sz w:val="20"/>
          <w:szCs w:val="20"/>
        </w:rPr>
        <w:t>Mortgage insurance companies typ</w:t>
      </w:r>
      <w:r w:rsidR="008A1458" w:rsidRPr="00900EAD">
        <w:rPr>
          <w:sz w:val="20"/>
          <w:szCs w:val="20"/>
        </w:rPr>
        <w:t xml:space="preserve">ically collect monthly premium for insured policies, and the policies are typically in force until the underlying mortgage refinances or reaches a loan-to-value ratio at or below 78% </w:t>
      </w:r>
      <w:r w:rsidR="008A1458" w:rsidRPr="00900EAD">
        <w:rPr>
          <w:sz w:val="20"/>
          <w:szCs w:val="20"/>
        </w:rPr>
        <w:lastRenderedPageBreak/>
        <w:t xml:space="preserve">through either amortization </w:t>
      </w:r>
      <w:r w:rsidR="00E355D6" w:rsidRPr="00900EAD">
        <w:rPr>
          <w:sz w:val="20"/>
          <w:szCs w:val="20"/>
        </w:rPr>
        <w:t>and/</w:t>
      </w:r>
      <w:r w:rsidR="008A1458" w:rsidRPr="00900EAD">
        <w:rPr>
          <w:sz w:val="20"/>
          <w:szCs w:val="20"/>
        </w:rPr>
        <w:t>or home price appreciation.</w:t>
      </w:r>
      <w:r w:rsidR="000838BE" w:rsidRPr="00900EAD">
        <w:rPr>
          <w:sz w:val="20"/>
          <w:szCs w:val="20"/>
        </w:rPr>
        <w:t xml:space="preserve"> Therefore, the RBC capital model should include a recognition of future premium. The RBC capital model accounts for future premium by allowing for an offset against the aggregate capital amount from the above formula. Specifically, the credit for future premium is equal to</w:t>
      </w:r>
      <w:r w:rsidR="00900EAD" w:rsidRPr="00900EAD">
        <w:rPr>
          <w:sz w:val="20"/>
          <w:szCs w:val="20"/>
        </w:rPr>
        <w:t xml:space="preserve"> t</w:t>
      </w:r>
      <w:r w:rsidR="000838BE" w:rsidRPr="00900EAD">
        <w:rPr>
          <w:sz w:val="20"/>
          <w:szCs w:val="20"/>
        </w:rPr>
        <w:t>wo years of premium for</w:t>
      </w:r>
      <w:r w:rsidR="00900EAD">
        <w:rPr>
          <w:sz w:val="20"/>
          <w:szCs w:val="20"/>
        </w:rPr>
        <w:t xml:space="preserve"> active insured loans.</w:t>
      </w:r>
    </w:p>
    <w:p w14:paraId="7ACDC982" w14:textId="3BCC071C" w:rsidR="000838BE" w:rsidRDefault="000838BE" w:rsidP="000838BE">
      <w:pPr>
        <w:spacing w:after="120" w:line="288" w:lineRule="auto"/>
        <w:jc w:val="both"/>
        <w:rPr>
          <w:sz w:val="20"/>
          <w:szCs w:val="20"/>
        </w:rPr>
      </w:pPr>
      <w:r w:rsidRPr="000838BE">
        <w:rPr>
          <w:sz w:val="20"/>
          <w:szCs w:val="20"/>
        </w:rPr>
        <w:t>The</w:t>
      </w:r>
      <w:r>
        <w:rPr>
          <w:sz w:val="20"/>
          <w:szCs w:val="20"/>
        </w:rPr>
        <w:t xml:space="preserve"> premium</w:t>
      </w:r>
      <w:r w:rsidR="000F1D4A">
        <w:rPr>
          <w:sz w:val="20"/>
          <w:szCs w:val="20"/>
        </w:rPr>
        <w:t xml:space="preserve"> credit factors were developed after reviewing historical run-off triangles using the loan-level data. Specifically, run-off triangles were developed from the loan-level data and used to calculate the average life by origination year.</w:t>
      </w:r>
      <w:r w:rsidR="005D5C84">
        <w:rPr>
          <w:sz w:val="20"/>
          <w:szCs w:val="20"/>
        </w:rPr>
        <w:t xml:space="preserve"> The run-off triangles were calculated on performing loans (i.e. not delinquent) only, since delinquent loans, by definition are not paying premium. While the premium may be advanced by servicers, the servicing advances are typically included in the final severity calculation.</w:t>
      </w:r>
    </w:p>
    <w:p w14:paraId="645FB892" w14:textId="03132E30" w:rsidR="00A82517" w:rsidRDefault="00A82517" w:rsidP="000838BE">
      <w:pPr>
        <w:spacing w:after="120" w:line="288" w:lineRule="auto"/>
        <w:jc w:val="both"/>
        <w:rPr>
          <w:sz w:val="20"/>
          <w:szCs w:val="20"/>
        </w:rPr>
      </w:pPr>
      <w:r w:rsidRPr="00016E7D">
        <w:rPr>
          <w:sz w:val="20"/>
          <w:szCs w:val="20"/>
        </w:rPr>
        <w:t xml:space="preserve">Exhibits </w:t>
      </w:r>
      <w:r w:rsidR="00FE4D9D">
        <w:rPr>
          <w:sz w:val="20"/>
          <w:szCs w:val="20"/>
        </w:rPr>
        <w:t>E</w:t>
      </w:r>
      <w:r w:rsidR="005C5323">
        <w:rPr>
          <w:sz w:val="20"/>
          <w:szCs w:val="20"/>
        </w:rPr>
        <w:t>.</w:t>
      </w:r>
      <w:r w:rsidR="00765E5D">
        <w:rPr>
          <w:sz w:val="20"/>
          <w:szCs w:val="20"/>
        </w:rPr>
        <w:t xml:space="preserve">2 Pages </w:t>
      </w:r>
      <w:r w:rsidRPr="00016E7D">
        <w:rPr>
          <w:sz w:val="20"/>
          <w:szCs w:val="20"/>
        </w:rPr>
        <w:t>5</w:t>
      </w:r>
      <w:r w:rsidR="00FE4D9D">
        <w:rPr>
          <w:sz w:val="20"/>
          <w:szCs w:val="20"/>
        </w:rPr>
        <w:t>9</w:t>
      </w:r>
      <w:r w:rsidRPr="00016E7D">
        <w:rPr>
          <w:sz w:val="20"/>
          <w:szCs w:val="20"/>
        </w:rPr>
        <w:t xml:space="preserve"> through 6</w:t>
      </w:r>
      <w:r w:rsidR="00FE4D9D">
        <w:rPr>
          <w:sz w:val="20"/>
          <w:szCs w:val="20"/>
        </w:rPr>
        <w:t>1</w:t>
      </w:r>
      <w:r w:rsidRPr="00016E7D">
        <w:rPr>
          <w:sz w:val="20"/>
          <w:szCs w:val="20"/>
        </w:rPr>
        <w:t xml:space="preserve"> show </w:t>
      </w:r>
      <w:r w:rsidR="005D5C84" w:rsidRPr="00016E7D">
        <w:rPr>
          <w:sz w:val="20"/>
          <w:szCs w:val="20"/>
        </w:rPr>
        <w:t>the results of the analysis. E</w:t>
      </w:r>
      <w:r w:rsidR="00787974">
        <w:rPr>
          <w:sz w:val="20"/>
          <w:szCs w:val="20"/>
        </w:rPr>
        <w:t xml:space="preserve">xhibit </w:t>
      </w:r>
      <w:r w:rsidR="00322493">
        <w:rPr>
          <w:sz w:val="20"/>
          <w:szCs w:val="20"/>
        </w:rPr>
        <w:t>E</w:t>
      </w:r>
      <w:r w:rsidR="00765E5D">
        <w:rPr>
          <w:sz w:val="20"/>
          <w:szCs w:val="20"/>
        </w:rPr>
        <w:t xml:space="preserve">.2 Page </w:t>
      </w:r>
      <w:r w:rsidR="00787974">
        <w:rPr>
          <w:sz w:val="20"/>
          <w:szCs w:val="20"/>
        </w:rPr>
        <w:t>5</w:t>
      </w:r>
      <w:r w:rsidR="003E67A8">
        <w:rPr>
          <w:sz w:val="20"/>
          <w:szCs w:val="20"/>
        </w:rPr>
        <w:t>9</w:t>
      </w:r>
      <w:r w:rsidR="005D5C84" w:rsidRPr="00016E7D">
        <w:rPr>
          <w:sz w:val="20"/>
          <w:szCs w:val="20"/>
        </w:rPr>
        <w:t xml:space="preserve"> shows the run-off triangle for the loan-level data. Exhibit </w:t>
      </w:r>
      <w:r w:rsidR="00FE4D9D">
        <w:rPr>
          <w:sz w:val="20"/>
          <w:szCs w:val="20"/>
        </w:rPr>
        <w:t>E.</w:t>
      </w:r>
      <w:r w:rsidR="00765E5D">
        <w:rPr>
          <w:sz w:val="20"/>
          <w:szCs w:val="20"/>
        </w:rPr>
        <w:t xml:space="preserve">2 Page </w:t>
      </w:r>
      <w:r w:rsidR="00FE4D9D">
        <w:rPr>
          <w:sz w:val="20"/>
          <w:szCs w:val="20"/>
        </w:rPr>
        <w:t>60</w:t>
      </w:r>
      <w:r w:rsidR="005D5C84" w:rsidRPr="00016E7D">
        <w:rPr>
          <w:sz w:val="20"/>
          <w:szCs w:val="20"/>
        </w:rPr>
        <w:t xml:space="preserve"> calculates the annual termination rate from one year to the next. On average, the annual termination rate is approximately 25%. Exhibit </w:t>
      </w:r>
      <w:r w:rsidR="00FE4D9D">
        <w:rPr>
          <w:sz w:val="20"/>
          <w:szCs w:val="20"/>
        </w:rPr>
        <w:t>E.</w:t>
      </w:r>
      <w:r w:rsidR="00322493">
        <w:rPr>
          <w:sz w:val="20"/>
          <w:szCs w:val="20"/>
        </w:rPr>
        <w:t>2</w:t>
      </w:r>
      <w:r w:rsidR="00765E5D">
        <w:rPr>
          <w:sz w:val="20"/>
          <w:szCs w:val="20"/>
        </w:rPr>
        <w:t xml:space="preserve"> Page </w:t>
      </w:r>
      <w:r w:rsidR="00FE4D9D">
        <w:rPr>
          <w:sz w:val="20"/>
          <w:szCs w:val="20"/>
        </w:rPr>
        <w:t>61</w:t>
      </w:r>
      <w:r w:rsidR="005D5C84" w:rsidRPr="00016E7D">
        <w:rPr>
          <w:sz w:val="20"/>
          <w:szCs w:val="20"/>
        </w:rPr>
        <w:t xml:space="preserve"> calculates a weighted average life of each book </w:t>
      </w:r>
      <w:r w:rsidR="002614FD">
        <w:rPr>
          <w:sz w:val="20"/>
          <w:szCs w:val="20"/>
        </w:rPr>
        <w:t>at 3.84</w:t>
      </w:r>
      <w:r w:rsidR="005D5C84" w:rsidRPr="00016E7D">
        <w:rPr>
          <w:sz w:val="20"/>
          <w:szCs w:val="20"/>
        </w:rPr>
        <w:t xml:space="preserve"> years. Note, for this calculation, we assume a 25% termination </w:t>
      </w:r>
      <w:r w:rsidR="005D5C84">
        <w:rPr>
          <w:sz w:val="20"/>
          <w:szCs w:val="20"/>
        </w:rPr>
        <w:t>rate for future years to develop the forecast out to ultimate.</w:t>
      </w:r>
    </w:p>
    <w:p w14:paraId="5D21779F" w14:textId="74D706EF" w:rsidR="005D5C84" w:rsidRDefault="005D5C84" w:rsidP="000838BE">
      <w:pPr>
        <w:spacing w:after="120" w:line="288" w:lineRule="auto"/>
        <w:jc w:val="both"/>
        <w:rPr>
          <w:sz w:val="20"/>
          <w:szCs w:val="20"/>
        </w:rPr>
      </w:pPr>
      <w:r>
        <w:rPr>
          <w:sz w:val="20"/>
          <w:szCs w:val="20"/>
        </w:rPr>
        <w:t>Based on a review of the run-off triangles, the credit for future premium factors were selected as two years of credit for loans that are active. Note, the premium credit only applies to performing loans.</w:t>
      </w:r>
    </w:p>
    <w:p w14:paraId="74D35B6A" w14:textId="1827E246" w:rsidR="00950728" w:rsidRPr="002E10C5" w:rsidRDefault="00087B5F" w:rsidP="00950728">
      <w:pPr>
        <w:spacing w:after="120" w:line="288" w:lineRule="auto"/>
        <w:jc w:val="both"/>
        <w:rPr>
          <w:i/>
          <w:sz w:val="20"/>
          <w:szCs w:val="20"/>
        </w:rPr>
      </w:pPr>
      <w:r>
        <w:rPr>
          <w:i/>
          <w:sz w:val="20"/>
          <w:szCs w:val="20"/>
        </w:rPr>
        <w:t>E</w:t>
      </w:r>
      <w:r w:rsidR="0070768F">
        <w:rPr>
          <w:i/>
          <w:sz w:val="20"/>
          <w:szCs w:val="20"/>
        </w:rPr>
        <w:t>.2.</w:t>
      </w:r>
      <w:r>
        <w:rPr>
          <w:i/>
          <w:sz w:val="20"/>
          <w:szCs w:val="20"/>
        </w:rPr>
        <w:t>v</w:t>
      </w:r>
      <w:r w:rsidR="00950728">
        <w:rPr>
          <w:i/>
          <w:sz w:val="20"/>
          <w:szCs w:val="20"/>
        </w:rPr>
        <w:t xml:space="preserve"> Base Rate</w:t>
      </w:r>
    </w:p>
    <w:p w14:paraId="2E2B9038" w14:textId="36E77D2C" w:rsidR="00087B5F" w:rsidRDefault="00087B5F" w:rsidP="00950728">
      <w:pPr>
        <w:pStyle w:val="RRBody"/>
        <w:jc w:val="both"/>
        <w:rPr>
          <w:sz w:val="20"/>
          <w:szCs w:val="20"/>
        </w:rPr>
      </w:pPr>
      <w:r>
        <w:rPr>
          <w:sz w:val="20"/>
          <w:szCs w:val="20"/>
        </w:rPr>
        <w:t xml:space="preserve">After the above factors (i.e. FICO, LTV, alternative risk, high risk, </w:t>
      </w:r>
      <w:r w:rsidR="006828AD">
        <w:rPr>
          <w:sz w:val="20"/>
          <w:szCs w:val="20"/>
        </w:rPr>
        <w:t xml:space="preserve">risk offset, </w:t>
      </w:r>
      <w:r>
        <w:rPr>
          <w:sz w:val="20"/>
          <w:szCs w:val="20"/>
        </w:rPr>
        <w:t>economic</w:t>
      </w:r>
      <w:r w:rsidR="005F10D9">
        <w:rPr>
          <w:sz w:val="20"/>
          <w:szCs w:val="20"/>
        </w:rPr>
        <w:t>, and premium credit</w:t>
      </w:r>
      <w:r>
        <w:rPr>
          <w:sz w:val="20"/>
          <w:szCs w:val="20"/>
        </w:rPr>
        <w:t xml:space="preserve"> factors) were developed, a base r</w:t>
      </w:r>
      <w:r w:rsidR="002561C9">
        <w:rPr>
          <w:sz w:val="20"/>
          <w:szCs w:val="20"/>
        </w:rPr>
        <w:t xml:space="preserve">ate was selected for the RBC capital model. </w:t>
      </w:r>
      <w:r w:rsidR="008F2E25">
        <w:rPr>
          <w:sz w:val="20"/>
          <w:szCs w:val="20"/>
        </w:rPr>
        <w:t>The base rate was selected according to the following process</w:t>
      </w:r>
      <w:r w:rsidR="00041F65">
        <w:rPr>
          <w:rStyle w:val="FootnoteReference"/>
          <w:sz w:val="20"/>
          <w:szCs w:val="20"/>
        </w:rPr>
        <w:footnoteReference w:id="3"/>
      </w:r>
      <w:r w:rsidR="008F2E25">
        <w:rPr>
          <w:sz w:val="20"/>
          <w:szCs w:val="20"/>
        </w:rPr>
        <w:t>:</w:t>
      </w:r>
    </w:p>
    <w:p w14:paraId="6F8E7865" w14:textId="4C6922EE" w:rsidR="008F2E25" w:rsidRDefault="008F2E25" w:rsidP="00454AEC">
      <w:pPr>
        <w:pStyle w:val="RRBody"/>
        <w:numPr>
          <w:ilvl w:val="0"/>
          <w:numId w:val="46"/>
        </w:numPr>
        <w:spacing w:after="0"/>
        <w:jc w:val="both"/>
        <w:rPr>
          <w:sz w:val="20"/>
          <w:szCs w:val="20"/>
        </w:rPr>
      </w:pPr>
      <w:r>
        <w:rPr>
          <w:sz w:val="20"/>
          <w:szCs w:val="20"/>
        </w:rPr>
        <w:t>Using the loan-level data from the MI companies, construct an income statement and balance sheet for each MI company using historical and forecast premium and loss data</w:t>
      </w:r>
      <w:r w:rsidR="0070768F">
        <w:rPr>
          <w:sz w:val="20"/>
          <w:szCs w:val="20"/>
        </w:rPr>
        <w:t xml:space="preserve"> and the following list of assumptions</w:t>
      </w:r>
      <w:r>
        <w:rPr>
          <w:sz w:val="20"/>
          <w:szCs w:val="20"/>
        </w:rPr>
        <w:t>;</w:t>
      </w:r>
    </w:p>
    <w:p w14:paraId="48A8604B" w14:textId="350CC48F" w:rsidR="008F2E25" w:rsidRDefault="008F2E25" w:rsidP="00454AEC">
      <w:pPr>
        <w:pStyle w:val="RRBody"/>
        <w:numPr>
          <w:ilvl w:val="1"/>
          <w:numId w:val="46"/>
        </w:numPr>
        <w:spacing w:after="0"/>
        <w:jc w:val="both"/>
        <w:rPr>
          <w:sz w:val="20"/>
          <w:szCs w:val="20"/>
        </w:rPr>
      </w:pPr>
      <w:r>
        <w:rPr>
          <w:sz w:val="20"/>
          <w:szCs w:val="20"/>
        </w:rPr>
        <w:t>Assumed investment rate of return of 3%;</w:t>
      </w:r>
    </w:p>
    <w:p w14:paraId="45DD6C21" w14:textId="259262AC" w:rsidR="008F2E25" w:rsidRDefault="008F2E25" w:rsidP="00454AEC">
      <w:pPr>
        <w:pStyle w:val="RRBody"/>
        <w:numPr>
          <w:ilvl w:val="1"/>
          <w:numId w:val="46"/>
        </w:numPr>
        <w:spacing w:after="0"/>
        <w:jc w:val="both"/>
        <w:rPr>
          <w:sz w:val="20"/>
          <w:szCs w:val="20"/>
        </w:rPr>
      </w:pPr>
      <w:r>
        <w:rPr>
          <w:sz w:val="20"/>
          <w:szCs w:val="20"/>
        </w:rPr>
        <w:t>Assume expense ratio of 20% (20% of premium); and</w:t>
      </w:r>
    </w:p>
    <w:p w14:paraId="7BE025DD" w14:textId="140A89B6" w:rsidR="008F2E25" w:rsidRDefault="008F2E25" w:rsidP="00454AEC">
      <w:pPr>
        <w:pStyle w:val="RRBody"/>
        <w:numPr>
          <w:ilvl w:val="1"/>
          <w:numId w:val="46"/>
        </w:numPr>
        <w:spacing w:after="0"/>
        <w:jc w:val="both"/>
        <w:rPr>
          <w:sz w:val="20"/>
          <w:szCs w:val="20"/>
        </w:rPr>
      </w:pPr>
      <w:r>
        <w:rPr>
          <w:sz w:val="20"/>
          <w:szCs w:val="20"/>
        </w:rPr>
        <w:t>Assumed federal tax rate of 15%.</w:t>
      </w:r>
    </w:p>
    <w:p w14:paraId="7351C58F" w14:textId="77777777" w:rsidR="00C3636C" w:rsidRDefault="00C3636C" w:rsidP="00C3636C">
      <w:pPr>
        <w:pStyle w:val="RRBody"/>
        <w:spacing w:after="0"/>
        <w:ind w:left="1440"/>
        <w:jc w:val="both"/>
        <w:rPr>
          <w:sz w:val="20"/>
          <w:szCs w:val="20"/>
        </w:rPr>
      </w:pPr>
    </w:p>
    <w:p w14:paraId="003F5C80" w14:textId="7A087E5F" w:rsidR="008F2E25" w:rsidRDefault="008F2E25" w:rsidP="00454AEC">
      <w:pPr>
        <w:pStyle w:val="RRBody"/>
        <w:numPr>
          <w:ilvl w:val="0"/>
          <w:numId w:val="46"/>
        </w:numPr>
        <w:spacing w:after="0"/>
        <w:jc w:val="both"/>
        <w:rPr>
          <w:sz w:val="20"/>
          <w:szCs w:val="20"/>
        </w:rPr>
      </w:pPr>
      <w:r>
        <w:rPr>
          <w:sz w:val="20"/>
          <w:szCs w:val="20"/>
        </w:rPr>
        <w:t xml:space="preserve">Apply the RBC capital model to the loan-level population using a base rate that varied from </w:t>
      </w:r>
      <w:r w:rsidR="006442F0">
        <w:rPr>
          <w:sz w:val="20"/>
          <w:szCs w:val="20"/>
        </w:rPr>
        <w:t>0.15% up to 0.6</w:t>
      </w:r>
      <w:r w:rsidR="003F4050">
        <w:rPr>
          <w:sz w:val="20"/>
          <w:szCs w:val="20"/>
        </w:rPr>
        <w:t>5</w:t>
      </w:r>
      <w:r>
        <w:rPr>
          <w:sz w:val="20"/>
          <w:szCs w:val="20"/>
        </w:rPr>
        <w:t>%;</w:t>
      </w:r>
    </w:p>
    <w:p w14:paraId="32E50424" w14:textId="77777777" w:rsidR="00C3636C" w:rsidRDefault="00C3636C" w:rsidP="00C3636C">
      <w:pPr>
        <w:pStyle w:val="RRBody"/>
        <w:spacing w:after="0"/>
        <w:ind w:left="720"/>
        <w:jc w:val="both"/>
        <w:rPr>
          <w:sz w:val="20"/>
          <w:szCs w:val="20"/>
        </w:rPr>
      </w:pPr>
    </w:p>
    <w:p w14:paraId="3B8C4F2F" w14:textId="2FA1D152" w:rsidR="008F2E25" w:rsidRDefault="008F2E25" w:rsidP="00454AEC">
      <w:pPr>
        <w:pStyle w:val="RRBody"/>
        <w:numPr>
          <w:ilvl w:val="0"/>
          <w:numId w:val="46"/>
        </w:numPr>
        <w:spacing w:after="0"/>
        <w:jc w:val="both"/>
        <w:rPr>
          <w:sz w:val="20"/>
          <w:szCs w:val="20"/>
        </w:rPr>
      </w:pPr>
      <w:r>
        <w:rPr>
          <w:sz w:val="20"/>
          <w:szCs w:val="20"/>
        </w:rPr>
        <w:t>For each iteration of the base rate and each MI company, determine the number of MI companies whose net capital position (i.e. cumulative cash flows) would be less than the RBC capital model requirement under a run-off scenario (i.e. “entity failure”);</w:t>
      </w:r>
    </w:p>
    <w:p w14:paraId="6DE813D9" w14:textId="3F25DB02" w:rsidR="00C3636C" w:rsidRDefault="00C3636C" w:rsidP="00C3636C">
      <w:pPr>
        <w:pStyle w:val="RRBody"/>
        <w:spacing w:after="0"/>
        <w:jc w:val="both"/>
        <w:rPr>
          <w:sz w:val="20"/>
          <w:szCs w:val="20"/>
        </w:rPr>
      </w:pPr>
    </w:p>
    <w:p w14:paraId="6BE35088" w14:textId="359D3E20" w:rsidR="008F2E25" w:rsidRDefault="008F2E25" w:rsidP="00454AEC">
      <w:pPr>
        <w:pStyle w:val="RRBody"/>
        <w:numPr>
          <w:ilvl w:val="0"/>
          <w:numId w:val="46"/>
        </w:numPr>
        <w:spacing w:after="0"/>
        <w:jc w:val="both"/>
        <w:rPr>
          <w:sz w:val="20"/>
          <w:szCs w:val="20"/>
        </w:rPr>
      </w:pPr>
      <w:r>
        <w:rPr>
          <w:sz w:val="20"/>
          <w:szCs w:val="20"/>
        </w:rPr>
        <w:t>Perform the above analysis for run-off years 2005 through 2013</w:t>
      </w:r>
      <w:r w:rsidR="0070768F">
        <w:rPr>
          <w:sz w:val="20"/>
          <w:szCs w:val="20"/>
        </w:rPr>
        <w:t>; and</w:t>
      </w:r>
    </w:p>
    <w:p w14:paraId="6C652E16" w14:textId="6A33C8C8" w:rsidR="00C3636C" w:rsidRDefault="00C3636C" w:rsidP="00C3636C">
      <w:pPr>
        <w:pStyle w:val="RRBody"/>
        <w:spacing w:after="0"/>
        <w:jc w:val="both"/>
        <w:rPr>
          <w:sz w:val="20"/>
          <w:szCs w:val="20"/>
        </w:rPr>
      </w:pPr>
    </w:p>
    <w:p w14:paraId="34FA4CE4" w14:textId="4D719EEC" w:rsidR="0070768F" w:rsidRDefault="0070768F" w:rsidP="00454AEC">
      <w:pPr>
        <w:pStyle w:val="RRBody"/>
        <w:numPr>
          <w:ilvl w:val="0"/>
          <w:numId w:val="46"/>
        </w:numPr>
        <w:spacing w:after="0"/>
        <w:jc w:val="both"/>
        <w:rPr>
          <w:sz w:val="20"/>
          <w:szCs w:val="20"/>
        </w:rPr>
      </w:pPr>
      <w:r>
        <w:rPr>
          <w:sz w:val="20"/>
          <w:szCs w:val="20"/>
        </w:rPr>
        <w:t>Analyze results and make a base rate selection.</w:t>
      </w:r>
    </w:p>
    <w:p w14:paraId="1AEA964F" w14:textId="5CFD1ADD" w:rsidR="00C3636C" w:rsidRDefault="00C3636C" w:rsidP="00C3636C">
      <w:pPr>
        <w:pStyle w:val="RRBody"/>
        <w:spacing w:after="0"/>
        <w:jc w:val="both"/>
        <w:rPr>
          <w:sz w:val="20"/>
          <w:szCs w:val="20"/>
        </w:rPr>
      </w:pPr>
    </w:p>
    <w:p w14:paraId="2B4E57DB" w14:textId="4F45CAD0" w:rsidR="008F2E25" w:rsidRDefault="008F2E25" w:rsidP="008F2E25">
      <w:pPr>
        <w:pStyle w:val="RRBody"/>
        <w:jc w:val="both"/>
        <w:rPr>
          <w:sz w:val="20"/>
          <w:szCs w:val="20"/>
        </w:rPr>
      </w:pPr>
      <w:r>
        <w:rPr>
          <w:sz w:val="20"/>
          <w:szCs w:val="20"/>
        </w:rPr>
        <w:t xml:space="preserve">The results from the above analysis were </w:t>
      </w:r>
      <w:r w:rsidR="003F4050">
        <w:rPr>
          <w:sz w:val="20"/>
          <w:szCs w:val="20"/>
        </w:rPr>
        <w:t>summarized in the following table. The table shows the number of entity failures for varying levels of the base rate by run-off year</w:t>
      </w:r>
      <w:r w:rsidR="007B64AF">
        <w:rPr>
          <w:sz w:val="20"/>
          <w:szCs w:val="20"/>
        </w:rPr>
        <w:t xml:space="preserve"> (note there are six companies total)</w:t>
      </w:r>
      <w:r w:rsidR="003F4050">
        <w:rPr>
          <w:sz w:val="20"/>
          <w:szCs w:val="20"/>
        </w:rPr>
        <w:t xml:space="preserve">. </w:t>
      </w:r>
    </w:p>
    <w:p w14:paraId="438275A3" w14:textId="77777777" w:rsidR="00C3636C" w:rsidRDefault="00C3636C" w:rsidP="008F2E25">
      <w:pPr>
        <w:pStyle w:val="RRBody"/>
        <w:jc w:val="both"/>
        <w:rPr>
          <w:sz w:val="20"/>
          <w:szCs w:val="20"/>
        </w:rPr>
      </w:pPr>
    </w:p>
    <w:tbl>
      <w:tblPr>
        <w:tblW w:w="8916" w:type="dxa"/>
        <w:tblCellMar>
          <w:left w:w="0" w:type="dxa"/>
          <w:right w:w="0" w:type="dxa"/>
        </w:tblCellMar>
        <w:tblLook w:val="0420" w:firstRow="1" w:lastRow="0" w:firstColumn="0" w:lastColumn="0" w:noHBand="0" w:noVBand="1"/>
      </w:tblPr>
      <w:tblGrid>
        <w:gridCol w:w="990"/>
        <w:gridCol w:w="715"/>
        <w:gridCol w:w="715"/>
        <w:gridCol w:w="715"/>
        <w:gridCol w:w="715"/>
        <w:gridCol w:w="715"/>
        <w:gridCol w:w="715"/>
        <w:gridCol w:w="715"/>
        <w:gridCol w:w="715"/>
        <w:gridCol w:w="715"/>
        <w:gridCol w:w="715"/>
        <w:gridCol w:w="776"/>
      </w:tblGrid>
      <w:tr w:rsidR="003F4050" w:rsidRPr="001D69AD" w14:paraId="13C34FF2" w14:textId="77777777" w:rsidTr="00C848E6">
        <w:trPr>
          <w:trHeight w:val="200"/>
        </w:trPr>
        <w:tc>
          <w:tcPr>
            <w:tcW w:w="8916" w:type="dxa"/>
            <w:gridSpan w:val="12"/>
            <w:tcBorders>
              <w:top w:val="single" w:sz="4" w:space="0" w:color="45484D"/>
              <w:left w:val="single" w:sz="4" w:space="0" w:color="45484D"/>
              <w:bottom w:val="single" w:sz="4" w:space="0" w:color="45484D"/>
              <w:right w:val="single" w:sz="4" w:space="0" w:color="45484D"/>
            </w:tcBorders>
            <w:shd w:val="clear" w:color="auto" w:fill="0A4977" w:themeFill="text2"/>
            <w:tcMar>
              <w:top w:w="72" w:type="dxa"/>
              <w:left w:w="144" w:type="dxa"/>
              <w:bottom w:w="72" w:type="dxa"/>
              <w:right w:w="144" w:type="dxa"/>
            </w:tcMar>
            <w:vAlign w:val="center"/>
            <w:hideMark/>
          </w:tcPr>
          <w:p w14:paraId="115C0F4A" w14:textId="131EE4BE" w:rsidR="003F4050" w:rsidRPr="001D69AD" w:rsidRDefault="003F4050" w:rsidP="00B91ABF">
            <w:pPr>
              <w:pStyle w:val="RRBody"/>
              <w:spacing w:after="0" w:line="240" w:lineRule="auto"/>
              <w:jc w:val="center"/>
              <w:rPr>
                <w:rFonts w:asciiTheme="majorHAnsi" w:hAnsiTheme="majorHAnsi" w:cstheme="majorHAnsi"/>
                <w:b/>
                <w:bCs/>
                <w:color w:val="FFFFFF" w:themeColor="background1"/>
                <w:sz w:val="14"/>
                <w:szCs w:val="20"/>
              </w:rPr>
            </w:pPr>
            <w:r w:rsidRPr="001D69AD">
              <w:rPr>
                <w:rFonts w:asciiTheme="majorHAnsi" w:hAnsiTheme="majorHAnsi" w:cstheme="majorHAnsi"/>
                <w:b/>
                <w:bCs/>
                <w:color w:val="FFFFFF" w:themeColor="background1"/>
                <w:sz w:val="14"/>
                <w:szCs w:val="20"/>
              </w:rPr>
              <w:t>Number of Entity Failures by Base Rate and Run-off Year</w:t>
            </w:r>
          </w:p>
        </w:tc>
      </w:tr>
      <w:tr w:rsidR="00016E7D" w:rsidRPr="001D69AD" w14:paraId="5E2C6F2E" w14:textId="77777777" w:rsidTr="001D69AD">
        <w:trPr>
          <w:trHeight w:val="44"/>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hideMark/>
          </w:tcPr>
          <w:p w14:paraId="46DEA405" w14:textId="77777777" w:rsidR="00016E7D" w:rsidRPr="001D69AD" w:rsidRDefault="00016E7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Run-off Year</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66473AFE" w14:textId="7A0C208C"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0.15%</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55AF00AF" w14:textId="1685882B"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0.20%</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35BA0E52" w14:textId="5A16E0B5"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0.25%</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3DC423F9" w14:textId="2A0B6A54"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0.30%</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28A4EC89" w14:textId="3D02E355"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0.35%</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5A131EE2" w14:textId="220F65FF"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0.40%</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2A949926" w14:textId="057730BB"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0.45%</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21C40080" w14:textId="1F7BFAA2"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bCs/>
                <w:sz w:val="14"/>
                <w:szCs w:val="20"/>
              </w:rPr>
              <w:t>0.50%</w:t>
            </w:r>
          </w:p>
        </w:tc>
        <w:tc>
          <w:tcPr>
            <w:tcW w:w="715" w:type="dxa"/>
            <w:tcBorders>
              <w:top w:val="single" w:sz="4" w:space="0" w:color="45484D"/>
              <w:left w:val="nil"/>
              <w:bottom w:val="single" w:sz="4" w:space="0" w:color="45484D"/>
              <w:right w:val="nil"/>
            </w:tcBorders>
            <w:shd w:val="clear" w:color="auto" w:fill="B8DDF9" w:themeFill="text2" w:themeFillTint="33"/>
            <w:tcMar>
              <w:top w:w="72" w:type="dxa"/>
              <w:left w:w="144" w:type="dxa"/>
              <w:bottom w:w="72" w:type="dxa"/>
              <w:right w:w="144" w:type="dxa"/>
            </w:tcMar>
            <w:vAlign w:val="center"/>
            <w:hideMark/>
          </w:tcPr>
          <w:p w14:paraId="77540317" w14:textId="3FBAA892" w:rsidR="00016E7D" w:rsidRPr="001D69AD" w:rsidRDefault="00016E7D" w:rsidP="00B91ABF">
            <w:pPr>
              <w:pStyle w:val="RRBody"/>
              <w:spacing w:after="0" w:line="240" w:lineRule="auto"/>
              <w:jc w:val="center"/>
              <w:rPr>
                <w:rFonts w:asciiTheme="majorHAnsi" w:hAnsiTheme="majorHAnsi" w:cstheme="majorHAnsi"/>
                <w:b/>
                <w:sz w:val="14"/>
                <w:szCs w:val="20"/>
              </w:rPr>
            </w:pPr>
            <w:r w:rsidRPr="001D69AD">
              <w:rPr>
                <w:rFonts w:asciiTheme="majorHAnsi" w:hAnsiTheme="majorHAnsi" w:cstheme="majorHAnsi"/>
                <w:b/>
                <w:sz w:val="14"/>
                <w:szCs w:val="20"/>
              </w:rPr>
              <w:t>0.55%</w:t>
            </w:r>
          </w:p>
        </w:tc>
        <w:tc>
          <w:tcPr>
            <w:tcW w:w="715" w:type="dxa"/>
            <w:tcBorders>
              <w:top w:val="single" w:sz="4" w:space="0" w:color="45484D"/>
              <w:left w:val="nil"/>
              <w:bottom w:val="single" w:sz="4" w:space="0" w:color="45484D"/>
              <w:right w:val="nil"/>
            </w:tcBorders>
            <w:shd w:val="clear" w:color="auto" w:fill="auto"/>
            <w:tcMar>
              <w:top w:w="72" w:type="dxa"/>
              <w:left w:w="144" w:type="dxa"/>
              <w:bottom w:w="72" w:type="dxa"/>
              <w:right w:w="144" w:type="dxa"/>
            </w:tcMar>
            <w:vAlign w:val="center"/>
            <w:hideMark/>
          </w:tcPr>
          <w:p w14:paraId="6D078C54" w14:textId="4AF02696"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0.60%</w:t>
            </w:r>
          </w:p>
        </w:tc>
        <w:tc>
          <w:tcPr>
            <w:tcW w:w="776" w:type="dxa"/>
            <w:tcBorders>
              <w:top w:val="single" w:sz="4" w:space="0" w:color="45484D"/>
              <w:left w:val="nil"/>
              <w:bottom w:val="single" w:sz="4" w:space="0" w:color="45484D"/>
              <w:right w:val="single" w:sz="4" w:space="0" w:color="45484D"/>
            </w:tcBorders>
            <w:shd w:val="clear" w:color="auto" w:fill="auto"/>
            <w:tcMar>
              <w:top w:w="72" w:type="dxa"/>
              <w:left w:w="144" w:type="dxa"/>
              <w:bottom w:w="72" w:type="dxa"/>
              <w:right w:w="144" w:type="dxa"/>
            </w:tcMar>
            <w:vAlign w:val="center"/>
            <w:hideMark/>
          </w:tcPr>
          <w:p w14:paraId="559F5FD6" w14:textId="33395A96" w:rsidR="00016E7D" w:rsidRPr="001D69AD" w:rsidRDefault="00016E7D" w:rsidP="00B91ABF">
            <w:pPr>
              <w:pStyle w:val="RRBody"/>
              <w:spacing w:after="0" w:line="240" w:lineRule="auto"/>
              <w:jc w:val="center"/>
              <w:rPr>
                <w:rFonts w:asciiTheme="majorHAnsi" w:hAnsiTheme="majorHAnsi" w:cstheme="majorHAnsi"/>
                <w:sz w:val="14"/>
                <w:szCs w:val="20"/>
              </w:rPr>
            </w:pPr>
            <w:r w:rsidRPr="001D69AD">
              <w:rPr>
                <w:rFonts w:asciiTheme="majorHAnsi" w:hAnsiTheme="majorHAnsi" w:cstheme="majorHAnsi"/>
                <w:sz w:val="14"/>
                <w:szCs w:val="20"/>
              </w:rPr>
              <w:t>0.65%</w:t>
            </w:r>
          </w:p>
        </w:tc>
      </w:tr>
      <w:tr w:rsidR="001D69AD" w:rsidRPr="001D69AD" w14:paraId="69850131" w14:textId="77777777" w:rsidTr="001D69AD">
        <w:trPr>
          <w:trHeight w:val="26"/>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hideMark/>
          </w:tcPr>
          <w:p w14:paraId="69B21AC4" w14:textId="151988BD" w:rsidR="001D69AD" w:rsidRPr="001D69AD" w:rsidRDefault="001D69A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2005</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0B9AFFC" w14:textId="2DBFB149"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1EA14E23" w14:textId="767A892D"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2D3F444C" w14:textId="1086D075"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6F2BD832" w14:textId="24D1BCEA"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011E609" w14:textId="1C4E5A1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49B2A217" w14:textId="6E7E5D1E"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65011662" w14:textId="75BBDAEB"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5C4A6C2" w14:textId="6ABCA40D"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hideMark/>
          </w:tcPr>
          <w:p w14:paraId="143E55AB" w14:textId="12F24F5B" w:rsidR="001D69AD" w:rsidRPr="001D69AD" w:rsidRDefault="001D69AD" w:rsidP="00B91ABF">
            <w:pPr>
              <w:pStyle w:val="RRBody"/>
              <w:spacing w:after="0" w:line="240" w:lineRule="auto"/>
              <w:jc w:val="center"/>
              <w:rPr>
                <w:rFonts w:asciiTheme="majorHAnsi" w:hAnsiTheme="majorHAnsi" w:cstheme="majorHAnsi"/>
                <w:b/>
                <w:sz w:val="14"/>
                <w:szCs w:val="14"/>
              </w:rPr>
            </w:pPr>
            <w:r w:rsidRPr="001D69AD">
              <w:rPr>
                <w:rFonts w:asciiTheme="majorHAnsi" w:hAnsiTheme="majorHAnsi" w:cstheme="majorHAnsi"/>
                <w:b/>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66937E5" w14:textId="132071E6"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hideMark/>
          </w:tcPr>
          <w:p w14:paraId="7D921D8F" w14:textId="45BFB6D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r>
      <w:tr w:rsidR="001D69AD" w:rsidRPr="001D69AD" w14:paraId="0DC65D44" w14:textId="77777777" w:rsidTr="001D69AD">
        <w:trPr>
          <w:trHeight w:val="200"/>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hideMark/>
          </w:tcPr>
          <w:p w14:paraId="2E8B9396" w14:textId="77777777" w:rsidR="001D69AD" w:rsidRPr="001D69AD" w:rsidRDefault="001D69A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2006</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BA9B2B7" w14:textId="1D4E0EF7"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839EC6C" w14:textId="76B00517"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612FD22F" w14:textId="3CB67BAF"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29F4519" w14:textId="6D98154A"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32A7266" w14:textId="048B9CAC"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E73943C" w14:textId="36301CF0"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30AC932" w14:textId="2BE36E04"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FD53F55" w14:textId="595667A6"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hideMark/>
          </w:tcPr>
          <w:p w14:paraId="72EB743F" w14:textId="590590F5" w:rsidR="001D69AD" w:rsidRPr="001D69AD" w:rsidRDefault="001D69AD" w:rsidP="00B91ABF">
            <w:pPr>
              <w:pStyle w:val="RRBody"/>
              <w:spacing w:after="0" w:line="240" w:lineRule="auto"/>
              <w:jc w:val="center"/>
              <w:rPr>
                <w:rFonts w:asciiTheme="majorHAnsi" w:hAnsiTheme="majorHAnsi" w:cstheme="majorHAnsi"/>
                <w:b/>
                <w:sz w:val="14"/>
                <w:szCs w:val="14"/>
              </w:rPr>
            </w:pPr>
            <w:r w:rsidRPr="001D69AD">
              <w:rPr>
                <w:rFonts w:asciiTheme="majorHAnsi" w:hAnsiTheme="majorHAnsi" w:cstheme="majorHAnsi"/>
                <w:b/>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4DD782F5" w14:textId="4A41F8DD"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hideMark/>
          </w:tcPr>
          <w:p w14:paraId="5FC7C466" w14:textId="5578C45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r>
      <w:tr w:rsidR="001D69AD" w:rsidRPr="001D69AD" w14:paraId="6D94F590" w14:textId="77777777" w:rsidTr="001D69AD">
        <w:trPr>
          <w:trHeight w:val="200"/>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hideMark/>
          </w:tcPr>
          <w:p w14:paraId="0DF4B5E0" w14:textId="77777777" w:rsidR="001D69AD" w:rsidRPr="001D69AD" w:rsidRDefault="001D69A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2007</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FF20061" w14:textId="29DFC822"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2057750" w14:textId="69B8DD48"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26BEE519" w14:textId="581E23B8"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467A9EF" w14:textId="56B8E752" w:rsidR="001D69AD" w:rsidRPr="001D69AD" w:rsidRDefault="00B94E05" w:rsidP="00B91ABF">
            <w:pPr>
              <w:pStyle w:val="RRBody"/>
              <w:spacing w:after="0" w:line="240" w:lineRule="auto"/>
              <w:jc w:val="center"/>
              <w:rPr>
                <w:rFonts w:asciiTheme="majorHAnsi" w:hAnsiTheme="majorHAnsi" w:cstheme="majorHAnsi"/>
                <w:sz w:val="14"/>
                <w:szCs w:val="14"/>
              </w:rPr>
            </w:pPr>
            <w:r>
              <w:rPr>
                <w:rFonts w:asciiTheme="majorHAnsi" w:hAnsiTheme="majorHAnsi" w:cstheme="majorHAnsi"/>
                <w:sz w:val="14"/>
                <w:szCs w:val="14"/>
              </w:rPr>
              <w:t>3</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17EEE2A2" w14:textId="27E01DE9"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42792C28" w14:textId="75F20DC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D9FC310" w14:textId="355416EA"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50B100F" w14:textId="72AC1FFF"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hideMark/>
          </w:tcPr>
          <w:p w14:paraId="0473E1B9" w14:textId="52BF0B44" w:rsidR="001D69AD" w:rsidRPr="001D69AD" w:rsidRDefault="001D69AD" w:rsidP="00B91ABF">
            <w:pPr>
              <w:pStyle w:val="RRBody"/>
              <w:spacing w:after="0" w:line="240" w:lineRule="auto"/>
              <w:jc w:val="center"/>
              <w:rPr>
                <w:rFonts w:asciiTheme="majorHAnsi" w:hAnsiTheme="majorHAnsi" w:cstheme="majorHAnsi"/>
                <w:b/>
                <w:sz w:val="14"/>
                <w:szCs w:val="14"/>
              </w:rPr>
            </w:pPr>
            <w:r w:rsidRPr="001D69AD">
              <w:rPr>
                <w:rFonts w:asciiTheme="majorHAnsi" w:hAnsiTheme="majorHAnsi" w:cstheme="majorHAnsi"/>
                <w:b/>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6CA73A9D" w14:textId="18E0EB3A"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hideMark/>
          </w:tcPr>
          <w:p w14:paraId="66809304" w14:textId="0C746567"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r>
      <w:tr w:rsidR="001D69AD" w:rsidRPr="001D69AD" w14:paraId="0C1AF1CF" w14:textId="77777777" w:rsidTr="001D69AD">
        <w:trPr>
          <w:trHeight w:val="200"/>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hideMark/>
          </w:tcPr>
          <w:p w14:paraId="069D91D9" w14:textId="77777777" w:rsidR="001D69AD" w:rsidRPr="001D69AD" w:rsidRDefault="001D69A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2008</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65F0E11C" w14:textId="322B6C95"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5</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64F8E09D" w14:textId="3222B2D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5</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ACDC106" w14:textId="4EB8CEF9"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5</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272E2CB" w14:textId="60A8EAAD"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5</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C733089" w14:textId="6A0B4DB6"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A19A062" w14:textId="7BB279B0"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42AAB4F" w14:textId="7B2A0B68"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3FAA67A" w14:textId="250282D0"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hideMark/>
          </w:tcPr>
          <w:p w14:paraId="71D179AC" w14:textId="6526F980" w:rsidR="001D69AD" w:rsidRPr="001D69AD" w:rsidRDefault="001D69AD" w:rsidP="00B91ABF">
            <w:pPr>
              <w:pStyle w:val="RRBody"/>
              <w:spacing w:after="0" w:line="240" w:lineRule="auto"/>
              <w:jc w:val="center"/>
              <w:rPr>
                <w:rFonts w:asciiTheme="majorHAnsi" w:hAnsiTheme="majorHAnsi" w:cstheme="majorHAnsi"/>
                <w:b/>
                <w:sz w:val="14"/>
                <w:szCs w:val="14"/>
              </w:rPr>
            </w:pPr>
            <w:r w:rsidRPr="001D69AD">
              <w:rPr>
                <w:rFonts w:asciiTheme="majorHAnsi" w:hAnsiTheme="majorHAnsi" w:cstheme="majorHAnsi"/>
                <w:b/>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C35B64C" w14:textId="31666CBE"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hideMark/>
          </w:tcPr>
          <w:p w14:paraId="039F2A00" w14:textId="1347AB35"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r>
      <w:tr w:rsidR="001D69AD" w:rsidRPr="001D69AD" w14:paraId="4811AACA" w14:textId="77777777" w:rsidTr="001D69AD">
        <w:trPr>
          <w:trHeight w:val="200"/>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hideMark/>
          </w:tcPr>
          <w:p w14:paraId="00BB4155" w14:textId="77777777" w:rsidR="001D69AD" w:rsidRPr="001D69AD" w:rsidRDefault="001D69A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2009</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2AC61706" w14:textId="23177386"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0C6DFD0D" w14:textId="7E633E8B"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2919FB8" w14:textId="3F4D8EC2"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57A93CAF" w14:textId="1744AF90"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1289D7EC" w14:textId="18016C4A"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4D2D441D" w14:textId="6D74E63B" w:rsidR="001D69AD" w:rsidRPr="001D69AD" w:rsidRDefault="00B94E05" w:rsidP="00B91ABF">
            <w:pPr>
              <w:pStyle w:val="RRBody"/>
              <w:spacing w:after="0" w:line="240" w:lineRule="auto"/>
              <w:jc w:val="center"/>
              <w:rPr>
                <w:rFonts w:asciiTheme="majorHAnsi" w:hAnsiTheme="majorHAnsi" w:cstheme="majorHAnsi"/>
                <w:sz w:val="14"/>
                <w:szCs w:val="14"/>
              </w:rPr>
            </w:pPr>
            <w:r>
              <w:rPr>
                <w:rFonts w:asciiTheme="majorHAnsi" w:hAnsiTheme="majorHAnsi" w:cstheme="majorHAnsi"/>
                <w:color w:val="000000"/>
                <w:sz w:val="14"/>
                <w:szCs w:val="14"/>
              </w:rPr>
              <w:t>3</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5C9ADC08" w14:textId="2B05518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3BF81465" w14:textId="5BC666AE"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hideMark/>
          </w:tcPr>
          <w:p w14:paraId="37333957" w14:textId="61BCD029" w:rsidR="001D69AD" w:rsidRPr="001D69AD" w:rsidRDefault="001D69AD" w:rsidP="00B91ABF">
            <w:pPr>
              <w:pStyle w:val="RRBody"/>
              <w:spacing w:after="0" w:line="240" w:lineRule="auto"/>
              <w:jc w:val="center"/>
              <w:rPr>
                <w:rFonts w:asciiTheme="majorHAnsi" w:hAnsiTheme="majorHAnsi" w:cstheme="majorHAnsi"/>
                <w:b/>
                <w:sz w:val="14"/>
                <w:szCs w:val="14"/>
              </w:rPr>
            </w:pPr>
            <w:r w:rsidRPr="001D69AD">
              <w:rPr>
                <w:rFonts w:asciiTheme="majorHAnsi" w:hAnsiTheme="majorHAnsi" w:cstheme="majorHAnsi"/>
                <w:b/>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432B7F7E" w14:textId="17501FED"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hideMark/>
          </w:tcPr>
          <w:p w14:paraId="76C6EA26" w14:textId="3B8D74B4"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r>
      <w:tr w:rsidR="001D69AD" w:rsidRPr="001D69AD" w14:paraId="55E49C88" w14:textId="77777777" w:rsidTr="001D69AD">
        <w:trPr>
          <w:trHeight w:val="26"/>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hideMark/>
          </w:tcPr>
          <w:p w14:paraId="68D1F24E" w14:textId="77777777" w:rsidR="001D69AD" w:rsidRPr="001D69AD" w:rsidRDefault="001D69A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2010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59497BE4" w14:textId="1B298B6C"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322C6B2" w14:textId="7623EA1C"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182D97F2" w14:textId="5714B724"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282AED5E" w14:textId="5C62BB83"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11E0E972" w14:textId="3C831B54"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C687A06" w14:textId="2D8C6F96"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4</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4F1E408C" w14:textId="73224D26"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3</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569F2B2D" w14:textId="6230C74D"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2</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hideMark/>
          </w:tcPr>
          <w:p w14:paraId="334841E7" w14:textId="27DCBD1F" w:rsidR="001D69AD" w:rsidRPr="001D69AD" w:rsidRDefault="001D69AD" w:rsidP="00B91ABF">
            <w:pPr>
              <w:pStyle w:val="RRBody"/>
              <w:spacing w:after="0" w:line="240" w:lineRule="auto"/>
              <w:jc w:val="center"/>
              <w:rPr>
                <w:rFonts w:asciiTheme="majorHAnsi" w:hAnsiTheme="majorHAnsi" w:cstheme="majorHAnsi"/>
                <w:b/>
                <w:sz w:val="14"/>
                <w:szCs w:val="14"/>
              </w:rPr>
            </w:pPr>
            <w:r w:rsidRPr="001D69AD">
              <w:rPr>
                <w:rFonts w:asciiTheme="majorHAnsi" w:hAnsiTheme="majorHAnsi" w:cstheme="majorHAnsi"/>
                <w:b/>
                <w:color w:val="000000"/>
                <w:sz w:val="14"/>
                <w:szCs w:val="14"/>
              </w:rPr>
              <w:t>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hideMark/>
          </w:tcPr>
          <w:p w14:paraId="76150B9D" w14:textId="4DEEB856"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hideMark/>
          </w:tcPr>
          <w:p w14:paraId="206B77EE" w14:textId="7B5F3C9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r>
      <w:tr w:rsidR="001D69AD" w:rsidRPr="001D69AD" w14:paraId="573B485C" w14:textId="77777777" w:rsidTr="001D69AD">
        <w:trPr>
          <w:trHeight w:val="26"/>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tcPr>
          <w:p w14:paraId="14509A14" w14:textId="1A357789" w:rsidR="001D69AD" w:rsidRPr="001D69AD" w:rsidRDefault="001D69AD" w:rsidP="00B91ABF">
            <w:pPr>
              <w:pStyle w:val="RRBody"/>
              <w:spacing w:after="0" w:line="240" w:lineRule="auto"/>
              <w:jc w:val="both"/>
              <w:rPr>
                <w:rFonts w:asciiTheme="majorHAnsi" w:hAnsiTheme="majorHAnsi" w:cstheme="majorHAnsi"/>
                <w:sz w:val="14"/>
                <w:szCs w:val="20"/>
              </w:rPr>
            </w:pPr>
            <w:r w:rsidRPr="001D69AD">
              <w:rPr>
                <w:rFonts w:asciiTheme="majorHAnsi" w:hAnsiTheme="majorHAnsi" w:cstheme="majorHAnsi"/>
                <w:sz w:val="14"/>
                <w:szCs w:val="20"/>
              </w:rPr>
              <w:t>2011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7333AE55" w14:textId="0CCB3653"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20B3D9A5" w14:textId="08F2C58A"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2EB15A3F" w14:textId="2545788A"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64DFEB6A" w14:textId="02238C73"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7D573B1D" w14:textId="44AFE591"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1683C02C" w14:textId="3D640FAB" w:rsidR="001D69AD" w:rsidRPr="001D69AD" w:rsidRDefault="001D69AD" w:rsidP="00B91ABF">
            <w:pPr>
              <w:pStyle w:val="RRBody"/>
              <w:spacing w:after="0" w:line="240" w:lineRule="auto"/>
              <w:jc w:val="center"/>
              <w:rPr>
                <w:rFonts w:asciiTheme="majorHAnsi" w:hAnsiTheme="majorHAnsi" w:cstheme="majorHAnsi"/>
                <w:bCs/>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57701C8B" w14:textId="72C9FF45"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0303E20F" w14:textId="67D18EDB"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tcPr>
          <w:p w14:paraId="4703F998" w14:textId="6F0EC53B" w:rsidR="001D69AD" w:rsidRPr="001D69AD" w:rsidRDefault="001D69AD" w:rsidP="00B91ABF">
            <w:pPr>
              <w:pStyle w:val="RRBody"/>
              <w:spacing w:after="0" w:line="240" w:lineRule="auto"/>
              <w:jc w:val="center"/>
              <w:rPr>
                <w:rFonts w:asciiTheme="majorHAnsi" w:hAnsiTheme="majorHAnsi" w:cstheme="majorHAnsi"/>
                <w:b/>
                <w:sz w:val="14"/>
                <w:szCs w:val="14"/>
              </w:rPr>
            </w:pPr>
            <w:r w:rsidRPr="001D69AD">
              <w:rPr>
                <w:rFonts w:asciiTheme="majorHAnsi" w:hAnsiTheme="majorHAnsi" w:cstheme="majorHAnsi"/>
                <w:b/>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7E8B1322" w14:textId="42E5DF89"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tcPr>
          <w:p w14:paraId="386A0B2B" w14:textId="055F8227" w:rsidR="001D69AD" w:rsidRPr="001D69AD" w:rsidRDefault="001D69AD" w:rsidP="00B91ABF">
            <w:pPr>
              <w:pStyle w:val="RRBody"/>
              <w:spacing w:after="0" w:line="240" w:lineRule="auto"/>
              <w:jc w:val="center"/>
              <w:rPr>
                <w:rFonts w:asciiTheme="majorHAnsi" w:hAnsiTheme="majorHAnsi" w:cstheme="majorHAnsi"/>
                <w:sz w:val="14"/>
                <w:szCs w:val="14"/>
              </w:rPr>
            </w:pPr>
            <w:r w:rsidRPr="001D69AD">
              <w:rPr>
                <w:rFonts w:asciiTheme="majorHAnsi" w:hAnsiTheme="majorHAnsi" w:cstheme="majorHAnsi"/>
                <w:color w:val="000000"/>
                <w:sz w:val="14"/>
                <w:szCs w:val="14"/>
              </w:rPr>
              <w:t>0</w:t>
            </w:r>
          </w:p>
        </w:tc>
      </w:tr>
      <w:tr w:rsidR="00F431BF" w:rsidRPr="001D69AD" w14:paraId="4118C4F8" w14:textId="77777777" w:rsidTr="001D69AD">
        <w:trPr>
          <w:trHeight w:val="26"/>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tcPr>
          <w:p w14:paraId="4EE0C3AF" w14:textId="4CDDC155" w:rsidR="00F431BF" w:rsidRPr="001D69AD" w:rsidRDefault="00F431BF" w:rsidP="00B91ABF">
            <w:pPr>
              <w:pStyle w:val="RRBody"/>
              <w:spacing w:after="0" w:line="240" w:lineRule="auto"/>
              <w:jc w:val="both"/>
              <w:rPr>
                <w:rFonts w:asciiTheme="majorHAnsi" w:hAnsiTheme="majorHAnsi" w:cstheme="majorHAnsi"/>
                <w:sz w:val="14"/>
                <w:szCs w:val="20"/>
              </w:rPr>
            </w:pPr>
            <w:r>
              <w:rPr>
                <w:rFonts w:asciiTheme="majorHAnsi" w:hAnsiTheme="majorHAnsi" w:cstheme="majorHAnsi"/>
                <w:sz w:val="14"/>
                <w:szCs w:val="20"/>
              </w:rPr>
              <w:t>2012</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1FBFFCD9" w14:textId="6B8006EA"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2353D65E" w14:textId="12DAC059"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62539D34" w14:textId="56905F62"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3CC2B18D" w14:textId="333736B0"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14224A03" w14:textId="4909771B"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027E1C20" w14:textId="779FDE69"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3B09B298" w14:textId="0D18F14C"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7E15492F" w14:textId="451020C8"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1</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tcPr>
          <w:p w14:paraId="11A58A5C" w14:textId="7351BC53" w:rsidR="00F431BF" w:rsidRPr="001D69AD" w:rsidRDefault="00F431BF" w:rsidP="00B91ABF">
            <w:pPr>
              <w:pStyle w:val="RRBody"/>
              <w:spacing w:after="0" w:line="240" w:lineRule="auto"/>
              <w:jc w:val="center"/>
              <w:rPr>
                <w:rFonts w:asciiTheme="majorHAnsi" w:hAnsiTheme="majorHAnsi" w:cstheme="majorHAnsi"/>
                <w:b/>
                <w:color w:val="000000"/>
                <w:sz w:val="14"/>
                <w:szCs w:val="14"/>
              </w:rPr>
            </w:pPr>
            <w:r>
              <w:rPr>
                <w:rFonts w:asciiTheme="majorHAnsi" w:hAnsiTheme="majorHAnsi" w:cstheme="majorHAnsi"/>
                <w:b/>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16B9AFAF" w14:textId="4087A0C9"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tcPr>
          <w:p w14:paraId="6C959241" w14:textId="3E5FD9B2"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r>
      <w:tr w:rsidR="00F431BF" w:rsidRPr="001D69AD" w14:paraId="5BA60DD9" w14:textId="77777777" w:rsidTr="00B91ABF">
        <w:trPr>
          <w:trHeight w:val="26"/>
        </w:trPr>
        <w:tc>
          <w:tcPr>
            <w:tcW w:w="990" w:type="dxa"/>
            <w:tcBorders>
              <w:top w:val="single" w:sz="4" w:space="0" w:color="45484D"/>
              <w:left w:val="single" w:sz="4" w:space="0" w:color="45484D"/>
              <w:bottom w:val="single" w:sz="4" w:space="0" w:color="45484D"/>
              <w:right w:val="nil"/>
            </w:tcBorders>
            <w:shd w:val="clear" w:color="auto" w:fill="auto"/>
            <w:tcMar>
              <w:top w:w="72" w:type="dxa"/>
              <w:left w:w="144" w:type="dxa"/>
              <w:bottom w:w="72" w:type="dxa"/>
              <w:right w:w="144" w:type="dxa"/>
            </w:tcMar>
            <w:vAlign w:val="center"/>
          </w:tcPr>
          <w:p w14:paraId="76896280" w14:textId="0D99D139" w:rsidR="00F431BF" w:rsidRPr="001D69AD" w:rsidRDefault="00F431BF" w:rsidP="00B91ABF">
            <w:pPr>
              <w:pStyle w:val="RRBody"/>
              <w:spacing w:after="0" w:line="240" w:lineRule="auto"/>
              <w:jc w:val="both"/>
              <w:rPr>
                <w:rFonts w:asciiTheme="majorHAnsi" w:hAnsiTheme="majorHAnsi" w:cstheme="majorHAnsi"/>
                <w:sz w:val="14"/>
                <w:szCs w:val="20"/>
              </w:rPr>
            </w:pPr>
            <w:r>
              <w:rPr>
                <w:rFonts w:asciiTheme="majorHAnsi" w:hAnsiTheme="majorHAnsi" w:cstheme="majorHAnsi"/>
                <w:sz w:val="14"/>
                <w:szCs w:val="20"/>
              </w:rPr>
              <w:t>2013</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0F94CF73" w14:textId="3DBCBD22"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5AE7277F" w14:textId="2A1F88D6"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70E3203B" w14:textId="130EBFFD"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54586341" w14:textId="562C1518"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5DE49D23" w14:textId="042E9D8E"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266D3077" w14:textId="0B8790F7"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45E91C86" w14:textId="0F2E4D80"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1AF80B9C" w14:textId="2975D7B0"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15" w:type="dxa"/>
            <w:tcBorders>
              <w:top w:val="single" w:sz="4" w:space="0" w:color="45484D"/>
              <w:left w:val="nil"/>
              <w:bottom w:val="single" w:sz="4" w:space="0" w:color="45484D"/>
              <w:right w:val="nil"/>
            </w:tcBorders>
            <w:shd w:val="clear" w:color="auto" w:fill="B8DDF9" w:themeFill="text2" w:themeFillTint="33"/>
            <w:tcMar>
              <w:top w:w="15" w:type="dxa"/>
              <w:left w:w="15" w:type="dxa"/>
              <w:bottom w:w="0" w:type="dxa"/>
              <w:right w:w="15" w:type="dxa"/>
            </w:tcMar>
            <w:vAlign w:val="bottom"/>
          </w:tcPr>
          <w:p w14:paraId="38E22BBA" w14:textId="4D77023F" w:rsidR="00F431BF" w:rsidRPr="001D69AD" w:rsidRDefault="00F431BF" w:rsidP="00B91ABF">
            <w:pPr>
              <w:pStyle w:val="RRBody"/>
              <w:spacing w:after="0" w:line="240" w:lineRule="auto"/>
              <w:jc w:val="center"/>
              <w:rPr>
                <w:rFonts w:asciiTheme="majorHAnsi" w:hAnsiTheme="majorHAnsi" w:cstheme="majorHAnsi"/>
                <w:b/>
                <w:color w:val="000000"/>
                <w:sz w:val="14"/>
                <w:szCs w:val="14"/>
              </w:rPr>
            </w:pPr>
            <w:r>
              <w:rPr>
                <w:rFonts w:asciiTheme="majorHAnsi" w:hAnsiTheme="majorHAnsi" w:cstheme="majorHAnsi"/>
                <w:b/>
                <w:color w:val="000000"/>
                <w:sz w:val="14"/>
                <w:szCs w:val="14"/>
              </w:rPr>
              <w:t>0</w:t>
            </w:r>
          </w:p>
        </w:tc>
        <w:tc>
          <w:tcPr>
            <w:tcW w:w="715" w:type="dxa"/>
            <w:tcBorders>
              <w:top w:val="single" w:sz="4" w:space="0" w:color="45484D"/>
              <w:left w:val="nil"/>
              <w:bottom w:val="single" w:sz="4" w:space="0" w:color="45484D"/>
              <w:right w:val="nil"/>
            </w:tcBorders>
            <w:shd w:val="clear" w:color="auto" w:fill="auto"/>
            <w:tcMar>
              <w:top w:w="15" w:type="dxa"/>
              <w:left w:w="15" w:type="dxa"/>
              <w:bottom w:w="0" w:type="dxa"/>
              <w:right w:w="15" w:type="dxa"/>
            </w:tcMar>
            <w:vAlign w:val="bottom"/>
          </w:tcPr>
          <w:p w14:paraId="57B4400E" w14:textId="2242A081"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c>
          <w:tcPr>
            <w:tcW w:w="776" w:type="dxa"/>
            <w:tcBorders>
              <w:top w:val="single" w:sz="4" w:space="0" w:color="45484D"/>
              <w:left w:val="nil"/>
              <w:bottom w:val="single" w:sz="4" w:space="0" w:color="45484D"/>
              <w:right w:val="single" w:sz="4" w:space="0" w:color="45484D"/>
            </w:tcBorders>
            <w:shd w:val="clear" w:color="auto" w:fill="auto"/>
            <w:tcMar>
              <w:top w:w="15" w:type="dxa"/>
              <w:left w:w="15" w:type="dxa"/>
              <w:bottom w:w="0" w:type="dxa"/>
              <w:right w:w="15" w:type="dxa"/>
            </w:tcMar>
            <w:vAlign w:val="bottom"/>
          </w:tcPr>
          <w:p w14:paraId="390A4FD9" w14:textId="033E3058" w:rsidR="00F431BF" w:rsidRPr="001D69AD" w:rsidRDefault="00F431BF" w:rsidP="00B91ABF">
            <w:pPr>
              <w:pStyle w:val="RRBody"/>
              <w:spacing w:after="0" w:line="240" w:lineRule="auto"/>
              <w:jc w:val="center"/>
              <w:rPr>
                <w:rFonts w:asciiTheme="majorHAnsi" w:hAnsiTheme="majorHAnsi" w:cstheme="majorHAnsi"/>
                <w:color w:val="000000"/>
                <w:sz w:val="14"/>
                <w:szCs w:val="14"/>
              </w:rPr>
            </w:pPr>
            <w:r>
              <w:rPr>
                <w:rFonts w:asciiTheme="majorHAnsi" w:hAnsiTheme="majorHAnsi" w:cstheme="majorHAnsi"/>
                <w:color w:val="000000"/>
                <w:sz w:val="14"/>
                <w:szCs w:val="14"/>
              </w:rPr>
              <w:t>0</w:t>
            </w:r>
          </w:p>
        </w:tc>
      </w:tr>
    </w:tbl>
    <w:p w14:paraId="2EB8B5EA" w14:textId="4305B87C" w:rsidR="007B64AF" w:rsidRDefault="007B64AF" w:rsidP="008F2E25">
      <w:pPr>
        <w:pStyle w:val="RRBody"/>
        <w:jc w:val="both"/>
        <w:rPr>
          <w:sz w:val="20"/>
          <w:szCs w:val="20"/>
        </w:rPr>
      </w:pPr>
      <w:r>
        <w:rPr>
          <w:sz w:val="20"/>
          <w:szCs w:val="20"/>
        </w:rPr>
        <w:t>Based on th</w:t>
      </w:r>
      <w:r w:rsidR="006828AD">
        <w:rPr>
          <w:sz w:val="20"/>
          <w:szCs w:val="20"/>
        </w:rPr>
        <w:t>e above table a base rate of 0.5</w:t>
      </w:r>
      <w:r>
        <w:rPr>
          <w:sz w:val="20"/>
          <w:szCs w:val="20"/>
        </w:rPr>
        <w:t xml:space="preserve">5% was </w:t>
      </w:r>
      <w:r w:rsidR="001D69AD">
        <w:rPr>
          <w:sz w:val="20"/>
          <w:szCs w:val="20"/>
        </w:rPr>
        <w:t>recommended</w:t>
      </w:r>
      <w:r>
        <w:rPr>
          <w:sz w:val="20"/>
          <w:szCs w:val="20"/>
        </w:rPr>
        <w:t>.</w:t>
      </w:r>
      <w:r w:rsidR="001D69AD">
        <w:rPr>
          <w:sz w:val="20"/>
          <w:szCs w:val="20"/>
        </w:rPr>
        <w:t xml:space="preserve"> Note, the base factor may be adjusted upon additional back-testing and analysis.</w:t>
      </w:r>
      <w:r>
        <w:rPr>
          <w:sz w:val="20"/>
          <w:szCs w:val="20"/>
        </w:rPr>
        <w:t xml:space="preserve"> </w:t>
      </w:r>
    </w:p>
    <w:p w14:paraId="7CE7DB4D" w14:textId="0CE3598E" w:rsidR="006D5D30" w:rsidRDefault="006D5D30" w:rsidP="006D5D30">
      <w:pPr>
        <w:spacing w:after="120" w:line="288" w:lineRule="auto"/>
        <w:jc w:val="both"/>
        <w:rPr>
          <w:i/>
          <w:sz w:val="20"/>
          <w:szCs w:val="20"/>
        </w:rPr>
      </w:pPr>
      <w:r>
        <w:rPr>
          <w:i/>
          <w:sz w:val="20"/>
          <w:szCs w:val="20"/>
        </w:rPr>
        <w:t>E.2.vi Severity Adjustment</w:t>
      </w:r>
    </w:p>
    <w:p w14:paraId="27195328" w14:textId="6AD790AC" w:rsidR="00F454B6" w:rsidRDefault="00F454B6" w:rsidP="006D5D30">
      <w:pPr>
        <w:spacing w:after="120" w:line="288" w:lineRule="auto"/>
        <w:jc w:val="both"/>
        <w:rPr>
          <w:sz w:val="20"/>
          <w:szCs w:val="20"/>
        </w:rPr>
      </w:pPr>
      <w:r>
        <w:rPr>
          <w:sz w:val="20"/>
          <w:szCs w:val="20"/>
        </w:rPr>
        <w:t>The above analysis assumes a 100% loss for primary mortgage insurance coverage and was developed using primary coverage data (i.e. pool policies were removed from the analysis). In certain instances, mortgage insurance companies may have exposure to loans with a coverage amounts in excess of standard coverage for mortgage insurance (i.e. “deep cover” mortgage insurance) or the ground-up loss for a pool of mortgages. Therefore, a severity component is required to assess the capital levels of mortgage insurance companies when the coverage amount is in excess of standard coverage.</w:t>
      </w:r>
    </w:p>
    <w:p w14:paraId="6FB16E42" w14:textId="7A7C5CB5" w:rsidR="00C848E6" w:rsidRDefault="00C848E6" w:rsidP="006D5D30">
      <w:pPr>
        <w:spacing w:after="120" w:line="288" w:lineRule="auto"/>
        <w:jc w:val="both"/>
        <w:rPr>
          <w:sz w:val="20"/>
          <w:szCs w:val="20"/>
        </w:rPr>
      </w:pPr>
      <w:r>
        <w:rPr>
          <w:sz w:val="20"/>
          <w:szCs w:val="20"/>
        </w:rPr>
        <w:t>In the RBC model, the severity rate is calculated at the loan-level as a function of the original loan-to-value ratio of the mortgage and the Economic Factor (discussed in Secti</w:t>
      </w:r>
      <w:r w:rsidRPr="00C848E6">
        <w:rPr>
          <w:sz w:val="20"/>
          <w:szCs w:val="20"/>
        </w:rPr>
        <w:t>on E.2.ii</w:t>
      </w:r>
      <w:r>
        <w:rPr>
          <w:sz w:val="20"/>
          <w:szCs w:val="20"/>
        </w:rPr>
        <w:t xml:space="preserve"> of this report). The higher the original loan-to-value ratio of the mortgage, the greater the severity rate. The higher the Economic Factor, the greater the severity rate. The severity rate, expressed as a percentage of the original loan amount, is a linear function of the Economic Factor, and the intercept is set by the original loan-to-value ratio. The equation below describes the calculation of the severity rate.</w:t>
      </w:r>
    </w:p>
    <w:p w14:paraId="02EA47E5" w14:textId="37F80EDD" w:rsidR="00C848E6" w:rsidRDefault="00C848E6" w:rsidP="006D5D30">
      <w:pPr>
        <w:spacing w:after="120" w:line="288" w:lineRule="auto"/>
        <w:jc w:val="both"/>
        <w:rPr>
          <w:sz w:val="20"/>
          <w:szCs w:val="20"/>
        </w:rPr>
      </w:pPr>
      <m:oMathPara>
        <m:oMath>
          <m:r>
            <w:rPr>
              <w:rFonts w:ascii="Cambria Math" w:hAnsi="Cambria Math"/>
              <w:sz w:val="20"/>
              <w:szCs w:val="20"/>
            </w:rPr>
            <m:t>Severity Rate=Intercept+Slope*Economic Factor</m:t>
          </m:r>
        </m:oMath>
      </m:oMathPara>
    </w:p>
    <w:p w14:paraId="68EFCB94" w14:textId="7DA01FA0" w:rsidR="00C848E6" w:rsidRDefault="00C848E6" w:rsidP="006D5D30">
      <w:pPr>
        <w:spacing w:after="120" w:line="288" w:lineRule="auto"/>
        <w:jc w:val="both"/>
        <w:rPr>
          <w:sz w:val="20"/>
          <w:szCs w:val="20"/>
        </w:rPr>
      </w:pPr>
      <w:r>
        <w:rPr>
          <w:sz w:val="20"/>
          <w:szCs w:val="20"/>
        </w:rPr>
        <w:t>The tables below provide the intercept and slope of the function required to calculate the severity rate.</w:t>
      </w:r>
    </w:p>
    <w:tbl>
      <w:tblPr>
        <w:tblStyle w:val="TableGrid"/>
        <w:tblW w:w="0" w:type="auto"/>
        <w:tblLook w:val="04A0" w:firstRow="1" w:lastRow="0" w:firstColumn="1" w:lastColumn="0" w:noHBand="0" w:noVBand="1"/>
      </w:tblPr>
      <w:tblGrid>
        <w:gridCol w:w="3116"/>
        <w:gridCol w:w="3117"/>
        <w:gridCol w:w="3117"/>
      </w:tblGrid>
      <w:tr w:rsidR="00C848E6" w:rsidRPr="00B91ABF" w14:paraId="20F7D731" w14:textId="77777777" w:rsidTr="00B91ABF">
        <w:tc>
          <w:tcPr>
            <w:tcW w:w="3116" w:type="dxa"/>
            <w:shd w:val="clear" w:color="auto" w:fill="0A4977" w:themeFill="text2"/>
          </w:tcPr>
          <w:p w14:paraId="01092D18" w14:textId="640B2E2A" w:rsidR="00C848E6" w:rsidRPr="00B91ABF" w:rsidRDefault="00C848E6" w:rsidP="00B91ABF">
            <w:pPr>
              <w:spacing w:line="288" w:lineRule="auto"/>
              <w:jc w:val="center"/>
              <w:rPr>
                <w:rFonts w:asciiTheme="majorHAnsi" w:hAnsiTheme="majorHAnsi" w:cstheme="majorHAnsi"/>
                <w:b/>
                <w:sz w:val="18"/>
                <w:szCs w:val="16"/>
              </w:rPr>
            </w:pPr>
            <w:r w:rsidRPr="00B91ABF">
              <w:rPr>
                <w:rFonts w:asciiTheme="majorHAnsi" w:hAnsiTheme="majorHAnsi" w:cstheme="majorHAnsi"/>
                <w:b/>
                <w:sz w:val="18"/>
                <w:szCs w:val="16"/>
              </w:rPr>
              <w:t>Original loan-to-value Ratio</w:t>
            </w:r>
          </w:p>
        </w:tc>
        <w:tc>
          <w:tcPr>
            <w:tcW w:w="3117" w:type="dxa"/>
            <w:shd w:val="clear" w:color="auto" w:fill="0A4977" w:themeFill="text2"/>
          </w:tcPr>
          <w:p w14:paraId="5813A20C" w14:textId="3317632C" w:rsidR="00C848E6" w:rsidRPr="00B91ABF" w:rsidRDefault="00C848E6" w:rsidP="00B91ABF">
            <w:pPr>
              <w:spacing w:line="288" w:lineRule="auto"/>
              <w:jc w:val="center"/>
              <w:rPr>
                <w:rFonts w:asciiTheme="majorHAnsi" w:hAnsiTheme="majorHAnsi" w:cstheme="majorHAnsi"/>
                <w:b/>
                <w:sz w:val="18"/>
                <w:szCs w:val="16"/>
              </w:rPr>
            </w:pPr>
            <w:r w:rsidRPr="00B91ABF">
              <w:rPr>
                <w:rFonts w:asciiTheme="majorHAnsi" w:hAnsiTheme="majorHAnsi" w:cstheme="majorHAnsi"/>
                <w:b/>
                <w:sz w:val="18"/>
                <w:szCs w:val="16"/>
              </w:rPr>
              <w:t>Intercept</w:t>
            </w:r>
          </w:p>
        </w:tc>
        <w:tc>
          <w:tcPr>
            <w:tcW w:w="3117" w:type="dxa"/>
            <w:shd w:val="clear" w:color="auto" w:fill="0A4977" w:themeFill="text2"/>
          </w:tcPr>
          <w:p w14:paraId="043C8646" w14:textId="5DCAF6C3" w:rsidR="00C848E6" w:rsidRPr="00B91ABF" w:rsidRDefault="00C848E6" w:rsidP="00B91ABF">
            <w:pPr>
              <w:spacing w:line="288" w:lineRule="auto"/>
              <w:jc w:val="center"/>
              <w:rPr>
                <w:rFonts w:asciiTheme="majorHAnsi" w:hAnsiTheme="majorHAnsi" w:cstheme="majorHAnsi"/>
                <w:b/>
                <w:sz w:val="18"/>
                <w:szCs w:val="16"/>
              </w:rPr>
            </w:pPr>
            <w:r w:rsidRPr="00B91ABF">
              <w:rPr>
                <w:rFonts w:asciiTheme="majorHAnsi" w:hAnsiTheme="majorHAnsi" w:cstheme="majorHAnsi"/>
                <w:b/>
                <w:sz w:val="18"/>
                <w:szCs w:val="16"/>
              </w:rPr>
              <w:t>Slope</w:t>
            </w:r>
          </w:p>
        </w:tc>
      </w:tr>
      <w:tr w:rsidR="00F1314F" w:rsidRPr="00B91ABF" w14:paraId="2BA9FB19" w14:textId="77777777" w:rsidTr="00B91ABF">
        <w:tc>
          <w:tcPr>
            <w:tcW w:w="3116" w:type="dxa"/>
            <w:vAlign w:val="bottom"/>
          </w:tcPr>
          <w:p w14:paraId="5F072946" w14:textId="4F8EC00A"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 10]</w:t>
            </w:r>
          </w:p>
        </w:tc>
        <w:tc>
          <w:tcPr>
            <w:tcW w:w="3117" w:type="dxa"/>
            <w:vAlign w:val="bottom"/>
          </w:tcPr>
          <w:p w14:paraId="30C73E4B" w14:textId="4B2193CB"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0.100</w:t>
            </w:r>
          </w:p>
        </w:tc>
        <w:tc>
          <w:tcPr>
            <w:tcW w:w="3117" w:type="dxa"/>
            <w:vAlign w:val="bottom"/>
          </w:tcPr>
          <w:p w14:paraId="66AD913F" w14:textId="414C32B5"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17493F3B" w14:textId="77777777" w:rsidTr="00B91ABF">
        <w:tc>
          <w:tcPr>
            <w:tcW w:w="3116" w:type="dxa"/>
            <w:vAlign w:val="bottom"/>
          </w:tcPr>
          <w:p w14:paraId="3312C66C" w14:textId="326A1E0B"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(10, 20]</w:t>
            </w:r>
          </w:p>
        </w:tc>
        <w:tc>
          <w:tcPr>
            <w:tcW w:w="3117" w:type="dxa"/>
            <w:vAlign w:val="bottom"/>
          </w:tcPr>
          <w:p w14:paraId="7252FCFD" w14:textId="4CB23006"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0.100</w:t>
            </w:r>
          </w:p>
        </w:tc>
        <w:tc>
          <w:tcPr>
            <w:tcW w:w="3117" w:type="dxa"/>
            <w:vAlign w:val="bottom"/>
          </w:tcPr>
          <w:p w14:paraId="74C07B5B" w14:textId="394B67B0"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44E00CE0" w14:textId="77777777" w:rsidTr="00B91ABF">
        <w:tc>
          <w:tcPr>
            <w:tcW w:w="3116" w:type="dxa"/>
            <w:vAlign w:val="bottom"/>
          </w:tcPr>
          <w:p w14:paraId="700B86EF" w14:textId="2C0F60BE"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(20, 30]</w:t>
            </w:r>
          </w:p>
        </w:tc>
        <w:tc>
          <w:tcPr>
            <w:tcW w:w="3117" w:type="dxa"/>
            <w:vAlign w:val="bottom"/>
          </w:tcPr>
          <w:p w14:paraId="05446A20" w14:textId="2A6107E4"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0.100</w:t>
            </w:r>
          </w:p>
        </w:tc>
        <w:tc>
          <w:tcPr>
            <w:tcW w:w="3117" w:type="dxa"/>
            <w:vAlign w:val="bottom"/>
          </w:tcPr>
          <w:p w14:paraId="2CA8054C" w14:textId="49B50842"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45BEB4D6" w14:textId="77777777" w:rsidTr="00B91ABF">
        <w:tc>
          <w:tcPr>
            <w:tcW w:w="3116" w:type="dxa"/>
            <w:vAlign w:val="bottom"/>
          </w:tcPr>
          <w:p w14:paraId="625AC62A" w14:textId="64FF1D35"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(30, 40]</w:t>
            </w:r>
          </w:p>
        </w:tc>
        <w:tc>
          <w:tcPr>
            <w:tcW w:w="3117" w:type="dxa"/>
            <w:vAlign w:val="bottom"/>
          </w:tcPr>
          <w:p w14:paraId="4F711C76" w14:textId="7A7AA558"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0.150</w:t>
            </w:r>
          </w:p>
        </w:tc>
        <w:tc>
          <w:tcPr>
            <w:tcW w:w="3117" w:type="dxa"/>
            <w:vAlign w:val="bottom"/>
          </w:tcPr>
          <w:p w14:paraId="415DC797" w14:textId="538A71F0"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3E810912" w14:textId="77777777" w:rsidTr="00B91ABF">
        <w:tc>
          <w:tcPr>
            <w:tcW w:w="3116" w:type="dxa"/>
            <w:vAlign w:val="bottom"/>
          </w:tcPr>
          <w:p w14:paraId="402C4C6F" w14:textId="2A105F55"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(40, 50]</w:t>
            </w:r>
          </w:p>
        </w:tc>
        <w:tc>
          <w:tcPr>
            <w:tcW w:w="3117" w:type="dxa"/>
            <w:vAlign w:val="bottom"/>
          </w:tcPr>
          <w:p w14:paraId="7E7D1E3B" w14:textId="72A96138"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0.200</w:t>
            </w:r>
          </w:p>
        </w:tc>
        <w:tc>
          <w:tcPr>
            <w:tcW w:w="3117" w:type="dxa"/>
            <w:vAlign w:val="bottom"/>
          </w:tcPr>
          <w:p w14:paraId="20FDAA75" w14:textId="5814B706"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27B3081A" w14:textId="77777777" w:rsidTr="00B91ABF">
        <w:tc>
          <w:tcPr>
            <w:tcW w:w="3116" w:type="dxa"/>
            <w:vAlign w:val="bottom"/>
          </w:tcPr>
          <w:p w14:paraId="7745C4B6" w14:textId="51261AFE"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(50, 60]</w:t>
            </w:r>
          </w:p>
        </w:tc>
        <w:tc>
          <w:tcPr>
            <w:tcW w:w="3117" w:type="dxa"/>
            <w:vAlign w:val="bottom"/>
          </w:tcPr>
          <w:p w14:paraId="4A987DC4" w14:textId="592405BF"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0.250</w:t>
            </w:r>
          </w:p>
        </w:tc>
        <w:tc>
          <w:tcPr>
            <w:tcW w:w="3117" w:type="dxa"/>
            <w:vAlign w:val="bottom"/>
          </w:tcPr>
          <w:p w14:paraId="571DA796" w14:textId="761909E1"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22D46444" w14:textId="77777777" w:rsidTr="00B91ABF">
        <w:tc>
          <w:tcPr>
            <w:tcW w:w="3116" w:type="dxa"/>
            <w:vAlign w:val="bottom"/>
          </w:tcPr>
          <w:p w14:paraId="1A4A826C" w14:textId="3DE65751"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(60, 70]</w:t>
            </w:r>
          </w:p>
        </w:tc>
        <w:tc>
          <w:tcPr>
            <w:tcW w:w="3117" w:type="dxa"/>
            <w:vAlign w:val="bottom"/>
          </w:tcPr>
          <w:p w14:paraId="377A2CD2" w14:textId="1A2A96E0"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0.300</w:t>
            </w:r>
          </w:p>
        </w:tc>
        <w:tc>
          <w:tcPr>
            <w:tcW w:w="3117" w:type="dxa"/>
            <w:vAlign w:val="bottom"/>
          </w:tcPr>
          <w:p w14:paraId="651647FB" w14:textId="56F9975D"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7581CE03" w14:textId="77777777" w:rsidTr="00B91ABF">
        <w:tc>
          <w:tcPr>
            <w:tcW w:w="3116" w:type="dxa"/>
            <w:vAlign w:val="bottom"/>
          </w:tcPr>
          <w:p w14:paraId="605E32DD" w14:textId="07B00709"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(70, 80]</w:t>
            </w:r>
          </w:p>
        </w:tc>
        <w:tc>
          <w:tcPr>
            <w:tcW w:w="3117" w:type="dxa"/>
            <w:vAlign w:val="bottom"/>
          </w:tcPr>
          <w:p w14:paraId="18D23EE6" w14:textId="760C6224"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0.350</w:t>
            </w:r>
          </w:p>
        </w:tc>
        <w:tc>
          <w:tcPr>
            <w:tcW w:w="3117" w:type="dxa"/>
            <w:vAlign w:val="bottom"/>
          </w:tcPr>
          <w:p w14:paraId="54C3C5A2" w14:textId="2547FE60"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7729458F" w14:textId="77777777" w:rsidTr="00B91ABF">
        <w:tc>
          <w:tcPr>
            <w:tcW w:w="3116" w:type="dxa"/>
            <w:vAlign w:val="bottom"/>
          </w:tcPr>
          <w:p w14:paraId="3D4D5E72" w14:textId="070A9055"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(80, 85]</w:t>
            </w:r>
          </w:p>
        </w:tc>
        <w:tc>
          <w:tcPr>
            <w:tcW w:w="3117" w:type="dxa"/>
            <w:vAlign w:val="bottom"/>
          </w:tcPr>
          <w:p w14:paraId="5C2D1002" w14:textId="6E2DC7E6"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0.375</w:t>
            </w:r>
          </w:p>
        </w:tc>
        <w:tc>
          <w:tcPr>
            <w:tcW w:w="3117" w:type="dxa"/>
            <w:vAlign w:val="bottom"/>
          </w:tcPr>
          <w:p w14:paraId="47CBF956" w14:textId="6BE4E4F4"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00AA1A66" w14:textId="77777777" w:rsidTr="00B91ABF">
        <w:tc>
          <w:tcPr>
            <w:tcW w:w="3116" w:type="dxa"/>
            <w:vAlign w:val="bottom"/>
          </w:tcPr>
          <w:p w14:paraId="588B79C6" w14:textId="3B4FB8DD"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(85, 90]</w:t>
            </w:r>
          </w:p>
        </w:tc>
        <w:tc>
          <w:tcPr>
            <w:tcW w:w="3117" w:type="dxa"/>
            <w:vAlign w:val="bottom"/>
          </w:tcPr>
          <w:p w14:paraId="79CB7D9D" w14:textId="28509CBF"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0.400</w:t>
            </w:r>
          </w:p>
        </w:tc>
        <w:tc>
          <w:tcPr>
            <w:tcW w:w="3117" w:type="dxa"/>
            <w:vAlign w:val="bottom"/>
          </w:tcPr>
          <w:p w14:paraId="0E9EE454" w14:textId="246EBD41"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243A315A" w14:textId="77777777" w:rsidTr="00B91ABF">
        <w:tc>
          <w:tcPr>
            <w:tcW w:w="3116" w:type="dxa"/>
            <w:vAlign w:val="bottom"/>
          </w:tcPr>
          <w:p w14:paraId="0A2A52E0" w14:textId="7C73C1A9"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lastRenderedPageBreak/>
              <w:t>(90,95]</w:t>
            </w:r>
          </w:p>
        </w:tc>
        <w:tc>
          <w:tcPr>
            <w:tcW w:w="3117" w:type="dxa"/>
            <w:vAlign w:val="bottom"/>
          </w:tcPr>
          <w:p w14:paraId="14BA0DF4" w14:textId="0852ECEB"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0.425</w:t>
            </w:r>
          </w:p>
        </w:tc>
        <w:tc>
          <w:tcPr>
            <w:tcW w:w="3117" w:type="dxa"/>
            <w:vAlign w:val="bottom"/>
          </w:tcPr>
          <w:p w14:paraId="40B6146B" w14:textId="26F45078"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r w:rsidR="00F1314F" w:rsidRPr="00B91ABF" w14:paraId="6E16AF15" w14:textId="77777777" w:rsidTr="00B91ABF">
        <w:tc>
          <w:tcPr>
            <w:tcW w:w="3116" w:type="dxa"/>
            <w:vAlign w:val="bottom"/>
          </w:tcPr>
          <w:p w14:paraId="7FE8752C" w14:textId="2A8DD9FB"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95+</w:t>
            </w:r>
          </w:p>
        </w:tc>
        <w:tc>
          <w:tcPr>
            <w:tcW w:w="3117" w:type="dxa"/>
            <w:vAlign w:val="bottom"/>
          </w:tcPr>
          <w:p w14:paraId="13E413F2" w14:textId="1BF10078"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0.450</w:t>
            </w:r>
          </w:p>
        </w:tc>
        <w:tc>
          <w:tcPr>
            <w:tcW w:w="3117" w:type="dxa"/>
            <w:vAlign w:val="bottom"/>
          </w:tcPr>
          <w:p w14:paraId="2FDDE13D" w14:textId="2A312EC5" w:rsidR="00F1314F" w:rsidRPr="00B91ABF" w:rsidRDefault="00F1314F" w:rsidP="00B91ABF">
            <w:pPr>
              <w:spacing w:line="288" w:lineRule="auto"/>
              <w:jc w:val="center"/>
              <w:rPr>
                <w:rFonts w:asciiTheme="majorHAnsi" w:hAnsiTheme="majorHAnsi" w:cstheme="majorHAnsi"/>
                <w:sz w:val="18"/>
                <w:szCs w:val="16"/>
              </w:rPr>
            </w:pPr>
            <w:r w:rsidRPr="00B91ABF">
              <w:rPr>
                <w:rFonts w:asciiTheme="majorHAnsi" w:hAnsiTheme="majorHAnsi" w:cstheme="majorHAnsi"/>
                <w:sz w:val="18"/>
                <w:szCs w:val="16"/>
              </w:rPr>
              <w:t>0.02</w:t>
            </w:r>
          </w:p>
        </w:tc>
      </w:tr>
    </w:tbl>
    <w:p w14:paraId="5E68D791" w14:textId="77B1BE55" w:rsidR="00277461" w:rsidRDefault="00C848E6" w:rsidP="006D5D30">
      <w:pPr>
        <w:spacing w:after="120" w:line="288" w:lineRule="auto"/>
        <w:jc w:val="both"/>
        <w:rPr>
          <w:sz w:val="20"/>
          <w:szCs w:val="20"/>
        </w:rPr>
      </w:pPr>
      <w:r>
        <w:rPr>
          <w:sz w:val="20"/>
          <w:szCs w:val="20"/>
        </w:rPr>
        <w:t xml:space="preserve"> </w:t>
      </w:r>
      <w:r w:rsidR="00277461">
        <w:rPr>
          <w:sz w:val="20"/>
          <w:szCs w:val="20"/>
        </w:rPr>
        <w:t>As the data from the mortgage insurers does not include ground-up severity, p</w:t>
      </w:r>
      <w:r w:rsidR="00AB2909">
        <w:rPr>
          <w:sz w:val="20"/>
          <w:szCs w:val="20"/>
        </w:rPr>
        <w:t xml:space="preserve">ublicly available </w:t>
      </w:r>
      <w:r w:rsidR="0066097F">
        <w:rPr>
          <w:sz w:val="20"/>
          <w:szCs w:val="20"/>
        </w:rPr>
        <w:t>d</w:t>
      </w:r>
      <w:r w:rsidR="00AB2909">
        <w:rPr>
          <w:sz w:val="20"/>
          <w:szCs w:val="20"/>
        </w:rPr>
        <w:t>ata from Fannie Mae and Freddie Mac as of June 30, 2018 was</w:t>
      </w:r>
      <w:r w:rsidR="00277461">
        <w:rPr>
          <w:sz w:val="20"/>
          <w:szCs w:val="20"/>
        </w:rPr>
        <w:t xml:space="preserve"> used to develop the severity component. The data were normalized between the two entities. The data from Fannie Mae and Freddie Mac includes loan-level information on the unpaid principal balance at the time of a claim, the expenses associated with the claim, delinquent interest paid to the investor for the claim, and net proceeds from the sale of the property. This data was processed to calculate a severity rate for each loan with a loss in the data. The equation below provides the components of severity for this analysis:</w:t>
      </w:r>
    </w:p>
    <w:p w14:paraId="514EAB4E" w14:textId="5EB0A340" w:rsidR="00277461" w:rsidRDefault="00277461" w:rsidP="006D5D30">
      <w:pPr>
        <w:spacing w:after="120" w:line="288" w:lineRule="auto"/>
        <w:jc w:val="both"/>
        <w:rPr>
          <w:sz w:val="20"/>
          <w:szCs w:val="20"/>
        </w:rPr>
      </w:pPr>
      <m:oMathPara>
        <m:oMath>
          <m:r>
            <w:rPr>
              <w:rFonts w:ascii="Cambria Math" w:hAnsi="Cambria Math"/>
              <w:sz w:val="20"/>
              <w:szCs w:val="20"/>
            </w:rPr>
            <m:t xml:space="preserve">Severity Rate= </m:t>
          </m:r>
          <m:f>
            <m:fPr>
              <m:ctrlPr>
                <w:rPr>
                  <w:rFonts w:ascii="Cambria Math" w:hAnsi="Cambria Math"/>
                  <w:i/>
                  <w:sz w:val="20"/>
                  <w:szCs w:val="20"/>
                </w:rPr>
              </m:ctrlPr>
            </m:fPr>
            <m:num>
              <m:r>
                <w:rPr>
                  <w:rFonts w:ascii="Cambria Math" w:hAnsi="Cambria Math"/>
                  <w:sz w:val="20"/>
                  <w:szCs w:val="20"/>
                </w:rPr>
                <m:t>Unpaid Principal Balance+Expenses+Delinquent Interest-Sale Proceeds</m:t>
              </m:r>
            </m:num>
            <m:den>
              <m:r>
                <w:rPr>
                  <w:rFonts w:ascii="Cambria Math" w:hAnsi="Cambria Math"/>
                  <w:sz w:val="20"/>
                  <w:szCs w:val="20"/>
                </w:rPr>
                <m:t>Original Unpaid Principal Balance</m:t>
              </m:r>
            </m:den>
          </m:f>
        </m:oMath>
      </m:oMathPara>
    </w:p>
    <w:p w14:paraId="1897E2D5" w14:textId="651565B2" w:rsidR="00110EBF" w:rsidRDefault="00277461" w:rsidP="006D5D30">
      <w:pPr>
        <w:spacing w:after="120" w:line="288" w:lineRule="auto"/>
        <w:jc w:val="both"/>
        <w:rPr>
          <w:sz w:val="20"/>
          <w:szCs w:val="20"/>
        </w:rPr>
      </w:pPr>
      <w:r>
        <w:rPr>
          <w:sz w:val="20"/>
          <w:szCs w:val="20"/>
        </w:rPr>
        <w:t>The data was</w:t>
      </w:r>
      <w:r w:rsidR="00AB2909">
        <w:rPr>
          <w:sz w:val="20"/>
          <w:szCs w:val="20"/>
        </w:rPr>
        <w:t xml:space="preserve"> processed and summarized by </w:t>
      </w:r>
      <w:r>
        <w:rPr>
          <w:sz w:val="20"/>
          <w:szCs w:val="20"/>
        </w:rPr>
        <w:t>S</w:t>
      </w:r>
      <w:r w:rsidR="00AB2909">
        <w:rPr>
          <w:sz w:val="20"/>
          <w:szCs w:val="20"/>
        </w:rPr>
        <w:t xml:space="preserve">tate, origination quarter, and </w:t>
      </w:r>
      <w:r>
        <w:rPr>
          <w:sz w:val="20"/>
          <w:szCs w:val="20"/>
        </w:rPr>
        <w:t>loan-to-value</w:t>
      </w:r>
      <w:r w:rsidR="00AB2909">
        <w:rPr>
          <w:sz w:val="20"/>
          <w:szCs w:val="20"/>
        </w:rPr>
        <w:t xml:space="preserve"> bucket</w:t>
      </w:r>
      <w:r w:rsidR="00296B5E">
        <w:rPr>
          <w:sz w:val="20"/>
          <w:szCs w:val="20"/>
        </w:rPr>
        <w:t>; the severity rate was calculated for each unique combination of the above three variables</w:t>
      </w:r>
      <w:r w:rsidR="00AB2909">
        <w:rPr>
          <w:sz w:val="20"/>
          <w:szCs w:val="20"/>
        </w:rPr>
        <w:t xml:space="preserve">. Using </w:t>
      </w:r>
      <w:r w:rsidR="00296B5E">
        <w:rPr>
          <w:sz w:val="20"/>
          <w:szCs w:val="20"/>
        </w:rPr>
        <w:t>S</w:t>
      </w:r>
      <w:r w:rsidR="00AB2909">
        <w:rPr>
          <w:sz w:val="20"/>
          <w:szCs w:val="20"/>
        </w:rPr>
        <w:t xml:space="preserve">tate and origination quarter, </w:t>
      </w:r>
      <w:r w:rsidR="00296B5E">
        <w:rPr>
          <w:sz w:val="20"/>
          <w:szCs w:val="20"/>
        </w:rPr>
        <w:t>t</w:t>
      </w:r>
      <w:r w:rsidR="00AB2909">
        <w:rPr>
          <w:sz w:val="20"/>
          <w:szCs w:val="20"/>
        </w:rPr>
        <w:t xml:space="preserve">he </w:t>
      </w:r>
      <w:r w:rsidR="00296B5E">
        <w:rPr>
          <w:sz w:val="20"/>
          <w:szCs w:val="20"/>
        </w:rPr>
        <w:t>E</w:t>
      </w:r>
      <w:r w:rsidR="00AB2909">
        <w:rPr>
          <w:sz w:val="20"/>
          <w:szCs w:val="20"/>
        </w:rPr>
        <w:t xml:space="preserve">conomic </w:t>
      </w:r>
      <w:r w:rsidR="00296B5E">
        <w:rPr>
          <w:sz w:val="20"/>
          <w:szCs w:val="20"/>
        </w:rPr>
        <w:t>F</w:t>
      </w:r>
      <w:r w:rsidR="00AB2909">
        <w:rPr>
          <w:sz w:val="20"/>
          <w:szCs w:val="20"/>
        </w:rPr>
        <w:t xml:space="preserve">actor (discussed previously) </w:t>
      </w:r>
      <w:r w:rsidR="00296B5E">
        <w:rPr>
          <w:sz w:val="20"/>
          <w:szCs w:val="20"/>
        </w:rPr>
        <w:t>was calculated for</w:t>
      </w:r>
      <w:r w:rsidR="00AB2909">
        <w:rPr>
          <w:sz w:val="20"/>
          <w:szCs w:val="20"/>
        </w:rPr>
        <w:t xml:space="preserve"> each </w:t>
      </w:r>
      <w:r w:rsidR="00296B5E">
        <w:rPr>
          <w:sz w:val="20"/>
          <w:szCs w:val="20"/>
        </w:rPr>
        <w:t>S</w:t>
      </w:r>
      <w:r w:rsidR="00AB2909">
        <w:rPr>
          <w:sz w:val="20"/>
          <w:szCs w:val="20"/>
        </w:rPr>
        <w:t xml:space="preserve">tate and origination year </w:t>
      </w:r>
      <w:r w:rsidR="00296B5E">
        <w:rPr>
          <w:sz w:val="20"/>
          <w:szCs w:val="20"/>
        </w:rPr>
        <w:t>combination</w:t>
      </w:r>
      <w:r w:rsidR="00AB2909">
        <w:rPr>
          <w:sz w:val="20"/>
          <w:szCs w:val="20"/>
        </w:rPr>
        <w:t xml:space="preserve">. </w:t>
      </w:r>
      <w:r w:rsidR="0072628E">
        <w:rPr>
          <w:sz w:val="20"/>
          <w:szCs w:val="20"/>
        </w:rPr>
        <w:t xml:space="preserve">Exhibit E.2 Page </w:t>
      </w:r>
      <w:r w:rsidR="00110EBF">
        <w:rPr>
          <w:sz w:val="20"/>
          <w:szCs w:val="20"/>
        </w:rPr>
        <w:t>62 shows select percentiles of the severity rate by loan-to-value cohort. For this exhibit, the data is aggregated by similar values of the Economic Factor.</w:t>
      </w:r>
    </w:p>
    <w:p w14:paraId="3C55BF4C" w14:textId="0B1F3C01" w:rsidR="00AB2909" w:rsidRDefault="00296B5E" w:rsidP="006D5D30">
      <w:pPr>
        <w:spacing w:after="120" w:line="288" w:lineRule="auto"/>
        <w:jc w:val="both"/>
        <w:rPr>
          <w:sz w:val="20"/>
          <w:szCs w:val="20"/>
        </w:rPr>
      </w:pPr>
      <w:r>
        <w:rPr>
          <w:sz w:val="20"/>
          <w:szCs w:val="20"/>
        </w:rPr>
        <w:t>A</w:t>
      </w:r>
      <w:r w:rsidR="00AB2909">
        <w:rPr>
          <w:sz w:val="20"/>
          <w:szCs w:val="20"/>
        </w:rPr>
        <w:t xml:space="preserve"> linear regression </w:t>
      </w:r>
      <w:r>
        <w:rPr>
          <w:sz w:val="20"/>
          <w:szCs w:val="20"/>
        </w:rPr>
        <w:t>was performed on the data to estimate the relationship between the Economic Factor and the severity rate. The regression produced an R-Square value of between 50% and 60% for loan-to-value ratio cohorts above 40%. The data is volatile and limited for lower loan-to-value ratios. The resulting intercepts were smoothed between loan-to-value cohorts, and a slope of 0.02 was selected for each loan-to-value cohort. Exhibits E.2</w:t>
      </w:r>
      <w:r w:rsidR="00E039B3">
        <w:rPr>
          <w:sz w:val="20"/>
          <w:szCs w:val="20"/>
        </w:rPr>
        <w:t xml:space="preserve"> Pages </w:t>
      </w:r>
      <w:r w:rsidR="00110EBF">
        <w:rPr>
          <w:sz w:val="20"/>
          <w:szCs w:val="20"/>
        </w:rPr>
        <w:t>63</w:t>
      </w:r>
      <w:r w:rsidR="00E039B3">
        <w:rPr>
          <w:sz w:val="20"/>
          <w:szCs w:val="20"/>
        </w:rPr>
        <w:t xml:space="preserve"> through </w:t>
      </w:r>
      <w:r>
        <w:rPr>
          <w:sz w:val="20"/>
          <w:szCs w:val="20"/>
        </w:rPr>
        <w:t>6</w:t>
      </w:r>
      <w:r w:rsidR="00110EBF">
        <w:rPr>
          <w:sz w:val="20"/>
          <w:szCs w:val="20"/>
        </w:rPr>
        <w:t>5</w:t>
      </w:r>
      <w:r>
        <w:rPr>
          <w:sz w:val="20"/>
          <w:szCs w:val="20"/>
        </w:rPr>
        <w:t xml:space="preserve"> provide a comparison of historical severity rates relative to the regression output severity rates for each loan-to-value cohort. In the charts, the x-axis is the origination year, and the y-axis is the severity rate. The blue bars show the actual severity rate, and the orange lines show the resulting RBC severity rate.</w:t>
      </w:r>
      <w:r w:rsidR="00110EBF">
        <w:rPr>
          <w:sz w:val="20"/>
          <w:szCs w:val="20"/>
        </w:rPr>
        <w:t xml:space="preserve"> </w:t>
      </w:r>
    </w:p>
    <w:p w14:paraId="33C3896D" w14:textId="44579BB0" w:rsidR="0066097F" w:rsidRDefault="00110EBF" w:rsidP="0066097F">
      <w:pPr>
        <w:spacing w:after="120" w:line="288" w:lineRule="auto"/>
        <w:jc w:val="both"/>
        <w:rPr>
          <w:sz w:val="20"/>
          <w:szCs w:val="20"/>
        </w:rPr>
      </w:pPr>
      <w:r>
        <w:rPr>
          <w:sz w:val="20"/>
          <w:szCs w:val="20"/>
        </w:rPr>
        <w:t xml:space="preserve">The table below provides an example of how the severity rate will be implemented with the RBC framework. </w:t>
      </w:r>
      <w:r w:rsidR="00C17C22">
        <w:rPr>
          <w:sz w:val="20"/>
          <w:szCs w:val="20"/>
        </w:rPr>
        <w:t>In the table, the column on the left demonstrates how the severity rate would be applied to primary coverage, and the column on the right demonstrates how the severity rate would be applied to pool loans. Note, the intercept in the severity equation is greater than Standard Coverage amounts, so the severity rate would be capped at 100%. For pool loans, the severity rate is applied as a haircut to the RBC Capital Amount.</w:t>
      </w:r>
    </w:p>
    <w:tbl>
      <w:tblPr>
        <w:tblpPr w:leftFromText="180" w:rightFromText="180" w:vertAnchor="text" w:tblpY="1"/>
        <w:tblOverlap w:val="never"/>
        <w:tblW w:w="8815" w:type="dxa"/>
        <w:tblCellMar>
          <w:left w:w="0" w:type="dxa"/>
          <w:right w:w="0" w:type="dxa"/>
        </w:tblCellMar>
        <w:tblLook w:val="0420" w:firstRow="1" w:lastRow="0" w:firstColumn="0" w:lastColumn="0" w:noHBand="0" w:noVBand="1"/>
      </w:tblPr>
      <w:tblGrid>
        <w:gridCol w:w="5305"/>
        <w:gridCol w:w="1800"/>
        <w:gridCol w:w="1710"/>
      </w:tblGrid>
      <w:tr w:rsidR="0066097F" w:rsidRPr="00E20D20" w14:paraId="7FA85203" w14:textId="77777777" w:rsidTr="002F03C6">
        <w:trPr>
          <w:trHeight w:val="200"/>
        </w:trPr>
        <w:tc>
          <w:tcPr>
            <w:tcW w:w="8815" w:type="dxa"/>
            <w:gridSpan w:val="3"/>
            <w:tcBorders>
              <w:top w:val="single" w:sz="4" w:space="0" w:color="45484D"/>
              <w:left w:val="single" w:sz="4" w:space="0" w:color="45484D"/>
              <w:bottom w:val="single" w:sz="4" w:space="0" w:color="45484D"/>
              <w:right w:val="single" w:sz="4" w:space="0" w:color="45484D"/>
            </w:tcBorders>
            <w:shd w:val="clear" w:color="auto" w:fill="45484D"/>
            <w:vAlign w:val="center"/>
          </w:tcPr>
          <w:p w14:paraId="6F7BE90C" w14:textId="77777777" w:rsidR="0066097F" w:rsidRPr="00E20D20" w:rsidRDefault="0066097F" w:rsidP="002F03C6">
            <w:pPr>
              <w:pStyle w:val="RRBody"/>
              <w:jc w:val="center"/>
              <w:rPr>
                <w:rFonts w:asciiTheme="majorHAnsi" w:hAnsiTheme="majorHAnsi" w:cstheme="majorHAnsi"/>
                <w:b/>
                <w:bCs/>
                <w:color w:val="FFFFFF" w:themeColor="background1"/>
                <w:sz w:val="16"/>
                <w:szCs w:val="20"/>
              </w:rPr>
            </w:pPr>
            <w:r w:rsidRPr="00E20D20">
              <w:rPr>
                <w:rFonts w:asciiTheme="majorHAnsi" w:hAnsiTheme="majorHAnsi" w:cstheme="majorHAnsi"/>
                <w:b/>
                <w:bCs/>
                <w:color w:val="FFFFFF" w:themeColor="background1"/>
                <w:sz w:val="16"/>
                <w:szCs w:val="20"/>
              </w:rPr>
              <w:t>Illustrative Example of Severity Adjustment</w:t>
            </w:r>
          </w:p>
        </w:tc>
      </w:tr>
      <w:tr w:rsidR="0066097F" w:rsidRPr="00E20D20" w14:paraId="26E9B115" w14:textId="77777777" w:rsidTr="002F03C6">
        <w:trPr>
          <w:trHeight w:val="44"/>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75F4994" w14:textId="77777777" w:rsidR="0066097F" w:rsidRPr="00E20D20" w:rsidRDefault="0066097F" w:rsidP="002F03C6">
            <w:pPr>
              <w:pStyle w:val="RRBody"/>
              <w:spacing w:after="0" w:line="240" w:lineRule="auto"/>
              <w:jc w:val="both"/>
              <w:rPr>
                <w:rFonts w:asciiTheme="majorHAnsi" w:hAnsiTheme="majorHAnsi" w:cstheme="majorHAnsi"/>
                <w:sz w:val="16"/>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D96A2C9" w14:textId="77777777" w:rsidR="0066097F" w:rsidRPr="00E20D20" w:rsidRDefault="0066097F" w:rsidP="002F03C6">
            <w:pPr>
              <w:pStyle w:val="RRBody"/>
              <w:spacing w:after="0" w:line="240" w:lineRule="auto"/>
              <w:jc w:val="center"/>
              <w:rPr>
                <w:rFonts w:asciiTheme="majorHAnsi" w:hAnsiTheme="majorHAnsi" w:cstheme="majorHAnsi"/>
                <w:b/>
                <w:sz w:val="16"/>
                <w:szCs w:val="20"/>
              </w:rPr>
            </w:pPr>
            <w:r w:rsidRPr="00E20D20">
              <w:rPr>
                <w:rFonts w:asciiTheme="majorHAnsi" w:hAnsiTheme="majorHAnsi" w:cstheme="majorHAnsi"/>
                <w:b/>
                <w:sz w:val="16"/>
                <w:szCs w:val="20"/>
              </w:rPr>
              <w:t>Primary Loan</w:t>
            </w:r>
          </w:p>
        </w:tc>
        <w:tc>
          <w:tcPr>
            <w:tcW w:w="1710" w:type="dxa"/>
            <w:tcBorders>
              <w:top w:val="single" w:sz="4" w:space="0" w:color="auto"/>
              <w:left w:val="single" w:sz="4" w:space="0" w:color="auto"/>
              <w:bottom w:val="single" w:sz="4" w:space="0" w:color="auto"/>
              <w:right w:val="single" w:sz="4" w:space="0" w:color="auto"/>
            </w:tcBorders>
          </w:tcPr>
          <w:p w14:paraId="36EFC1C7" w14:textId="77777777" w:rsidR="0066097F" w:rsidRPr="00E20D20" w:rsidRDefault="0066097F" w:rsidP="002F03C6">
            <w:pPr>
              <w:pStyle w:val="RRBody"/>
              <w:spacing w:after="0" w:line="240" w:lineRule="auto"/>
              <w:jc w:val="center"/>
              <w:rPr>
                <w:rFonts w:asciiTheme="majorHAnsi" w:hAnsiTheme="majorHAnsi" w:cstheme="majorHAnsi"/>
                <w:b/>
                <w:sz w:val="16"/>
                <w:szCs w:val="20"/>
              </w:rPr>
            </w:pPr>
            <w:r w:rsidRPr="00E20D20">
              <w:rPr>
                <w:rFonts w:asciiTheme="majorHAnsi" w:hAnsiTheme="majorHAnsi" w:cstheme="majorHAnsi"/>
                <w:b/>
                <w:sz w:val="16"/>
                <w:szCs w:val="20"/>
              </w:rPr>
              <w:t>Pool/Structure Loan</w:t>
            </w:r>
          </w:p>
        </w:tc>
      </w:tr>
      <w:tr w:rsidR="0066097F" w:rsidRPr="00E20D20" w14:paraId="0AB02416" w14:textId="77777777" w:rsidTr="002F03C6">
        <w:trPr>
          <w:trHeight w:val="26"/>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E3B3889" w14:textId="77777777" w:rsidR="0066097F" w:rsidRPr="00E20D20" w:rsidRDefault="0066097F" w:rsidP="002F03C6">
            <w:pPr>
              <w:pStyle w:val="RRBody"/>
              <w:spacing w:after="0" w:line="240" w:lineRule="auto"/>
              <w:jc w:val="both"/>
              <w:rPr>
                <w:rFonts w:asciiTheme="majorHAnsi" w:hAnsiTheme="majorHAnsi" w:cstheme="majorHAnsi"/>
                <w:sz w:val="16"/>
                <w:szCs w:val="20"/>
              </w:rPr>
            </w:pPr>
            <w:r w:rsidRPr="00E20D20">
              <w:rPr>
                <w:rFonts w:asciiTheme="majorHAnsi" w:hAnsiTheme="majorHAnsi" w:cstheme="majorHAnsi"/>
                <w:sz w:val="16"/>
                <w:szCs w:val="20"/>
              </w:rPr>
              <w:t>A     Mortgage Amount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F4CBAA"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$300,000</w:t>
            </w:r>
          </w:p>
        </w:tc>
        <w:tc>
          <w:tcPr>
            <w:tcW w:w="1710" w:type="dxa"/>
            <w:tcBorders>
              <w:top w:val="single" w:sz="4" w:space="0" w:color="auto"/>
              <w:left w:val="single" w:sz="4" w:space="0" w:color="auto"/>
              <w:bottom w:val="single" w:sz="4" w:space="0" w:color="auto"/>
              <w:right w:val="single" w:sz="4" w:space="0" w:color="auto"/>
            </w:tcBorders>
          </w:tcPr>
          <w:p w14:paraId="7A36282C"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$300,000</w:t>
            </w:r>
          </w:p>
        </w:tc>
      </w:tr>
      <w:tr w:rsidR="0066097F" w:rsidRPr="00E20D20" w14:paraId="3109F547" w14:textId="77777777" w:rsidTr="002F03C6">
        <w:trPr>
          <w:trHeight w:val="200"/>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2651C76" w14:textId="087AAC8A" w:rsidR="0066097F" w:rsidRPr="00E20D20" w:rsidRDefault="0066097F" w:rsidP="002F03C6">
            <w:pPr>
              <w:pStyle w:val="RRBody"/>
              <w:spacing w:after="0" w:line="240" w:lineRule="auto"/>
              <w:jc w:val="both"/>
              <w:rPr>
                <w:rFonts w:asciiTheme="majorHAnsi" w:hAnsiTheme="majorHAnsi" w:cstheme="majorHAnsi"/>
                <w:sz w:val="16"/>
                <w:szCs w:val="20"/>
              </w:rPr>
            </w:pPr>
            <w:r w:rsidRPr="00E20D20">
              <w:rPr>
                <w:rFonts w:asciiTheme="majorHAnsi" w:hAnsiTheme="majorHAnsi" w:cstheme="majorHAnsi"/>
                <w:sz w:val="16"/>
                <w:szCs w:val="20"/>
              </w:rPr>
              <w:t>B     Coverage</w:t>
            </w:r>
            <w:r w:rsidR="00C17C22" w:rsidRPr="00E20D20">
              <w:rPr>
                <w:rFonts w:asciiTheme="majorHAnsi" w:hAnsiTheme="majorHAnsi" w:cstheme="majorHAnsi"/>
                <w:sz w:val="16"/>
                <w:szCs w:val="20"/>
              </w:rPr>
              <w:t xml:space="preserve"> (LTV = 96%)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01A4C0"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30%</w:t>
            </w:r>
          </w:p>
        </w:tc>
        <w:tc>
          <w:tcPr>
            <w:tcW w:w="1710" w:type="dxa"/>
            <w:tcBorders>
              <w:top w:val="single" w:sz="4" w:space="0" w:color="auto"/>
              <w:left w:val="single" w:sz="4" w:space="0" w:color="auto"/>
              <w:bottom w:val="single" w:sz="4" w:space="0" w:color="auto"/>
              <w:right w:val="single" w:sz="4" w:space="0" w:color="auto"/>
            </w:tcBorders>
          </w:tcPr>
          <w:p w14:paraId="061A10FA"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100%</w:t>
            </w:r>
          </w:p>
        </w:tc>
      </w:tr>
      <w:tr w:rsidR="0066097F" w:rsidRPr="00E20D20" w14:paraId="0095DD07" w14:textId="77777777" w:rsidTr="002F03C6">
        <w:trPr>
          <w:trHeight w:val="200"/>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6136FF2" w14:textId="00F3546D" w:rsidR="0066097F" w:rsidRPr="00E20D20" w:rsidRDefault="0066097F" w:rsidP="002F03C6">
            <w:pPr>
              <w:pStyle w:val="RRBody"/>
              <w:spacing w:after="0" w:line="240" w:lineRule="auto"/>
              <w:jc w:val="both"/>
              <w:rPr>
                <w:rFonts w:asciiTheme="majorHAnsi" w:hAnsiTheme="majorHAnsi" w:cstheme="majorHAnsi"/>
                <w:sz w:val="16"/>
                <w:szCs w:val="20"/>
              </w:rPr>
            </w:pPr>
            <w:r w:rsidRPr="00E20D20">
              <w:rPr>
                <w:rFonts w:asciiTheme="majorHAnsi" w:hAnsiTheme="majorHAnsi" w:cstheme="majorHAnsi"/>
                <w:sz w:val="16"/>
                <w:szCs w:val="20"/>
              </w:rPr>
              <w:t>C     RBC Capital Factor</w:t>
            </w:r>
            <w:r w:rsidR="00C17C22" w:rsidRPr="00E20D20">
              <w:rPr>
                <w:rFonts w:asciiTheme="majorHAnsi" w:hAnsiTheme="majorHAnsi" w:cstheme="majorHAnsi"/>
                <w:sz w:val="16"/>
                <w:szCs w:val="20"/>
              </w:rPr>
              <w:t xml:space="preserve"> (Economic Factor = 1.05)</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BA77E0"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2.34%</w:t>
            </w:r>
          </w:p>
        </w:tc>
        <w:tc>
          <w:tcPr>
            <w:tcW w:w="1710" w:type="dxa"/>
            <w:tcBorders>
              <w:top w:val="single" w:sz="4" w:space="0" w:color="auto"/>
              <w:left w:val="single" w:sz="4" w:space="0" w:color="auto"/>
              <w:bottom w:val="single" w:sz="4" w:space="0" w:color="auto"/>
              <w:right w:val="single" w:sz="4" w:space="0" w:color="auto"/>
            </w:tcBorders>
          </w:tcPr>
          <w:p w14:paraId="16958181"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2.34%</w:t>
            </w:r>
          </w:p>
        </w:tc>
      </w:tr>
      <w:tr w:rsidR="0066097F" w:rsidRPr="00E20D20" w14:paraId="0A566608" w14:textId="77777777" w:rsidTr="002F03C6">
        <w:trPr>
          <w:trHeight w:val="200"/>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04CFAA3" w14:textId="77777777" w:rsidR="0066097F" w:rsidRPr="00E20D20" w:rsidRDefault="0066097F" w:rsidP="002F03C6">
            <w:pPr>
              <w:pStyle w:val="RRBody"/>
              <w:spacing w:after="0" w:line="240" w:lineRule="auto"/>
              <w:jc w:val="both"/>
              <w:rPr>
                <w:rFonts w:asciiTheme="majorHAnsi" w:hAnsiTheme="majorHAnsi" w:cstheme="majorHAnsi"/>
                <w:b/>
                <w:sz w:val="16"/>
                <w:szCs w:val="20"/>
              </w:rPr>
            </w:pPr>
            <w:r w:rsidRPr="00E20D20">
              <w:rPr>
                <w:rFonts w:asciiTheme="majorHAnsi" w:hAnsiTheme="majorHAnsi" w:cstheme="majorHAnsi"/>
                <w:b/>
                <w:sz w:val="16"/>
                <w:szCs w:val="20"/>
              </w:rPr>
              <w:t>D     RBC Capital Amount = ( A x B x C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437EF51" w14:textId="77777777" w:rsidR="0066097F" w:rsidRPr="00E20D20" w:rsidRDefault="0066097F" w:rsidP="002F03C6">
            <w:pPr>
              <w:pStyle w:val="RRBody"/>
              <w:spacing w:after="0" w:line="240" w:lineRule="auto"/>
              <w:jc w:val="center"/>
              <w:rPr>
                <w:rFonts w:asciiTheme="majorHAnsi" w:hAnsiTheme="majorHAnsi" w:cstheme="majorHAnsi"/>
                <w:b/>
                <w:sz w:val="16"/>
                <w:szCs w:val="20"/>
              </w:rPr>
            </w:pPr>
            <w:r w:rsidRPr="00E20D20">
              <w:rPr>
                <w:rFonts w:asciiTheme="majorHAnsi" w:hAnsiTheme="majorHAnsi" w:cstheme="majorHAnsi"/>
                <w:b/>
                <w:sz w:val="16"/>
                <w:szCs w:val="20"/>
              </w:rPr>
              <w:t>$2,105</w:t>
            </w:r>
          </w:p>
        </w:tc>
        <w:tc>
          <w:tcPr>
            <w:tcW w:w="1710" w:type="dxa"/>
            <w:tcBorders>
              <w:top w:val="single" w:sz="4" w:space="0" w:color="auto"/>
              <w:left w:val="single" w:sz="4" w:space="0" w:color="auto"/>
              <w:bottom w:val="single" w:sz="4" w:space="0" w:color="auto"/>
              <w:right w:val="single" w:sz="4" w:space="0" w:color="auto"/>
            </w:tcBorders>
          </w:tcPr>
          <w:p w14:paraId="20E4F34C" w14:textId="77777777" w:rsidR="0066097F" w:rsidRPr="00E20D20" w:rsidRDefault="0066097F" w:rsidP="002F03C6">
            <w:pPr>
              <w:pStyle w:val="RRBody"/>
              <w:spacing w:after="0" w:line="240" w:lineRule="auto"/>
              <w:jc w:val="center"/>
              <w:rPr>
                <w:rFonts w:asciiTheme="majorHAnsi" w:hAnsiTheme="majorHAnsi" w:cstheme="majorHAnsi"/>
                <w:b/>
                <w:sz w:val="16"/>
                <w:szCs w:val="20"/>
              </w:rPr>
            </w:pPr>
            <w:r w:rsidRPr="00E20D20">
              <w:rPr>
                <w:rFonts w:asciiTheme="majorHAnsi" w:hAnsiTheme="majorHAnsi" w:cstheme="majorHAnsi"/>
                <w:b/>
                <w:sz w:val="16"/>
                <w:szCs w:val="20"/>
              </w:rPr>
              <w:t>$7,016</w:t>
            </w:r>
          </w:p>
        </w:tc>
      </w:tr>
      <w:tr w:rsidR="0066097F" w:rsidRPr="00E20D20" w14:paraId="6D0B25C5" w14:textId="77777777" w:rsidTr="002F03C6">
        <w:trPr>
          <w:trHeight w:val="200"/>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F94F5F5" w14:textId="7DC2E477" w:rsidR="0066097F" w:rsidRPr="00E20D20" w:rsidRDefault="0066097F" w:rsidP="002F03C6">
            <w:pPr>
              <w:pStyle w:val="RRBody"/>
              <w:spacing w:after="0" w:line="240" w:lineRule="auto"/>
              <w:jc w:val="both"/>
              <w:rPr>
                <w:rFonts w:asciiTheme="majorHAnsi" w:hAnsiTheme="majorHAnsi" w:cstheme="majorHAnsi"/>
                <w:sz w:val="16"/>
                <w:szCs w:val="20"/>
              </w:rPr>
            </w:pPr>
            <w:r w:rsidRPr="00E20D20">
              <w:rPr>
                <w:rFonts w:asciiTheme="majorHAnsi" w:hAnsiTheme="majorHAnsi" w:cstheme="majorHAnsi"/>
                <w:sz w:val="16"/>
                <w:szCs w:val="20"/>
              </w:rPr>
              <w:t>E     Severity</w:t>
            </w:r>
            <w:r w:rsidR="00C17C22" w:rsidRPr="00E20D20">
              <w:rPr>
                <w:rFonts w:asciiTheme="majorHAnsi" w:hAnsiTheme="majorHAnsi" w:cstheme="majorHAnsi"/>
                <w:sz w:val="16"/>
                <w:szCs w:val="20"/>
              </w:rPr>
              <w:t>*</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AC8290"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47.1%</w:t>
            </w:r>
          </w:p>
        </w:tc>
        <w:tc>
          <w:tcPr>
            <w:tcW w:w="1710" w:type="dxa"/>
            <w:tcBorders>
              <w:top w:val="single" w:sz="4" w:space="0" w:color="auto"/>
              <w:left w:val="single" w:sz="4" w:space="0" w:color="auto"/>
              <w:bottom w:val="single" w:sz="4" w:space="0" w:color="auto"/>
              <w:right w:val="single" w:sz="4" w:space="0" w:color="auto"/>
            </w:tcBorders>
          </w:tcPr>
          <w:p w14:paraId="75197785"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47.1%</w:t>
            </w:r>
          </w:p>
        </w:tc>
      </w:tr>
      <w:tr w:rsidR="0066097F" w:rsidRPr="00E20D20" w14:paraId="3156A027" w14:textId="77777777" w:rsidTr="002F03C6">
        <w:trPr>
          <w:trHeight w:val="26"/>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FB4F711" w14:textId="77777777" w:rsidR="0066097F" w:rsidRPr="00E20D20" w:rsidRDefault="0066097F" w:rsidP="002F03C6">
            <w:pPr>
              <w:pStyle w:val="RRBody"/>
              <w:spacing w:after="0" w:line="240" w:lineRule="auto"/>
              <w:jc w:val="both"/>
              <w:rPr>
                <w:rFonts w:asciiTheme="majorHAnsi" w:hAnsiTheme="majorHAnsi" w:cstheme="majorHAnsi"/>
                <w:sz w:val="16"/>
                <w:szCs w:val="20"/>
              </w:rPr>
            </w:pPr>
            <w:r w:rsidRPr="00E20D20">
              <w:rPr>
                <w:rFonts w:asciiTheme="majorHAnsi" w:hAnsiTheme="majorHAnsi" w:cstheme="majorHAnsi"/>
                <w:sz w:val="16"/>
                <w:szCs w:val="20"/>
              </w:rPr>
              <w:t>F     MI Severity as a Percentage of Coverage = [ Min(100%, E / B)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7734CC"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100%</w:t>
            </w:r>
          </w:p>
        </w:tc>
        <w:tc>
          <w:tcPr>
            <w:tcW w:w="1710" w:type="dxa"/>
            <w:tcBorders>
              <w:top w:val="single" w:sz="4" w:space="0" w:color="auto"/>
              <w:left w:val="single" w:sz="4" w:space="0" w:color="auto"/>
              <w:bottom w:val="single" w:sz="4" w:space="0" w:color="auto"/>
              <w:right w:val="single" w:sz="4" w:space="0" w:color="auto"/>
            </w:tcBorders>
          </w:tcPr>
          <w:p w14:paraId="443145FC" w14:textId="77777777" w:rsidR="0066097F" w:rsidRPr="00E20D20" w:rsidRDefault="0066097F" w:rsidP="002F03C6">
            <w:pPr>
              <w:pStyle w:val="RRBody"/>
              <w:spacing w:after="0" w:line="240" w:lineRule="auto"/>
              <w:jc w:val="center"/>
              <w:rPr>
                <w:rFonts w:asciiTheme="majorHAnsi" w:hAnsiTheme="majorHAnsi" w:cstheme="majorHAnsi"/>
                <w:sz w:val="16"/>
                <w:szCs w:val="20"/>
              </w:rPr>
            </w:pPr>
            <w:r w:rsidRPr="00E20D20">
              <w:rPr>
                <w:rFonts w:asciiTheme="majorHAnsi" w:hAnsiTheme="majorHAnsi" w:cstheme="majorHAnsi"/>
                <w:sz w:val="16"/>
                <w:szCs w:val="20"/>
              </w:rPr>
              <w:t>47%</w:t>
            </w:r>
          </w:p>
        </w:tc>
      </w:tr>
      <w:tr w:rsidR="0066097F" w:rsidRPr="00E20D20" w14:paraId="22C2AA6A" w14:textId="77777777" w:rsidTr="002F03C6">
        <w:trPr>
          <w:trHeight w:val="26"/>
        </w:trPr>
        <w:tc>
          <w:tcPr>
            <w:tcW w:w="530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34AB635" w14:textId="77777777" w:rsidR="0066097F" w:rsidRPr="00E20D20" w:rsidRDefault="0066097F" w:rsidP="002F03C6">
            <w:pPr>
              <w:pStyle w:val="RRBody"/>
              <w:spacing w:after="0" w:line="240" w:lineRule="auto"/>
              <w:jc w:val="both"/>
              <w:rPr>
                <w:rFonts w:asciiTheme="majorHAnsi" w:hAnsiTheme="majorHAnsi" w:cstheme="majorHAnsi"/>
                <w:b/>
                <w:sz w:val="16"/>
                <w:szCs w:val="20"/>
              </w:rPr>
            </w:pPr>
            <w:r w:rsidRPr="00E20D20">
              <w:rPr>
                <w:rFonts w:asciiTheme="majorHAnsi" w:hAnsiTheme="majorHAnsi" w:cstheme="majorHAnsi"/>
                <w:b/>
                <w:sz w:val="16"/>
                <w:szCs w:val="20"/>
              </w:rPr>
              <w:t>G    RBC Capital Amount (including severity) = ( D x F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3CF861" w14:textId="77777777" w:rsidR="0066097F" w:rsidRPr="00E20D20" w:rsidRDefault="0066097F" w:rsidP="002F03C6">
            <w:pPr>
              <w:pStyle w:val="RRBody"/>
              <w:spacing w:after="0" w:line="240" w:lineRule="auto"/>
              <w:jc w:val="center"/>
              <w:rPr>
                <w:rFonts w:asciiTheme="majorHAnsi" w:hAnsiTheme="majorHAnsi" w:cstheme="majorHAnsi"/>
                <w:b/>
                <w:sz w:val="16"/>
                <w:szCs w:val="20"/>
              </w:rPr>
            </w:pPr>
            <w:r w:rsidRPr="00E20D20">
              <w:rPr>
                <w:rFonts w:asciiTheme="majorHAnsi" w:hAnsiTheme="majorHAnsi" w:cstheme="majorHAnsi"/>
                <w:b/>
                <w:sz w:val="16"/>
                <w:szCs w:val="20"/>
              </w:rPr>
              <w:t>$2,105</w:t>
            </w:r>
          </w:p>
        </w:tc>
        <w:tc>
          <w:tcPr>
            <w:tcW w:w="1710" w:type="dxa"/>
            <w:tcBorders>
              <w:top w:val="single" w:sz="4" w:space="0" w:color="auto"/>
              <w:left w:val="single" w:sz="4" w:space="0" w:color="auto"/>
              <w:bottom w:val="single" w:sz="4" w:space="0" w:color="auto"/>
              <w:right w:val="single" w:sz="4" w:space="0" w:color="auto"/>
            </w:tcBorders>
          </w:tcPr>
          <w:p w14:paraId="72117501" w14:textId="77777777" w:rsidR="0066097F" w:rsidRPr="00E20D20" w:rsidRDefault="0066097F" w:rsidP="002F03C6">
            <w:pPr>
              <w:pStyle w:val="RRBody"/>
              <w:spacing w:after="0" w:line="240" w:lineRule="auto"/>
              <w:jc w:val="center"/>
              <w:rPr>
                <w:rFonts w:asciiTheme="majorHAnsi" w:hAnsiTheme="majorHAnsi" w:cstheme="majorHAnsi"/>
                <w:b/>
                <w:sz w:val="16"/>
                <w:szCs w:val="20"/>
              </w:rPr>
            </w:pPr>
            <w:r w:rsidRPr="00E20D20">
              <w:rPr>
                <w:rFonts w:asciiTheme="majorHAnsi" w:hAnsiTheme="majorHAnsi" w:cstheme="majorHAnsi"/>
                <w:b/>
                <w:sz w:val="16"/>
                <w:szCs w:val="20"/>
              </w:rPr>
              <w:t>$3,304</w:t>
            </w:r>
          </w:p>
        </w:tc>
      </w:tr>
    </w:tbl>
    <w:p w14:paraId="1D271FFC" w14:textId="0AC9CF2E" w:rsidR="00454AEC" w:rsidRDefault="00C17C22" w:rsidP="00C17C22">
      <w:pPr>
        <w:spacing w:after="120" w:line="288" w:lineRule="auto"/>
        <w:rPr>
          <w:b/>
          <w:sz w:val="16"/>
          <w:szCs w:val="16"/>
        </w:rPr>
      </w:pPr>
      <w:r w:rsidRPr="00E20D20">
        <w:rPr>
          <w:b/>
          <w:sz w:val="16"/>
          <w:szCs w:val="16"/>
        </w:rPr>
        <w:t>*Severity = 0.45 + 0.02 * 1.05 = 0.471</w:t>
      </w:r>
      <w:r w:rsidR="00AB2909" w:rsidRPr="00E20D20">
        <w:rPr>
          <w:b/>
          <w:sz w:val="16"/>
          <w:szCs w:val="16"/>
        </w:rPr>
        <w:br w:type="textWrapping" w:clear="all"/>
      </w:r>
    </w:p>
    <w:p w14:paraId="7B1DC20B" w14:textId="77777777" w:rsidR="00E1496F" w:rsidRDefault="00E1496F" w:rsidP="00C17C22">
      <w:pPr>
        <w:spacing w:after="120" w:line="288" w:lineRule="auto"/>
        <w:rPr>
          <w:b/>
          <w:sz w:val="16"/>
          <w:szCs w:val="16"/>
        </w:rPr>
      </w:pPr>
    </w:p>
    <w:p w14:paraId="1310F3E5" w14:textId="77777777" w:rsidR="00E20D20" w:rsidRPr="00E20D20" w:rsidRDefault="00E20D20" w:rsidP="00C17C22">
      <w:pPr>
        <w:spacing w:after="120" w:line="288" w:lineRule="auto"/>
        <w:rPr>
          <w:b/>
          <w:sz w:val="16"/>
          <w:szCs w:val="16"/>
        </w:rPr>
      </w:pPr>
    </w:p>
    <w:p w14:paraId="0EDA1F33" w14:textId="11419CC0" w:rsidR="00514A2F" w:rsidRDefault="00514A2F" w:rsidP="00514A2F">
      <w:pPr>
        <w:spacing w:after="120" w:line="288" w:lineRule="auto"/>
        <w:jc w:val="both"/>
        <w:rPr>
          <w:b/>
          <w:sz w:val="20"/>
          <w:szCs w:val="20"/>
        </w:rPr>
      </w:pPr>
      <w:r>
        <w:rPr>
          <w:b/>
          <w:sz w:val="20"/>
          <w:szCs w:val="20"/>
        </w:rPr>
        <w:t xml:space="preserve">E.3 </w:t>
      </w:r>
      <w:r w:rsidR="006A22C0">
        <w:rPr>
          <w:b/>
          <w:sz w:val="20"/>
          <w:szCs w:val="20"/>
        </w:rPr>
        <w:t xml:space="preserve">RBC Factor </w:t>
      </w:r>
      <w:r>
        <w:rPr>
          <w:b/>
          <w:sz w:val="20"/>
          <w:szCs w:val="20"/>
        </w:rPr>
        <w:t>Testing</w:t>
      </w:r>
    </w:p>
    <w:p w14:paraId="36815B67" w14:textId="00DCE35F" w:rsidR="00514A2F" w:rsidRPr="008F2E25" w:rsidRDefault="006B4D86" w:rsidP="00514A2F">
      <w:pPr>
        <w:pStyle w:val="RRBody"/>
        <w:jc w:val="both"/>
        <w:rPr>
          <w:sz w:val="20"/>
          <w:szCs w:val="20"/>
        </w:rPr>
      </w:pPr>
      <w:r>
        <w:rPr>
          <w:sz w:val="20"/>
          <w:szCs w:val="20"/>
        </w:rPr>
        <w:t>The RBC factors were back-tested through the base rate selection process</w:t>
      </w:r>
      <w:r w:rsidR="006A22C0">
        <w:rPr>
          <w:sz w:val="20"/>
          <w:szCs w:val="20"/>
        </w:rPr>
        <w:t xml:space="preserve"> to assess the RBC required capital levels against historical and estimated cumulative cash flows for the mortgage insurance industry. Additional evaluation was performed to test the RBC capital results reasonability to historical data. This section provides a summary of those evaluations</w:t>
      </w:r>
      <w:r>
        <w:rPr>
          <w:sz w:val="20"/>
          <w:szCs w:val="20"/>
        </w:rPr>
        <w:t xml:space="preserve">. </w:t>
      </w:r>
    </w:p>
    <w:p w14:paraId="2D8A3A88" w14:textId="5176051F" w:rsidR="006A22C0" w:rsidRDefault="006A22C0" w:rsidP="00950728">
      <w:pPr>
        <w:pStyle w:val="RRBody"/>
        <w:jc w:val="both"/>
        <w:rPr>
          <w:b/>
          <w:i/>
          <w:sz w:val="20"/>
          <w:szCs w:val="20"/>
        </w:rPr>
      </w:pPr>
      <w:r>
        <w:rPr>
          <w:b/>
          <w:i/>
          <w:sz w:val="20"/>
          <w:szCs w:val="20"/>
        </w:rPr>
        <w:t>Book Year Evaluation</w:t>
      </w:r>
    </w:p>
    <w:p w14:paraId="2FD58177" w14:textId="39602920" w:rsidR="006A22C0" w:rsidRDefault="006A22C0" w:rsidP="00950728">
      <w:pPr>
        <w:pStyle w:val="RRBody"/>
        <w:jc w:val="both"/>
        <w:rPr>
          <w:sz w:val="20"/>
          <w:szCs w:val="20"/>
        </w:rPr>
      </w:pPr>
      <w:r>
        <w:rPr>
          <w:sz w:val="20"/>
          <w:szCs w:val="20"/>
        </w:rPr>
        <w:t>Exhibit E</w:t>
      </w:r>
      <w:r w:rsidR="00E039B3">
        <w:rPr>
          <w:sz w:val="20"/>
          <w:szCs w:val="20"/>
        </w:rPr>
        <w:t xml:space="preserve">.2 Page </w:t>
      </w:r>
      <w:r w:rsidR="00FE4D9D">
        <w:rPr>
          <w:sz w:val="20"/>
          <w:szCs w:val="20"/>
        </w:rPr>
        <w:t xml:space="preserve">66 </w:t>
      </w:r>
      <w:r>
        <w:rPr>
          <w:sz w:val="20"/>
          <w:szCs w:val="20"/>
        </w:rPr>
        <w:t>provides a comparison of the RBC capital requirements against historical and forecast ultimate claims by origination year. The RBC capital requirements are segmented into three components:</w:t>
      </w:r>
    </w:p>
    <w:p w14:paraId="0143E655" w14:textId="4E698671" w:rsidR="006A22C0" w:rsidRDefault="006A22C0" w:rsidP="006A22C0">
      <w:pPr>
        <w:pStyle w:val="RRBody"/>
        <w:numPr>
          <w:ilvl w:val="0"/>
          <w:numId w:val="49"/>
        </w:numPr>
        <w:jc w:val="both"/>
        <w:rPr>
          <w:sz w:val="20"/>
          <w:szCs w:val="20"/>
        </w:rPr>
      </w:pPr>
      <w:r>
        <w:rPr>
          <w:sz w:val="20"/>
          <w:szCs w:val="20"/>
        </w:rPr>
        <w:t>FICO and LTV capital requirement</w:t>
      </w:r>
      <w:r w:rsidR="00041F65">
        <w:rPr>
          <w:sz w:val="20"/>
          <w:szCs w:val="20"/>
        </w:rPr>
        <w:t xml:space="preserve"> (orange line on the chart)</w:t>
      </w:r>
      <w:r>
        <w:rPr>
          <w:sz w:val="20"/>
          <w:szCs w:val="20"/>
        </w:rPr>
        <w:t>;</w:t>
      </w:r>
    </w:p>
    <w:p w14:paraId="6165F689" w14:textId="23AA9A12" w:rsidR="006A22C0" w:rsidRDefault="00041F65" w:rsidP="006A22C0">
      <w:pPr>
        <w:pStyle w:val="RRBody"/>
        <w:numPr>
          <w:ilvl w:val="0"/>
          <w:numId w:val="49"/>
        </w:numPr>
        <w:jc w:val="both"/>
        <w:rPr>
          <w:sz w:val="20"/>
          <w:szCs w:val="20"/>
        </w:rPr>
      </w:pPr>
      <w:r>
        <w:rPr>
          <w:sz w:val="20"/>
          <w:szCs w:val="20"/>
        </w:rPr>
        <w:t>Underwriting r</w:t>
      </w:r>
      <w:r w:rsidR="006A22C0">
        <w:rPr>
          <w:sz w:val="20"/>
          <w:szCs w:val="20"/>
        </w:rPr>
        <w:t>isk factor capital requirement</w:t>
      </w:r>
      <w:r>
        <w:rPr>
          <w:sz w:val="20"/>
          <w:szCs w:val="20"/>
        </w:rPr>
        <w:t xml:space="preserve"> (yellow line on the chart)</w:t>
      </w:r>
      <w:r w:rsidR="006A22C0">
        <w:rPr>
          <w:sz w:val="20"/>
          <w:szCs w:val="20"/>
        </w:rPr>
        <w:t>; and</w:t>
      </w:r>
    </w:p>
    <w:p w14:paraId="16641724" w14:textId="166FFA6B" w:rsidR="006A22C0" w:rsidRDefault="006A22C0" w:rsidP="006A22C0">
      <w:pPr>
        <w:pStyle w:val="RRBody"/>
        <w:numPr>
          <w:ilvl w:val="0"/>
          <w:numId w:val="49"/>
        </w:numPr>
        <w:jc w:val="both"/>
        <w:rPr>
          <w:sz w:val="20"/>
          <w:szCs w:val="20"/>
        </w:rPr>
      </w:pPr>
      <w:r>
        <w:rPr>
          <w:sz w:val="20"/>
          <w:szCs w:val="20"/>
        </w:rPr>
        <w:t>Economic capital requirement</w:t>
      </w:r>
      <w:r w:rsidR="00041F65">
        <w:rPr>
          <w:sz w:val="20"/>
          <w:szCs w:val="20"/>
        </w:rPr>
        <w:t xml:space="preserve"> (green line on the chart)</w:t>
      </w:r>
      <w:r>
        <w:rPr>
          <w:sz w:val="20"/>
          <w:szCs w:val="20"/>
        </w:rPr>
        <w:t>.</w:t>
      </w:r>
    </w:p>
    <w:p w14:paraId="5B322E52" w14:textId="7B783C23" w:rsidR="00041F65" w:rsidRDefault="00041F65" w:rsidP="006A22C0">
      <w:pPr>
        <w:pStyle w:val="RRBody"/>
        <w:jc w:val="both"/>
        <w:rPr>
          <w:sz w:val="20"/>
          <w:szCs w:val="20"/>
        </w:rPr>
      </w:pPr>
      <w:r>
        <w:rPr>
          <w:sz w:val="20"/>
          <w:szCs w:val="20"/>
        </w:rPr>
        <w:t>On the chart, the blue and grey line represent to-date claims (blue) plus ultimate claims (grey). The stacked lines on the chart show the various components of the RBC capital requirement. The visual highlights the largest driver of capital variations is the economic component, which can vary from 0 to several multiples of the other two capital components combined.</w:t>
      </w:r>
    </w:p>
    <w:p w14:paraId="4EA80A8B" w14:textId="2D571859" w:rsidR="00041F65" w:rsidRDefault="00041F65" w:rsidP="006A22C0">
      <w:pPr>
        <w:pStyle w:val="RRBody"/>
        <w:jc w:val="both"/>
        <w:rPr>
          <w:sz w:val="20"/>
          <w:szCs w:val="20"/>
        </w:rPr>
      </w:pPr>
      <w:r>
        <w:rPr>
          <w:sz w:val="20"/>
          <w:szCs w:val="20"/>
        </w:rPr>
        <w:t xml:space="preserve">Additionally, the exhibit highlights the RBC charge is designed to capture temporal diversification of mortgage insurance companies; that is, some books will require more capital than cumulative claims (e.g. 2003 through 2005) and some books will require less capital than cumulative claims (e.g. 2006 through 2008). </w:t>
      </w:r>
    </w:p>
    <w:p w14:paraId="014DD405" w14:textId="26787E46" w:rsidR="00F26057" w:rsidRPr="00F26057" w:rsidRDefault="00B23FAE" w:rsidP="006A22C0">
      <w:pPr>
        <w:pStyle w:val="RRBody"/>
        <w:jc w:val="both"/>
        <w:rPr>
          <w:b/>
          <w:i/>
          <w:sz w:val="20"/>
          <w:szCs w:val="20"/>
        </w:rPr>
      </w:pPr>
      <w:r>
        <w:rPr>
          <w:b/>
          <w:i/>
          <w:sz w:val="20"/>
          <w:szCs w:val="20"/>
        </w:rPr>
        <w:t>C</w:t>
      </w:r>
      <w:r w:rsidR="00F26057">
        <w:rPr>
          <w:b/>
          <w:i/>
          <w:sz w:val="20"/>
          <w:szCs w:val="20"/>
        </w:rPr>
        <w:t>omparison to 25-to-1 Risk-to-Capital Ratio</w:t>
      </w:r>
    </w:p>
    <w:p w14:paraId="7ABE76EB" w14:textId="239B156E" w:rsidR="00041F65" w:rsidRDefault="00041F65" w:rsidP="006A22C0">
      <w:pPr>
        <w:pStyle w:val="RRBody"/>
        <w:jc w:val="both"/>
        <w:rPr>
          <w:sz w:val="20"/>
          <w:szCs w:val="20"/>
        </w:rPr>
      </w:pPr>
      <w:r>
        <w:rPr>
          <w:sz w:val="20"/>
          <w:szCs w:val="20"/>
        </w:rPr>
        <w:t>Exhibit E</w:t>
      </w:r>
      <w:r w:rsidR="005753B0">
        <w:rPr>
          <w:sz w:val="20"/>
          <w:szCs w:val="20"/>
        </w:rPr>
        <w:t xml:space="preserve">.2 Page </w:t>
      </w:r>
      <w:r w:rsidR="00FE4D9D">
        <w:rPr>
          <w:sz w:val="20"/>
          <w:szCs w:val="20"/>
        </w:rPr>
        <w:t xml:space="preserve">67 </w:t>
      </w:r>
      <w:r>
        <w:rPr>
          <w:sz w:val="20"/>
          <w:szCs w:val="20"/>
        </w:rPr>
        <w:t>provides a visual of the his</w:t>
      </w:r>
      <w:r w:rsidR="00F26057">
        <w:rPr>
          <w:sz w:val="20"/>
          <w:szCs w:val="20"/>
        </w:rPr>
        <w:t>torical risk-to-capital ratio calculation using the RBC capital factor (</w:t>
      </w:r>
      <w:r w:rsidR="00B23FAE">
        <w:rPr>
          <w:sz w:val="20"/>
          <w:szCs w:val="20"/>
        </w:rPr>
        <w:t>excluding the</w:t>
      </w:r>
      <w:r w:rsidR="00F26057">
        <w:rPr>
          <w:sz w:val="20"/>
          <w:szCs w:val="20"/>
        </w:rPr>
        <w:t xml:space="preserve"> credit for premium). </w:t>
      </w:r>
    </w:p>
    <w:p w14:paraId="0C615E38" w14:textId="4D7401CE" w:rsidR="00C915D2" w:rsidRDefault="00C915D2" w:rsidP="006A22C0">
      <w:pPr>
        <w:pStyle w:val="RRBody"/>
        <w:jc w:val="both"/>
        <w:rPr>
          <w:sz w:val="20"/>
          <w:szCs w:val="20"/>
        </w:rPr>
      </w:pPr>
      <w:r>
        <w:rPr>
          <w:sz w:val="20"/>
          <w:szCs w:val="20"/>
        </w:rPr>
        <w:t>The exhibit includes all book years from 1995 through 2013 by development year and calculates the required capital using the RBC factors. The calculation is performed on historical data and aggregated for all mortgage insurance companies that provided data.</w:t>
      </w:r>
    </w:p>
    <w:p w14:paraId="7AE31B08" w14:textId="4BA6529E" w:rsidR="00316E79" w:rsidRDefault="00E001D7" w:rsidP="00950728">
      <w:pPr>
        <w:pStyle w:val="RRBody"/>
        <w:jc w:val="both"/>
        <w:rPr>
          <w:color w:val="0081E3" w:themeColor="accent4"/>
          <w:sz w:val="28"/>
          <w:szCs w:val="28"/>
        </w:rPr>
      </w:pPr>
      <w:r>
        <w:rPr>
          <w:color w:val="0081E3" w:themeColor="accent4"/>
          <w:sz w:val="28"/>
          <w:szCs w:val="28"/>
        </w:rPr>
        <w:br w:type="column"/>
      </w:r>
      <w:r w:rsidR="000D0456">
        <w:rPr>
          <w:color w:val="0081E3" w:themeColor="accent4"/>
          <w:sz w:val="28"/>
          <w:szCs w:val="28"/>
        </w:rPr>
        <w:lastRenderedPageBreak/>
        <w:t>F</w:t>
      </w:r>
      <w:r w:rsidR="00316E79" w:rsidRPr="00316E79">
        <w:rPr>
          <w:color w:val="0081E3" w:themeColor="accent4"/>
          <w:sz w:val="28"/>
          <w:szCs w:val="28"/>
        </w:rPr>
        <w:t>. Qualifications and Lim</w:t>
      </w:r>
      <w:r w:rsidR="009B6670">
        <w:rPr>
          <w:color w:val="0081E3" w:themeColor="accent4"/>
          <w:sz w:val="28"/>
          <w:szCs w:val="28"/>
        </w:rPr>
        <w:t>itations; Limited Distribution o</w:t>
      </w:r>
      <w:r w:rsidR="00316E79" w:rsidRPr="00316E79">
        <w:rPr>
          <w:color w:val="0081E3" w:themeColor="accent4"/>
          <w:sz w:val="28"/>
          <w:szCs w:val="28"/>
        </w:rPr>
        <w:t>f Results</w:t>
      </w:r>
    </w:p>
    <w:p w14:paraId="0E99BADE" w14:textId="543FD10F" w:rsidR="00316E79" w:rsidRPr="00557175" w:rsidRDefault="000D0456" w:rsidP="00557175">
      <w:pPr>
        <w:pStyle w:val="Heading2"/>
        <w:spacing w:before="0" w:after="120" w:line="288" w:lineRule="auto"/>
        <w:jc w:val="both"/>
        <w:rPr>
          <w:b/>
          <w:i/>
          <w:color w:val="auto"/>
          <w:sz w:val="20"/>
          <w:szCs w:val="20"/>
        </w:rPr>
      </w:pPr>
      <w:r>
        <w:rPr>
          <w:b/>
          <w:i/>
          <w:color w:val="auto"/>
          <w:sz w:val="20"/>
          <w:szCs w:val="20"/>
        </w:rPr>
        <w:t>F</w:t>
      </w:r>
      <w:r w:rsidR="00316E79" w:rsidRPr="00557175">
        <w:rPr>
          <w:b/>
          <w:i/>
          <w:color w:val="auto"/>
          <w:sz w:val="20"/>
          <w:szCs w:val="20"/>
        </w:rPr>
        <w:t>.1 Qualifications and Limitations</w:t>
      </w:r>
    </w:p>
    <w:p w14:paraId="0788AB96" w14:textId="77777777"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The authors and peer reviewers of this analysis are Members of the American Academy of Actuaries, Fellows of the Casualty Actuarial Society and/or have significant expertise in the evaluation of mortgage insurance and reinsurance.</w:t>
      </w:r>
    </w:p>
    <w:p w14:paraId="16512AF7" w14:textId="6CE5199C"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 xml:space="preserve">In performing this analysis, Milliman has relied on data </w:t>
      </w:r>
      <w:r w:rsidRPr="00557175">
        <w:rPr>
          <w:rFonts w:cs="Arial"/>
          <w:sz w:val="20"/>
          <w:szCs w:val="20"/>
        </w:rPr>
        <w:t xml:space="preserve">evaluated as of </w:t>
      </w:r>
      <w:r w:rsidR="004D4BAC">
        <w:rPr>
          <w:rFonts w:cs="Arial"/>
          <w:sz w:val="20"/>
          <w:szCs w:val="20"/>
        </w:rPr>
        <w:t>December</w:t>
      </w:r>
      <w:r w:rsidRPr="00557175">
        <w:rPr>
          <w:rFonts w:cs="Arial"/>
          <w:sz w:val="20"/>
          <w:szCs w:val="20"/>
        </w:rPr>
        <w:t xml:space="preserve"> 3</w:t>
      </w:r>
      <w:r w:rsidR="004D4BAC">
        <w:rPr>
          <w:rFonts w:cs="Arial"/>
          <w:sz w:val="20"/>
          <w:szCs w:val="20"/>
        </w:rPr>
        <w:t>1, 2013</w:t>
      </w:r>
      <w:r w:rsidRPr="00557175">
        <w:rPr>
          <w:rFonts w:cs="Arial"/>
          <w:sz w:val="20"/>
          <w:szCs w:val="20"/>
        </w:rPr>
        <w:t xml:space="preserve"> </w:t>
      </w:r>
      <w:r w:rsidRPr="00557175">
        <w:rPr>
          <w:rFonts w:eastAsia="Times New Roman" w:cs="Arial"/>
          <w:sz w:val="20"/>
          <w:szCs w:val="20"/>
        </w:rPr>
        <w:t xml:space="preserve">and other information </w:t>
      </w:r>
      <w:r w:rsidRPr="00557175">
        <w:rPr>
          <w:rFonts w:cs="Arial"/>
          <w:sz w:val="20"/>
          <w:szCs w:val="20"/>
        </w:rPr>
        <w:t>concerning</w:t>
      </w:r>
      <w:r w:rsidR="004D4BAC">
        <w:rPr>
          <w:rFonts w:cs="Arial"/>
          <w:sz w:val="20"/>
          <w:szCs w:val="20"/>
        </w:rPr>
        <w:t xml:space="preserve"> the data evaluated as of December 31, 2013</w:t>
      </w:r>
      <w:r w:rsidRPr="00557175">
        <w:rPr>
          <w:rFonts w:cs="Arial"/>
          <w:sz w:val="20"/>
          <w:szCs w:val="20"/>
        </w:rPr>
        <w:t>,</w:t>
      </w:r>
      <w:r w:rsidRPr="00557175">
        <w:rPr>
          <w:rFonts w:eastAsia="Times New Roman" w:cs="Arial"/>
          <w:sz w:val="20"/>
          <w:szCs w:val="20"/>
        </w:rPr>
        <w:t xml:space="preserve"> provided to Milliman by or on behalf of </w:t>
      </w:r>
      <w:r w:rsidR="004D4BAC">
        <w:rPr>
          <w:rFonts w:eastAsia="Times New Roman" w:cs="Arial"/>
          <w:sz w:val="20"/>
          <w:szCs w:val="20"/>
        </w:rPr>
        <w:t>the National Association of Insurance Commissioners</w:t>
      </w:r>
      <w:r w:rsidRPr="00557175">
        <w:rPr>
          <w:rFonts w:eastAsia="Times New Roman" w:cs="Arial"/>
          <w:sz w:val="20"/>
          <w:szCs w:val="20"/>
        </w:rPr>
        <w:t xml:space="preserve"> </w:t>
      </w:r>
      <w:r w:rsidRPr="00557175">
        <w:rPr>
          <w:rFonts w:cs="Arial"/>
          <w:sz w:val="20"/>
          <w:szCs w:val="20"/>
        </w:rPr>
        <w:t>through the date of this report</w:t>
      </w:r>
      <w:r w:rsidRPr="00557175">
        <w:rPr>
          <w:rFonts w:eastAsia="Times New Roman" w:cs="Arial"/>
          <w:sz w:val="20"/>
          <w:szCs w:val="20"/>
        </w:rPr>
        <w:t xml:space="preserve">. </w:t>
      </w:r>
      <w:r w:rsidR="00557175">
        <w:rPr>
          <w:rFonts w:eastAsia="Times New Roman" w:cs="Arial"/>
          <w:sz w:val="20"/>
          <w:szCs w:val="20"/>
        </w:rPr>
        <w:t xml:space="preserve"> </w:t>
      </w:r>
      <w:r w:rsidRPr="00557175">
        <w:rPr>
          <w:rFonts w:eastAsia="Times New Roman" w:cs="Arial"/>
          <w:sz w:val="20"/>
          <w:szCs w:val="20"/>
        </w:rPr>
        <w:t xml:space="preserve">Note that </w:t>
      </w:r>
      <w:r w:rsidR="004D4BAC">
        <w:rPr>
          <w:rFonts w:eastAsia="Times New Roman" w:cs="Arial"/>
          <w:sz w:val="20"/>
          <w:szCs w:val="20"/>
        </w:rPr>
        <w:t xml:space="preserve">the </w:t>
      </w:r>
      <w:r w:rsidRPr="00557175">
        <w:rPr>
          <w:rFonts w:eastAsia="Times New Roman" w:cs="Arial"/>
          <w:sz w:val="20"/>
          <w:szCs w:val="20"/>
        </w:rPr>
        <w:t>assumptions</w:t>
      </w:r>
      <w:r w:rsidR="004D4BAC">
        <w:rPr>
          <w:rFonts w:eastAsia="Times New Roman" w:cs="Arial"/>
          <w:sz w:val="20"/>
          <w:szCs w:val="20"/>
        </w:rPr>
        <w:t xml:space="preserve"> used to create the capital model</w:t>
      </w:r>
      <w:r w:rsidRPr="00557175">
        <w:rPr>
          <w:rFonts w:eastAsia="Times New Roman" w:cs="Arial"/>
          <w:sz w:val="20"/>
          <w:szCs w:val="20"/>
        </w:rPr>
        <w:t xml:space="preserve"> were derived using data evaluated as of </w:t>
      </w:r>
      <w:r w:rsidR="004D4BAC">
        <w:rPr>
          <w:rFonts w:cs="Arial"/>
          <w:sz w:val="20"/>
          <w:szCs w:val="20"/>
        </w:rPr>
        <w:t>December</w:t>
      </w:r>
      <w:r w:rsidRPr="00557175">
        <w:rPr>
          <w:rFonts w:cs="Arial"/>
          <w:sz w:val="20"/>
          <w:szCs w:val="20"/>
        </w:rPr>
        <w:t xml:space="preserve"> 3</w:t>
      </w:r>
      <w:r w:rsidR="004D4BAC">
        <w:rPr>
          <w:rFonts w:cs="Arial"/>
          <w:sz w:val="20"/>
          <w:szCs w:val="20"/>
        </w:rPr>
        <w:t>1</w:t>
      </w:r>
      <w:r w:rsidRPr="00557175">
        <w:rPr>
          <w:rFonts w:cs="Arial"/>
          <w:sz w:val="20"/>
          <w:szCs w:val="20"/>
        </w:rPr>
        <w:t>, 201</w:t>
      </w:r>
      <w:r w:rsidR="004D4BAC">
        <w:rPr>
          <w:rFonts w:cs="Arial"/>
          <w:sz w:val="20"/>
          <w:szCs w:val="20"/>
        </w:rPr>
        <w:t>3</w:t>
      </w:r>
      <w:r w:rsidRPr="00557175">
        <w:rPr>
          <w:rFonts w:eastAsia="Times New Roman" w:cs="Arial"/>
          <w:sz w:val="20"/>
          <w:szCs w:val="20"/>
        </w:rPr>
        <w:t>.</w:t>
      </w:r>
      <w:r w:rsidR="00557175">
        <w:rPr>
          <w:rFonts w:eastAsia="Times New Roman" w:cs="Arial"/>
          <w:sz w:val="20"/>
          <w:szCs w:val="20"/>
        </w:rPr>
        <w:t xml:space="preserve"> </w:t>
      </w:r>
      <w:r w:rsidRPr="00557175">
        <w:rPr>
          <w:rFonts w:eastAsia="Times New Roman" w:cs="Arial"/>
          <w:sz w:val="20"/>
          <w:szCs w:val="20"/>
        </w:rPr>
        <w:t xml:space="preserve"> Milliman has not audited or verified </w:t>
      </w:r>
      <w:r w:rsidR="004D4BAC">
        <w:rPr>
          <w:rFonts w:eastAsia="Times New Roman" w:cs="Arial"/>
          <w:sz w:val="20"/>
          <w:szCs w:val="20"/>
        </w:rPr>
        <w:t>the</w:t>
      </w:r>
      <w:r w:rsidRPr="00557175">
        <w:rPr>
          <w:rFonts w:eastAsia="Times New Roman" w:cs="Arial"/>
          <w:sz w:val="20"/>
          <w:szCs w:val="20"/>
        </w:rPr>
        <w:t xml:space="preserve"> data and information</w:t>
      </w:r>
      <w:r w:rsidR="004D4BAC">
        <w:rPr>
          <w:rFonts w:eastAsia="Times New Roman" w:cs="Arial"/>
          <w:sz w:val="20"/>
          <w:szCs w:val="20"/>
        </w:rPr>
        <w:t xml:space="preserve"> provided</w:t>
      </w:r>
      <w:r w:rsidRPr="00557175">
        <w:rPr>
          <w:rFonts w:eastAsia="Times New Roman" w:cs="Arial"/>
          <w:sz w:val="20"/>
          <w:szCs w:val="20"/>
        </w:rPr>
        <w:t xml:space="preserve">. </w:t>
      </w:r>
      <w:r w:rsidR="00557175">
        <w:rPr>
          <w:rFonts w:eastAsia="Times New Roman" w:cs="Arial"/>
          <w:sz w:val="20"/>
          <w:szCs w:val="20"/>
        </w:rPr>
        <w:t xml:space="preserve"> </w:t>
      </w:r>
      <w:r w:rsidRPr="00557175">
        <w:rPr>
          <w:rFonts w:eastAsia="Times New Roman" w:cs="Arial"/>
          <w:sz w:val="20"/>
          <w:szCs w:val="20"/>
        </w:rPr>
        <w:t>If the underlying data or information is inaccurate or incomplete, the results of Milliman’s analysis may likewise be inaccurate or incomplete.</w:t>
      </w:r>
      <w:r w:rsidRPr="00557175">
        <w:rPr>
          <w:rFonts w:cs="Arial"/>
          <w:sz w:val="20"/>
          <w:szCs w:val="20"/>
        </w:rPr>
        <w:t xml:space="preserve"> </w:t>
      </w:r>
      <w:r w:rsidR="00557175">
        <w:rPr>
          <w:rFonts w:cs="Arial"/>
          <w:sz w:val="20"/>
          <w:szCs w:val="20"/>
        </w:rPr>
        <w:t xml:space="preserve"> </w:t>
      </w:r>
      <w:r w:rsidRPr="00557175">
        <w:rPr>
          <w:rFonts w:cs="Arial"/>
          <w:sz w:val="20"/>
          <w:szCs w:val="20"/>
        </w:rPr>
        <w:t xml:space="preserve">Except where noted specifically within this report, Milliman is not aware of any relevant events or changes to the data subsequent to Milliman’s analysis that would materially impact the results of the analysis. </w:t>
      </w:r>
    </w:p>
    <w:p w14:paraId="27128085" w14:textId="74878049"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 xml:space="preserve">In performing this evaluation, Milliman has assumed that </w:t>
      </w:r>
      <w:r w:rsidR="004D4BAC">
        <w:rPr>
          <w:rFonts w:eastAsia="Times New Roman" w:cs="Arial"/>
          <w:sz w:val="20"/>
          <w:szCs w:val="20"/>
        </w:rPr>
        <w:t>the NAIC</w:t>
      </w:r>
      <w:r w:rsidRPr="00557175">
        <w:rPr>
          <w:rFonts w:eastAsia="Times New Roman" w:cs="Arial"/>
          <w:sz w:val="20"/>
          <w:szCs w:val="20"/>
        </w:rPr>
        <w:t xml:space="preserve"> </w:t>
      </w:r>
      <w:r w:rsidR="00761980">
        <w:rPr>
          <w:rFonts w:eastAsia="Times New Roman" w:cs="Arial"/>
          <w:sz w:val="20"/>
          <w:szCs w:val="20"/>
        </w:rPr>
        <w:t xml:space="preserve">and the Mortgage Insurance Working Group </w:t>
      </w:r>
      <w:r w:rsidRPr="00557175">
        <w:rPr>
          <w:rFonts w:eastAsia="Times New Roman" w:cs="Arial"/>
          <w:sz w:val="20"/>
          <w:szCs w:val="20"/>
        </w:rPr>
        <w:t xml:space="preserve">(a) used its best efforts to supply accurate and complete data and (b) did not knowingly provide any inaccurate data. </w:t>
      </w:r>
      <w:r w:rsidR="00557175">
        <w:rPr>
          <w:rFonts w:eastAsia="Times New Roman" w:cs="Arial"/>
          <w:sz w:val="20"/>
          <w:szCs w:val="20"/>
        </w:rPr>
        <w:t xml:space="preserve"> </w:t>
      </w:r>
      <w:r w:rsidRPr="00557175">
        <w:rPr>
          <w:rFonts w:eastAsia="Times New Roman" w:cs="Arial"/>
          <w:sz w:val="20"/>
          <w:szCs w:val="20"/>
        </w:rPr>
        <w:t>Milliman performed a limited review of the data used directly in Milliman’s analysis for reasonableness and consistency and has not found material defects in the data.</w:t>
      </w:r>
      <w:r w:rsidR="00557175">
        <w:rPr>
          <w:rFonts w:eastAsia="Times New Roman" w:cs="Arial"/>
          <w:sz w:val="20"/>
          <w:szCs w:val="20"/>
        </w:rPr>
        <w:t xml:space="preserve"> </w:t>
      </w:r>
      <w:r w:rsidRPr="00557175">
        <w:rPr>
          <w:rFonts w:eastAsia="Times New Roman" w:cs="Arial"/>
          <w:sz w:val="20"/>
          <w:szCs w:val="20"/>
        </w:rPr>
        <w:t xml:space="preserve"> If there are material defects in the data, it is possible that they would be uncovered by a detailed, systematic review and comparison of the data to search for data values that are questionable or relationships that are materially inconsistent. </w:t>
      </w:r>
      <w:r w:rsidR="00557175">
        <w:rPr>
          <w:rFonts w:eastAsia="Times New Roman" w:cs="Arial"/>
          <w:sz w:val="20"/>
          <w:szCs w:val="20"/>
        </w:rPr>
        <w:t xml:space="preserve"> </w:t>
      </w:r>
      <w:r w:rsidRPr="00557175">
        <w:rPr>
          <w:rFonts w:eastAsia="Times New Roman" w:cs="Arial"/>
          <w:sz w:val="20"/>
          <w:szCs w:val="20"/>
        </w:rPr>
        <w:t>Such a review was beyond the scope of Milliman’s assignment.</w:t>
      </w:r>
    </w:p>
    <w:p w14:paraId="27143656" w14:textId="0B87BC55"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The analysis and any conclusions provided in Milliman’s deliverables are based on data provided to Milliman by third-party sources.</w:t>
      </w:r>
      <w:r w:rsidR="00557175">
        <w:rPr>
          <w:rFonts w:eastAsia="Times New Roman" w:cs="Arial"/>
          <w:sz w:val="20"/>
          <w:szCs w:val="20"/>
        </w:rPr>
        <w:t xml:space="preserve"> </w:t>
      </w:r>
      <w:r w:rsidRPr="00557175">
        <w:rPr>
          <w:rFonts w:eastAsia="Times New Roman" w:cs="Arial"/>
          <w:sz w:val="20"/>
          <w:szCs w:val="20"/>
        </w:rPr>
        <w:t xml:space="preserve"> Milliman does not warrant the accuracy or completeness of any third-party data, and Milliman disclaims any and all liability in connection with such third-party data. </w:t>
      </w:r>
      <w:r w:rsidR="00557175">
        <w:rPr>
          <w:rFonts w:eastAsia="Times New Roman" w:cs="Arial"/>
          <w:sz w:val="20"/>
          <w:szCs w:val="20"/>
        </w:rPr>
        <w:t xml:space="preserve"> </w:t>
      </w:r>
      <w:r w:rsidRPr="00557175">
        <w:rPr>
          <w:rFonts w:eastAsia="Times New Roman" w:cs="Arial"/>
          <w:sz w:val="20"/>
          <w:szCs w:val="20"/>
        </w:rPr>
        <w:t>Any errors in the data provided may affect the results of Milliman’s analysis.</w:t>
      </w:r>
      <w:r w:rsidR="00557175">
        <w:rPr>
          <w:rFonts w:eastAsia="Times New Roman" w:cs="Arial"/>
          <w:sz w:val="20"/>
          <w:szCs w:val="20"/>
        </w:rPr>
        <w:t xml:space="preserve"> </w:t>
      </w:r>
      <w:r w:rsidRPr="00557175">
        <w:rPr>
          <w:rFonts w:eastAsia="Times New Roman" w:cs="Arial"/>
          <w:sz w:val="20"/>
          <w:szCs w:val="20"/>
        </w:rPr>
        <w:t xml:space="preserve"> Milliman shall not be liable for the results of its analysis to the extent errors are contained in third-party data sources.</w:t>
      </w:r>
    </w:p>
    <w:p w14:paraId="2A4DE523" w14:textId="0D1193DC"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Any analysis of unpaid claims or study of future operating results involves estimates of future contingencies.</w:t>
      </w:r>
      <w:r w:rsidR="005B5D1D">
        <w:rPr>
          <w:rFonts w:eastAsia="Times New Roman" w:cs="Arial"/>
          <w:sz w:val="20"/>
          <w:szCs w:val="20"/>
        </w:rPr>
        <w:t xml:space="preserve"> </w:t>
      </w:r>
      <w:r w:rsidRPr="00557175">
        <w:rPr>
          <w:rFonts w:eastAsia="Times New Roman" w:cs="Arial"/>
          <w:sz w:val="20"/>
          <w:szCs w:val="20"/>
        </w:rPr>
        <w:t xml:space="preserve"> While Milliman’s analysis represents Milliman’s best professional judgment arrived at after careful analysis of the available information, it is important to note that a significant degree of variation from </w:t>
      </w:r>
      <w:r w:rsidR="004D4BAC">
        <w:rPr>
          <w:rFonts w:eastAsia="Times New Roman" w:cs="Arial"/>
          <w:sz w:val="20"/>
          <w:szCs w:val="20"/>
        </w:rPr>
        <w:t>future</w:t>
      </w:r>
      <w:r w:rsidRPr="00557175">
        <w:rPr>
          <w:rFonts w:eastAsia="Times New Roman" w:cs="Arial"/>
          <w:sz w:val="20"/>
          <w:szCs w:val="20"/>
        </w:rPr>
        <w:t xml:space="preserve"> projections is not only possible but is, in fact, probable. </w:t>
      </w:r>
      <w:r w:rsidR="00557175">
        <w:rPr>
          <w:rFonts w:eastAsia="Times New Roman" w:cs="Arial"/>
          <w:sz w:val="20"/>
          <w:szCs w:val="20"/>
        </w:rPr>
        <w:t xml:space="preserve"> </w:t>
      </w:r>
      <w:r w:rsidRPr="00557175">
        <w:rPr>
          <w:rFonts w:eastAsia="Times New Roman" w:cs="Arial"/>
          <w:sz w:val="20"/>
          <w:szCs w:val="20"/>
        </w:rPr>
        <w:t>The sources of this variation are numerous, and include, but are not limited to: future national or regional economic conditions, mortgage prepayment speeds, and legislative changes affecting the mortgage market.</w:t>
      </w:r>
    </w:p>
    <w:p w14:paraId="349E3CD6" w14:textId="4DC9CBDF"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 xml:space="preserve">Differences between </w:t>
      </w:r>
      <w:r w:rsidR="004D4BAC">
        <w:rPr>
          <w:rFonts w:eastAsia="Times New Roman" w:cs="Arial"/>
          <w:sz w:val="20"/>
          <w:szCs w:val="20"/>
        </w:rPr>
        <w:t>the model</w:t>
      </w:r>
      <w:r w:rsidRPr="00557175">
        <w:rPr>
          <w:rFonts w:eastAsia="Times New Roman" w:cs="Arial"/>
          <w:sz w:val="20"/>
          <w:szCs w:val="20"/>
        </w:rPr>
        <w:t xml:space="preserve"> projections and actual amounts depend on the extent to which future experience conforms to the assumptions made for this analysis. </w:t>
      </w:r>
      <w:r w:rsidR="00557175">
        <w:rPr>
          <w:rFonts w:eastAsia="Times New Roman" w:cs="Arial"/>
          <w:sz w:val="20"/>
          <w:szCs w:val="20"/>
        </w:rPr>
        <w:t xml:space="preserve"> </w:t>
      </w:r>
      <w:r w:rsidRPr="00557175">
        <w:rPr>
          <w:rFonts w:eastAsia="Times New Roman" w:cs="Arial"/>
          <w:sz w:val="20"/>
          <w:szCs w:val="20"/>
        </w:rPr>
        <w:t>It is certain that actual experience will not conform exactly</w:t>
      </w:r>
      <w:r w:rsidR="004D4BAC">
        <w:rPr>
          <w:rFonts w:eastAsia="Times New Roman" w:cs="Arial"/>
          <w:sz w:val="20"/>
          <w:szCs w:val="20"/>
        </w:rPr>
        <w:t xml:space="preserve"> to the assumptions used in the capital model</w:t>
      </w:r>
      <w:r w:rsidRPr="00557175">
        <w:rPr>
          <w:rFonts w:eastAsia="Times New Roman" w:cs="Arial"/>
          <w:sz w:val="20"/>
          <w:szCs w:val="20"/>
        </w:rPr>
        <w:t xml:space="preserve">. </w:t>
      </w:r>
      <w:r w:rsidR="00557175">
        <w:rPr>
          <w:rFonts w:eastAsia="Times New Roman" w:cs="Arial"/>
          <w:sz w:val="20"/>
          <w:szCs w:val="20"/>
        </w:rPr>
        <w:t xml:space="preserve"> </w:t>
      </w:r>
      <w:r w:rsidRPr="00557175">
        <w:rPr>
          <w:rFonts w:eastAsia="Times New Roman" w:cs="Arial"/>
          <w:sz w:val="20"/>
          <w:szCs w:val="20"/>
        </w:rPr>
        <w:t>Actual amount</w:t>
      </w:r>
      <w:r w:rsidR="004D4BAC">
        <w:rPr>
          <w:rFonts w:eastAsia="Times New Roman" w:cs="Arial"/>
          <w:sz w:val="20"/>
          <w:szCs w:val="20"/>
        </w:rPr>
        <w:t>s</w:t>
      </w:r>
      <w:r w:rsidRPr="00557175">
        <w:rPr>
          <w:rFonts w:eastAsia="Times New Roman" w:cs="Arial"/>
          <w:sz w:val="20"/>
          <w:szCs w:val="20"/>
        </w:rPr>
        <w:t xml:space="preserve"> will differ from projected amounts to the extent that actual experience is better or worse than expected. </w:t>
      </w:r>
    </w:p>
    <w:p w14:paraId="0AC30D9C" w14:textId="37BDF29F"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The uncerta</w:t>
      </w:r>
      <w:r w:rsidR="004D4BAC">
        <w:rPr>
          <w:rFonts w:eastAsia="Times New Roman" w:cs="Arial"/>
          <w:sz w:val="20"/>
          <w:szCs w:val="20"/>
        </w:rPr>
        <w:t xml:space="preserve">inty associated with this capital model </w:t>
      </w:r>
      <w:r w:rsidRPr="00557175">
        <w:rPr>
          <w:rFonts w:eastAsia="Times New Roman" w:cs="Arial"/>
          <w:sz w:val="20"/>
          <w:szCs w:val="20"/>
        </w:rPr>
        <w:t>is also magnified by the nature of mortgage insurance.</w:t>
      </w:r>
      <w:r w:rsidR="005B5D1D">
        <w:rPr>
          <w:rFonts w:eastAsia="Times New Roman" w:cs="Arial"/>
          <w:sz w:val="20"/>
          <w:szCs w:val="20"/>
        </w:rPr>
        <w:t xml:space="preserve"> </w:t>
      </w:r>
      <w:r w:rsidRPr="00557175">
        <w:rPr>
          <w:rFonts w:eastAsia="Times New Roman" w:cs="Arial"/>
          <w:sz w:val="20"/>
          <w:szCs w:val="20"/>
        </w:rPr>
        <w:t xml:space="preserve"> Mortgage insurance results are sensitive to economic factors such as unemployment, housing market conditions, interest rate levels and so on.</w:t>
      </w:r>
      <w:r w:rsidR="00557175">
        <w:rPr>
          <w:rFonts w:eastAsia="Times New Roman" w:cs="Arial"/>
          <w:sz w:val="20"/>
          <w:szCs w:val="20"/>
        </w:rPr>
        <w:t xml:space="preserve"> </w:t>
      </w:r>
      <w:r w:rsidRPr="00557175">
        <w:rPr>
          <w:rFonts w:eastAsia="Times New Roman" w:cs="Arial"/>
          <w:sz w:val="20"/>
          <w:szCs w:val="20"/>
        </w:rPr>
        <w:t xml:space="preserve"> Past experience may not be indicative of future conditions. </w:t>
      </w:r>
      <w:r w:rsidR="00557175">
        <w:rPr>
          <w:rFonts w:eastAsia="Times New Roman" w:cs="Arial"/>
          <w:sz w:val="20"/>
          <w:szCs w:val="20"/>
        </w:rPr>
        <w:t xml:space="preserve"> </w:t>
      </w:r>
      <w:r w:rsidRPr="00557175">
        <w:rPr>
          <w:rFonts w:eastAsia="Times New Roman" w:cs="Arial"/>
          <w:sz w:val="20"/>
          <w:szCs w:val="20"/>
        </w:rPr>
        <w:t xml:space="preserve">A loan underwritten in a given year is generally insured over several calendar years. </w:t>
      </w:r>
      <w:r w:rsidR="00557175">
        <w:rPr>
          <w:rFonts w:eastAsia="Times New Roman" w:cs="Arial"/>
          <w:sz w:val="20"/>
          <w:szCs w:val="20"/>
        </w:rPr>
        <w:t xml:space="preserve"> </w:t>
      </w:r>
      <w:r w:rsidRPr="00557175">
        <w:rPr>
          <w:rFonts w:eastAsia="Times New Roman" w:cs="Arial"/>
          <w:sz w:val="20"/>
          <w:szCs w:val="20"/>
        </w:rPr>
        <w:t xml:space="preserve">Therefore, adverse economic conditions in a given calendar year could affect results not only for the current underwriting year but also for prior underwriting years. </w:t>
      </w:r>
      <w:r w:rsidR="00557175">
        <w:rPr>
          <w:rFonts w:eastAsia="Times New Roman" w:cs="Arial"/>
          <w:sz w:val="20"/>
          <w:szCs w:val="20"/>
        </w:rPr>
        <w:t xml:space="preserve"> </w:t>
      </w:r>
      <w:r w:rsidRPr="00557175">
        <w:rPr>
          <w:rFonts w:eastAsia="Times New Roman" w:cs="Arial"/>
          <w:sz w:val="20"/>
          <w:szCs w:val="20"/>
        </w:rPr>
        <w:t xml:space="preserve">Future economic developments that give rise to additional </w:t>
      </w:r>
      <w:r w:rsidRPr="00557175">
        <w:rPr>
          <w:rFonts w:eastAsia="Times New Roman" w:cs="Arial"/>
          <w:sz w:val="20"/>
          <w:szCs w:val="20"/>
        </w:rPr>
        <w:lastRenderedPageBreak/>
        <w:t xml:space="preserve">delinquencies and losses will impact ultimate losses, and unprecedented changes and stresses in the market add to uncertainty. </w:t>
      </w:r>
      <w:r w:rsidR="00557175">
        <w:rPr>
          <w:rFonts w:eastAsia="Times New Roman" w:cs="Arial"/>
          <w:sz w:val="20"/>
          <w:szCs w:val="20"/>
        </w:rPr>
        <w:t xml:space="preserve"> </w:t>
      </w:r>
    </w:p>
    <w:p w14:paraId="76B9356F" w14:textId="08F2DBB2" w:rsidR="00316E79" w:rsidRPr="00557175" w:rsidRDefault="00316E79" w:rsidP="00557175">
      <w:pPr>
        <w:tabs>
          <w:tab w:val="left" w:pos="540"/>
        </w:tabs>
        <w:spacing w:after="120" w:line="288" w:lineRule="auto"/>
        <w:jc w:val="both"/>
        <w:rPr>
          <w:rFonts w:eastAsia="Times New Roman" w:cs="Arial"/>
          <w:sz w:val="20"/>
          <w:szCs w:val="20"/>
        </w:rPr>
      </w:pPr>
      <w:r w:rsidRPr="00557175">
        <w:rPr>
          <w:rFonts w:eastAsia="Times New Roman" w:cs="Arial"/>
          <w:sz w:val="20"/>
          <w:szCs w:val="20"/>
        </w:rPr>
        <w:t>Any reader of this report must possess a certain level of expertise in areas relevant to this analysis to appreciate the significance of the assumptions and the impact of these assumptions on the illustrated results.</w:t>
      </w:r>
      <w:r w:rsidR="00557175">
        <w:rPr>
          <w:rFonts w:eastAsia="Times New Roman" w:cs="Arial"/>
          <w:sz w:val="20"/>
          <w:szCs w:val="20"/>
        </w:rPr>
        <w:t xml:space="preserve"> </w:t>
      </w:r>
      <w:r w:rsidRPr="00557175">
        <w:rPr>
          <w:rFonts w:eastAsia="Times New Roman" w:cs="Arial"/>
          <w:sz w:val="20"/>
          <w:szCs w:val="20"/>
        </w:rPr>
        <w:t xml:space="preserve"> The reader should be advised by, among other experts, actuaries or other professionals competent in the area of actuarial projections of the type in this report, so as to properly interpret the projection results.</w:t>
      </w:r>
    </w:p>
    <w:p w14:paraId="3A43D8E3" w14:textId="77777777" w:rsidR="00316E79" w:rsidRPr="00557175" w:rsidRDefault="00316E79" w:rsidP="00557175">
      <w:pPr>
        <w:spacing w:after="120" w:line="288" w:lineRule="auto"/>
        <w:jc w:val="both"/>
        <w:rPr>
          <w:rFonts w:cs="Arial"/>
          <w:sz w:val="20"/>
          <w:szCs w:val="20"/>
        </w:rPr>
      </w:pPr>
    </w:p>
    <w:p w14:paraId="57E45627" w14:textId="01148DC6" w:rsidR="00316E79" w:rsidRPr="00557175" w:rsidRDefault="000D0456" w:rsidP="00557175">
      <w:pPr>
        <w:pStyle w:val="Heading2"/>
        <w:spacing w:before="0" w:after="120" w:line="288" w:lineRule="auto"/>
        <w:jc w:val="both"/>
        <w:rPr>
          <w:b/>
          <w:i/>
          <w:color w:val="auto"/>
          <w:sz w:val="20"/>
          <w:szCs w:val="20"/>
        </w:rPr>
      </w:pPr>
      <w:r>
        <w:rPr>
          <w:b/>
          <w:i/>
          <w:color w:val="auto"/>
          <w:sz w:val="20"/>
          <w:szCs w:val="20"/>
        </w:rPr>
        <w:t>F</w:t>
      </w:r>
      <w:r w:rsidR="00316E79" w:rsidRPr="00557175">
        <w:rPr>
          <w:b/>
          <w:i/>
          <w:color w:val="auto"/>
          <w:sz w:val="20"/>
          <w:szCs w:val="20"/>
        </w:rPr>
        <w:t>.2 Disclosures</w:t>
      </w:r>
    </w:p>
    <w:p w14:paraId="79791255" w14:textId="77777777" w:rsidR="00316E79" w:rsidRPr="00557175" w:rsidRDefault="00316E79" w:rsidP="00557175">
      <w:pPr>
        <w:spacing w:after="120" w:line="288" w:lineRule="auto"/>
        <w:jc w:val="both"/>
        <w:rPr>
          <w:rFonts w:eastAsia="Times New Roman" w:cs="Arial"/>
          <w:sz w:val="20"/>
          <w:szCs w:val="20"/>
        </w:rPr>
      </w:pPr>
      <w:r w:rsidRPr="00557175">
        <w:rPr>
          <w:rFonts w:eastAsia="Times New Roman" w:cs="Arial"/>
          <w:sz w:val="20"/>
          <w:szCs w:val="20"/>
        </w:rPr>
        <w:t>Actuarial Standards require Milliman to disclose the following:</w:t>
      </w:r>
    </w:p>
    <w:p w14:paraId="34C13ACB" w14:textId="77777777" w:rsidR="00316E79" w:rsidRPr="00557175" w:rsidRDefault="00316E79" w:rsidP="00557175">
      <w:pPr>
        <w:spacing w:after="120" w:line="288" w:lineRule="auto"/>
        <w:jc w:val="both"/>
        <w:rPr>
          <w:rFonts w:eastAsia="Times New Roman" w:cs="Arial"/>
          <w:i/>
          <w:sz w:val="20"/>
          <w:szCs w:val="20"/>
        </w:rPr>
      </w:pPr>
    </w:p>
    <w:p w14:paraId="73F95795" w14:textId="77777777" w:rsidR="00316E79" w:rsidRPr="00F61ADC" w:rsidRDefault="00316E79" w:rsidP="00557175">
      <w:pPr>
        <w:spacing w:after="120" w:line="288" w:lineRule="auto"/>
        <w:jc w:val="both"/>
        <w:rPr>
          <w:rFonts w:asciiTheme="majorHAnsi" w:eastAsia="Times New Roman" w:hAnsiTheme="majorHAnsi" w:cstheme="majorHAnsi"/>
          <w:i/>
          <w:sz w:val="20"/>
          <w:szCs w:val="20"/>
        </w:rPr>
      </w:pPr>
      <w:r w:rsidRPr="00557175">
        <w:rPr>
          <w:rFonts w:eastAsia="Times New Roman" w:cs="Arial"/>
          <w:b/>
          <w:i/>
          <w:sz w:val="20"/>
          <w:szCs w:val="20"/>
        </w:rPr>
        <w:t>Purpose</w:t>
      </w:r>
    </w:p>
    <w:p w14:paraId="412E0FCC" w14:textId="25942DD3" w:rsidR="00316E79" w:rsidRPr="00F61ADC" w:rsidRDefault="00316E79" w:rsidP="00557175">
      <w:pPr>
        <w:spacing w:after="120" w:line="288" w:lineRule="auto"/>
        <w:jc w:val="both"/>
        <w:rPr>
          <w:rFonts w:asciiTheme="majorHAnsi" w:eastAsia="Times New Roman" w:hAnsiTheme="majorHAnsi" w:cstheme="majorHAnsi"/>
          <w:sz w:val="20"/>
          <w:szCs w:val="20"/>
        </w:rPr>
      </w:pPr>
      <w:r w:rsidRPr="00F61ADC">
        <w:rPr>
          <w:rFonts w:asciiTheme="majorHAnsi" w:hAnsiTheme="majorHAnsi" w:cstheme="majorHAnsi"/>
          <w:sz w:val="20"/>
          <w:szCs w:val="20"/>
        </w:rPr>
        <w:t>The purpose of this assignment is to</w:t>
      </w:r>
      <w:r w:rsidR="004D4BAC" w:rsidRPr="00F61ADC">
        <w:rPr>
          <w:rFonts w:asciiTheme="majorHAnsi" w:hAnsiTheme="majorHAnsi" w:cstheme="majorHAnsi"/>
          <w:sz w:val="20"/>
          <w:szCs w:val="20"/>
        </w:rPr>
        <w:t xml:space="preserve"> </w:t>
      </w:r>
      <w:r w:rsidR="00F56C87" w:rsidRPr="00F61ADC">
        <w:rPr>
          <w:rFonts w:asciiTheme="majorHAnsi" w:hAnsiTheme="majorHAnsi" w:cstheme="majorHAnsi"/>
          <w:sz w:val="20"/>
          <w:szCs w:val="20"/>
        </w:rPr>
        <w:t>produce a</w:t>
      </w:r>
      <w:r w:rsidR="00761980" w:rsidRPr="00F61ADC">
        <w:rPr>
          <w:rFonts w:asciiTheme="majorHAnsi" w:hAnsiTheme="majorHAnsi" w:cstheme="majorHAnsi"/>
          <w:sz w:val="20"/>
          <w:szCs w:val="20"/>
        </w:rPr>
        <w:t xml:space="preserve"> </w:t>
      </w:r>
      <w:r w:rsidR="004D4BAC" w:rsidRPr="00F61ADC">
        <w:rPr>
          <w:rFonts w:asciiTheme="majorHAnsi" w:hAnsiTheme="majorHAnsi" w:cstheme="majorHAnsi"/>
          <w:sz w:val="20"/>
          <w:szCs w:val="20"/>
        </w:rPr>
        <w:t>proposed capital model framework for mortgage insurance companies</w:t>
      </w:r>
      <w:r w:rsidR="00F56C87" w:rsidRPr="00F61ADC">
        <w:rPr>
          <w:rFonts w:asciiTheme="majorHAnsi" w:hAnsiTheme="majorHAnsi" w:cstheme="majorHAnsi"/>
          <w:sz w:val="20"/>
          <w:szCs w:val="20"/>
        </w:rPr>
        <w:t xml:space="preserve"> to the NAIC Mortgage Guaranty Insurance Working Group</w:t>
      </w:r>
      <w:r w:rsidR="004D4BAC" w:rsidRPr="00F61ADC">
        <w:rPr>
          <w:rFonts w:asciiTheme="majorHAnsi" w:hAnsiTheme="majorHAnsi" w:cstheme="majorHAnsi"/>
          <w:sz w:val="20"/>
          <w:szCs w:val="20"/>
        </w:rPr>
        <w:t>.</w:t>
      </w:r>
    </w:p>
    <w:p w14:paraId="1F20E146" w14:textId="77777777" w:rsidR="00316E79" w:rsidRPr="00F61ADC" w:rsidRDefault="00316E79" w:rsidP="00557175">
      <w:pPr>
        <w:spacing w:after="120" w:line="288" w:lineRule="auto"/>
        <w:jc w:val="both"/>
        <w:rPr>
          <w:rFonts w:asciiTheme="majorHAnsi" w:eastAsia="Times New Roman" w:hAnsiTheme="majorHAnsi" w:cstheme="majorHAnsi"/>
          <w:i/>
          <w:sz w:val="20"/>
          <w:szCs w:val="20"/>
        </w:rPr>
      </w:pPr>
    </w:p>
    <w:p w14:paraId="4B6EFDF1" w14:textId="77777777" w:rsidR="00316E79" w:rsidRPr="00F61ADC" w:rsidRDefault="00316E79" w:rsidP="00557175">
      <w:pPr>
        <w:spacing w:after="120" w:line="288" w:lineRule="auto"/>
        <w:jc w:val="both"/>
        <w:rPr>
          <w:rFonts w:asciiTheme="majorHAnsi" w:eastAsia="Times New Roman" w:hAnsiTheme="majorHAnsi" w:cstheme="majorHAnsi"/>
          <w:i/>
          <w:sz w:val="20"/>
          <w:szCs w:val="20"/>
        </w:rPr>
      </w:pPr>
      <w:r w:rsidRPr="00F61ADC">
        <w:rPr>
          <w:rFonts w:asciiTheme="majorHAnsi" w:eastAsia="Times New Roman" w:hAnsiTheme="majorHAnsi" w:cstheme="majorHAnsi"/>
          <w:b/>
          <w:i/>
          <w:sz w:val="20"/>
          <w:szCs w:val="20"/>
        </w:rPr>
        <w:t>Constraints</w:t>
      </w:r>
    </w:p>
    <w:p w14:paraId="1F1FBF68" w14:textId="2E682419" w:rsidR="00F61ADC" w:rsidRPr="00F61ADC" w:rsidRDefault="00F61ADC" w:rsidP="00F61ADC">
      <w:pPr>
        <w:autoSpaceDE w:val="0"/>
        <w:autoSpaceDN w:val="0"/>
        <w:adjustRightInd w:val="0"/>
        <w:spacing w:after="0" w:line="240" w:lineRule="auto"/>
        <w:jc w:val="both"/>
        <w:rPr>
          <w:rFonts w:asciiTheme="majorHAnsi" w:hAnsiTheme="majorHAnsi" w:cstheme="majorHAnsi"/>
          <w:bCs/>
          <w:sz w:val="20"/>
          <w:szCs w:val="20"/>
        </w:rPr>
      </w:pPr>
      <w:r w:rsidRPr="00F61ADC">
        <w:rPr>
          <w:rFonts w:asciiTheme="majorHAnsi" w:hAnsiTheme="majorHAnsi" w:cstheme="majorHAnsi"/>
          <w:bCs/>
          <w:sz w:val="20"/>
          <w:szCs w:val="20"/>
        </w:rPr>
        <w:t>There have been no constraints on this project (such as time, availability of data, or access to staff) that materially impacted our ability to provide this analysis</w:t>
      </w:r>
      <w:r>
        <w:rPr>
          <w:rFonts w:asciiTheme="majorHAnsi" w:hAnsiTheme="majorHAnsi" w:cstheme="majorHAnsi"/>
          <w:bCs/>
          <w:sz w:val="20"/>
          <w:szCs w:val="20"/>
        </w:rPr>
        <w:t>.</w:t>
      </w:r>
    </w:p>
    <w:p w14:paraId="31382C99" w14:textId="77777777" w:rsidR="00316E79" w:rsidRPr="00F61ADC" w:rsidRDefault="00316E79" w:rsidP="00557175">
      <w:pPr>
        <w:spacing w:after="120" w:line="288" w:lineRule="auto"/>
        <w:jc w:val="both"/>
        <w:rPr>
          <w:rFonts w:asciiTheme="majorHAnsi" w:hAnsiTheme="majorHAnsi" w:cstheme="majorHAnsi"/>
          <w:sz w:val="20"/>
          <w:szCs w:val="20"/>
        </w:rPr>
      </w:pPr>
    </w:p>
    <w:p w14:paraId="42B22B4E" w14:textId="762393B1" w:rsidR="00316E79" w:rsidRPr="00557175" w:rsidRDefault="00316E79" w:rsidP="004D4BAC">
      <w:pPr>
        <w:spacing w:after="120" w:line="288" w:lineRule="auto"/>
        <w:jc w:val="both"/>
        <w:rPr>
          <w:rFonts w:cs="Arial"/>
          <w:sz w:val="20"/>
          <w:szCs w:val="20"/>
        </w:rPr>
      </w:pPr>
    </w:p>
    <w:p w14:paraId="48342D72" w14:textId="77777777" w:rsidR="00316E79" w:rsidRPr="00557175" w:rsidRDefault="00316E79" w:rsidP="00557175">
      <w:pPr>
        <w:spacing w:after="120" w:line="288" w:lineRule="auto"/>
        <w:jc w:val="both"/>
        <w:rPr>
          <w:rFonts w:cs="Arial"/>
          <w:sz w:val="20"/>
          <w:szCs w:val="20"/>
        </w:rPr>
      </w:pPr>
    </w:p>
    <w:p w14:paraId="14C04DA7" w14:textId="77777777" w:rsidR="00316E79" w:rsidRPr="00557175" w:rsidRDefault="00316E79" w:rsidP="00557175">
      <w:pPr>
        <w:spacing w:after="120" w:line="288" w:lineRule="auto"/>
        <w:jc w:val="both"/>
        <w:rPr>
          <w:rFonts w:cs="Arial"/>
          <w:sz w:val="20"/>
          <w:szCs w:val="20"/>
        </w:rPr>
      </w:pPr>
    </w:p>
    <w:p w14:paraId="306FADFA" w14:textId="78169EC9" w:rsidR="00316E79" w:rsidRPr="00557175" w:rsidRDefault="00316E79" w:rsidP="00557175">
      <w:pPr>
        <w:pStyle w:val="Heading2"/>
        <w:spacing w:before="0" w:after="120" w:line="288" w:lineRule="auto"/>
        <w:jc w:val="both"/>
        <w:rPr>
          <w:b/>
          <w:i/>
          <w:color w:val="auto"/>
          <w:sz w:val="20"/>
          <w:szCs w:val="20"/>
        </w:rPr>
      </w:pPr>
      <w:r w:rsidRPr="00557175">
        <w:rPr>
          <w:color w:val="auto"/>
          <w:sz w:val="20"/>
          <w:szCs w:val="20"/>
        </w:rPr>
        <w:br w:type="page"/>
      </w:r>
      <w:r w:rsidR="000D0456" w:rsidRPr="006C59F0">
        <w:rPr>
          <w:b/>
          <w:color w:val="auto"/>
          <w:sz w:val="20"/>
          <w:szCs w:val="20"/>
        </w:rPr>
        <w:lastRenderedPageBreak/>
        <w:t>F</w:t>
      </w:r>
      <w:r w:rsidRPr="00557175">
        <w:rPr>
          <w:b/>
          <w:i/>
          <w:color w:val="auto"/>
          <w:sz w:val="20"/>
          <w:szCs w:val="20"/>
        </w:rPr>
        <w:t>.3 Limited Distribution of Results</w:t>
      </w:r>
    </w:p>
    <w:p w14:paraId="7D6AFB77" w14:textId="527A898B" w:rsidR="00316E79" w:rsidRPr="00557175" w:rsidRDefault="00316E79" w:rsidP="00557175">
      <w:pPr>
        <w:spacing w:after="120" w:line="288" w:lineRule="auto"/>
        <w:jc w:val="both"/>
        <w:rPr>
          <w:rFonts w:eastAsia="Times New Roman" w:cs="Arial"/>
          <w:sz w:val="20"/>
          <w:szCs w:val="20"/>
        </w:rPr>
      </w:pPr>
      <w:r w:rsidRPr="00557175">
        <w:rPr>
          <w:rFonts w:eastAsia="Times New Roman" w:cs="Arial"/>
          <w:sz w:val="20"/>
          <w:szCs w:val="20"/>
        </w:rPr>
        <w:t xml:space="preserve">Milliman’s work has been prepared solely for the internal use of </w:t>
      </w:r>
      <w:r w:rsidR="004D4BAC">
        <w:rPr>
          <w:rFonts w:eastAsia="Times New Roman" w:cs="Arial"/>
          <w:sz w:val="20"/>
          <w:szCs w:val="20"/>
        </w:rPr>
        <w:t>the NAIC</w:t>
      </w:r>
      <w:r w:rsidRPr="00557175">
        <w:rPr>
          <w:rFonts w:eastAsia="Times New Roman" w:cs="Arial"/>
          <w:sz w:val="20"/>
          <w:szCs w:val="20"/>
        </w:rPr>
        <w:t>.  No portion of Milliman’s work may be provided to any other party without Milliman’s prior written consent.  Milliman does not intend to benefit or create a legal duty to any third party recipient of its work.  Milliman’s work may not be filed with the SEC or other securities regulatory bodies.</w:t>
      </w:r>
      <w:bookmarkStart w:id="1" w:name="OLE_LINK3"/>
      <w:bookmarkStart w:id="2" w:name="OLE_LINK4"/>
      <w:r w:rsidRPr="00557175">
        <w:rPr>
          <w:rFonts w:eastAsia="Times New Roman" w:cs="Arial"/>
          <w:sz w:val="20"/>
          <w:szCs w:val="20"/>
        </w:rPr>
        <w:t xml:space="preserve">  In addition, references to Milliman or its estimates in communications with third parties are not authorized.  Should </w:t>
      </w:r>
      <w:r w:rsidR="005E799C">
        <w:rPr>
          <w:rFonts w:eastAsia="Times New Roman" w:cs="Arial"/>
          <w:sz w:val="20"/>
          <w:szCs w:val="20"/>
        </w:rPr>
        <w:t xml:space="preserve">the </w:t>
      </w:r>
      <w:r w:rsidR="004D4BAC">
        <w:rPr>
          <w:rFonts w:eastAsia="Times New Roman" w:cs="Arial"/>
          <w:sz w:val="20"/>
          <w:szCs w:val="20"/>
        </w:rPr>
        <w:t>NAIC</w:t>
      </w:r>
      <w:r w:rsidRPr="00557175">
        <w:rPr>
          <w:rFonts w:eastAsia="Times New Roman" w:cs="Arial"/>
          <w:sz w:val="20"/>
          <w:szCs w:val="20"/>
        </w:rPr>
        <w:t xml:space="preserve"> make reference to the engagement of an independent actuary (without specifically identifying Milliman) in any SEC filing, the SEC may require disclosure of the name of the actuary.  Such disclosure is prohibited without Milliman’s prior written consent.</w:t>
      </w:r>
    </w:p>
    <w:p w14:paraId="425F6685" w14:textId="77777777" w:rsidR="00316E79" w:rsidRPr="00557175" w:rsidRDefault="00316E79" w:rsidP="00557175">
      <w:pPr>
        <w:widowControl w:val="0"/>
        <w:autoSpaceDE w:val="0"/>
        <w:autoSpaceDN w:val="0"/>
        <w:adjustRightInd w:val="0"/>
        <w:spacing w:after="120" w:line="288" w:lineRule="auto"/>
        <w:jc w:val="both"/>
        <w:rPr>
          <w:rFonts w:eastAsia="Times New Roman" w:cs="Arial"/>
          <w:sz w:val="20"/>
          <w:szCs w:val="20"/>
        </w:rPr>
      </w:pPr>
      <w:r w:rsidRPr="00557175">
        <w:rPr>
          <w:rFonts w:eastAsia="Times New Roman" w:cs="Arial"/>
          <w:sz w:val="20"/>
          <w:szCs w:val="20"/>
        </w:rPr>
        <w:t>Milliman’s consent to release its work product to any third party may be conditioned on the third party signing a Third Party Release Agreement, subject to the following exceptions:</w:t>
      </w:r>
    </w:p>
    <w:p w14:paraId="78313617" w14:textId="308E524F" w:rsidR="00316E79" w:rsidRPr="00557175" w:rsidRDefault="004D4BAC" w:rsidP="00557175">
      <w:pPr>
        <w:widowControl w:val="0"/>
        <w:numPr>
          <w:ilvl w:val="0"/>
          <w:numId w:val="24"/>
        </w:numPr>
        <w:autoSpaceDE w:val="0"/>
        <w:autoSpaceDN w:val="0"/>
        <w:adjustRightInd w:val="0"/>
        <w:spacing w:after="120" w:line="288" w:lineRule="auto"/>
        <w:ind w:left="360"/>
        <w:jc w:val="both"/>
        <w:rPr>
          <w:rFonts w:eastAsia="Times New Roman" w:cs="Arial"/>
          <w:sz w:val="20"/>
          <w:szCs w:val="20"/>
        </w:rPr>
      </w:pPr>
      <w:r>
        <w:rPr>
          <w:rFonts w:eastAsia="Times New Roman" w:cs="Arial"/>
          <w:sz w:val="20"/>
          <w:szCs w:val="20"/>
        </w:rPr>
        <w:t>The NAIC</w:t>
      </w:r>
      <w:r w:rsidR="00316E79" w:rsidRPr="00557175">
        <w:rPr>
          <w:rFonts w:eastAsia="Times New Roman" w:cs="Arial"/>
          <w:sz w:val="20"/>
          <w:szCs w:val="20"/>
        </w:rPr>
        <w:t xml:space="preserve"> may provide a copy of Milliman’s work to its auditor to be used solely for audit purposes.  In the event the audit reveals any error or inaccuracy in the data underlying Milliman’s work, Milliman requests the auditor or </w:t>
      </w:r>
      <w:r>
        <w:rPr>
          <w:rFonts w:eastAsia="Times New Roman" w:cs="Arial"/>
          <w:sz w:val="20"/>
          <w:szCs w:val="20"/>
        </w:rPr>
        <w:t>The NAIC</w:t>
      </w:r>
      <w:r w:rsidR="00316E79" w:rsidRPr="00557175">
        <w:rPr>
          <w:rFonts w:eastAsia="Times New Roman" w:cs="Arial"/>
          <w:sz w:val="20"/>
          <w:szCs w:val="20"/>
        </w:rPr>
        <w:t xml:space="preserve"> notify Milliman as soon as possible.</w:t>
      </w:r>
    </w:p>
    <w:p w14:paraId="5BE58E03" w14:textId="7DA45040" w:rsidR="00316E79" w:rsidRPr="00557175" w:rsidRDefault="004D4BAC" w:rsidP="00557175">
      <w:pPr>
        <w:numPr>
          <w:ilvl w:val="0"/>
          <w:numId w:val="24"/>
        </w:numPr>
        <w:autoSpaceDE w:val="0"/>
        <w:autoSpaceDN w:val="0"/>
        <w:adjustRightInd w:val="0"/>
        <w:spacing w:after="120" w:line="288" w:lineRule="auto"/>
        <w:ind w:left="360"/>
        <w:jc w:val="both"/>
        <w:rPr>
          <w:rFonts w:eastAsia="Times New Roman" w:cs="Arial"/>
          <w:sz w:val="20"/>
          <w:szCs w:val="20"/>
        </w:rPr>
      </w:pPr>
      <w:r>
        <w:rPr>
          <w:rFonts w:eastAsia="Times New Roman" w:cs="Arial"/>
          <w:sz w:val="20"/>
          <w:szCs w:val="20"/>
        </w:rPr>
        <w:t>The NAIC</w:t>
      </w:r>
      <w:r w:rsidR="00316E79" w:rsidRPr="00557175">
        <w:rPr>
          <w:rFonts w:eastAsia="Times New Roman" w:cs="Arial"/>
          <w:sz w:val="20"/>
          <w:szCs w:val="20"/>
        </w:rPr>
        <w:t xml:space="preserve"> may provide a copy of Milliman’s work to governmental entities, as required by law.</w:t>
      </w:r>
    </w:p>
    <w:p w14:paraId="41FB8C49" w14:textId="7B90E7B6" w:rsidR="005E799C" w:rsidRPr="00833739" w:rsidRDefault="004D4BAC" w:rsidP="00557175">
      <w:pPr>
        <w:numPr>
          <w:ilvl w:val="0"/>
          <w:numId w:val="24"/>
        </w:numPr>
        <w:autoSpaceDE w:val="0"/>
        <w:autoSpaceDN w:val="0"/>
        <w:adjustRightInd w:val="0"/>
        <w:spacing w:after="120" w:line="288" w:lineRule="auto"/>
        <w:ind w:left="360"/>
        <w:jc w:val="both"/>
        <w:rPr>
          <w:rFonts w:eastAsia="Times New Roman" w:cs="Arial"/>
          <w:sz w:val="20"/>
          <w:szCs w:val="20"/>
        </w:rPr>
      </w:pPr>
      <w:r>
        <w:rPr>
          <w:rFonts w:eastAsia="Times New Roman" w:cs="Arial"/>
          <w:sz w:val="20"/>
          <w:szCs w:val="20"/>
        </w:rPr>
        <w:t>The NAIC</w:t>
      </w:r>
      <w:r w:rsidR="00316E79" w:rsidRPr="00557175">
        <w:rPr>
          <w:rFonts w:eastAsia="Times New Roman" w:cs="Arial"/>
          <w:sz w:val="20"/>
          <w:szCs w:val="20"/>
        </w:rPr>
        <w:t xml:space="preserve"> may provide a copy of Milliman’s work to its legal advisors, provided they agree not to use Milliman’s work for any purpose other than to provide services to </w:t>
      </w:r>
      <w:r>
        <w:rPr>
          <w:rFonts w:eastAsia="Times New Roman" w:cs="Arial"/>
          <w:sz w:val="20"/>
          <w:szCs w:val="20"/>
        </w:rPr>
        <w:t>The NAIC</w:t>
      </w:r>
      <w:r w:rsidR="00316E79" w:rsidRPr="00557175">
        <w:rPr>
          <w:rFonts w:eastAsia="Times New Roman" w:cs="Arial"/>
          <w:sz w:val="20"/>
          <w:szCs w:val="20"/>
        </w:rPr>
        <w:t xml:space="preserve"> and agrees not to distribute the work to any other person or entity.</w:t>
      </w:r>
      <w:bookmarkEnd w:id="1"/>
      <w:bookmarkEnd w:id="2"/>
    </w:p>
    <w:p w14:paraId="7CB7E260" w14:textId="4D55679D" w:rsidR="00316E79" w:rsidRPr="00557175" w:rsidRDefault="00316E79" w:rsidP="00557175">
      <w:pPr>
        <w:autoSpaceDE w:val="0"/>
        <w:autoSpaceDN w:val="0"/>
        <w:adjustRightInd w:val="0"/>
        <w:spacing w:after="120" w:line="288" w:lineRule="auto"/>
        <w:jc w:val="both"/>
        <w:rPr>
          <w:rFonts w:eastAsia="Times New Roman" w:cs="Arial"/>
          <w:sz w:val="20"/>
          <w:szCs w:val="20"/>
        </w:rPr>
      </w:pPr>
      <w:r w:rsidRPr="00557175">
        <w:rPr>
          <w:rFonts w:eastAsia="Times New Roman" w:cs="Arial"/>
          <w:sz w:val="20"/>
          <w:szCs w:val="20"/>
        </w:rPr>
        <w:t>In the event Milliman consents to release its work product, it must be provided in its entirety.  Milliman recommends that any such party have its own actuary or other qualified professional review the work product to ensure that the party understands the assumptions and uncertainties inherent in Milliman’s estimates.  No third party recipient of Milliman’s work product should rely upon Milliman’s work product.</w:t>
      </w:r>
    </w:p>
    <w:p w14:paraId="4F42ED5B" w14:textId="77777777" w:rsidR="00316E79" w:rsidRPr="00557175" w:rsidRDefault="00316E79" w:rsidP="00557175">
      <w:pPr>
        <w:spacing w:after="120" w:line="288" w:lineRule="auto"/>
        <w:jc w:val="both"/>
        <w:rPr>
          <w:rFonts w:eastAsia="Times New Roman" w:cs="Arial"/>
          <w:sz w:val="20"/>
          <w:szCs w:val="20"/>
        </w:rPr>
      </w:pPr>
      <w:r w:rsidRPr="00557175">
        <w:rPr>
          <w:rFonts w:eastAsia="Times New Roman" w:cs="Arial"/>
          <w:sz w:val="20"/>
          <w:szCs w:val="20"/>
        </w:rPr>
        <w:t>Any reader of this report agrees that they shall not use Milliman’s name, trademarks or service marks, or refer to Milliman directly or indirectly in any third party communication without Milliman’s prior written consent for each such use or release, which consent shall be given in Milliman’s sole discretion.</w:t>
      </w:r>
    </w:p>
    <w:p w14:paraId="5598A39C" w14:textId="77777777" w:rsidR="00316E79" w:rsidRDefault="00316E79" w:rsidP="00316E79">
      <w:pPr>
        <w:suppressAutoHyphens/>
        <w:jc w:val="center"/>
        <w:rPr>
          <w:rFonts w:cs="Arial"/>
        </w:rPr>
      </w:pPr>
    </w:p>
    <w:p w14:paraId="5BC9728F" w14:textId="77777777" w:rsidR="00316E79" w:rsidRDefault="00316E79" w:rsidP="00316E79">
      <w:pPr>
        <w:suppressAutoHyphens/>
        <w:jc w:val="center"/>
        <w:rPr>
          <w:rFonts w:cs="Arial"/>
        </w:rPr>
      </w:pPr>
    </w:p>
    <w:p w14:paraId="18EE8BBE" w14:textId="77777777" w:rsidR="00316E79" w:rsidRDefault="00316E79" w:rsidP="00316E79"/>
    <w:p w14:paraId="755B5EEC" w14:textId="77777777" w:rsidR="00316E79" w:rsidRDefault="00316E79">
      <w:pPr>
        <w:rPr>
          <w:color w:val="0081E3" w:themeColor="accent4"/>
          <w:sz w:val="28"/>
          <w:szCs w:val="28"/>
        </w:rPr>
      </w:pPr>
      <w:r>
        <w:rPr>
          <w:color w:val="0081E3" w:themeColor="accent4"/>
          <w:sz w:val="28"/>
          <w:szCs w:val="28"/>
        </w:rPr>
        <w:br w:type="page"/>
      </w:r>
    </w:p>
    <w:p w14:paraId="3EC6B84C" w14:textId="49CC193B" w:rsidR="00316E79" w:rsidRDefault="000D0456" w:rsidP="00316E79">
      <w:pPr>
        <w:pStyle w:val="RRBody"/>
        <w:tabs>
          <w:tab w:val="left" w:pos="360"/>
        </w:tabs>
        <w:rPr>
          <w:color w:val="0081E3" w:themeColor="accent4"/>
          <w:sz w:val="28"/>
          <w:szCs w:val="28"/>
        </w:rPr>
      </w:pPr>
      <w:r>
        <w:rPr>
          <w:color w:val="0081E3" w:themeColor="accent4"/>
          <w:sz w:val="28"/>
          <w:szCs w:val="28"/>
        </w:rPr>
        <w:lastRenderedPageBreak/>
        <w:t>G</w:t>
      </w:r>
      <w:r w:rsidR="00316E79" w:rsidRPr="00316E79">
        <w:rPr>
          <w:color w:val="0081E3" w:themeColor="accent4"/>
          <w:sz w:val="28"/>
          <w:szCs w:val="28"/>
        </w:rPr>
        <w:t xml:space="preserve">. </w:t>
      </w:r>
      <w:r w:rsidR="00316E79">
        <w:rPr>
          <w:color w:val="0081E3" w:themeColor="accent4"/>
          <w:sz w:val="28"/>
          <w:szCs w:val="28"/>
        </w:rPr>
        <w:t>Closing</w:t>
      </w:r>
    </w:p>
    <w:p w14:paraId="5098BD5F" w14:textId="77777777" w:rsidR="00316E79" w:rsidRPr="00316E79" w:rsidRDefault="00316E79" w:rsidP="00316E79">
      <w:pPr>
        <w:spacing w:after="120" w:line="288" w:lineRule="auto"/>
        <w:jc w:val="both"/>
        <w:rPr>
          <w:rFonts w:eastAsia="Times New Roman" w:cs="Arial"/>
          <w:sz w:val="20"/>
          <w:szCs w:val="24"/>
        </w:rPr>
      </w:pPr>
      <w:r w:rsidRPr="00316E79">
        <w:rPr>
          <w:rFonts w:eastAsia="Times New Roman" w:cs="Arial"/>
          <w:sz w:val="20"/>
          <w:szCs w:val="24"/>
        </w:rPr>
        <w:t>If you have any questions with regard to this analysis or would like to have us consider additional information, please do not hesitate to contact us.</w:t>
      </w:r>
    </w:p>
    <w:p w14:paraId="0EA5D396" w14:textId="77777777" w:rsidR="00316E79" w:rsidRPr="00316E79" w:rsidRDefault="00316E79" w:rsidP="00316E79">
      <w:pPr>
        <w:spacing w:after="120" w:line="288" w:lineRule="auto"/>
        <w:jc w:val="both"/>
        <w:rPr>
          <w:rFonts w:eastAsia="Times New Roman" w:cs="Arial"/>
          <w:sz w:val="20"/>
          <w:szCs w:val="24"/>
        </w:rPr>
      </w:pPr>
    </w:p>
    <w:p w14:paraId="0AB2CE74" w14:textId="77777777" w:rsidR="00316E79" w:rsidRPr="00316E79" w:rsidRDefault="00316E79" w:rsidP="00316E79">
      <w:pPr>
        <w:spacing w:after="0" w:line="240" w:lineRule="auto"/>
        <w:jc w:val="both"/>
        <w:rPr>
          <w:rFonts w:eastAsia="Times New Roman" w:cs="Arial"/>
          <w:sz w:val="20"/>
          <w:szCs w:val="24"/>
        </w:rPr>
      </w:pPr>
      <w:r w:rsidRPr="00316E79">
        <w:rPr>
          <w:rFonts w:eastAsia="Times New Roman" w:cs="Arial"/>
          <w:sz w:val="20"/>
          <w:szCs w:val="24"/>
        </w:rPr>
        <w:t>Respectfully submitted,</w:t>
      </w:r>
    </w:p>
    <w:p w14:paraId="4B85E2CE" w14:textId="77777777" w:rsidR="00316E79" w:rsidRDefault="00316E79" w:rsidP="00316E79">
      <w:pPr>
        <w:spacing w:after="0" w:line="240" w:lineRule="auto"/>
        <w:rPr>
          <w:rFonts w:eastAsia="Times New Roman" w:cs="Arial"/>
          <w:sz w:val="20"/>
          <w:szCs w:val="20"/>
        </w:rPr>
      </w:pPr>
    </w:p>
    <w:p w14:paraId="744EC06B" w14:textId="77777777" w:rsidR="00316E79" w:rsidRDefault="00316E79" w:rsidP="00316E79">
      <w:pPr>
        <w:spacing w:after="0" w:line="240" w:lineRule="auto"/>
        <w:rPr>
          <w:rFonts w:eastAsia="Times New Roman" w:cs="Arial"/>
          <w:sz w:val="20"/>
          <w:szCs w:val="20"/>
        </w:rPr>
      </w:pPr>
    </w:p>
    <w:p w14:paraId="13D52DE7" w14:textId="77777777" w:rsidR="00316E79" w:rsidRPr="00316E79" w:rsidRDefault="00316E79" w:rsidP="00316E79">
      <w:pPr>
        <w:spacing w:after="0" w:line="240" w:lineRule="auto"/>
        <w:rPr>
          <w:rFonts w:eastAsia="Times New Roman" w:cs="Arial"/>
          <w:sz w:val="20"/>
          <w:szCs w:val="20"/>
        </w:rPr>
      </w:pPr>
    </w:p>
    <w:p w14:paraId="6A5AC410" w14:textId="77777777" w:rsidR="00316E79" w:rsidRPr="00316E79" w:rsidRDefault="00316E79" w:rsidP="00316E79">
      <w:pPr>
        <w:spacing w:after="0" w:line="240" w:lineRule="auto"/>
        <w:rPr>
          <w:rFonts w:eastAsia="Times New Roman" w:cs="Arial"/>
          <w:sz w:val="20"/>
          <w:szCs w:val="20"/>
        </w:rPr>
      </w:pPr>
      <w:r w:rsidRPr="00316E79">
        <w:rPr>
          <w:rFonts w:eastAsia="Times New Roman" w:cs="Arial"/>
          <w:sz w:val="20"/>
          <w:szCs w:val="20"/>
        </w:rPr>
        <w:t>Kenneth A. Bjurstrom</w:t>
      </w:r>
    </w:p>
    <w:p w14:paraId="372081BD" w14:textId="77777777" w:rsidR="00316E79" w:rsidRPr="00316E79" w:rsidRDefault="00316E79" w:rsidP="00316E79">
      <w:pPr>
        <w:spacing w:after="0" w:line="240" w:lineRule="auto"/>
        <w:rPr>
          <w:rFonts w:eastAsia="Times New Roman" w:cs="Arial"/>
          <w:sz w:val="20"/>
          <w:szCs w:val="20"/>
        </w:rPr>
      </w:pPr>
      <w:r w:rsidRPr="00316E79">
        <w:rPr>
          <w:rFonts w:eastAsia="Times New Roman" w:cs="Arial"/>
          <w:sz w:val="20"/>
          <w:szCs w:val="20"/>
        </w:rPr>
        <w:t>Principal and Financial Consultant</w:t>
      </w:r>
    </w:p>
    <w:p w14:paraId="56D9DC0E" w14:textId="77777777" w:rsidR="00316E79" w:rsidRDefault="00316E79" w:rsidP="00316E79">
      <w:pPr>
        <w:spacing w:after="0" w:line="240" w:lineRule="auto"/>
        <w:rPr>
          <w:sz w:val="20"/>
          <w:szCs w:val="20"/>
        </w:rPr>
      </w:pPr>
    </w:p>
    <w:p w14:paraId="0C38D058" w14:textId="77777777" w:rsidR="00316E79" w:rsidRDefault="00316E79" w:rsidP="00316E79">
      <w:pPr>
        <w:spacing w:after="0" w:line="240" w:lineRule="auto"/>
        <w:rPr>
          <w:sz w:val="20"/>
          <w:szCs w:val="20"/>
        </w:rPr>
      </w:pPr>
    </w:p>
    <w:p w14:paraId="07B89331" w14:textId="77777777" w:rsidR="00316E79" w:rsidRPr="00316E79" w:rsidRDefault="00316E79" w:rsidP="00316E79">
      <w:pPr>
        <w:spacing w:after="0" w:line="240" w:lineRule="auto"/>
        <w:rPr>
          <w:sz w:val="20"/>
          <w:szCs w:val="20"/>
        </w:rPr>
      </w:pPr>
    </w:p>
    <w:p w14:paraId="7EDBF447" w14:textId="77777777" w:rsidR="00316E79" w:rsidRPr="00316E79" w:rsidRDefault="00316E79" w:rsidP="00316E79">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cs="Arial"/>
          <w:bCs/>
          <w:sz w:val="20"/>
          <w:szCs w:val="20"/>
        </w:rPr>
      </w:pPr>
      <w:r w:rsidRPr="00316E79">
        <w:rPr>
          <w:rFonts w:cs="Arial"/>
          <w:bCs/>
          <w:sz w:val="20"/>
          <w:szCs w:val="20"/>
        </w:rPr>
        <w:t>Jonathan Glowacki, FSA, CERA, MAAA</w:t>
      </w:r>
    </w:p>
    <w:p w14:paraId="573736E9" w14:textId="77777777" w:rsidR="00316E79" w:rsidRDefault="00316E79" w:rsidP="00316E79">
      <w:pPr>
        <w:spacing w:after="0" w:line="240" w:lineRule="auto"/>
        <w:jc w:val="both"/>
        <w:rPr>
          <w:rFonts w:cs="Arial"/>
          <w:bCs/>
          <w:sz w:val="20"/>
          <w:szCs w:val="20"/>
        </w:rPr>
      </w:pPr>
      <w:r w:rsidRPr="00316E79">
        <w:rPr>
          <w:rFonts w:cs="Arial"/>
          <w:bCs/>
          <w:sz w:val="20"/>
          <w:szCs w:val="20"/>
        </w:rPr>
        <w:t>Consulting Actuary</w:t>
      </w:r>
    </w:p>
    <w:p w14:paraId="428ED170" w14:textId="77777777" w:rsidR="007559A9" w:rsidRDefault="007559A9" w:rsidP="00316E79">
      <w:pPr>
        <w:spacing w:after="0" w:line="240" w:lineRule="auto"/>
        <w:jc w:val="both"/>
        <w:rPr>
          <w:rFonts w:cs="Arial"/>
          <w:bCs/>
          <w:sz w:val="20"/>
          <w:szCs w:val="20"/>
        </w:rPr>
      </w:pPr>
    </w:p>
    <w:p w14:paraId="3BA460C6" w14:textId="77777777" w:rsidR="007559A9" w:rsidRDefault="007559A9" w:rsidP="00316E79">
      <w:pPr>
        <w:spacing w:after="0" w:line="240" w:lineRule="auto"/>
        <w:jc w:val="both"/>
        <w:rPr>
          <w:rFonts w:cs="Arial"/>
          <w:bCs/>
          <w:sz w:val="20"/>
          <w:szCs w:val="20"/>
        </w:rPr>
      </w:pPr>
    </w:p>
    <w:p w14:paraId="7C05A062" w14:textId="77777777" w:rsidR="007559A9" w:rsidRDefault="007559A9" w:rsidP="00316E79">
      <w:pPr>
        <w:spacing w:after="0" w:line="240" w:lineRule="auto"/>
        <w:jc w:val="both"/>
        <w:rPr>
          <w:rFonts w:cs="Arial"/>
          <w:bCs/>
          <w:sz w:val="20"/>
          <w:szCs w:val="20"/>
        </w:rPr>
      </w:pPr>
    </w:p>
    <w:p w14:paraId="75C4FA57" w14:textId="2E5FD99C" w:rsidR="007559A9" w:rsidRPr="00316E79" w:rsidRDefault="007559A9" w:rsidP="007559A9">
      <w:pPr>
        <w:tabs>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cs="Arial"/>
          <w:bCs/>
          <w:sz w:val="20"/>
          <w:szCs w:val="20"/>
        </w:rPr>
      </w:pPr>
      <w:r>
        <w:rPr>
          <w:rFonts w:cs="Arial"/>
          <w:bCs/>
          <w:sz w:val="20"/>
          <w:szCs w:val="20"/>
        </w:rPr>
        <w:t>Edem Togbey</w:t>
      </w:r>
      <w:r w:rsidR="00E52142">
        <w:rPr>
          <w:rFonts w:cs="Arial"/>
          <w:bCs/>
          <w:sz w:val="20"/>
          <w:szCs w:val="20"/>
        </w:rPr>
        <w:t>, ACAS, MAAA</w:t>
      </w:r>
    </w:p>
    <w:p w14:paraId="20C4DECF" w14:textId="3359DC44" w:rsidR="007559A9" w:rsidRPr="00316E79" w:rsidRDefault="00E52142" w:rsidP="007559A9">
      <w:pPr>
        <w:spacing w:after="0" w:line="240" w:lineRule="auto"/>
        <w:jc w:val="both"/>
        <w:rPr>
          <w:rFonts w:cs="Arial"/>
          <w:bCs/>
          <w:sz w:val="20"/>
          <w:szCs w:val="20"/>
        </w:rPr>
      </w:pPr>
      <w:r>
        <w:rPr>
          <w:rFonts w:cs="Arial"/>
          <w:bCs/>
          <w:sz w:val="20"/>
          <w:szCs w:val="20"/>
        </w:rPr>
        <w:t>Associate Actuary</w:t>
      </w:r>
    </w:p>
    <w:p w14:paraId="7EE6C29D" w14:textId="77777777" w:rsidR="007559A9" w:rsidRPr="00316E79" w:rsidRDefault="007559A9" w:rsidP="00316E79">
      <w:pPr>
        <w:spacing w:after="0" w:line="240" w:lineRule="auto"/>
        <w:jc w:val="both"/>
        <w:rPr>
          <w:rFonts w:cs="Arial"/>
          <w:bCs/>
          <w:sz w:val="20"/>
          <w:szCs w:val="20"/>
        </w:rPr>
      </w:pPr>
    </w:p>
    <w:p w14:paraId="1273ADE6" w14:textId="77777777" w:rsidR="00316E79" w:rsidRDefault="00316E79" w:rsidP="00316E79">
      <w:pPr>
        <w:spacing w:after="0" w:line="240" w:lineRule="auto"/>
      </w:pPr>
    </w:p>
    <w:p w14:paraId="4EF364CA" w14:textId="2C2160E6" w:rsidR="00316E79" w:rsidRPr="00316E79" w:rsidRDefault="00316E79" w:rsidP="00316E79">
      <w:pPr>
        <w:spacing w:after="0" w:line="240" w:lineRule="auto"/>
        <w:rPr>
          <w:sz w:val="20"/>
        </w:rPr>
      </w:pPr>
      <w:r w:rsidRPr="00316E79">
        <w:rPr>
          <w:sz w:val="20"/>
        </w:rPr>
        <w:t>KAB/JBG/</w:t>
      </w:r>
      <w:r w:rsidR="007559A9">
        <w:rPr>
          <w:sz w:val="20"/>
        </w:rPr>
        <w:t>EKT/</w:t>
      </w:r>
      <w:r w:rsidRPr="00316E79">
        <w:rPr>
          <w:sz w:val="20"/>
        </w:rPr>
        <w:t>sbs</w:t>
      </w:r>
    </w:p>
    <w:p w14:paraId="0431242E" w14:textId="77777777" w:rsidR="00316E79" w:rsidRDefault="00316E79" w:rsidP="00316E79">
      <w:pPr>
        <w:spacing w:after="0" w:line="240" w:lineRule="auto"/>
      </w:pPr>
    </w:p>
    <w:p w14:paraId="30DD3190" w14:textId="1B0D7938" w:rsidR="00121069" w:rsidRDefault="00F44177" w:rsidP="00316E79">
      <w:pPr>
        <w:pStyle w:val="RRObject"/>
        <w:spacing w:before="0" w:after="0"/>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5E799C">
        <w:rPr>
          <w:noProof/>
          <w:sz w:val="12"/>
          <w:szCs w:val="12"/>
        </w:rPr>
        <w:t>J:\CLIENT\106-NAI\2018\3Mar\Milliman Report - NAIC RBC Mortgage Insurance.docx</w:t>
      </w:r>
      <w:r>
        <w:rPr>
          <w:sz w:val="12"/>
          <w:szCs w:val="12"/>
        </w:rPr>
        <w:fldChar w:fldCharType="end"/>
      </w:r>
    </w:p>
    <w:p w14:paraId="6EF01D73" w14:textId="77777777" w:rsidR="00EA03A9" w:rsidRDefault="00EA03A9" w:rsidP="00EA03A9">
      <w:pPr>
        <w:pStyle w:val="RRObject"/>
        <w:spacing w:before="0" w:after="120" w:line="288" w:lineRule="auto"/>
        <w:rPr>
          <w:sz w:val="12"/>
          <w:szCs w:val="12"/>
        </w:rPr>
      </w:pPr>
    </w:p>
    <w:p w14:paraId="0CA6C941" w14:textId="77777777" w:rsidR="00EA03A9" w:rsidRDefault="00EA03A9" w:rsidP="00EA03A9">
      <w:pPr>
        <w:pStyle w:val="RRObject"/>
        <w:spacing w:before="0" w:after="120" w:line="288" w:lineRule="auto"/>
        <w:rPr>
          <w:sz w:val="12"/>
          <w:szCs w:val="12"/>
        </w:rPr>
      </w:pPr>
    </w:p>
    <w:p w14:paraId="5DF73477" w14:textId="77777777" w:rsidR="00EA03A9" w:rsidRDefault="00EA03A9" w:rsidP="00EA03A9">
      <w:pPr>
        <w:spacing w:after="120" w:line="288" w:lineRule="auto"/>
      </w:pPr>
    </w:p>
    <w:sectPr w:rsidR="00EA03A9" w:rsidSect="00A80B1F">
      <w:footerReference w:type="default" r:id="rId28"/>
      <w:pgSz w:w="12240" w:h="15840" w:code="1"/>
      <w:pgMar w:top="1440" w:right="1440" w:bottom="1440" w:left="1440" w:header="576" w:footer="720"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1D363" w14:textId="77777777" w:rsidR="00D3623C" w:rsidRDefault="00D3623C" w:rsidP="00610E90">
      <w:pPr>
        <w:spacing w:after="0" w:line="240" w:lineRule="auto"/>
      </w:pPr>
      <w:r>
        <w:separator/>
      </w:r>
    </w:p>
  </w:endnote>
  <w:endnote w:type="continuationSeparator" w:id="0">
    <w:p w14:paraId="5C63DDE5" w14:textId="77777777" w:rsidR="00D3623C" w:rsidRDefault="00D3623C" w:rsidP="0061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980B" w14:textId="4B37BAD9" w:rsidR="00EA03A9" w:rsidRDefault="00EA03A9" w:rsidP="00EA03A9">
    <w:pPr>
      <w:pStyle w:val="RRFooter"/>
      <w:tabs>
        <w:tab w:val="clear" w:pos="9360"/>
        <w:tab w:val="right" w:pos="9720"/>
      </w:tabs>
    </w:pPr>
    <w:r>
      <w:t>&lt;&lt;Client Report Title&gt;&gt;</w:t>
    </w:r>
    <w:r>
      <w:tab/>
    </w:r>
    <w:r>
      <w:tab/>
    </w:r>
    <w:r>
      <w:fldChar w:fldCharType="begin"/>
    </w:r>
    <w:r>
      <w:instrText xml:space="preserve"> DATE \@ "MMMM d, yyyy" </w:instrText>
    </w:r>
    <w:r>
      <w:fldChar w:fldCharType="separate"/>
    </w:r>
    <w:r w:rsidR="00C05DD1">
      <w:rPr>
        <w:noProof/>
      </w:rPr>
      <w:t>December 3, 2019</w:t>
    </w:r>
    <w:r>
      <w:fldChar w:fldCharType="end"/>
    </w:r>
  </w:p>
  <w:p w14:paraId="66BECC23" w14:textId="77777777" w:rsidR="00EA03A9" w:rsidRDefault="00EA03A9" w:rsidP="00EA03A9">
    <w:pPr>
      <w:pStyle w:val="RRFooter"/>
      <w:tabs>
        <w:tab w:val="clear" w:pos="9360"/>
        <w:tab w:val="right" w:pos="9720"/>
      </w:tabs>
    </w:pPr>
    <w:r>
      <w:t>&lt;&lt;Client Report Title Line 2&gt;&gt;</w:t>
    </w:r>
  </w:p>
  <w:p w14:paraId="40AA5B5E" w14:textId="77777777" w:rsidR="00EA03A9" w:rsidRPr="00EA03A9" w:rsidRDefault="00EA03A9" w:rsidP="00EA03A9">
    <w:pPr>
      <w:spacing w:after="0" w:line="240" w:lineRule="auto"/>
      <w:rPr>
        <w:sz w:val="16"/>
      </w:rPr>
    </w:pPr>
  </w:p>
  <w:p w14:paraId="0626B86A" w14:textId="77777777" w:rsidR="00FB4CDB" w:rsidRDefault="00FB4CDB" w:rsidP="00FB4CDB">
    <w:pPr>
      <w:pStyle w:val="Footer"/>
      <w:tabs>
        <w:tab w:val="clear" w:pos="4680"/>
        <w:tab w:val="clear" w:pos="9360"/>
      </w:tabs>
      <w:ind w:hanging="360"/>
      <w:jc w:val="center"/>
      <w:rPr>
        <w:rFonts w:ascii="Arial" w:hAnsi="Arial" w:cs="Arial"/>
        <w:sz w:val="16"/>
        <w:szCs w:val="16"/>
      </w:rPr>
    </w:pPr>
    <w:r w:rsidRPr="00675852">
      <w:rPr>
        <w:rFonts w:ascii="Arial" w:hAnsi="Arial" w:cs="Arial"/>
        <w:b/>
        <w:sz w:val="16"/>
        <w:szCs w:val="16"/>
      </w:rPr>
      <w:t>Confidential Draft</w:t>
    </w:r>
    <w:r w:rsidRPr="00675852">
      <w:rPr>
        <w:rFonts w:ascii="Arial" w:hAnsi="Arial" w:cs="Arial"/>
        <w:sz w:val="16"/>
        <w:szCs w:val="16"/>
      </w:rPr>
      <w:t xml:space="preserve"> - </w:t>
    </w:r>
    <w:r w:rsidRPr="00675852">
      <w:rPr>
        <w:rFonts w:ascii="Arial" w:hAnsi="Arial" w:cs="Arial"/>
        <w:b/>
        <w:sz w:val="16"/>
        <w:szCs w:val="16"/>
      </w:rPr>
      <w:t>For Discussion Purposes Only</w:t>
    </w:r>
    <w:r w:rsidRPr="00675852">
      <w:rPr>
        <w:rFonts w:ascii="Arial" w:hAnsi="Arial" w:cs="Arial"/>
        <w:sz w:val="16"/>
        <w:szCs w:val="16"/>
      </w:rPr>
      <w:t>.  This draft is intended for discussion purposes only.</w:t>
    </w:r>
  </w:p>
  <w:p w14:paraId="167D6AB1" w14:textId="77777777" w:rsidR="00FB4CDB" w:rsidRPr="00EA03A9" w:rsidRDefault="00FB4CDB" w:rsidP="00FB4CDB">
    <w:pPr>
      <w:pStyle w:val="Footer"/>
      <w:tabs>
        <w:tab w:val="clear" w:pos="4680"/>
        <w:tab w:val="clear" w:pos="9360"/>
      </w:tabs>
      <w:ind w:hanging="360"/>
      <w:jc w:val="center"/>
      <w:rPr>
        <w:rFonts w:ascii="Arial" w:hAnsi="Arial" w:cs="Arial"/>
        <w:sz w:val="16"/>
        <w:szCs w:val="16"/>
      </w:rPr>
    </w:pPr>
    <w:r w:rsidRPr="00675852">
      <w:rPr>
        <w:rFonts w:ascii="Arial" w:hAnsi="Arial" w:cs="Arial"/>
        <w:sz w:val="16"/>
        <w:szCs w:val="16"/>
      </w:rPr>
      <w:t>It should not be distributed to any third party, or published in whole or in part in any form, without prior written consent.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B58C" w14:textId="77777777" w:rsidR="00EA03A9" w:rsidRDefault="00EA03A9" w:rsidP="00EA03A9">
    <w:pPr>
      <w:pStyle w:val="Footer"/>
      <w:tabs>
        <w:tab w:val="clear" w:pos="4680"/>
        <w:tab w:val="clear" w:pos="9360"/>
      </w:tabs>
      <w:ind w:hanging="360"/>
      <w:jc w:val="center"/>
      <w:rPr>
        <w:rFonts w:ascii="Arial" w:hAnsi="Arial" w:cs="Arial"/>
        <w:sz w:val="16"/>
        <w:szCs w:val="16"/>
      </w:rPr>
    </w:pPr>
    <w:r w:rsidRPr="00675852">
      <w:rPr>
        <w:rFonts w:ascii="Arial" w:hAnsi="Arial" w:cs="Arial"/>
        <w:b/>
        <w:sz w:val="16"/>
        <w:szCs w:val="16"/>
      </w:rPr>
      <w:t>Confidential Draft</w:t>
    </w:r>
    <w:r w:rsidRPr="00675852">
      <w:rPr>
        <w:rFonts w:ascii="Arial" w:hAnsi="Arial" w:cs="Arial"/>
        <w:sz w:val="16"/>
        <w:szCs w:val="16"/>
      </w:rPr>
      <w:t xml:space="preserve"> - </w:t>
    </w:r>
    <w:r w:rsidRPr="00675852">
      <w:rPr>
        <w:rFonts w:ascii="Arial" w:hAnsi="Arial" w:cs="Arial"/>
        <w:b/>
        <w:sz w:val="16"/>
        <w:szCs w:val="16"/>
      </w:rPr>
      <w:t>For Discussion Purposes Only</w:t>
    </w:r>
    <w:r w:rsidRPr="00675852">
      <w:rPr>
        <w:rFonts w:ascii="Arial" w:hAnsi="Arial" w:cs="Arial"/>
        <w:sz w:val="16"/>
        <w:szCs w:val="16"/>
      </w:rPr>
      <w:t>.  This draft is intended for discussion purposes only.</w:t>
    </w:r>
  </w:p>
  <w:p w14:paraId="13B4E5C2" w14:textId="259C664B" w:rsidR="00EA03A9" w:rsidRPr="00EA03A9" w:rsidRDefault="00EA03A9" w:rsidP="00EA03A9">
    <w:pPr>
      <w:pStyle w:val="Footer"/>
      <w:tabs>
        <w:tab w:val="clear" w:pos="4680"/>
        <w:tab w:val="clear" w:pos="9360"/>
      </w:tabs>
      <w:ind w:hanging="360"/>
      <w:jc w:val="center"/>
      <w:rPr>
        <w:rFonts w:ascii="Arial" w:hAnsi="Arial" w:cs="Arial"/>
        <w:sz w:val="16"/>
        <w:szCs w:val="16"/>
      </w:rPr>
    </w:pPr>
    <w:r w:rsidRPr="00675852">
      <w:rPr>
        <w:rFonts w:ascii="Arial" w:hAnsi="Arial" w:cs="Arial"/>
        <w:sz w:val="16"/>
        <w:szCs w:val="16"/>
      </w:rPr>
      <w:t>It should not be distributed to any third party, or published in whole or in part in any form, without prior written consent.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89C" w14:textId="0D8F8E81" w:rsidR="00F72547" w:rsidRDefault="00783D69" w:rsidP="00EA03A9">
    <w:pPr>
      <w:pStyle w:val="RRFooter"/>
      <w:tabs>
        <w:tab w:val="clear" w:pos="9360"/>
        <w:tab w:val="right" w:pos="9720"/>
      </w:tabs>
    </w:pPr>
    <w:r w:rsidRPr="00783D69">
      <w:t>NAIC Mortgage Insurer Risk Sensitive Capital Model</w:t>
    </w:r>
    <w:r w:rsidR="00F72547">
      <w:tab/>
    </w:r>
    <w:r w:rsidR="00F72547">
      <w:tab/>
    </w:r>
    <w:r w:rsidR="00F72547">
      <w:fldChar w:fldCharType="begin"/>
    </w:r>
    <w:r w:rsidR="00F72547">
      <w:instrText xml:space="preserve"> DATE \@ "MMMM d, yyyy" </w:instrText>
    </w:r>
    <w:r w:rsidR="00F72547">
      <w:fldChar w:fldCharType="separate"/>
    </w:r>
    <w:r w:rsidR="00C05DD1">
      <w:rPr>
        <w:noProof/>
      </w:rPr>
      <w:t>December 3, 2019</w:t>
    </w:r>
    <w:r w:rsidR="00F72547">
      <w:fldChar w:fldCharType="end"/>
    </w:r>
  </w:p>
  <w:p w14:paraId="74DD2356" w14:textId="7C9A5278" w:rsidR="00F72547" w:rsidRDefault="00783D69" w:rsidP="00EA03A9">
    <w:pPr>
      <w:pStyle w:val="RRFooter"/>
      <w:tabs>
        <w:tab w:val="clear" w:pos="9360"/>
        <w:tab w:val="right" w:pos="9720"/>
      </w:tabs>
    </w:pPr>
    <w:r w:rsidRPr="00783D69">
      <w:t>Milliman Model Validation</w:t>
    </w:r>
  </w:p>
  <w:p w14:paraId="62A1A30F" w14:textId="77777777" w:rsidR="00F72547" w:rsidRPr="00EA03A9" w:rsidRDefault="00F72547" w:rsidP="00EA03A9">
    <w:pPr>
      <w:spacing w:after="0" w:line="240" w:lineRule="auto"/>
      <w:rPr>
        <w:sz w:val="16"/>
      </w:rPr>
    </w:pPr>
  </w:p>
  <w:p w14:paraId="6DF96A5C" w14:textId="77777777" w:rsidR="00F72547" w:rsidRDefault="00F72547" w:rsidP="00FB4CDB">
    <w:pPr>
      <w:pStyle w:val="Footer"/>
      <w:tabs>
        <w:tab w:val="clear" w:pos="4680"/>
        <w:tab w:val="clear" w:pos="9360"/>
      </w:tabs>
      <w:ind w:hanging="360"/>
      <w:jc w:val="center"/>
      <w:rPr>
        <w:rFonts w:ascii="Arial" w:hAnsi="Arial" w:cs="Arial"/>
        <w:sz w:val="16"/>
        <w:szCs w:val="16"/>
      </w:rPr>
    </w:pPr>
    <w:r w:rsidRPr="00675852">
      <w:rPr>
        <w:rFonts w:ascii="Arial" w:hAnsi="Arial" w:cs="Arial"/>
        <w:b/>
        <w:sz w:val="16"/>
        <w:szCs w:val="16"/>
      </w:rPr>
      <w:t>Confidential Draft</w:t>
    </w:r>
    <w:r w:rsidRPr="00675852">
      <w:rPr>
        <w:rFonts w:ascii="Arial" w:hAnsi="Arial" w:cs="Arial"/>
        <w:sz w:val="16"/>
        <w:szCs w:val="16"/>
      </w:rPr>
      <w:t xml:space="preserve"> - </w:t>
    </w:r>
    <w:r w:rsidRPr="00675852">
      <w:rPr>
        <w:rFonts w:ascii="Arial" w:hAnsi="Arial" w:cs="Arial"/>
        <w:b/>
        <w:sz w:val="16"/>
        <w:szCs w:val="16"/>
      </w:rPr>
      <w:t>For Discussion Purposes Only</w:t>
    </w:r>
    <w:r w:rsidRPr="00675852">
      <w:rPr>
        <w:rFonts w:ascii="Arial" w:hAnsi="Arial" w:cs="Arial"/>
        <w:sz w:val="16"/>
        <w:szCs w:val="16"/>
      </w:rPr>
      <w:t>.  This draft is intended for discussion purposes only.</w:t>
    </w:r>
  </w:p>
  <w:p w14:paraId="14724B8D" w14:textId="77777777" w:rsidR="00F72547" w:rsidRPr="00EA03A9" w:rsidRDefault="00F72547" w:rsidP="00FB4CDB">
    <w:pPr>
      <w:pStyle w:val="Footer"/>
      <w:tabs>
        <w:tab w:val="clear" w:pos="4680"/>
        <w:tab w:val="clear" w:pos="9360"/>
      </w:tabs>
      <w:ind w:hanging="360"/>
      <w:jc w:val="center"/>
      <w:rPr>
        <w:rFonts w:ascii="Arial" w:hAnsi="Arial" w:cs="Arial"/>
        <w:sz w:val="16"/>
        <w:szCs w:val="16"/>
      </w:rPr>
    </w:pPr>
    <w:r w:rsidRPr="00675852">
      <w:rPr>
        <w:rFonts w:ascii="Arial" w:hAnsi="Arial" w:cs="Arial"/>
        <w:sz w:val="16"/>
        <w:szCs w:val="16"/>
      </w:rPr>
      <w:t>It should not be distributed to any third party, or published in whole or in part in any form, without prior written consent.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87A1" w14:textId="3D643DBB" w:rsidR="00AE4B3F" w:rsidRDefault="00AE4B3F" w:rsidP="00AE4B3F">
    <w:pPr>
      <w:pStyle w:val="RRFooter"/>
      <w:tabs>
        <w:tab w:val="clear" w:pos="9360"/>
        <w:tab w:val="right" w:pos="9720"/>
      </w:tabs>
    </w:pPr>
    <w:r>
      <w:t>&lt;&lt;Client Report Title&gt;&gt;</w:t>
    </w:r>
    <w:r>
      <w:tab/>
    </w:r>
    <w:r>
      <w:tab/>
    </w:r>
    <w:r>
      <w:fldChar w:fldCharType="begin"/>
    </w:r>
    <w:r>
      <w:instrText xml:space="preserve"> DATE \@ "MMMM d, yyyy" </w:instrText>
    </w:r>
    <w:r>
      <w:fldChar w:fldCharType="separate"/>
    </w:r>
    <w:r w:rsidR="00C05DD1">
      <w:rPr>
        <w:noProof/>
      </w:rPr>
      <w:t>December 3, 2019</w:t>
    </w:r>
    <w:r>
      <w:fldChar w:fldCharType="end"/>
    </w:r>
  </w:p>
  <w:p w14:paraId="1DC10FE5" w14:textId="77777777" w:rsidR="00AE4B3F" w:rsidRDefault="00AE4B3F" w:rsidP="00AE4B3F">
    <w:pPr>
      <w:pStyle w:val="RRFooter"/>
      <w:tabs>
        <w:tab w:val="clear" w:pos="9360"/>
        <w:tab w:val="right" w:pos="9720"/>
      </w:tabs>
    </w:pPr>
    <w:r>
      <w:t>&lt;&lt;Client Report Title Line 2&gt;&gt;</w:t>
    </w:r>
  </w:p>
  <w:p w14:paraId="128B86F5" w14:textId="77777777" w:rsidR="00AE4B3F" w:rsidRPr="00EA03A9" w:rsidRDefault="00AE4B3F" w:rsidP="00AE4B3F">
    <w:pPr>
      <w:spacing w:after="0" w:line="240" w:lineRule="auto"/>
      <w:rPr>
        <w:sz w:val="16"/>
      </w:rPr>
    </w:pPr>
  </w:p>
  <w:p w14:paraId="58D8ED1C" w14:textId="77777777" w:rsidR="00FB4CDB" w:rsidRDefault="00FB4CDB" w:rsidP="00FB4CDB">
    <w:pPr>
      <w:pStyle w:val="Footer"/>
      <w:tabs>
        <w:tab w:val="clear" w:pos="4680"/>
        <w:tab w:val="clear" w:pos="9360"/>
      </w:tabs>
      <w:ind w:hanging="360"/>
      <w:jc w:val="center"/>
      <w:rPr>
        <w:rFonts w:ascii="Arial" w:hAnsi="Arial" w:cs="Arial"/>
        <w:sz w:val="16"/>
        <w:szCs w:val="16"/>
      </w:rPr>
    </w:pPr>
    <w:r w:rsidRPr="00675852">
      <w:rPr>
        <w:rFonts w:ascii="Arial" w:hAnsi="Arial" w:cs="Arial"/>
        <w:b/>
        <w:sz w:val="16"/>
        <w:szCs w:val="16"/>
      </w:rPr>
      <w:t>Confidential Draft</w:t>
    </w:r>
    <w:r w:rsidRPr="00675852">
      <w:rPr>
        <w:rFonts w:ascii="Arial" w:hAnsi="Arial" w:cs="Arial"/>
        <w:sz w:val="16"/>
        <w:szCs w:val="16"/>
      </w:rPr>
      <w:t xml:space="preserve"> - </w:t>
    </w:r>
    <w:r w:rsidRPr="00675852">
      <w:rPr>
        <w:rFonts w:ascii="Arial" w:hAnsi="Arial" w:cs="Arial"/>
        <w:b/>
        <w:sz w:val="16"/>
        <w:szCs w:val="16"/>
      </w:rPr>
      <w:t>For Discussion Purposes Only</w:t>
    </w:r>
    <w:r w:rsidRPr="00675852">
      <w:rPr>
        <w:rFonts w:ascii="Arial" w:hAnsi="Arial" w:cs="Arial"/>
        <w:sz w:val="16"/>
        <w:szCs w:val="16"/>
      </w:rPr>
      <w:t>.  This draft is intended for discussion purposes only.</w:t>
    </w:r>
  </w:p>
  <w:p w14:paraId="150D3606" w14:textId="77777777" w:rsidR="00FB4CDB" w:rsidRPr="00EA03A9" w:rsidRDefault="00FB4CDB" w:rsidP="00FB4CDB">
    <w:pPr>
      <w:pStyle w:val="Footer"/>
      <w:tabs>
        <w:tab w:val="clear" w:pos="4680"/>
        <w:tab w:val="clear" w:pos="9360"/>
      </w:tabs>
      <w:ind w:hanging="360"/>
      <w:jc w:val="center"/>
      <w:rPr>
        <w:rFonts w:ascii="Arial" w:hAnsi="Arial" w:cs="Arial"/>
        <w:sz w:val="16"/>
        <w:szCs w:val="16"/>
      </w:rPr>
    </w:pPr>
    <w:r w:rsidRPr="00675852">
      <w:rPr>
        <w:rFonts w:ascii="Arial" w:hAnsi="Arial" w:cs="Arial"/>
        <w:sz w:val="16"/>
        <w:szCs w:val="16"/>
      </w:rPr>
      <w:t>It should not be distributed to any third party, or published in whole or in part in any form, without prior written consent.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8959" w14:textId="24825F43" w:rsidR="00A80B1F" w:rsidRDefault="00783D69" w:rsidP="00EA03A9">
    <w:pPr>
      <w:pStyle w:val="RRFooter"/>
      <w:tabs>
        <w:tab w:val="clear" w:pos="9360"/>
        <w:tab w:val="right" w:pos="9720"/>
      </w:tabs>
    </w:pPr>
    <w:r w:rsidRPr="00783D69">
      <w:t>NAIC Mortgage Insurer Risk Sensitive Capital Model</w:t>
    </w:r>
    <w:r w:rsidR="00A80B1F">
      <w:tab/>
    </w:r>
    <w:r w:rsidR="00A80B1F">
      <w:fldChar w:fldCharType="begin"/>
    </w:r>
    <w:r w:rsidR="00A80B1F">
      <w:instrText xml:space="preserve"> PAGE   \* MERGEFORMAT </w:instrText>
    </w:r>
    <w:r w:rsidR="00A80B1F">
      <w:fldChar w:fldCharType="separate"/>
    </w:r>
    <w:r w:rsidR="00B94E05">
      <w:rPr>
        <w:noProof/>
      </w:rPr>
      <w:t>18</w:t>
    </w:r>
    <w:r w:rsidR="00A80B1F">
      <w:rPr>
        <w:noProof/>
      </w:rPr>
      <w:fldChar w:fldCharType="end"/>
    </w:r>
    <w:r w:rsidR="00A80B1F">
      <w:tab/>
    </w:r>
    <w:r w:rsidR="00A80B1F">
      <w:fldChar w:fldCharType="begin"/>
    </w:r>
    <w:r w:rsidR="00A80B1F">
      <w:instrText xml:space="preserve"> DATE \@ "MMMM d, yyyy" </w:instrText>
    </w:r>
    <w:r w:rsidR="00A80B1F">
      <w:fldChar w:fldCharType="separate"/>
    </w:r>
    <w:r w:rsidR="00C05DD1">
      <w:rPr>
        <w:noProof/>
      </w:rPr>
      <w:t>December 3, 2019</w:t>
    </w:r>
    <w:r w:rsidR="00A80B1F">
      <w:fldChar w:fldCharType="end"/>
    </w:r>
  </w:p>
  <w:p w14:paraId="027504C3" w14:textId="2134C2FF" w:rsidR="00A80B1F" w:rsidRDefault="00783D69" w:rsidP="00EA03A9">
    <w:pPr>
      <w:pStyle w:val="RRFooter"/>
      <w:tabs>
        <w:tab w:val="clear" w:pos="9360"/>
        <w:tab w:val="right" w:pos="9720"/>
      </w:tabs>
    </w:pPr>
    <w:r w:rsidRPr="00783D69">
      <w:t>Milliman Model Validation</w:t>
    </w:r>
  </w:p>
  <w:p w14:paraId="5E444FD4" w14:textId="77777777" w:rsidR="00A80B1F" w:rsidRPr="00EA03A9" w:rsidRDefault="00A80B1F" w:rsidP="00EA03A9">
    <w:pPr>
      <w:spacing w:after="0" w:line="240" w:lineRule="auto"/>
      <w:rPr>
        <w:sz w:val="16"/>
      </w:rPr>
    </w:pPr>
  </w:p>
  <w:p w14:paraId="7DB7718C" w14:textId="77777777" w:rsidR="00A80B1F" w:rsidRDefault="00A80B1F" w:rsidP="00FB4CDB">
    <w:pPr>
      <w:pStyle w:val="Footer"/>
      <w:tabs>
        <w:tab w:val="clear" w:pos="4680"/>
        <w:tab w:val="clear" w:pos="9360"/>
      </w:tabs>
      <w:ind w:hanging="360"/>
      <w:jc w:val="center"/>
      <w:rPr>
        <w:rFonts w:ascii="Arial" w:hAnsi="Arial" w:cs="Arial"/>
        <w:sz w:val="16"/>
        <w:szCs w:val="16"/>
      </w:rPr>
    </w:pPr>
    <w:r w:rsidRPr="00675852">
      <w:rPr>
        <w:rFonts w:ascii="Arial" w:hAnsi="Arial" w:cs="Arial"/>
        <w:b/>
        <w:sz w:val="16"/>
        <w:szCs w:val="16"/>
      </w:rPr>
      <w:t>Confidential Draft</w:t>
    </w:r>
    <w:r w:rsidRPr="00675852">
      <w:rPr>
        <w:rFonts w:ascii="Arial" w:hAnsi="Arial" w:cs="Arial"/>
        <w:sz w:val="16"/>
        <w:szCs w:val="16"/>
      </w:rPr>
      <w:t xml:space="preserve"> - </w:t>
    </w:r>
    <w:r w:rsidRPr="00675852">
      <w:rPr>
        <w:rFonts w:ascii="Arial" w:hAnsi="Arial" w:cs="Arial"/>
        <w:b/>
        <w:sz w:val="16"/>
        <w:szCs w:val="16"/>
      </w:rPr>
      <w:t>For Discussion Purposes Only</w:t>
    </w:r>
    <w:r w:rsidRPr="00675852">
      <w:rPr>
        <w:rFonts w:ascii="Arial" w:hAnsi="Arial" w:cs="Arial"/>
        <w:sz w:val="16"/>
        <w:szCs w:val="16"/>
      </w:rPr>
      <w:t>.  This draft is intended for discussion purposes only.</w:t>
    </w:r>
  </w:p>
  <w:p w14:paraId="018C1088" w14:textId="77777777" w:rsidR="00A80B1F" w:rsidRPr="00EA03A9" w:rsidRDefault="00A80B1F" w:rsidP="00FB4CDB">
    <w:pPr>
      <w:pStyle w:val="Footer"/>
      <w:tabs>
        <w:tab w:val="clear" w:pos="4680"/>
        <w:tab w:val="clear" w:pos="9360"/>
      </w:tabs>
      <w:ind w:hanging="360"/>
      <w:jc w:val="center"/>
      <w:rPr>
        <w:rFonts w:ascii="Arial" w:hAnsi="Arial" w:cs="Arial"/>
        <w:sz w:val="16"/>
        <w:szCs w:val="16"/>
      </w:rPr>
    </w:pPr>
    <w:r w:rsidRPr="00675852">
      <w:rPr>
        <w:rFonts w:ascii="Arial" w:hAnsi="Arial" w:cs="Arial"/>
        <w:sz w:val="16"/>
        <w:szCs w:val="16"/>
      </w:rPr>
      <w:t>It should not be distributed to any third party, or published in whole or in part in any form, without prior written consent.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FA149" w14:textId="77777777" w:rsidR="00D3623C" w:rsidRPr="00D90323" w:rsidRDefault="00D3623C" w:rsidP="00D90323">
      <w:pPr>
        <w:pStyle w:val="Footer"/>
        <w:pBdr>
          <w:top w:val="single" w:sz="4" w:space="1" w:color="E8E9E9" w:themeColor="accent2" w:themeTint="66"/>
        </w:pBdr>
        <w:rPr>
          <w:sz w:val="6"/>
          <w:szCs w:val="6"/>
        </w:rPr>
      </w:pPr>
    </w:p>
  </w:footnote>
  <w:footnote w:type="continuationSeparator" w:id="0">
    <w:p w14:paraId="1E04FC8C" w14:textId="77777777" w:rsidR="00D3623C" w:rsidRDefault="00D3623C" w:rsidP="00610E90">
      <w:pPr>
        <w:spacing w:after="0" w:line="240" w:lineRule="auto"/>
      </w:pPr>
      <w:r>
        <w:continuationSeparator/>
      </w:r>
    </w:p>
  </w:footnote>
  <w:footnote w:id="1">
    <w:p w14:paraId="2F5889BA" w14:textId="77777777" w:rsidR="00B01E0D" w:rsidRPr="00316E79" w:rsidRDefault="00B01E0D" w:rsidP="00B01E0D">
      <w:pPr>
        <w:pStyle w:val="FootnoteText"/>
        <w:ind w:left="360" w:hanging="360"/>
        <w:rPr>
          <w:color w:val="auto"/>
          <w:sz w:val="18"/>
        </w:rPr>
      </w:pPr>
      <w:r w:rsidRPr="00316E79">
        <w:rPr>
          <w:rStyle w:val="FootnoteReference"/>
          <w:color w:val="auto"/>
          <w:sz w:val="18"/>
        </w:rPr>
        <w:footnoteRef/>
      </w:r>
      <w:r w:rsidRPr="00316E79">
        <w:rPr>
          <w:color w:val="auto"/>
          <w:sz w:val="18"/>
        </w:rPr>
        <w:t xml:space="preserve"> </w:t>
      </w:r>
      <w:r>
        <w:rPr>
          <w:color w:val="auto"/>
          <w:sz w:val="18"/>
        </w:rPr>
        <w:tab/>
      </w:r>
      <w:r w:rsidRPr="00316E79">
        <w:rPr>
          <w:color w:val="auto"/>
          <w:sz w:val="18"/>
        </w:rPr>
        <w:t>http://www.freddiemac.com/research/datasets/sf_loanlevel_dataset.html</w:t>
      </w:r>
    </w:p>
    <w:p w14:paraId="72A86382" w14:textId="77777777" w:rsidR="00B01E0D" w:rsidRPr="00316E79" w:rsidRDefault="00B01E0D" w:rsidP="00B01E0D">
      <w:pPr>
        <w:pStyle w:val="FootnoteText"/>
        <w:ind w:left="360" w:firstLine="0"/>
        <w:rPr>
          <w:color w:val="auto"/>
        </w:rPr>
      </w:pPr>
      <w:r w:rsidRPr="002A7E4A">
        <w:rPr>
          <w:color w:val="auto"/>
          <w:sz w:val="18"/>
        </w:rPr>
        <w:t>http://www.fanniemae.com/portal/funding-the-market/data/loan-performance-data.html</w:t>
      </w:r>
    </w:p>
  </w:footnote>
  <w:footnote w:id="2">
    <w:p w14:paraId="2C94E33F" w14:textId="3A1D822F" w:rsidR="008B7C7A" w:rsidRPr="005B5D1D" w:rsidRDefault="008B7C7A" w:rsidP="005B5D1D">
      <w:pPr>
        <w:pStyle w:val="FootnoteText"/>
        <w:tabs>
          <w:tab w:val="left" w:pos="450"/>
        </w:tabs>
        <w:rPr>
          <w:sz w:val="18"/>
        </w:rPr>
      </w:pPr>
      <w:r w:rsidRPr="005B5D1D">
        <w:rPr>
          <w:rStyle w:val="FootnoteReference"/>
          <w:sz w:val="18"/>
        </w:rPr>
        <w:footnoteRef/>
      </w:r>
      <w:r w:rsidRPr="005B5D1D">
        <w:rPr>
          <w:sz w:val="18"/>
        </w:rPr>
        <w:t xml:space="preserve"> </w:t>
      </w:r>
      <w:r w:rsidR="005B5D1D">
        <w:rPr>
          <w:sz w:val="18"/>
        </w:rPr>
        <w:tab/>
      </w:r>
      <w:r w:rsidRPr="005B5D1D">
        <w:rPr>
          <w:sz w:val="18"/>
        </w:rPr>
        <w:t xml:space="preserve">References: </w:t>
      </w:r>
    </w:p>
    <w:p w14:paraId="0A1F87CA" w14:textId="1571C9BB" w:rsidR="008B7C7A" w:rsidRPr="005B5D1D" w:rsidRDefault="005B5D1D" w:rsidP="005B5D1D">
      <w:pPr>
        <w:pStyle w:val="FootnoteText"/>
        <w:tabs>
          <w:tab w:val="left" w:pos="450"/>
        </w:tabs>
        <w:rPr>
          <w:sz w:val="18"/>
        </w:rPr>
      </w:pPr>
      <w:r>
        <w:rPr>
          <w:sz w:val="18"/>
        </w:rPr>
        <w:tab/>
      </w:r>
      <w:r w:rsidR="008B7C7A" w:rsidRPr="005B5D1D">
        <w:rPr>
          <w:sz w:val="18"/>
        </w:rPr>
        <w:t>MICA Fact Book</w:t>
      </w:r>
    </w:p>
    <w:p w14:paraId="0795F275" w14:textId="4954D078" w:rsidR="008B7C7A" w:rsidRPr="005B5D1D" w:rsidRDefault="005B5D1D" w:rsidP="005B5D1D">
      <w:pPr>
        <w:pStyle w:val="FootnoteText"/>
        <w:tabs>
          <w:tab w:val="left" w:pos="450"/>
        </w:tabs>
        <w:rPr>
          <w:sz w:val="18"/>
        </w:rPr>
      </w:pPr>
      <w:r>
        <w:rPr>
          <w:sz w:val="18"/>
        </w:rPr>
        <w:tab/>
      </w:r>
      <w:r w:rsidR="008B7C7A" w:rsidRPr="005B5D1D">
        <w:rPr>
          <w:sz w:val="18"/>
        </w:rPr>
        <w:t>“History of Mortgage Finance With an Emphasis on Mortgage Insurance”, Thomas N. Herzog, Society of Actuaries, 2009</w:t>
      </w:r>
    </w:p>
    <w:p w14:paraId="0076BE3C" w14:textId="55CE54A6" w:rsidR="008B7C7A" w:rsidRPr="005B5D1D" w:rsidRDefault="005B5D1D" w:rsidP="005B5D1D">
      <w:pPr>
        <w:pStyle w:val="FootnoteText"/>
        <w:tabs>
          <w:tab w:val="left" w:pos="450"/>
        </w:tabs>
        <w:rPr>
          <w:sz w:val="18"/>
        </w:rPr>
      </w:pPr>
      <w:r>
        <w:rPr>
          <w:sz w:val="18"/>
        </w:rPr>
        <w:tab/>
      </w:r>
      <w:r w:rsidR="008B7C7A" w:rsidRPr="005B5D1D">
        <w:rPr>
          <w:sz w:val="18"/>
        </w:rPr>
        <w:t xml:space="preserve">“Countercyclical Capital Regulation: Should Bank Regulators Use Rules or Discretion?” </w:t>
      </w:r>
      <w:r>
        <w:rPr>
          <w:sz w:val="18"/>
        </w:rPr>
        <w:t xml:space="preserve"> </w:t>
      </w:r>
      <w:r w:rsidR="008B7C7A" w:rsidRPr="005B5D1D">
        <w:rPr>
          <w:sz w:val="18"/>
        </w:rPr>
        <w:t>Federal Reserve Bank of Kansas City Economic Review, Q2 2011</w:t>
      </w:r>
    </w:p>
  </w:footnote>
  <w:footnote w:id="3">
    <w:p w14:paraId="2C872C90" w14:textId="665A204E" w:rsidR="00041F65" w:rsidRDefault="00041F65">
      <w:pPr>
        <w:pStyle w:val="FootnoteText"/>
      </w:pPr>
      <w:r>
        <w:rPr>
          <w:rStyle w:val="FootnoteReference"/>
        </w:rPr>
        <w:footnoteRef/>
      </w:r>
      <w:r>
        <w:t xml:space="preserve"> Note, for this analysis, HARP loans were included in the original loan population. HARP loans were removed from the regression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5F57" w14:textId="77777777" w:rsidR="007356D1" w:rsidRDefault="007356D1" w:rsidP="007356D1">
    <w:pPr>
      <w:pStyle w:val="RRHeader"/>
    </w:pPr>
    <w:r w:rsidRPr="006C3AFC">
      <w:rPr>
        <w:color w:val="0A4977" w:themeColor="text2"/>
      </w:rPr>
      <w:t xml:space="preserve">Milliman </w:t>
    </w:r>
    <w:r w:rsidRPr="00FB4CDB">
      <w:rPr>
        <w:color w:val="727A7D" w:themeColor="accent3"/>
      </w:rPr>
      <w:t>CLIENT Report - DRAFT</w:t>
    </w:r>
  </w:p>
  <w:p w14:paraId="584E73AF" w14:textId="77777777" w:rsidR="007356D1" w:rsidRDefault="00735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70C7" w14:textId="77777777" w:rsidR="007356D1" w:rsidRDefault="007356D1" w:rsidP="00552A89">
    <w:pPr>
      <w:pStyle w:val="RRHeader"/>
      <w:ind w:left="-450"/>
    </w:pPr>
    <w:r w:rsidRPr="006C3AFC">
      <w:rPr>
        <w:color w:val="0A4977" w:themeColor="text2"/>
      </w:rPr>
      <w:t xml:space="preserve">Milliman </w:t>
    </w:r>
    <w:r w:rsidRPr="00FB4CDB">
      <w:rPr>
        <w:color w:val="727A7D" w:themeColor="accent3"/>
      </w:rPr>
      <w:t>CLIENT Report - DRAFT</w:t>
    </w:r>
  </w:p>
  <w:p w14:paraId="10A5485B" w14:textId="77777777" w:rsidR="007356D1" w:rsidRDefault="00735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D78"/>
    <w:multiLevelType w:val="hybridMultilevel"/>
    <w:tmpl w:val="00FE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E3F18"/>
    <w:multiLevelType w:val="multilevel"/>
    <w:tmpl w:val="5DACF888"/>
    <w:lvl w:ilvl="0">
      <w:start w:val="1"/>
      <w:numFmt w:val="decimal"/>
      <w:pStyle w:val="RRNumberedSubhead1"/>
      <w:lvlText w:val="%1."/>
      <w:lvlJc w:val="left"/>
      <w:pPr>
        <w:ind w:left="360" w:hanging="360"/>
      </w:pPr>
      <w:rPr>
        <w:rFonts w:hint="default"/>
      </w:rPr>
    </w:lvl>
    <w:lvl w:ilvl="1">
      <w:start w:val="2"/>
      <w:numFmt w:val="decimal"/>
      <w:lvlRestart w:val="0"/>
      <w:lvlText w:val="%1.%2."/>
      <w:lvlJc w:val="left"/>
      <w:pPr>
        <w:ind w:left="792" w:hanging="432"/>
      </w:pPr>
      <w:rPr>
        <w:rFonts w:hint="default"/>
      </w:rPr>
    </w:lvl>
    <w:lvl w:ilvl="2">
      <w:start w:val="3"/>
      <w:numFmt w:val="decimal"/>
      <w:lvlRestart w:val="0"/>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53EA5"/>
    <w:multiLevelType w:val="hybridMultilevel"/>
    <w:tmpl w:val="F7E8027E"/>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4" w15:restartNumberingAfterBreak="0">
    <w:nsid w:val="0E724E11"/>
    <w:multiLevelType w:val="multilevel"/>
    <w:tmpl w:val="7EB6A7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 w15:restartNumberingAfterBreak="0">
    <w:nsid w:val="13F24E9E"/>
    <w:multiLevelType w:val="hybridMultilevel"/>
    <w:tmpl w:val="CDCCBD86"/>
    <w:lvl w:ilvl="0" w:tplc="356AA4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203EE"/>
    <w:multiLevelType w:val="hybridMultilevel"/>
    <w:tmpl w:val="DDAA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D3DA6"/>
    <w:multiLevelType w:val="hybridMultilevel"/>
    <w:tmpl w:val="3E663DA6"/>
    <w:lvl w:ilvl="0" w:tplc="94085FCA">
      <w:start w:val="1"/>
      <w:numFmt w:val="decimal"/>
      <w:pStyle w:val="RR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45A5D"/>
    <w:multiLevelType w:val="hybridMultilevel"/>
    <w:tmpl w:val="C97E6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C586A"/>
    <w:multiLevelType w:val="hybridMultilevel"/>
    <w:tmpl w:val="4C5E3144"/>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E1DD8"/>
    <w:multiLevelType w:val="hybridMultilevel"/>
    <w:tmpl w:val="2AB01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0913C6"/>
    <w:multiLevelType w:val="hybridMultilevel"/>
    <w:tmpl w:val="7ECE3D2A"/>
    <w:lvl w:ilvl="0" w:tplc="12325A7A">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4F33A9D"/>
    <w:multiLevelType w:val="hybridMultilevel"/>
    <w:tmpl w:val="A9964A28"/>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FD7C0F"/>
    <w:multiLevelType w:val="hybridMultilevel"/>
    <w:tmpl w:val="2490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146D7"/>
    <w:multiLevelType w:val="hybridMultilevel"/>
    <w:tmpl w:val="EF343E08"/>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73017D"/>
    <w:multiLevelType w:val="multilevel"/>
    <w:tmpl w:val="CA1070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Wingdings" w:hAnsi="Wingdings" w:hint="default"/>
        <w:color w:val="auto"/>
        <w:sz w:val="20"/>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6" w15:restartNumberingAfterBreak="0">
    <w:nsid w:val="2FDC46DF"/>
    <w:multiLevelType w:val="multilevel"/>
    <w:tmpl w:val="DE2A75E0"/>
    <w:lvl w:ilvl="0">
      <w:start w:val="1"/>
      <w:numFmt w:val="decimal"/>
      <w:lvlText w:val="%1"/>
      <w:lvlJc w:val="left"/>
      <w:pPr>
        <w:ind w:left="360" w:hanging="360"/>
      </w:pPr>
      <w:rPr>
        <w:rFonts w:hint="default"/>
      </w:rPr>
    </w:lvl>
    <w:lvl w:ilvl="1">
      <w:start w:val="1"/>
      <w:numFmt w:val="decimal"/>
      <w:pStyle w:val="RRNumberedSubhead2"/>
      <w:lvlText w:val="%1.%2"/>
      <w:lvlJc w:val="left"/>
      <w:pPr>
        <w:ind w:left="720" w:hanging="360"/>
      </w:pPr>
      <w:rPr>
        <w:rFonts w:hint="default"/>
      </w:rPr>
    </w:lvl>
    <w:lvl w:ilvl="2">
      <w:start w:val="1"/>
      <w:numFmt w:val="decimal"/>
      <w:pStyle w:val="RRNumberedSubhead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BD00C9"/>
    <w:multiLevelType w:val="hybridMultilevel"/>
    <w:tmpl w:val="A9E65A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6B137C"/>
    <w:multiLevelType w:val="hybridMultilevel"/>
    <w:tmpl w:val="6FF6A210"/>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893C82"/>
    <w:multiLevelType w:val="hybridMultilevel"/>
    <w:tmpl w:val="088A0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866F10"/>
    <w:multiLevelType w:val="hybridMultilevel"/>
    <w:tmpl w:val="27D0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773FD"/>
    <w:multiLevelType w:val="hybridMultilevel"/>
    <w:tmpl w:val="8104086E"/>
    <w:lvl w:ilvl="0" w:tplc="AC5E3170">
      <w:start w:val="1"/>
      <w:numFmt w:val="lowerRoman"/>
      <w:pStyle w:val="RRNumberedRoman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767359"/>
    <w:multiLevelType w:val="hybridMultilevel"/>
    <w:tmpl w:val="C1320D62"/>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3A4192"/>
    <w:multiLevelType w:val="hybridMultilevel"/>
    <w:tmpl w:val="46F81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123C45"/>
    <w:multiLevelType w:val="hybridMultilevel"/>
    <w:tmpl w:val="C22EF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C129F8"/>
    <w:multiLevelType w:val="multilevel"/>
    <w:tmpl w:val="969C5AA2"/>
    <w:name w:val="HeadingsList"/>
    <w:styleLink w:val="HeadingsList"/>
    <w:lvl w:ilvl="0">
      <w:start w:val="1"/>
      <w:numFmt w:val="decimal"/>
      <w:lvlText w:val="%1."/>
      <w:lvlJc w:val="left"/>
      <w:pPr>
        <w:ind w:left="936" w:hanging="936"/>
      </w:pPr>
      <w:rPr>
        <w:rFonts w:asciiTheme="majorHAnsi" w:eastAsiaTheme="majorEastAsia" w:hAnsiTheme="majorHAnsi" w:cstheme="majorBidi" w:hint="default"/>
        <w:b w:val="0"/>
        <w:bCs w:val="0"/>
        <w:i w:val="0"/>
        <w:iCs w:val="0"/>
        <w:sz w:val="32"/>
        <w:szCs w:val="32"/>
      </w:rPr>
    </w:lvl>
    <w:lvl w:ilvl="1">
      <w:start w:val="1"/>
      <w:numFmt w:val="decimal"/>
      <w:lvlText w:val="%1.%2."/>
      <w:lvlJc w:val="left"/>
      <w:pPr>
        <w:ind w:left="936" w:hanging="936"/>
      </w:pPr>
      <w:rPr>
        <w:rFonts w:asciiTheme="majorHAnsi" w:eastAsiaTheme="majorEastAsia" w:hAnsiTheme="majorHAnsi" w:cstheme="majorBidi" w:hint="default"/>
        <w:b/>
        <w:bCs w:val="0"/>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val="0"/>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b w:val="0"/>
        <w:bCs w:val="0"/>
        <w:i w:val="0"/>
        <w:iCs/>
        <w:sz w:val="24"/>
        <w:szCs w:val="24"/>
      </w:rPr>
    </w:lvl>
    <w:lvl w:ilvl="6">
      <w:start w:val="1"/>
      <w:numFmt w:val="decimal"/>
      <w:lvlText w:val="%1.%2.%3.%4.%5.%6.%7."/>
      <w:lvlJc w:val="left"/>
      <w:pPr>
        <w:ind w:left="1296" w:hanging="1296"/>
      </w:pPr>
      <w:rPr>
        <w:b w:val="0"/>
        <w:bCs w:val="0"/>
        <w:i w:val="0"/>
        <w:iCs/>
        <w:sz w:val="24"/>
        <w:szCs w:val="24"/>
      </w:rPr>
    </w:lvl>
    <w:lvl w:ilvl="7">
      <w:start w:val="1"/>
      <w:numFmt w:val="decimal"/>
      <w:lvlText w:val="%1.%2.%3.%4.%5.%6.%7.%8."/>
      <w:lvlJc w:val="left"/>
      <w:pPr>
        <w:ind w:left="1296" w:hanging="1296"/>
      </w:pPr>
      <w:rPr>
        <w:b w:val="0"/>
        <w:bCs w:val="0"/>
        <w:i w:val="0"/>
        <w:iCs w:val="0"/>
        <w:sz w:val="20"/>
        <w:szCs w:val="24"/>
      </w:rPr>
    </w:lvl>
    <w:lvl w:ilvl="8">
      <w:start w:val="1"/>
      <w:numFmt w:val="decimal"/>
      <w:lvlText w:val="%1.%2.%3.%4.%5.%6.%7.%8.%9."/>
      <w:lvlJc w:val="left"/>
      <w:pPr>
        <w:ind w:left="1296" w:hanging="1296"/>
      </w:pPr>
      <w:rPr>
        <w:b w:val="0"/>
        <w:bCs w:val="0"/>
        <w:i w:val="0"/>
        <w:iCs/>
        <w:sz w:val="20"/>
        <w:szCs w:val="24"/>
      </w:rPr>
    </w:lvl>
  </w:abstractNum>
  <w:abstractNum w:abstractNumId="26" w15:restartNumberingAfterBreak="0">
    <w:nsid w:val="4A5C7D2E"/>
    <w:multiLevelType w:val="hybridMultilevel"/>
    <w:tmpl w:val="26168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A74F45"/>
    <w:multiLevelType w:val="hybridMultilevel"/>
    <w:tmpl w:val="97FA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67533"/>
    <w:multiLevelType w:val="hybridMultilevel"/>
    <w:tmpl w:val="EE5E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81B34"/>
    <w:multiLevelType w:val="hybridMultilevel"/>
    <w:tmpl w:val="95E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A0119"/>
    <w:multiLevelType w:val="hybridMultilevel"/>
    <w:tmpl w:val="363C2D9A"/>
    <w:lvl w:ilvl="0" w:tplc="161EDB1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DF0E7F"/>
    <w:multiLevelType w:val="hybridMultilevel"/>
    <w:tmpl w:val="C412A2B2"/>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5416E0"/>
    <w:multiLevelType w:val="hybridMultilevel"/>
    <w:tmpl w:val="FFEE02F2"/>
    <w:lvl w:ilvl="0" w:tplc="48983C2E">
      <w:start w:val="1"/>
      <w:numFmt w:val="decimal"/>
      <w:pStyle w:val="RRNumberTable"/>
      <w:lvlText w:val="%1."/>
      <w:lvlJc w:val="left"/>
      <w:pPr>
        <w:ind w:left="720" w:hanging="360"/>
      </w:pPr>
      <w:rPr>
        <w:color w:val="727A7D" w:themeColor="accent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185D44"/>
    <w:multiLevelType w:val="hybridMultilevel"/>
    <w:tmpl w:val="75743C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6B5032EC"/>
    <w:multiLevelType w:val="hybridMultilevel"/>
    <w:tmpl w:val="5B10DC68"/>
    <w:lvl w:ilvl="0" w:tplc="3C841C70">
      <w:start w:val="1"/>
      <w:numFmt w:val="bullet"/>
      <w:pStyle w:val="RRBullet1"/>
      <w:lvlText w:val=""/>
      <w:lvlJc w:val="left"/>
      <w:pPr>
        <w:ind w:left="360" w:hanging="360"/>
      </w:pPr>
      <w:rPr>
        <w:rFonts w:ascii="Wingdings 2" w:hAnsi="Wingdings 2" w:hint="default"/>
        <w:color w:val="727A7D" w:themeColor="accent3"/>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E7F76"/>
    <w:multiLevelType w:val="hybridMultilevel"/>
    <w:tmpl w:val="DB806CEA"/>
    <w:lvl w:ilvl="0" w:tplc="B70E1BD0">
      <w:start w:val="1"/>
      <w:numFmt w:val="bullet"/>
      <w:pStyle w:val="RRBullet2"/>
      <w:lvlText w:val="−"/>
      <w:lvlJc w:val="left"/>
      <w:pPr>
        <w:ind w:left="540" w:hanging="360"/>
      </w:pPr>
      <w:rPr>
        <w:rFonts w:ascii="Arial" w:hAnsi="Arial" w:hint="default"/>
        <w:color w:val="727A7D" w:themeColor="accent3"/>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C37A0"/>
    <w:multiLevelType w:val="hybridMultilevel"/>
    <w:tmpl w:val="4AC6105A"/>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033178"/>
    <w:multiLevelType w:val="hybridMultilevel"/>
    <w:tmpl w:val="F03E364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8" w15:restartNumberingAfterBreak="0">
    <w:nsid w:val="703C7AF3"/>
    <w:multiLevelType w:val="hybridMultilevel"/>
    <w:tmpl w:val="70304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01A29"/>
    <w:multiLevelType w:val="hybridMultilevel"/>
    <w:tmpl w:val="921A9056"/>
    <w:lvl w:ilvl="0" w:tplc="28B89DA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103D2D"/>
    <w:multiLevelType w:val="hybridMultilevel"/>
    <w:tmpl w:val="3338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6243B"/>
    <w:multiLevelType w:val="hybridMultilevel"/>
    <w:tmpl w:val="22B60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F1723"/>
    <w:multiLevelType w:val="multilevel"/>
    <w:tmpl w:val="C2AAA0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360"/>
        </w:tabs>
        <w:ind w:left="360" w:hanging="360"/>
      </w:pPr>
      <w:rPr>
        <w:rFonts w:ascii="Wingdings" w:hAnsi="Wingdings" w:hint="default"/>
        <w:color w:val="auto"/>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3" w15:restartNumberingAfterBreak="0">
    <w:nsid w:val="746754DA"/>
    <w:multiLevelType w:val="hybridMultilevel"/>
    <w:tmpl w:val="EE249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A86AF0"/>
    <w:multiLevelType w:val="hybridMultilevel"/>
    <w:tmpl w:val="6F101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251E1D"/>
    <w:multiLevelType w:val="hybridMultilevel"/>
    <w:tmpl w:val="614885C2"/>
    <w:lvl w:ilvl="0" w:tplc="DBC81E92">
      <w:start w:val="1"/>
      <w:numFmt w:val="decimal"/>
      <w:pStyle w:val="RRNumber2"/>
      <w:lvlText w:val="%1."/>
      <w:lvlJc w:val="left"/>
      <w:pPr>
        <w:ind w:left="960" w:hanging="360"/>
      </w:pPr>
      <w:rPr>
        <w:rFonts w:hint="default"/>
        <w:sz w:val="16"/>
        <w:u w:color="727A7D" w:themeColor="accent3"/>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6" w15:restartNumberingAfterBreak="0">
    <w:nsid w:val="79F92450"/>
    <w:multiLevelType w:val="hybridMultilevel"/>
    <w:tmpl w:val="99524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7A4EBA"/>
    <w:multiLevelType w:val="hybridMultilevel"/>
    <w:tmpl w:val="F7841DF0"/>
    <w:lvl w:ilvl="0" w:tplc="159C46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4"/>
  </w:num>
  <w:num w:numId="2">
    <w:abstractNumId w:val="35"/>
  </w:num>
  <w:num w:numId="3">
    <w:abstractNumId w:val="7"/>
  </w:num>
  <w:num w:numId="4">
    <w:abstractNumId w:val="1"/>
  </w:num>
  <w:num w:numId="5">
    <w:abstractNumId w:val="2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6"/>
  </w:num>
  <w:num w:numId="9">
    <w:abstractNumId w:val="8"/>
  </w:num>
  <w:num w:numId="10">
    <w:abstractNumId w:val="17"/>
  </w:num>
  <w:num w:numId="11">
    <w:abstractNumId w:val="10"/>
  </w:num>
  <w:num w:numId="12">
    <w:abstractNumId w:val="22"/>
  </w:num>
  <w:num w:numId="13">
    <w:abstractNumId w:val="43"/>
  </w:num>
  <w:num w:numId="14">
    <w:abstractNumId w:val="30"/>
  </w:num>
  <w:num w:numId="15">
    <w:abstractNumId w:val="24"/>
  </w:num>
  <w:num w:numId="16">
    <w:abstractNumId w:val="46"/>
  </w:num>
  <w:num w:numId="17">
    <w:abstractNumId w:val="26"/>
  </w:num>
  <w:num w:numId="18">
    <w:abstractNumId w:val="13"/>
  </w:num>
  <w:num w:numId="19">
    <w:abstractNumId w:val="4"/>
  </w:num>
  <w:num w:numId="20">
    <w:abstractNumId w:val="33"/>
  </w:num>
  <w:num w:numId="21">
    <w:abstractNumId w:val="3"/>
  </w:num>
  <w:num w:numId="22">
    <w:abstractNumId w:val="23"/>
  </w:num>
  <w:num w:numId="23">
    <w:abstractNumId w:val="20"/>
  </w:num>
  <w:num w:numId="24">
    <w:abstractNumId w:val="47"/>
  </w:num>
  <w:num w:numId="25">
    <w:abstractNumId w:val="2"/>
  </w:num>
  <w:num w:numId="26">
    <w:abstractNumId w:val="14"/>
  </w:num>
  <w:num w:numId="27">
    <w:abstractNumId w:val="12"/>
  </w:num>
  <w:num w:numId="28">
    <w:abstractNumId w:val="18"/>
  </w:num>
  <w:num w:numId="29">
    <w:abstractNumId w:val="9"/>
  </w:num>
  <w:num w:numId="30">
    <w:abstractNumId w:val="39"/>
  </w:num>
  <w:num w:numId="31">
    <w:abstractNumId w:val="42"/>
  </w:num>
  <w:num w:numId="32">
    <w:abstractNumId w:val="15"/>
  </w:num>
  <w:num w:numId="33">
    <w:abstractNumId w:val="40"/>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8"/>
  </w:num>
  <w:num w:numId="38">
    <w:abstractNumId w:val="27"/>
  </w:num>
  <w:num w:numId="39">
    <w:abstractNumId w:val="19"/>
  </w:num>
  <w:num w:numId="40">
    <w:abstractNumId w:val="36"/>
  </w:num>
  <w:num w:numId="41">
    <w:abstractNumId w:val="31"/>
  </w:num>
  <w:num w:numId="42">
    <w:abstractNumId w:val="11"/>
  </w:num>
  <w:num w:numId="43">
    <w:abstractNumId w:val="0"/>
  </w:num>
  <w:num w:numId="44">
    <w:abstractNumId w:val="44"/>
  </w:num>
  <w:num w:numId="45">
    <w:abstractNumId w:val="6"/>
  </w:num>
  <w:num w:numId="46">
    <w:abstractNumId w:val="41"/>
  </w:num>
  <w:num w:numId="47">
    <w:abstractNumId w:val="28"/>
  </w:num>
  <w:num w:numId="48">
    <w:abstractNumId w:val="5"/>
  </w:num>
  <w:num w:numId="49">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8B"/>
    <w:rsid w:val="000034DB"/>
    <w:rsid w:val="00004020"/>
    <w:rsid w:val="00004E9B"/>
    <w:rsid w:val="00006608"/>
    <w:rsid w:val="00011AC2"/>
    <w:rsid w:val="00013385"/>
    <w:rsid w:val="000140CB"/>
    <w:rsid w:val="000146B2"/>
    <w:rsid w:val="00016E7D"/>
    <w:rsid w:val="00022A6D"/>
    <w:rsid w:val="00023356"/>
    <w:rsid w:val="00024393"/>
    <w:rsid w:val="00035B94"/>
    <w:rsid w:val="00037149"/>
    <w:rsid w:val="00037A21"/>
    <w:rsid w:val="00041F65"/>
    <w:rsid w:val="00047BB4"/>
    <w:rsid w:val="00057309"/>
    <w:rsid w:val="00063AC9"/>
    <w:rsid w:val="00066A1C"/>
    <w:rsid w:val="00067398"/>
    <w:rsid w:val="000731E0"/>
    <w:rsid w:val="00075BFF"/>
    <w:rsid w:val="00080047"/>
    <w:rsid w:val="0008221E"/>
    <w:rsid w:val="000838BE"/>
    <w:rsid w:val="00084789"/>
    <w:rsid w:val="00087993"/>
    <w:rsid w:val="00087B5F"/>
    <w:rsid w:val="00090611"/>
    <w:rsid w:val="00095D65"/>
    <w:rsid w:val="000A6DF0"/>
    <w:rsid w:val="000A75F6"/>
    <w:rsid w:val="000B31DE"/>
    <w:rsid w:val="000B47B0"/>
    <w:rsid w:val="000C507D"/>
    <w:rsid w:val="000D0456"/>
    <w:rsid w:val="000D49F9"/>
    <w:rsid w:val="000D717E"/>
    <w:rsid w:val="000D726A"/>
    <w:rsid w:val="000E0397"/>
    <w:rsid w:val="000E347C"/>
    <w:rsid w:val="000E73A0"/>
    <w:rsid w:val="000F032D"/>
    <w:rsid w:val="000F1D4A"/>
    <w:rsid w:val="000F34FE"/>
    <w:rsid w:val="000F5615"/>
    <w:rsid w:val="000F578F"/>
    <w:rsid w:val="00100B99"/>
    <w:rsid w:val="00103A2E"/>
    <w:rsid w:val="00110EBF"/>
    <w:rsid w:val="00114B11"/>
    <w:rsid w:val="00114DEB"/>
    <w:rsid w:val="00115201"/>
    <w:rsid w:val="00121069"/>
    <w:rsid w:val="001304D1"/>
    <w:rsid w:val="001317C6"/>
    <w:rsid w:val="00133E22"/>
    <w:rsid w:val="00143C6F"/>
    <w:rsid w:val="00144CFD"/>
    <w:rsid w:val="00145B1C"/>
    <w:rsid w:val="00160BFF"/>
    <w:rsid w:val="00161BB0"/>
    <w:rsid w:val="00171651"/>
    <w:rsid w:val="00173EF5"/>
    <w:rsid w:val="00184C95"/>
    <w:rsid w:val="00190D8B"/>
    <w:rsid w:val="001920D2"/>
    <w:rsid w:val="0019230C"/>
    <w:rsid w:val="00193D99"/>
    <w:rsid w:val="001A381C"/>
    <w:rsid w:val="001B32AD"/>
    <w:rsid w:val="001B39F6"/>
    <w:rsid w:val="001B759A"/>
    <w:rsid w:val="001C0FFA"/>
    <w:rsid w:val="001C3E85"/>
    <w:rsid w:val="001C5DE5"/>
    <w:rsid w:val="001C7176"/>
    <w:rsid w:val="001C7282"/>
    <w:rsid w:val="001D69AD"/>
    <w:rsid w:val="001D7511"/>
    <w:rsid w:val="001E4A61"/>
    <w:rsid w:val="001E5AEA"/>
    <w:rsid w:val="001F1784"/>
    <w:rsid w:val="001F43F1"/>
    <w:rsid w:val="001F4F6D"/>
    <w:rsid w:val="001F4F75"/>
    <w:rsid w:val="00203E83"/>
    <w:rsid w:val="00206914"/>
    <w:rsid w:val="00206A9E"/>
    <w:rsid w:val="00211483"/>
    <w:rsid w:val="0021218B"/>
    <w:rsid w:val="00212511"/>
    <w:rsid w:val="00212807"/>
    <w:rsid w:val="002139CC"/>
    <w:rsid w:val="00214D1E"/>
    <w:rsid w:val="00215E96"/>
    <w:rsid w:val="00221622"/>
    <w:rsid w:val="002221A8"/>
    <w:rsid w:val="00225328"/>
    <w:rsid w:val="00231614"/>
    <w:rsid w:val="00232E68"/>
    <w:rsid w:val="00233B78"/>
    <w:rsid w:val="00235B56"/>
    <w:rsid w:val="0023660A"/>
    <w:rsid w:val="00240002"/>
    <w:rsid w:val="00240AB9"/>
    <w:rsid w:val="002561C9"/>
    <w:rsid w:val="002614FD"/>
    <w:rsid w:val="00261E16"/>
    <w:rsid w:val="00261E22"/>
    <w:rsid w:val="002658AA"/>
    <w:rsid w:val="00277461"/>
    <w:rsid w:val="002776BB"/>
    <w:rsid w:val="00296B5E"/>
    <w:rsid w:val="002A0B7C"/>
    <w:rsid w:val="002A5599"/>
    <w:rsid w:val="002A7E4A"/>
    <w:rsid w:val="002B05FE"/>
    <w:rsid w:val="002B1DAB"/>
    <w:rsid w:val="002B5D7E"/>
    <w:rsid w:val="002B7FA6"/>
    <w:rsid w:val="002C037A"/>
    <w:rsid w:val="002C473A"/>
    <w:rsid w:val="002C537A"/>
    <w:rsid w:val="002C5FB4"/>
    <w:rsid w:val="002C6972"/>
    <w:rsid w:val="002D09AA"/>
    <w:rsid w:val="002D0D28"/>
    <w:rsid w:val="002D1CAF"/>
    <w:rsid w:val="002D1E6B"/>
    <w:rsid w:val="002D4442"/>
    <w:rsid w:val="002D4F3A"/>
    <w:rsid w:val="002D702E"/>
    <w:rsid w:val="002E10C5"/>
    <w:rsid w:val="002E36FB"/>
    <w:rsid w:val="002E75B3"/>
    <w:rsid w:val="0031086C"/>
    <w:rsid w:val="00315A7E"/>
    <w:rsid w:val="003169DD"/>
    <w:rsid w:val="00316E79"/>
    <w:rsid w:val="00322493"/>
    <w:rsid w:val="00323EAE"/>
    <w:rsid w:val="00331F28"/>
    <w:rsid w:val="003352BF"/>
    <w:rsid w:val="0033755D"/>
    <w:rsid w:val="00344E7F"/>
    <w:rsid w:val="0034591A"/>
    <w:rsid w:val="00350B7D"/>
    <w:rsid w:val="00353341"/>
    <w:rsid w:val="0035688A"/>
    <w:rsid w:val="00361E47"/>
    <w:rsid w:val="0036281B"/>
    <w:rsid w:val="00363508"/>
    <w:rsid w:val="003725EE"/>
    <w:rsid w:val="003864AD"/>
    <w:rsid w:val="003871A8"/>
    <w:rsid w:val="003976C1"/>
    <w:rsid w:val="003A1211"/>
    <w:rsid w:val="003B4626"/>
    <w:rsid w:val="003B6809"/>
    <w:rsid w:val="003B741B"/>
    <w:rsid w:val="003C07FB"/>
    <w:rsid w:val="003C0C33"/>
    <w:rsid w:val="003C6B2F"/>
    <w:rsid w:val="003E6071"/>
    <w:rsid w:val="003E657B"/>
    <w:rsid w:val="003E67A8"/>
    <w:rsid w:val="003F0287"/>
    <w:rsid w:val="003F3237"/>
    <w:rsid w:val="003F39E1"/>
    <w:rsid w:val="003F4050"/>
    <w:rsid w:val="003F5E9A"/>
    <w:rsid w:val="00404305"/>
    <w:rsid w:val="004043F7"/>
    <w:rsid w:val="00405229"/>
    <w:rsid w:val="00407E33"/>
    <w:rsid w:val="004116A7"/>
    <w:rsid w:val="0041384E"/>
    <w:rsid w:val="00413CB5"/>
    <w:rsid w:val="00414A46"/>
    <w:rsid w:val="004155BE"/>
    <w:rsid w:val="004156C6"/>
    <w:rsid w:val="00415EB0"/>
    <w:rsid w:val="00416CD7"/>
    <w:rsid w:val="004203C3"/>
    <w:rsid w:val="00426FAD"/>
    <w:rsid w:val="004319B7"/>
    <w:rsid w:val="00434FFF"/>
    <w:rsid w:val="00435B09"/>
    <w:rsid w:val="004466A5"/>
    <w:rsid w:val="00451D88"/>
    <w:rsid w:val="00453EF6"/>
    <w:rsid w:val="00454AEC"/>
    <w:rsid w:val="00454BE1"/>
    <w:rsid w:val="004557A9"/>
    <w:rsid w:val="00457A76"/>
    <w:rsid w:val="00472E99"/>
    <w:rsid w:val="004749DC"/>
    <w:rsid w:val="00476BEA"/>
    <w:rsid w:val="00477922"/>
    <w:rsid w:val="00480261"/>
    <w:rsid w:val="00481DB3"/>
    <w:rsid w:val="00484966"/>
    <w:rsid w:val="00486B4E"/>
    <w:rsid w:val="00487960"/>
    <w:rsid w:val="004918AD"/>
    <w:rsid w:val="004920DF"/>
    <w:rsid w:val="00497D53"/>
    <w:rsid w:val="004A0806"/>
    <w:rsid w:val="004A5151"/>
    <w:rsid w:val="004A5ED9"/>
    <w:rsid w:val="004B62E1"/>
    <w:rsid w:val="004C6401"/>
    <w:rsid w:val="004C664C"/>
    <w:rsid w:val="004C6934"/>
    <w:rsid w:val="004D177B"/>
    <w:rsid w:val="004D1D81"/>
    <w:rsid w:val="004D2749"/>
    <w:rsid w:val="004D2869"/>
    <w:rsid w:val="004D4BAC"/>
    <w:rsid w:val="004E09DD"/>
    <w:rsid w:val="004E341A"/>
    <w:rsid w:val="004E4BBA"/>
    <w:rsid w:val="004F14FD"/>
    <w:rsid w:val="004F3A40"/>
    <w:rsid w:val="0050355D"/>
    <w:rsid w:val="005101C4"/>
    <w:rsid w:val="005109D8"/>
    <w:rsid w:val="00511D3E"/>
    <w:rsid w:val="00514A2F"/>
    <w:rsid w:val="0052303A"/>
    <w:rsid w:val="00524CBB"/>
    <w:rsid w:val="0052651A"/>
    <w:rsid w:val="005276DB"/>
    <w:rsid w:val="00530642"/>
    <w:rsid w:val="00532AFB"/>
    <w:rsid w:val="00547DB3"/>
    <w:rsid w:val="005529F8"/>
    <w:rsid w:val="00552A89"/>
    <w:rsid w:val="00557175"/>
    <w:rsid w:val="0056368B"/>
    <w:rsid w:val="005647A7"/>
    <w:rsid w:val="005753B0"/>
    <w:rsid w:val="00590D6A"/>
    <w:rsid w:val="00595E54"/>
    <w:rsid w:val="00596868"/>
    <w:rsid w:val="005B4D68"/>
    <w:rsid w:val="005B5D1D"/>
    <w:rsid w:val="005C1C77"/>
    <w:rsid w:val="005C41E8"/>
    <w:rsid w:val="005C5323"/>
    <w:rsid w:val="005D32B3"/>
    <w:rsid w:val="005D5C84"/>
    <w:rsid w:val="005E674D"/>
    <w:rsid w:val="005E799C"/>
    <w:rsid w:val="005F10D9"/>
    <w:rsid w:val="00600F15"/>
    <w:rsid w:val="00603766"/>
    <w:rsid w:val="00604A4A"/>
    <w:rsid w:val="00610E90"/>
    <w:rsid w:val="00610F3A"/>
    <w:rsid w:val="00616819"/>
    <w:rsid w:val="00620258"/>
    <w:rsid w:val="00621661"/>
    <w:rsid w:val="00621830"/>
    <w:rsid w:val="00633FDB"/>
    <w:rsid w:val="00635C15"/>
    <w:rsid w:val="006369F6"/>
    <w:rsid w:val="0063759A"/>
    <w:rsid w:val="006442F0"/>
    <w:rsid w:val="00647DE7"/>
    <w:rsid w:val="006517DB"/>
    <w:rsid w:val="00651B91"/>
    <w:rsid w:val="0066097F"/>
    <w:rsid w:val="006626CB"/>
    <w:rsid w:val="00662DC2"/>
    <w:rsid w:val="006708D3"/>
    <w:rsid w:val="00670E78"/>
    <w:rsid w:val="00674815"/>
    <w:rsid w:val="006749FC"/>
    <w:rsid w:val="00676966"/>
    <w:rsid w:val="006828AD"/>
    <w:rsid w:val="00682F39"/>
    <w:rsid w:val="006836D4"/>
    <w:rsid w:val="00685112"/>
    <w:rsid w:val="00693D24"/>
    <w:rsid w:val="0069548E"/>
    <w:rsid w:val="00696FA5"/>
    <w:rsid w:val="006974DB"/>
    <w:rsid w:val="006A2160"/>
    <w:rsid w:val="006A22C0"/>
    <w:rsid w:val="006A4AE1"/>
    <w:rsid w:val="006A57D8"/>
    <w:rsid w:val="006B4D86"/>
    <w:rsid w:val="006B610B"/>
    <w:rsid w:val="006B7862"/>
    <w:rsid w:val="006C0D6D"/>
    <w:rsid w:val="006C33F0"/>
    <w:rsid w:val="006C3AFC"/>
    <w:rsid w:val="006C59F0"/>
    <w:rsid w:val="006D0C29"/>
    <w:rsid w:val="006D1C03"/>
    <w:rsid w:val="006D3DEB"/>
    <w:rsid w:val="006D4CFE"/>
    <w:rsid w:val="006D53DC"/>
    <w:rsid w:val="006D5C35"/>
    <w:rsid w:val="006D5D30"/>
    <w:rsid w:val="006D6D2B"/>
    <w:rsid w:val="006F54EA"/>
    <w:rsid w:val="006F7D85"/>
    <w:rsid w:val="00701BE1"/>
    <w:rsid w:val="0070768F"/>
    <w:rsid w:val="00710EA0"/>
    <w:rsid w:val="00711359"/>
    <w:rsid w:val="007123B5"/>
    <w:rsid w:val="00715A98"/>
    <w:rsid w:val="007174C3"/>
    <w:rsid w:val="007176BA"/>
    <w:rsid w:val="00717A2D"/>
    <w:rsid w:val="00717D4C"/>
    <w:rsid w:val="007204D2"/>
    <w:rsid w:val="00725710"/>
    <w:rsid w:val="00725B0C"/>
    <w:rsid w:val="0072628E"/>
    <w:rsid w:val="00726C66"/>
    <w:rsid w:val="00730885"/>
    <w:rsid w:val="00730B02"/>
    <w:rsid w:val="00732862"/>
    <w:rsid w:val="007356D1"/>
    <w:rsid w:val="00747D97"/>
    <w:rsid w:val="007504D3"/>
    <w:rsid w:val="007522A0"/>
    <w:rsid w:val="007535B6"/>
    <w:rsid w:val="00753FFC"/>
    <w:rsid w:val="007546C1"/>
    <w:rsid w:val="00754747"/>
    <w:rsid w:val="007559A9"/>
    <w:rsid w:val="00755FC8"/>
    <w:rsid w:val="00761980"/>
    <w:rsid w:val="00764DEA"/>
    <w:rsid w:val="00765E5D"/>
    <w:rsid w:val="0076635A"/>
    <w:rsid w:val="00772035"/>
    <w:rsid w:val="0077247C"/>
    <w:rsid w:val="00776F2F"/>
    <w:rsid w:val="00777DE6"/>
    <w:rsid w:val="00783D69"/>
    <w:rsid w:val="00787974"/>
    <w:rsid w:val="00791420"/>
    <w:rsid w:val="007A0AFF"/>
    <w:rsid w:val="007A2EAF"/>
    <w:rsid w:val="007A3BCD"/>
    <w:rsid w:val="007A5C48"/>
    <w:rsid w:val="007B2D7F"/>
    <w:rsid w:val="007B64AF"/>
    <w:rsid w:val="007C3926"/>
    <w:rsid w:val="007C4D99"/>
    <w:rsid w:val="007D0CA3"/>
    <w:rsid w:val="007D30EF"/>
    <w:rsid w:val="007D7918"/>
    <w:rsid w:val="007E43AF"/>
    <w:rsid w:val="007E5AD3"/>
    <w:rsid w:val="007F0888"/>
    <w:rsid w:val="007F0EAF"/>
    <w:rsid w:val="007F17DC"/>
    <w:rsid w:val="007F4A74"/>
    <w:rsid w:val="007F6931"/>
    <w:rsid w:val="007F78BD"/>
    <w:rsid w:val="008018C8"/>
    <w:rsid w:val="00806E9D"/>
    <w:rsid w:val="00807C00"/>
    <w:rsid w:val="00807FFE"/>
    <w:rsid w:val="0081015C"/>
    <w:rsid w:val="008306F2"/>
    <w:rsid w:val="0083179F"/>
    <w:rsid w:val="00833739"/>
    <w:rsid w:val="00835F7B"/>
    <w:rsid w:val="00837CB5"/>
    <w:rsid w:val="008453A3"/>
    <w:rsid w:val="008459E9"/>
    <w:rsid w:val="00847862"/>
    <w:rsid w:val="00852057"/>
    <w:rsid w:val="00855B02"/>
    <w:rsid w:val="00855D79"/>
    <w:rsid w:val="00856284"/>
    <w:rsid w:val="008566D1"/>
    <w:rsid w:val="008655C8"/>
    <w:rsid w:val="008661AB"/>
    <w:rsid w:val="00880934"/>
    <w:rsid w:val="00884D64"/>
    <w:rsid w:val="00887FE4"/>
    <w:rsid w:val="00890BAB"/>
    <w:rsid w:val="00893429"/>
    <w:rsid w:val="0089431F"/>
    <w:rsid w:val="008A1458"/>
    <w:rsid w:val="008A1C2B"/>
    <w:rsid w:val="008A2469"/>
    <w:rsid w:val="008A512D"/>
    <w:rsid w:val="008A6398"/>
    <w:rsid w:val="008B297D"/>
    <w:rsid w:val="008B2B2C"/>
    <w:rsid w:val="008B6514"/>
    <w:rsid w:val="008B7164"/>
    <w:rsid w:val="008B7C7A"/>
    <w:rsid w:val="008C5651"/>
    <w:rsid w:val="008C599A"/>
    <w:rsid w:val="008D0691"/>
    <w:rsid w:val="008D18DF"/>
    <w:rsid w:val="008D32FA"/>
    <w:rsid w:val="008D6235"/>
    <w:rsid w:val="008E0F3D"/>
    <w:rsid w:val="008E3C25"/>
    <w:rsid w:val="008E6199"/>
    <w:rsid w:val="008E7B61"/>
    <w:rsid w:val="008F0FE7"/>
    <w:rsid w:val="008F2E25"/>
    <w:rsid w:val="008F5543"/>
    <w:rsid w:val="008F5D56"/>
    <w:rsid w:val="00900EAD"/>
    <w:rsid w:val="0090212F"/>
    <w:rsid w:val="009067F3"/>
    <w:rsid w:val="009104BD"/>
    <w:rsid w:val="009143CD"/>
    <w:rsid w:val="009155BA"/>
    <w:rsid w:val="00915924"/>
    <w:rsid w:val="009268DD"/>
    <w:rsid w:val="00935457"/>
    <w:rsid w:val="00937776"/>
    <w:rsid w:val="009404A5"/>
    <w:rsid w:val="009422F7"/>
    <w:rsid w:val="00943CD6"/>
    <w:rsid w:val="00945214"/>
    <w:rsid w:val="00946639"/>
    <w:rsid w:val="00947D5E"/>
    <w:rsid w:val="00950728"/>
    <w:rsid w:val="0095327D"/>
    <w:rsid w:val="00957907"/>
    <w:rsid w:val="00961850"/>
    <w:rsid w:val="00963E70"/>
    <w:rsid w:val="00964234"/>
    <w:rsid w:val="00964E02"/>
    <w:rsid w:val="00965891"/>
    <w:rsid w:val="00967481"/>
    <w:rsid w:val="009703B3"/>
    <w:rsid w:val="00971674"/>
    <w:rsid w:val="00973DC4"/>
    <w:rsid w:val="00973EDD"/>
    <w:rsid w:val="00975396"/>
    <w:rsid w:val="009754E6"/>
    <w:rsid w:val="009759B3"/>
    <w:rsid w:val="0098308F"/>
    <w:rsid w:val="00987398"/>
    <w:rsid w:val="00990B90"/>
    <w:rsid w:val="0099270A"/>
    <w:rsid w:val="00993B6E"/>
    <w:rsid w:val="009952FF"/>
    <w:rsid w:val="00997503"/>
    <w:rsid w:val="009B57F9"/>
    <w:rsid w:val="009B6670"/>
    <w:rsid w:val="009B6C68"/>
    <w:rsid w:val="009C0DDE"/>
    <w:rsid w:val="009C1799"/>
    <w:rsid w:val="009C2BA9"/>
    <w:rsid w:val="009C334F"/>
    <w:rsid w:val="009D1225"/>
    <w:rsid w:val="009D3572"/>
    <w:rsid w:val="009D7A52"/>
    <w:rsid w:val="009E023F"/>
    <w:rsid w:val="009E06A6"/>
    <w:rsid w:val="009E4A82"/>
    <w:rsid w:val="009E5A58"/>
    <w:rsid w:val="009E64A4"/>
    <w:rsid w:val="00A02482"/>
    <w:rsid w:val="00A03A77"/>
    <w:rsid w:val="00A050A0"/>
    <w:rsid w:val="00A079EA"/>
    <w:rsid w:val="00A14B24"/>
    <w:rsid w:val="00A14D2F"/>
    <w:rsid w:val="00A2406E"/>
    <w:rsid w:val="00A25A6E"/>
    <w:rsid w:val="00A278F4"/>
    <w:rsid w:val="00A3071B"/>
    <w:rsid w:val="00A378D8"/>
    <w:rsid w:val="00A43847"/>
    <w:rsid w:val="00A46E9D"/>
    <w:rsid w:val="00A51E6E"/>
    <w:rsid w:val="00A52EED"/>
    <w:rsid w:val="00A53E93"/>
    <w:rsid w:val="00A53FD9"/>
    <w:rsid w:val="00A54390"/>
    <w:rsid w:val="00A55881"/>
    <w:rsid w:val="00A61DEF"/>
    <w:rsid w:val="00A7044F"/>
    <w:rsid w:val="00A736BC"/>
    <w:rsid w:val="00A7704F"/>
    <w:rsid w:val="00A7751B"/>
    <w:rsid w:val="00A77F0A"/>
    <w:rsid w:val="00A80B1F"/>
    <w:rsid w:val="00A82517"/>
    <w:rsid w:val="00A875D7"/>
    <w:rsid w:val="00A876FF"/>
    <w:rsid w:val="00A925AC"/>
    <w:rsid w:val="00A959AE"/>
    <w:rsid w:val="00AA2ABC"/>
    <w:rsid w:val="00AA3E95"/>
    <w:rsid w:val="00AA5242"/>
    <w:rsid w:val="00AB2909"/>
    <w:rsid w:val="00AB30CF"/>
    <w:rsid w:val="00AC2543"/>
    <w:rsid w:val="00AC2C03"/>
    <w:rsid w:val="00AD1000"/>
    <w:rsid w:val="00AD21CB"/>
    <w:rsid w:val="00AD4432"/>
    <w:rsid w:val="00AD6356"/>
    <w:rsid w:val="00AD70AF"/>
    <w:rsid w:val="00AE0D95"/>
    <w:rsid w:val="00AE4B3F"/>
    <w:rsid w:val="00AE5D10"/>
    <w:rsid w:val="00AF0B2A"/>
    <w:rsid w:val="00AF5421"/>
    <w:rsid w:val="00AF5746"/>
    <w:rsid w:val="00B00F42"/>
    <w:rsid w:val="00B01E0D"/>
    <w:rsid w:val="00B03DFF"/>
    <w:rsid w:val="00B05886"/>
    <w:rsid w:val="00B11A0B"/>
    <w:rsid w:val="00B23FAE"/>
    <w:rsid w:val="00B24424"/>
    <w:rsid w:val="00B346A3"/>
    <w:rsid w:val="00B3773D"/>
    <w:rsid w:val="00B425F9"/>
    <w:rsid w:val="00B470F2"/>
    <w:rsid w:val="00B512F5"/>
    <w:rsid w:val="00B5130C"/>
    <w:rsid w:val="00B57425"/>
    <w:rsid w:val="00B655D6"/>
    <w:rsid w:val="00B6769F"/>
    <w:rsid w:val="00B70C1F"/>
    <w:rsid w:val="00B84725"/>
    <w:rsid w:val="00B855A4"/>
    <w:rsid w:val="00B879B9"/>
    <w:rsid w:val="00B907BE"/>
    <w:rsid w:val="00B91ABF"/>
    <w:rsid w:val="00B91C3E"/>
    <w:rsid w:val="00B94E05"/>
    <w:rsid w:val="00B95544"/>
    <w:rsid w:val="00B96B48"/>
    <w:rsid w:val="00BA0199"/>
    <w:rsid w:val="00BA11E0"/>
    <w:rsid w:val="00BA38D8"/>
    <w:rsid w:val="00BA5D8C"/>
    <w:rsid w:val="00BA603E"/>
    <w:rsid w:val="00BB4334"/>
    <w:rsid w:val="00BB6EC5"/>
    <w:rsid w:val="00BC0572"/>
    <w:rsid w:val="00BC2204"/>
    <w:rsid w:val="00BC40AB"/>
    <w:rsid w:val="00BC5A9C"/>
    <w:rsid w:val="00BC7D61"/>
    <w:rsid w:val="00BD0649"/>
    <w:rsid w:val="00BD15AE"/>
    <w:rsid w:val="00BD1C19"/>
    <w:rsid w:val="00BD52AF"/>
    <w:rsid w:val="00BD598B"/>
    <w:rsid w:val="00BD73F0"/>
    <w:rsid w:val="00BE10FF"/>
    <w:rsid w:val="00BE2802"/>
    <w:rsid w:val="00BE5D7D"/>
    <w:rsid w:val="00BE7439"/>
    <w:rsid w:val="00BF012C"/>
    <w:rsid w:val="00BF0A5A"/>
    <w:rsid w:val="00BF647D"/>
    <w:rsid w:val="00BF7BC3"/>
    <w:rsid w:val="00C01E6A"/>
    <w:rsid w:val="00C05685"/>
    <w:rsid w:val="00C05D90"/>
    <w:rsid w:val="00C05DD1"/>
    <w:rsid w:val="00C1354A"/>
    <w:rsid w:val="00C13FD7"/>
    <w:rsid w:val="00C15CAA"/>
    <w:rsid w:val="00C17C22"/>
    <w:rsid w:val="00C264B1"/>
    <w:rsid w:val="00C305B3"/>
    <w:rsid w:val="00C32CFD"/>
    <w:rsid w:val="00C3636C"/>
    <w:rsid w:val="00C4043C"/>
    <w:rsid w:val="00C42128"/>
    <w:rsid w:val="00C43E74"/>
    <w:rsid w:val="00C53631"/>
    <w:rsid w:val="00C57B77"/>
    <w:rsid w:val="00C7371B"/>
    <w:rsid w:val="00C73BD4"/>
    <w:rsid w:val="00C73C94"/>
    <w:rsid w:val="00C7783E"/>
    <w:rsid w:val="00C809E7"/>
    <w:rsid w:val="00C83CC5"/>
    <w:rsid w:val="00C848E6"/>
    <w:rsid w:val="00C86D18"/>
    <w:rsid w:val="00C915D2"/>
    <w:rsid w:val="00CA4865"/>
    <w:rsid w:val="00CB1B12"/>
    <w:rsid w:val="00CB1FBC"/>
    <w:rsid w:val="00CC18BE"/>
    <w:rsid w:val="00CC1CA7"/>
    <w:rsid w:val="00CC1EE4"/>
    <w:rsid w:val="00CD4E62"/>
    <w:rsid w:val="00CD517A"/>
    <w:rsid w:val="00CD5486"/>
    <w:rsid w:val="00CD79DC"/>
    <w:rsid w:val="00CE10A8"/>
    <w:rsid w:val="00CE2452"/>
    <w:rsid w:val="00CE50EF"/>
    <w:rsid w:val="00CE766C"/>
    <w:rsid w:val="00CF2F59"/>
    <w:rsid w:val="00CF444E"/>
    <w:rsid w:val="00CF4DC4"/>
    <w:rsid w:val="00CF5BDF"/>
    <w:rsid w:val="00D0087E"/>
    <w:rsid w:val="00D13D50"/>
    <w:rsid w:val="00D24627"/>
    <w:rsid w:val="00D2480A"/>
    <w:rsid w:val="00D24896"/>
    <w:rsid w:val="00D30E4E"/>
    <w:rsid w:val="00D32C5E"/>
    <w:rsid w:val="00D356A0"/>
    <w:rsid w:val="00D3623C"/>
    <w:rsid w:val="00D474AF"/>
    <w:rsid w:val="00D50808"/>
    <w:rsid w:val="00D51E7D"/>
    <w:rsid w:val="00D55919"/>
    <w:rsid w:val="00D55DC5"/>
    <w:rsid w:val="00D57EAA"/>
    <w:rsid w:val="00D60B22"/>
    <w:rsid w:val="00D61AEF"/>
    <w:rsid w:val="00D61E3E"/>
    <w:rsid w:val="00D6282E"/>
    <w:rsid w:val="00D66EAB"/>
    <w:rsid w:val="00D705CF"/>
    <w:rsid w:val="00D74148"/>
    <w:rsid w:val="00D76F9A"/>
    <w:rsid w:val="00D80C51"/>
    <w:rsid w:val="00D82100"/>
    <w:rsid w:val="00D90323"/>
    <w:rsid w:val="00D91DB2"/>
    <w:rsid w:val="00D93CAF"/>
    <w:rsid w:val="00D942DD"/>
    <w:rsid w:val="00D961C9"/>
    <w:rsid w:val="00DA256C"/>
    <w:rsid w:val="00DA4F7E"/>
    <w:rsid w:val="00DB30D5"/>
    <w:rsid w:val="00DB71E5"/>
    <w:rsid w:val="00DC4DBC"/>
    <w:rsid w:val="00DC4F69"/>
    <w:rsid w:val="00DC660B"/>
    <w:rsid w:val="00DD1058"/>
    <w:rsid w:val="00DD24CD"/>
    <w:rsid w:val="00DD3F28"/>
    <w:rsid w:val="00DD470B"/>
    <w:rsid w:val="00DE1ED8"/>
    <w:rsid w:val="00DF37DE"/>
    <w:rsid w:val="00DF43AC"/>
    <w:rsid w:val="00DF5450"/>
    <w:rsid w:val="00E0000C"/>
    <w:rsid w:val="00E001D7"/>
    <w:rsid w:val="00E008B5"/>
    <w:rsid w:val="00E02C27"/>
    <w:rsid w:val="00E02D87"/>
    <w:rsid w:val="00E039B3"/>
    <w:rsid w:val="00E120FD"/>
    <w:rsid w:val="00E12F31"/>
    <w:rsid w:val="00E1496F"/>
    <w:rsid w:val="00E20D20"/>
    <w:rsid w:val="00E22138"/>
    <w:rsid w:val="00E25051"/>
    <w:rsid w:val="00E25E08"/>
    <w:rsid w:val="00E274FC"/>
    <w:rsid w:val="00E34CC9"/>
    <w:rsid w:val="00E3512D"/>
    <w:rsid w:val="00E355D6"/>
    <w:rsid w:val="00E35D7C"/>
    <w:rsid w:val="00E411F3"/>
    <w:rsid w:val="00E417F3"/>
    <w:rsid w:val="00E41F2B"/>
    <w:rsid w:val="00E43296"/>
    <w:rsid w:val="00E4360C"/>
    <w:rsid w:val="00E451F0"/>
    <w:rsid w:val="00E52142"/>
    <w:rsid w:val="00E547E8"/>
    <w:rsid w:val="00E65717"/>
    <w:rsid w:val="00E66E0E"/>
    <w:rsid w:val="00E709B6"/>
    <w:rsid w:val="00E71DD7"/>
    <w:rsid w:val="00E72930"/>
    <w:rsid w:val="00E74DFC"/>
    <w:rsid w:val="00E7679B"/>
    <w:rsid w:val="00E803F9"/>
    <w:rsid w:val="00E80A5E"/>
    <w:rsid w:val="00E862AC"/>
    <w:rsid w:val="00E872B4"/>
    <w:rsid w:val="00E91CD5"/>
    <w:rsid w:val="00E96407"/>
    <w:rsid w:val="00E97346"/>
    <w:rsid w:val="00EA03A9"/>
    <w:rsid w:val="00EA3044"/>
    <w:rsid w:val="00EA56AC"/>
    <w:rsid w:val="00EA6C20"/>
    <w:rsid w:val="00EB0E1E"/>
    <w:rsid w:val="00EB1DD3"/>
    <w:rsid w:val="00EB44FD"/>
    <w:rsid w:val="00EC3992"/>
    <w:rsid w:val="00EC3EF0"/>
    <w:rsid w:val="00EC4CFD"/>
    <w:rsid w:val="00ED4FC0"/>
    <w:rsid w:val="00ED517C"/>
    <w:rsid w:val="00EE48ED"/>
    <w:rsid w:val="00EE49D1"/>
    <w:rsid w:val="00EE677C"/>
    <w:rsid w:val="00EE727D"/>
    <w:rsid w:val="00EF2EB3"/>
    <w:rsid w:val="00EF5BC7"/>
    <w:rsid w:val="00F00937"/>
    <w:rsid w:val="00F05097"/>
    <w:rsid w:val="00F10B6B"/>
    <w:rsid w:val="00F11548"/>
    <w:rsid w:val="00F11B03"/>
    <w:rsid w:val="00F1314F"/>
    <w:rsid w:val="00F134C2"/>
    <w:rsid w:val="00F1541A"/>
    <w:rsid w:val="00F211C4"/>
    <w:rsid w:val="00F26057"/>
    <w:rsid w:val="00F431BF"/>
    <w:rsid w:val="00F44177"/>
    <w:rsid w:val="00F454B6"/>
    <w:rsid w:val="00F46AF0"/>
    <w:rsid w:val="00F530B1"/>
    <w:rsid w:val="00F55353"/>
    <w:rsid w:val="00F56C87"/>
    <w:rsid w:val="00F56FC8"/>
    <w:rsid w:val="00F61946"/>
    <w:rsid w:val="00F61ADC"/>
    <w:rsid w:val="00F624B6"/>
    <w:rsid w:val="00F62C77"/>
    <w:rsid w:val="00F660EF"/>
    <w:rsid w:val="00F707FE"/>
    <w:rsid w:val="00F72547"/>
    <w:rsid w:val="00F74C04"/>
    <w:rsid w:val="00F761DB"/>
    <w:rsid w:val="00F7658E"/>
    <w:rsid w:val="00F82320"/>
    <w:rsid w:val="00F844D9"/>
    <w:rsid w:val="00F84F4B"/>
    <w:rsid w:val="00F85C5E"/>
    <w:rsid w:val="00F86B28"/>
    <w:rsid w:val="00F9458C"/>
    <w:rsid w:val="00F9536D"/>
    <w:rsid w:val="00FA1D13"/>
    <w:rsid w:val="00FA4598"/>
    <w:rsid w:val="00FA4F50"/>
    <w:rsid w:val="00FA7A89"/>
    <w:rsid w:val="00FB4CDB"/>
    <w:rsid w:val="00FB6DA5"/>
    <w:rsid w:val="00FC41DA"/>
    <w:rsid w:val="00FC46C6"/>
    <w:rsid w:val="00FC7E93"/>
    <w:rsid w:val="00FD18E0"/>
    <w:rsid w:val="00FE4D9D"/>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0DD3098"/>
  <w15:chartTrackingRefBased/>
  <w15:docId w15:val="{2121A515-CDCD-44A6-A4A3-C6FFC0D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2D"/>
  </w:style>
  <w:style w:type="paragraph" w:styleId="Heading1">
    <w:name w:val="heading 1"/>
    <w:basedOn w:val="Normal"/>
    <w:next w:val="Normal"/>
    <w:link w:val="Heading1Char"/>
    <w:qFormat/>
    <w:rsid w:val="00730885"/>
    <w:pPr>
      <w:keepNext/>
      <w:keepLines/>
      <w:spacing w:before="240" w:after="0"/>
      <w:outlineLvl w:val="0"/>
    </w:pPr>
    <w:rPr>
      <w:rFonts w:asciiTheme="majorHAnsi" w:eastAsiaTheme="majorEastAsia" w:hAnsiTheme="majorHAnsi" w:cstheme="majorBidi"/>
      <w:color w:val="68825A" w:themeColor="accent1" w:themeShade="BF"/>
      <w:sz w:val="32"/>
      <w:szCs w:val="32"/>
    </w:rPr>
  </w:style>
  <w:style w:type="paragraph" w:styleId="Heading2">
    <w:name w:val="heading 2"/>
    <w:basedOn w:val="Normal"/>
    <w:next w:val="Normal"/>
    <w:link w:val="Heading2Char"/>
    <w:unhideWhenUsed/>
    <w:qFormat/>
    <w:rsid w:val="00730885"/>
    <w:pPr>
      <w:keepNext/>
      <w:keepLines/>
      <w:spacing w:before="40" w:after="0"/>
      <w:outlineLvl w:val="1"/>
    </w:pPr>
    <w:rPr>
      <w:rFonts w:asciiTheme="majorHAnsi" w:eastAsiaTheme="majorEastAsia" w:hAnsiTheme="majorHAnsi" w:cstheme="majorBidi"/>
      <w:color w:val="68825A" w:themeColor="accent1" w:themeShade="BF"/>
      <w:sz w:val="26"/>
      <w:szCs w:val="26"/>
    </w:rPr>
  </w:style>
  <w:style w:type="paragraph" w:styleId="Heading3">
    <w:name w:val="heading 3"/>
    <w:basedOn w:val="Normal"/>
    <w:next w:val="Normal"/>
    <w:link w:val="Heading3Char"/>
    <w:uiPriority w:val="9"/>
    <w:unhideWhenUsed/>
    <w:qFormat/>
    <w:rsid w:val="00730885"/>
    <w:pPr>
      <w:keepNext/>
      <w:keepLines/>
      <w:spacing w:before="40" w:after="0"/>
      <w:outlineLvl w:val="2"/>
    </w:pPr>
    <w:rPr>
      <w:rFonts w:asciiTheme="majorHAnsi" w:eastAsiaTheme="majorEastAsia" w:hAnsiTheme="majorHAnsi" w:cstheme="majorBidi"/>
      <w:color w:val="45563C" w:themeColor="accent1" w:themeShade="7F"/>
      <w:sz w:val="24"/>
      <w:szCs w:val="24"/>
    </w:rPr>
  </w:style>
  <w:style w:type="paragraph" w:styleId="Heading4">
    <w:name w:val="heading 4"/>
    <w:basedOn w:val="Normal"/>
    <w:next w:val="Normal"/>
    <w:link w:val="Heading4Char"/>
    <w:semiHidden/>
    <w:unhideWhenUsed/>
    <w:qFormat/>
    <w:rsid w:val="00DA256C"/>
    <w:pPr>
      <w:keepNext/>
      <w:keepLines/>
      <w:spacing w:before="40" w:after="0"/>
      <w:outlineLvl w:val="3"/>
    </w:pPr>
    <w:rPr>
      <w:rFonts w:asciiTheme="majorHAnsi" w:eastAsiaTheme="majorEastAsia" w:hAnsiTheme="majorHAnsi" w:cstheme="majorBidi"/>
      <w:i/>
      <w:iCs/>
      <w:color w:val="68825A" w:themeColor="accent1" w:themeShade="BF"/>
    </w:rPr>
  </w:style>
  <w:style w:type="paragraph" w:styleId="Heading5">
    <w:name w:val="heading 5"/>
    <w:basedOn w:val="Heading4"/>
    <w:next w:val="BodyText"/>
    <w:link w:val="Heading5Char"/>
    <w:semiHidden/>
    <w:unhideWhenUsed/>
    <w:qFormat/>
    <w:rsid w:val="0089431F"/>
    <w:pPr>
      <w:spacing w:before="0" w:after="240" w:line="240" w:lineRule="auto"/>
      <w:ind w:left="1296" w:hanging="1296"/>
      <w:outlineLvl w:val="4"/>
    </w:pPr>
    <w:rPr>
      <w:color w:val="auto"/>
      <w:sz w:val="24"/>
      <w:szCs w:val="24"/>
      <w:lang w:eastAsia="ja-JP"/>
    </w:rPr>
  </w:style>
  <w:style w:type="paragraph" w:styleId="Heading6">
    <w:name w:val="heading 6"/>
    <w:basedOn w:val="Normal"/>
    <w:next w:val="Normal"/>
    <w:link w:val="Heading6Char"/>
    <w:semiHidden/>
    <w:unhideWhenUsed/>
    <w:qFormat/>
    <w:rsid w:val="00E72930"/>
    <w:pPr>
      <w:keepNext/>
      <w:keepLines/>
      <w:spacing w:before="40" w:after="0"/>
      <w:outlineLvl w:val="5"/>
    </w:pPr>
    <w:rPr>
      <w:rFonts w:asciiTheme="majorHAnsi" w:eastAsiaTheme="majorEastAsia" w:hAnsiTheme="majorHAnsi" w:cstheme="majorBidi"/>
      <w:color w:val="45563C" w:themeColor="accent1" w:themeShade="7F"/>
    </w:rPr>
  </w:style>
  <w:style w:type="paragraph" w:styleId="Heading7">
    <w:name w:val="heading 7"/>
    <w:basedOn w:val="Normal"/>
    <w:next w:val="BodyText"/>
    <w:link w:val="Heading7Char"/>
    <w:semiHidden/>
    <w:unhideWhenUsed/>
    <w:qFormat/>
    <w:rsid w:val="0089431F"/>
    <w:pPr>
      <w:keepNext/>
      <w:keepLines/>
      <w:spacing w:before="200" w:after="0" w:line="240" w:lineRule="auto"/>
      <w:ind w:left="1296" w:hanging="1296"/>
      <w:outlineLvl w:val="6"/>
    </w:pPr>
    <w:rPr>
      <w:rFonts w:asciiTheme="majorHAnsi" w:eastAsiaTheme="majorEastAsia" w:hAnsiTheme="majorHAnsi" w:cstheme="majorBidi"/>
      <w:iCs/>
      <w:sz w:val="24"/>
      <w:szCs w:val="24"/>
      <w:lang w:eastAsia="ja-JP"/>
    </w:rPr>
  </w:style>
  <w:style w:type="paragraph" w:styleId="Heading8">
    <w:name w:val="heading 8"/>
    <w:basedOn w:val="Normal"/>
    <w:next w:val="BodyText"/>
    <w:link w:val="Heading8Char"/>
    <w:semiHidden/>
    <w:unhideWhenUsed/>
    <w:qFormat/>
    <w:rsid w:val="0089431F"/>
    <w:pPr>
      <w:keepNext/>
      <w:keepLines/>
      <w:spacing w:before="200" w:after="0" w:line="240" w:lineRule="auto"/>
      <w:ind w:left="1296" w:hanging="1296"/>
      <w:outlineLvl w:val="7"/>
    </w:pPr>
    <w:rPr>
      <w:rFonts w:asciiTheme="majorHAnsi" w:eastAsiaTheme="majorEastAsia" w:hAnsiTheme="majorHAnsi" w:cstheme="majorBidi"/>
      <w:sz w:val="20"/>
      <w:szCs w:val="24"/>
      <w:lang w:eastAsia="ja-JP"/>
    </w:rPr>
  </w:style>
  <w:style w:type="paragraph" w:styleId="Heading9">
    <w:name w:val="heading 9"/>
    <w:basedOn w:val="Normal"/>
    <w:next w:val="BodyText"/>
    <w:link w:val="Heading9Char"/>
    <w:semiHidden/>
    <w:unhideWhenUsed/>
    <w:qFormat/>
    <w:rsid w:val="0089431F"/>
    <w:pPr>
      <w:keepNext/>
      <w:keepLines/>
      <w:spacing w:before="200" w:after="0" w:line="240" w:lineRule="auto"/>
      <w:ind w:left="1296" w:hanging="1296"/>
      <w:outlineLvl w:val="8"/>
    </w:pPr>
    <w:rPr>
      <w:rFonts w:asciiTheme="majorHAnsi" w:eastAsiaTheme="majorEastAsia" w:hAnsiTheme="majorHAnsi" w:cstheme="majorBidi"/>
      <w:iCs/>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RCoverResearchReport">
    <w:name w:val="RR Cover Research Report"/>
    <w:basedOn w:val="Normal"/>
    <w:qFormat/>
    <w:rsid w:val="003C07FB"/>
    <w:pPr>
      <w:spacing w:after="0" w:line="276" w:lineRule="auto"/>
    </w:pPr>
    <w:rPr>
      <w:rFonts w:asciiTheme="majorHAnsi" w:hAnsiTheme="majorHAnsi"/>
      <w:caps/>
      <w:color w:val="727A7D" w:themeColor="accent3"/>
      <w:sz w:val="18"/>
    </w:rPr>
  </w:style>
  <w:style w:type="paragraph" w:customStyle="1" w:styleId="RRCoverTitle">
    <w:name w:val="RR Cover Title"/>
    <w:basedOn w:val="Normal"/>
    <w:qFormat/>
    <w:rsid w:val="007504D3"/>
    <w:pPr>
      <w:spacing w:after="120" w:line="276" w:lineRule="auto"/>
      <w:ind w:right="2520"/>
    </w:pPr>
    <w:rPr>
      <w:rFonts w:asciiTheme="majorHAnsi" w:hAnsiTheme="majorHAnsi"/>
      <w:color w:val="0081E3" w:themeColor="accent4"/>
      <w:sz w:val="60"/>
    </w:rPr>
  </w:style>
  <w:style w:type="paragraph" w:customStyle="1" w:styleId="RRCoverSubtitle">
    <w:name w:val="RR Cover Subtitle"/>
    <w:basedOn w:val="Normal"/>
    <w:qFormat/>
    <w:rsid w:val="007504D3"/>
    <w:pPr>
      <w:spacing w:before="120" w:after="120" w:line="276" w:lineRule="auto"/>
    </w:pPr>
    <w:rPr>
      <w:rFonts w:asciiTheme="majorHAnsi" w:hAnsiTheme="majorHAnsi"/>
      <w:color w:val="727A7D" w:themeColor="accent3"/>
      <w:sz w:val="32"/>
    </w:rPr>
  </w:style>
  <w:style w:type="paragraph" w:customStyle="1" w:styleId="RRCoverDate">
    <w:name w:val="RR Cover Date"/>
    <w:basedOn w:val="Normal"/>
    <w:qFormat/>
    <w:rsid w:val="007504D3"/>
    <w:pPr>
      <w:spacing w:before="240" w:after="360" w:line="276" w:lineRule="auto"/>
    </w:pPr>
    <w:rPr>
      <w:color w:val="727A7D" w:themeColor="accent3"/>
      <w:sz w:val="18"/>
    </w:rPr>
  </w:style>
  <w:style w:type="paragraph" w:customStyle="1" w:styleId="RRCoverAuthor">
    <w:name w:val="RR Cover Author"/>
    <w:basedOn w:val="Normal"/>
    <w:qFormat/>
    <w:rsid w:val="003C07FB"/>
    <w:pPr>
      <w:tabs>
        <w:tab w:val="left" w:pos="5040"/>
      </w:tabs>
      <w:spacing w:after="0" w:line="276" w:lineRule="auto"/>
    </w:pPr>
    <w:rPr>
      <w:color w:val="727A7D" w:themeColor="accent3"/>
      <w:sz w:val="18"/>
    </w:rPr>
  </w:style>
  <w:style w:type="paragraph" w:customStyle="1" w:styleId="RRObject">
    <w:name w:val="RR Object"/>
    <w:basedOn w:val="Normal"/>
    <w:qFormat/>
    <w:rsid w:val="00C7783E"/>
    <w:pPr>
      <w:spacing w:before="240" w:line="240" w:lineRule="auto"/>
    </w:pPr>
  </w:style>
  <w:style w:type="paragraph" w:styleId="Header">
    <w:name w:val="header"/>
    <w:basedOn w:val="Normal"/>
    <w:link w:val="HeaderChar"/>
    <w:uiPriority w:val="99"/>
    <w:unhideWhenUsed/>
    <w:rsid w:val="0061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90"/>
  </w:style>
  <w:style w:type="paragraph" w:styleId="Footer">
    <w:name w:val="footer"/>
    <w:basedOn w:val="Normal"/>
    <w:link w:val="FooterChar"/>
    <w:uiPriority w:val="99"/>
    <w:unhideWhenUsed/>
    <w:rsid w:val="0061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90"/>
  </w:style>
  <w:style w:type="paragraph" w:customStyle="1" w:styleId="RRHeader">
    <w:name w:val="RR Header"/>
    <w:basedOn w:val="Header"/>
    <w:qFormat/>
    <w:rsid w:val="00A925AC"/>
    <w:pPr>
      <w:spacing w:line="252" w:lineRule="auto"/>
    </w:pPr>
    <w:rPr>
      <w:caps/>
      <w:color w:val="C6C9CA" w:themeColor="accent2"/>
      <w:sz w:val="14"/>
    </w:rPr>
  </w:style>
  <w:style w:type="paragraph" w:customStyle="1" w:styleId="RRTOCHeader">
    <w:name w:val="RR TOC Header"/>
    <w:basedOn w:val="Normal"/>
    <w:qFormat/>
    <w:rsid w:val="006C3AFC"/>
    <w:pPr>
      <w:spacing w:before="220" w:after="115" w:line="240" w:lineRule="auto"/>
    </w:pPr>
    <w:rPr>
      <w:color w:val="0A4977" w:themeColor="text2"/>
      <w:sz w:val="28"/>
    </w:rPr>
  </w:style>
  <w:style w:type="paragraph" w:customStyle="1" w:styleId="RRHeader2">
    <w:name w:val="RR Header 2"/>
    <w:basedOn w:val="RRHeader"/>
    <w:qFormat/>
    <w:rsid w:val="004E09DD"/>
    <w:pPr>
      <w:tabs>
        <w:tab w:val="clear" w:pos="4680"/>
        <w:tab w:val="clear" w:pos="9360"/>
      </w:tabs>
      <w:ind w:left="-720" w:right="-513"/>
    </w:pPr>
  </w:style>
  <w:style w:type="paragraph" w:customStyle="1" w:styleId="RRFooter">
    <w:name w:val="RR Footer"/>
    <w:basedOn w:val="Footer"/>
    <w:qFormat/>
    <w:rsid w:val="002B1DAB"/>
    <w:pPr>
      <w:pBdr>
        <w:top w:val="single" w:sz="4" w:space="6" w:color="E8E9E9" w:themeColor="accent2" w:themeTint="66"/>
      </w:pBdr>
      <w:spacing w:line="276" w:lineRule="auto"/>
      <w:ind w:left="-720" w:right="-720"/>
    </w:pPr>
    <w:rPr>
      <w:color w:val="727A7D" w:themeColor="accent3"/>
      <w:sz w:val="14"/>
    </w:rPr>
  </w:style>
  <w:style w:type="paragraph" w:customStyle="1" w:styleId="RRBody">
    <w:name w:val="RR Body"/>
    <w:basedOn w:val="Normal"/>
    <w:qFormat/>
    <w:rsid w:val="007504D3"/>
    <w:pPr>
      <w:spacing w:after="120" w:line="288" w:lineRule="auto"/>
    </w:pPr>
    <w:rPr>
      <w:sz w:val="18"/>
    </w:rPr>
  </w:style>
  <w:style w:type="paragraph" w:customStyle="1" w:styleId="RRSubhead1">
    <w:name w:val="RR Subhead 1"/>
    <w:basedOn w:val="RRBody"/>
    <w:next w:val="RRBody"/>
    <w:qFormat/>
    <w:rsid w:val="007504D3"/>
    <w:pPr>
      <w:keepNext/>
      <w:spacing w:before="120" w:after="60" w:line="276" w:lineRule="auto"/>
    </w:pPr>
    <w:rPr>
      <w:color w:val="0081E3" w:themeColor="accent4"/>
      <w:sz w:val="30"/>
    </w:rPr>
  </w:style>
  <w:style w:type="paragraph" w:customStyle="1" w:styleId="RRSubhead2">
    <w:name w:val="RR Subhead 2"/>
    <w:basedOn w:val="Normal"/>
    <w:next w:val="RRBody"/>
    <w:qFormat/>
    <w:rsid w:val="007504D3"/>
    <w:pPr>
      <w:keepNext/>
      <w:spacing w:after="0" w:line="276" w:lineRule="auto"/>
    </w:pPr>
    <w:rPr>
      <w:b/>
      <w:caps/>
      <w:color w:val="727A7D" w:themeColor="accent3"/>
      <w:sz w:val="18"/>
    </w:rPr>
  </w:style>
  <w:style w:type="paragraph" w:customStyle="1" w:styleId="RRSubhead3">
    <w:name w:val="RR Subhead 3"/>
    <w:basedOn w:val="Normal"/>
    <w:next w:val="RRBody"/>
    <w:qFormat/>
    <w:rsid w:val="007504D3"/>
    <w:pPr>
      <w:keepNext/>
      <w:spacing w:after="0" w:line="276" w:lineRule="auto"/>
    </w:pPr>
    <w:rPr>
      <w:color w:val="0A4977" w:themeColor="text2"/>
      <w:sz w:val="18"/>
    </w:rPr>
  </w:style>
  <w:style w:type="paragraph" w:customStyle="1" w:styleId="RRIndent1">
    <w:name w:val="RR Indent 1"/>
    <w:basedOn w:val="RRBody"/>
    <w:qFormat/>
    <w:rsid w:val="007504D3"/>
    <w:pPr>
      <w:ind w:left="245"/>
    </w:pPr>
  </w:style>
  <w:style w:type="paragraph" w:customStyle="1" w:styleId="RRIndent2">
    <w:name w:val="RR Indent 2"/>
    <w:basedOn w:val="RRBody"/>
    <w:qFormat/>
    <w:rsid w:val="007504D3"/>
    <w:pPr>
      <w:ind w:left="360"/>
    </w:pPr>
  </w:style>
  <w:style w:type="paragraph" w:customStyle="1" w:styleId="RRBullet1">
    <w:name w:val="RR Bullet 1"/>
    <w:basedOn w:val="RRBody"/>
    <w:qFormat/>
    <w:rsid w:val="007504D3"/>
    <w:pPr>
      <w:numPr>
        <w:numId w:val="1"/>
      </w:numPr>
      <w:spacing w:after="60"/>
      <w:ind w:left="216" w:hanging="216"/>
    </w:pPr>
  </w:style>
  <w:style w:type="paragraph" w:customStyle="1" w:styleId="RRBullet2">
    <w:name w:val="RR Bullet 2"/>
    <w:basedOn w:val="RRBullet1"/>
    <w:qFormat/>
    <w:rsid w:val="007504D3"/>
    <w:pPr>
      <w:numPr>
        <w:numId w:val="2"/>
      </w:numPr>
      <w:ind w:left="432" w:hanging="216"/>
    </w:pPr>
  </w:style>
  <w:style w:type="paragraph" w:customStyle="1" w:styleId="RRNumber">
    <w:name w:val="RR Number"/>
    <w:basedOn w:val="RRBody"/>
    <w:qFormat/>
    <w:rsid w:val="007504D3"/>
    <w:pPr>
      <w:numPr>
        <w:numId w:val="3"/>
      </w:numPr>
      <w:ind w:left="360"/>
    </w:pPr>
  </w:style>
  <w:style w:type="paragraph" w:customStyle="1" w:styleId="RRNumber2">
    <w:name w:val="RR Number 2"/>
    <w:basedOn w:val="RRNumber"/>
    <w:qFormat/>
    <w:rsid w:val="007504D3"/>
    <w:pPr>
      <w:numPr>
        <w:numId w:val="7"/>
      </w:numPr>
      <w:ind w:left="720" w:hanging="288"/>
    </w:pPr>
  </w:style>
  <w:style w:type="paragraph" w:customStyle="1" w:styleId="RRNumberedSubhead1">
    <w:name w:val="RR Numbered Subhead 1"/>
    <w:basedOn w:val="RRSubhead1"/>
    <w:next w:val="RRNumberedBody"/>
    <w:qFormat/>
    <w:rsid w:val="007504D3"/>
    <w:pPr>
      <w:numPr>
        <w:numId w:val="4"/>
      </w:numPr>
    </w:pPr>
  </w:style>
  <w:style w:type="paragraph" w:customStyle="1" w:styleId="RRNumberedBody">
    <w:name w:val="RR Numbered Body"/>
    <w:basedOn w:val="RRBody"/>
    <w:qFormat/>
    <w:rsid w:val="007504D3"/>
    <w:pPr>
      <w:ind w:left="360"/>
    </w:pPr>
  </w:style>
  <w:style w:type="paragraph" w:customStyle="1" w:styleId="RRNumberedBullet1">
    <w:name w:val="RR Numbered Bullet 1"/>
    <w:basedOn w:val="RRBullet1"/>
    <w:qFormat/>
    <w:rsid w:val="009422F7"/>
    <w:pPr>
      <w:ind w:left="547" w:hanging="187"/>
    </w:pPr>
  </w:style>
  <w:style w:type="paragraph" w:customStyle="1" w:styleId="RRNumberedSubhead2">
    <w:name w:val="RR Numbered Subhead 2"/>
    <w:basedOn w:val="RRSubhead2"/>
    <w:next w:val="RRNumberedBody"/>
    <w:qFormat/>
    <w:rsid w:val="007504D3"/>
    <w:pPr>
      <w:numPr>
        <w:ilvl w:val="1"/>
        <w:numId w:val="8"/>
      </w:numPr>
    </w:pPr>
  </w:style>
  <w:style w:type="paragraph" w:customStyle="1" w:styleId="RRNumberedRoman1">
    <w:name w:val="RR Numbered Roman 1"/>
    <w:basedOn w:val="RRNumberedBody"/>
    <w:qFormat/>
    <w:rsid w:val="007504D3"/>
    <w:pPr>
      <w:numPr>
        <w:numId w:val="5"/>
      </w:numPr>
      <w:ind w:left="720"/>
    </w:pPr>
  </w:style>
  <w:style w:type="paragraph" w:customStyle="1" w:styleId="RRNumberedIndent2">
    <w:name w:val="RR Numbered Indent 2"/>
    <w:basedOn w:val="RRIndent2"/>
    <w:qFormat/>
    <w:rsid w:val="007504D3"/>
    <w:pPr>
      <w:ind w:left="1008"/>
    </w:pPr>
  </w:style>
  <w:style w:type="paragraph" w:customStyle="1" w:styleId="RRNumberedSubhead3">
    <w:name w:val="RR Numbered Subhead 3"/>
    <w:basedOn w:val="RRSubhead3"/>
    <w:next w:val="RRNumberedIndent2"/>
    <w:qFormat/>
    <w:rsid w:val="007504D3"/>
    <w:pPr>
      <w:numPr>
        <w:ilvl w:val="2"/>
        <w:numId w:val="8"/>
      </w:numPr>
    </w:pPr>
  </w:style>
  <w:style w:type="paragraph" w:styleId="FootnoteText">
    <w:name w:val="footnote text"/>
    <w:basedOn w:val="RRFootnote"/>
    <w:link w:val="FootnoteTextChar"/>
    <w:unhideWhenUsed/>
    <w:rsid w:val="006B610B"/>
    <w:pPr>
      <w:spacing w:after="0" w:line="240" w:lineRule="auto"/>
    </w:pPr>
    <w:rPr>
      <w:sz w:val="20"/>
      <w:szCs w:val="20"/>
    </w:rPr>
  </w:style>
  <w:style w:type="character" w:customStyle="1" w:styleId="FootnoteTextChar">
    <w:name w:val="Footnote Text Char"/>
    <w:basedOn w:val="DefaultParagraphFont"/>
    <w:link w:val="FootnoteText"/>
    <w:rsid w:val="00935457"/>
    <w:rPr>
      <w:color w:val="C6C9CA" w:themeColor="accent2"/>
      <w:sz w:val="20"/>
      <w:szCs w:val="20"/>
    </w:rPr>
  </w:style>
  <w:style w:type="character" w:styleId="FootnoteReference">
    <w:name w:val="footnote reference"/>
    <w:basedOn w:val="DefaultParagraphFont"/>
    <w:uiPriority w:val="4"/>
    <w:unhideWhenUsed/>
    <w:rsid w:val="006B610B"/>
    <w:rPr>
      <w:vertAlign w:val="superscript"/>
    </w:rPr>
  </w:style>
  <w:style w:type="paragraph" w:customStyle="1" w:styleId="RRFootnote">
    <w:name w:val="RR Footnote"/>
    <w:basedOn w:val="RRBody"/>
    <w:qFormat/>
    <w:rsid w:val="00EB1DD3"/>
    <w:pPr>
      <w:spacing w:after="20" w:line="276" w:lineRule="auto"/>
      <w:ind w:left="475" w:hanging="475"/>
    </w:pPr>
    <w:rPr>
      <w:color w:val="727A7D" w:themeColor="accent3"/>
      <w:sz w:val="14"/>
    </w:rPr>
  </w:style>
  <w:style w:type="paragraph" w:customStyle="1" w:styleId="RRTableHeading">
    <w:name w:val="RR Table Heading"/>
    <w:qFormat/>
    <w:rsid w:val="007504D3"/>
    <w:pPr>
      <w:spacing w:after="0" w:line="288" w:lineRule="auto"/>
    </w:pPr>
    <w:rPr>
      <w:rFonts w:asciiTheme="majorHAnsi" w:hAnsiTheme="majorHAnsi"/>
      <w:b/>
      <w:caps/>
      <w:color w:val="39414D" w:themeColor="background2"/>
      <w:sz w:val="14"/>
    </w:rPr>
  </w:style>
  <w:style w:type="table" w:styleId="TableGrid">
    <w:name w:val="Table Grid"/>
    <w:basedOn w:val="TableNormal"/>
    <w:uiPriority w:val="39"/>
    <w:rsid w:val="00A6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RTableBody">
    <w:name w:val="RR Table Body"/>
    <w:basedOn w:val="RRTableHeading"/>
    <w:qFormat/>
    <w:rsid w:val="00967481"/>
    <w:pPr>
      <w:spacing w:before="60" w:after="60" w:line="264" w:lineRule="auto"/>
    </w:pPr>
    <w:rPr>
      <w:b w:val="0"/>
    </w:rPr>
  </w:style>
  <w:style w:type="paragraph" w:customStyle="1" w:styleId="RRExhibitHeading">
    <w:name w:val="RR Exhibit Heading"/>
    <w:next w:val="RRBody"/>
    <w:qFormat/>
    <w:rsid w:val="007504D3"/>
    <w:pPr>
      <w:keepNext/>
      <w:pBdr>
        <w:top w:val="single" w:sz="4" w:space="9" w:color="E8E9E9" w:themeColor="accent2" w:themeTint="66"/>
      </w:pBdr>
      <w:tabs>
        <w:tab w:val="left" w:pos="900"/>
      </w:tabs>
      <w:spacing w:before="240" w:after="60" w:line="276" w:lineRule="auto"/>
    </w:pPr>
    <w:rPr>
      <w:rFonts w:asciiTheme="majorHAnsi" w:hAnsiTheme="majorHAnsi"/>
      <w:b/>
      <w:caps/>
      <w:color w:val="0081E3" w:themeColor="accent4"/>
      <w:sz w:val="14"/>
    </w:rPr>
  </w:style>
  <w:style w:type="paragraph" w:customStyle="1" w:styleId="RRExhibitFootnote">
    <w:name w:val="RR Exhibit Footnote"/>
    <w:qFormat/>
    <w:rsid w:val="006749FC"/>
    <w:pPr>
      <w:spacing w:before="120" w:after="120" w:line="276" w:lineRule="auto"/>
    </w:pPr>
    <w:rPr>
      <w:color w:val="727A7D"/>
      <w:sz w:val="13"/>
    </w:rPr>
  </w:style>
  <w:style w:type="paragraph" w:customStyle="1" w:styleId="RRExhibitHeadingTopLine">
    <w:name w:val="RR Exhibit Heading Top Line"/>
    <w:basedOn w:val="Normal"/>
    <w:qFormat/>
    <w:rsid w:val="00BC0572"/>
    <w:pPr>
      <w:keepNext/>
      <w:pBdr>
        <w:top w:val="single" w:sz="4" w:space="9" w:color="E8E9E9" w:themeColor="accent2" w:themeTint="66"/>
      </w:pBdr>
      <w:tabs>
        <w:tab w:val="left" w:pos="900"/>
      </w:tabs>
      <w:spacing w:after="60" w:line="252" w:lineRule="auto"/>
    </w:pPr>
    <w:rPr>
      <w:rFonts w:asciiTheme="majorHAnsi" w:hAnsiTheme="majorHAnsi"/>
      <w:b/>
      <w:caps/>
      <w:color w:val="0081E3" w:themeColor="accent4"/>
      <w:sz w:val="14"/>
    </w:rPr>
  </w:style>
  <w:style w:type="paragraph" w:customStyle="1" w:styleId="RRNumberTable">
    <w:name w:val="RR Number Table"/>
    <w:basedOn w:val="Normal"/>
    <w:qFormat/>
    <w:rsid w:val="00BD15AE"/>
    <w:pPr>
      <w:numPr>
        <w:numId w:val="6"/>
      </w:numPr>
      <w:spacing w:line="288" w:lineRule="auto"/>
      <w:ind w:hanging="720"/>
    </w:pPr>
    <w:rPr>
      <w:color w:val="727A7D" w:themeColor="accent3"/>
      <w:sz w:val="18"/>
    </w:rPr>
  </w:style>
  <w:style w:type="paragraph" w:customStyle="1" w:styleId="RRCalloutBox">
    <w:name w:val="RR Callout Box"/>
    <w:basedOn w:val="Normal"/>
    <w:qFormat/>
    <w:rsid w:val="006749FC"/>
    <w:pPr>
      <w:spacing w:before="60" w:after="180" w:line="276" w:lineRule="auto"/>
      <w:ind w:left="360" w:right="720"/>
    </w:pPr>
    <w:rPr>
      <w:color w:val="FFFFFF" w:themeColor="background1"/>
      <w:sz w:val="28"/>
    </w:rPr>
  </w:style>
  <w:style w:type="paragraph" w:customStyle="1" w:styleId="RRCalloutBlue">
    <w:name w:val="RR Callout Blue"/>
    <w:qFormat/>
    <w:rsid w:val="006749FC"/>
    <w:pPr>
      <w:spacing w:before="60" w:after="180" w:line="276" w:lineRule="auto"/>
    </w:pPr>
    <w:rPr>
      <w:color w:val="0081E3" w:themeColor="accent4"/>
      <w:sz w:val="28"/>
    </w:rPr>
  </w:style>
  <w:style w:type="paragraph" w:customStyle="1" w:styleId="RRCalloutSlate">
    <w:name w:val="RR Callout Slate"/>
    <w:basedOn w:val="RRCalloutBlue"/>
    <w:qFormat/>
    <w:rsid w:val="006749FC"/>
    <w:rPr>
      <w:color w:val="727A7D" w:themeColor="accent3"/>
    </w:rPr>
  </w:style>
  <w:style w:type="paragraph" w:customStyle="1" w:styleId="RRCalloutSmall">
    <w:name w:val="RR Callout Small"/>
    <w:basedOn w:val="RRCalloutBlue"/>
    <w:qFormat/>
    <w:rsid w:val="00BD15AE"/>
    <w:pPr>
      <w:spacing w:after="120"/>
    </w:pPr>
    <w:rPr>
      <w:color w:val="727A7D" w:themeColor="accent3"/>
      <w:sz w:val="20"/>
    </w:rPr>
  </w:style>
  <w:style w:type="paragraph" w:customStyle="1" w:styleId="RRCalloutSmallMBlue">
    <w:name w:val="RR Callout Small MBlue"/>
    <w:basedOn w:val="RRCalloutSmall"/>
    <w:qFormat/>
    <w:rsid w:val="006749FC"/>
    <w:rPr>
      <w:color w:val="0A4977" w:themeColor="text2"/>
    </w:rPr>
  </w:style>
  <w:style w:type="paragraph" w:customStyle="1" w:styleId="RRCalloutSmallVibrantBlue">
    <w:name w:val="RR Callout Small Vibrant Blue"/>
    <w:basedOn w:val="RRCalloutSmall"/>
    <w:qFormat/>
    <w:rsid w:val="006749FC"/>
    <w:rPr>
      <w:color w:val="0081E3" w:themeColor="accent4"/>
    </w:rPr>
  </w:style>
  <w:style w:type="paragraph" w:customStyle="1" w:styleId="RRSidebar">
    <w:name w:val="RR Sidebar"/>
    <w:qFormat/>
    <w:rsid w:val="006749FC"/>
    <w:pPr>
      <w:pBdr>
        <w:top w:val="single" w:sz="4" w:space="6" w:color="E8E9E9" w:themeColor="accent2" w:themeTint="66"/>
      </w:pBdr>
      <w:spacing w:before="200" w:after="120" w:line="276" w:lineRule="auto"/>
    </w:pPr>
    <w:rPr>
      <w:color w:val="0A4977" w:themeColor="text2"/>
    </w:rPr>
  </w:style>
  <w:style w:type="paragraph" w:customStyle="1" w:styleId="RRLeftandRightSidebar">
    <w:name w:val="RR Left and Right Sidebar"/>
    <w:basedOn w:val="Normal"/>
    <w:qFormat/>
    <w:rsid w:val="00BD15AE"/>
    <w:pPr>
      <w:pBdr>
        <w:top w:val="single" w:sz="4" w:space="6" w:color="E8E9E9" w:themeColor="accent2" w:themeTint="66"/>
      </w:pBdr>
      <w:spacing w:before="60" w:after="120" w:line="276" w:lineRule="auto"/>
    </w:pPr>
    <w:rPr>
      <w:color w:val="0A4977" w:themeColor="text2"/>
    </w:rPr>
  </w:style>
  <w:style w:type="character" w:styleId="Hyperlink">
    <w:name w:val="Hyperlink"/>
    <w:basedOn w:val="DefaultParagraphFont"/>
    <w:uiPriority w:val="99"/>
    <w:unhideWhenUsed/>
    <w:rsid w:val="00755FC8"/>
    <w:rPr>
      <w:color w:val="0081E3" w:themeColor="hyperlink"/>
      <w:u w:val="none"/>
    </w:rPr>
  </w:style>
  <w:style w:type="character" w:customStyle="1" w:styleId="Heading1Char">
    <w:name w:val="Heading 1 Char"/>
    <w:basedOn w:val="DefaultParagraphFont"/>
    <w:link w:val="Heading1"/>
    <w:uiPriority w:val="9"/>
    <w:rsid w:val="00730885"/>
    <w:rPr>
      <w:rFonts w:asciiTheme="majorHAnsi" w:eastAsiaTheme="majorEastAsia" w:hAnsiTheme="majorHAnsi" w:cstheme="majorBidi"/>
      <w:color w:val="68825A" w:themeColor="accent1" w:themeShade="BF"/>
      <w:sz w:val="32"/>
      <w:szCs w:val="32"/>
    </w:rPr>
  </w:style>
  <w:style w:type="character" w:customStyle="1" w:styleId="Heading2Char">
    <w:name w:val="Heading 2 Char"/>
    <w:basedOn w:val="DefaultParagraphFont"/>
    <w:link w:val="Heading2"/>
    <w:uiPriority w:val="9"/>
    <w:rsid w:val="00730885"/>
    <w:rPr>
      <w:rFonts w:asciiTheme="majorHAnsi" w:eastAsiaTheme="majorEastAsia" w:hAnsiTheme="majorHAnsi" w:cstheme="majorBidi"/>
      <w:color w:val="68825A" w:themeColor="accent1" w:themeShade="BF"/>
      <w:sz w:val="26"/>
      <w:szCs w:val="26"/>
    </w:rPr>
  </w:style>
  <w:style w:type="character" w:customStyle="1" w:styleId="Heading3Char">
    <w:name w:val="Heading 3 Char"/>
    <w:basedOn w:val="DefaultParagraphFont"/>
    <w:link w:val="Heading3"/>
    <w:uiPriority w:val="9"/>
    <w:rsid w:val="00730885"/>
    <w:rPr>
      <w:rFonts w:asciiTheme="majorHAnsi" w:eastAsiaTheme="majorEastAsia" w:hAnsiTheme="majorHAnsi" w:cstheme="majorBidi"/>
      <w:color w:val="45563C" w:themeColor="accent1" w:themeShade="7F"/>
      <w:sz w:val="24"/>
      <w:szCs w:val="24"/>
    </w:rPr>
  </w:style>
  <w:style w:type="paragraph" w:customStyle="1" w:styleId="RRTOCDescription">
    <w:name w:val="RR TOC Description"/>
    <w:basedOn w:val="RRBody"/>
    <w:qFormat/>
    <w:rsid w:val="001F1784"/>
    <w:pPr>
      <w:spacing w:before="60" w:after="0"/>
      <w:ind w:left="240" w:right="720"/>
    </w:pPr>
    <w:rPr>
      <w:color w:val="727A7D" w:themeColor="accent3"/>
    </w:rPr>
  </w:style>
  <w:style w:type="paragraph" w:styleId="TOC1">
    <w:name w:val="toc 1"/>
    <w:basedOn w:val="Normal"/>
    <w:next w:val="Normal"/>
    <w:autoRedefine/>
    <w:uiPriority w:val="39"/>
    <w:unhideWhenUsed/>
    <w:rsid w:val="0063759A"/>
    <w:pPr>
      <w:tabs>
        <w:tab w:val="right" w:leader="dot" w:pos="9360"/>
      </w:tabs>
      <w:spacing w:before="115" w:after="0" w:line="254" w:lineRule="auto"/>
    </w:pPr>
    <w:rPr>
      <w:b/>
      <w:caps/>
      <w:sz w:val="18"/>
    </w:rPr>
  </w:style>
  <w:style w:type="paragraph" w:styleId="TOC2">
    <w:name w:val="toc 2"/>
    <w:basedOn w:val="TOC1"/>
    <w:next w:val="Normal"/>
    <w:autoRedefine/>
    <w:uiPriority w:val="39"/>
    <w:unhideWhenUsed/>
    <w:rsid w:val="00967481"/>
    <w:pPr>
      <w:spacing w:before="120" w:after="100" w:line="276" w:lineRule="auto"/>
      <w:ind w:left="245" w:right="43"/>
    </w:pPr>
    <w:rPr>
      <w:b w:val="0"/>
      <w:color w:val="727A7D" w:themeColor="accent3"/>
    </w:rPr>
  </w:style>
  <w:style w:type="paragraph" w:styleId="TOC3">
    <w:name w:val="toc 3"/>
    <w:basedOn w:val="TOC2"/>
    <w:next w:val="Normal"/>
    <w:autoRedefine/>
    <w:uiPriority w:val="39"/>
    <w:unhideWhenUsed/>
    <w:rsid w:val="003C07FB"/>
    <w:pPr>
      <w:ind w:left="720" w:right="0"/>
    </w:pPr>
    <w:rPr>
      <w:caps w:val="0"/>
    </w:rPr>
  </w:style>
  <w:style w:type="paragraph" w:customStyle="1" w:styleId="RRLastPageBottomText">
    <w:name w:val="RR Last Page Bottom Text"/>
    <w:basedOn w:val="Normal"/>
    <w:qFormat/>
    <w:rsid w:val="002B1DAB"/>
    <w:pPr>
      <w:spacing w:after="120" w:line="288" w:lineRule="auto"/>
    </w:pPr>
    <w:rPr>
      <w:color w:val="727A7D" w:themeColor="accent3"/>
      <w:sz w:val="16"/>
    </w:rPr>
  </w:style>
  <w:style w:type="paragraph" w:customStyle="1" w:styleId="RRCalloutSmallSlate">
    <w:name w:val="RR Callout Small Slate"/>
    <w:basedOn w:val="RRCalloutSmall"/>
    <w:qFormat/>
    <w:rsid w:val="00530642"/>
  </w:style>
  <w:style w:type="paragraph" w:styleId="BalloonText">
    <w:name w:val="Balloon Text"/>
    <w:basedOn w:val="Normal"/>
    <w:link w:val="BalloonTextChar"/>
    <w:uiPriority w:val="99"/>
    <w:semiHidden/>
    <w:unhideWhenUsed/>
    <w:rsid w:val="00F5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B1"/>
    <w:rPr>
      <w:rFonts w:ascii="Segoe UI" w:hAnsi="Segoe UI" w:cs="Segoe UI"/>
      <w:sz w:val="18"/>
      <w:szCs w:val="18"/>
    </w:rPr>
  </w:style>
  <w:style w:type="paragraph" w:customStyle="1" w:styleId="RRCopyrightText">
    <w:name w:val="RR Copyright Text"/>
    <w:basedOn w:val="Normal"/>
    <w:qFormat/>
    <w:rsid w:val="005E674D"/>
    <w:pPr>
      <w:spacing w:after="0" w:line="288" w:lineRule="auto"/>
    </w:pPr>
    <w:rPr>
      <w:color w:val="727A7D" w:themeColor="accent3"/>
      <w:sz w:val="12"/>
      <w:szCs w:val="12"/>
    </w:rPr>
  </w:style>
  <w:style w:type="paragraph" w:customStyle="1" w:styleId="RRContactHeading">
    <w:name w:val="RR Contact Heading"/>
    <w:basedOn w:val="Normal"/>
    <w:qFormat/>
    <w:rsid w:val="005E674D"/>
    <w:pPr>
      <w:spacing w:before="115" w:after="0" w:line="250" w:lineRule="auto"/>
    </w:pPr>
    <w:rPr>
      <w:b/>
      <w:color w:val="727A7D" w:themeColor="accent3"/>
      <w:sz w:val="16"/>
      <w:szCs w:val="16"/>
    </w:rPr>
  </w:style>
  <w:style w:type="paragraph" w:customStyle="1" w:styleId="RRContactName">
    <w:name w:val="RR Contact Name"/>
    <w:basedOn w:val="Normal"/>
    <w:qFormat/>
    <w:rsid w:val="005E674D"/>
    <w:pPr>
      <w:spacing w:before="115" w:after="0" w:line="250" w:lineRule="auto"/>
    </w:pPr>
    <w:rPr>
      <w:b/>
      <w:color w:val="727A7D" w:themeColor="accent3"/>
      <w:sz w:val="16"/>
      <w:szCs w:val="16"/>
    </w:rPr>
  </w:style>
  <w:style w:type="paragraph" w:customStyle="1" w:styleId="CalloutSlate-Backpage">
    <w:name w:val="Callout Slate - Backpage"/>
    <w:basedOn w:val="RRCalloutSlate"/>
    <w:qFormat/>
    <w:rsid w:val="00547DB3"/>
    <w:pPr>
      <w:ind w:right="4230"/>
    </w:pPr>
  </w:style>
  <w:style w:type="character" w:customStyle="1" w:styleId="Heading6Char">
    <w:name w:val="Heading 6 Char"/>
    <w:basedOn w:val="DefaultParagraphFont"/>
    <w:link w:val="Heading6"/>
    <w:uiPriority w:val="9"/>
    <w:semiHidden/>
    <w:rsid w:val="00E72930"/>
    <w:rPr>
      <w:rFonts w:asciiTheme="majorHAnsi" w:eastAsiaTheme="majorEastAsia" w:hAnsiTheme="majorHAnsi" w:cstheme="majorBidi"/>
      <w:color w:val="45563C" w:themeColor="accent1" w:themeShade="7F"/>
    </w:rPr>
  </w:style>
  <w:style w:type="character" w:styleId="FollowedHyperlink">
    <w:name w:val="FollowedHyperlink"/>
    <w:basedOn w:val="DefaultParagraphFont"/>
    <w:uiPriority w:val="99"/>
    <w:semiHidden/>
    <w:unhideWhenUsed/>
    <w:rsid w:val="00EA03A9"/>
    <w:rPr>
      <w:color w:val="0081E3" w:themeColor="followedHyperlink"/>
      <w:u w:val="single"/>
    </w:rPr>
  </w:style>
  <w:style w:type="character" w:customStyle="1" w:styleId="Heading4Char">
    <w:name w:val="Heading 4 Char"/>
    <w:basedOn w:val="DefaultParagraphFont"/>
    <w:link w:val="Heading4"/>
    <w:uiPriority w:val="9"/>
    <w:semiHidden/>
    <w:rsid w:val="00DA256C"/>
    <w:rPr>
      <w:rFonts w:asciiTheme="majorHAnsi" w:eastAsiaTheme="majorEastAsia" w:hAnsiTheme="majorHAnsi" w:cstheme="majorBidi"/>
      <w:i/>
      <w:iCs/>
      <w:color w:val="68825A" w:themeColor="accent1" w:themeShade="BF"/>
    </w:rPr>
  </w:style>
  <w:style w:type="table" w:styleId="GridTable4-Accent5">
    <w:name w:val="Grid Table 4 Accent 5"/>
    <w:basedOn w:val="TableNormal"/>
    <w:uiPriority w:val="49"/>
    <w:rsid w:val="00783D69"/>
    <w:pPr>
      <w:spacing w:after="0" w:line="240" w:lineRule="auto"/>
    </w:pPr>
    <w:rPr>
      <w:rFonts w:ascii="Arial" w:hAnsi="Arial"/>
      <w:sz w:val="20"/>
    </w:rPr>
    <w:tblPr>
      <w:tblStyleRowBandSize w:val="1"/>
      <w:tblStyleColBandSize w:val="1"/>
      <w:tblBorders>
        <w:top w:val="single" w:sz="4" w:space="0" w:color="FFC766" w:themeColor="accent5" w:themeTint="99"/>
        <w:left w:val="single" w:sz="4" w:space="0" w:color="FFC766" w:themeColor="accent5" w:themeTint="99"/>
        <w:bottom w:val="single" w:sz="4" w:space="0" w:color="FFC766" w:themeColor="accent5" w:themeTint="99"/>
        <w:right w:val="single" w:sz="4" w:space="0" w:color="FFC766" w:themeColor="accent5" w:themeTint="99"/>
        <w:insideH w:val="single" w:sz="4" w:space="0" w:color="FFC766" w:themeColor="accent5" w:themeTint="99"/>
        <w:insideV w:val="single" w:sz="4" w:space="0" w:color="FFC766" w:themeColor="accent5" w:themeTint="99"/>
      </w:tblBorders>
    </w:tblPr>
    <w:tblStylePr w:type="firstRow">
      <w:rPr>
        <w:b/>
        <w:bCs/>
        <w:color w:val="FFFFFF" w:themeColor="background1"/>
      </w:rPr>
      <w:tblPr/>
      <w:tcPr>
        <w:tcBorders>
          <w:top w:val="single" w:sz="4" w:space="0" w:color="FFA200" w:themeColor="accent5"/>
          <w:left w:val="single" w:sz="4" w:space="0" w:color="FFA200" w:themeColor="accent5"/>
          <w:bottom w:val="single" w:sz="4" w:space="0" w:color="FFA200" w:themeColor="accent5"/>
          <w:right w:val="single" w:sz="4" w:space="0" w:color="FFA200" w:themeColor="accent5"/>
          <w:insideH w:val="nil"/>
          <w:insideV w:val="nil"/>
        </w:tcBorders>
        <w:shd w:val="clear" w:color="auto" w:fill="FFA200" w:themeFill="accent5"/>
      </w:tcPr>
    </w:tblStylePr>
    <w:tblStylePr w:type="lastRow">
      <w:rPr>
        <w:b/>
        <w:bCs/>
      </w:rPr>
      <w:tblPr/>
      <w:tcPr>
        <w:tcBorders>
          <w:top w:val="double" w:sz="4" w:space="0" w:color="FFA200" w:themeColor="accent5"/>
        </w:tcBorders>
      </w:tcPr>
    </w:tblStylePr>
    <w:tblStylePr w:type="firstCol">
      <w:rPr>
        <w:b/>
        <w:bCs/>
      </w:rPr>
    </w:tblStylePr>
    <w:tblStylePr w:type="lastCol">
      <w:rPr>
        <w:b/>
        <w:bCs/>
      </w:rPr>
    </w:tblStylePr>
    <w:tblStylePr w:type="band1Vert">
      <w:tblPr/>
      <w:tcPr>
        <w:shd w:val="clear" w:color="auto" w:fill="FFECCC" w:themeFill="accent5" w:themeFillTint="33"/>
      </w:tcPr>
    </w:tblStylePr>
    <w:tblStylePr w:type="band1Horz">
      <w:tblPr/>
      <w:tcPr>
        <w:shd w:val="clear" w:color="auto" w:fill="FFECCC" w:themeFill="accent5" w:themeFillTint="33"/>
      </w:tcPr>
    </w:tblStylePr>
  </w:style>
  <w:style w:type="paragraph" w:styleId="Subtitle">
    <w:name w:val="Subtitle"/>
    <w:basedOn w:val="Normal"/>
    <w:next w:val="Normal"/>
    <w:link w:val="SubtitleChar"/>
    <w:uiPriority w:val="11"/>
    <w:qFormat/>
    <w:rsid w:val="00316E79"/>
    <w:pPr>
      <w:numPr>
        <w:ilvl w:val="1"/>
      </w:num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6E79"/>
    <w:rPr>
      <w:rFonts w:eastAsiaTheme="minorEastAsia"/>
      <w:color w:val="5A5A5A" w:themeColor="text1" w:themeTint="A5"/>
      <w:spacing w:val="15"/>
    </w:rPr>
  </w:style>
  <w:style w:type="paragraph" w:styleId="ListParagraph">
    <w:name w:val="List Paragraph"/>
    <w:basedOn w:val="Normal"/>
    <w:link w:val="ListParagraphChar"/>
    <w:uiPriority w:val="34"/>
    <w:qFormat/>
    <w:rsid w:val="00316E79"/>
    <w:pPr>
      <w:spacing w:after="0" w:line="240" w:lineRule="auto"/>
      <w:ind w:left="720"/>
      <w:contextualSpacing/>
    </w:pPr>
    <w:rPr>
      <w:rFonts w:ascii="Arial" w:hAnsi="Arial"/>
      <w:sz w:val="20"/>
    </w:rPr>
  </w:style>
  <w:style w:type="character" w:styleId="CommentReference">
    <w:name w:val="annotation reference"/>
    <w:basedOn w:val="DefaultParagraphFont"/>
    <w:uiPriority w:val="99"/>
    <w:semiHidden/>
    <w:unhideWhenUsed/>
    <w:rsid w:val="00316E79"/>
    <w:rPr>
      <w:sz w:val="16"/>
      <w:szCs w:val="16"/>
    </w:rPr>
  </w:style>
  <w:style w:type="paragraph" w:styleId="CommentText">
    <w:name w:val="annotation text"/>
    <w:basedOn w:val="Normal"/>
    <w:link w:val="CommentTextChar"/>
    <w:uiPriority w:val="99"/>
    <w:unhideWhenUsed/>
    <w:rsid w:val="00316E79"/>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316E79"/>
    <w:rPr>
      <w:rFonts w:ascii="Arial" w:hAnsi="Arial"/>
      <w:sz w:val="20"/>
      <w:szCs w:val="20"/>
    </w:rPr>
  </w:style>
  <w:style w:type="character" w:customStyle="1" w:styleId="ListParagraphChar">
    <w:name w:val="List Paragraph Char"/>
    <w:basedOn w:val="DefaultParagraphFont"/>
    <w:link w:val="ListParagraph"/>
    <w:uiPriority w:val="34"/>
    <w:rsid w:val="00316E79"/>
    <w:rPr>
      <w:rFonts w:ascii="Arial" w:hAnsi="Arial"/>
      <w:sz w:val="20"/>
    </w:rPr>
  </w:style>
  <w:style w:type="paragraph" w:styleId="CommentSubject">
    <w:name w:val="annotation subject"/>
    <w:basedOn w:val="CommentText"/>
    <w:next w:val="CommentText"/>
    <w:link w:val="CommentSubjectChar"/>
    <w:uiPriority w:val="99"/>
    <w:semiHidden/>
    <w:unhideWhenUsed/>
    <w:rsid w:val="00316E79"/>
    <w:rPr>
      <w:b/>
      <w:bCs/>
    </w:rPr>
  </w:style>
  <w:style w:type="character" w:customStyle="1" w:styleId="CommentSubjectChar">
    <w:name w:val="Comment Subject Char"/>
    <w:basedOn w:val="CommentTextChar"/>
    <w:link w:val="CommentSubject"/>
    <w:uiPriority w:val="99"/>
    <w:semiHidden/>
    <w:rsid w:val="00316E79"/>
    <w:rPr>
      <w:rFonts w:ascii="Arial" w:hAnsi="Arial"/>
      <w:b/>
      <w:bCs/>
      <w:sz w:val="20"/>
      <w:szCs w:val="20"/>
    </w:rPr>
  </w:style>
  <w:style w:type="table" w:customStyle="1" w:styleId="OWTable">
    <w:name w:val="OW Table"/>
    <w:basedOn w:val="TableNormal"/>
    <w:rsid w:val="00316E79"/>
    <w:pPr>
      <w:spacing w:after="0" w:line="240" w:lineRule="auto"/>
    </w:pPr>
    <w:rPr>
      <w:rFonts w:eastAsiaTheme="minorEastAsia"/>
      <w:sz w:val="20"/>
      <w:szCs w:val="20"/>
      <w:lang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HeadingText">
    <w:name w:val="Table Heading Text"/>
    <w:basedOn w:val="Normal"/>
    <w:qFormat/>
    <w:rsid w:val="00316E79"/>
    <w:pPr>
      <w:keepNext/>
      <w:keepLines/>
      <w:spacing w:before="60" w:after="60" w:line="240" w:lineRule="auto"/>
    </w:pPr>
    <w:rPr>
      <w:rFonts w:asciiTheme="majorHAnsi" w:eastAsiaTheme="majorEastAsia" w:hAnsiTheme="majorHAnsi" w:cstheme="majorBidi"/>
      <w:b/>
      <w:bCs/>
      <w:sz w:val="18"/>
      <w:szCs w:val="18"/>
      <w:lang w:eastAsia="ja-JP"/>
    </w:rPr>
  </w:style>
  <w:style w:type="paragraph" w:customStyle="1" w:styleId="TableText">
    <w:name w:val="Table Text"/>
    <w:basedOn w:val="Normal"/>
    <w:qFormat/>
    <w:rsid w:val="00316E79"/>
    <w:pPr>
      <w:keepLines/>
      <w:spacing w:before="40" w:after="40" w:line="240" w:lineRule="auto"/>
    </w:pPr>
    <w:rPr>
      <w:rFonts w:asciiTheme="majorHAnsi" w:eastAsiaTheme="majorEastAsia" w:hAnsiTheme="majorHAnsi" w:cstheme="majorBidi"/>
      <w:sz w:val="20"/>
      <w:szCs w:val="20"/>
      <w:lang w:eastAsia="ja-JP"/>
    </w:rPr>
  </w:style>
  <w:style w:type="paragraph" w:styleId="NormalWeb">
    <w:name w:val="Normal (Web)"/>
    <w:basedOn w:val="Normal"/>
    <w:uiPriority w:val="99"/>
    <w:unhideWhenUsed/>
    <w:rsid w:val="00316E7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next w:val="BodyText"/>
    <w:qFormat/>
    <w:rsid w:val="00316E79"/>
    <w:pPr>
      <w:numPr>
        <w:ilvl w:val="4"/>
        <w:numId w:val="19"/>
      </w:numPr>
      <w:spacing w:after="120" w:line="260" w:lineRule="atLeast"/>
      <w:outlineLvl w:val="4"/>
    </w:pPr>
    <w:rPr>
      <w:rFonts w:eastAsiaTheme="minorEastAsia" w:cstheme="minorHAnsi"/>
      <w:sz w:val="24"/>
      <w:szCs w:val="20"/>
      <w:lang w:eastAsia="ja-JP"/>
    </w:rPr>
  </w:style>
  <w:style w:type="paragraph" w:styleId="ListBullet2">
    <w:name w:val="List Bullet 2"/>
    <w:basedOn w:val="Normal"/>
    <w:next w:val="BodyText"/>
    <w:qFormat/>
    <w:rsid w:val="00316E79"/>
    <w:pPr>
      <w:numPr>
        <w:ilvl w:val="5"/>
        <w:numId w:val="19"/>
      </w:numPr>
      <w:spacing w:after="120" w:line="260" w:lineRule="atLeast"/>
      <w:outlineLvl w:val="5"/>
    </w:pPr>
    <w:rPr>
      <w:rFonts w:eastAsiaTheme="minorEastAsia" w:cstheme="minorHAnsi"/>
      <w:sz w:val="24"/>
      <w:szCs w:val="20"/>
      <w:lang w:eastAsia="ja-JP"/>
    </w:rPr>
  </w:style>
  <w:style w:type="paragraph" w:styleId="ListBullet3">
    <w:name w:val="List Bullet 3"/>
    <w:basedOn w:val="Normal"/>
    <w:next w:val="BodyText"/>
    <w:qFormat/>
    <w:rsid w:val="00316E79"/>
    <w:pPr>
      <w:numPr>
        <w:ilvl w:val="6"/>
        <w:numId w:val="19"/>
      </w:numPr>
      <w:spacing w:after="120" w:line="260" w:lineRule="atLeast"/>
      <w:outlineLvl w:val="6"/>
    </w:pPr>
    <w:rPr>
      <w:rFonts w:eastAsiaTheme="minorEastAsia" w:cstheme="minorHAnsi"/>
      <w:sz w:val="24"/>
      <w:szCs w:val="20"/>
      <w:lang w:eastAsia="ja-JP"/>
    </w:rPr>
  </w:style>
  <w:style w:type="paragraph" w:styleId="ListBullet4">
    <w:name w:val="List Bullet 4"/>
    <w:basedOn w:val="Normal"/>
    <w:next w:val="BodyText"/>
    <w:qFormat/>
    <w:rsid w:val="00316E79"/>
    <w:pPr>
      <w:numPr>
        <w:ilvl w:val="7"/>
        <w:numId w:val="19"/>
      </w:numPr>
      <w:spacing w:after="120" w:line="260" w:lineRule="atLeast"/>
      <w:outlineLvl w:val="7"/>
    </w:pPr>
    <w:rPr>
      <w:rFonts w:eastAsiaTheme="minorEastAsia" w:cstheme="minorHAnsi"/>
      <w:sz w:val="24"/>
      <w:szCs w:val="20"/>
      <w:lang w:eastAsia="ja-JP"/>
    </w:rPr>
  </w:style>
  <w:style w:type="paragraph" w:styleId="BodyText">
    <w:name w:val="Body Text"/>
    <w:basedOn w:val="Normal"/>
    <w:link w:val="BodyTextChar"/>
    <w:uiPriority w:val="99"/>
    <w:unhideWhenUsed/>
    <w:rsid w:val="00316E79"/>
    <w:pPr>
      <w:spacing w:after="120" w:line="240" w:lineRule="auto"/>
    </w:pPr>
    <w:rPr>
      <w:rFonts w:ascii="Arial" w:hAnsi="Arial"/>
      <w:sz w:val="20"/>
    </w:rPr>
  </w:style>
  <w:style w:type="character" w:customStyle="1" w:styleId="BodyTextChar">
    <w:name w:val="Body Text Char"/>
    <w:basedOn w:val="DefaultParagraphFont"/>
    <w:link w:val="BodyText"/>
    <w:uiPriority w:val="99"/>
    <w:rsid w:val="00316E79"/>
    <w:rPr>
      <w:rFonts w:ascii="Arial" w:hAnsi="Arial"/>
      <w:sz w:val="20"/>
    </w:rPr>
  </w:style>
  <w:style w:type="character" w:styleId="SubtleEmphasis">
    <w:name w:val="Subtle Emphasis"/>
    <w:basedOn w:val="DefaultParagraphFont"/>
    <w:uiPriority w:val="19"/>
    <w:qFormat/>
    <w:rsid w:val="00316E79"/>
    <w:rPr>
      <w:i/>
      <w:iCs/>
      <w:color w:val="404040" w:themeColor="text1" w:themeTint="BF"/>
    </w:rPr>
  </w:style>
  <w:style w:type="table" w:styleId="ListTable1Light">
    <w:name w:val="List Table 1 Light"/>
    <w:basedOn w:val="TableNormal"/>
    <w:uiPriority w:val="46"/>
    <w:rsid w:val="00316E7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316E79"/>
    <w:rPr>
      <w:i/>
      <w:iCs/>
    </w:rPr>
  </w:style>
  <w:style w:type="table" w:styleId="ListTable3-Accent1">
    <w:name w:val="List Table 3 Accent 1"/>
    <w:basedOn w:val="TableNormal"/>
    <w:uiPriority w:val="48"/>
    <w:rsid w:val="00316E7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780" w:themeColor="accent1"/>
        <w:left w:val="single" w:sz="4" w:space="0" w:color="8EA780" w:themeColor="accent1"/>
        <w:bottom w:val="single" w:sz="4" w:space="0" w:color="8EA780" w:themeColor="accent1"/>
        <w:right w:val="single" w:sz="4" w:space="0" w:color="8EA780" w:themeColor="accent1"/>
      </w:tblBorders>
    </w:tblPr>
    <w:tblStylePr w:type="firstRow">
      <w:rPr>
        <w:b/>
        <w:bCs/>
        <w:color w:val="FFFFFF" w:themeColor="background1"/>
      </w:rPr>
      <w:tblPr/>
      <w:tcPr>
        <w:shd w:val="clear" w:color="auto" w:fill="8EA780" w:themeFill="accent1"/>
      </w:tcPr>
    </w:tblStylePr>
    <w:tblStylePr w:type="lastRow">
      <w:rPr>
        <w:b/>
        <w:bCs/>
      </w:rPr>
      <w:tblPr/>
      <w:tcPr>
        <w:tcBorders>
          <w:top w:val="double" w:sz="4" w:space="0" w:color="8EA78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A780" w:themeColor="accent1"/>
          <w:right w:val="single" w:sz="4" w:space="0" w:color="8EA780" w:themeColor="accent1"/>
        </w:tcBorders>
      </w:tcPr>
    </w:tblStylePr>
    <w:tblStylePr w:type="band1Horz">
      <w:tblPr/>
      <w:tcPr>
        <w:tcBorders>
          <w:top w:val="single" w:sz="4" w:space="0" w:color="8EA780" w:themeColor="accent1"/>
          <w:bottom w:val="single" w:sz="4" w:space="0" w:color="8EA78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A780" w:themeColor="accent1"/>
          <w:left w:val="nil"/>
        </w:tcBorders>
      </w:tcPr>
    </w:tblStylePr>
    <w:tblStylePr w:type="swCell">
      <w:tblPr/>
      <w:tcPr>
        <w:tcBorders>
          <w:top w:val="double" w:sz="4" w:space="0" w:color="8EA780" w:themeColor="accent1"/>
          <w:right w:val="nil"/>
        </w:tcBorders>
      </w:tcPr>
    </w:tblStylePr>
  </w:style>
  <w:style w:type="paragraph" w:styleId="ListNumber">
    <w:name w:val="List Number"/>
    <w:basedOn w:val="Normal"/>
    <w:next w:val="BodyText"/>
    <w:qFormat/>
    <w:rsid w:val="00316E79"/>
    <w:pPr>
      <w:numPr>
        <w:ilvl w:val="5"/>
        <w:numId w:val="21"/>
      </w:numPr>
      <w:spacing w:after="120" w:line="260" w:lineRule="atLeast"/>
      <w:outlineLvl w:val="5"/>
    </w:pPr>
    <w:rPr>
      <w:rFonts w:eastAsiaTheme="minorEastAsia" w:cstheme="minorHAnsi"/>
      <w:sz w:val="24"/>
      <w:szCs w:val="20"/>
      <w:lang w:eastAsia="ja-JP"/>
    </w:rPr>
  </w:style>
  <w:style w:type="paragraph" w:styleId="Caption">
    <w:name w:val="caption"/>
    <w:basedOn w:val="Normal"/>
    <w:next w:val="Normal"/>
    <w:qFormat/>
    <w:rsid w:val="00316E79"/>
    <w:pPr>
      <w:keepNext/>
      <w:keepLines/>
      <w:spacing w:after="0" w:line="240" w:lineRule="auto"/>
      <w:jc w:val="center"/>
    </w:pPr>
    <w:rPr>
      <w:rFonts w:eastAsiaTheme="minorEastAsia"/>
      <w:b/>
      <w:bCs/>
      <w:sz w:val="24"/>
      <w:szCs w:val="24"/>
      <w:lang w:eastAsia="ja-JP"/>
    </w:rPr>
  </w:style>
  <w:style w:type="paragraph" w:styleId="ListNumber2">
    <w:name w:val="List Number 2"/>
    <w:basedOn w:val="Normal"/>
    <w:next w:val="BodyText"/>
    <w:qFormat/>
    <w:rsid w:val="00316E79"/>
    <w:pPr>
      <w:numPr>
        <w:ilvl w:val="6"/>
        <w:numId w:val="21"/>
      </w:numPr>
      <w:spacing w:after="120" w:line="260" w:lineRule="atLeast"/>
      <w:outlineLvl w:val="6"/>
    </w:pPr>
    <w:rPr>
      <w:rFonts w:eastAsiaTheme="minorEastAsia" w:cstheme="minorHAnsi"/>
      <w:sz w:val="24"/>
      <w:szCs w:val="20"/>
      <w:lang w:eastAsia="ja-JP"/>
    </w:rPr>
  </w:style>
  <w:style w:type="paragraph" w:styleId="ListNumber3">
    <w:name w:val="List Number 3"/>
    <w:basedOn w:val="Normal"/>
    <w:next w:val="BodyText"/>
    <w:qFormat/>
    <w:rsid w:val="00316E79"/>
    <w:pPr>
      <w:numPr>
        <w:ilvl w:val="7"/>
        <w:numId w:val="21"/>
      </w:numPr>
      <w:spacing w:after="120" w:line="260" w:lineRule="atLeast"/>
      <w:outlineLvl w:val="7"/>
    </w:pPr>
    <w:rPr>
      <w:rFonts w:eastAsiaTheme="minorEastAsia" w:cstheme="minorHAnsi"/>
      <w:sz w:val="24"/>
      <w:szCs w:val="20"/>
      <w:lang w:eastAsia="ja-JP"/>
    </w:rPr>
  </w:style>
  <w:style w:type="paragraph" w:styleId="ListNumber4">
    <w:name w:val="List Number 4"/>
    <w:basedOn w:val="Normal"/>
    <w:next w:val="BodyText"/>
    <w:qFormat/>
    <w:rsid w:val="00316E79"/>
    <w:pPr>
      <w:numPr>
        <w:ilvl w:val="8"/>
        <w:numId w:val="21"/>
      </w:numPr>
      <w:spacing w:after="120" w:line="260" w:lineRule="atLeast"/>
      <w:outlineLvl w:val="8"/>
    </w:pPr>
    <w:rPr>
      <w:rFonts w:eastAsiaTheme="minorEastAsia" w:cstheme="minorHAnsi"/>
      <w:sz w:val="24"/>
      <w:szCs w:val="20"/>
      <w:lang w:eastAsia="ja-JP"/>
    </w:rPr>
  </w:style>
  <w:style w:type="character" w:customStyle="1" w:styleId="Heading5Char">
    <w:name w:val="Heading 5 Char"/>
    <w:basedOn w:val="DefaultParagraphFont"/>
    <w:link w:val="Heading5"/>
    <w:semiHidden/>
    <w:rsid w:val="0089431F"/>
    <w:rPr>
      <w:rFonts w:asciiTheme="majorHAnsi" w:eastAsiaTheme="majorEastAsia" w:hAnsiTheme="majorHAnsi" w:cstheme="majorBidi"/>
      <w:i/>
      <w:iCs/>
      <w:sz w:val="24"/>
      <w:szCs w:val="24"/>
      <w:lang w:eastAsia="ja-JP"/>
    </w:rPr>
  </w:style>
  <w:style w:type="character" w:customStyle="1" w:styleId="Heading7Char">
    <w:name w:val="Heading 7 Char"/>
    <w:basedOn w:val="DefaultParagraphFont"/>
    <w:link w:val="Heading7"/>
    <w:semiHidden/>
    <w:rsid w:val="0089431F"/>
    <w:rPr>
      <w:rFonts w:asciiTheme="majorHAnsi" w:eastAsiaTheme="majorEastAsia" w:hAnsiTheme="majorHAnsi" w:cstheme="majorBidi"/>
      <w:iCs/>
      <w:sz w:val="24"/>
      <w:szCs w:val="24"/>
      <w:lang w:eastAsia="ja-JP"/>
    </w:rPr>
  </w:style>
  <w:style w:type="character" w:customStyle="1" w:styleId="Heading8Char">
    <w:name w:val="Heading 8 Char"/>
    <w:basedOn w:val="DefaultParagraphFont"/>
    <w:link w:val="Heading8"/>
    <w:semiHidden/>
    <w:rsid w:val="0089431F"/>
    <w:rPr>
      <w:rFonts w:asciiTheme="majorHAnsi" w:eastAsiaTheme="majorEastAsia" w:hAnsiTheme="majorHAnsi" w:cstheme="majorBidi"/>
      <w:sz w:val="20"/>
      <w:szCs w:val="24"/>
      <w:lang w:eastAsia="ja-JP"/>
    </w:rPr>
  </w:style>
  <w:style w:type="character" w:customStyle="1" w:styleId="Heading9Char">
    <w:name w:val="Heading 9 Char"/>
    <w:basedOn w:val="DefaultParagraphFont"/>
    <w:link w:val="Heading9"/>
    <w:semiHidden/>
    <w:rsid w:val="0089431F"/>
    <w:rPr>
      <w:rFonts w:asciiTheme="majorHAnsi" w:eastAsiaTheme="majorEastAsia" w:hAnsiTheme="majorHAnsi" w:cstheme="majorBidi"/>
      <w:iCs/>
      <w:sz w:val="20"/>
      <w:szCs w:val="24"/>
      <w:lang w:eastAsia="ja-JP"/>
    </w:rPr>
  </w:style>
  <w:style w:type="numbering" w:customStyle="1" w:styleId="HeadingsList">
    <w:name w:val="Headings List"/>
    <w:uiPriority w:val="99"/>
    <w:rsid w:val="0089431F"/>
    <w:pPr>
      <w:numPr>
        <w:numId w:val="34"/>
      </w:numPr>
    </w:pPr>
  </w:style>
  <w:style w:type="table" w:styleId="PlainTable3">
    <w:name w:val="Plain Table 3"/>
    <w:basedOn w:val="TableNormal"/>
    <w:uiPriority w:val="43"/>
    <w:rsid w:val="00434FF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34F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34F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4FF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037A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D0C29"/>
    <w:rPr>
      <w:color w:val="808080"/>
    </w:rPr>
  </w:style>
  <w:style w:type="paragraph" w:styleId="Revision">
    <w:name w:val="Revision"/>
    <w:hidden/>
    <w:uiPriority w:val="99"/>
    <w:semiHidden/>
    <w:rsid w:val="00F45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61087">
      <w:bodyDiv w:val="1"/>
      <w:marLeft w:val="0"/>
      <w:marRight w:val="0"/>
      <w:marTop w:val="0"/>
      <w:marBottom w:val="0"/>
      <w:divBdr>
        <w:top w:val="none" w:sz="0" w:space="0" w:color="auto"/>
        <w:left w:val="none" w:sz="0" w:space="0" w:color="auto"/>
        <w:bottom w:val="none" w:sz="0" w:space="0" w:color="auto"/>
        <w:right w:val="none" w:sz="0" w:space="0" w:color="auto"/>
      </w:divBdr>
    </w:div>
    <w:div w:id="713122198">
      <w:bodyDiv w:val="1"/>
      <w:marLeft w:val="0"/>
      <w:marRight w:val="0"/>
      <w:marTop w:val="0"/>
      <w:marBottom w:val="0"/>
      <w:divBdr>
        <w:top w:val="none" w:sz="0" w:space="0" w:color="auto"/>
        <w:left w:val="none" w:sz="0" w:space="0" w:color="auto"/>
        <w:bottom w:val="none" w:sz="0" w:space="0" w:color="auto"/>
        <w:right w:val="none" w:sz="0" w:space="0" w:color="auto"/>
      </w:divBdr>
    </w:div>
    <w:div w:id="860319659">
      <w:bodyDiv w:val="1"/>
      <w:marLeft w:val="0"/>
      <w:marRight w:val="0"/>
      <w:marTop w:val="0"/>
      <w:marBottom w:val="0"/>
      <w:divBdr>
        <w:top w:val="none" w:sz="0" w:space="0" w:color="auto"/>
        <w:left w:val="none" w:sz="0" w:space="0" w:color="auto"/>
        <w:bottom w:val="none" w:sz="0" w:space="0" w:color="auto"/>
        <w:right w:val="none" w:sz="0" w:space="0" w:color="auto"/>
      </w:divBdr>
    </w:div>
    <w:div w:id="964504691">
      <w:bodyDiv w:val="1"/>
      <w:marLeft w:val="0"/>
      <w:marRight w:val="0"/>
      <w:marTop w:val="0"/>
      <w:marBottom w:val="0"/>
      <w:divBdr>
        <w:top w:val="none" w:sz="0" w:space="0" w:color="auto"/>
        <w:left w:val="none" w:sz="0" w:space="0" w:color="auto"/>
        <w:bottom w:val="none" w:sz="0" w:space="0" w:color="auto"/>
        <w:right w:val="none" w:sz="0" w:space="0" w:color="auto"/>
      </w:divBdr>
    </w:div>
    <w:div w:id="1306856130">
      <w:bodyDiv w:val="1"/>
      <w:marLeft w:val="0"/>
      <w:marRight w:val="0"/>
      <w:marTop w:val="0"/>
      <w:marBottom w:val="0"/>
      <w:divBdr>
        <w:top w:val="none" w:sz="0" w:space="0" w:color="auto"/>
        <w:left w:val="none" w:sz="0" w:space="0" w:color="auto"/>
        <w:bottom w:val="none" w:sz="0" w:space="0" w:color="auto"/>
        <w:right w:val="none" w:sz="0" w:space="0" w:color="auto"/>
      </w:divBdr>
    </w:div>
    <w:div w:id="1746948665">
      <w:bodyDiv w:val="1"/>
      <w:marLeft w:val="0"/>
      <w:marRight w:val="0"/>
      <w:marTop w:val="0"/>
      <w:marBottom w:val="0"/>
      <w:divBdr>
        <w:top w:val="none" w:sz="0" w:space="0" w:color="auto"/>
        <w:left w:val="none" w:sz="0" w:space="0" w:color="auto"/>
        <w:bottom w:val="none" w:sz="0" w:space="0" w:color="auto"/>
        <w:right w:val="none" w:sz="0" w:space="0" w:color="auto"/>
      </w:divBdr>
    </w:div>
    <w:div w:id="1764375381">
      <w:bodyDiv w:val="1"/>
      <w:marLeft w:val="0"/>
      <w:marRight w:val="0"/>
      <w:marTop w:val="0"/>
      <w:marBottom w:val="0"/>
      <w:divBdr>
        <w:top w:val="none" w:sz="0" w:space="0" w:color="auto"/>
        <w:left w:val="none" w:sz="0" w:space="0" w:color="auto"/>
        <w:bottom w:val="none" w:sz="0" w:space="0" w:color="auto"/>
        <w:right w:val="none" w:sz="0" w:space="0" w:color="auto"/>
      </w:divBdr>
    </w:div>
    <w:div w:id="1850214903">
      <w:bodyDiv w:val="1"/>
      <w:marLeft w:val="0"/>
      <w:marRight w:val="0"/>
      <w:marTop w:val="0"/>
      <w:marBottom w:val="0"/>
      <w:divBdr>
        <w:top w:val="none" w:sz="0" w:space="0" w:color="auto"/>
        <w:left w:val="none" w:sz="0" w:space="0" w:color="auto"/>
        <w:bottom w:val="none" w:sz="0" w:space="0" w:color="auto"/>
        <w:right w:val="none" w:sz="0" w:space="0" w:color="auto"/>
      </w:divBdr>
    </w:div>
    <w:div w:id="20004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3.xm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www.freddiemac.com/research/datasets/sf_loanlevel_dataset.page" TargetMode="Externa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eader" Target="header2.xm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nniemae.com/portal/funding-the-market/data/loan-performance-dat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diagramData" Target="diagrams/data1.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emf"/><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D5004-4ABC-40EF-9754-2CD928BFDBF7}" type="doc">
      <dgm:prSet loTypeId="urn:microsoft.com/office/officeart/2005/8/layout/chevron1" loCatId="process" qsTypeId="urn:microsoft.com/office/officeart/2005/8/quickstyle/simple1" qsCatId="simple" csTypeId="urn:microsoft.com/office/officeart/2005/8/colors/accent0_1" csCatId="mainScheme" phldr="1"/>
      <dgm:spPr/>
    </dgm:pt>
    <dgm:pt modelId="{9C530B15-7205-4942-8887-24736F72ABCC}">
      <dgm:prSet phldrT="[Text]"/>
      <dgm:spPr>
        <a:ln>
          <a:solidFill>
            <a:schemeClr val="accent1"/>
          </a:solidFill>
        </a:ln>
      </dgm:spPr>
      <dgm:t>
        <a:bodyPr/>
        <a:lstStyle/>
        <a:p>
          <a:r>
            <a:rPr lang="en-US"/>
            <a:t>Calculate Capital Factor for each Performing Loan</a:t>
          </a:r>
        </a:p>
      </dgm:t>
    </dgm:pt>
    <dgm:pt modelId="{E535462B-1B13-4B57-B53B-70F9B4813517}" type="parTrans" cxnId="{E6C8C34C-30F1-4966-88AF-F2D6CADBECDB}">
      <dgm:prSet/>
      <dgm:spPr/>
      <dgm:t>
        <a:bodyPr/>
        <a:lstStyle/>
        <a:p>
          <a:endParaRPr lang="en-US"/>
        </a:p>
      </dgm:t>
    </dgm:pt>
    <dgm:pt modelId="{8B39C828-BF35-43B9-98D7-E26F1EDDECE4}" type="sibTrans" cxnId="{E6C8C34C-30F1-4966-88AF-F2D6CADBECDB}">
      <dgm:prSet/>
      <dgm:spPr/>
      <dgm:t>
        <a:bodyPr/>
        <a:lstStyle/>
        <a:p>
          <a:endParaRPr lang="en-US"/>
        </a:p>
      </dgm:t>
    </dgm:pt>
    <dgm:pt modelId="{96345BD2-CABC-489E-BAE5-B6F5123276E8}">
      <dgm:prSet phldrT="[Text]"/>
      <dgm:spPr>
        <a:ln>
          <a:solidFill>
            <a:schemeClr val="accent1"/>
          </a:solidFill>
        </a:ln>
      </dgm:spPr>
      <dgm:t>
        <a:bodyPr/>
        <a:lstStyle/>
        <a:p>
          <a:r>
            <a:rPr lang="en-US"/>
            <a:t>Multiply Capital Factor by Risk In Force</a:t>
          </a:r>
        </a:p>
      </dgm:t>
    </dgm:pt>
    <dgm:pt modelId="{FFEA5D90-C490-4BC2-A146-01B3AB560B2A}" type="parTrans" cxnId="{7615270B-49CB-49E3-A748-304E535AF9AB}">
      <dgm:prSet/>
      <dgm:spPr/>
      <dgm:t>
        <a:bodyPr/>
        <a:lstStyle/>
        <a:p>
          <a:endParaRPr lang="en-US"/>
        </a:p>
      </dgm:t>
    </dgm:pt>
    <dgm:pt modelId="{E09CCFE9-47DD-4D4F-8A12-64900F059101}" type="sibTrans" cxnId="{7615270B-49CB-49E3-A748-304E535AF9AB}">
      <dgm:prSet/>
      <dgm:spPr/>
      <dgm:t>
        <a:bodyPr/>
        <a:lstStyle/>
        <a:p>
          <a:endParaRPr lang="en-US"/>
        </a:p>
      </dgm:t>
    </dgm:pt>
    <dgm:pt modelId="{E86D7C2E-7261-4F5C-B687-24BB60023AA5}">
      <dgm:prSet phldrT="[Text]"/>
      <dgm:spPr>
        <a:ln>
          <a:solidFill>
            <a:schemeClr val="accent1"/>
          </a:solidFill>
        </a:ln>
      </dgm:spPr>
      <dgm:t>
        <a:bodyPr/>
        <a:lstStyle/>
        <a:p>
          <a:r>
            <a:rPr lang="en-US"/>
            <a:t>Aggregate for All Exposures</a:t>
          </a:r>
        </a:p>
      </dgm:t>
    </dgm:pt>
    <dgm:pt modelId="{E128C6FC-CA07-4891-95BF-FDCD53313ACE}" type="parTrans" cxnId="{6B10F9F8-B899-4654-8824-739E40A5F9D9}">
      <dgm:prSet/>
      <dgm:spPr/>
      <dgm:t>
        <a:bodyPr/>
        <a:lstStyle/>
        <a:p>
          <a:endParaRPr lang="en-US"/>
        </a:p>
      </dgm:t>
    </dgm:pt>
    <dgm:pt modelId="{5969CC2B-121A-4B21-A54F-6708D7D9E93F}" type="sibTrans" cxnId="{6B10F9F8-B899-4654-8824-739E40A5F9D9}">
      <dgm:prSet/>
      <dgm:spPr/>
      <dgm:t>
        <a:bodyPr/>
        <a:lstStyle/>
        <a:p>
          <a:endParaRPr lang="en-US"/>
        </a:p>
      </dgm:t>
    </dgm:pt>
    <dgm:pt modelId="{9FAC43DF-198C-4799-A79B-27E87020CEEA}">
      <dgm:prSet phldrT="[Text]"/>
      <dgm:spPr>
        <a:ln>
          <a:solidFill>
            <a:srgbClr val="C00000"/>
          </a:solidFill>
        </a:ln>
      </dgm:spPr>
      <dgm:t>
        <a:bodyPr/>
        <a:lstStyle/>
        <a:p>
          <a:r>
            <a:rPr lang="en-US"/>
            <a:t>Adjust for Credit for Future Premium</a:t>
          </a:r>
        </a:p>
      </dgm:t>
    </dgm:pt>
    <dgm:pt modelId="{4D80260E-E851-48EC-AE9C-CCCC662D8848}" type="parTrans" cxnId="{9AB135E5-0D10-4965-B58A-4B7AF498F9CA}">
      <dgm:prSet/>
      <dgm:spPr/>
      <dgm:t>
        <a:bodyPr/>
        <a:lstStyle/>
        <a:p>
          <a:endParaRPr lang="en-US"/>
        </a:p>
      </dgm:t>
    </dgm:pt>
    <dgm:pt modelId="{2F3229C6-24CC-40AC-BEBC-BCC964E7F63D}" type="sibTrans" cxnId="{9AB135E5-0D10-4965-B58A-4B7AF498F9CA}">
      <dgm:prSet/>
      <dgm:spPr/>
      <dgm:t>
        <a:bodyPr/>
        <a:lstStyle/>
        <a:p>
          <a:endParaRPr lang="en-US"/>
        </a:p>
      </dgm:t>
    </dgm:pt>
    <dgm:pt modelId="{900A9A2E-3387-4B29-A46A-125BBA7DE47C}">
      <dgm:prSet phldrT="[Text]"/>
      <dgm:spPr>
        <a:ln>
          <a:solidFill>
            <a:schemeClr val="accent1"/>
          </a:solidFill>
        </a:ln>
      </dgm:spPr>
      <dgm:t>
        <a:bodyPr/>
        <a:lstStyle/>
        <a:p>
          <a:r>
            <a:rPr lang="en-US"/>
            <a:t>Add Reserve Component</a:t>
          </a:r>
        </a:p>
      </dgm:t>
    </dgm:pt>
    <dgm:pt modelId="{E9F8F56B-F952-4BA7-B308-C5E0EBE22873}" type="parTrans" cxnId="{E2F876F9-0744-41F5-BC8A-DB4143986A0B}">
      <dgm:prSet/>
      <dgm:spPr/>
      <dgm:t>
        <a:bodyPr/>
        <a:lstStyle/>
        <a:p>
          <a:endParaRPr lang="en-US"/>
        </a:p>
      </dgm:t>
    </dgm:pt>
    <dgm:pt modelId="{097AF692-2C87-4A60-B091-900DE31917B2}" type="sibTrans" cxnId="{E2F876F9-0744-41F5-BC8A-DB4143986A0B}">
      <dgm:prSet/>
      <dgm:spPr/>
      <dgm:t>
        <a:bodyPr/>
        <a:lstStyle/>
        <a:p>
          <a:endParaRPr lang="en-US"/>
        </a:p>
      </dgm:t>
    </dgm:pt>
    <dgm:pt modelId="{F7FF29DA-9D89-4BE4-AC35-27551DA6ACA9}" type="pres">
      <dgm:prSet presAssocID="{8D0D5004-4ABC-40EF-9754-2CD928BFDBF7}" presName="Name0" presStyleCnt="0">
        <dgm:presLayoutVars>
          <dgm:dir/>
          <dgm:animLvl val="lvl"/>
          <dgm:resizeHandles val="exact"/>
        </dgm:presLayoutVars>
      </dgm:prSet>
      <dgm:spPr/>
    </dgm:pt>
    <dgm:pt modelId="{38EC2424-E9FC-4E9B-9EE1-CB264EEFA22A}" type="pres">
      <dgm:prSet presAssocID="{9C530B15-7205-4942-8887-24736F72ABCC}" presName="parTxOnly" presStyleLbl="node1" presStyleIdx="0" presStyleCnt="5">
        <dgm:presLayoutVars>
          <dgm:chMax val="0"/>
          <dgm:chPref val="0"/>
          <dgm:bulletEnabled val="1"/>
        </dgm:presLayoutVars>
      </dgm:prSet>
      <dgm:spPr/>
    </dgm:pt>
    <dgm:pt modelId="{A7383549-BC40-458D-A664-F8D5A1452797}" type="pres">
      <dgm:prSet presAssocID="{8B39C828-BF35-43B9-98D7-E26F1EDDECE4}" presName="parTxOnlySpace" presStyleCnt="0"/>
      <dgm:spPr/>
    </dgm:pt>
    <dgm:pt modelId="{1083BE95-CB3C-461D-9FB6-0A797A7EC178}" type="pres">
      <dgm:prSet presAssocID="{96345BD2-CABC-489E-BAE5-B6F5123276E8}" presName="parTxOnly" presStyleLbl="node1" presStyleIdx="1" presStyleCnt="5">
        <dgm:presLayoutVars>
          <dgm:chMax val="0"/>
          <dgm:chPref val="0"/>
          <dgm:bulletEnabled val="1"/>
        </dgm:presLayoutVars>
      </dgm:prSet>
      <dgm:spPr/>
    </dgm:pt>
    <dgm:pt modelId="{2FE6E35B-A53B-4517-ABDE-992FD3945E5A}" type="pres">
      <dgm:prSet presAssocID="{E09CCFE9-47DD-4D4F-8A12-64900F059101}" presName="parTxOnlySpace" presStyleCnt="0"/>
      <dgm:spPr/>
    </dgm:pt>
    <dgm:pt modelId="{2CDC22E0-BB57-4B06-B21B-0214F33B47C0}" type="pres">
      <dgm:prSet presAssocID="{E86D7C2E-7261-4F5C-B687-24BB60023AA5}" presName="parTxOnly" presStyleLbl="node1" presStyleIdx="2" presStyleCnt="5">
        <dgm:presLayoutVars>
          <dgm:chMax val="0"/>
          <dgm:chPref val="0"/>
          <dgm:bulletEnabled val="1"/>
        </dgm:presLayoutVars>
      </dgm:prSet>
      <dgm:spPr/>
    </dgm:pt>
    <dgm:pt modelId="{655D5DA4-0AE8-418A-B164-538BA132923E}" type="pres">
      <dgm:prSet presAssocID="{5969CC2B-121A-4B21-A54F-6708D7D9E93F}" presName="parTxOnlySpace" presStyleCnt="0"/>
      <dgm:spPr/>
    </dgm:pt>
    <dgm:pt modelId="{CD98C70A-3DA1-42D0-953E-BD6C7E9E8C6F}" type="pres">
      <dgm:prSet presAssocID="{9FAC43DF-198C-4799-A79B-27E87020CEEA}" presName="parTxOnly" presStyleLbl="node1" presStyleIdx="3" presStyleCnt="5">
        <dgm:presLayoutVars>
          <dgm:chMax val="0"/>
          <dgm:chPref val="0"/>
          <dgm:bulletEnabled val="1"/>
        </dgm:presLayoutVars>
      </dgm:prSet>
      <dgm:spPr/>
    </dgm:pt>
    <dgm:pt modelId="{498D25FB-E2AB-421D-B0D2-2478CB3749B5}" type="pres">
      <dgm:prSet presAssocID="{2F3229C6-24CC-40AC-BEBC-BCC964E7F63D}" presName="parTxOnlySpace" presStyleCnt="0"/>
      <dgm:spPr/>
    </dgm:pt>
    <dgm:pt modelId="{2EBC3E84-DC94-4096-A167-A8AD350BDA48}" type="pres">
      <dgm:prSet presAssocID="{900A9A2E-3387-4B29-A46A-125BBA7DE47C}" presName="parTxOnly" presStyleLbl="node1" presStyleIdx="4" presStyleCnt="5">
        <dgm:presLayoutVars>
          <dgm:chMax val="0"/>
          <dgm:chPref val="0"/>
          <dgm:bulletEnabled val="1"/>
        </dgm:presLayoutVars>
      </dgm:prSet>
      <dgm:spPr/>
    </dgm:pt>
  </dgm:ptLst>
  <dgm:cxnLst>
    <dgm:cxn modelId="{7615270B-49CB-49E3-A748-304E535AF9AB}" srcId="{8D0D5004-4ABC-40EF-9754-2CD928BFDBF7}" destId="{96345BD2-CABC-489E-BAE5-B6F5123276E8}" srcOrd="1" destOrd="0" parTransId="{FFEA5D90-C490-4BC2-A146-01B3AB560B2A}" sibTransId="{E09CCFE9-47DD-4D4F-8A12-64900F059101}"/>
    <dgm:cxn modelId="{21ECB95C-06EB-487A-8334-5A9CB1CB22D0}" type="presOf" srcId="{9C530B15-7205-4942-8887-24736F72ABCC}" destId="{38EC2424-E9FC-4E9B-9EE1-CB264EEFA22A}" srcOrd="0" destOrd="0" presId="urn:microsoft.com/office/officeart/2005/8/layout/chevron1"/>
    <dgm:cxn modelId="{0D25A94A-C8D5-4E90-94D3-058E711D2EB6}" type="presOf" srcId="{96345BD2-CABC-489E-BAE5-B6F5123276E8}" destId="{1083BE95-CB3C-461D-9FB6-0A797A7EC178}" srcOrd="0" destOrd="0" presId="urn:microsoft.com/office/officeart/2005/8/layout/chevron1"/>
    <dgm:cxn modelId="{E6C8C34C-30F1-4966-88AF-F2D6CADBECDB}" srcId="{8D0D5004-4ABC-40EF-9754-2CD928BFDBF7}" destId="{9C530B15-7205-4942-8887-24736F72ABCC}" srcOrd="0" destOrd="0" parTransId="{E535462B-1B13-4B57-B53B-70F9B4813517}" sibTransId="{8B39C828-BF35-43B9-98D7-E26F1EDDECE4}"/>
    <dgm:cxn modelId="{E960156E-4462-4B30-81BB-C64FB6709F5C}" type="presOf" srcId="{8D0D5004-4ABC-40EF-9754-2CD928BFDBF7}" destId="{F7FF29DA-9D89-4BE4-AC35-27551DA6ACA9}" srcOrd="0" destOrd="0" presId="urn:microsoft.com/office/officeart/2005/8/layout/chevron1"/>
    <dgm:cxn modelId="{45CC4B77-7F78-4706-A5D6-0C2D814C3789}" type="presOf" srcId="{E86D7C2E-7261-4F5C-B687-24BB60023AA5}" destId="{2CDC22E0-BB57-4B06-B21B-0214F33B47C0}" srcOrd="0" destOrd="0" presId="urn:microsoft.com/office/officeart/2005/8/layout/chevron1"/>
    <dgm:cxn modelId="{8CA2F28E-3750-484C-B8A2-6E53FFC01488}" type="presOf" srcId="{900A9A2E-3387-4B29-A46A-125BBA7DE47C}" destId="{2EBC3E84-DC94-4096-A167-A8AD350BDA48}" srcOrd="0" destOrd="0" presId="urn:microsoft.com/office/officeart/2005/8/layout/chevron1"/>
    <dgm:cxn modelId="{42B1669F-FBB6-4CDC-907D-97EEB8040365}" type="presOf" srcId="{9FAC43DF-198C-4799-A79B-27E87020CEEA}" destId="{CD98C70A-3DA1-42D0-953E-BD6C7E9E8C6F}" srcOrd="0" destOrd="0" presId="urn:microsoft.com/office/officeart/2005/8/layout/chevron1"/>
    <dgm:cxn modelId="{9AB135E5-0D10-4965-B58A-4B7AF498F9CA}" srcId="{8D0D5004-4ABC-40EF-9754-2CD928BFDBF7}" destId="{9FAC43DF-198C-4799-A79B-27E87020CEEA}" srcOrd="3" destOrd="0" parTransId="{4D80260E-E851-48EC-AE9C-CCCC662D8848}" sibTransId="{2F3229C6-24CC-40AC-BEBC-BCC964E7F63D}"/>
    <dgm:cxn modelId="{6B10F9F8-B899-4654-8824-739E40A5F9D9}" srcId="{8D0D5004-4ABC-40EF-9754-2CD928BFDBF7}" destId="{E86D7C2E-7261-4F5C-B687-24BB60023AA5}" srcOrd="2" destOrd="0" parTransId="{E128C6FC-CA07-4891-95BF-FDCD53313ACE}" sibTransId="{5969CC2B-121A-4B21-A54F-6708D7D9E93F}"/>
    <dgm:cxn modelId="{E2F876F9-0744-41F5-BC8A-DB4143986A0B}" srcId="{8D0D5004-4ABC-40EF-9754-2CD928BFDBF7}" destId="{900A9A2E-3387-4B29-A46A-125BBA7DE47C}" srcOrd="4" destOrd="0" parTransId="{E9F8F56B-F952-4BA7-B308-C5E0EBE22873}" sibTransId="{097AF692-2C87-4A60-B091-900DE31917B2}"/>
    <dgm:cxn modelId="{C32D4AF6-24F9-4395-BD6E-13C22EC5A18A}" type="presParOf" srcId="{F7FF29DA-9D89-4BE4-AC35-27551DA6ACA9}" destId="{38EC2424-E9FC-4E9B-9EE1-CB264EEFA22A}" srcOrd="0" destOrd="0" presId="urn:microsoft.com/office/officeart/2005/8/layout/chevron1"/>
    <dgm:cxn modelId="{07603BAC-780E-4ADD-946D-95F0D49B7236}" type="presParOf" srcId="{F7FF29DA-9D89-4BE4-AC35-27551DA6ACA9}" destId="{A7383549-BC40-458D-A664-F8D5A1452797}" srcOrd="1" destOrd="0" presId="urn:microsoft.com/office/officeart/2005/8/layout/chevron1"/>
    <dgm:cxn modelId="{66C153D7-4FF3-4AAD-8745-1CC88DF0A68F}" type="presParOf" srcId="{F7FF29DA-9D89-4BE4-AC35-27551DA6ACA9}" destId="{1083BE95-CB3C-461D-9FB6-0A797A7EC178}" srcOrd="2" destOrd="0" presId="urn:microsoft.com/office/officeart/2005/8/layout/chevron1"/>
    <dgm:cxn modelId="{DCE01DFC-ECA9-4178-A00D-DA00763BF6A4}" type="presParOf" srcId="{F7FF29DA-9D89-4BE4-AC35-27551DA6ACA9}" destId="{2FE6E35B-A53B-4517-ABDE-992FD3945E5A}" srcOrd="3" destOrd="0" presId="urn:microsoft.com/office/officeart/2005/8/layout/chevron1"/>
    <dgm:cxn modelId="{E2222810-FFDD-4EBE-889C-2DFEB40F7EC6}" type="presParOf" srcId="{F7FF29DA-9D89-4BE4-AC35-27551DA6ACA9}" destId="{2CDC22E0-BB57-4B06-B21B-0214F33B47C0}" srcOrd="4" destOrd="0" presId="urn:microsoft.com/office/officeart/2005/8/layout/chevron1"/>
    <dgm:cxn modelId="{6BAB6EC5-5692-4C4C-BF46-F7DA3FBF5018}" type="presParOf" srcId="{F7FF29DA-9D89-4BE4-AC35-27551DA6ACA9}" destId="{655D5DA4-0AE8-418A-B164-538BA132923E}" srcOrd="5" destOrd="0" presId="urn:microsoft.com/office/officeart/2005/8/layout/chevron1"/>
    <dgm:cxn modelId="{2F56A7CA-608E-4627-A375-4D2A0F62857B}" type="presParOf" srcId="{F7FF29DA-9D89-4BE4-AC35-27551DA6ACA9}" destId="{CD98C70A-3DA1-42D0-953E-BD6C7E9E8C6F}" srcOrd="6" destOrd="0" presId="urn:microsoft.com/office/officeart/2005/8/layout/chevron1"/>
    <dgm:cxn modelId="{14D7C3E6-3F3F-4FED-A0A5-33C09F10432A}" type="presParOf" srcId="{F7FF29DA-9D89-4BE4-AC35-27551DA6ACA9}" destId="{498D25FB-E2AB-421D-B0D2-2478CB3749B5}" srcOrd="7" destOrd="0" presId="urn:microsoft.com/office/officeart/2005/8/layout/chevron1"/>
    <dgm:cxn modelId="{55997D03-14BB-40C0-8645-D0CE7EDB14B9}" type="presParOf" srcId="{F7FF29DA-9D89-4BE4-AC35-27551DA6ACA9}" destId="{2EBC3E84-DC94-4096-A167-A8AD350BDA48}" srcOrd="8" destOrd="0" presId="urn:microsoft.com/office/officeart/2005/8/layout/chevr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EC2424-E9FC-4E9B-9EE1-CB264EEFA22A}">
      <dsp:nvSpPr>
        <dsp:cNvPr id="0" name=""/>
        <dsp:cNvSpPr/>
      </dsp:nvSpPr>
      <dsp:spPr>
        <a:xfrm>
          <a:off x="1339" y="180299"/>
          <a:ext cx="1192113" cy="476845"/>
        </a:xfrm>
        <a:prstGeom prst="chevron">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a:t>Calculate Capital Factor for each Performing Loan</a:t>
          </a:r>
        </a:p>
      </dsp:txBody>
      <dsp:txXfrm>
        <a:off x="239762" y="180299"/>
        <a:ext cx="715268" cy="476845"/>
      </dsp:txXfrm>
    </dsp:sp>
    <dsp:sp modelId="{1083BE95-CB3C-461D-9FB6-0A797A7EC178}">
      <dsp:nvSpPr>
        <dsp:cNvPr id="0" name=""/>
        <dsp:cNvSpPr/>
      </dsp:nvSpPr>
      <dsp:spPr>
        <a:xfrm>
          <a:off x="1074241" y="180299"/>
          <a:ext cx="1192113" cy="476845"/>
        </a:xfrm>
        <a:prstGeom prst="chevron">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a:t>Multiply Capital Factor by Risk In Force</a:t>
          </a:r>
        </a:p>
      </dsp:txBody>
      <dsp:txXfrm>
        <a:off x="1312664" y="180299"/>
        <a:ext cx="715268" cy="476845"/>
      </dsp:txXfrm>
    </dsp:sp>
    <dsp:sp modelId="{2CDC22E0-BB57-4B06-B21B-0214F33B47C0}">
      <dsp:nvSpPr>
        <dsp:cNvPr id="0" name=""/>
        <dsp:cNvSpPr/>
      </dsp:nvSpPr>
      <dsp:spPr>
        <a:xfrm>
          <a:off x="2147143" y="180299"/>
          <a:ext cx="1192113" cy="476845"/>
        </a:xfrm>
        <a:prstGeom prst="chevron">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a:t>Aggregate for All Exposures</a:t>
          </a:r>
        </a:p>
      </dsp:txBody>
      <dsp:txXfrm>
        <a:off x="2385566" y="180299"/>
        <a:ext cx="715268" cy="476845"/>
      </dsp:txXfrm>
    </dsp:sp>
    <dsp:sp modelId="{CD98C70A-3DA1-42D0-953E-BD6C7E9E8C6F}">
      <dsp:nvSpPr>
        <dsp:cNvPr id="0" name=""/>
        <dsp:cNvSpPr/>
      </dsp:nvSpPr>
      <dsp:spPr>
        <a:xfrm>
          <a:off x="3220045" y="180299"/>
          <a:ext cx="1192113" cy="476845"/>
        </a:xfrm>
        <a:prstGeom prst="chevron">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a:t>Adjust for Credit for Future Premium</a:t>
          </a:r>
        </a:p>
      </dsp:txBody>
      <dsp:txXfrm>
        <a:off x="3458468" y="180299"/>
        <a:ext cx="715268" cy="476845"/>
      </dsp:txXfrm>
    </dsp:sp>
    <dsp:sp modelId="{2EBC3E84-DC94-4096-A167-A8AD350BDA48}">
      <dsp:nvSpPr>
        <dsp:cNvPr id="0" name=""/>
        <dsp:cNvSpPr/>
      </dsp:nvSpPr>
      <dsp:spPr>
        <a:xfrm>
          <a:off x="4292947" y="180299"/>
          <a:ext cx="1192113" cy="476845"/>
        </a:xfrm>
        <a:prstGeom prst="chevron">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a:t>Add Reserve Component</a:t>
          </a:r>
        </a:p>
      </dsp:txBody>
      <dsp:txXfrm>
        <a:off x="4531370" y="180299"/>
        <a:ext cx="715268" cy="476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illiman CURRENT 2016">
      <a:dk1>
        <a:sysClr val="windowText" lastClr="000000"/>
      </a:dk1>
      <a:lt1>
        <a:sysClr val="window" lastClr="FFFFFF"/>
      </a:lt1>
      <a:dk2>
        <a:srgbClr val="0A4977"/>
      </a:dk2>
      <a:lt2>
        <a:srgbClr val="39414D"/>
      </a:lt2>
      <a:accent1>
        <a:srgbClr val="8EA780"/>
      </a:accent1>
      <a:accent2>
        <a:srgbClr val="C6C9CA"/>
      </a:accent2>
      <a:accent3>
        <a:srgbClr val="727A7D"/>
      </a:accent3>
      <a:accent4>
        <a:srgbClr val="0081E3"/>
      </a:accent4>
      <a:accent5>
        <a:srgbClr val="FFA200"/>
      </a:accent5>
      <a:accent6>
        <a:srgbClr val="64A623"/>
      </a:accent6>
      <a:hlink>
        <a:srgbClr val="0081E3"/>
      </a:hlink>
      <a:folHlink>
        <a:srgbClr val="0081E3"/>
      </a:folHlink>
    </a:clrScheme>
    <a:fontScheme name="Millim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E8A8ACD3F644CAE32F371CC73A2F1" ma:contentTypeVersion="33" ma:contentTypeDescription="Create a new document." ma:contentTypeScope="" ma:versionID="b3f698d97154d7a3443c27b1545d1192">
  <xsd:schema xmlns:xsd="http://www.w3.org/2001/XMLSchema" xmlns:xs="http://www.w3.org/2001/XMLSchema" xmlns:p="http://schemas.microsoft.com/office/2006/metadata/properties" xmlns:ns1="4cee28eb-b0b7-4e10-a93a-4dc8b0278c6d" targetNamespace="http://schemas.microsoft.com/office/2006/metadata/properties" ma:root="true" ma:fieldsID="c7888a8d7e0efbb6a9582b8e80d168d4" ns1:_="">
    <xsd:import namespace="4cee28eb-b0b7-4e10-a93a-4dc8b0278c6d"/>
    <xsd:element name="properties">
      <xsd:complexType>
        <xsd:sequence>
          <xsd:element name="documentManagement">
            <xsd:complexType>
              <xsd:all>
                <xsd:element ref="ns1:Templates_x0020_Grouping"/>
                <xsd:element ref="ns1:Template_x0020_Type"/>
                <xsd:element ref="ns1:Template_x0020_Range"/>
                <xsd:element ref="ns1:Ordering"/>
                <xsd:element ref="ns1:Template_x0020_Type_x003a_ID" minOccurs="0"/>
                <xsd:element ref="ns1:Templates_x0020_Grouping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e28eb-b0b7-4e10-a93a-4dc8b0278c6d" elementFormDefault="qualified">
    <xsd:import namespace="http://schemas.microsoft.com/office/2006/documentManagement/types"/>
    <xsd:import namespace="http://schemas.microsoft.com/office/infopath/2007/PartnerControls"/>
    <xsd:element name="Templates_x0020_Grouping" ma:index="0" ma:displayName="Templates Grouping" ma:list="{6303e99a-29db-41e5-9e77-81146aa8f4d0}" ma:internalName="Templates_x0020_Grouping" ma:readOnly="false" ma:showField="Title">
      <xsd:simpleType>
        <xsd:restriction base="dms:Lookup"/>
      </xsd:simpleType>
    </xsd:element>
    <xsd:element name="Template_x0020_Type" ma:index="3" ma:displayName="Template Type" ma:description="" ma:list="{6303e99a-29db-41e5-9e77-81146aa8f4d0}" ma:internalName="Template_x0020_Type" ma:readOnly="false" ma:showField="Title" ma:web="{29BF34BF-9E60-4E62-A43A-C0E7E52CE835}">
      <xsd:simpleType>
        <xsd:restriction base="dms:Lookup"/>
      </xsd:simpleType>
    </xsd:element>
    <xsd:element name="Template_x0020_Range" ma:index="4" ma:displayName="Template Range" ma:format="Dropdown" ma:internalName="Template_x0020_Range" ma:readOnly="false">
      <xsd:simpleType>
        <xsd:restriction base="dms:Choice">
          <xsd:enumeration value="Word - Letterhead, Memo, and Fax"/>
          <xsd:enumeration value="Word - White Paper and Report"/>
          <xsd:enumeration value="Word - Proposal"/>
          <xsd:enumeration value="PowerPoint - Print"/>
          <xsd:enumeration value="PowerPoint - Projection"/>
          <xsd:enumeration value="Maps"/>
          <xsd:enumeration value="Chart, Excel and Theme"/>
        </xsd:restriction>
      </xsd:simpleType>
    </xsd:element>
    <xsd:element name="Ordering" ma:index="5" ma:displayName="Ordering" ma:decimals="0" ma:internalName="Ordering" ma:readOnly="false">
      <xsd:simpleType>
        <xsd:restriction base="dms:Number"/>
      </xsd:simpleType>
    </xsd:element>
    <xsd:element name="Template_x0020_Type_x003a_ID" ma:index="8" nillable="true" ma:displayName="Template Type:ID" ma:list="{6303e99a-29db-41e5-9e77-81146aa8f4d0}" ma:internalName="Template_x0020_Type_x003a_ID" ma:readOnly="true" ma:showField="ID" ma:web="29bf34bf-9e60-4e62-a43a-c0e7e52ce835">
      <xsd:simpleType>
        <xsd:restriction base="dms:Lookup"/>
      </xsd:simpleType>
    </xsd:element>
    <xsd:element name="Templates_x0020_Grouping_x003a_ID" ma:index="9" nillable="true" ma:displayName="Templates Grouping:ID" ma:list="{6303e99a-29db-41e5-9e77-81146aa8f4d0}" ma:internalName="Templates_x0020_Grouping_x003a_ID" ma:readOnly="true" ma:showField="ID" ma:web="29bf34bf-9e60-4e62-a43a-c0e7e52ce8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5a44ca-f4da-4f0f-990f-903029b64d2e"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emplate_x0020_Type xmlns="4cee28eb-b0b7-4e10-a93a-4dc8b0278c6d">4</Template_x0020_Type>
    <Template_x0020_Range xmlns="4cee28eb-b0b7-4e10-a93a-4dc8b0278c6d">Word - White Paper and Report</Template_x0020_Range>
    <Ordering xmlns="4cee28eb-b0b7-4e10-a93a-4dc8b0278c6d">2</Ordering>
    <Templates_x0020_Grouping xmlns="4cee28eb-b0b7-4e10-a93a-4dc8b0278c6d">46</Templates_x0020_Grouping>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BDDD-B1CD-47B6-A900-D4CBD0F27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e28eb-b0b7-4e10-a93a-4dc8b0278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DFF70-DB0A-41BF-A5A6-544EB1EF7AC6}">
  <ds:schemaRefs>
    <ds:schemaRef ds:uri="http://schemas.microsoft.com/sharepoint/v3/contenttype/forms"/>
  </ds:schemaRefs>
</ds:datastoreItem>
</file>

<file path=customXml/itemProps3.xml><?xml version="1.0" encoding="utf-8"?>
<ds:datastoreItem xmlns:ds="http://schemas.openxmlformats.org/officeDocument/2006/customXml" ds:itemID="{191D53BB-E040-40E0-8BC4-58760CCB4D9F}">
  <ds:schemaRefs>
    <ds:schemaRef ds:uri="Microsoft.SharePoint.Taxonomy.ContentTypeSync"/>
  </ds:schemaRefs>
</ds:datastoreItem>
</file>

<file path=customXml/itemProps4.xml><?xml version="1.0" encoding="utf-8"?>
<ds:datastoreItem xmlns:ds="http://schemas.openxmlformats.org/officeDocument/2006/customXml" ds:itemID="{0F5D17A7-DFB8-46AF-9E64-F98FA3798ECD}">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4cee28eb-b0b7-4e10-a93a-4dc8b0278c6d"/>
    <ds:schemaRef ds:uri="http://purl.org/dc/elements/1.1/"/>
  </ds:schemaRefs>
</ds:datastoreItem>
</file>

<file path=customXml/itemProps5.xml><?xml version="1.0" encoding="utf-8"?>
<ds:datastoreItem xmlns:ds="http://schemas.openxmlformats.org/officeDocument/2006/customXml" ds:itemID="{26154394-11D2-4974-AEC8-1AAA958F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EDD98990</Template>
  <TotalTime>1</TotalTime>
  <Pages>25</Pages>
  <Words>8490</Words>
  <Characters>48399</Characters>
  <Application>Microsoft Office Word</Application>
  <DocSecurity>2</DocSecurity>
  <Lines>403</Lines>
  <Paragraphs>113</Paragraphs>
  <ScaleCrop>false</ScaleCrop>
  <HeadingPairs>
    <vt:vector size="2" baseType="variant">
      <vt:variant>
        <vt:lpstr>Title</vt:lpstr>
      </vt:variant>
      <vt:variant>
        <vt:i4>1</vt:i4>
      </vt:variant>
    </vt:vector>
  </HeadingPairs>
  <TitlesOfParts>
    <vt:vector size="1" baseType="lpstr">
      <vt:lpstr>Report template with corporate brand colors, styles, and formatting - US letter</vt:lpstr>
    </vt:vector>
  </TitlesOfParts>
  <Company/>
  <LinksUpToDate>false</LinksUpToDate>
  <CharactersWithSpaces>56776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corporate brand colors, styles, and formatting - US letter</dc:title>
  <dc:subject/>
  <dc:creator>Amy Marie Le</dc:creator>
  <cp:keywords/>
  <dc:description/>
  <cp:lastModifiedBy>Arscott, Erin</cp:lastModifiedBy>
  <cp:revision>3</cp:revision>
  <cp:lastPrinted>2018-03-01T20:43:00Z</cp:lastPrinted>
  <dcterms:created xsi:type="dcterms:W3CDTF">2019-12-03T17:46:00Z</dcterms:created>
  <dcterms:modified xsi:type="dcterms:W3CDTF">2019-12-03T17:46:00Z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0x010100153E8A8ACD3F644CAE32F371CC73A2F1</vt:lpwstr>
  </property>
  <property fmtid="{D5CDD505-2E9C-101B-9397-08002B2CF9AE}" pid="3" name="Thumbnail">
    <vt:lpwstr>, </vt:lpwstr>
  </property>
</Properties>
</file>