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A047" w14:textId="77777777" w:rsidR="000327EB" w:rsidRDefault="000327EB" w:rsidP="000327EB">
      <w:pPr>
        <w:jc w:val="both"/>
      </w:pPr>
    </w:p>
    <w:p w14:paraId="3E5FDCBF" w14:textId="23A24242" w:rsidR="00652EF6" w:rsidRDefault="00652EF6" w:rsidP="00652EF6">
      <w:pPr>
        <w:rPr>
          <w:rFonts w:ascii="Times New Roman" w:eastAsia="Calibri" w:hAnsi="Times New Roman" w:cs="Times New Roman"/>
          <w:b/>
          <w:bCs/>
        </w:rPr>
      </w:pPr>
      <w:r>
        <w:rPr>
          <w:rFonts w:ascii="Times New Roman" w:eastAsia="Calibri" w:hAnsi="Times New Roman" w:cs="Times New Roman"/>
          <w:b/>
          <w:bCs/>
        </w:rPr>
        <w:t>Comments are requested by close of business Friday, March 24, 2023</w:t>
      </w:r>
    </w:p>
    <w:p w14:paraId="0489EB36" w14:textId="77777777" w:rsidR="00652EF6" w:rsidRDefault="00652EF6" w:rsidP="000327EB">
      <w:pPr>
        <w:jc w:val="center"/>
        <w:rPr>
          <w:rFonts w:ascii="Times New Roman" w:eastAsia="Calibri" w:hAnsi="Times New Roman" w:cs="Times New Roman"/>
          <w:b/>
          <w:bCs/>
        </w:rPr>
      </w:pPr>
    </w:p>
    <w:p w14:paraId="3FDD988A" w14:textId="7EA46A2B" w:rsidR="000327EB" w:rsidRPr="00F81D2E" w:rsidRDefault="000327EB" w:rsidP="000327EB">
      <w:pPr>
        <w:jc w:val="center"/>
        <w:rPr>
          <w:rFonts w:ascii="Times New Roman" w:eastAsia="Calibri" w:hAnsi="Times New Roman" w:cs="Times New Roman"/>
          <w:b/>
          <w:bCs/>
        </w:rPr>
      </w:pPr>
      <w:r w:rsidRPr="00F81D2E">
        <w:rPr>
          <w:rFonts w:ascii="Times New Roman" w:eastAsia="Calibri" w:hAnsi="Times New Roman" w:cs="Times New Roman"/>
          <w:b/>
          <w:bCs/>
        </w:rPr>
        <w:t>MEMORANDUM</w:t>
      </w:r>
    </w:p>
    <w:p w14:paraId="3331AA52" w14:textId="77777777" w:rsidR="000327EB" w:rsidRPr="00F81D2E" w:rsidRDefault="000327EB" w:rsidP="000327EB">
      <w:pPr>
        <w:jc w:val="both"/>
        <w:rPr>
          <w:rFonts w:ascii="Times New Roman" w:eastAsia="Calibri" w:hAnsi="Times New Roman" w:cs="Times New Roman"/>
          <w:b/>
          <w:bCs/>
        </w:rPr>
      </w:pPr>
    </w:p>
    <w:p w14:paraId="135FCA82" w14:textId="77777777" w:rsidR="000327EB" w:rsidRPr="00F81D2E" w:rsidRDefault="000327EB" w:rsidP="000327EB">
      <w:pPr>
        <w:ind w:left="720" w:hanging="720"/>
        <w:jc w:val="both"/>
        <w:rPr>
          <w:rFonts w:ascii="Times New Roman" w:eastAsia="Calibri" w:hAnsi="Times New Roman" w:cs="Times New Roman"/>
        </w:rPr>
      </w:pPr>
      <w:r w:rsidRPr="00F81D2E">
        <w:rPr>
          <w:rFonts w:ascii="Times New Roman" w:eastAsia="Calibri" w:hAnsi="Times New Roman" w:cs="Times New Roman"/>
        </w:rPr>
        <w:t>TO:</w:t>
      </w:r>
      <w:r w:rsidRPr="00F81D2E">
        <w:rPr>
          <w:rFonts w:ascii="Times New Roman" w:eastAsia="Calibri" w:hAnsi="Times New Roman" w:cs="Times New Roman"/>
        </w:rPr>
        <w:tab/>
      </w:r>
      <w:r w:rsidRPr="00F81D2E">
        <w:rPr>
          <w:rFonts w:ascii="Times New Roman" w:eastAsia="Calibri" w:hAnsi="Times New Roman" w:cs="Times New Roman"/>
          <w:b/>
          <w:bCs/>
          <w:color w:val="111822"/>
        </w:rPr>
        <w:t>Market Conduct Examination Guidelines (D) Working Group</w:t>
      </w:r>
      <w:r>
        <w:rPr>
          <w:rFonts w:ascii="Times New Roman" w:eastAsia="Calibri" w:hAnsi="Times New Roman" w:cs="Times New Roman"/>
          <w:color w:val="111822"/>
        </w:rPr>
        <w:t xml:space="preserve"> </w:t>
      </w:r>
      <w:r w:rsidRPr="00F81D2E">
        <w:rPr>
          <w:rFonts w:ascii="Times New Roman" w:eastAsia="Calibri" w:hAnsi="Times New Roman" w:cs="Times New Roman"/>
          <w:color w:val="111822"/>
        </w:rPr>
        <w:t>of the Market Regulation and Consumer Affairs (D) Committee</w:t>
      </w:r>
    </w:p>
    <w:p w14:paraId="5CE891FA" w14:textId="77777777" w:rsidR="000327EB" w:rsidRPr="00F81D2E" w:rsidRDefault="000327EB" w:rsidP="000327EB">
      <w:pPr>
        <w:ind w:left="720" w:hanging="720"/>
        <w:jc w:val="both"/>
        <w:rPr>
          <w:rFonts w:ascii="Times New Roman" w:eastAsia="Calibri" w:hAnsi="Times New Roman" w:cs="Times New Roman"/>
        </w:rPr>
      </w:pPr>
    </w:p>
    <w:p w14:paraId="6134F8DD" w14:textId="77777777" w:rsidR="000327EB" w:rsidRPr="00F81D2E" w:rsidRDefault="000327EB" w:rsidP="000327EB">
      <w:pPr>
        <w:ind w:left="810" w:hanging="810"/>
        <w:jc w:val="both"/>
        <w:rPr>
          <w:rFonts w:ascii="Times New Roman" w:eastAsia="Calibri" w:hAnsi="Times New Roman" w:cs="Times New Roman"/>
        </w:rPr>
      </w:pPr>
      <w:r w:rsidRPr="00F81D2E">
        <w:rPr>
          <w:rFonts w:ascii="Times New Roman" w:eastAsia="Calibri" w:hAnsi="Times New Roman" w:cs="Times New Roman"/>
        </w:rPr>
        <w:t>FROM: Accelerated Underwriting (A) Working Group of the Life Insurance and Annuities (A) Committee</w:t>
      </w:r>
    </w:p>
    <w:p w14:paraId="483C1658" w14:textId="77777777" w:rsidR="000327EB" w:rsidRPr="00F81D2E" w:rsidRDefault="000327EB" w:rsidP="000327EB">
      <w:pPr>
        <w:ind w:left="720" w:hanging="720"/>
        <w:jc w:val="both"/>
        <w:rPr>
          <w:rFonts w:ascii="Times New Roman" w:eastAsia="Calibri" w:hAnsi="Times New Roman" w:cs="Times New Roman"/>
        </w:rPr>
      </w:pPr>
    </w:p>
    <w:p w14:paraId="44320290" w14:textId="15ED20AB" w:rsidR="000327EB" w:rsidRPr="00F81D2E" w:rsidRDefault="000327EB" w:rsidP="000327EB">
      <w:pPr>
        <w:ind w:left="720" w:hanging="720"/>
        <w:jc w:val="both"/>
        <w:rPr>
          <w:rFonts w:ascii="Times New Roman" w:eastAsia="Calibri" w:hAnsi="Times New Roman" w:cs="Times New Roman"/>
        </w:rPr>
      </w:pPr>
      <w:r w:rsidRPr="00F81D2E">
        <w:rPr>
          <w:rFonts w:ascii="Times New Roman" w:eastAsia="Calibri" w:hAnsi="Times New Roman" w:cs="Times New Roman"/>
        </w:rPr>
        <w:t>DATE:</w:t>
      </w:r>
      <w:r w:rsidRPr="00F81D2E">
        <w:rPr>
          <w:rFonts w:ascii="Times New Roman" w:eastAsia="Calibri" w:hAnsi="Times New Roman" w:cs="Times New Roman"/>
        </w:rPr>
        <w:tab/>
      </w:r>
      <w:r>
        <w:rPr>
          <w:rFonts w:ascii="Times New Roman" w:eastAsia="Calibri" w:hAnsi="Times New Roman" w:cs="Times New Roman"/>
        </w:rPr>
        <w:t xml:space="preserve"> </w:t>
      </w:r>
      <w:proofErr w:type="gramStart"/>
      <w:r w:rsidR="005831A8">
        <w:rPr>
          <w:rFonts w:ascii="Times New Roman" w:eastAsia="Calibri" w:hAnsi="Times New Roman" w:cs="Times New Roman"/>
        </w:rPr>
        <w:t>January</w:t>
      </w:r>
      <w:r>
        <w:rPr>
          <w:rFonts w:ascii="Times New Roman" w:eastAsia="Calibri" w:hAnsi="Times New Roman" w:cs="Times New Roman"/>
        </w:rPr>
        <w:t xml:space="preserve"> ?</w:t>
      </w:r>
      <w:proofErr w:type="gramEnd"/>
      <w:r w:rsidRPr="00F81D2E">
        <w:rPr>
          <w:rFonts w:ascii="Times New Roman" w:eastAsia="Calibri" w:hAnsi="Times New Roman" w:cs="Times New Roman"/>
        </w:rPr>
        <w:t>, 202</w:t>
      </w:r>
      <w:r>
        <w:rPr>
          <w:rFonts w:ascii="Times New Roman" w:eastAsia="Calibri" w:hAnsi="Times New Roman" w:cs="Times New Roman"/>
        </w:rPr>
        <w:t>3</w:t>
      </w:r>
    </w:p>
    <w:p w14:paraId="4D992AEC" w14:textId="77777777" w:rsidR="000327EB" w:rsidRPr="00F81D2E" w:rsidRDefault="000327EB" w:rsidP="000327EB">
      <w:pPr>
        <w:ind w:left="720" w:hanging="720"/>
        <w:jc w:val="both"/>
        <w:rPr>
          <w:rFonts w:ascii="Times New Roman" w:eastAsia="Calibri" w:hAnsi="Times New Roman" w:cs="Times New Roman"/>
        </w:rPr>
      </w:pPr>
    </w:p>
    <w:p w14:paraId="08108D0F" w14:textId="77777777" w:rsidR="000327EB" w:rsidRPr="00F81D2E" w:rsidRDefault="000327EB" w:rsidP="000327EB">
      <w:pPr>
        <w:pBdr>
          <w:bottom w:val="single" w:sz="12" w:space="1" w:color="auto"/>
        </w:pBdr>
        <w:ind w:left="720" w:hanging="720"/>
        <w:jc w:val="both"/>
        <w:rPr>
          <w:rFonts w:ascii="Times New Roman" w:eastAsia="Calibri" w:hAnsi="Times New Roman" w:cs="Times New Roman"/>
        </w:rPr>
      </w:pPr>
      <w:r w:rsidRPr="00F81D2E">
        <w:rPr>
          <w:rFonts w:ascii="Times New Roman" w:eastAsia="Calibri" w:hAnsi="Times New Roman" w:cs="Times New Roman"/>
        </w:rPr>
        <w:t>RE:</w:t>
      </w:r>
      <w:r w:rsidRPr="00F81D2E">
        <w:rPr>
          <w:rFonts w:ascii="Times New Roman" w:eastAsia="Calibri" w:hAnsi="Times New Roman" w:cs="Times New Roman"/>
        </w:rPr>
        <w:tab/>
        <w:t xml:space="preserve">Suggested additions to the NAIC’s </w:t>
      </w:r>
      <w:r w:rsidRPr="00F81D2E">
        <w:rPr>
          <w:rFonts w:ascii="Times New Roman" w:eastAsia="Calibri" w:hAnsi="Times New Roman" w:cs="Times New Roman"/>
          <w:i/>
          <w:iCs/>
        </w:rPr>
        <w:t>Market Regulation Handbook</w:t>
      </w:r>
      <w:r w:rsidRPr="00F81D2E">
        <w:rPr>
          <w:rFonts w:ascii="Times New Roman" w:eastAsia="Calibri" w:hAnsi="Times New Roman" w:cs="Times New Roman"/>
        </w:rPr>
        <w:t xml:space="preserve"> addressing accelerated underwriting in life insurance</w:t>
      </w:r>
    </w:p>
    <w:p w14:paraId="7E002C72" w14:textId="77777777" w:rsidR="000327EB" w:rsidRDefault="000327EB" w:rsidP="000327EB">
      <w:pPr>
        <w:jc w:val="both"/>
      </w:pPr>
    </w:p>
    <w:p w14:paraId="67B613DD" w14:textId="77777777" w:rsidR="000327EB" w:rsidRDefault="000327EB" w:rsidP="000327EB">
      <w:pPr>
        <w:jc w:val="both"/>
        <w:rPr>
          <w:rFonts w:ascii="Times New Roman" w:hAnsi="Times New Roman" w:cs="Times New Roman"/>
        </w:rPr>
      </w:pPr>
      <w:r>
        <w:rPr>
          <w:rFonts w:ascii="Times New Roman" w:hAnsi="Times New Roman" w:cs="Times New Roman"/>
        </w:rPr>
        <w:t>The Accelerated Underwriting Working Group (AUWG) was created by the Life Insurance and Annuities (A) Committee at the NAIC 2019 Summer National Meeting to “… consider the use of external data and data analytics in accelerated life underwriting, including consideration of the ongoing work of the Life Actuarial (A) Task Force on the issue and, if appropriate, drafting guidance for the states.”</w:t>
      </w:r>
    </w:p>
    <w:p w14:paraId="4F24E844" w14:textId="77777777" w:rsidR="000327EB" w:rsidRDefault="000327EB" w:rsidP="000327EB">
      <w:pPr>
        <w:jc w:val="both"/>
        <w:rPr>
          <w:rFonts w:ascii="Times New Roman" w:hAnsi="Times New Roman" w:cs="Times New Roman"/>
        </w:rPr>
      </w:pPr>
    </w:p>
    <w:p w14:paraId="55EF5085" w14:textId="77777777" w:rsidR="000327EB" w:rsidRDefault="000327EB" w:rsidP="000327EB">
      <w:pPr>
        <w:jc w:val="both"/>
        <w:rPr>
          <w:rFonts w:ascii="Times New Roman" w:hAnsi="Times New Roman" w:cs="Times New Roman"/>
          <w:iCs/>
        </w:rPr>
      </w:pPr>
      <w:r>
        <w:rPr>
          <w:rFonts w:ascii="Times New Roman" w:hAnsi="Times New Roman" w:cs="Times New Roman"/>
        </w:rPr>
        <w:t xml:space="preserve">The AUWG drafted an education paper that was adopted by the </w:t>
      </w:r>
      <w:r w:rsidRPr="00F81D2E">
        <w:rPr>
          <w:rFonts w:ascii="Times New Roman" w:hAnsi="Times New Roman" w:cs="Times New Roman"/>
        </w:rPr>
        <w:t>Life Insurance and Annuities (A) Committee</w:t>
      </w:r>
      <w:r>
        <w:rPr>
          <w:rFonts w:ascii="Times New Roman" w:hAnsi="Times New Roman" w:cs="Times New Roman"/>
        </w:rPr>
        <w:t xml:space="preserve"> on April 7, 2022</w:t>
      </w:r>
      <w:r w:rsidRPr="00F81D2E">
        <w:rPr>
          <w:rFonts w:ascii="Times New Roman" w:hAnsi="Times New Roman" w:cs="Times New Roman"/>
        </w:rPr>
        <w:t>. The AUWG continues it</w:t>
      </w:r>
      <w:r>
        <w:rPr>
          <w:rFonts w:ascii="Times New Roman" w:hAnsi="Times New Roman" w:cs="Times New Roman"/>
        </w:rPr>
        <w:t>s</w:t>
      </w:r>
      <w:r w:rsidRPr="00F81D2E">
        <w:rPr>
          <w:rFonts w:ascii="Times New Roman" w:hAnsi="Times New Roman" w:cs="Times New Roman"/>
        </w:rPr>
        <w:t xml:space="preserve"> work to draft guidance for </w:t>
      </w:r>
      <w:r>
        <w:rPr>
          <w:rFonts w:ascii="Times New Roman" w:hAnsi="Times New Roman" w:cs="Times New Roman"/>
        </w:rPr>
        <w:t>the states reviewing life insurers’ use of accelerated underwriting. As part of that work, t</w:t>
      </w:r>
      <w:r w:rsidRPr="00F81D2E">
        <w:rPr>
          <w:rFonts w:ascii="Times New Roman" w:hAnsi="Times New Roman" w:cs="Times New Roman"/>
        </w:rPr>
        <w:t xml:space="preserve">he </w:t>
      </w:r>
      <w:r>
        <w:rPr>
          <w:rFonts w:ascii="Times New Roman" w:hAnsi="Times New Roman" w:cs="Times New Roman"/>
        </w:rPr>
        <w:t>AUWG</w:t>
      </w:r>
      <w:r w:rsidRPr="00F81D2E">
        <w:rPr>
          <w:rFonts w:ascii="Times New Roman" w:hAnsi="Times New Roman" w:cs="Times New Roman"/>
        </w:rPr>
        <w:t xml:space="preserve"> </w:t>
      </w:r>
      <w:r>
        <w:rPr>
          <w:rFonts w:ascii="Times New Roman" w:hAnsi="Times New Roman" w:cs="Times New Roman"/>
        </w:rPr>
        <w:t>makes this referral to the Market Conduct Examination Guidelines (D) Working Group</w:t>
      </w:r>
      <w:r w:rsidRPr="00F81D2E">
        <w:rPr>
          <w:rFonts w:ascii="Times New Roman" w:hAnsi="Times New Roman" w:cs="Times New Roman"/>
        </w:rPr>
        <w:t xml:space="preserve"> to include additional guidance in the NAIC’s </w:t>
      </w:r>
      <w:r w:rsidRPr="00F81D2E">
        <w:rPr>
          <w:rFonts w:ascii="Times New Roman" w:hAnsi="Times New Roman" w:cs="Times New Roman"/>
          <w:i/>
        </w:rPr>
        <w:t>Market Regulation Handbook</w:t>
      </w:r>
      <w:r w:rsidRPr="00F81D2E">
        <w:rPr>
          <w:rFonts w:ascii="Times New Roman" w:hAnsi="Times New Roman" w:cs="Times New Roman"/>
        </w:rPr>
        <w:t xml:space="preserve"> (MRH) that will address questions involving accelerated underwriting in life insurance. </w:t>
      </w:r>
      <w:r w:rsidRPr="00F81D2E">
        <w:rPr>
          <w:rFonts w:ascii="Times New Roman" w:hAnsi="Times New Roman" w:cs="Times New Roman"/>
          <w:iCs/>
        </w:rPr>
        <w:t xml:space="preserve">The </w:t>
      </w:r>
      <w:r>
        <w:rPr>
          <w:rFonts w:ascii="Times New Roman" w:hAnsi="Times New Roman" w:cs="Times New Roman"/>
          <w:iCs/>
        </w:rPr>
        <w:t xml:space="preserve">AUWG </w:t>
      </w:r>
      <w:r w:rsidRPr="00F81D2E">
        <w:rPr>
          <w:rFonts w:ascii="Times New Roman" w:hAnsi="Times New Roman" w:cs="Times New Roman"/>
          <w:iCs/>
        </w:rPr>
        <w:t>believes that adding additional explanation and review criteria about accelerated underwriting</w:t>
      </w:r>
      <w:r>
        <w:rPr>
          <w:rFonts w:ascii="Times New Roman" w:hAnsi="Times New Roman" w:cs="Times New Roman"/>
          <w:iCs/>
        </w:rPr>
        <w:t xml:space="preserve"> in the MRH</w:t>
      </w:r>
      <w:r w:rsidRPr="00F81D2E">
        <w:rPr>
          <w:rFonts w:ascii="Times New Roman" w:hAnsi="Times New Roman" w:cs="Times New Roman"/>
          <w:iCs/>
        </w:rPr>
        <w:t xml:space="preserve"> is necessary to alert the market conduct examiner to the novel data and processes utilized </w:t>
      </w:r>
      <w:r>
        <w:rPr>
          <w:rFonts w:ascii="Times New Roman" w:hAnsi="Times New Roman" w:cs="Times New Roman"/>
          <w:iCs/>
        </w:rPr>
        <w:t xml:space="preserve">by life insurers </w:t>
      </w:r>
      <w:r w:rsidRPr="00F81D2E">
        <w:rPr>
          <w:rFonts w:ascii="Times New Roman" w:hAnsi="Times New Roman" w:cs="Times New Roman"/>
          <w:iCs/>
        </w:rPr>
        <w:t xml:space="preserve">in accelerated underwriting. </w:t>
      </w:r>
    </w:p>
    <w:p w14:paraId="58F0D3A9" w14:textId="77777777" w:rsidR="000327EB" w:rsidRDefault="000327EB" w:rsidP="000327EB">
      <w:pPr>
        <w:jc w:val="both"/>
        <w:rPr>
          <w:rFonts w:ascii="Times New Roman" w:hAnsi="Times New Roman" w:cs="Times New Roman"/>
          <w:iCs/>
        </w:rPr>
      </w:pPr>
    </w:p>
    <w:p w14:paraId="29F4CFF7" w14:textId="77777777" w:rsidR="000327EB" w:rsidRPr="00946B7C" w:rsidRDefault="000327EB" w:rsidP="000327EB">
      <w:pPr>
        <w:jc w:val="both"/>
        <w:rPr>
          <w:rFonts w:ascii="Times New Roman" w:hAnsi="Times New Roman" w:cs="Times New Roman"/>
          <w:iCs/>
        </w:rPr>
      </w:pPr>
      <w:r>
        <w:rPr>
          <w:rFonts w:ascii="Times New Roman" w:hAnsi="Times New Roman" w:cs="Times New Roman"/>
          <w:iCs/>
        </w:rPr>
        <w:t>E</w:t>
      </w:r>
      <w:r w:rsidRPr="00946B7C">
        <w:rPr>
          <w:rFonts w:ascii="Times New Roman" w:hAnsi="Times New Roman" w:cs="Times New Roman"/>
          <w:iCs/>
        </w:rPr>
        <w:t xml:space="preserve">xisting regulations apply to accelerated underwriting programs in the same way as traditional underwriting programs. DOIs have broad authority to </w:t>
      </w:r>
      <w:r>
        <w:rPr>
          <w:rFonts w:ascii="Times New Roman" w:hAnsi="Times New Roman" w:cs="Times New Roman"/>
          <w:iCs/>
        </w:rPr>
        <w:t>examine</w:t>
      </w:r>
      <w:r w:rsidRPr="00946B7C">
        <w:rPr>
          <w:rFonts w:ascii="Times New Roman" w:hAnsi="Times New Roman" w:cs="Times New Roman"/>
          <w:iCs/>
        </w:rPr>
        <w:t xml:space="preserve"> the processes and procedures of life insurers to determine if their accelerated underwriting programs comply with the statutes and regulations of the department, in particular the </w:t>
      </w:r>
      <w:r>
        <w:rPr>
          <w:rFonts w:ascii="Times New Roman" w:hAnsi="Times New Roman" w:cs="Times New Roman"/>
          <w:iCs/>
        </w:rPr>
        <w:t xml:space="preserve">state equivalent to the </w:t>
      </w:r>
      <w:r w:rsidRPr="0057452C">
        <w:rPr>
          <w:rFonts w:ascii="Times New Roman" w:hAnsi="Times New Roman" w:cs="Times New Roman"/>
          <w:i/>
        </w:rPr>
        <w:t>Unfair Trade Practices Act</w:t>
      </w:r>
      <w:r>
        <w:rPr>
          <w:rFonts w:ascii="Times New Roman" w:hAnsi="Times New Roman" w:cs="Times New Roman"/>
          <w:iCs/>
        </w:rPr>
        <w:t xml:space="preserve"> (#880)</w:t>
      </w:r>
      <w:r>
        <w:rPr>
          <w:rStyle w:val="FootnoteReference"/>
          <w:rFonts w:ascii="Times New Roman" w:hAnsi="Times New Roman" w:cs="Times New Roman"/>
          <w:iCs/>
        </w:rPr>
        <w:footnoteReference w:id="1"/>
      </w:r>
      <w:r w:rsidRPr="00946B7C">
        <w:rPr>
          <w:rFonts w:ascii="Times New Roman" w:hAnsi="Times New Roman" w:cs="Times New Roman"/>
          <w:iCs/>
        </w:rPr>
        <w:t xml:space="preserve">, to ensure that these </w:t>
      </w:r>
      <w:r>
        <w:rPr>
          <w:rFonts w:ascii="Times New Roman" w:hAnsi="Times New Roman" w:cs="Times New Roman"/>
          <w:iCs/>
        </w:rPr>
        <w:t>accelerated underwriting</w:t>
      </w:r>
      <w:r w:rsidRPr="00946B7C">
        <w:rPr>
          <w:rFonts w:ascii="Times New Roman" w:hAnsi="Times New Roman" w:cs="Times New Roman"/>
          <w:iCs/>
        </w:rPr>
        <w:t xml:space="preserve"> pr</w:t>
      </w:r>
      <w:r>
        <w:rPr>
          <w:rFonts w:ascii="Times New Roman" w:hAnsi="Times New Roman" w:cs="Times New Roman"/>
          <w:iCs/>
        </w:rPr>
        <w:t>ograms</w:t>
      </w:r>
      <w:r w:rsidRPr="00946B7C">
        <w:rPr>
          <w:rFonts w:ascii="Times New Roman" w:hAnsi="Times New Roman" w:cs="Times New Roman"/>
          <w:iCs/>
        </w:rPr>
        <w:t xml:space="preserve"> are not unfairly discriminatory. </w:t>
      </w:r>
    </w:p>
    <w:p w14:paraId="2FDAFAD7" w14:textId="77777777" w:rsidR="000327EB" w:rsidRDefault="000327EB" w:rsidP="000327EB">
      <w:pPr>
        <w:jc w:val="both"/>
      </w:pPr>
    </w:p>
    <w:p w14:paraId="7ED5E836" w14:textId="77777777" w:rsidR="000327EB" w:rsidRDefault="000327EB" w:rsidP="000327EB">
      <w:pPr>
        <w:jc w:val="both"/>
        <w:rPr>
          <w:rFonts w:ascii="Times New Roman" w:hAnsi="Times New Roman" w:cs="Times New Roman"/>
        </w:rPr>
      </w:pPr>
      <w:r>
        <w:rPr>
          <w:rFonts w:ascii="Times New Roman" w:hAnsi="Times New Roman" w:cs="Times New Roman"/>
        </w:rPr>
        <w:t xml:space="preserve">The AUWG recommends that a new standard be included in </w:t>
      </w:r>
      <w:r w:rsidRPr="00A909BE">
        <w:rPr>
          <w:rFonts w:ascii="Times New Roman" w:hAnsi="Times New Roman" w:cs="Times New Roman"/>
          <w:color w:val="000000" w:themeColor="text1"/>
        </w:rPr>
        <w:t xml:space="preserve">Chapter 23 – Conducting the Life and Annuity Examination </w:t>
      </w:r>
      <w:r>
        <w:rPr>
          <w:rFonts w:ascii="Times New Roman" w:hAnsi="Times New Roman" w:cs="Times New Roman"/>
        </w:rPr>
        <w:t xml:space="preserve">related to a life insurer’s use of </w:t>
      </w:r>
      <w:r w:rsidRPr="003530BA">
        <w:rPr>
          <w:rFonts w:ascii="Times New Roman" w:hAnsi="Times New Roman" w:cs="Times New Roman"/>
        </w:rPr>
        <w:t>big data, artificial intelligence, and machine learning to underwrite life insurance</w:t>
      </w:r>
      <w:r>
        <w:rPr>
          <w:rFonts w:ascii="Times New Roman" w:hAnsi="Times New Roman" w:cs="Times New Roman"/>
        </w:rPr>
        <w:t xml:space="preserve">. </w:t>
      </w:r>
      <w:r w:rsidRPr="00440B74">
        <w:rPr>
          <w:rFonts w:ascii="Times New Roman" w:hAnsi="Times New Roman" w:cs="Times New Roman"/>
          <w:color w:val="000000" w:themeColor="text1"/>
        </w:rPr>
        <w:t xml:space="preserve">The applicable standard should address </w:t>
      </w:r>
      <w:r>
        <w:rPr>
          <w:rFonts w:ascii="Times New Roman" w:hAnsi="Times New Roman" w:cs="Times New Roman"/>
          <w:color w:val="000000" w:themeColor="text1"/>
        </w:rPr>
        <w:t xml:space="preserve">how </w:t>
      </w:r>
      <w:r w:rsidRPr="00440B74">
        <w:rPr>
          <w:rFonts w:ascii="Times New Roman" w:hAnsi="Times New Roman" w:cs="Times New Roman"/>
          <w:color w:val="000000" w:themeColor="text1"/>
        </w:rPr>
        <w:t xml:space="preserve">accelerated underwriting programs used by life insurers </w:t>
      </w:r>
      <w:r>
        <w:rPr>
          <w:rFonts w:ascii="Times New Roman" w:hAnsi="Times New Roman" w:cs="Times New Roman"/>
          <w:color w:val="000000" w:themeColor="text1"/>
        </w:rPr>
        <w:t xml:space="preserve">are </w:t>
      </w:r>
      <w:r w:rsidRPr="00440B74">
        <w:rPr>
          <w:rFonts w:ascii="Times New Roman" w:hAnsi="Times New Roman" w:cs="Times New Roman"/>
          <w:color w:val="000000" w:themeColor="text1"/>
        </w:rPr>
        <w:t xml:space="preserve">fair, transparent, and secure. The types </w:t>
      </w:r>
      <w:r w:rsidRPr="00440B74">
        <w:rPr>
          <w:rFonts w:ascii="Times New Roman" w:hAnsi="Times New Roman" w:cs="Times New Roman"/>
          <w:color w:val="000000" w:themeColor="text1"/>
        </w:rPr>
        <w:lastRenderedPageBreak/>
        <w:t xml:space="preserve">of documents to be reviewed by examiners should include policy rates and forms, accelerated underwriting models and/or summaries of those </w:t>
      </w:r>
      <w:r>
        <w:rPr>
          <w:rFonts w:ascii="Times New Roman" w:hAnsi="Times New Roman" w:cs="Times New Roman"/>
        </w:rPr>
        <w:t xml:space="preserve">models, information about source data used as part of the accelerated underwriting program, consumer disclosures, and testing and/or auditing policies and procedures of the models. </w:t>
      </w:r>
    </w:p>
    <w:p w14:paraId="6F3A6536" w14:textId="77777777" w:rsidR="000327EB" w:rsidRDefault="000327EB" w:rsidP="000327EB">
      <w:pPr>
        <w:jc w:val="both"/>
        <w:rPr>
          <w:rFonts w:ascii="Times New Roman" w:hAnsi="Times New Roman" w:cs="Times New Roman"/>
        </w:rPr>
      </w:pPr>
    </w:p>
    <w:p w14:paraId="2E49C3BA" w14:textId="77777777" w:rsidR="000327EB" w:rsidRDefault="000327EB" w:rsidP="000327EB">
      <w:pPr>
        <w:jc w:val="both"/>
        <w:rPr>
          <w:rFonts w:ascii="Times New Roman" w:hAnsi="Times New Roman" w:cs="Times New Roman"/>
        </w:rPr>
      </w:pPr>
      <w:r>
        <w:rPr>
          <w:rFonts w:ascii="Times New Roman" w:hAnsi="Times New Roman" w:cs="Times New Roman"/>
        </w:rPr>
        <w:t xml:space="preserve">Review procedures and criteria should include the following: </w:t>
      </w:r>
    </w:p>
    <w:p w14:paraId="5EE67AD4" w14:textId="77777777" w:rsidR="000327EB" w:rsidRPr="00476910"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is fair. Determine if the company has policies in place for and regularly </w:t>
      </w:r>
      <w:r w:rsidRPr="00544612">
        <w:rPr>
          <w:rFonts w:ascii="Times New Roman" w:hAnsi="Times New Roman"/>
          <w:color w:val="000000" w:themeColor="text1"/>
        </w:rPr>
        <w:t xml:space="preserve">performs audits of its </w:t>
      </w:r>
      <w:r w:rsidRPr="00476910">
        <w:rPr>
          <w:rFonts w:ascii="Times New Roman" w:hAnsi="Times New Roman"/>
        </w:rPr>
        <w:t>data sets</w:t>
      </w:r>
      <w:r>
        <w:rPr>
          <w:rFonts w:ascii="Times New Roman" w:hAnsi="Times New Roman"/>
        </w:rPr>
        <w:t>, predictive models, and machine learning algorithms</w:t>
      </w:r>
      <w:r w:rsidRPr="00476910">
        <w:rPr>
          <w:rFonts w:ascii="Times New Roman" w:hAnsi="Times New Roman"/>
        </w:rPr>
        <w:t xml:space="preserve"> to ensure data inputs are accurate and reliable, and do not result in unfairly discriminatory outcomes</w:t>
      </w:r>
      <w:r>
        <w:rPr>
          <w:rFonts w:ascii="Times New Roman" w:hAnsi="Times New Roman"/>
        </w:rPr>
        <w:t xml:space="preserve">. Determine if the predictive </w:t>
      </w:r>
      <w:r w:rsidRPr="00476910">
        <w:rPr>
          <w:rFonts w:ascii="Times New Roman" w:hAnsi="Times New Roman"/>
        </w:rPr>
        <w:t>model(s)</w:t>
      </w:r>
      <w:r>
        <w:rPr>
          <w:rFonts w:ascii="Times New Roman" w:hAnsi="Times New Roman"/>
        </w:rPr>
        <w:t xml:space="preserve"> and machine learning algorithms</w:t>
      </w:r>
      <w:r w:rsidRPr="00476910">
        <w:rPr>
          <w:rFonts w:ascii="Times New Roman" w:hAnsi="Times New Roman"/>
        </w:rPr>
        <w:t xml:space="preserve"> are based on sound actuarial principles</w:t>
      </w:r>
      <w:r>
        <w:rPr>
          <w:rFonts w:ascii="Times New Roman" w:hAnsi="Times New Roman"/>
        </w:rPr>
        <w:t>.</w:t>
      </w:r>
    </w:p>
    <w:p w14:paraId="4B030310" w14:textId="77777777" w:rsidR="000327EB"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use is transparent. Determine if the company </w:t>
      </w:r>
      <w:r w:rsidRPr="00476910">
        <w:rPr>
          <w:rFonts w:ascii="Times New Roman" w:hAnsi="Times New Roman"/>
        </w:rPr>
        <w:t>disclose</w:t>
      </w:r>
      <w:r>
        <w:rPr>
          <w:rFonts w:ascii="Times New Roman" w:hAnsi="Times New Roman"/>
        </w:rPr>
        <w:t>s</w:t>
      </w:r>
      <w:r w:rsidRPr="00476910">
        <w:rPr>
          <w:rFonts w:ascii="Times New Roman" w:hAnsi="Times New Roman"/>
        </w:rPr>
        <w:t xml:space="preserve"> to applicants for life insurance </w:t>
      </w:r>
      <w:r>
        <w:rPr>
          <w:rFonts w:ascii="Times New Roman" w:hAnsi="Times New Roman"/>
        </w:rPr>
        <w:t>the</w:t>
      </w:r>
      <w:r w:rsidRPr="00476910">
        <w:rPr>
          <w:rFonts w:ascii="Times New Roman" w:hAnsi="Times New Roman"/>
        </w:rPr>
        <w:t xml:space="preserve"> external information used in its accelerated underwriting program and how </w:t>
      </w:r>
      <w:r>
        <w:rPr>
          <w:rFonts w:ascii="Times New Roman" w:hAnsi="Times New Roman"/>
        </w:rPr>
        <w:t xml:space="preserve">that </w:t>
      </w:r>
      <w:r w:rsidRPr="00476910">
        <w:rPr>
          <w:rFonts w:ascii="Times New Roman" w:hAnsi="Times New Roman"/>
        </w:rPr>
        <w:t>external information is used in the accelerated underwriting program.</w:t>
      </w:r>
      <w:r>
        <w:rPr>
          <w:rFonts w:ascii="Times New Roman" w:hAnsi="Times New Roman"/>
        </w:rPr>
        <w:t xml:space="preserve"> Determine if the company provides a </w:t>
      </w:r>
      <w:r w:rsidRPr="00476910">
        <w:rPr>
          <w:rFonts w:ascii="Times New Roman" w:hAnsi="Times New Roman"/>
        </w:rPr>
        <w:t xml:space="preserve">process or </w:t>
      </w:r>
      <w:r w:rsidRPr="00440B74">
        <w:rPr>
          <w:rFonts w:ascii="Times New Roman" w:hAnsi="Times New Roman"/>
          <w:color w:val="000000" w:themeColor="text1"/>
        </w:rPr>
        <w:t xml:space="preserve">recourse to applicants </w:t>
      </w:r>
      <w:r w:rsidRPr="00476910">
        <w:rPr>
          <w:rFonts w:ascii="Times New Roman" w:hAnsi="Times New Roman"/>
        </w:rPr>
        <w:t xml:space="preserve">for life insurance </w:t>
      </w:r>
      <w:r>
        <w:rPr>
          <w:rFonts w:ascii="Times New Roman" w:hAnsi="Times New Roman"/>
        </w:rPr>
        <w:t xml:space="preserve">if </w:t>
      </w:r>
      <w:r w:rsidRPr="00476910">
        <w:rPr>
          <w:rFonts w:ascii="Times New Roman" w:hAnsi="Times New Roman"/>
        </w:rPr>
        <w:t>they receive an adverse underwriting decision</w:t>
      </w:r>
      <w:r>
        <w:rPr>
          <w:rFonts w:ascii="Times New Roman" w:hAnsi="Times New Roman"/>
        </w:rPr>
        <w:t>. Determine if the</w:t>
      </w:r>
      <w:r w:rsidRPr="00476910">
        <w:rPr>
          <w:rFonts w:ascii="Times New Roman" w:hAnsi="Times New Roman"/>
        </w:rPr>
        <w:t xml:space="preserve"> company provide</w:t>
      </w:r>
      <w:r>
        <w:rPr>
          <w:rFonts w:ascii="Times New Roman" w:hAnsi="Times New Roman"/>
        </w:rPr>
        <w:t>s</w:t>
      </w:r>
      <w:r w:rsidRPr="00476910">
        <w:rPr>
          <w:rFonts w:ascii="Times New Roman" w:hAnsi="Times New Roman"/>
        </w:rPr>
        <w:t xml:space="preserve"> applicants for life insurance </w:t>
      </w:r>
      <w:r>
        <w:rPr>
          <w:rFonts w:ascii="Times New Roman" w:hAnsi="Times New Roman"/>
        </w:rPr>
        <w:t xml:space="preserve">an opportunity </w:t>
      </w:r>
      <w:r w:rsidRPr="00476910">
        <w:rPr>
          <w:rFonts w:ascii="Times New Roman" w:hAnsi="Times New Roman"/>
        </w:rPr>
        <w:t>to correct mistakes in external data or information</w:t>
      </w:r>
      <w:r>
        <w:rPr>
          <w:rFonts w:ascii="Times New Roman" w:hAnsi="Times New Roman"/>
        </w:rPr>
        <w:t xml:space="preserve"> used in the accelerated underwriting program. </w:t>
      </w:r>
    </w:p>
    <w:p w14:paraId="4D9953CE" w14:textId="77777777" w:rsidR="000327EB" w:rsidRDefault="000327EB" w:rsidP="000327EB">
      <w:pPr>
        <w:pStyle w:val="ListParagraph"/>
        <w:numPr>
          <w:ilvl w:val="0"/>
          <w:numId w:val="1"/>
        </w:numPr>
        <w:jc w:val="both"/>
        <w:rPr>
          <w:rFonts w:ascii="Times New Roman" w:hAnsi="Times New Roman"/>
        </w:rPr>
      </w:pPr>
      <w:r>
        <w:rPr>
          <w:rFonts w:ascii="Times New Roman" w:hAnsi="Times New Roman"/>
        </w:rPr>
        <w:t xml:space="preserve">Ensure data is secure. Determine how </w:t>
      </w:r>
      <w:r w:rsidRPr="00476910">
        <w:rPr>
          <w:rFonts w:ascii="Times New Roman" w:hAnsi="Times New Roman"/>
        </w:rPr>
        <w:t xml:space="preserve">external data or information about life insurance applicants </w:t>
      </w:r>
      <w:r>
        <w:rPr>
          <w:rFonts w:ascii="Times New Roman" w:hAnsi="Times New Roman"/>
        </w:rPr>
        <w:t xml:space="preserve">is </w:t>
      </w:r>
      <w:r w:rsidRPr="00476910">
        <w:rPr>
          <w:rFonts w:ascii="Times New Roman" w:hAnsi="Times New Roman"/>
        </w:rPr>
        <w:t>utilized, stored</w:t>
      </w:r>
      <w:r>
        <w:rPr>
          <w:rFonts w:ascii="Times New Roman" w:hAnsi="Times New Roman"/>
        </w:rPr>
        <w:t>,</w:t>
      </w:r>
      <w:r w:rsidRPr="00476910">
        <w:rPr>
          <w:rFonts w:ascii="Times New Roman" w:hAnsi="Times New Roman"/>
        </w:rPr>
        <w:t xml:space="preserve"> and destroyed </w:t>
      </w:r>
      <w:r>
        <w:rPr>
          <w:rFonts w:ascii="Times New Roman" w:hAnsi="Times New Roman"/>
        </w:rPr>
        <w:t xml:space="preserve">by the company </w:t>
      </w:r>
      <w:r w:rsidRPr="00476910">
        <w:rPr>
          <w:rFonts w:ascii="Times New Roman" w:hAnsi="Times New Roman"/>
        </w:rPr>
        <w:t>after the completion of the underwriting process</w:t>
      </w:r>
      <w:r>
        <w:rPr>
          <w:rFonts w:ascii="Times New Roman" w:hAnsi="Times New Roman"/>
        </w:rPr>
        <w:t xml:space="preserve">. </w:t>
      </w:r>
    </w:p>
    <w:p w14:paraId="0E30DB42" w14:textId="77777777" w:rsidR="000327EB" w:rsidRDefault="000327EB" w:rsidP="000327EB">
      <w:pPr>
        <w:jc w:val="both"/>
        <w:rPr>
          <w:rFonts w:ascii="Times New Roman" w:hAnsi="Times New Roman"/>
        </w:rPr>
      </w:pPr>
    </w:p>
    <w:p w14:paraId="03582927" w14:textId="77777777" w:rsidR="000327EB" w:rsidRPr="00470EBB" w:rsidRDefault="000327EB" w:rsidP="000327EB">
      <w:pPr>
        <w:jc w:val="both"/>
        <w:rPr>
          <w:rFonts w:ascii="Times New Roman" w:hAnsi="Times New Roman"/>
        </w:rPr>
      </w:pPr>
      <w:r>
        <w:rPr>
          <w:rFonts w:ascii="Times New Roman" w:hAnsi="Times New Roman"/>
        </w:rPr>
        <w:t xml:space="preserve">The AUWG defers to the </w:t>
      </w:r>
      <w:r w:rsidRPr="00470EBB">
        <w:rPr>
          <w:rFonts w:ascii="Times New Roman" w:hAnsi="Times New Roman"/>
        </w:rPr>
        <w:t>Market Conduct Examination Guidelines (D) Working Group</w:t>
      </w:r>
      <w:r>
        <w:rPr>
          <w:rFonts w:ascii="Times New Roman" w:hAnsi="Times New Roman"/>
        </w:rPr>
        <w:t xml:space="preserve"> regarding whether any updates to the MRH should be made to the chapter pertaining to life insurance as recommended </w:t>
      </w:r>
      <w:proofErr w:type="gramStart"/>
      <w:r>
        <w:rPr>
          <w:rFonts w:ascii="Times New Roman" w:hAnsi="Times New Roman"/>
        </w:rPr>
        <w:t>above, or</w:t>
      </w:r>
      <w:proofErr w:type="gramEnd"/>
      <w:r>
        <w:rPr>
          <w:rFonts w:ascii="Times New Roman" w:hAnsi="Times New Roman"/>
        </w:rPr>
        <w:t xml:space="preserve"> should be included in a chapter that deals specifically with the use of </w:t>
      </w:r>
      <w:r w:rsidRPr="00470EBB">
        <w:rPr>
          <w:rFonts w:ascii="Times New Roman" w:hAnsi="Times New Roman"/>
          <w:iCs/>
        </w:rPr>
        <w:t>big data, algorithms, and machine learning</w:t>
      </w:r>
      <w:r>
        <w:rPr>
          <w:rFonts w:ascii="Times New Roman" w:hAnsi="Times New Roman"/>
          <w:iCs/>
        </w:rPr>
        <w:t xml:space="preserve"> by insurers generally. The AUWG looks forward to working with the Market Conduct Examination Guidelines (D) Working Group to draft the recommended changes to the MRH. </w:t>
      </w:r>
    </w:p>
    <w:p w14:paraId="2E429F29" w14:textId="77777777" w:rsidR="00C2111F" w:rsidRDefault="00C2111F"/>
    <w:sectPr w:rsidR="00C211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D080" w14:textId="77777777" w:rsidR="00AE6114" w:rsidRDefault="00AE6114" w:rsidP="000327EB">
      <w:r>
        <w:separator/>
      </w:r>
    </w:p>
  </w:endnote>
  <w:endnote w:type="continuationSeparator" w:id="0">
    <w:p w14:paraId="6B426FA8" w14:textId="77777777" w:rsidR="00AE6114" w:rsidRDefault="00AE6114" w:rsidP="000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20687"/>
      <w:docPartObj>
        <w:docPartGallery w:val="Page Numbers (Bottom of Page)"/>
        <w:docPartUnique/>
      </w:docPartObj>
    </w:sdtPr>
    <w:sdtEndPr>
      <w:rPr>
        <w:rFonts w:ascii="Times New Roman" w:hAnsi="Times New Roman" w:cs="Times New Roman"/>
        <w:noProof/>
      </w:rPr>
    </w:sdtEndPr>
    <w:sdtContent>
      <w:p w14:paraId="5362941F" w14:textId="03A7C7A5" w:rsidR="006E6665" w:rsidRPr="00057FC6" w:rsidRDefault="006E6665">
        <w:pPr>
          <w:pStyle w:val="Footer"/>
          <w:jc w:val="center"/>
          <w:rPr>
            <w:rFonts w:ascii="Times New Roman" w:hAnsi="Times New Roman" w:cs="Times New Roman"/>
          </w:rPr>
        </w:pPr>
        <w:r w:rsidRPr="00057FC6">
          <w:rPr>
            <w:rFonts w:ascii="Times New Roman" w:hAnsi="Times New Roman" w:cs="Times New Roman"/>
          </w:rPr>
          <w:fldChar w:fldCharType="begin"/>
        </w:r>
        <w:r w:rsidRPr="00057FC6">
          <w:rPr>
            <w:rFonts w:ascii="Times New Roman" w:hAnsi="Times New Roman" w:cs="Times New Roman"/>
          </w:rPr>
          <w:instrText xml:space="preserve"> PAGE   \* MERGEFORMAT </w:instrText>
        </w:r>
        <w:r w:rsidRPr="00057FC6">
          <w:rPr>
            <w:rFonts w:ascii="Times New Roman" w:hAnsi="Times New Roman" w:cs="Times New Roman"/>
          </w:rPr>
          <w:fldChar w:fldCharType="separate"/>
        </w:r>
        <w:r w:rsidRPr="00057FC6">
          <w:rPr>
            <w:rFonts w:ascii="Times New Roman" w:hAnsi="Times New Roman" w:cs="Times New Roman"/>
            <w:noProof/>
          </w:rPr>
          <w:t>2</w:t>
        </w:r>
        <w:r w:rsidRPr="00057FC6">
          <w:rPr>
            <w:rFonts w:ascii="Times New Roman" w:hAnsi="Times New Roman" w:cs="Times New Roman"/>
            <w:noProof/>
          </w:rPr>
          <w:fldChar w:fldCharType="end"/>
        </w:r>
      </w:p>
    </w:sdtContent>
  </w:sdt>
  <w:p w14:paraId="6F0C4E43" w14:textId="26CE2512" w:rsidR="00E03A30" w:rsidRDefault="00057FC6">
    <w:pPr>
      <w:pStyle w:val="Footer"/>
    </w:pPr>
    <w:r w:rsidRPr="006C5621">
      <w:rPr>
        <w:rFonts w:ascii="Times New Roman" w:hAnsi="Times New Roman" w:cs="Times New Roman"/>
        <w:bCs/>
        <w:sz w:val="20"/>
        <w:szCs w:val="20"/>
      </w:rPr>
      <w:t>© 2023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F3F" w14:textId="77777777" w:rsidR="00AE6114" w:rsidRDefault="00AE6114" w:rsidP="000327EB">
      <w:r>
        <w:separator/>
      </w:r>
    </w:p>
  </w:footnote>
  <w:footnote w:type="continuationSeparator" w:id="0">
    <w:p w14:paraId="0474133A" w14:textId="77777777" w:rsidR="00AE6114" w:rsidRDefault="00AE6114" w:rsidP="000327EB">
      <w:r>
        <w:continuationSeparator/>
      </w:r>
    </w:p>
  </w:footnote>
  <w:footnote w:id="1">
    <w:p w14:paraId="682F7D28" w14:textId="77777777" w:rsidR="000327EB" w:rsidRPr="00205B65" w:rsidRDefault="000327EB" w:rsidP="000327EB">
      <w:pPr>
        <w:pStyle w:val="FootnoteText"/>
        <w:rPr>
          <w:rFonts w:ascii="Times New Roman" w:hAnsi="Times New Roman" w:cs="Times New Roman"/>
        </w:rPr>
      </w:pPr>
      <w:r w:rsidRPr="00205B65">
        <w:rPr>
          <w:rStyle w:val="FootnoteReference"/>
          <w:rFonts w:ascii="Times New Roman" w:hAnsi="Times New Roman" w:cs="Times New Roman"/>
        </w:rPr>
        <w:footnoteRef/>
      </w:r>
      <w:r w:rsidRPr="00205B65">
        <w:rPr>
          <w:rFonts w:ascii="Times New Roman" w:hAnsi="Times New Roman" w:cs="Times New Roman"/>
        </w:rPr>
        <w:t xml:space="preserve"> See Section 4</w:t>
      </w:r>
      <w:proofErr w:type="gramStart"/>
      <w:r w:rsidRPr="00205B65">
        <w:rPr>
          <w:rFonts w:ascii="Times New Roman" w:hAnsi="Times New Roman" w:cs="Times New Roman"/>
        </w:rPr>
        <w:t>G(</w:t>
      </w:r>
      <w:proofErr w:type="gramEnd"/>
      <w:r w:rsidRPr="00205B65">
        <w:rPr>
          <w:rFonts w:ascii="Times New Roman" w:hAnsi="Times New Roman" w:cs="Times New Roman"/>
        </w:rPr>
        <w:t>1)</w:t>
      </w:r>
      <w:r>
        <w:rPr>
          <w:rFonts w:ascii="Times New Roman" w:hAnsi="Times New Roman" w:cs="Times New Roman"/>
        </w:rPr>
        <w:t xml:space="preserve"> Unfair Discrimination.</w:t>
      </w:r>
      <w:r w:rsidRPr="00205B65">
        <w:rPr>
          <w:rFonts w:ascii="Times New Roman" w:hAnsi="Times New Roman" w:cs="Times New Roman"/>
        </w:rPr>
        <w:t xml:space="preserve"> 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00E14605" w14:textId="77777777" w:rsidR="000327EB" w:rsidRDefault="000327EB" w:rsidP="000327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165D" w14:textId="6191E690" w:rsidR="002F7D3E" w:rsidRDefault="002F7D3E" w:rsidP="002F7D3E">
    <w:pPr>
      <w:pStyle w:val="Header"/>
      <w:jc w:val="right"/>
      <w:rPr>
        <w:rFonts w:ascii="Times New Roman" w:hAnsi="Times New Roman" w:cs="Times New Roman"/>
      </w:rPr>
    </w:pPr>
    <w:r w:rsidRPr="002F7D3E">
      <w:rPr>
        <w:rFonts w:ascii="Times New Roman" w:hAnsi="Times New Roman" w:cs="Times New Roman"/>
      </w:rPr>
      <w:t>Attachment A</w:t>
    </w:r>
  </w:p>
  <w:p w14:paraId="35471AA6" w14:textId="5FDB423E" w:rsidR="002F7D3E" w:rsidRPr="002F7D3E" w:rsidRDefault="002F7D3E" w:rsidP="002F7D3E">
    <w:pPr>
      <w:pStyle w:val="Header"/>
      <w:rPr>
        <w:rFonts w:ascii="Times New Roman" w:hAnsi="Times New Roman" w:cs="Times New Roman"/>
      </w:rPr>
    </w:pPr>
    <w:r>
      <w:rPr>
        <w:rFonts w:ascii="Times New Roman" w:hAnsi="Times New Roman" w:cs="Times New Roman"/>
      </w:rPr>
      <w:t xml:space="preserve">Draft </w:t>
    </w:r>
    <w:r w:rsidR="00E03A30">
      <w:rPr>
        <w:rFonts w:ascii="Times New Roman" w:hAnsi="Times New Roman" w:cs="Times New Roman"/>
      </w:rPr>
      <w:t>1-11-23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B4433"/>
    <w:multiLevelType w:val="hybridMultilevel"/>
    <w:tmpl w:val="25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94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B"/>
    <w:rsid w:val="000327EB"/>
    <w:rsid w:val="00057FC6"/>
    <w:rsid w:val="002F7D3E"/>
    <w:rsid w:val="005831A8"/>
    <w:rsid w:val="00652EF6"/>
    <w:rsid w:val="006E6665"/>
    <w:rsid w:val="00AE6114"/>
    <w:rsid w:val="00C2111F"/>
    <w:rsid w:val="00E0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D480"/>
  <w15:chartTrackingRefBased/>
  <w15:docId w15:val="{4C8476C9-AF7E-455D-8E7B-878CE63A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EB"/>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0327EB"/>
    <w:rPr>
      <w:sz w:val="20"/>
      <w:szCs w:val="20"/>
    </w:rPr>
  </w:style>
  <w:style w:type="character" w:customStyle="1" w:styleId="FootnoteTextChar">
    <w:name w:val="Footnote Text Char"/>
    <w:basedOn w:val="DefaultParagraphFont"/>
    <w:link w:val="FootnoteText"/>
    <w:uiPriority w:val="99"/>
    <w:semiHidden/>
    <w:rsid w:val="000327EB"/>
    <w:rPr>
      <w:sz w:val="20"/>
      <w:szCs w:val="20"/>
      <w:lang w:val="en-US"/>
    </w:rPr>
  </w:style>
  <w:style w:type="character" w:styleId="FootnoteReference">
    <w:name w:val="footnote reference"/>
    <w:basedOn w:val="DefaultParagraphFont"/>
    <w:uiPriority w:val="99"/>
    <w:semiHidden/>
    <w:unhideWhenUsed/>
    <w:rsid w:val="000327EB"/>
    <w:rPr>
      <w:vertAlign w:val="superscript"/>
    </w:rPr>
  </w:style>
  <w:style w:type="paragraph" w:styleId="Header">
    <w:name w:val="header"/>
    <w:basedOn w:val="Normal"/>
    <w:link w:val="HeaderChar"/>
    <w:uiPriority w:val="99"/>
    <w:unhideWhenUsed/>
    <w:rsid w:val="002F7D3E"/>
    <w:pPr>
      <w:tabs>
        <w:tab w:val="center" w:pos="4680"/>
        <w:tab w:val="right" w:pos="9360"/>
      </w:tabs>
    </w:pPr>
  </w:style>
  <w:style w:type="character" w:customStyle="1" w:styleId="HeaderChar">
    <w:name w:val="Header Char"/>
    <w:basedOn w:val="DefaultParagraphFont"/>
    <w:link w:val="Header"/>
    <w:uiPriority w:val="99"/>
    <w:rsid w:val="002F7D3E"/>
    <w:rPr>
      <w:sz w:val="24"/>
      <w:szCs w:val="24"/>
    </w:rPr>
  </w:style>
  <w:style w:type="paragraph" w:styleId="Footer">
    <w:name w:val="footer"/>
    <w:basedOn w:val="Normal"/>
    <w:link w:val="FooterChar"/>
    <w:uiPriority w:val="99"/>
    <w:unhideWhenUsed/>
    <w:rsid w:val="002F7D3E"/>
    <w:pPr>
      <w:tabs>
        <w:tab w:val="center" w:pos="4680"/>
        <w:tab w:val="right" w:pos="9360"/>
      </w:tabs>
    </w:pPr>
  </w:style>
  <w:style w:type="character" w:customStyle="1" w:styleId="FooterChar">
    <w:name w:val="Footer Char"/>
    <w:basedOn w:val="DefaultParagraphFont"/>
    <w:link w:val="Footer"/>
    <w:uiPriority w:val="99"/>
    <w:rsid w:val="002F7D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k\AppData\Local\Temp\Templafy\WordVsto\s1v4cv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docProps/app.xml><?xml version="1.0" encoding="utf-8"?>
<Properties xmlns="http://schemas.openxmlformats.org/officeDocument/2006/extended-properties" xmlns:vt="http://schemas.openxmlformats.org/officeDocument/2006/docPropsVTypes">
  <Template>s1v4cvvn</Template>
  <TotalTime>0</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dcterms:created xsi:type="dcterms:W3CDTF">2023-02-22T22:26:00Z</dcterms:created>
  <dcterms:modified xsi:type="dcterms:W3CDTF">2023-02-22T22:26:00Z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637719767099607522</vt:lpwstr>
  </property>
  <property fmtid="{D5CDD505-2E9C-101B-9397-08002B2CF9AE}" pid="5" name="TemplafyFromBlank">
    <vt:bool>true</vt:bool>
  </property>
</Properties>
</file>