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9EB36" w14:textId="77777777" w:rsidR="00652EF6" w:rsidRDefault="00652EF6" w:rsidP="001E1DFB">
      <w:pPr>
        <w:rPr>
          <w:rFonts w:ascii="Times New Roman" w:eastAsia="Calibri" w:hAnsi="Times New Roman" w:cs="Times New Roman"/>
          <w:b/>
          <w:bCs/>
        </w:rPr>
      </w:pPr>
    </w:p>
    <w:p w14:paraId="3FDD988A" w14:textId="7EA46A2B" w:rsidR="000327EB" w:rsidRPr="00F81D2E" w:rsidRDefault="000327EB" w:rsidP="000327EB">
      <w:pPr>
        <w:jc w:val="center"/>
        <w:rPr>
          <w:rFonts w:ascii="Times New Roman" w:eastAsia="Calibri" w:hAnsi="Times New Roman" w:cs="Times New Roman"/>
          <w:b/>
          <w:bCs/>
        </w:rPr>
      </w:pPr>
      <w:r w:rsidRPr="00F81D2E">
        <w:rPr>
          <w:rFonts w:ascii="Times New Roman" w:eastAsia="Calibri" w:hAnsi="Times New Roman" w:cs="Times New Roman"/>
          <w:b/>
          <w:bCs/>
        </w:rPr>
        <w:t>MEMORANDUM</w:t>
      </w:r>
    </w:p>
    <w:p w14:paraId="3331AA52" w14:textId="77777777" w:rsidR="000327EB" w:rsidRPr="00F81D2E" w:rsidRDefault="000327EB" w:rsidP="000327EB">
      <w:pPr>
        <w:jc w:val="both"/>
        <w:rPr>
          <w:rFonts w:ascii="Times New Roman" w:eastAsia="Calibri" w:hAnsi="Times New Roman" w:cs="Times New Roman"/>
          <w:b/>
          <w:bCs/>
        </w:rPr>
      </w:pPr>
    </w:p>
    <w:p w14:paraId="135FCA82" w14:textId="67116EFC" w:rsidR="000327EB" w:rsidRPr="00F81D2E" w:rsidRDefault="000327EB" w:rsidP="00704E62">
      <w:pPr>
        <w:ind w:left="1080" w:hanging="1080"/>
        <w:jc w:val="both"/>
        <w:rPr>
          <w:rFonts w:ascii="Times New Roman" w:eastAsia="Calibri" w:hAnsi="Times New Roman" w:cs="Times New Roman"/>
        </w:rPr>
      </w:pPr>
      <w:r w:rsidRPr="00F81D2E">
        <w:rPr>
          <w:rFonts w:ascii="Times New Roman" w:eastAsia="Calibri" w:hAnsi="Times New Roman" w:cs="Times New Roman"/>
        </w:rPr>
        <w:t>TO:</w:t>
      </w:r>
      <w:r w:rsidRPr="00F81D2E">
        <w:rPr>
          <w:rFonts w:ascii="Times New Roman" w:eastAsia="Calibri" w:hAnsi="Times New Roman" w:cs="Times New Roman"/>
        </w:rPr>
        <w:tab/>
      </w:r>
      <w:r w:rsidRPr="00F81D2E">
        <w:rPr>
          <w:rFonts w:ascii="Times New Roman" w:eastAsia="Calibri" w:hAnsi="Times New Roman" w:cs="Times New Roman"/>
          <w:b/>
          <w:bCs/>
          <w:color w:val="111822"/>
        </w:rPr>
        <w:t>Market Conduct Examination Guidelines (D) Working Group</w:t>
      </w:r>
      <w:r>
        <w:rPr>
          <w:rFonts w:ascii="Times New Roman" w:eastAsia="Calibri" w:hAnsi="Times New Roman" w:cs="Times New Roman"/>
          <w:color w:val="111822"/>
        </w:rPr>
        <w:t xml:space="preserve"> </w:t>
      </w:r>
      <w:r w:rsidRPr="00F81D2E">
        <w:rPr>
          <w:rFonts w:ascii="Times New Roman" w:eastAsia="Calibri" w:hAnsi="Times New Roman" w:cs="Times New Roman"/>
          <w:color w:val="111822"/>
        </w:rPr>
        <w:t>of the Market Regulation and Consumer Affairs (D) Committee</w:t>
      </w:r>
    </w:p>
    <w:p w14:paraId="5CE891FA" w14:textId="77777777" w:rsidR="000327EB" w:rsidRPr="00F81D2E" w:rsidRDefault="000327EB" w:rsidP="000327EB">
      <w:pPr>
        <w:ind w:left="720" w:hanging="720"/>
        <w:jc w:val="both"/>
        <w:rPr>
          <w:rFonts w:ascii="Times New Roman" w:eastAsia="Calibri" w:hAnsi="Times New Roman" w:cs="Times New Roman"/>
        </w:rPr>
      </w:pPr>
    </w:p>
    <w:p w14:paraId="6134F8DD" w14:textId="0C3D47CB" w:rsidR="000327EB" w:rsidRPr="00F81D2E" w:rsidRDefault="000327EB" w:rsidP="00704E62">
      <w:pPr>
        <w:ind w:left="1080" w:hanging="1080"/>
        <w:jc w:val="both"/>
        <w:rPr>
          <w:rFonts w:ascii="Times New Roman" w:eastAsia="Calibri" w:hAnsi="Times New Roman" w:cs="Times New Roman"/>
        </w:rPr>
      </w:pPr>
      <w:r w:rsidRPr="00F81D2E">
        <w:rPr>
          <w:rFonts w:ascii="Times New Roman" w:eastAsia="Calibri" w:hAnsi="Times New Roman" w:cs="Times New Roman"/>
        </w:rPr>
        <w:t xml:space="preserve">FROM: </w:t>
      </w:r>
      <w:r w:rsidR="00704E62">
        <w:rPr>
          <w:rFonts w:ascii="Times New Roman" w:eastAsia="Calibri" w:hAnsi="Times New Roman" w:cs="Times New Roman"/>
        </w:rPr>
        <w:tab/>
      </w:r>
      <w:r w:rsidRPr="00F81D2E">
        <w:rPr>
          <w:rFonts w:ascii="Times New Roman" w:eastAsia="Calibri" w:hAnsi="Times New Roman" w:cs="Times New Roman"/>
        </w:rPr>
        <w:t>Accelerated Underwriting (A) Working Group of the Life Insurance and Annuities (A) Committee</w:t>
      </w:r>
    </w:p>
    <w:p w14:paraId="483C1658" w14:textId="77777777" w:rsidR="000327EB" w:rsidRPr="00F81D2E" w:rsidRDefault="000327EB" w:rsidP="000327EB">
      <w:pPr>
        <w:ind w:left="720" w:hanging="720"/>
        <w:jc w:val="both"/>
        <w:rPr>
          <w:rFonts w:ascii="Times New Roman" w:eastAsia="Calibri" w:hAnsi="Times New Roman" w:cs="Times New Roman"/>
        </w:rPr>
      </w:pPr>
    </w:p>
    <w:p w14:paraId="44320290" w14:textId="430CEE5C" w:rsidR="000327EB" w:rsidRPr="00F81D2E" w:rsidRDefault="000327EB" w:rsidP="000327EB">
      <w:pPr>
        <w:ind w:left="720" w:hanging="720"/>
        <w:jc w:val="both"/>
        <w:rPr>
          <w:rFonts w:ascii="Times New Roman" w:eastAsia="Calibri" w:hAnsi="Times New Roman" w:cs="Times New Roman"/>
        </w:rPr>
      </w:pPr>
      <w:r w:rsidRPr="00F81D2E">
        <w:rPr>
          <w:rFonts w:ascii="Times New Roman" w:eastAsia="Calibri" w:hAnsi="Times New Roman" w:cs="Times New Roman"/>
        </w:rPr>
        <w:t>DATE:</w:t>
      </w:r>
      <w:r w:rsidRPr="00F81D2E">
        <w:rPr>
          <w:rFonts w:ascii="Times New Roman" w:eastAsia="Calibri" w:hAnsi="Times New Roman" w:cs="Times New Roman"/>
        </w:rPr>
        <w:tab/>
      </w:r>
    </w:p>
    <w:p w14:paraId="4D992AEC" w14:textId="77777777" w:rsidR="000327EB" w:rsidRPr="00F81D2E" w:rsidRDefault="000327EB" w:rsidP="000327EB">
      <w:pPr>
        <w:ind w:left="720" w:hanging="720"/>
        <w:jc w:val="both"/>
        <w:rPr>
          <w:rFonts w:ascii="Times New Roman" w:eastAsia="Calibri" w:hAnsi="Times New Roman" w:cs="Times New Roman"/>
        </w:rPr>
      </w:pPr>
    </w:p>
    <w:p w14:paraId="08108D0F" w14:textId="77777777" w:rsidR="000327EB" w:rsidRPr="00F81D2E" w:rsidRDefault="000327EB" w:rsidP="00704E62">
      <w:pPr>
        <w:pBdr>
          <w:bottom w:val="single" w:sz="12" w:space="1" w:color="auto"/>
        </w:pBdr>
        <w:ind w:left="1080" w:hanging="1080"/>
        <w:jc w:val="both"/>
        <w:rPr>
          <w:rFonts w:ascii="Times New Roman" w:eastAsia="Calibri" w:hAnsi="Times New Roman" w:cs="Times New Roman"/>
        </w:rPr>
      </w:pPr>
      <w:r w:rsidRPr="00F81D2E">
        <w:rPr>
          <w:rFonts w:ascii="Times New Roman" w:eastAsia="Calibri" w:hAnsi="Times New Roman" w:cs="Times New Roman"/>
        </w:rPr>
        <w:t>RE:</w:t>
      </w:r>
      <w:r w:rsidRPr="00F81D2E">
        <w:rPr>
          <w:rFonts w:ascii="Times New Roman" w:eastAsia="Calibri" w:hAnsi="Times New Roman" w:cs="Times New Roman"/>
        </w:rPr>
        <w:tab/>
        <w:t xml:space="preserve">Suggested additions to the NAIC’s </w:t>
      </w:r>
      <w:r w:rsidRPr="00F81D2E">
        <w:rPr>
          <w:rFonts w:ascii="Times New Roman" w:eastAsia="Calibri" w:hAnsi="Times New Roman" w:cs="Times New Roman"/>
          <w:i/>
          <w:iCs/>
        </w:rPr>
        <w:t>Market Regulation Handbook</w:t>
      </w:r>
      <w:r w:rsidRPr="00F81D2E">
        <w:rPr>
          <w:rFonts w:ascii="Times New Roman" w:eastAsia="Calibri" w:hAnsi="Times New Roman" w:cs="Times New Roman"/>
        </w:rPr>
        <w:t xml:space="preserve"> addressing accelerated underwriting in life insurance</w:t>
      </w:r>
    </w:p>
    <w:p w14:paraId="7E002C72" w14:textId="77777777" w:rsidR="000327EB" w:rsidRDefault="000327EB" w:rsidP="000327EB">
      <w:pPr>
        <w:jc w:val="both"/>
      </w:pPr>
    </w:p>
    <w:p w14:paraId="04A1784E" w14:textId="6A494164" w:rsidR="00785982" w:rsidRDefault="000327EB" w:rsidP="000327EB">
      <w:pPr>
        <w:jc w:val="both"/>
        <w:rPr>
          <w:rFonts w:ascii="Times New Roman" w:hAnsi="Times New Roman" w:cs="Times New Roman"/>
        </w:rPr>
      </w:pPr>
      <w:r>
        <w:rPr>
          <w:rFonts w:ascii="Times New Roman" w:hAnsi="Times New Roman" w:cs="Times New Roman"/>
        </w:rPr>
        <w:t>The Accelerated Underwriting Working Group (AUWG) was created by the Life Insurance and Annuities (A) Committee at the NAIC 2019 Summer National Meeting to “… consider the use of external data and data analytics in accelerated life underwriting, including consideration of the ongoing work of the Life Actuarial (A) Task Force on the issue and, if appropriate, drafting guidance for the states.”</w:t>
      </w:r>
      <w:r w:rsidR="00814F28">
        <w:rPr>
          <w:rFonts w:ascii="Times New Roman" w:hAnsi="Times New Roman" w:cs="Times New Roman"/>
        </w:rPr>
        <w:t xml:space="preserve"> </w:t>
      </w:r>
      <w:r>
        <w:rPr>
          <w:rFonts w:ascii="Times New Roman" w:hAnsi="Times New Roman" w:cs="Times New Roman"/>
        </w:rPr>
        <w:t>The AUWG drafted an education</w:t>
      </w:r>
      <w:r w:rsidR="00D62A26">
        <w:rPr>
          <w:rFonts w:ascii="Times New Roman" w:hAnsi="Times New Roman" w:cs="Times New Roman"/>
        </w:rPr>
        <w:t>al</w:t>
      </w:r>
      <w:r>
        <w:rPr>
          <w:rFonts w:ascii="Times New Roman" w:hAnsi="Times New Roman" w:cs="Times New Roman"/>
        </w:rPr>
        <w:t xml:space="preserve"> paper that was adopted by the </w:t>
      </w:r>
      <w:r w:rsidRPr="00F81D2E">
        <w:rPr>
          <w:rFonts w:ascii="Times New Roman" w:hAnsi="Times New Roman" w:cs="Times New Roman"/>
        </w:rPr>
        <w:t>Life Insurance and Annuities (A) Committee</w:t>
      </w:r>
      <w:r>
        <w:rPr>
          <w:rFonts w:ascii="Times New Roman" w:hAnsi="Times New Roman" w:cs="Times New Roman"/>
        </w:rPr>
        <w:t xml:space="preserve"> on April 7, 2022</w:t>
      </w:r>
      <w:r w:rsidRPr="00F81D2E">
        <w:rPr>
          <w:rFonts w:ascii="Times New Roman" w:hAnsi="Times New Roman" w:cs="Times New Roman"/>
        </w:rPr>
        <w:t>.</w:t>
      </w:r>
      <w:r w:rsidR="005A311F">
        <w:rPr>
          <w:rFonts w:ascii="Times New Roman" w:hAnsi="Times New Roman" w:cs="Times New Roman"/>
        </w:rPr>
        <w:t xml:space="preserve"> During this same time frame</w:t>
      </w:r>
      <w:r w:rsidR="000F3846">
        <w:rPr>
          <w:rFonts w:ascii="Times New Roman" w:hAnsi="Times New Roman" w:cs="Times New Roman"/>
        </w:rPr>
        <w:t xml:space="preserve">, </w:t>
      </w:r>
      <w:r w:rsidR="003E6D19" w:rsidRPr="003E6D19">
        <w:rPr>
          <w:rFonts w:ascii="Times New Roman" w:hAnsi="Times New Roman" w:cs="Times New Roman"/>
        </w:rPr>
        <w:t>various groups</w:t>
      </w:r>
      <w:r w:rsidR="000F3846">
        <w:rPr>
          <w:rFonts w:ascii="Times New Roman" w:hAnsi="Times New Roman" w:cs="Times New Roman"/>
        </w:rPr>
        <w:t xml:space="preserve"> at the NAIC </w:t>
      </w:r>
      <w:r w:rsidR="00193220">
        <w:rPr>
          <w:rFonts w:ascii="Times New Roman" w:hAnsi="Times New Roman" w:cs="Times New Roman"/>
        </w:rPr>
        <w:t xml:space="preserve">continued </w:t>
      </w:r>
      <w:r w:rsidR="00A05F64">
        <w:rPr>
          <w:rFonts w:ascii="Times New Roman" w:hAnsi="Times New Roman" w:cs="Times New Roman"/>
        </w:rPr>
        <w:t xml:space="preserve">to </w:t>
      </w:r>
      <w:r w:rsidR="00193220">
        <w:rPr>
          <w:rFonts w:ascii="Times New Roman" w:hAnsi="Times New Roman" w:cs="Times New Roman"/>
        </w:rPr>
        <w:t xml:space="preserve">work </w:t>
      </w:r>
      <w:r w:rsidR="00D62A26">
        <w:rPr>
          <w:rFonts w:ascii="Times New Roman" w:hAnsi="Times New Roman" w:cs="Times New Roman"/>
        </w:rPr>
        <w:t>on</w:t>
      </w:r>
      <w:r w:rsidR="00193220">
        <w:rPr>
          <w:rFonts w:ascii="Times New Roman" w:hAnsi="Times New Roman" w:cs="Times New Roman"/>
        </w:rPr>
        <w:t xml:space="preserve"> related issues</w:t>
      </w:r>
      <w:r w:rsidR="0066357B">
        <w:rPr>
          <w:rFonts w:ascii="Times New Roman" w:hAnsi="Times New Roman" w:cs="Times New Roman"/>
        </w:rPr>
        <w:t xml:space="preserve"> and develop work product</w:t>
      </w:r>
      <w:r w:rsidR="00A05F64">
        <w:rPr>
          <w:rFonts w:ascii="Times New Roman" w:hAnsi="Times New Roman" w:cs="Times New Roman"/>
        </w:rPr>
        <w:t>.</w:t>
      </w:r>
      <w:r w:rsidR="00B21544">
        <w:rPr>
          <w:rStyle w:val="FootnoteReference"/>
          <w:rFonts w:ascii="Times New Roman" w:hAnsi="Times New Roman" w:cs="Times New Roman"/>
        </w:rPr>
        <w:footnoteReference w:id="1"/>
      </w:r>
      <w:r w:rsidR="00A05F64">
        <w:rPr>
          <w:rFonts w:ascii="Times New Roman" w:hAnsi="Times New Roman" w:cs="Times New Roman"/>
        </w:rPr>
        <w:t xml:space="preserve"> </w:t>
      </w:r>
      <w:r w:rsidR="00193220">
        <w:rPr>
          <w:rFonts w:ascii="Times New Roman" w:hAnsi="Times New Roman" w:cs="Times New Roman"/>
        </w:rPr>
        <w:t xml:space="preserve"> </w:t>
      </w:r>
      <w:r w:rsidR="00A05F64">
        <w:rPr>
          <w:rFonts w:ascii="Times New Roman" w:hAnsi="Times New Roman" w:cs="Times New Roman"/>
        </w:rPr>
        <w:t>Notably, o</w:t>
      </w:r>
      <w:r w:rsidR="003E6D19" w:rsidRPr="003E6D19">
        <w:rPr>
          <w:rFonts w:ascii="Times New Roman" w:hAnsi="Times New Roman" w:cs="Times New Roman"/>
        </w:rPr>
        <w:t>n December 4, 2023, the NAIC adopted the</w:t>
      </w:r>
      <w:r w:rsidR="003E6D19" w:rsidRPr="003E6D19">
        <w:rPr>
          <w:rFonts w:ascii="Times New Roman" w:hAnsi="Times New Roman" w:cs="Times New Roman"/>
          <w:i/>
          <w:iCs/>
        </w:rPr>
        <w:t xml:space="preserve"> </w:t>
      </w:r>
      <w:hyperlink r:id="rId10" w:history="1">
        <w:r w:rsidR="003E6D19" w:rsidRPr="003E6D19">
          <w:rPr>
            <w:rStyle w:val="Hyperlink"/>
            <w:rFonts w:ascii="Times New Roman" w:hAnsi="Times New Roman" w:cs="Times New Roman"/>
            <w:i/>
            <w:iCs/>
          </w:rPr>
          <w:t>NAIC Model Bulletin: Use of Artificial Intelligence Systems by Insurers</w:t>
        </w:r>
      </w:hyperlink>
      <w:r w:rsidR="003E6D19" w:rsidRPr="003E6D19">
        <w:rPr>
          <w:rFonts w:ascii="Times New Roman" w:hAnsi="Times New Roman" w:cs="Times New Roman"/>
        </w:rPr>
        <w:t xml:space="preserve"> (AI Model Bulletin). </w:t>
      </w:r>
      <w:r w:rsidRPr="00F81D2E">
        <w:rPr>
          <w:rFonts w:ascii="Times New Roman" w:hAnsi="Times New Roman" w:cs="Times New Roman"/>
        </w:rPr>
        <w:t>The AUWG</w:t>
      </w:r>
      <w:r w:rsidR="00E009BF">
        <w:rPr>
          <w:rFonts w:ascii="Times New Roman" w:hAnsi="Times New Roman" w:cs="Times New Roman"/>
        </w:rPr>
        <w:t xml:space="preserve"> also </w:t>
      </w:r>
      <w:r w:rsidRPr="00F81D2E">
        <w:rPr>
          <w:rFonts w:ascii="Times New Roman" w:hAnsi="Times New Roman" w:cs="Times New Roman"/>
        </w:rPr>
        <w:t>continue</w:t>
      </w:r>
      <w:r w:rsidR="0079469A">
        <w:rPr>
          <w:rFonts w:ascii="Times New Roman" w:hAnsi="Times New Roman" w:cs="Times New Roman"/>
        </w:rPr>
        <w:t>d</w:t>
      </w:r>
      <w:r w:rsidRPr="00F81D2E">
        <w:rPr>
          <w:rFonts w:ascii="Times New Roman" w:hAnsi="Times New Roman" w:cs="Times New Roman"/>
        </w:rPr>
        <w:t xml:space="preserve"> it</w:t>
      </w:r>
      <w:r>
        <w:rPr>
          <w:rFonts w:ascii="Times New Roman" w:hAnsi="Times New Roman" w:cs="Times New Roman"/>
        </w:rPr>
        <w:t>s</w:t>
      </w:r>
      <w:r w:rsidRPr="00F81D2E">
        <w:rPr>
          <w:rFonts w:ascii="Times New Roman" w:hAnsi="Times New Roman" w:cs="Times New Roman"/>
        </w:rPr>
        <w:t xml:space="preserve"> work</w:t>
      </w:r>
      <w:r w:rsidR="009B4663">
        <w:rPr>
          <w:rFonts w:ascii="Times New Roman" w:hAnsi="Times New Roman" w:cs="Times New Roman"/>
        </w:rPr>
        <w:t xml:space="preserve"> draftin</w:t>
      </w:r>
      <w:r w:rsidR="00A75DE4">
        <w:rPr>
          <w:rFonts w:ascii="Times New Roman" w:hAnsi="Times New Roman" w:cs="Times New Roman"/>
        </w:rPr>
        <w:t xml:space="preserve">g </w:t>
      </w:r>
      <w:r w:rsidR="003A5D12">
        <w:rPr>
          <w:rFonts w:ascii="Times New Roman" w:hAnsi="Times New Roman" w:cs="Times New Roman"/>
        </w:rPr>
        <w:t xml:space="preserve">the </w:t>
      </w:r>
      <w:r w:rsidR="00504C84">
        <w:rPr>
          <w:rFonts w:ascii="Times New Roman" w:hAnsi="Times New Roman" w:cs="Times New Roman"/>
        </w:rPr>
        <w:t xml:space="preserve"> </w:t>
      </w:r>
      <w:r w:rsidR="00ED698C" w:rsidRPr="00ED698C">
        <w:rPr>
          <w:rFonts w:ascii="Times New Roman" w:hAnsi="Times New Roman" w:cs="Times New Roman"/>
          <w:i/>
          <w:iCs/>
        </w:rPr>
        <w:t xml:space="preserve">Accelerated Underwriting </w:t>
      </w:r>
      <w:r w:rsidR="00ED698C">
        <w:rPr>
          <w:rFonts w:ascii="Times New Roman" w:hAnsi="Times New Roman" w:cs="Times New Roman"/>
          <w:i/>
          <w:iCs/>
        </w:rPr>
        <w:t>i</w:t>
      </w:r>
      <w:r w:rsidR="00ED698C" w:rsidRPr="00ED698C">
        <w:rPr>
          <w:rFonts w:ascii="Times New Roman" w:hAnsi="Times New Roman" w:cs="Times New Roman"/>
          <w:i/>
          <w:iCs/>
        </w:rPr>
        <w:t xml:space="preserve">n Life Insurance Regulatory Guidance </w:t>
      </w:r>
      <w:r w:rsidR="007A522A">
        <w:rPr>
          <w:rFonts w:ascii="Times New Roman" w:hAnsi="Times New Roman" w:cs="Times New Roman"/>
        </w:rPr>
        <w:t>(Regulatory Guidance)</w:t>
      </w:r>
      <w:r w:rsidR="00ED698C" w:rsidRPr="00ED698C">
        <w:rPr>
          <w:rFonts w:ascii="Times New Roman" w:hAnsi="Times New Roman" w:cs="Times New Roman"/>
        </w:rPr>
        <w:t xml:space="preserve"> </w:t>
      </w:r>
      <w:r w:rsidRPr="00F81D2E">
        <w:rPr>
          <w:rFonts w:ascii="Times New Roman" w:hAnsi="Times New Roman" w:cs="Times New Roman"/>
        </w:rPr>
        <w:t xml:space="preserve">for </w:t>
      </w:r>
      <w:r>
        <w:rPr>
          <w:rFonts w:ascii="Times New Roman" w:hAnsi="Times New Roman" w:cs="Times New Roman"/>
        </w:rPr>
        <w:t>the states reviewing life insurers’ use of accelerated underwriting</w:t>
      </w:r>
      <w:r w:rsidR="00704E62">
        <w:rPr>
          <w:rFonts w:ascii="Times New Roman" w:hAnsi="Times New Roman" w:cs="Times New Roman"/>
        </w:rPr>
        <w:t>. Th</w:t>
      </w:r>
      <w:r w:rsidR="00AA5B4F">
        <w:rPr>
          <w:rFonts w:ascii="Times New Roman" w:hAnsi="Times New Roman" w:cs="Times New Roman"/>
        </w:rPr>
        <w:t>is</w:t>
      </w:r>
      <w:r w:rsidR="00704E62">
        <w:rPr>
          <w:rFonts w:ascii="Times New Roman" w:hAnsi="Times New Roman" w:cs="Times New Roman"/>
        </w:rPr>
        <w:t xml:space="preserve"> Regulatory Guidance was </w:t>
      </w:r>
      <w:r w:rsidR="00704E62">
        <w:rPr>
          <w:rFonts w:ascii="Times New Roman" w:hAnsi="Times New Roman"/>
        </w:rPr>
        <w:t>adopted by the AUWG on [insert date] and by the Life Insurance and Annuities (A) Committee on [insert date].</w:t>
      </w:r>
      <w:r w:rsidR="00704E62">
        <w:rPr>
          <w:rFonts w:ascii="Times New Roman" w:hAnsi="Times New Roman" w:cs="Times New Roman"/>
        </w:rPr>
        <w:t xml:space="preserve"> </w:t>
      </w:r>
      <w:r w:rsidR="0079469A">
        <w:rPr>
          <w:rFonts w:ascii="Times New Roman" w:hAnsi="Times New Roman" w:cs="Times New Roman"/>
        </w:rPr>
        <w:t xml:space="preserve"> </w:t>
      </w:r>
    </w:p>
    <w:p w14:paraId="526D4873" w14:textId="77777777" w:rsidR="00785982" w:rsidRDefault="00785982" w:rsidP="000327EB">
      <w:pPr>
        <w:jc w:val="both"/>
        <w:rPr>
          <w:rFonts w:ascii="Times New Roman" w:hAnsi="Times New Roman" w:cs="Times New Roman"/>
        </w:rPr>
      </w:pPr>
    </w:p>
    <w:p w14:paraId="55EF5085" w14:textId="229C3A5D" w:rsidR="000327EB" w:rsidRDefault="00482A0B" w:rsidP="000327EB">
      <w:pPr>
        <w:jc w:val="both"/>
        <w:rPr>
          <w:rFonts w:ascii="Times New Roman" w:hAnsi="Times New Roman" w:cs="Times New Roman"/>
          <w:iCs/>
        </w:rPr>
      </w:pPr>
      <w:r>
        <w:rPr>
          <w:rFonts w:ascii="Times New Roman" w:hAnsi="Times New Roman" w:cs="Times New Roman"/>
        </w:rPr>
        <w:t xml:space="preserve">In developing </w:t>
      </w:r>
      <w:r w:rsidR="00704E62">
        <w:rPr>
          <w:rFonts w:ascii="Times New Roman" w:hAnsi="Times New Roman" w:cs="Times New Roman"/>
        </w:rPr>
        <w:t xml:space="preserve">the </w:t>
      </w:r>
      <w:r w:rsidR="007A522A">
        <w:rPr>
          <w:rFonts w:ascii="Times New Roman" w:hAnsi="Times New Roman" w:cs="Times New Roman"/>
        </w:rPr>
        <w:t>Regulatory Guidance</w:t>
      </w:r>
      <w:r w:rsidR="000327EB">
        <w:rPr>
          <w:rFonts w:ascii="Times New Roman" w:hAnsi="Times New Roman" w:cs="Times New Roman"/>
        </w:rPr>
        <w:t>, t</w:t>
      </w:r>
      <w:r w:rsidR="000327EB" w:rsidRPr="00F81D2E">
        <w:rPr>
          <w:rFonts w:ascii="Times New Roman" w:hAnsi="Times New Roman" w:cs="Times New Roman"/>
        </w:rPr>
        <w:t xml:space="preserve">he </w:t>
      </w:r>
      <w:r w:rsidR="000327EB">
        <w:rPr>
          <w:rFonts w:ascii="Times New Roman" w:hAnsi="Times New Roman" w:cs="Times New Roman"/>
        </w:rPr>
        <w:t>AUWG</w:t>
      </w:r>
      <w:r w:rsidR="000327EB" w:rsidRPr="00F81D2E">
        <w:rPr>
          <w:rFonts w:ascii="Times New Roman" w:hAnsi="Times New Roman" w:cs="Times New Roman"/>
        </w:rPr>
        <w:t xml:space="preserve"> </w:t>
      </w:r>
      <w:r w:rsidR="00EC0C9A">
        <w:rPr>
          <w:rFonts w:ascii="Times New Roman" w:hAnsi="Times New Roman" w:cs="Times New Roman"/>
        </w:rPr>
        <w:t>realized</w:t>
      </w:r>
      <w:r w:rsidR="003C4822">
        <w:rPr>
          <w:rFonts w:ascii="Times New Roman" w:hAnsi="Times New Roman" w:cs="Times New Roman"/>
        </w:rPr>
        <w:t xml:space="preserve"> that </w:t>
      </w:r>
      <w:r w:rsidR="000327EB" w:rsidRPr="00F81D2E">
        <w:rPr>
          <w:rFonts w:ascii="Times New Roman" w:hAnsi="Times New Roman" w:cs="Times New Roman"/>
        </w:rPr>
        <w:t>additional guidance</w:t>
      </w:r>
      <w:r w:rsidR="0002012E">
        <w:rPr>
          <w:rFonts w:ascii="Times New Roman" w:hAnsi="Times New Roman" w:cs="Times New Roman"/>
        </w:rPr>
        <w:t xml:space="preserve"> addressing accelerated underwriting in life insurance</w:t>
      </w:r>
      <w:r w:rsidR="000327EB" w:rsidRPr="00F81D2E">
        <w:rPr>
          <w:rFonts w:ascii="Times New Roman" w:hAnsi="Times New Roman" w:cs="Times New Roman"/>
        </w:rPr>
        <w:t xml:space="preserve"> in the NAIC’s </w:t>
      </w:r>
      <w:r w:rsidR="000327EB" w:rsidRPr="00F81D2E">
        <w:rPr>
          <w:rFonts w:ascii="Times New Roman" w:hAnsi="Times New Roman" w:cs="Times New Roman"/>
          <w:i/>
        </w:rPr>
        <w:t>Market Regulation Handbook</w:t>
      </w:r>
      <w:r w:rsidR="000327EB" w:rsidRPr="00F81D2E">
        <w:rPr>
          <w:rFonts w:ascii="Times New Roman" w:hAnsi="Times New Roman" w:cs="Times New Roman"/>
        </w:rPr>
        <w:t xml:space="preserve"> (MRH) </w:t>
      </w:r>
      <w:r w:rsidR="003C4822">
        <w:rPr>
          <w:rFonts w:ascii="Times New Roman" w:hAnsi="Times New Roman" w:cs="Times New Roman"/>
        </w:rPr>
        <w:t>w</w:t>
      </w:r>
      <w:r w:rsidR="00897502">
        <w:rPr>
          <w:rFonts w:ascii="Times New Roman" w:hAnsi="Times New Roman" w:cs="Times New Roman"/>
        </w:rPr>
        <w:t>ould</w:t>
      </w:r>
      <w:r w:rsidR="003C4822">
        <w:rPr>
          <w:rFonts w:ascii="Times New Roman" w:hAnsi="Times New Roman" w:cs="Times New Roman"/>
        </w:rPr>
        <w:t xml:space="preserve"> </w:t>
      </w:r>
      <w:r w:rsidR="000246A4">
        <w:rPr>
          <w:rFonts w:ascii="Times New Roman" w:hAnsi="Times New Roman" w:cs="Times New Roman"/>
        </w:rPr>
        <w:t xml:space="preserve">provide examiners with </w:t>
      </w:r>
      <w:r w:rsidR="004C6876">
        <w:rPr>
          <w:rFonts w:ascii="Times New Roman" w:hAnsi="Times New Roman" w:cs="Times New Roman"/>
        </w:rPr>
        <w:t>critical tools</w:t>
      </w:r>
      <w:r w:rsidR="00A6161C">
        <w:rPr>
          <w:rFonts w:ascii="Times New Roman" w:hAnsi="Times New Roman" w:cs="Times New Roman"/>
        </w:rPr>
        <w:t xml:space="preserve"> to use when looking at the </w:t>
      </w:r>
      <w:r w:rsidR="001F6E53">
        <w:rPr>
          <w:rFonts w:ascii="Times New Roman" w:hAnsi="Times New Roman" w:cs="Times New Roman"/>
        </w:rPr>
        <w:t xml:space="preserve">underwriting </w:t>
      </w:r>
      <w:r w:rsidR="00A6161C">
        <w:rPr>
          <w:rFonts w:ascii="Times New Roman" w:hAnsi="Times New Roman" w:cs="Times New Roman"/>
        </w:rPr>
        <w:t>activities of life insurers</w:t>
      </w:r>
      <w:r w:rsidR="008F48EA">
        <w:rPr>
          <w:rFonts w:ascii="Times New Roman" w:hAnsi="Times New Roman" w:cs="Times New Roman"/>
        </w:rPr>
        <w:t xml:space="preserve">. </w:t>
      </w:r>
      <w:r w:rsidR="000327EB" w:rsidRPr="00F81D2E">
        <w:rPr>
          <w:rFonts w:ascii="Times New Roman" w:hAnsi="Times New Roman" w:cs="Times New Roman"/>
          <w:iCs/>
        </w:rPr>
        <w:t xml:space="preserve"> </w:t>
      </w:r>
      <w:r w:rsidR="0010109A">
        <w:rPr>
          <w:rFonts w:ascii="Times New Roman" w:hAnsi="Times New Roman" w:cs="Times New Roman"/>
          <w:iCs/>
        </w:rPr>
        <w:t>S</w:t>
      </w:r>
      <w:r w:rsidR="007C7941">
        <w:rPr>
          <w:rFonts w:ascii="Times New Roman" w:hAnsi="Times New Roman" w:cs="Times New Roman"/>
          <w:iCs/>
        </w:rPr>
        <w:t xml:space="preserve">pecific </w:t>
      </w:r>
      <w:r w:rsidR="00B9268C">
        <w:rPr>
          <w:rFonts w:ascii="Times New Roman" w:hAnsi="Times New Roman" w:cs="Times New Roman"/>
          <w:iCs/>
        </w:rPr>
        <w:t xml:space="preserve">guidance </w:t>
      </w:r>
      <w:r w:rsidR="00852DBB">
        <w:rPr>
          <w:rFonts w:ascii="Times New Roman" w:hAnsi="Times New Roman" w:cs="Times New Roman"/>
          <w:iCs/>
        </w:rPr>
        <w:t xml:space="preserve">pertaining to </w:t>
      </w:r>
      <w:r w:rsidR="000327EB" w:rsidRPr="00F81D2E">
        <w:rPr>
          <w:rFonts w:ascii="Times New Roman" w:hAnsi="Times New Roman" w:cs="Times New Roman"/>
          <w:iCs/>
        </w:rPr>
        <w:t>accelerated underwriting</w:t>
      </w:r>
      <w:r w:rsidR="000327EB">
        <w:rPr>
          <w:rFonts w:ascii="Times New Roman" w:hAnsi="Times New Roman" w:cs="Times New Roman"/>
          <w:iCs/>
        </w:rPr>
        <w:t xml:space="preserve"> in the MRH</w:t>
      </w:r>
      <w:r w:rsidR="000327EB" w:rsidRPr="00F81D2E">
        <w:rPr>
          <w:rFonts w:ascii="Times New Roman" w:hAnsi="Times New Roman" w:cs="Times New Roman"/>
          <w:iCs/>
        </w:rPr>
        <w:t xml:space="preserve"> is necessary to alert the market conduct examiner to the novel data and processes utilized </w:t>
      </w:r>
      <w:r w:rsidR="000327EB">
        <w:rPr>
          <w:rFonts w:ascii="Times New Roman" w:hAnsi="Times New Roman" w:cs="Times New Roman"/>
          <w:iCs/>
        </w:rPr>
        <w:t xml:space="preserve">by life insurers </w:t>
      </w:r>
      <w:r w:rsidR="000327EB" w:rsidRPr="00F81D2E">
        <w:rPr>
          <w:rFonts w:ascii="Times New Roman" w:hAnsi="Times New Roman" w:cs="Times New Roman"/>
          <w:iCs/>
        </w:rPr>
        <w:t xml:space="preserve">in accelerated underwriting. </w:t>
      </w:r>
    </w:p>
    <w:p w14:paraId="58F0D3A9" w14:textId="77777777" w:rsidR="000327EB" w:rsidRDefault="000327EB" w:rsidP="000327EB">
      <w:pPr>
        <w:jc w:val="both"/>
        <w:rPr>
          <w:rFonts w:ascii="Times New Roman" w:hAnsi="Times New Roman" w:cs="Times New Roman"/>
          <w:iCs/>
        </w:rPr>
      </w:pPr>
    </w:p>
    <w:p w14:paraId="7BF26B0F" w14:textId="62262E50" w:rsidR="006F21B8" w:rsidRDefault="000327EB" w:rsidP="000327EB">
      <w:pPr>
        <w:jc w:val="both"/>
        <w:rPr>
          <w:rFonts w:ascii="Times New Roman" w:hAnsi="Times New Roman" w:cs="Times New Roman"/>
          <w:iCs/>
        </w:rPr>
      </w:pPr>
      <w:r>
        <w:rPr>
          <w:rFonts w:ascii="Times New Roman" w:hAnsi="Times New Roman" w:cs="Times New Roman"/>
          <w:iCs/>
        </w:rPr>
        <w:t>E</w:t>
      </w:r>
      <w:r w:rsidRPr="00946B7C">
        <w:rPr>
          <w:rFonts w:ascii="Times New Roman" w:hAnsi="Times New Roman" w:cs="Times New Roman"/>
          <w:iCs/>
        </w:rPr>
        <w:t xml:space="preserve">xisting </w:t>
      </w:r>
      <w:r w:rsidR="00F44160">
        <w:rPr>
          <w:rFonts w:ascii="Times New Roman" w:hAnsi="Times New Roman" w:cs="Times New Roman"/>
          <w:iCs/>
        </w:rPr>
        <w:t xml:space="preserve">laws and </w:t>
      </w:r>
      <w:r w:rsidRPr="00946B7C">
        <w:rPr>
          <w:rFonts w:ascii="Times New Roman" w:hAnsi="Times New Roman" w:cs="Times New Roman"/>
          <w:iCs/>
        </w:rPr>
        <w:t xml:space="preserve">regulations apply to accelerated underwriting programs in the same way as traditional underwriting programs. DOIs have broad authority to </w:t>
      </w:r>
      <w:r>
        <w:rPr>
          <w:rFonts w:ascii="Times New Roman" w:hAnsi="Times New Roman" w:cs="Times New Roman"/>
          <w:iCs/>
        </w:rPr>
        <w:t>examine</w:t>
      </w:r>
      <w:r w:rsidRPr="00946B7C">
        <w:rPr>
          <w:rFonts w:ascii="Times New Roman" w:hAnsi="Times New Roman" w:cs="Times New Roman"/>
          <w:iCs/>
        </w:rPr>
        <w:t xml:space="preserve"> the processes and procedures of life insurers to determine if their accelerated underwriting programs comply with the statutes and regulations of the department</w:t>
      </w:r>
      <w:r w:rsidR="002A2AFE">
        <w:rPr>
          <w:rFonts w:ascii="Times New Roman" w:hAnsi="Times New Roman" w:cs="Times New Roman"/>
          <w:iCs/>
        </w:rPr>
        <w:t>.</w:t>
      </w:r>
      <w:r w:rsidR="00B0622E" w:rsidRPr="00B0622E">
        <w:rPr>
          <w:rFonts w:ascii="Times New Roman" w:hAnsi="Times New Roman" w:cs="Times New Roman"/>
          <w:iCs/>
        </w:rPr>
        <w:t xml:space="preserve"> The AI Model Bulletin also advises insurers of the type of information and documentation that insurance departments may request under existing regulatory authority during an investigation or examination regarding its use of AI Systems, which includes accelerated underwriting in life insurance.</w:t>
      </w:r>
      <w:r w:rsidR="00B0622E">
        <w:rPr>
          <w:rFonts w:ascii="Times New Roman" w:hAnsi="Times New Roman" w:cs="Times New Roman"/>
          <w:iCs/>
        </w:rPr>
        <w:t xml:space="preserve"> </w:t>
      </w:r>
      <w:r w:rsidR="007905EB">
        <w:rPr>
          <w:rFonts w:ascii="Times New Roman" w:hAnsi="Times New Roman" w:cs="Times New Roman"/>
          <w:iCs/>
        </w:rPr>
        <w:t>I</w:t>
      </w:r>
      <w:r w:rsidRPr="00946B7C">
        <w:rPr>
          <w:rFonts w:ascii="Times New Roman" w:hAnsi="Times New Roman" w:cs="Times New Roman"/>
          <w:iCs/>
        </w:rPr>
        <w:t>n particular</w:t>
      </w:r>
      <w:r w:rsidR="007905EB">
        <w:rPr>
          <w:rFonts w:ascii="Times New Roman" w:hAnsi="Times New Roman" w:cs="Times New Roman"/>
          <w:iCs/>
        </w:rPr>
        <w:t>,</w:t>
      </w:r>
      <w:r w:rsidRPr="00946B7C">
        <w:rPr>
          <w:rFonts w:ascii="Times New Roman" w:hAnsi="Times New Roman" w:cs="Times New Roman"/>
          <w:iCs/>
        </w:rPr>
        <w:t xml:space="preserve"> the </w:t>
      </w:r>
      <w:r>
        <w:rPr>
          <w:rFonts w:ascii="Times New Roman" w:hAnsi="Times New Roman" w:cs="Times New Roman"/>
          <w:iCs/>
        </w:rPr>
        <w:t xml:space="preserve">state equivalent to the </w:t>
      </w:r>
      <w:r w:rsidR="007905EB">
        <w:rPr>
          <w:rFonts w:ascii="Times New Roman" w:hAnsi="Times New Roman" w:cs="Times New Roman"/>
          <w:iCs/>
        </w:rPr>
        <w:lastRenderedPageBreak/>
        <w:t xml:space="preserve">following NAIC Models </w:t>
      </w:r>
      <w:r w:rsidR="00EA6BD0">
        <w:rPr>
          <w:rFonts w:ascii="Times New Roman" w:hAnsi="Times New Roman" w:cs="Times New Roman"/>
          <w:iCs/>
        </w:rPr>
        <w:t xml:space="preserve">provide </w:t>
      </w:r>
      <w:r w:rsidR="006F21B8">
        <w:rPr>
          <w:rFonts w:ascii="Times New Roman" w:hAnsi="Times New Roman" w:cs="Times New Roman"/>
          <w:iCs/>
        </w:rPr>
        <w:t>legislative authority for specific inquiry into insurer practices involving AI Systems, including accelerated underwriting in life insurance:</w:t>
      </w:r>
    </w:p>
    <w:p w14:paraId="7E835C63" w14:textId="77777777" w:rsidR="006F21B8" w:rsidRDefault="006F21B8" w:rsidP="000327EB">
      <w:pPr>
        <w:jc w:val="both"/>
        <w:rPr>
          <w:rFonts w:ascii="Times New Roman" w:hAnsi="Times New Roman" w:cs="Times New Roman"/>
          <w:iCs/>
        </w:rPr>
      </w:pPr>
    </w:p>
    <w:p w14:paraId="29F4CFF7" w14:textId="0B40C412" w:rsidR="000327EB" w:rsidRDefault="000327EB" w:rsidP="009B6958">
      <w:pPr>
        <w:ind w:left="720"/>
        <w:jc w:val="both"/>
        <w:rPr>
          <w:rFonts w:ascii="Times New Roman" w:hAnsi="Times New Roman" w:cs="Times New Roman"/>
          <w:iCs/>
        </w:rPr>
      </w:pPr>
      <w:r w:rsidRPr="0057452C">
        <w:rPr>
          <w:rFonts w:ascii="Times New Roman" w:hAnsi="Times New Roman" w:cs="Times New Roman"/>
          <w:i/>
        </w:rPr>
        <w:t>Unfair Trade Practices Act</w:t>
      </w:r>
      <w:r>
        <w:rPr>
          <w:rFonts w:ascii="Times New Roman" w:hAnsi="Times New Roman" w:cs="Times New Roman"/>
          <w:iCs/>
        </w:rPr>
        <w:t xml:space="preserve"> (#880)</w:t>
      </w:r>
      <w:r w:rsidRPr="00946B7C">
        <w:rPr>
          <w:rFonts w:ascii="Times New Roman" w:hAnsi="Times New Roman" w:cs="Times New Roman"/>
          <w:iCs/>
        </w:rPr>
        <w:t xml:space="preserve"> </w:t>
      </w:r>
      <w:r w:rsidR="009B6E51">
        <w:rPr>
          <w:rFonts w:ascii="Times New Roman" w:hAnsi="Times New Roman" w:cs="Times New Roman"/>
          <w:iCs/>
        </w:rPr>
        <w:t>d</w:t>
      </w:r>
      <w:r w:rsidR="0005131C">
        <w:rPr>
          <w:rFonts w:ascii="Times New Roman" w:hAnsi="Times New Roman" w:cs="Times New Roman"/>
          <w:iCs/>
        </w:rPr>
        <w:t>efines</w:t>
      </w:r>
      <w:r w:rsidR="009B6E51">
        <w:rPr>
          <w:rFonts w:ascii="Times New Roman" w:hAnsi="Times New Roman" w:cs="Times New Roman"/>
          <w:iCs/>
        </w:rPr>
        <w:t xml:space="preserve"> </w:t>
      </w:r>
      <w:r w:rsidR="0005131C" w:rsidRPr="0005131C">
        <w:rPr>
          <w:rFonts w:ascii="Times New Roman" w:hAnsi="Times New Roman" w:cs="Times New Roman"/>
          <w:iCs/>
        </w:rPr>
        <w:t xml:space="preserve">practices that constitute unfair methods of competition or unfair or deceptive acts and practices and </w:t>
      </w:r>
      <w:r w:rsidR="009B6E51">
        <w:rPr>
          <w:rFonts w:ascii="Times New Roman" w:hAnsi="Times New Roman" w:cs="Times New Roman"/>
          <w:iCs/>
        </w:rPr>
        <w:t xml:space="preserve">prohibits </w:t>
      </w:r>
      <w:r w:rsidR="0005131C" w:rsidRPr="0005131C">
        <w:rPr>
          <w:rFonts w:ascii="Times New Roman" w:hAnsi="Times New Roman" w:cs="Times New Roman"/>
          <w:iCs/>
        </w:rPr>
        <w:t>the trade practices so defined or determined.</w:t>
      </w:r>
    </w:p>
    <w:p w14:paraId="3E4D6948" w14:textId="77777777" w:rsidR="00616B42" w:rsidRDefault="00616B42" w:rsidP="009B6958">
      <w:pPr>
        <w:ind w:left="720"/>
        <w:jc w:val="both"/>
        <w:rPr>
          <w:rFonts w:ascii="Times New Roman" w:hAnsi="Times New Roman" w:cs="Times New Roman"/>
          <w:iCs/>
        </w:rPr>
      </w:pPr>
    </w:p>
    <w:p w14:paraId="1E116F87" w14:textId="6A33BBDB" w:rsidR="00616B42" w:rsidRDefault="00616B42" w:rsidP="009B6958">
      <w:pPr>
        <w:ind w:left="720"/>
        <w:jc w:val="both"/>
        <w:rPr>
          <w:rFonts w:ascii="Times New Roman" w:hAnsi="Times New Roman" w:cs="Times New Roman"/>
          <w:iCs/>
        </w:rPr>
      </w:pPr>
      <w:r w:rsidRPr="001E1DFB">
        <w:rPr>
          <w:rFonts w:ascii="Times New Roman" w:hAnsi="Times New Roman" w:cs="Times New Roman"/>
          <w:i/>
        </w:rPr>
        <w:t>Unfair Claims Settlement Practices Model Act (#900)</w:t>
      </w:r>
      <w:r w:rsidR="007C5F57" w:rsidRPr="007C5F57">
        <w:rPr>
          <w:rFonts w:ascii="Times New Roman" w:hAnsi="Times New Roman" w:cs="Times New Roman"/>
          <w:i/>
        </w:rPr>
        <w:t xml:space="preserve"> </w:t>
      </w:r>
      <w:r w:rsidR="007C5F57" w:rsidRPr="001E1DFB">
        <w:rPr>
          <w:rFonts w:ascii="Times New Roman" w:hAnsi="Times New Roman" w:cs="Times New Roman"/>
          <w:iCs/>
        </w:rPr>
        <w:t>sets forth standards for the investigation and disposition of claims arising under policies or certificates of insurance</w:t>
      </w:r>
      <w:r w:rsidR="007C5F57">
        <w:rPr>
          <w:rFonts w:ascii="Times New Roman" w:hAnsi="Times New Roman" w:cs="Times New Roman"/>
          <w:iCs/>
        </w:rPr>
        <w:t>.</w:t>
      </w:r>
    </w:p>
    <w:p w14:paraId="371A322D" w14:textId="77777777" w:rsidR="007C5F57" w:rsidRDefault="007C5F57" w:rsidP="009B6958">
      <w:pPr>
        <w:ind w:left="720"/>
        <w:jc w:val="both"/>
        <w:rPr>
          <w:rFonts w:ascii="Times New Roman" w:hAnsi="Times New Roman" w:cs="Times New Roman"/>
          <w:iCs/>
        </w:rPr>
      </w:pPr>
    </w:p>
    <w:p w14:paraId="030ABE48" w14:textId="54282240" w:rsidR="007C5F57" w:rsidRPr="007C5F57" w:rsidRDefault="005B5B12" w:rsidP="009B6958">
      <w:pPr>
        <w:ind w:left="720"/>
        <w:jc w:val="both"/>
        <w:rPr>
          <w:rFonts w:ascii="Times New Roman" w:hAnsi="Times New Roman" w:cs="Times New Roman"/>
          <w:iCs/>
        </w:rPr>
      </w:pPr>
      <w:r w:rsidRPr="001E1DFB">
        <w:rPr>
          <w:rFonts w:ascii="Times New Roman" w:hAnsi="Times New Roman" w:cs="Times New Roman"/>
          <w:i/>
        </w:rPr>
        <w:t>Corporate Governance Annual Disclosure Model Act (#305)</w:t>
      </w:r>
      <w:r w:rsidRPr="005B5B12">
        <w:rPr>
          <w:rFonts w:ascii="Times New Roman" w:hAnsi="Times New Roman" w:cs="Times New Roman"/>
          <w:iCs/>
        </w:rPr>
        <w:t>:</w:t>
      </w:r>
      <w:r w:rsidR="00451CAC">
        <w:rPr>
          <w:rFonts w:ascii="Times New Roman" w:hAnsi="Times New Roman" w:cs="Times New Roman"/>
          <w:iCs/>
        </w:rPr>
        <w:t xml:space="preserve"> </w:t>
      </w:r>
      <w:r w:rsidRPr="005B5B12">
        <w:rPr>
          <w:rFonts w:ascii="Times New Roman" w:hAnsi="Times New Roman" w:cs="Times New Roman"/>
          <w:iCs/>
        </w:rPr>
        <w:t xml:space="preserve">requires </w:t>
      </w:r>
      <w:r w:rsidR="00451CAC">
        <w:rPr>
          <w:rFonts w:ascii="Times New Roman" w:hAnsi="Times New Roman" w:cs="Times New Roman"/>
          <w:iCs/>
        </w:rPr>
        <w:t>i</w:t>
      </w:r>
      <w:r w:rsidRPr="005B5B12">
        <w:rPr>
          <w:rFonts w:ascii="Times New Roman" w:hAnsi="Times New Roman" w:cs="Times New Roman"/>
          <w:iCs/>
        </w:rPr>
        <w:t xml:space="preserve">nsurers to report on governance practices and to provide a summary of the Insurer’s corporate governance structure, policies, and practices. The content, form, and filing requirements for </w:t>
      </w:r>
      <w:r w:rsidR="002822A6">
        <w:rPr>
          <w:rFonts w:ascii="Times New Roman" w:hAnsi="Times New Roman" w:cs="Times New Roman"/>
          <w:iCs/>
        </w:rPr>
        <w:t>a Corporate Governance Annual Disclosure (</w:t>
      </w:r>
      <w:r w:rsidRPr="005B5B12">
        <w:rPr>
          <w:rFonts w:ascii="Times New Roman" w:hAnsi="Times New Roman" w:cs="Times New Roman"/>
          <w:iCs/>
        </w:rPr>
        <w:t>CGAD</w:t>
      </w:r>
      <w:r w:rsidR="002822A6">
        <w:rPr>
          <w:rFonts w:ascii="Times New Roman" w:hAnsi="Times New Roman" w:cs="Times New Roman"/>
          <w:iCs/>
        </w:rPr>
        <w:t>)</w:t>
      </w:r>
      <w:r w:rsidRPr="005B5B12">
        <w:rPr>
          <w:rFonts w:ascii="Times New Roman" w:hAnsi="Times New Roman" w:cs="Times New Roman"/>
          <w:iCs/>
        </w:rPr>
        <w:t xml:space="preserve"> are set forth in the Corporate Governance Annual Disclosure Model Regulation (#306)</w:t>
      </w:r>
    </w:p>
    <w:p w14:paraId="0E30DB42" w14:textId="16CC4C95" w:rsidR="000327EB" w:rsidRDefault="000327EB" w:rsidP="000327EB">
      <w:pPr>
        <w:jc w:val="both"/>
        <w:rPr>
          <w:rFonts w:ascii="Times New Roman" w:hAnsi="Times New Roman"/>
        </w:rPr>
      </w:pPr>
    </w:p>
    <w:p w14:paraId="03582927" w14:textId="68357116" w:rsidR="000327EB" w:rsidRPr="009B6958" w:rsidRDefault="001B7EDC" w:rsidP="000327EB">
      <w:pPr>
        <w:jc w:val="both"/>
        <w:rPr>
          <w:rFonts w:ascii="Times New Roman" w:hAnsi="Times New Roman"/>
          <w:b/>
          <w:bCs/>
        </w:rPr>
      </w:pPr>
      <w:bookmarkStart w:id="0" w:name="_Hlk168385807"/>
      <w:r>
        <w:rPr>
          <w:rFonts w:ascii="Times New Roman" w:hAnsi="Times New Roman"/>
        </w:rPr>
        <w:t>T</w:t>
      </w:r>
      <w:r w:rsidR="00704E62">
        <w:rPr>
          <w:rFonts w:ascii="Times New Roman" w:hAnsi="Times New Roman"/>
        </w:rPr>
        <w:t xml:space="preserve">he </w:t>
      </w:r>
      <w:r w:rsidR="000327EB">
        <w:rPr>
          <w:rFonts w:ascii="Times New Roman" w:hAnsi="Times New Roman"/>
        </w:rPr>
        <w:t>AUWG</w:t>
      </w:r>
      <w:r w:rsidR="003F1C63">
        <w:rPr>
          <w:rFonts w:ascii="Times New Roman" w:hAnsi="Times New Roman"/>
        </w:rPr>
        <w:t xml:space="preserve"> </w:t>
      </w:r>
      <w:r w:rsidR="00E0085C">
        <w:rPr>
          <w:rFonts w:ascii="Times New Roman" w:hAnsi="Times New Roman"/>
        </w:rPr>
        <w:t>recommends</w:t>
      </w:r>
      <w:r w:rsidR="003F1C63">
        <w:rPr>
          <w:rFonts w:ascii="Times New Roman" w:hAnsi="Times New Roman"/>
        </w:rPr>
        <w:t xml:space="preserve"> </w:t>
      </w:r>
      <w:r w:rsidR="007F74C5">
        <w:rPr>
          <w:rFonts w:ascii="Times New Roman" w:hAnsi="Times New Roman"/>
        </w:rPr>
        <w:t xml:space="preserve">that the </w:t>
      </w:r>
      <w:r w:rsidR="007F74C5" w:rsidRPr="007F74C5">
        <w:rPr>
          <w:rFonts w:ascii="Times New Roman" w:eastAsia="Calibri" w:hAnsi="Times New Roman" w:cs="Times New Roman"/>
          <w:color w:val="111822"/>
        </w:rPr>
        <w:t>Market Conduct Examination Guidelines (D) Working Group</w:t>
      </w:r>
      <w:r w:rsidR="007F74C5" w:rsidRPr="007F74C5">
        <w:rPr>
          <w:rFonts w:ascii="Times New Roman" w:hAnsi="Times New Roman"/>
        </w:rPr>
        <w:t xml:space="preserve"> </w:t>
      </w:r>
      <w:r w:rsidR="00704E62">
        <w:rPr>
          <w:rFonts w:ascii="Times New Roman" w:hAnsi="Times New Roman"/>
        </w:rPr>
        <w:t xml:space="preserve">utilize the </w:t>
      </w:r>
      <w:r w:rsidR="007F74C5">
        <w:rPr>
          <w:rFonts w:ascii="Times New Roman" w:hAnsi="Times New Roman"/>
        </w:rPr>
        <w:t>Regulatory Guidance</w:t>
      </w:r>
      <w:r>
        <w:rPr>
          <w:rFonts w:ascii="Times New Roman" w:hAnsi="Times New Roman"/>
        </w:rPr>
        <w:t xml:space="preserve"> to update the MRH</w:t>
      </w:r>
      <w:r w:rsidR="00704E62">
        <w:rPr>
          <w:rFonts w:ascii="Times New Roman" w:hAnsi="Times New Roman"/>
        </w:rPr>
        <w:t>.</w:t>
      </w:r>
      <w:bookmarkEnd w:id="0"/>
      <w:r w:rsidR="00704E62">
        <w:rPr>
          <w:rFonts w:ascii="Times New Roman" w:hAnsi="Times New Roman"/>
        </w:rPr>
        <w:t xml:space="preserve"> </w:t>
      </w:r>
      <w:r w:rsidR="00094525">
        <w:rPr>
          <w:rFonts w:ascii="Times New Roman" w:hAnsi="Times New Roman"/>
        </w:rPr>
        <w:t>T</w:t>
      </w:r>
      <w:r w:rsidR="00704E62">
        <w:rPr>
          <w:rFonts w:ascii="Times New Roman" w:hAnsi="Times New Roman"/>
        </w:rPr>
        <w:t>he</w:t>
      </w:r>
      <w:r w:rsidR="00EA03F8" w:rsidRPr="00EA03F8">
        <w:rPr>
          <w:rFonts w:ascii="Times New Roman" w:hAnsi="Times New Roman"/>
        </w:rPr>
        <w:t xml:space="preserve"> </w:t>
      </w:r>
      <w:r w:rsidR="007F74C5">
        <w:rPr>
          <w:rFonts w:ascii="Times New Roman" w:hAnsi="Times New Roman"/>
        </w:rPr>
        <w:t>R</w:t>
      </w:r>
      <w:r w:rsidR="00EA03F8" w:rsidRPr="00EA03F8">
        <w:rPr>
          <w:rFonts w:ascii="Times New Roman" w:hAnsi="Times New Roman"/>
        </w:rPr>
        <w:t xml:space="preserve">egulatory </w:t>
      </w:r>
      <w:r w:rsidR="007F74C5">
        <w:rPr>
          <w:rFonts w:ascii="Times New Roman" w:hAnsi="Times New Roman"/>
        </w:rPr>
        <w:t>G</w:t>
      </w:r>
      <w:r w:rsidR="00EA03F8" w:rsidRPr="00EA03F8">
        <w:rPr>
          <w:rFonts w:ascii="Times New Roman" w:hAnsi="Times New Roman"/>
        </w:rPr>
        <w:t>uidance is designed to provide a framework for regulators to reference</w:t>
      </w:r>
      <w:r w:rsidR="00E6224C">
        <w:rPr>
          <w:rFonts w:ascii="Times New Roman" w:hAnsi="Times New Roman"/>
        </w:rPr>
        <w:t xml:space="preserve"> when </w:t>
      </w:r>
      <w:r w:rsidR="00B8183E">
        <w:rPr>
          <w:rFonts w:ascii="Times New Roman" w:hAnsi="Times New Roman"/>
        </w:rPr>
        <w:t>reviewing</w:t>
      </w:r>
      <w:r w:rsidR="00E6224C">
        <w:rPr>
          <w:rFonts w:ascii="Times New Roman" w:hAnsi="Times New Roman"/>
        </w:rPr>
        <w:t xml:space="preserve"> insurers</w:t>
      </w:r>
      <w:r w:rsidR="00FA2BDA">
        <w:rPr>
          <w:rFonts w:ascii="Times New Roman" w:hAnsi="Times New Roman"/>
        </w:rPr>
        <w:t>’</w:t>
      </w:r>
      <w:r w:rsidR="00C151C6">
        <w:rPr>
          <w:rFonts w:ascii="Times New Roman" w:hAnsi="Times New Roman"/>
        </w:rPr>
        <w:t xml:space="preserve"> use of accelerated underwriting </w:t>
      </w:r>
      <w:r w:rsidR="00EA03F8" w:rsidRPr="00EA03F8">
        <w:rPr>
          <w:rFonts w:ascii="Times New Roman" w:hAnsi="Times New Roman"/>
        </w:rPr>
        <w:t>and is divided into three areas of focus: A) regulatory considerations; B) strategies for review; and C) requests for information.</w:t>
      </w:r>
      <w:r w:rsidR="00596180">
        <w:rPr>
          <w:rFonts w:ascii="Times New Roman" w:hAnsi="Times New Roman"/>
        </w:rPr>
        <w:t xml:space="preserve"> Section C, in particular, contains questions that could </w:t>
      </w:r>
      <w:r w:rsidR="00E6224C">
        <w:rPr>
          <w:rFonts w:ascii="Times New Roman" w:hAnsi="Times New Roman"/>
        </w:rPr>
        <w:t xml:space="preserve">be incorporated </w:t>
      </w:r>
      <w:r w:rsidR="00C151C6">
        <w:rPr>
          <w:rFonts w:ascii="Times New Roman" w:hAnsi="Times New Roman"/>
        </w:rPr>
        <w:t xml:space="preserve">into the MRH. </w:t>
      </w:r>
      <w:r w:rsidR="000327EB" w:rsidRPr="009B6958">
        <w:rPr>
          <w:rFonts w:ascii="Times New Roman" w:hAnsi="Times New Roman"/>
          <w:iCs/>
        </w:rPr>
        <w:t xml:space="preserve">The AUWG looks forward to working with </w:t>
      </w:r>
      <w:r w:rsidR="009B6958" w:rsidRPr="009B6958">
        <w:rPr>
          <w:rFonts w:ascii="Times New Roman" w:hAnsi="Times New Roman"/>
          <w:iCs/>
        </w:rPr>
        <w:t xml:space="preserve">and will be available to assist </w:t>
      </w:r>
      <w:r w:rsidR="000327EB" w:rsidRPr="009B6958">
        <w:rPr>
          <w:rFonts w:ascii="Times New Roman" w:hAnsi="Times New Roman"/>
          <w:iCs/>
        </w:rPr>
        <w:t xml:space="preserve">the Market Conduct Examination Guidelines (D) Working Group </w:t>
      </w:r>
      <w:r w:rsidR="00CD5C64">
        <w:rPr>
          <w:rFonts w:ascii="Times New Roman" w:hAnsi="Times New Roman"/>
          <w:iCs/>
        </w:rPr>
        <w:t>in</w:t>
      </w:r>
      <w:r w:rsidR="000327EB" w:rsidRPr="009B6958">
        <w:rPr>
          <w:rFonts w:ascii="Times New Roman" w:hAnsi="Times New Roman"/>
          <w:iCs/>
        </w:rPr>
        <w:t xml:space="preserve"> draft</w:t>
      </w:r>
      <w:r w:rsidR="00CD5C64">
        <w:rPr>
          <w:rFonts w:ascii="Times New Roman" w:hAnsi="Times New Roman"/>
          <w:iCs/>
        </w:rPr>
        <w:t>ing</w:t>
      </w:r>
      <w:r w:rsidR="000327EB" w:rsidRPr="009B6958">
        <w:rPr>
          <w:rFonts w:ascii="Times New Roman" w:hAnsi="Times New Roman"/>
          <w:iCs/>
        </w:rPr>
        <w:t xml:space="preserve"> the recommended changes to the MRH.</w:t>
      </w:r>
      <w:r w:rsidR="000327EB" w:rsidRPr="009B6958">
        <w:rPr>
          <w:rFonts w:ascii="Times New Roman" w:hAnsi="Times New Roman"/>
          <w:b/>
          <w:bCs/>
          <w:iCs/>
        </w:rPr>
        <w:t xml:space="preserve"> </w:t>
      </w:r>
    </w:p>
    <w:p w14:paraId="2E429F29" w14:textId="77777777" w:rsidR="00C2111F" w:rsidRDefault="00C2111F"/>
    <w:sectPr w:rsidR="00C211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344EA" w14:textId="77777777" w:rsidR="00E86FFE" w:rsidRDefault="00E86FFE" w:rsidP="000327EB">
      <w:r>
        <w:separator/>
      </w:r>
    </w:p>
  </w:endnote>
  <w:endnote w:type="continuationSeparator" w:id="0">
    <w:p w14:paraId="28576BE2" w14:textId="77777777" w:rsidR="00E86FFE" w:rsidRDefault="00E86FFE" w:rsidP="0003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8020687"/>
      <w:docPartObj>
        <w:docPartGallery w:val="Page Numbers (Bottom of Page)"/>
        <w:docPartUnique/>
      </w:docPartObj>
    </w:sdtPr>
    <w:sdtEndPr>
      <w:rPr>
        <w:rFonts w:ascii="Times New Roman" w:hAnsi="Times New Roman" w:cs="Times New Roman"/>
        <w:noProof/>
      </w:rPr>
    </w:sdtEndPr>
    <w:sdtContent>
      <w:p w14:paraId="5362941F" w14:textId="03A7C7A5" w:rsidR="006E6665" w:rsidRPr="00057FC6" w:rsidRDefault="006E6665">
        <w:pPr>
          <w:pStyle w:val="Footer"/>
          <w:jc w:val="center"/>
          <w:rPr>
            <w:rFonts w:ascii="Times New Roman" w:hAnsi="Times New Roman" w:cs="Times New Roman"/>
          </w:rPr>
        </w:pPr>
        <w:r w:rsidRPr="00057FC6">
          <w:rPr>
            <w:rFonts w:ascii="Times New Roman" w:hAnsi="Times New Roman" w:cs="Times New Roman"/>
          </w:rPr>
          <w:fldChar w:fldCharType="begin"/>
        </w:r>
        <w:r w:rsidRPr="00057FC6">
          <w:rPr>
            <w:rFonts w:ascii="Times New Roman" w:hAnsi="Times New Roman" w:cs="Times New Roman"/>
          </w:rPr>
          <w:instrText xml:space="preserve"> PAGE   \* MERGEFORMAT </w:instrText>
        </w:r>
        <w:r w:rsidRPr="00057FC6">
          <w:rPr>
            <w:rFonts w:ascii="Times New Roman" w:hAnsi="Times New Roman" w:cs="Times New Roman"/>
          </w:rPr>
          <w:fldChar w:fldCharType="separate"/>
        </w:r>
        <w:r w:rsidRPr="00057FC6">
          <w:rPr>
            <w:rFonts w:ascii="Times New Roman" w:hAnsi="Times New Roman" w:cs="Times New Roman"/>
            <w:noProof/>
          </w:rPr>
          <w:t>2</w:t>
        </w:r>
        <w:r w:rsidRPr="00057FC6">
          <w:rPr>
            <w:rFonts w:ascii="Times New Roman" w:hAnsi="Times New Roman" w:cs="Times New Roman"/>
            <w:noProof/>
          </w:rPr>
          <w:fldChar w:fldCharType="end"/>
        </w:r>
      </w:p>
    </w:sdtContent>
  </w:sdt>
  <w:p w14:paraId="6F0C4E43" w14:textId="16428C88" w:rsidR="00E03A30" w:rsidRDefault="00057FC6">
    <w:pPr>
      <w:pStyle w:val="Footer"/>
    </w:pPr>
    <w:r w:rsidRPr="006C5621">
      <w:rPr>
        <w:rFonts w:ascii="Times New Roman" w:hAnsi="Times New Roman" w:cs="Times New Roman"/>
        <w:bCs/>
        <w:sz w:val="20"/>
        <w:szCs w:val="20"/>
      </w:rPr>
      <w:t>© 202</w:t>
    </w:r>
    <w:r w:rsidR="00FF619F">
      <w:rPr>
        <w:rFonts w:ascii="Times New Roman" w:hAnsi="Times New Roman" w:cs="Times New Roman"/>
        <w:bCs/>
        <w:sz w:val="20"/>
        <w:szCs w:val="20"/>
      </w:rPr>
      <w:t>4</w:t>
    </w:r>
    <w:r w:rsidRPr="006C5621">
      <w:rPr>
        <w:rFonts w:ascii="Times New Roman" w:hAnsi="Times New Roman" w:cs="Times New Roman"/>
        <w:bCs/>
        <w:sz w:val="20"/>
        <w:szCs w:val="20"/>
      </w:rPr>
      <w:t xml:space="preserve">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34551" w14:textId="77777777" w:rsidR="00E86FFE" w:rsidRDefault="00E86FFE" w:rsidP="000327EB">
      <w:r>
        <w:separator/>
      </w:r>
    </w:p>
  </w:footnote>
  <w:footnote w:type="continuationSeparator" w:id="0">
    <w:p w14:paraId="0CF1AB85" w14:textId="77777777" w:rsidR="00E86FFE" w:rsidRDefault="00E86FFE" w:rsidP="000327EB">
      <w:r>
        <w:continuationSeparator/>
      </w:r>
    </w:p>
  </w:footnote>
  <w:footnote w:id="1">
    <w:p w14:paraId="47FB6A69" w14:textId="5E8FC173" w:rsidR="00B21544" w:rsidRPr="001E1DFB" w:rsidRDefault="00B21544">
      <w:pPr>
        <w:pStyle w:val="FootnoteText"/>
        <w:rPr>
          <w:rFonts w:ascii="Times New Roman" w:hAnsi="Times New Roman" w:cs="Times New Roman"/>
        </w:rPr>
      </w:pPr>
      <w:r w:rsidRPr="001E1DFB">
        <w:rPr>
          <w:rStyle w:val="FootnoteReference"/>
          <w:rFonts w:ascii="Times New Roman" w:hAnsi="Times New Roman" w:cs="Times New Roman"/>
        </w:rPr>
        <w:footnoteRef/>
      </w:r>
      <w:r w:rsidRPr="001E1DFB">
        <w:rPr>
          <w:rFonts w:ascii="Times New Roman" w:hAnsi="Times New Roman" w:cs="Times New Roman"/>
        </w:rPr>
        <w:t xml:space="preserve"> See list of related work product in the Background section of the </w:t>
      </w:r>
      <w:r w:rsidRPr="001E1DFB">
        <w:rPr>
          <w:rFonts w:ascii="Times New Roman" w:hAnsi="Times New Roman" w:cs="Times New Roman"/>
          <w:i/>
          <w:iCs/>
        </w:rPr>
        <w:t xml:space="preserve">Accelerated Underwriting </w:t>
      </w:r>
      <w:r w:rsidR="00B66D8F">
        <w:rPr>
          <w:rFonts w:ascii="Times New Roman" w:hAnsi="Times New Roman" w:cs="Times New Roman"/>
          <w:i/>
          <w:iCs/>
        </w:rPr>
        <w:t>i</w:t>
      </w:r>
      <w:r w:rsidRPr="001E1DFB">
        <w:rPr>
          <w:rFonts w:ascii="Times New Roman" w:hAnsi="Times New Roman" w:cs="Times New Roman"/>
          <w:i/>
          <w:iCs/>
        </w:rPr>
        <w:t xml:space="preserve">n Life Insurance Regulatory Guidance </w:t>
      </w:r>
      <w:r w:rsidRPr="001E1DFB">
        <w:rPr>
          <w:rFonts w:ascii="Times New Roman" w:hAnsi="Times New Roman" w:cs="Times New Roman"/>
        </w:rPr>
        <w:t>document</w:t>
      </w:r>
      <w:r w:rsidRPr="001E1DFB">
        <w:rPr>
          <w:rFonts w:ascii="Times New Roman" w:hAnsi="Times New Roman" w:cs="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71AA6" w14:textId="23885405" w:rsidR="002F7D3E" w:rsidRPr="002F7D3E" w:rsidRDefault="002F7D3E" w:rsidP="002F7D3E">
    <w:pPr>
      <w:pStyle w:val="Header"/>
      <w:rPr>
        <w:rFonts w:ascii="Times New Roman" w:hAnsi="Times New Roman" w:cs="Times New Roman"/>
      </w:rPr>
    </w:pPr>
    <w:r>
      <w:rPr>
        <w:rFonts w:ascii="Times New Roman" w:hAnsi="Times New Roman" w:cs="Times New Roman"/>
      </w:rPr>
      <w:t xml:space="preserve">Draft </w:t>
    </w:r>
    <w:r w:rsidR="0037685D">
      <w:rPr>
        <w:rFonts w:ascii="Times New Roman" w:hAnsi="Times New Roman" w:cs="Times New Roman"/>
      </w:rPr>
      <w:t>6</w:t>
    </w:r>
    <w:r w:rsidR="00E03A30">
      <w:rPr>
        <w:rFonts w:ascii="Times New Roman" w:hAnsi="Times New Roman" w:cs="Times New Roman"/>
      </w:rPr>
      <w:t>-</w:t>
    </w:r>
    <w:r w:rsidR="0037685D">
      <w:rPr>
        <w:rFonts w:ascii="Times New Roman" w:hAnsi="Times New Roman" w:cs="Times New Roman"/>
      </w:rPr>
      <w:t>3</w:t>
    </w:r>
    <w:r w:rsidR="00E03A30">
      <w:rPr>
        <w:rFonts w:ascii="Times New Roman" w:hAnsi="Times New Roman" w:cs="Times New Roman"/>
      </w:rPr>
      <w:t>-2</w:t>
    </w:r>
    <w:r w:rsidR="000575DE">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FB4433"/>
    <w:multiLevelType w:val="hybridMultilevel"/>
    <w:tmpl w:val="25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94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EB"/>
    <w:rsid w:val="000167CF"/>
    <w:rsid w:val="0002012E"/>
    <w:rsid w:val="000246A4"/>
    <w:rsid w:val="0003130F"/>
    <w:rsid w:val="000327EB"/>
    <w:rsid w:val="00040D38"/>
    <w:rsid w:val="0005131C"/>
    <w:rsid w:val="000575DE"/>
    <w:rsid w:val="00057FC6"/>
    <w:rsid w:val="00094525"/>
    <w:rsid w:val="00094972"/>
    <w:rsid w:val="00095301"/>
    <w:rsid w:val="000A0B3D"/>
    <w:rsid w:val="000E50BA"/>
    <w:rsid w:val="000F3846"/>
    <w:rsid w:val="0010109A"/>
    <w:rsid w:val="00183EE2"/>
    <w:rsid w:val="00193220"/>
    <w:rsid w:val="001B7EDC"/>
    <w:rsid w:val="001E1DFB"/>
    <w:rsid w:val="001F6E53"/>
    <w:rsid w:val="002149F5"/>
    <w:rsid w:val="0027283A"/>
    <w:rsid w:val="00277E0B"/>
    <w:rsid w:val="002822A6"/>
    <w:rsid w:val="00285158"/>
    <w:rsid w:val="00293589"/>
    <w:rsid w:val="00297B1A"/>
    <w:rsid w:val="002A2AFE"/>
    <w:rsid w:val="002C1A96"/>
    <w:rsid w:val="002C4AFE"/>
    <w:rsid w:val="002F7D3E"/>
    <w:rsid w:val="003055B1"/>
    <w:rsid w:val="003064D8"/>
    <w:rsid w:val="00313053"/>
    <w:rsid w:val="00370862"/>
    <w:rsid w:val="0037685D"/>
    <w:rsid w:val="003A393D"/>
    <w:rsid w:val="003A5D12"/>
    <w:rsid w:val="003C4822"/>
    <w:rsid w:val="003D4589"/>
    <w:rsid w:val="003E6D19"/>
    <w:rsid w:val="003F1C63"/>
    <w:rsid w:val="00425AC8"/>
    <w:rsid w:val="00450F65"/>
    <w:rsid w:val="00451CAC"/>
    <w:rsid w:val="004544F4"/>
    <w:rsid w:val="004720B8"/>
    <w:rsid w:val="00474C6D"/>
    <w:rsid w:val="00482A0B"/>
    <w:rsid w:val="004A57C7"/>
    <w:rsid w:val="004C591D"/>
    <w:rsid w:val="004C6693"/>
    <w:rsid w:val="004C6876"/>
    <w:rsid w:val="004F0CA8"/>
    <w:rsid w:val="00502D26"/>
    <w:rsid w:val="00504C84"/>
    <w:rsid w:val="00505352"/>
    <w:rsid w:val="005464B0"/>
    <w:rsid w:val="005520FA"/>
    <w:rsid w:val="00563FCA"/>
    <w:rsid w:val="00573D9A"/>
    <w:rsid w:val="00582AC1"/>
    <w:rsid w:val="005831A8"/>
    <w:rsid w:val="005902D6"/>
    <w:rsid w:val="00596180"/>
    <w:rsid w:val="005A311F"/>
    <w:rsid w:val="005B5B12"/>
    <w:rsid w:val="005B6F42"/>
    <w:rsid w:val="005C7A24"/>
    <w:rsid w:val="005F2194"/>
    <w:rsid w:val="00616B42"/>
    <w:rsid w:val="00652EF6"/>
    <w:rsid w:val="00656866"/>
    <w:rsid w:val="00661ECA"/>
    <w:rsid w:val="0066357B"/>
    <w:rsid w:val="00672CE2"/>
    <w:rsid w:val="006C57B3"/>
    <w:rsid w:val="006C61C7"/>
    <w:rsid w:val="006E6665"/>
    <w:rsid w:val="006E777B"/>
    <w:rsid w:val="006F21B8"/>
    <w:rsid w:val="00704E62"/>
    <w:rsid w:val="007107C1"/>
    <w:rsid w:val="0072736F"/>
    <w:rsid w:val="007477EE"/>
    <w:rsid w:val="007719DA"/>
    <w:rsid w:val="00785982"/>
    <w:rsid w:val="007905EB"/>
    <w:rsid w:val="007932F0"/>
    <w:rsid w:val="0079469A"/>
    <w:rsid w:val="007A522A"/>
    <w:rsid w:val="007C5F57"/>
    <w:rsid w:val="007C7941"/>
    <w:rsid w:val="007F74C5"/>
    <w:rsid w:val="00805BCF"/>
    <w:rsid w:val="00814F28"/>
    <w:rsid w:val="008215C3"/>
    <w:rsid w:val="00822AD0"/>
    <w:rsid w:val="00852DBB"/>
    <w:rsid w:val="008710A3"/>
    <w:rsid w:val="00897502"/>
    <w:rsid w:val="0089752E"/>
    <w:rsid w:val="008B4CDF"/>
    <w:rsid w:val="008D47FB"/>
    <w:rsid w:val="008D5BAC"/>
    <w:rsid w:val="008E250D"/>
    <w:rsid w:val="008F48EA"/>
    <w:rsid w:val="008F7989"/>
    <w:rsid w:val="00903E17"/>
    <w:rsid w:val="00907736"/>
    <w:rsid w:val="0094277C"/>
    <w:rsid w:val="00947173"/>
    <w:rsid w:val="0097496A"/>
    <w:rsid w:val="009A2AE7"/>
    <w:rsid w:val="009B4663"/>
    <w:rsid w:val="009B6958"/>
    <w:rsid w:val="009B6E51"/>
    <w:rsid w:val="009C2554"/>
    <w:rsid w:val="00A05F64"/>
    <w:rsid w:val="00A4102B"/>
    <w:rsid w:val="00A439B2"/>
    <w:rsid w:val="00A6161C"/>
    <w:rsid w:val="00A75DE4"/>
    <w:rsid w:val="00A81692"/>
    <w:rsid w:val="00AA1DDE"/>
    <w:rsid w:val="00AA5B4F"/>
    <w:rsid w:val="00AE425F"/>
    <w:rsid w:val="00AE6114"/>
    <w:rsid w:val="00B0622E"/>
    <w:rsid w:val="00B21544"/>
    <w:rsid w:val="00B558FF"/>
    <w:rsid w:val="00B66D8F"/>
    <w:rsid w:val="00B8183E"/>
    <w:rsid w:val="00B9268C"/>
    <w:rsid w:val="00B93A05"/>
    <w:rsid w:val="00BC30F0"/>
    <w:rsid w:val="00BD0D3D"/>
    <w:rsid w:val="00C151C6"/>
    <w:rsid w:val="00C2111F"/>
    <w:rsid w:val="00C21FB8"/>
    <w:rsid w:val="00C50219"/>
    <w:rsid w:val="00C94A18"/>
    <w:rsid w:val="00CB3466"/>
    <w:rsid w:val="00CD5C64"/>
    <w:rsid w:val="00CE3737"/>
    <w:rsid w:val="00CE73C2"/>
    <w:rsid w:val="00CF6355"/>
    <w:rsid w:val="00CF7C21"/>
    <w:rsid w:val="00D06337"/>
    <w:rsid w:val="00D62A26"/>
    <w:rsid w:val="00D73CF1"/>
    <w:rsid w:val="00D866C4"/>
    <w:rsid w:val="00D9570E"/>
    <w:rsid w:val="00DC0F12"/>
    <w:rsid w:val="00E0085C"/>
    <w:rsid w:val="00E009BF"/>
    <w:rsid w:val="00E01E18"/>
    <w:rsid w:val="00E03A30"/>
    <w:rsid w:val="00E11374"/>
    <w:rsid w:val="00E21B46"/>
    <w:rsid w:val="00E32BAD"/>
    <w:rsid w:val="00E6224C"/>
    <w:rsid w:val="00E70CE5"/>
    <w:rsid w:val="00E86FFE"/>
    <w:rsid w:val="00E97796"/>
    <w:rsid w:val="00EA03F8"/>
    <w:rsid w:val="00EA2F42"/>
    <w:rsid w:val="00EA6BD0"/>
    <w:rsid w:val="00EA7721"/>
    <w:rsid w:val="00EC0C9A"/>
    <w:rsid w:val="00ED698C"/>
    <w:rsid w:val="00F25731"/>
    <w:rsid w:val="00F44160"/>
    <w:rsid w:val="00F765FB"/>
    <w:rsid w:val="00FA2BDA"/>
    <w:rsid w:val="00FB2A8F"/>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4D480"/>
  <w15:chartTrackingRefBased/>
  <w15:docId w15:val="{4C8476C9-AF7E-455D-8E7B-878CE63A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E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EB"/>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0327EB"/>
    <w:rPr>
      <w:sz w:val="20"/>
      <w:szCs w:val="20"/>
    </w:rPr>
  </w:style>
  <w:style w:type="character" w:customStyle="1" w:styleId="FootnoteTextChar">
    <w:name w:val="Footnote Text Char"/>
    <w:basedOn w:val="DefaultParagraphFont"/>
    <w:link w:val="FootnoteText"/>
    <w:uiPriority w:val="99"/>
    <w:semiHidden/>
    <w:rsid w:val="000327EB"/>
    <w:rPr>
      <w:sz w:val="20"/>
      <w:szCs w:val="20"/>
      <w:lang w:val="en-US"/>
    </w:rPr>
  </w:style>
  <w:style w:type="character" w:styleId="FootnoteReference">
    <w:name w:val="footnote reference"/>
    <w:basedOn w:val="DefaultParagraphFont"/>
    <w:uiPriority w:val="99"/>
    <w:semiHidden/>
    <w:unhideWhenUsed/>
    <w:rsid w:val="000327EB"/>
    <w:rPr>
      <w:vertAlign w:val="superscript"/>
    </w:rPr>
  </w:style>
  <w:style w:type="paragraph" w:styleId="Header">
    <w:name w:val="header"/>
    <w:basedOn w:val="Normal"/>
    <w:link w:val="HeaderChar"/>
    <w:uiPriority w:val="99"/>
    <w:unhideWhenUsed/>
    <w:rsid w:val="002F7D3E"/>
    <w:pPr>
      <w:tabs>
        <w:tab w:val="center" w:pos="4680"/>
        <w:tab w:val="right" w:pos="9360"/>
      </w:tabs>
    </w:pPr>
  </w:style>
  <w:style w:type="character" w:customStyle="1" w:styleId="HeaderChar">
    <w:name w:val="Header Char"/>
    <w:basedOn w:val="DefaultParagraphFont"/>
    <w:link w:val="Header"/>
    <w:uiPriority w:val="99"/>
    <w:rsid w:val="002F7D3E"/>
    <w:rPr>
      <w:sz w:val="24"/>
      <w:szCs w:val="24"/>
    </w:rPr>
  </w:style>
  <w:style w:type="paragraph" w:styleId="Footer">
    <w:name w:val="footer"/>
    <w:basedOn w:val="Normal"/>
    <w:link w:val="FooterChar"/>
    <w:uiPriority w:val="99"/>
    <w:unhideWhenUsed/>
    <w:rsid w:val="002F7D3E"/>
    <w:pPr>
      <w:tabs>
        <w:tab w:val="center" w:pos="4680"/>
        <w:tab w:val="right" w:pos="9360"/>
      </w:tabs>
    </w:pPr>
  </w:style>
  <w:style w:type="character" w:customStyle="1" w:styleId="FooterChar">
    <w:name w:val="Footer Char"/>
    <w:basedOn w:val="DefaultParagraphFont"/>
    <w:link w:val="Footer"/>
    <w:uiPriority w:val="99"/>
    <w:rsid w:val="002F7D3E"/>
    <w:rPr>
      <w:sz w:val="24"/>
      <w:szCs w:val="24"/>
    </w:rPr>
  </w:style>
  <w:style w:type="paragraph" w:styleId="Revision">
    <w:name w:val="Revision"/>
    <w:hidden/>
    <w:uiPriority w:val="99"/>
    <w:semiHidden/>
    <w:rsid w:val="000575DE"/>
    <w:pPr>
      <w:spacing w:after="0" w:line="240" w:lineRule="auto"/>
    </w:pPr>
    <w:rPr>
      <w:sz w:val="24"/>
      <w:szCs w:val="24"/>
    </w:rPr>
  </w:style>
  <w:style w:type="character" w:styleId="CommentReference">
    <w:name w:val="annotation reference"/>
    <w:basedOn w:val="DefaultParagraphFont"/>
    <w:uiPriority w:val="99"/>
    <w:semiHidden/>
    <w:unhideWhenUsed/>
    <w:rsid w:val="00293589"/>
    <w:rPr>
      <w:sz w:val="16"/>
      <w:szCs w:val="16"/>
    </w:rPr>
  </w:style>
  <w:style w:type="paragraph" w:styleId="CommentText">
    <w:name w:val="annotation text"/>
    <w:basedOn w:val="Normal"/>
    <w:link w:val="CommentTextChar"/>
    <w:uiPriority w:val="99"/>
    <w:unhideWhenUsed/>
    <w:rsid w:val="00293589"/>
    <w:rPr>
      <w:sz w:val="20"/>
      <w:szCs w:val="20"/>
    </w:rPr>
  </w:style>
  <w:style w:type="character" w:customStyle="1" w:styleId="CommentTextChar">
    <w:name w:val="Comment Text Char"/>
    <w:basedOn w:val="DefaultParagraphFont"/>
    <w:link w:val="CommentText"/>
    <w:uiPriority w:val="99"/>
    <w:rsid w:val="00293589"/>
    <w:rPr>
      <w:sz w:val="20"/>
      <w:szCs w:val="20"/>
    </w:rPr>
  </w:style>
  <w:style w:type="paragraph" w:styleId="CommentSubject">
    <w:name w:val="annotation subject"/>
    <w:basedOn w:val="CommentText"/>
    <w:next w:val="CommentText"/>
    <w:link w:val="CommentSubjectChar"/>
    <w:uiPriority w:val="99"/>
    <w:semiHidden/>
    <w:unhideWhenUsed/>
    <w:rsid w:val="00293589"/>
    <w:rPr>
      <w:b/>
      <w:bCs/>
    </w:rPr>
  </w:style>
  <w:style w:type="character" w:customStyle="1" w:styleId="CommentSubjectChar">
    <w:name w:val="Comment Subject Char"/>
    <w:basedOn w:val="CommentTextChar"/>
    <w:link w:val="CommentSubject"/>
    <w:uiPriority w:val="99"/>
    <w:semiHidden/>
    <w:rsid w:val="00293589"/>
    <w:rPr>
      <w:b/>
      <w:bCs/>
      <w:sz w:val="20"/>
      <w:szCs w:val="20"/>
    </w:rPr>
  </w:style>
  <w:style w:type="character" w:styleId="Hyperlink">
    <w:name w:val="Hyperlink"/>
    <w:basedOn w:val="DefaultParagraphFont"/>
    <w:uiPriority w:val="99"/>
    <w:unhideWhenUsed/>
    <w:rsid w:val="00293589"/>
    <w:rPr>
      <w:color w:val="0563C1" w:themeColor="hyperlink"/>
      <w:u w:val="single"/>
    </w:rPr>
  </w:style>
  <w:style w:type="character" w:styleId="UnresolvedMention">
    <w:name w:val="Unresolved Mention"/>
    <w:basedOn w:val="DefaultParagraphFont"/>
    <w:uiPriority w:val="99"/>
    <w:semiHidden/>
    <w:unhideWhenUsed/>
    <w:rsid w:val="00293589"/>
    <w:rPr>
      <w:color w:val="605E5C"/>
      <w:shd w:val="clear" w:color="auto" w:fill="E1DFDD"/>
    </w:rPr>
  </w:style>
  <w:style w:type="character" w:styleId="FollowedHyperlink">
    <w:name w:val="FollowedHyperlink"/>
    <w:basedOn w:val="DefaultParagraphFont"/>
    <w:uiPriority w:val="99"/>
    <w:semiHidden/>
    <w:unhideWhenUsed/>
    <w:rsid w:val="00F44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ntent.naic.org/sites/default/files/inline-files/2023-12-4%20Model%20Bulletin_Adopted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k\AppData\Local\Temp\Templafy\WordVsto\s1v4cv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templateName":"blankdocument","templateDescription":"","enableDocumentContentUpdater":false,"version":"2.0"}]]></TemplafyTemplate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FormConfiguration><![CDATA[{"formFields":[],"formDataEntries":[]}]]></TemplafyFormConfiguration>
</file>

<file path=customXml/itemProps1.xml><?xml version="1.0" encoding="utf-8"?>
<ds:datastoreItem xmlns:ds="http://schemas.openxmlformats.org/officeDocument/2006/customXml" ds:itemID="{49A02DE6-DAC8-4FAB-A1DD-C346E9ED7E86}">
  <ds:schemaRefs/>
</ds:datastoreItem>
</file>

<file path=customXml/itemProps2.xml><?xml version="1.0" encoding="utf-8"?>
<ds:datastoreItem xmlns:ds="http://schemas.openxmlformats.org/officeDocument/2006/customXml" ds:itemID="{0341A7A8-8AA4-444E-AFFC-6BBD9E68CE14}">
  <ds:schemaRefs>
    <ds:schemaRef ds:uri="http://schemas.openxmlformats.org/officeDocument/2006/bibliography"/>
  </ds:schemaRefs>
</ds:datastoreItem>
</file>

<file path=customXml/itemProps3.xml><?xml version="1.0" encoding="utf-8"?>
<ds:datastoreItem xmlns:ds="http://schemas.openxmlformats.org/officeDocument/2006/customXml" ds:itemID="{6B66E21C-6A2A-4473-9530-165AA18EF73D}">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s1v4cvvn</Template>
  <TotalTime>4</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cp:lastModifiedBy>
  <cp:revision>8</cp:revision>
  <dcterms:created xsi:type="dcterms:W3CDTF">2024-06-04T14:11:00Z</dcterms:created>
  <dcterms:modified xsi:type="dcterms:W3CDTF">2024-06-04T18:57:00Z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637719767099607522</vt:lpwstr>
  </property>
  <property fmtid="{D5CDD505-2E9C-101B-9397-08002B2CF9AE}" pid="5" name="TemplafyFromBlank">
    <vt:bool>true</vt:bool>
  </property>
</Properties>
</file>