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789A" w14:textId="498D091A" w:rsidR="00E6256D" w:rsidRDefault="00E6256D"/>
    <w:p w14:paraId="42A31093" w14:textId="04BFA0FC" w:rsidR="00656860" w:rsidRDefault="00656860"/>
    <w:p w14:paraId="0A689F20" w14:textId="77777777" w:rsidR="00656860" w:rsidRDefault="00656860" w:rsidP="00656860">
      <w:pPr>
        <w:autoSpaceDE w:val="0"/>
        <w:autoSpaceDN w:val="0"/>
        <w:adjustRightInd w:val="0"/>
        <w:spacing w:after="0" w:line="240" w:lineRule="auto"/>
        <w:rPr>
          <w:rFonts w:ascii="CIDFont+F1" w:hAnsi="CIDFont+F1" w:cs="CIDFont+F1"/>
        </w:rPr>
      </w:pPr>
      <w:r>
        <w:rPr>
          <w:rFonts w:ascii="CIDFont+F1" w:hAnsi="CIDFont+F1" w:cs="CIDFont+F1"/>
        </w:rPr>
        <w:t>Schedule 1 – Interrogatories</w:t>
      </w:r>
    </w:p>
    <w:p w14:paraId="6AAD367C" w14:textId="77777777" w:rsidR="00656860" w:rsidRDefault="00656860" w:rsidP="00656860">
      <w:pPr>
        <w:autoSpaceDE w:val="0"/>
        <w:autoSpaceDN w:val="0"/>
        <w:adjustRightInd w:val="0"/>
        <w:spacing w:after="0" w:line="240" w:lineRule="auto"/>
        <w:rPr>
          <w:rFonts w:ascii="CIDFont+F2" w:hAnsi="CIDFont+F2" w:cs="CIDFont+F2"/>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Why are we asking for the list of vendor? What is we are hoping to learn by having the company</w:t>
      </w:r>
    </w:p>
    <w:p w14:paraId="1210252A" w14:textId="04B631BE" w:rsidR="00656860" w:rsidRPr="006B7ACF"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t>provide that list?</w:t>
      </w:r>
      <w:r w:rsidR="006B7ACF">
        <w:rPr>
          <w:rFonts w:ascii="CIDFont+F2" w:hAnsi="CIDFont+F2" w:cs="CIDFont+F2"/>
        </w:rPr>
        <w:t xml:space="preserve"> </w:t>
      </w:r>
      <w:r w:rsidR="006B7ACF">
        <w:rPr>
          <w:rFonts w:ascii="CIDFont+F2" w:hAnsi="CIDFont+F2" w:cs="CIDFont+F2"/>
          <w:color w:val="FF0000"/>
        </w:rPr>
        <w:t>Responded to on 5/24</w:t>
      </w:r>
    </w:p>
    <w:p w14:paraId="106E883D" w14:textId="77777777" w:rsidR="00656860" w:rsidRDefault="00656860" w:rsidP="00656860">
      <w:pPr>
        <w:autoSpaceDE w:val="0"/>
        <w:autoSpaceDN w:val="0"/>
        <w:adjustRightInd w:val="0"/>
        <w:spacing w:after="0" w:line="240" w:lineRule="auto"/>
        <w:rPr>
          <w:rFonts w:ascii="CIDFont+F1" w:hAnsi="CIDFont+F1" w:cs="CIDFont+F1"/>
        </w:rPr>
      </w:pPr>
      <w:r>
        <w:rPr>
          <w:rFonts w:ascii="CIDFont+F1" w:hAnsi="CIDFont+F1" w:cs="CIDFont+F1"/>
        </w:rPr>
        <w:t>Coverages - Other Breakouts</w:t>
      </w:r>
    </w:p>
    <w:p w14:paraId="7B6D46AD" w14:textId="77777777" w:rsidR="00656860" w:rsidRDefault="00656860" w:rsidP="00656860">
      <w:pPr>
        <w:autoSpaceDE w:val="0"/>
        <w:autoSpaceDN w:val="0"/>
        <w:adjustRightInd w:val="0"/>
        <w:spacing w:after="0" w:line="240" w:lineRule="auto"/>
        <w:rPr>
          <w:rFonts w:ascii="CIDFont+F2" w:hAnsi="CIDFont+F2" w:cs="CIDFont+F2"/>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Please confirm exactly which lines are to be broken out? Is it 2-26 thru 2-46 for PPA and 2-23</w:t>
      </w:r>
    </w:p>
    <w:p w14:paraId="2A3D55BB" w14:textId="0465B75B" w:rsidR="00656860" w:rsidRPr="005068D3"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t>thru 2-39 for HO?</w:t>
      </w:r>
      <w:r w:rsidR="005068D3">
        <w:rPr>
          <w:rFonts w:ascii="CIDFont+F2" w:hAnsi="CIDFont+F2" w:cs="CIDFont+F2"/>
        </w:rPr>
        <w:t xml:space="preserve"> </w:t>
      </w:r>
      <w:r w:rsidR="005068D3">
        <w:rPr>
          <w:rFonts w:ascii="CIDFont+F2" w:hAnsi="CIDFont+F2" w:cs="CIDFont+F2"/>
          <w:color w:val="FF0000"/>
        </w:rPr>
        <w:t>Correct; 2-26 thru 2-46 for PPA and 2-23 thru 2-39 for HO.</w:t>
      </w:r>
    </w:p>
    <w:p w14:paraId="0E0EBC94" w14:textId="77777777" w:rsidR="00656860" w:rsidRDefault="00656860" w:rsidP="00656860">
      <w:pPr>
        <w:autoSpaceDE w:val="0"/>
        <w:autoSpaceDN w:val="0"/>
        <w:adjustRightInd w:val="0"/>
        <w:spacing w:after="0" w:line="240" w:lineRule="auto"/>
        <w:rPr>
          <w:rFonts w:ascii="CIDFont+F2" w:hAnsi="CIDFont+F2" w:cs="CIDFont+F2"/>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Will the companies be expected to report total for each coverage or will we be totaling the</w:t>
      </w:r>
    </w:p>
    <w:p w14:paraId="666544D7" w14:textId="798DD7DB" w:rsidR="00656860" w:rsidRPr="005068D3" w:rsidRDefault="005068D3" w:rsidP="00656860">
      <w:pPr>
        <w:autoSpaceDE w:val="0"/>
        <w:autoSpaceDN w:val="0"/>
        <w:adjustRightInd w:val="0"/>
        <w:spacing w:after="0" w:line="240" w:lineRule="auto"/>
        <w:rPr>
          <w:rFonts w:ascii="CIDFont+F2" w:hAnsi="CIDFont+F2" w:cs="CIDFont+F2"/>
          <w:color w:val="FF0000"/>
        </w:rPr>
      </w:pPr>
      <w:r>
        <w:rPr>
          <w:rFonts w:ascii="CIDFont+F2" w:hAnsi="CIDFont+F2" w:cs="CIDFont+F2"/>
        </w:rPr>
        <w:t>N</w:t>
      </w:r>
      <w:r w:rsidR="00656860">
        <w:rPr>
          <w:rFonts w:ascii="CIDFont+F2" w:hAnsi="CIDFont+F2" w:cs="CIDFont+F2"/>
        </w:rPr>
        <w:t>umbers</w:t>
      </w:r>
      <w:r>
        <w:rPr>
          <w:rFonts w:ascii="CIDFont+F2" w:hAnsi="CIDFont+F2" w:cs="CIDFont+F2"/>
        </w:rPr>
        <w:t xml:space="preserve"> </w:t>
      </w:r>
      <w:r>
        <w:rPr>
          <w:rFonts w:ascii="CIDFont+F2" w:hAnsi="CIDFont+F2" w:cs="CIDFont+F2"/>
          <w:color w:val="FF0000"/>
        </w:rPr>
        <w:t xml:space="preserve">There will be a total column for the data elements not broken out for digital/hybrid/traditional, but those three columns will </w:t>
      </w:r>
      <w:r w:rsidR="004B4DB6">
        <w:rPr>
          <w:rFonts w:ascii="CIDFont+F2" w:hAnsi="CIDFont+F2" w:cs="CIDFont+F2"/>
          <w:color w:val="FF0000"/>
        </w:rPr>
        <w:t xml:space="preserve">equal </w:t>
      </w:r>
      <w:r>
        <w:rPr>
          <w:rFonts w:ascii="CIDFont+F2" w:hAnsi="CIDFont+F2" w:cs="CIDFont+F2"/>
          <w:color w:val="FF0000"/>
        </w:rPr>
        <w:t>the total so we did not require companies to provide it.</w:t>
      </w:r>
      <w:r w:rsidR="004B4DB6">
        <w:rPr>
          <w:rFonts w:ascii="CIDFont+F2" w:hAnsi="CIDFont+F2" w:cs="CIDFont+F2"/>
          <w:color w:val="FF0000"/>
        </w:rPr>
        <w:t xml:space="preserve"> </w:t>
      </w:r>
    </w:p>
    <w:p w14:paraId="560EEC75" w14:textId="77777777" w:rsidR="00656860" w:rsidRDefault="00656860" w:rsidP="00656860">
      <w:pPr>
        <w:autoSpaceDE w:val="0"/>
        <w:autoSpaceDN w:val="0"/>
        <w:adjustRightInd w:val="0"/>
        <w:spacing w:after="0" w:line="240" w:lineRule="auto"/>
        <w:rPr>
          <w:rFonts w:ascii="CIDFont+F2" w:hAnsi="CIDFont+F2" w:cs="CIDFont+F2"/>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If we are totaling the numbers, will the companies be reporting the both the break out and the</w:t>
      </w:r>
    </w:p>
    <w:p w14:paraId="1592241E" w14:textId="77777777" w:rsidR="00656860" w:rsidRDefault="00656860" w:rsidP="00656860">
      <w:pPr>
        <w:autoSpaceDE w:val="0"/>
        <w:autoSpaceDN w:val="0"/>
        <w:adjustRightInd w:val="0"/>
        <w:spacing w:after="0" w:line="240" w:lineRule="auto"/>
        <w:rPr>
          <w:rFonts w:ascii="CIDFont+F2" w:hAnsi="CIDFont+F2" w:cs="CIDFont+F2"/>
        </w:rPr>
      </w:pPr>
      <w:r>
        <w:rPr>
          <w:rFonts w:ascii="CIDFont+F2" w:hAnsi="CIDFont+F2" w:cs="CIDFont+F2"/>
        </w:rPr>
        <w:t>total median day to pay for the applicable claims coverages? We cannot add the two numbers</w:t>
      </w:r>
    </w:p>
    <w:p w14:paraId="22803DAF" w14:textId="7E7F901B" w:rsidR="00656860" w:rsidRPr="005068D3"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t>and compare them with prior reporting periods.</w:t>
      </w:r>
      <w:r w:rsidR="005068D3">
        <w:rPr>
          <w:rFonts w:ascii="CIDFont+F2" w:hAnsi="CIDFont+F2" w:cs="CIDFont+F2"/>
        </w:rPr>
        <w:t xml:space="preserve">  </w:t>
      </w:r>
      <w:r w:rsidR="005068D3">
        <w:rPr>
          <w:rFonts w:ascii="CIDFont+F2" w:hAnsi="CIDFont+F2" w:cs="CIDFont+F2"/>
          <w:color w:val="FF0000"/>
        </w:rPr>
        <w:t xml:space="preserve">The idea would be to either </w:t>
      </w:r>
      <w:r w:rsidR="005068D3" w:rsidRPr="005068D3">
        <w:rPr>
          <w:rFonts w:ascii="CIDFont+F2" w:hAnsi="CIDFont+F2" w:cs="CIDFont+F2"/>
          <w:color w:val="FF0000"/>
        </w:rPr>
        <w:t>calculate a</w:t>
      </w:r>
      <w:r w:rsidR="005068D3">
        <w:rPr>
          <w:rFonts w:ascii="CIDFont+F2" w:hAnsi="CIDFont+F2" w:cs="CIDFont+F2"/>
          <w:color w:val="FF0000"/>
        </w:rPr>
        <w:t>n</w:t>
      </w:r>
      <w:r w:rsidR="005068D3" w:rsidRPr="005068D3">
        <w:rPr>
          <w:rFonts w:ascii="CIDFont+F2" w:hAnsi="CIDFont+F2" w:cs="CIDFont+F2"/>
          <w:color w:val="FF0000"/>
        </w:rPr>
        <w:t xml:space="preserve"> approximation of the aggregate median from the component medians</w:t>
      </w:r>
      <w:r w:rsidR="005068D3">
        <w:rPr>
          <w:rFonts w:ascii="CIDFont+F2" w:hAnsi="CIDFont+F2" w:cs="CIDFont+F2"/>
          <w:color w:val="FF0000"/>
        </w:rPr>
        <w:t xml:space="preserve">, or request </w:t>
      </w:r>
      <w:r w:rsidR="005068D3" w:rsidRPr="005068D3">
        <w:rPr>
          <w:rFonts w:ascii="CIDFont+F2" w:hAnsi="CIDFont+F2" w:cs="CIDFont+F2"/>
          <w:color w:val="FF0000"/>
        </w:rPr>
        <w:t>an aggregate median.</w:t>
      </w:r>
    </w:p>
    <w:p w14:paraId="2CCB318D" w14:textId="77777777" w:rsidR="00656860" w:rsidRDefault="00656860" w:rsidP="00656860">
      <w:pPr>
        <w:autoSpaceDE w:val="0"/>
        <w:autoSpaceDN w:val="0"/>
        <w:adjustRightInd w:val="0"/>
        <w:spacing w:after="0" w:line="240" w:lineRule="auto"/>
        <w:rPr>
          <w:rFonts w:ascii="CIDFont+F2" w:hAnsi="CIDFont+F2" w:cs="CIDFont+F2"/>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Was there any discussion about the altering the claim payment bucket breakouts? Just</w:t>
      </w:r>
    </w:p>
    <w:p w14:paraId="0A38B2EF" w14:textId="77777777" w:rsidR="00656860" w:rsidRDefault="00656860" w:rsidP="00656860">
      <w:pPr>
        <w:autoSpaceDE w:val="0"/>
        <w:autoSpaceDN w:val="0"/>
        <w:adjustRightInd w:val="0"/>
        <w:spacing w:after="0" w:line="240" w:lineRule="auto"/>
        <w:rPr>
          <w:rFonts w:ascii="CIDFont+F2" w:hAnsi="CIDFont+F2" w:cs="CIDFont+F2"/>
        </w:rPr>
      </w:pPr>
      <w:r>
        <w:rPr>
          <w:rFonts w:ascii="CIDFont+F2" w:hAnsi="CIDFont+F2" w:cs="CIDFont+F2"/>
        </w:rPr>
        <w:t>wondering if these current timeframes, especially for closed without payment, will provide</w:t>
      </w:r>
    </w:p>
    <w:p w14:paraId="3C3543F4" w14:textId="77777777" w:rsidR="00656860" w:rsidRDefault="00656860" w:rsidP="00656860">
      <w:pPr>
        <w:autoSpaceDE w:val="0"/>
        <w:autoSpaceDN w:val="0"/>
        <w:adjustRightInd w:val="0"/>
        <w:spacing w:after="0" w:line="240" w:lineRule="auto"/>
        <w:rPr>
          <w:rFonts w:ascii="CIDFont+F2" w:hAnsi="CIDFont+F2" w:cs="CIDFont+F2"/>
          <w:sz w:val="14"/>
          <w:szCs w:val="14"/>
        </w:rPr>
      </w:pPr>
      <w:r>
        <w:rPr>
          <w:rFonts w:ascii="CIDFont+F2" w:hAnsi="CIDFont+F2" w:cs="CIDFont+F2"/>
        </w:rPr>
        <w:t>meaningful information for digital claims? Or will all the claims fall only into the 1</w:t>
      </w:r>
      <w:r>
        <w:rPr>
          <w:rFonts w:ascii="CIDFont+F2" w:hAnsi="CIDFont+F2" w:cs="CIDFont+F2"/>
          <w:sz w:val="14"/>
          <w:szCs w:val="14"/>
        </w:rPr>
        <w:t xml:space="preserve">st </w:t>
      </w:r>
      <w:r>
        <w:rPr>
          <w:rFonts w:ascii="CIDFont+F2" w:hAnsi="CIDFont+F2" w:cs="CIDFont+F2"/>
        </w:rPr>
        <w:t>or 2</w:t>
      </w:r>
      <w:r>
        <w:rPr>
          <w:rFonts w:ascii="CIDFont+F2" w:hAnsi="CIDFont+F2" w:cs="CIDFont+F2"/>
          <w:sz w:val="14"/>
          <w:szCs w:val="14"/>
        </w:rPr>
        <w:t>nd</w:t>
      </w:r>
    </w:p>
    <w:p w14:paraId="627CCC44" w14:textId="1689E629" w:rsidR="00656860" w:rsidRPr="005068D3"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t>bucket?</w:t>
      </w:r>
      <w:r w:rsidR="005068D3">
        <w:rPr>
          <w:rFonts w:ascii="CIDFont+F2" w:hAnsi="CIDFont+F2" w:cs="CIDFont+F2"/>
        </w:rPr>
        <w:t xml:space="preserve"> </w:t>
      </w:r>
      <w:r w:rsidR="005068D3">
        <w:rPr>
          <w:rFonts w:ascii="CIDFont+F2" w:hAnsi="CIDFont+F2" w:cs="CIDFont+F2"/>
          <w:color w:val="FF0000"/>
        </w:rPr>
        <w:t xml:space="preserve">There was discussion on this, and the group </w:t>
      </w:r>
      <w:r w:rsidR="00F060CC">
        <w:rPr>
          <w:rFonts w:ascii="CIDFont+F2" w:hAnsi="CIDFont+F2" w:cs="CIDFont+F2"/>
          <w:color w:val="FF0000"/>
        </w:rPr>
        <w:t>decided</w:t>
      </w:r>
      <w:r w:rsidR="005068D3">
        <w:rPr>
          <w:rFonts w:ascii="CIDFont+F2" w:hAnsi="CIDFont+F2" w:cs="CIDFont+F2"/>
          <w:color w:val="FF0000"/>
        </w:rPr>
        <w:t xml:space="preserve"> to keep the existing payment bucket breakouts for consistency. </w:t>
      </w:r>
    </w:p>
    <w:p w14:paraId="68B54ABB" w14:textId="77777777" w:rsidR="00656860" w:rsidRDefault="00656860" w:rsidP="00656860">
      <w:pPr>
        <w:autoSpaceDE w:val="0"/>
        <w:autoSpaceDN w:val="0"/>
        <w:adjustRightInd w:val="0"/>
        <w:spacing w:after="0" w:line="240" w:lineRule="auto"/>
        <w:rPr>
          <w:rFonts w:ascii="CIDFont+F1" w:hAnsi="CIDFont+F1" w:cs="CIDFont+F1"/>
        </w:rPr>
      </w:pPr>
      <w:r>
        <w:rPr>
          <w:rFonts w:ascii="CIDFont+F1" w:hAnsi="CIDFont+F1" w:cs="CIDFont+F1"/>
        </w:rPr>
        <w:t>Definitions</w:t>
      </w:r>
    </w:p>
    <w:p w14:paraId="0E00D5B5" w14:textId="08EAB3FE" w:rsidR="00656860" w:rsidRPr="005068D3" w:rsidRDefault="00656860" w:rsidP="00656860">
      <w:pPr>
        <w:autoSpaceDE w:val="0"/>
        <w:autoSpaceDN w:val="0"/>
        <w:adjustRightInd w:val="0"/>
        <w:spacing w:after="0" w:line="240" w:lineRule="auto"/>
        <w:rPr>
          <w:rFonts w:ascii="CIDFont+F2" w:hAnsi="CIDFont+F2" w:cs="CIDFont+F2"/>
          <w:color w:val="FF0000"/>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Header “Digital Claim Settlement” isn’t necessary. We don’t group any of the other definitions.</w:t>
      </w:r>
      <w:r w:rsidR="005068D3">
        <w:rPr>
          <w:rFonts w:ascii="CIDFont+F2" w:hAnsi="CIDFont+F2" w:cs="CIDFont+F2"/>
        </w:rPr>
        <w:t xml:space="preserve"> </w:t>
      </w:r>
      <w:r w:rsidR="005068D3">
        <w:rPr>
          <w:rFonts w:ascii="CIDFont+F2" w:hAnsi="CIDFont+F2" w:cs="CIDFont+F2"/>
          <w:color w:val="FF0000"/>
        </w:rPr>
        <w:t>This is an adjustment the group can make if preferred  – can happen after June 1</w:t>
      </w:r>
      <w:r w:rsidR="005068D3" w:rsidRPr="005068D3">
        <w:rPr>
          <w:rFonts w:ascii="CIDFont+F2" w:hAnsi="CIDFont+F2" w:cs="CIDFont+F2"/>
          <w:color w:val="FF0000"/>
          <w:vertAlign w:val="superscript"/>
        </w:rPr>
        <w:t>st</w:t>
      </w:r>
      <w:r w:rsidR="005068D3">
        <w:rPr>
          <w:rFonts w:ascii="CIDFont+F2" w:hAnsi="CIDFont+F2" w:cs="CIDFont+F2"/>
          <w:color w:val="FF0000"/>
        </w:rPr>
        <w:t>.</w:t>
      </w:r>
    </w:p>
    <w:p w14:paraId="51133833" w14:textId="77777777" w:rsidR="00656860" w:rsidRDefault="00656860" w:rsidP="00656860">
      <w:pPr>
        <w:autoSpaceDE w:val="0"/>
        <w:autoSpaceDN w:val="0"/>
        <w:adjustRightInd w:val="0"/>
        <w:spacing w:after="0" w:line="240" w:lineRule="auto"/>
        <w:rPr>
          <w:rFonts w:ascii="CIDFont+F2" w:hAnsi="CIDFont+F2" w:cs="CIDFont+F2"/>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Don’t remember offhand, but do the applicable coverage types involve only 1</w:t>
      </w:r>
      <w:r>
        <w:rPr>
          <w:rFonts w:ascii="CIDFont+F2" w:hAnsi="CIDFont+F2" w:cs="CIDFont+F2"/>
          <w:sz w:val="14"/>
          <w:szCs w:val="14"/>
        </w:rPr>
        <w:t xml:space="preserve">st </w:t>
      </w:r>
      <w:r>
        <w:rPr>
          <w:rFonts w:ascii="CIDFont+F2" w:hAnsi="CIDFont+F2" w:cs="CIDFont+F2"/>
        </w:rPr>
        <w:t>party claims? Or</w:t>
      </w:r>
    </w:p>
    <w:p w14:paraId="695FE640" w14:textId="5E351E77" w:rsidR="00656860" w:rsidRPr="005068D3"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t>could there be 3</w:t>
      </w:r>
      <w:r>
        <w:rPr>
          <w:rFonts w:ascii="CIDFont+F2" w:hAnsi="CIDFont+F2" w:cs="CIDFont+F2"/>
          <w:sz w:val="14"/>
          <w:szCs w:val="14"/>
        </w:rPr>
        <w:t xml:space="preserve">rd </w:t>
      </w:r>
      <w:r>
        <w:rPr>
          <w:rFonts w:ascii="CIDFont+F2" w:hAnsi="CIDFont+F2" w:cs="CIDFont+F2"/>
        </w:rPr>
        <w:t>party claims reported?</w:t>
      </w:r>
      <w:r w:rsidR="005068D3">
        <w:rPr>
          <w:rFonts w:ascii="CIDFont+F2" w:hAnsi="CIDFont+F2" w:cs="CIDFont+F2"/>
        </w:rPr>
        <w:t xml:space="preserve"> </w:t>
      </w:r>
      <w:r w:rsidR="005068D3">
        <w:rPr>
          <w:rFonts w:ascii="CIDFont+F2" w:hAnsi="CIDFont+F2" w:cs="CIDFont+F2"/>
          <w:color w:val="FF0000"/>
        </w:rPr>
        <w:t>It could be 1</w:t>
      </w:r>
      <w:r w:rsidR="005068D3" w:rsidRPr="005068D3">
        <w:rPr>
          <w:rFonts w:ascii="CIDFont+F2" w:hAnsi="CIDFont+F2" w:cs="CIDFont+F2"/>
          <w:color w:val="FF0000"/>
          <w:vertAlign w:val="superscript"/>
        </w:rPr>
        <w:t>st</w:t>
      </w:r>
      <w:r w:rsidR="005068D3">
        <w:rPr>
          <w:rFonts w:ascii="CIDFont+F2" w:hAnsi="CIDFont+F2" w:cs="CIDFont+F2"/>
          <w:color w:val="FF0000"/>
        </w:rPr>
        <w:t xml:space="preserve"> or 3</w:t>
      </w:r>
      <w:r w:rsidR="005068D3" w:rsidRPr="005068D3">
        <w:rPr>
          <w:rFonts w:ascii="CIDFont+F2" w:hAnsi="CIDFont+F2" w:cs="CIDFont+F2"/>
          <w:color w:val="FF0000"/>
          <w:vertAlign w:val="superscript"/>
        </w:rPr>
        <w:t>rd</w:t>
      </w:r>
      <w:r w:rsidR="005068D3">
        <w:rPr>
          <w:rFonts w:ascii="CIDFont+F2" w:hAnsi="CIDFont+F2" w:cs="CIDFont+F2"/>
          <w:color w:val="FF0000"/>
        </w:rPr>
        <w:t xml:space="preserve"> party</w:t>
      </w:r>
    </w:p>
    <w:p w14:paraId="1F110A68" w14:textId="77777777" w:rsidR="00656860" w:rsidRDefault="00656860" w:rsidP="00656860">
      <w:pPr>
        <w:autoSpaceDE w:val="0"/>
        <w:autoSpaceDN w:val="0"/>
        <w:adjustRightInd w:val="0"/>
        <w:spacing w:after="0" w:line="240" w:lineRule="auto"/>
        <w:rPr>
          <w:rFonts w:ascii="CIDFont+F2" w:hAnsi="CIDFont+F2" w:cs="CIDFont+F2"/>
        </w:rPr>
      </w:pPr>
      <w:r>
        <w:rPr>
          <w:rFonts w:ascii="CIDFont+F5" w:hAnsi="CIDFont+F5" w:cs="CIDFont+F5"/>
        </w:rPr>
        <w:t xml:space="preserve">o </w:t>
      </w:r>
      <w:r>
        <w:rPr>
          <w:rFonts w:ascii="CIDFont+F2" w:hAnsi="CIDFont+F2" w:cs="CIDFont+F2"/>
        </w:rPr>
        <w:t>If it includes 3</w:t>
      </w:r>
      <w:r>
        <w:rPr>
          <w:rFonts w:ascii="CIDFont+F2" w:hAnsi="CIDFont+F2" w:cs="CIDFont+F2"/>
          <w:sz w:val="14"/>
          <w:szCs w:val="14"/>
        </w:rPr>
        <w:t xml:space="preserve">rd </w:t>
      </w:r>
      <w:r>
        <w:rPr>
          <w:rFonts w:ascii="CIDFont+F2" w:hAnsi="CIDFont+F2" w:cs="CIDFont+F2"/>
        </w:rPr>
        <w:t>party claims, do we want to change references from insured to</w:t>
      </w:r>
    </w:p>
    <w:p w14:paraId="6BC8F37F" w14:textId="7FF30BE0" w:rsidR="00656860" w:rsidRPr="005068D3"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t>insured/claimant?</w:t>
      </w:r>
      <w:r w:rsidR="005068D3">
        <w:rPr>
          <w:rFonts w:ascii="CIDFont+F2" w:hAnsi="CIDFont+F2" w:cs="CIDFont+F2"/>
        </w:rPr>
        <w:t xml:space="preserve"> </w:t>
      </w:r>
      <w:r w:rsidR="005068D3">
        <w:rPr>
          <w:rFonts w:ascii="CIDFont+F2" w:hAnsi="CIDFont+F2" w:cs="CIDFont+F2"/>
          <w:color w:val="FF0000"/>
        </w:rPr>
        <w:t>What specific reference?</w:t>
      </w:r>
      <w:r w:rsidR="00707484">
        <w:rPr>
          <w:rFonts w:ascii="CIDFont+F2" w:hAnsi="CIDFont+F2" w:cs="CIDFont+F2"/>
          <w:color w:val="FF0000"/>
        </w:rPr>
        <w:t xml:space="preserve"> </w:t>
      </w:r>
      <w:r w:rsidR="00392CD5">
        <w:rPr>
          <w:rFonts w:ascii="CIDFont+F2" w:hAnsi="CIDFont+F2" w:cs="CIDFont+F2"/>
          <w:color w:val="FF0000"/>
        </w:rPr>
        <w:t xml:space="preserve">The </w:t>
      </w:r>
      <w:r w:rsidR="00707484">
        <w:rPr>
          <w:rFonts w:ascii="CIDFont+F2" w:hAnsi="CIDFont+F2" w:cs="CIDFont+F2"/>
          <w:color w:val="FF0000"/>
        </w:rPr>
        <w:t>definition refers to claimant or insured.</w:t>
      </w:r>
      <w:r w:rsidR="00B4735F">
        <w:rPr>
          <w:rFonts w:ascii="CIDFont+F2" w:hAnsi="CIDFont+F2" w:cs="CIDFont+F2"/>
          <w:color w:val="FF0000"/>
        </w:rPr>
        <w:t xml:space="preserve"> Do you mean in the examples? </w:t>
      </w:r>
      <w:r w:rsidR="005201DC">
        <w:rPr>
          <w:rFonts w:ascii="CIDFont+F2" w:hAnsi="CIDFont+F2" w:cs="CIDFont+F2"/>
          <w:color w:val="FF0000"/>
        </w:rPr>
        <w:t xml:space="preserve">If so, </w:t>
      </w:r>
      <w:r w:rsidR="00392CD5">
        <w:rPr>
          <w:rFonts w:ascii="CIDFont+F2" w:hAnsi="CIDFont+F2" w:cs="CIDFont+F2"/>
          <w:color w:val="FF0000"/>
        </w:rPr>
        <w:t>that would be</w:t>
      </w:r>
      <w:r w:rsidR="005201DC">
        <w:rPr>
          <w:rFonts w:ascii="CIDFont+F2" w:hAnsi="CIDFont+F2" w:cs="CIDFont+F2"/>
          <w:color w:val="FF0000"/>
        </w:rPr>
        <w:t xml:space="preserve"> a clarification of the definition and as such</w:t>
      </w:r>
      <w:r w:rsidR="00B4735F">
        <w:rPr>
          <w:rFonts w:ascii="CIDFont+F2" w:hAnsi="CIDFont+F2" w:cs="CIDFont+F2"/>
          <w:color w:val="FF0000"/>
        </w:rPr>
        <w:t xml:space="preserve"> something that can be addressed after June 1</w:t>
      </w:r>
      <w:r w:rsidR="00B4735F" w:rsidRPr="00B4735F">
        <w:rPr>
          <w:rFonts w:ascii="CIDFont+F2" w:hAnsi="CIDFont+F2" w:cs="CIDFont+F2"/>
          <w:color w:val="FF0000"/>
          <w:vertAlign w:val="superscript"/>
        </w:rPr>
        <w:t>st</w:t>
      </w:r>
      <w:r w:rsidR="00B4735F">
        <w:rPr>
          <w:rFonts w:ascii="CIDFont+F2" w:hAnsi="CIDFont+F2" w:cs="CIDFont+F2"/>
          <w:color w:val="FF0000"/>
        </w:rPr>
        <w:t xml:space="preserve"> if needed. </w:t>
      </w:r>
    </w:p>
    <w:p w14:paraId="1732466D" w14:textId="77777777" w:rsidR="00656860" w:rsidRDefault="00656860" w:rsidP="00656860">
      <w:pPr>
        <w:autoSpaceDE w:val="0"/>
        <w:autoSpaceDN w:val="0"/>
        <w:adjustRightInd w:val="0"/>
        <w:spacing w:after="0" w:line="240" w:lineRule="auto"/>
        <w:rPr>
          <w:rFonts w:ascii="CIDFont+F2" w:hAnsi="CIDFont+F2" w:cs="CIDFont+F2"/>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HO/PPA definition each contain language not applicable to the line of business. For example the</w:t>
      </w:r>
    </w:p>
    <w:p w14:paraId="5315DA31" w14:textId="640EFE1F" w:rsidR="00656860" w:rsidRPr="005068D3"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t>HO definition include things like ‘vehicle’, ‘body shop’, and ‘in-vehicle sensors’. Should the non</w:t>
      </w:r>
      <w:r w:rsidR="005068D3">
        <w:rPr>
          <w:rFonts w:ascii="CIDFont+F2" w:hAnsi="CIDFont+F2" w:cs="CIDFont+F2"/>
        </w:rPr>
        <w:t>-</w:t>
      </w:r>
      <w:r>
        <w:rPr>
          <w:rFonts w:ascii="CIDFont+F2" w:hAnsi="CIDFont+F2" w:cs="CIDFont+F2"/>
        </w:rPr>
        <w:t>appropriate</w:t>
      </w:r>
      <w:r w:rsidR="005068D3">
        <w:rPr>
          <w:rFonts w:ascii="CIDFont+F2" w:hAnsi="CIDFont+F2" w:cs="CIDFont+F2"/>
        </w:rPr>
        <w:t xml:space="preserve"> </w:t>
      </w:r>
      <w:r>
        <w:rPr>
          <w:rFonts w:ascii="CIDFont+F2" w:hAnsi="CIDFont+F2" w:cs="CIDFont+F2"/>
        </w:rPr>
        <w:t>line of business references be removed to avoid confusion?</w:t>
      </w:r>
      <w:r w:rsidR="005068D3">
        <w:rPr>
          <w:rFonts w:ascii="CIDFont+F2" w:hAnsi="CIDFont+F2" w:cs="CIDFont+F2"/>
        </w:rPr>
        <w:t xml:space="preserve"> </w:t>
      </w:r>
      <w:r w:rsidR="005068D3">
        <w:rPr>
          <w:rFonts w:ascii="CIDFont+F2" w:hAnsi="CIDFont+F2" w:cs="CIDFont+F2"/>
          <w:color w:val="FF0000"/>
        </w:rPr>
        <w:t>The decision was to keep the definition b/w the PPA and HO blanks consistent.</w:t>
      </w:r>
    </w:p>
    <w:p w14:paraId="08607853" w14:textId="69960E8D" w:rsidR="00656860" w:rsidRPr="006858F0" w:rsidRDefault="00656860" w:rsidP="00656860">
      <w:pPr>
        <w:autoSpaceDE w:val="0"/>
        <w:autoSpaceDN w:val="0"/>
        <w:adjustRightInd w:val="0"/>
        <w:spacing w:after="0" w:line="240" w:lineRule="auto"/>
        <w:rPr>
          <w:rFonts w:ascii="CIDFont+F2" w:hAnsi="CIDFont+F2" w:cs="CIDFont+F2"/>
          <w:color w:val="FF0000"/>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Are plane or drone photos a technology used in PPA?</w:t>
      </w:r>
      <w:r w:rsidR="006858F0">
        <w:rPr>
          <w:rFonts w:ascii="CIDFont+F2" w:hAnsi="CIDFont+F2" w:cs="CIDFont+F2"/>
        </w:rPr>
        <w:t xml:space="preserve"> </w:t>
      </w:r>
      <w:r w:rsidR="006858F0">
        <w:rPr>
          <w:rFonts w:ascii="CIDFont+F2" w:hAnsi="CIDFont+F2" w:cs="CIDFont+F2"/>
          <w:color w:val="FF0000"/>
        </w:rPr>
        <w:t>Yes</w:t>
      </w:r>
    </w:p>
    <w:p w14:paraId="77F4B88E" w14:textId="77777777" w:rsidR="00656860" w:rsidRDefault="00656860" w:rsidP="00656860">
      <w:pPr>
        <w:autoSpaceDE w:val="0"/>
        <w:autoSpaceDN w:val="0"/>
        <w:adjustRightInd w:val="0"/>
        <w:spacing w:after="0" w:line="240" w:lineRule="auto"/>
        <w:rPr>
          <w:rFonts w:ascii="CIDFont+F2" w:hAnsi="CIDFont+F2" w:cs="CIDFont+F2"/>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Digital Claim Settlement - I’m not clear on whether or not the automated loss settlement</w:t>
      </w:r>
    </w:p>
    <w:p w14:paraId="02590677" w14:textId="77777777" w:rsidR="00656860" w:rsidRDefault="00656860" w:rsidP="00656860">
      <w:pPr>
        <w:autoSpaceDE w:val="0"/>
        <w:autoSpaceDN w:val="0"/>
        <w:adjustRightInd w:val="0"/>
        <w:spacing w:after="0" w:line="240" w:lineRule="auto"/>
        <w:rPr>
          <w:rFonts w:ascii="CIDFont+F2" w:hAnsi="CIDFont+F2" w:cs="CIDFont+F2"/>
        </w:rPr>
      </w:pPr>
      <w:r>
        <w:rPr>
          <w:rFonts w:ascii="CIDFont+F2" w:hAnsi="CIDFont+F2" w:cs="CIDFont+F2"/>
        </w:rPr>
        <w:t>algorithms included in the example are necessary for a claims to be considered to be a digital</w:t>
      </w:r>
    </w:p>
    <w:p w14:paraId="2C59C5D8" w14:textId="14AC8B22" w:rsidR="00656860" w:rsidRPr="0020707B"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t>claim settlement, as the definition itself seems to lack this requirement.</w:t>
      </w:r>
      <w:r w:rsidR="0020707B">
        <w:rPr>
          <w:rFonts w:ascii="CIDFont+F2" w:hAnsi="CIDFont+F2" w:cs="CIDFont+F2"/>
          <w:color w:val="FF0000"/>
        </w:rPr>
        <w:t xml:space="preserve"> These examples were worked out in discussion with industry stakeholders. It was agreed that they could be helpful.</w:t>
      </w:r>
    </w:p>
    <w:p w14:paraId="0B07B54F" w14:textId="77777777" w:rsidR="00656860" w:rsidRDefault="00656860" w:rsidP="00656860">
      <w:pPr>
        <w:autoSpaceDE w:val="0"/>
        <w:autoSpaceDN w:val="0"/>
        <w:adjustRightInd w:val="0"/>
        <w:spacing w:after="0" w:line="240" w:lineRule="auto"/>
        <w:rPr>
          <w:rFonts w:ascii="CIDFont+F1" w:hAnsi="CIDFont+F1" w:cs="CIDFont+F1"/>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 xml:space="preserve">Current definition appears to include only those instances where there is no </w:t>
      </w:r>
      <w:r>
        <w:rPr>
          <w:rFonts w:ascii="CIDFont+F1" w:hAnsi="CIDFont+F1" w:cs="CIDFont+F1"/>
        </w:rPr>
        <w:t>in-person</w:t>
      </w:r>
    </w:p>
    <w:p w14:paraId="41C346E7" w14:textId="77777777" w:rsidR="00656860" w:rsidRDefault="00656860" w:rsidP="00656860">
      <w:pPr>
        <w:autoSpaceDE w:val="0"/>
        <w:autoSpaceDN w:val="0"/>
        <w:adjustRightInd w:val="0"/>
        <w:spacing w:after="0" w:line="240" w:lineRule="auto"/>
        <w:rPr>
          <w:rFonts w:ascii="CIDFont+F2" w:hAnsi="CIDFont+F2" w:cs="CIDFont+F2"/>
        </w:rPr>
      </w:pPr>
      <w:r>
        <w:rPr>
          <w:rFonts w:ascii="CIDFont+F1" w:hAnsi="CIDFont+F1" w:cs="CIDFont+F1"/>
        </w:rPr>
        <w:t>inspection or appraisal</w:t>
      </w:r>
      <w:r>
        <w:rPr>
          <w:rFonts w:ascii="CIDFont+F2" w:hAnsi="CIDFont+F2" w:cs="CIDFont+F2"/>
        </w:rPr>
        <w:t>. If a claim adjuster relies solely on photos without doing an in-person</w:t>
      </w:r>
    </w:p>
    <w:p w14:paraId="7B83F663" w14:textId="23F9992E" w:rsidR="00656860" w:rsidRPr="0020707B"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lastRenderedPageBreak/>
        <w:t>inspection or appraisal, how should that claim be counted?</w:t>
      </w:r>
      <w:r w:rsidR="0020707B">
        <w:rPr>
          <w:rFonts w:ascii="CIDFont+F2" w:hAnsi="CIDFont+F2" w:cs="CIDFont+F2"/>
        </w:rPr>
        <w:t xml:space="preserve"> </w:t>
      </w:r>
      <w:r w:rsidR="0020707B">
        <w:rPr>
          <w:rFonts w:ascii="CIDFont+F2" w:hAnsi="CIDFont+F2" w:cs="CIDFont+F2"/>
          <w:color w:val="FF0000"/>
        </w:rPr>
        <w:t>Digital claims settlement occurs  w/o human review.</w:t>
      </w:r>
      <w:r w:rsidR="00F060CC">
        <w:rPr>
          <w:rFonts w:ascii="CIDFont+F2" w:hAnsi="CIDFont+F2" w:cs="CIDFont+F2"/>
          <w:color w:val="FF0000"/>
        </w:rPr>
        <w:t xml:space="preserve"> If a claims adjuster based an offer on review of photos, it would be traditional. </w:t>
      </w:r>
    </w:p>
    <w:p w14:paraId="10903871" w14:textId="77777777" w:rsidR="00656860" w:rsidRDefault="00656860" w:rsidP="00656860">
      <w:pPr>
        <w:autoSpaceDE w:val="0"/>
        <w:autoSpaceDN w:val="0"/>
        <w:adjustRightInd w:val="0"/>
        <w:spacing w:after="0" w:line="240" w:lineRule="auto"/>
        <w:rPr>
          <w:rFonts w:ascii="CIDFont+F2" w:hAnsi="CIDFont+F2" w:cs="CIDFont+F2"/>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Would a digital claim settlement include instances where the insurance company uses an</w:t>
      </w:r>
    </w:p>
    <w:p w14:paraId="07D1FFED" w14:textId="77777777" w:rsidR="00656860" w:rsidRDefault="00656860" w:rsidP="00656860">
      <w:pPr>
        <w:autoSpaceDE w:val="0"/>
        <w:autoSpaceDN w:val="0"/>
        <w:adjustRightInd w:val="0"/>
        <w:spacing w:after="0" w:line="240" w:lineRule="auto"/>
        <w:rPr>
          <w:rFonts w:ascii="CIDFont+F2" w:hAnsi="CIDFont+F2" w:cs="CIDFont+F2"/>
        </w:rPr>
      </w:pPr>
      <w:r>
        <w:rPr>
          <w:rFonts w:ascii="CIDFont+F2" w:hAnsi="CIDFont+F2" w:cs="CIDFont+F2"/>
        </w:rPr>
        <w:t>automated loss settlement algorithms to generate a settlement offer, but has an adjuster</w:t>
      </w:r>
    </w:p>
    <w:p w14:paraId="1E53D568" w14:textId="30E69A98" w:rsidR="00656860" w:rsidRPr="0020707B"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t>review the photos (but no do an inspection) and the offer before sending it to the insured?</w:t>
      </w:r>
      <w:r w:rsidR="0020707B">
        <w:rPr>
          <w:rFonts w:ascii="CIDFont+F2" w:hAnsi="CIDFont+F2" w:cs="CIDFont+F2"/>
        </w:rPr>
        <w:t xml:space="preserve"> </w:t>
      </w:r>
      <w:r w:rsidR="0020707B">
        <w:rPr>
          <w:rFonts w:ascii="CIDFont+F2" w:hAnsi="CIDFont+F2" w:cs="CIDFont+F2"/>
          <w:color w:val="FF0000"/>
        </w:rPr>
        <w:t xml:space="preserve">No – that would not be digital claims settlement due to the human review. </w:t>
      </w:r>
    </w:p>
    <w:p w14:paraId="112EB400" w14:textId="40505EC3" w:rsidR="00656860" w:rsidRPr="0020707B" w:rsidRDefault="00656860" w:rsidP="00656860">
      <w:pPr>
        <w:autoSpaceDE w:val="0"/>
        <w:autoSpaceDN w:val="0"/>
        <w:adjustRightInd w:val="0"/>
        <w:spacing w:after="0" w:line="240" w:lineRule="auto"/>
        <w:rPr>
          <w:rFonts w:ascii="CIDFont+F2" w:hAnsi="CIDFont+F2" w:cs="CIDFont+F2"/>
          <w:color w:val="FF0000"/>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Where would auto glass claims be reported under the PPA statement? Are they Digital Claims?</w:t>
      </w:r>
      <w:r w:rsidR="0020707B">
        <w:rPr>
          <w:rFonts w:ascii="CIDFont+F2" w:hAnsi="CIDFont+F2" w:cs="CIDFont+F2"/>
        </w:rPr>
        <w:t xml:space="preserve"> </w:t>
      </w:r>
      <w:r w:rsidR="0020707B">
        <w:rPr>
          <w:rFonts w:ascii="CIDFont+F2" w:hAnsi="CIDFont+F2" w:cs="CIDFont+F2"/>
          <w:color w:val="FF0000"/>
        </w:rPr>
        <w:t>It is not the claim, but the manner of claims settlement that this breakout is targeting. Glass claim reporting will continue as it has been and glass claims could end up in any of the 3 breakout buckets depending on the settlement method.</w:t>
      </w:r>
    </w:p>
    <w:p w14:paraId="47BC26D6" w14:textId="77777777" w:rsidR="00656860" w:rsidRDefault="00656860" w:rsidP="00656860">
      <w:pPr>
        <w:autoSpaceDE w:val="0"/>
        <w:autoSpaceDN w:val="0"/>
        <w:adjustRightInd w:val="0"/>
        <w:spacing w:after="0" w:line="240" w:lineRule="auto"/>
        <w:rPr>
          <w:rFonts w:ascii="CIDFont+F2" w:hAnsi="CIDFont+F2" w:cs="CIDFont+F2"/>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Where to claims get reported that start out via the digital process but get kicked out of the</w:t>
      </w:r>
    </w:p>
    <w:p w14:paraId="182ABA7C" w14:textId="77777777" w:rsidR="00656860" w:rsidRDefault="00656860" w:rsidP="00656860">
      <w:pPr>
        <w:autoSpaceDE w:val="0"/>
        <w:autoSpaceDN w:val="0"/>
        <w:adjustRightInd w:val="0"/>
        <w:spacing w:after="0" w:line="240" w:lineRule="auto"/>
        <w:rPr>
          <w:rFonts w:ascii="CIDFont+F2" w:hAnsi="CIDFont+F2" w:cs="CIDFont+F2"/>
        </w:rPr>
      </w:pPr>
      <w:r>
        <w:rPr>
          <w:rFonts w:ascii="CIDFont+F2" w:hAnsi="CIDFont+F2" w:cs="CIDFont+F2"/>
        </w:rPr>
        <w:t>process (for whatever reason) at any time during the process before an ‘automated’ offer is</w:t>
      </w:r>
    </w:p>
    <w:p w14:paraId="3A40D940" w14:textId="65FECA77" w:rsidR="00656860" w:rsidRPr="0020707B"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t>generated/made to the insured?</w:t>
      </w:r>
      <w:r w:rsidR="0020707B">
        <w:rPr>
          <w:rFonts w:ascii="CIDFont+F2" w:hAnsi="CIDFont+F2" w:cs="CIDFont+F2"/>
        </w:rPr>
        <w:t xml:space="preserve"> </w:t>
      </w:r>
      <w:r w:rsidR="0020707B">
        <w:rPr>
          <w:rFonts w:ascii="CIDFont+F2" w:hAnsi="CIDFont+F2" w:cs="CIDFont+F2"/>
          <w:color w:val="FF0000"/>
        </w:rPr>
        <w:t>The digital/traditional bucket.</w:t>
      </w:r>
    </w:p>
    <w:p w14:paraId="64DB3A8C" w14:textId="77777777" w:rsidR="00656860" w:rsidRDefault="00656860" w:rsidP="00656860">
      <w:pPr>
        <w:autoSpaceDE w:val="0"/>
        <w:autoSpaceDN w:val="0"/>
        <w:adjustRightInd w:val="0"/>
        <w:spacing w:after="0" w:line="240" w:lineRule="auto"/>
        <w:rPr>
          <w:rFonts w:ascii="CIDFont+F2" w:hAnsi="CIDFont+F2" w:cs="CIDFont+F2"/>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Digital/Traditional Hybrid claim settlement – the words claim and settlement in the term itself</w:t>
      </w:r>
    </w:p>
    <w:p w14:paraId="496205F1" w14:textId="22FE7B6C" w:rsidR="00656860" w:rsidRPr="0020707B"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t>should be capitalized</w:t>
      </w:r>
      <w:r w:rsidR="0020707B">
        <w:rPr>
          <w:rFonts w:ascii="CIDFont+F2" w:hAnsi="CIDFont+F2" w:cs="CIDFont+F2"/>
        </w:rPr>
        <w:t xml:space="preserve"> </w:t>
      </w:r>
      <w:r w:rsidR="0020707B">
        <w:rPr>
          <w:rFonts w:ascii="CIDFont+F2" w:hAnsi="CIDFont+F2" w:cs="CIDFont+F2"/>
          <w:color w:val="FF0000"/>
        </w:rPr>
        <w:t>Agreed.</w:t>
      </w:r>
    </w:p>
    <w:p w14:paraId="508ADCC5" w14:textId="77777777" w:rsidR="00656860" w:rsidRDefault="00656860" w:rsidP="00656860">
      <w:pPr>
        <w:autoSpaceDE w:val="0"/>
        <w:autoSpaceDN w:val="0"/>
        <w:adjustRightInd w:val="0"/>
        <w:spacing w:after="0" w:line="240" w:lineRule="auto"/>
        <w:rPr>
          <w:rFonts w:ascii="CIDFont+F2" w:hAnsi="CIDFont+F2" w:cs="CIDFont+F2"/>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Digital/Traditional Hybrid Claim Settlement – appears to require an on-site visual inspection or</w:t>
      </w:r>
    </w:p>
    <w:p w14:paraId="7A4452D2" w14:textId="41281144" w:rsidR="00656860" w:rsidRDefault="00656860" w:rsidP="00656860">
      <w:pPr>
        <w:autoSpaceDE w:val="0"/>
        <w:autoSpaceDN w:val="0"/>
        <w:adjustRightInd w:val="0"/>
        <w:spacing w:after="0" w:line="240" w:lineRule="auto"/>
        <w:rPr>
          <w:rFonts w:ascii="CIDFont+F2" w:hAnsi="CIDFont+F2" w:cs="CIDFont+F2"/>
        </w:rPr>
      </w:pPr>
      <w:r>
        <w:rPr>
          <w:rFonts w:ascii="CIDFont+F2" w:hAnsi="CIDFont+F2" w:cs="CIDFont+F2"/>
        </w:rPr>
        <w:t>appraisal to fall into this bucket. Where would a claim be reported if the initial ‘algorithm</w:t>
      </w:r>
      <w:r w:rsidR="00707484">
        <w:rPr>
          <w:rFonts w:ascii="CIDFont+F2" w:hAnsi="CIDFont+F2" w:cs="CIDFont+F2"/>
        </w:rPr>
        <w:t xml:space="preserve"> </w:t>
      </w:r>
      <w:r>
        <w:rPr>
          <w:rFonts w:ascii="CIDFont+F2" w:hAnsi="CIDFont+F2" w:cs="CIDFont+F2"/>
        </w:rPr>
        <w:t>developed</w:t>
      </w:r>
    </w:p>
    <w:p w14:paraId="2A2A39A7" w14:textId="77777777" w:rsidR="00656860" w:rsidRDefault="00656860" w:rsidP="00656860">
      <w:pPr>
        <w:autoSpaceDE w:val="0"/>
        <w:autoSpaceDN w:val="0"/>
        <w:adjustRightInd w:val="0"/>
        <w:spacing w:after="0" w:line="240" w:lineRule="auto"/>
        <w:rPr>
          <w:rFonts w:ascii="CIDFont+F2" w:hAnsi="CIDFont+F2" w:cs="CIDFont+F2"/>
        </w:rPr>
      </w:pPr>
      <w:r>
        <w:rPr>
          <w:rFonts w:ascii="CIDFont+F2" w:hAnsi="CIDFont+F2" w:cs="CIDFont+F2"/>
        </w:rPr>
        <w:t>offer is not accepted, the insured then sends in estimates from a contractor or body</w:t>
      </w:r>
    </w:p>
    <w:p w14:paraId="30F27CC8" w14:textId="0025ED8D" w:rsidR="00656860" w:rsidRPr="0020707B"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t>shop, and the insurer amends the offer without doing an on-site inspection?</w:t>
      </w:r>
      <w:r w:rsidR="0020707B">
        <w:rPr>
          <w:rFonts w:ascii="CIDFont+F2" w:hAnsi="CIDFont+F2" w:cs="CIDFont+F2"/>
        </w:rPr>
        <w:t xml:space="preserve">  </w:t>
      </w:r>
      <w:r w:rsidR="0020707B" w:rsidRPr="0020707B">
        <w:rPr>
          <w:rFonts w:ascii="CIDFont+F2" w:hAnsi="CIDFont+F2" w:cs="CIDFont+F2"/>
          <w:color w:val="FF0000"/>
        </w:rPr>
        <w:t>It</w:t>
      </w:r>
      <w:r w:rsidR="0020707B">
        <w:rPr>
          <w:rFonts w:ascii="CIDFont+F2" w:hAnsi="CIDFont+F2" w:cs="CIDFont+F2"/>
          <w:color w:val="FF0000"/>
        </w:rPr>
        <w:t xml:space="preserve"> started as digital, but then human review occurred so </w:t>
      </w:r>
      <w:r w:rsidR="00707484">
        <w:rPr>
          <w:rFonts w:ascii="CIDFont+F2" w:hAnsi="CIDFont+F2" w:cs="CIDFont+F2"/>
          <w:color w:val="FF0000"/>
        </w:rPr>
        <w:t xml:space="preserve">it goes into the </w:t>
      </w:r>
      <w:r w:rsidR="0020707B">
        <w:rPr>
          <w:rFonts w:ascii="CIDFont+F2" w:hAnsi="CIDFont+F2" w:cs="CIDFont+F2"/>
          <w:color w:val="FF0000"/>
        </w:rPr>
        <w:t>digital/traditional hybrid</w:t>
      </w:r>
      <w:r w:rsidR="00707484">
        <w:rPr>
          <w:rFonts w:ascii="CIDFont+F2" w:hAnsi="CIDFont+F2" w:cs="CIDFont+F2"/>
          <w:color w:val="FF0000"/>
        </w:rPr>
        <w:t xml:space="preserve"> bucket</w:t>
      </w:r>
      <w:r w:rsidR="0020707B">
        <w:rPr>
          <w:rFonts w:ascii="CIDFont+F2" w:hAnsi="CIDFont+F2" w:cs="CIDFont+F2"/>
          <w:color w:val="FF0000"/>
        </w:rPr>
        <w:t>.</w:t>
      </w:r>
    </w:p>
    <w:p w14:paraId="61A9D893" w14:textId="79409691" w:rsidR="00656860" w:rsidRPr="0020707B" w:rsidRDefault="00656860" w:rsidP="00656860">
      <w:pPr>
        <w:autoSpaceDE w:val="0"/>
        <w:autoSpaceDN w:val="0"/>
        <w:adjustRightInd w:val="0"/>
        <w:spacing w:after="0" w:line="240" w:lineRule="auto"/>
        <w:rPr>
          <w:rFonts w:ascii="CIDFont+F2" w:hAnsi="CIDFont+F2" w:cs="CIDFont+F2"/>
          <w:color w:val="FF0000"/>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Do we need to address the reporting treatment of re-opened claims?</w:t>
      </w:r>
      <w:r w:rsidR="0020707B">
        <w:rPr>
          <w:rFonts w:ascii="CIDFont+F2" w:hAnsi="CIDFont+F2" w:cs="CIDFont+F2"/>
        </w:rPr>
        <w:t xml:space="preserve"> </w:t>
      </w:r>
      <w:r w:rsidR="0020707B">
        <w:rPr>
          <w:rFonts w:ascii="CIDFont+F2" w:hAnsi="CIDFont+F2" w:cs="CIDFont+F2"/>
          <w:color w:val="FF0000"/>
        </w:rPr>
        <w:t>This has not changed</w:t>
      </w:r>
      <w:r w:rsidR="005E008F">
        <w:rPr>
          <w:rFonts w:ascii="CIDFont+F2" w:hAnsi="CIDFont+F2" w:cs="CIDFont+F2"/>
          <w:color w:val="FF0000"/>
        </w:rPr>
        <w:t xml:space="preserve"> </w:t>
      </w:r>
    </w:p>
    <w:p w14:paraId="4BE66A06" w14:textId="77777777" w:rsidR="00656860" w:rsidRDefault="00656860" w:rsidP="00656860">
      <w:pPr>
        <w:autoSpaceDE w:val="0"/>
        <w:autoSpaceDN w:val="0"/>
        <w:adjustRightInd w:val="0"/>
        <w:spacing w:after="0" w:line="240" w:lineRule="auto"/>
        <w:rPr>
          <w:rFonts w:ascii="CIDFont+F2" w:hAnsi="CIDFont+F2" w:cs="CIDFont+F2"/>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Traditional/Other Than Digital Claims Settlement – inconsistent capitalization of the words Claim</w:t>
      </w:r>
    </w:p>
    <w:p w14:paraId="617E5439" w14:textId="4FEE1C31" w:rsidR="00656860" w:rsidRPr="0020707B"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t>Settlement in the definition</w:t>
      </w:r>
      <w:r w:rsidR="0020707B">
        <w:rPr>
          <w:rFonts w:ascii="CIDFont+F2" w:hAnsi="CIDFont+F2" w:cs="CIDFont+F2"/>
        </w:rPr>
        <w:t xml:space="preserve"> </w:t>
      </w:r>
      <w:r w:rsidR="0020707B">
        <w:rPr>
          <w:rFonts w:ascii="CIDFont+F2" w:hAnsi="CIDFont+F2" w:cs="CIDFont+F2"/>
          <w:color w:val="FF0000"/>
        </w:rPr>
        <w:t>Agreed.</w:t>
      </w:r>
    </w:p>
    <w:p w14:paraId="46720C10" w14:textId="77777777" w:rsidR="00656860" w:rsidRDefault="00656860" w:rsidP="00656860">
      <w:pPr>
        <w:autoSpaceDE w:val="0"/>
        <w:autoSpaceDN w:val="0"/>
        <w:adjustRightInd w:val="0"/>
        <w:spacing w:after="0" w:line="240" w:lineRule="auto"/>
        <w:rPr>
          <w:rFonts w:ascii="CIDFont+F2" w:hAnsi="CIDFont+F2" w:cs="CIDFont+F2"/>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If an insured attaches a copy of a contractor or body shop estimate with the photos when</w:t>
      </w:r>
    </w:p>
    <w:p w14:paraId="2045973C" w14:textId="77777777" w:rsidR="00656860" w:rsidRDefault="00656860" w:rsidP="00656860">
      <w:pPr>
        <w:autoSpaceDE w:val="0"/>
        <w:autoSpaceDN w:val="0"/>
        <w:adjustRightInd w:val="0"/>
        <w:spacing w:after="0" w:line="240" w:lineRule="auto"/>
        <w:rPr>
          <w:rFonts w:ascii="CIDFont+F2" w:hAnsi="CIDFont+F2" w:cs="CIDFont+F2"/>
        </w:rPr>
      </w:pPr>
      <w:r>
        <w:rPr>
          <w:rFonts w:ascii="CIDFont+F2" w:hAnsi="CIDFont+F2" w:cs="CIDFont+F2"/>
        </w:rPr>
        <w:t>submitting the claims does that still fall under a digital claim settlement if the insurer uses an</w:t>
      </w:r>
    </w:p>
    <w:p w14:paraId="28C78EF9" w14:textId="77777777" w:rsidR="00656860" w:rsidRDefault="00656860" w:rsidP="00656860">
      <w:pPr>
        <w:autoSpaceDE w:val="0"/>
        <w:autoSpaceDN w:val="0"/>
        <w:adjustRightInd w:val="0"/>
        <w:spacing w:after="0" w:line="240" w:lineRule="auto"/>
        <w:rPr>
          <w:rFonts w:ascii="CIDFont+F2" w:hAnsi="CIDFont+F2" w:cs="CIDFont+F2"/>
        </w:rPr>
      </w:pPr>
      <w:r>
        <w:rPr>
          <w:rFonts w:ascii="CIDFont+F2" w:hAnsi="CIDFont+F2" w:cs="CIDFont+F2"/>
        </w:rPr>
        <w:t>automated loss settlement algorithm on the photos to generate the offer? Or would that fall</w:t>
      </w:r>
    </w:p>
    <w:p w14:paraId="0AC4A673" w14:textId="0F55745F" w:rsidR="00656860" w:rsidRPr="0020707B"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t>into one of the other buckets and if so, which one?</w:t>
      </w:r>
      <w:r w:rsidR="0020707B">
        <w:rPr>
          <w:rFonts w:ascii="CIDFont+F2" w:hAnsi="CIDFont+F2" w:cs="CIDFont+F2"/>
        </w:rPr>
        <w:t xml:space="preserve"> </w:t>
      </w:r>
      <w:r w:rsidR="0020707B">
        <w:rPr>
          <w:rFonts w:ascii="CIDFont+F2" w:hAnsi="CIDFont+F2" w:cs="CIDFont+F2"/>
          <w:color w:val="FF0000"/>
        </w:rPr>
        <w:t xml:space="preserve">It would be digital if </w:t>
      </w:r>
      <w:r w:rsidR="002960FF">
        <w:rPr>
          <w:rFonts w:ascii="CIDFont+F2" w:hAnsi="CIDFont+F2" w:cs="CIDFont+F2"/>
          <w:color w:val="FF0000"/>
        </w:rPr>
        <w:t>there was no human involvement. If the estimate was reviewed by a human and the offer was based (in whole or part) on that review, it would be traditional.</w:t>
      </w:r>
    </w:p>
    <w:p w14:paraId="353241E6" w14:textId="77777777" w:rsidR="00656860" w:rsidRDefault="00656860" w:rsidP="00656860">
      <w:pPr>
        <w:autoSpaceDE w:val="0"/>
        <w:autoSpaceDN w:val="0"/>
        <w:adjustRightInd w:val="0"/>
        <w:spacing w:after="0" w:line="240" w:lineRule="auto"/>
        <w:rPr>
          <w:rFonts w:ascii="CIDFont+F2" w:hAnsi="CIDFont+F2" w:cs="CIDFont+F2"/>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Additional Digital Claims Settlement Guidance – not quite sure how to interpret this chart. Is it</w:t>
      </w:r>
    </w:p>
    <w:p w14:paraId="6416F044" w14:textId="77777777" w:rsidR="00656860" w:rsidRDefault="00656860" w:rsidP="00656860">
      <w:pPr>
        <w:autoSpaceDE w:val="0"/>
        <w:autoSpaceDN w:val="0"/>
        <w:adjustRightInd w:val="0"/>
        <w:spacing w:after="0" w:line="240" w:lineRule="auto"/>
        <w:rPr>
          <w:rFonts w:ascii="CIDFont+F2" w:hAnsi="CIDFont+F2" w:cs="CIDFont+F2"/>
        </w:rPr>
      </w:pPr>
      <w:r>
        <w:rPr>
          <w:rFonts w:ascii="CIDFont+F2" w:hAnsi="CIDFont+F2" w:cs="CIDFont+F2"/>
        </w:rPr>
        <w:t>supposed to be a decision tree? If so, perhaps a more traditional decision tree format would be</w:t>
      </w:r>
    </w:p>
    <w:p w14:paraId="5F0C4721" w14:textId="0895D8F9" w:rsidR="00656860" w:rsidRPr="002960FF"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t>more appropriate.</w:t>
      </w:r>
      <w:r w:rsidR="002960FF">
        <w:rPr>
          <w:rFonts w:ascii="CIDFont+F2" w:hAnsi="CIDFont+F2" w:cs="CIDFont+F2"/>
        </w:rPr>
        <w:t xml:space="preserve"> </w:t>
      </w:r>
      <w:r w:rsidR="002960FF">
        <w:rPr>
          <w:rFonts w:ascii="CIDFont+F2" w:hAnsi="CIDFont+F2" w:cs="CIDFont+F2"/>
          <w:color w:val="FF0000"/>
        </w:rPr>
        <w:t>This is open to group preference and is a style change. It could happen after June 1</w:t>
      </w:r>
      <w:r w:rsidR="002960FF" w:rsidRPr="002960FF">
        <w:rPr>
          <w:rFonts w:ascii="CIDFont+F2" w:hAnsi="CIDFont+F2" w:cs="CIDFont+F2"/>
          <w:color w:val="FF0000"/>
          <w:vertAlign w:val="superscript"/>
        </w:rPr>
        <w:t>st</w:t>
      </w:r>
      <w:r w:rsidR="002960FF">
        <w:rPr>
          <w:rFonts w:ascii="CIDFont+F2" w:hAnsi="CIDFont+F2" w:cs="CIDFont+F2"/>
          <w:color w:val="FF0000"/>
        </w:rPr>
        <w:t xml:space="preserve">. </w:t>
      </w:r>
    </w:p>
    <w:p w14:paraId="7511A270" w14:textId="77777777" w:rsidR="00656860" w:rsidRDefault="00656860" w:rsidP="00656860">
      <w:pPr>
        <w:autoSpaceDE w:val="0"/>
        <w:autoSpaceDN w:val="0"/>
        <w:adjustRightInd w:val="0"/>
        <w:spacing w:after="0" w:line="240" w:lineRule="auto"/>
        <w:rPr>
          <w:rFonts w:ascii="CIDFont+F2" w:hAnsi="CIDFont+F2" w:cs="CIDFont+F2"/>
        </w:rPr>
      </w:pPr>
      <w:r>
        <w:rPr>
          <w:rFonts w:ascii="CIDFont+F3" w:eastAsia="CIDFont+F3" w:hAnsi="CIDFont+F1" w:cs="CIDFont+F3" w:hint="eastAsia"/>
        </w:rPr>
        <w:t></w:t>
      </w:r>
      <w:r>
        <w:rPr>
          <w:rFonts w:ascii="CIDFont+F3" w:eastAsia="CIDFont+F3" w:hAnsi="CIDFont+F1" w:cs="CIDFont+F3"/>
        </w:rPr>
        <w:t xml:space="preserve"> </w:t>
      </w:r>
      <w:r>
        <w:rPr>
          <w:rFonts w:ascii="CIDFont+F2" w:hAnsi="CIDFont+F2" w:cs="CIDFont+F2"/>
        </w:rPr>
        <w:t>Additional Digital Claims Settlement Guidance – Could the answer in the Hybrid Claim</w:t>
      </w:r>
    </w:p>
    <w:p w14:paraId="4091A0A4" w14:textId="015B5A76" w:rsidR="00656860" w:rsidRPr="002960FF" w:rsidRDefault="00656860" w:rsidP="00656860">
      <w:pPr>
        <w:autoSpaceDE w:val="0"/>
        <w:autoSpaceDN w:val="0"/>
        <w:adjustRightInd w:val="0"/>
        <w:spacing w:after="0" w:line="240" w:lineRule="auto"/>
        <w:rPr>
          <w:rFonts w:ascii="CIDFont+F2" w:hAnsi="CIDFont+F2" w:cs="CIDFont+F2"/>
          <w:color w:val="FF0000"/>
        </w:rPr>
      </w:pPr>
      <w:r>
        <w:rPr>
          <w:rFonts w:ascii="CIDFont+F2" w:hAnsi="CIDFont+F2" w:cs="CIDFont+F2"/>
        </w:rPr>
        <w:t>Settlement/Two or More Loss Settlement Offers ever be a NO?</w:t>
      </w:r>
      <w:r w:rsidR="002960FF">
        <w:rPr>
          <w:rFonts w:ascii="CIDFont+F2" w:hAnsi="CIDFont+F2" w:cs="CIDFont+F2"/>
        </w:rPr>
        <w:t xml:space="preserve"> </w:t>
      </w:r>
      <w:r w:rsidR="002960FF">
        <w:rPr>
          <w:rFonts w:ascii="CIDFont+F2" w:hAnsi="CIDFont+F2" w:cs="CIDFont+F2"/>
          <w:color w:val="FF0000"/>
        </w:rPr>
        <w:t>No.</w:t>
      </w:r>
    </w:p>
    <w:p w14:paraId="468FA542" w14:textId="06A68E1A" w:rsidR="00656860" w:rsidRPr="002960FF" w:rsidRDefault="00656860" w:rsidP="00656860">
      <w:pPr>
        <w:rPr>
          <w:color w:val="FF0000"/>
        </w:rPr>
      </w:pPr>
      <w:r>
        <w:rPr>
          <w:rFonts w:ascii="CIDFont+F5" w:hAnsi="CIDFont+F5" w:cs="CIDFont+F5"/>
        </w:rPr>
        <w:t xml:space="preserve">o </w:t>
      </w:r>
      <w:r>
        <w:rPr>
          <w:rFonts w:ascii="CIDFont+F2" w:hAnsi="CIDFont+F2" w:cs="CIDFont+F2"/>
        </w:rPr>
        <w:t>Is so, what does that mean?</w:t>
      </w:r>
      <w:r w:rsidR="002960FF">
        <w:rPr>
          <w:rFonts w:ascii="CIDFont+F2" w:hAnsi="CIDFont+F2" w:cs="CIDFont+F2"/>
        </w:rPr>
        <w:t xml:space="preserve"> </w:t>
      </w:r>
      <w:r w:rsidR="002960FF">
        <w:rPr>
          <w:rFonts w:ascii="CIDFont+F2" w:hAnsi="CIDFont+F2" w:cs="CIDFont+F2"/>
          <w:color w:val="FF0000"/>
        </w:rPr>
        <w:t>n/a</w:t>
      </w:r>
    </w:p>
    <w:sectPr w:rsidR="00656860" w:rsidRPr="002960FF" w:rsidSect="00C11589">
      <w:pgSz w:w="12240" w:h="15840" w:code="1"/>
      <w:pgMar w:top="1440" w:right="1440" w:bottom="1440" w:left="1440" w:header="720" w:footer="720" w:gutter="0"/>
      <w:paperSrc w:first="264" w:other="26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IDFont+F2">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6860"/>
    <w:rsid w:val="0020707B"/>
    <w:rsid w:val="002960FF"/>
    <w:rsid w:val="00392CD5"/>
    <w:rsid w:val="004B4DB6"/>
    <w:rsid w:val="005068D3"/>
    <w:rsid w:val="005201DC"/>
    <w:rsid w:val="005E008F"/>
    <w:rsid w:val="00656860"/>
    <w:rsid w:val="006858F0"/>
    <w:rsid w:val="006B7ACF"/>
    <w:rsid w:val="00707484"/>
    <w:rsid w:val="00B026B2"/>
    <w:rsid w:val="00B4735F"/>
    <w:rsid w:val="00B64E88"/>
    <w:rsid w:val="00C11589"/>
    <w:rsid w:val="00E20662"/>
    <w:rsid w:val="00E6256D"/>
    <w:rsid w:val="00F0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D5DD"/>
  <w15:chartTrackingRefBased/>
  <w15:docId w15:val="{7C3D761F-4381-46F0-BF4A-168D81DF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Rebholz, Rebecca L - OCI</dc:creator>
  <cp:keywords/>
  <dc:description/>
  <cp:lastModifiedBy>Rebholz, Rebecca L - OCI</cp:lastModifiedBy>
  <cp:revision>10</cp:revision>
  <dcterms:created xsi:type="dcterms:W3CDTF">2021-05-26T20:42:00Z</dcterms:created>
  <dcterms:modified xsi:type="dcterms:W3CDTF">2021-05-27T11:49:00Z</dcterms:modified>
</cp:coreProperties>
</file>