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3EB605B2" w:rsidR="00941142" w:rsidRPr="00941142" w:rsidRDefault="00941142" w:rsidP="00941142">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 xml:space="preserve">New Model </w:t>
      </w:r>
      <w:r w:rsidRPr="00941142">
        <w:rPr>
          <w:rFonts w:ascii="Times New Roman" w:hAnsi="Times New Roman" w:cs="Times New Roman"/>
          <w:i/>
          <w:iCs/>
          <w:sz w:val="20"/>
          <w:szCs w:val="20"/>
        </w:rPr>
        <w:t>-</w:t>
      </w:r>
      <w:r>
        <w:rPr>
          <w:rFonts w:ascii="Times New Roman" w:hAnsi="Times New Roman" w:cs="Times New Roman"/>
          <w:b/>
          <w:bCs/>
          <w:i/>
          <w:iCs/>
          <w:sz w:val="20"/>
          <w:szCs w:val="20"/>
        </w:rPr>
        <w:t xml:space="preserve"> </w:t>
      </w:r>
      <w:r w:rsidRPr="00941142">
        <w:rPr>
          <w:rFonts w:ascii="Times New Roman" w:hAnsi="Times New Roman" w:cs="Times New Roman"/>
          <w:i/>
          <w:iCs/>
          <w:sz w:val="20"/>
          <w:szCs w:val="20"/>
        </w:rPr>
        <w:t xml:space="preserve">Draft: </w:t>
      </w:r>
      <w:r w:rsidR="00D9170E">
        <w:rPr>
          <w:rFonts w:ascii="Times New Roman" w:hAnsi="Times New Roman" w:cs="Times New Roman"/>
          <w:i/>
          <w:iCs/>
          <w:sz w:val="20"/>
          <w:szCs w:val="20"/>
        </w:rPr>
        <w:t>1</w:t>
      </w:r>
      <w:r w:rsidR="002905D8">
        <w:rPr>
          <w:rFonts w:ascii="Times New Roman" w:hAnsi="Times New Roman" w:cs="Times New Roman"/>
          <w:i/>
          <w:iCs/>
          <w:sz w:val="20"/>
          <w:szCs w:val="20"/>
        </w:rPr>
        <w:t>1</w:t>
      </w:r>
      <w:r w:rsidR="00837F1A">
        <w:rPr>
          <w:rFonts w:ascii="Times New Roman" w:hAnsi="Times New Roman" w:cs="Times New Roman"/>
          <w:i/>
          <w:iCs/>
          <w:sz w:val="20"/>
          <w:szCs w:val="20"/>
        </w:rPr>
        <w:t>/</w:t>
      </w:r>
      <w:r w:rsidR="002905D8">
        <w:rPr>
          <w:rFonts w:ascii="Times New Roman" w:hAnsi="Times New Roman" w:cs="Times New Roman"/>
          <w:i/>
          <w:iCs/>
          <w:sz w:val="20"/>
          <w:szCs w:val="20"/>
        </w:rPr>
        <w:t>9</w:t>
      </w:r>
      <w:r w:rsidR="00837F1A">
        <w:rPr>
          <w:rFonts w:ascii="Times New Roman" w:hAnsi="Times New Roman" w:cs="Times New Roman"/>
          <w:i/>
          <w:iCs/>
          <w:sz w:val="20"/>
          <w:szCs w:val="20"/>
        </w:rPr>
        <w:t>/21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1BD33736"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0004EEED" w14:textId="7033DB16"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5</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30426590" w:rsidR="00A1372F"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1722C06B" w14:textId="25F76267" w:rsidR="00EB59BD" w:rsidRPr="00F96383" w:rsidRDefault="00EB59BD"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00D90046" w:rsidRPr="00D90046">
        <w:rPr>
          <w:rFonts w:ascii="Times New Roman" w:eastAsia="Times New Roman" w:hAnsi="Times New Roman" w:cs="Times New Roman"/>
          <w:bCs/>
          <w:sz w:val="20"/>
          <w:szCs w:val="20"/>
        </w:rPr>
        <w:t>Insurance Producer Training</w:t>
      </w:r>
    </w:p>
    <w:p w14:paraId="3C10DC3A" w14:textId="3A7FCF77" w:rsidR="00EB59BD" w:rsidRPr="00F96383" w:rsidRDefault="00DF3505"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7E017134" w14:textId="554EFF1F" w:rsidR="004D3013" w:rsidRPr="00F96383" w:rsidRDefault="00DF3505" w:rsidP="004D3013">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004D3013" w:rsidRPr="00F96383">
          <w:rPr>
            <w:rFonts w:ascii="Times New Roman" w:eastAsia="Times New Roman" w:hAnsi="Times New Roman" w:cs="Times New Roman"/>
            <w:bCs/>
            <w:sz w:val="20"/>
            <w:szCs w:val="20"/>
            <w:bdr w:val="none" w:sz="0" w:space="0" w:color="auto" w:frame="1"/>
          </w:rPr>
          <w:t>Section</w:t>
        </w:r>
      </w:hyperlink>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9.</w:t>
      </w:r>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ab/>
      </w:r>
      <w:r w:rsidR="004D3013" w:rsidRPr="00F96383">
        <w:rPr>
          <w:rFonts w:ascii="Times New Roman" w:eastAsia="Times New Roman" w:hAnsi="Times New Roman" w:cs="Times New Roman"/>
          <w:bCs/>
          <w:sz w:val="20"/>
          <w:szCs w:val="20"/>
        </w:rPr>
        <w:t>Violations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2A5AAA20" w:rsidR="00417620" w:rsidRPr="00F96383" w:rsidRDefault="002E5FE5" w:rsidP="00D9170E">
      <w:pPr>
        <w:pStyle w:val="Heading2"/>
      </w:pPr>
      <w:r w:rsidRPr="00F96383">
        <w:t>Section 1</w:t>
      </w:r>
      <w:r w:rsidR="00AE435B">
        <w:t>.</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32D51A52" w:rsidR="00417620" w:rsidRPr="00F96383" w:rsidRDefault="002E5FE5" w:rsidP="00D9170E">
      <w:pPr>
        <w:pStyle w:val="Heading2"/>
      </w:pPr>
      <w:r w:rsidRPr="00F96383">
        <w:t>Section 2</w:t>
      </w:r>
      <w:r w:rsidR="00AE435B">
        <w:t>.</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0F600067" w:rsidR="00417620" w:rsidRPr="00F96383" w:rsidRDefault="00417620" w:rsidP="00D9170E">
      <w:pPr>
        <w:pStyle w:val="Heading2"/>
      </w:pPr>
      <w:r w:rsidRPr="00F96383">
        <w:t xml:space="preserve">Section </w:t>
      </w:r>
      <w:r w:rsidR="002E5FE5" w:rsidRPr="00F96383">
        <w:t>3</w:t>
      </w:r>
      <w:r w:rsidR="00AE435B">
        <w:t>.</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6EB6E0BD" w:rsidR="00B145C5"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78D8ABBE" w14:textId="77777777" w:rsidR="008C2B9A" w:rsidRDefault="008C2B9A" w:rsidP="008C2B9A">
      <w:pPr>
        <w:pStyle w:val="ListParagraph"/>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2379F0E9" w14:textId="09854B82" w:rsidR="008C2B9A" w:rsidRPr="008C2B9A" w:rsidRDefault="008C2B9A" w:rsidP="002905D8">
      <w:pPr>
        <w:pStyle w:val="ListParagraph"/>
        <w:numPr>
          <w:ilvl w:val="0"/>
          <w:numId w:val="2"/>
        </w:numPr>
        <w:spacing w:after="0" w:line="240" w:lineRule="auto"/>
        <w:ind w:left="1440" w:hanging="720"/>
        <w:rPr>
          <w:rFonts w:ascii="Times New Roman" w:eastAsia="Times New Roman" w:hAnsi="Times New Roman" w:cs="Times New Roman"/>
          <w:sz w:val="20"/>
          <w:szCs w:val="20"/>
        </w:rPr>
      </w:pPr>
      <w:r w:rsidRPr="008C2B9A">
        <w:rPr>
          <w:rFonts w:ascii="Times New Roman" w:eastAsia="Times New Roman" w:hAnsi="Times New Roman" w:cs="Times New Roman"/>
          <w:sz w:val="20"/>
          <w:szCs w:val="20"/>
        </w:rPr>
        <w:t>“Congenital anomaly or disorder” means a condition that is present from birth, whether inherited or caused</w:t>
      </w:r>
      <w:r>
        <w:rPr>
          <w:rFonts w:ascii="Times New Roman" w:eastAsia="Times New Roman" w:hAnsi="Times New Roman" w:cs="Times New Roman"/>
          <w:sz w:val="20"/>
          <w:szCs w:val="20"/>
        </w:rPr>
        <w:t xml:space="preserve"> </w:t>
      </w:r>
      <w:r w:rsidRPr="008C2B9A">
        <w:rPr>
          <w:rFonts w:ascii="Times New Roman" w:eastAsia="Times New Roman" w:hAnsi="Times New Roman" w:cs="Times New Roman"/>
          <w:sz w:val="20"/>
          <w:szCs w:val="20"/>
        </w:rPr>
        <w:t xml:space="preserve">by the environment, which may cause or contribute to illness or disease.  </w:t>
      </w:r>
    </w:p>
    <w:p w14:paraId="267E9DBC" w14:textId="77777777" w:rsidR="00417620" w:rsidRPr="00F96383" w:rsidRDefault="00417620" w:rsidP="00913F1D">
      <w:pPr>
        <w:shd w:val="clear" w:color="auto" w:fill="FFFFFF"/>
        <w:spacing w:after="0" w:line="240" w:lineRule="auto"/>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13F1D">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2937E55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A veterinarian provided medical advice;</w:t>
      </w:r>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“Waiting period” means the period of time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insurer and which provides types and limits of coverage substantially similar to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6019670A"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920F402" w:rsidR="00B145C5" w:rsidRDefault="00417620" w:rsidP="00D9170E">
      <w:pPr>
        <w:pStyle w:val="Heading2"/>
      </w:pPr>
      <w:r w:rsidRPr="00F96383">
        <w:t xml:space="preserve">Section </w:t>
      </w:r>
      <w:r w:rsidR="002E5FE5" w:rsidRPr="00F96383">
        <w:t>4</w:t>
      </w:r>
      <w:r w:rsidR="00AE435B">
        <w:t>.</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1938CF9D"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insurer transacting pet insurance shall disclose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preexisting condition</w:t>
      </w:r>
      <w:r w:rsidR="00C31F8B" w:rsidRPr="009C080D">
        <w:rPr>
          <w:rFonts w:ascii="Times New Roman" w:eastAsia="Times New Roman" w:hAnsi="Times New Roman" w:cs="Times New Roman"/>
          <w:sz w:val="20"/>
          <w:szCs w:val="20"/>
        </w:rPr>
        <w:t>;</w:t>
      </w:r>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hereditary disorder</w:t>
      </w:r>
      <w:r w:rsidR="00C31F8B" w:rsidRPr="009C080D">
        <w:rPr>
          <w:rFonts w:ascii="Times New Roman" w:eastAsia="Times New Roman" w:hAnsi="Times New Roman" w:cs="Times New Roman"/>
          <w:sz w:val="20"/>
          <w:szCs w:val="20"/>
        </w:rPr>
        <w:t>;</w:t>
      </w:r>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Any policy provision that limits coverage through a waiting or affiliation period, a deductible, coinsurance, or an annual or lifetime policy limit.</w:t>
      </w: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34AE45CB"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1C14C02F"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623DAB7" w14:textId="02BDC9F3" w:rsidR="00994F5D"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If any medical examination by a licensed veterinarian is required to effectuate coverage, the </w:t>
      </w:r>
      <w:r>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shall clearly and conspicuously disclose the required aspects of the examination prior to purchase and disclose that examination documentation may result in a preexisting condition exclusion.</w:t>
      </w:r>
    </w:p>
    <w:p w14:paraId="588AA31A" w14:textId="2831314C" w:rsidR="00994F5D" w:rsidRPr="00F96383"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57374A52" w14:textId="77777777" w:rsidR="00994F5D"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78D7169" w14:textId="56BB09CE"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E551AD">
        <w:rPr>
          <w:rFonts w:ascii="Times New Roman" w:eastAsia="Times New Roman" w:hAnsi="Times New Roman" w:cs="Times New Roman"/>
          <w:sz w:val="20"/>
          <w:szCs w:val="20"/>
        </w:rPr>
        <w:t>G</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1DD32313"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69E7E3C1" w:rsidR="00B145C5" w:rsidRPr="00F96383" w:rsidRDefault="00994F5D"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7B2F6E64" w:rsidR="00732333" w:rsidRPr="00F96383" w:rsidRDefault="00994F5D"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537569F2" w14:textId="6735410A" w:rsidR="00851740" w:rsidRPr="00F96383" w:rsidRDefault="00732333" w:rsidP="002905D8">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61F015C3" w14:textId="32199A41"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4D83580E" w:rsidR="00F11C3B" w:rsidRPr="00F96383" w:rsidRDefault="002E5FE5" w:rsidP="00D9170E">
      <w:pPr>
        <w:pStyle w:val="Heading2"/>
      </w:pPr>
      <w:r w:rsidRPr="00F96383">
        <w:t xml:space="preserve">Section </w:t>
      </w:r>
      <w:r w:rsidR="00994F5D">
        <w:t>5</w:t>
      </w:r>
      <w:r w:rsidR="00AE435B">
        <w:t>.</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A pet insurer may issue policies that exclude coverage on the basis of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00815AA8" w14:textId="7BC23E51" w:rsidR="00F11C3B" w:rsidRPr="00F96383" w:rsidRDefault="00851740" w:rsidP="007F4F13">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25743A" w14:textId="77777777" w:rsidR="0005760B" w:rsidRDefault="0005760B" w:rsidP="00D9170E">
      <w:pPr>
        <w:pStyle w:val="Heading2"/>
      </w:pPr>
      <w:r>
        <w:br w:type="page"/>
      </w:r>
    </w:p>
    <w:p w14:paraId="54AF2444" w14:textId="1A510698" w:rsidR="00A1372F" w:rsidRPr="00F96383" w:rsidRDefault="00A1372F" w:rsidP="00D9170E">
      <w:pPr>
        <w:pStyle w:val="Heading2"/>
      </w:pPr>
      <w:r w:rsidRPr="00F96383">
        <w:lastRenderedPageBreak/>
        <w:t xml:space="preserve">Section </w:t>
      </w:r>
      <w:r w:rsidR="0005760B">
        <w:t>6</w:t>
      </w:r>
      <w:r w:rsidR="00AE435B">
        <w:t>.</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5E7A2AA0" w14:textId="77777777" w:rsidR="00622C90" w:rsidRPr="008C2B9A" w:rsidRDefault="00622C90" w:rsidP="00622C90">
      <w:pPr>
        <w:pStyle w:val="ListParagraph"/>
        <w:numPr>
          <w:ilvl w:val="0"/>
          <w:numId w:val="10"/>
        </w:numPr>
        <w:spacing w:after="0" w:line="240" w:lineRule="auto"/>
        <w:jc w:val="both"/>
        <w:rPr>
          <w:rFonts w:ascii="Times New Roman" w:eastAsia="Calibri" w:hAnsi="Times New Roman" w:cs="Times New Roman"/>
          <w:sz w:val="20"/>
          <w:szCs w:val="20"/>
        </w:rPr>
      </w:pPr>
      <w:bookmarkStart w:id="0" w:name="_Hlk85802392"/>
      <w:r w:rsidRPr="008C2B9A">
        <w:rPr>
          <w:rFonts w:ascii="Times New Roman" w:eastAsia="Calibri" w:hAnsi="Times New Roman" w:cs="Times New Roman"/>
          <w:sz w:val="20"/>
          <w:szCs w:val="20"/>
        </w:rPr>
        <w:t>A pet insurer and/or producer shall not do the following:</w:t>
      </w:r>
    </w:p>
    <w:bookmarkEnd w:id="0"/>
    <w:p w14:paraId="0FC2348A" w14:textId="77777777" w:rsidR="00622C90" w:rsidRPr="008C2B9A" w:rsidRDefault="00622C90" w:rsidP="00622C90">
      <w:pPr>
        <w:pStyle w:val="ListParagraph"/>
        <w:spacing w:after="0" w:line="240" w:lineRule="auto"/>
        <w:ind w:left="1440"/>
        <w:jc w:val="both"/>
        <w:rPr>
          <w:rFonts w:ascii="Times New Roman" w:eastAsia="Calibri" w:hAnsi="Times New Roman" w:cs="Times New Roman"/>
          <w:sz w:val="20"/>
          <w:szCs w:val="20"/>
        </w:rPr>
      </w:pPr>
    </w:p>
    <w:p w14:paraId="286641A4" w14:textId="53E84F13"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a wellness program as pet insurance</w:t>
      </w:r>
      <w:r w:rsidR="00E551AD">
        <w:rPr>
          <w:rFonts w:ascii="Times New Roman" w:eastAsia="Calibri" w:hAnsi="Times New Roman" w:cs="Times New Roman"/>
          <w:sz w:val="20"/>
          <w:szCs w:val="20"/>
        </w:rPr>
        <w:t>;</w:t>
      </w:r>
    </w:p>
    <w:p w14:paraId="75F0EA32" w14:textId="77777777" w:rsidR="00622C90" w:rsidRPr="008C2B9A" w:rsidRDefault="00622C90" w:rsidP="00622C90">
      <w:pPr>
        <w:pStyle w:val="ListParagraph"/>
        <w:spacing w:after="0" w:line="240" w:lineRule="auto"/>
        <w:ind w:left="2160"/>
        <w:rPr>
          <w:rFonts w:ascii="Times New Roman" w:eastAsia="Calibri" w:hAnsi="Times New Roman" w:cs="Times New Roman"/>
          <w:sz w:val="20"/>
          <w:szCs w:val="20"/>
        </w:rPr>
      </w:pPr>
    </w:p>
    <w:p w14:paraId="36557427" w14:textId="122E709C"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a wellness program during the sale, solicitation, or negotiation of pet insurance</w:t>
      </w:r>
      <w:r w:rsidR="00E551AD">
        <w:rPr>
          <w:rFonts w:ascii="Times New Roman" w:eastAsia="Calibri" w:hAnsi="Times New Roman" w:cs="Times New Roman"/>
          <w:sz w:val="20"/>
          <w:szCs w:val="20"/>
        </w:rPr>
        <w:t>.</w:t>
      </w:r>
    </w:p>
    <w:p w14:paraId="12B7418E" w14:textId="77777777" w:rsidR="009D5C35" w:rsidRPr="008C2B9A" w:rsidRDefault="009D5C35" w:rsidP="008C2B9A">
      <w:pPr>
        <w:pStyle w:val="ListParagraph"/>
        <w:spacing w:after="0" w:line="240" w:lineRule="auto"/>
        <w:ind w:left="1890"/>
        <w:jc w:val="both"/>
        <w:rPr>
          <w:rFonts w:ascii="Times New Roman" w:eastAsia="Calibri" w:hAnsi="Times New Roman" w:cs="Times New Roman"/>
          <w:sz w:val="20"/>
          <w:szCs w:val="20"/>
        </w:rPr>
      </w:pPr>
    </w:p>
    <w:p w14:paraId="6024F06B" w14:textId="63FBEEB0" w:rsidR="00A1372F" w:rsidRPr="008C2B9A" w:rsidRDefault="005310AA" w:rsidP="00703C51">
      <w:pPr>
        <w:pStyle w:val="ListParagraph"/>
        <w:numPr>
          <w:ilvl w:val="0"/>
          <w:numId w:val="10"/>
        </w:numPr>
        <w:spacing w:after="0" w:line="240" w:lineRule="auto"/>
        <w:jc w:val="both"/>
        <w:rPr>
          <w:rFonts w:ascii="Times New Roman" w:eastAsia="Calibri" w:hAnsi="Times New Roman" w:cs="Times New Roman"/>
          <w:sz w:val="20"/>
          <w:szCs w:val="20"/>
        </w:rPr>
      </w:pPr>
      <w:bookmarkStart w:id="1" w:name="_Hlk85802446"/>
      <w:r w:rsidRPr="008C2B9A">
        <w:rPr>
          <w:rFonts w:ascii="Times New Roman" w:eastAsia="Calibri" w:hAnsi="Times New Roman" w:cs="Times New Roman"/>
          <w:sz w:val="20"/>
          <w:szCs w:val="20"/>
        </w:rPr>
        <w:t>If a wellness program is sold by a pet insurer and/or producer:</w:t>
      </w:r>
    </w:p>
    <w:p w14:paraId="3DA2B11F" w14:textId="77777777" w:rsidR="00E96C8C" w:rsidRPr="008C2B9A" w:rsidRDefault="00E96C8C" w:rsidP="00703C51">
      <w:pPr>
        <w:pStyle w:val="ListParagraph"/>
        <w:spacing w:after="0" w:line="240" w:lineRule="auto"/>
        <w:ind w:left="1440"/>
        <w:jc w:val="both"/>
        <w:rPr>
          <w:rFonts w:ascii="Times New Roman" w:eastAsia="Calibri" w:hAnsi="Times New Roman" w:cs="Times New Roman"/>
          <w:sz w:val="20"/>
          <w:szCs w:val="20"/>
        </w:rPr>
      </w:pPr>
    </w:p>
    <w:p w14:paraId="042817A9" w14:textId="5300B399"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purchase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a requirement to the purchase of pet insurance</w:t>
      </w:r>
      <w:r w:rsidR="00E551AD">
        <w:rPr>
          <w:rFonts w:ascii="Times New Roman" w:eastAsia="Calibri" w:hAnsi="Times New Roman" w:cs="Times New Roman"/>
          <w:sz w:val="20"/>
          <w:szCs w:val="20"/>
        </w:rPr>
        <w:t>.</w:t>
      </w:r>
    </w:p>
    <w:p w14:paraId="7993BB01" w14:textId="77777777" w:rsidR="00E96C8C" w:rsidRPr="008C2B9A" w:rsidRDefault="00E96C8C" w:rsidP="00E96C8C">
      <w:pPr>
        <w:pStyle w:val="ListParagraph"/>
        <w:spacing w:after="0" w:line="240" w:lineRule="auto"/>
        <w:ind w:left="2160"/>
        <w:rPr>
          <w:rFonts w:ascii="Times New Roman" w:eastAsia="Calibri" w:hAnsi="Times New Roman" w:cs="Times New Roman"/>
          <w:sz w:val="20"/>
          <w:szCs w:val="20"/>
        </w:rPr>
      </w:pPr>
    </w:p>
    <w:p w14:paraId="11205942" w14:textId="5CF6D05E"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costs </w:t>
      </w:r>
      <w:r w:rsidR="005310AA" w:rsidRPr="008C2B9A">
        <w:rPr>
          <w:rFonts w:ascii="Times New Roman" w:eastAsia="Calibri" w:hAnsi="Times New Roman" w:cs="Times New Roman"/>
          <w:sz w:val="20"/>
          <w:szCs w:val="20"/>
        </w:rPr>
        <w:t xml:space="preserve">of the </w:t>
      </w:r>
      <w:r w:rsidRPr="008C2B9A">
        <w:rPr>
          <w:rFonts w:ascii="Times New Roman" w:eastAsia="Calibri" w:hAnsi="Times New Roman" w:cs="Times New Roman"/>
          <w:sz w:val="20"/>
          <w:szCs w:val="20"/>
        </w:rPr>
        <w:t xml:space="preserve">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separate and identifiable</w:t>
      </w:r>
      <w:r w:rsidR="005310AA" w:rsidRPr="008C2B9A">
        <w:rPr>
          <w:rFonts w:ascii="Times New Roman" w:eastAsia="Calibri" w:hAnsi="Times New Roman" w:cs="Times New Roman"/>
          <w:sz w:val="20"/>
          <w:szCs w:val="20"/>
        </w:rPr>
        <w:t xml:space="preserve"> from any pet insurance policy sold by a pet insurer and/or producer</w:t>
      </w:r>
      <w:r w:rsidR="00E551AD">
        <w:rPr>
          <w:rFonts w:ascii="Times New Roman" w:eastAsia="Calibri" w:hAnsi="Times New Roman" w:cs="Times New Roman"/>
          <w:sz w:val="20"/>
          <w:szCs w:val="20"/>
        </w:rPr>
        <w:t>.</w:t>
      </w:r>
    </w:p>
    <w:bookmarkEnd w:id="1"/>
    <w:p w14:paraId="6737AECA" w14:textId="77777777" w:rsidR="00E96C8C" w:rsidRPr="008C2B9A" w:rsidRDefault="00E96C8C" w:rsidP="00E96C8C">
      <w:pPr>
        <w:pStyle w:val="ListParagraph"/>
        <w:spacing w:line="240" w:lineRule="auto"/>
        <w:rPr>
          <w:rFonts w:ascii="Times New Roman" w:eastAsia="Calibri" w:hAnsi="Times New Roman" w:cs="Times New Roman"/>
          <w:sz w:val="20"/>
          <w:szCs w:val="20"/>
        </w:rPr>
      </w:pPr>
    </w:p>
    <w:p w14:paraId="210CE88F" w14:textId="413B2A8F"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terms and conditions for the 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 xml:space="preserve">separate from </w:t>
      </w:r>
      <w:r w:rsidR="005310AA" w:rsidRPr="008C2B9A">
        <w:rPr>
          <w:rFonts w:ascii="Times New Roman" w:eastAsia="Calibri" w:hAnsi="Times New Roman" w:cs="Times New Roman"/>
          <w:sz w:val="20"/>
          <w:szCs w:val="20"/>
        </w:rPr>
        <w:t>any pet insurance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policy</w:t>
      </w:r>
      <w:r w:rsidR="005310AA" w:rsidRPr="008C2B9A">
        <w:rPr>
          <w:rFonts w:ascii="Times New Roman" w:eastAsia="Calibri" w:hAnsi="Times New Roman" w:cs="Times New Roman"/>
          <w:sz w:val="20"/>
          <w:szCs w:val="20"/>
        </w:rPr>
        <w:t xml:space="preserve"> sold by a pet insurer and/or producer</w:t>
      </w:r>
      <w:r w:rsidR="00E551AD">
        <w:rPr>
          <w:rFonts w:ascii="Times New Roman" w:eastAsia="Calibri" w:hAnsi="Times New Roman" w:cs="Times New Roman"/>
          <w:sz w:val="20"/>
          <w:szCs w:val="20"/>
        </w:rPr>
        <w:t>.</w:t>
      </w:r>
    </w:p>
    <w:p w14:paraId="1173C205" w14:textId="77777777" w:rsidR="00E96C8C" w:rsidRPr="008C2B9A" w:rsidRDefault="00E96C8C" w:rsidP="00E96C8C">
      <w:pPr>
        <w:pStyle w:val="ListParagraph"/>
        <w:spacing w:line="240" w:lineRule="auto"/>
        <w:rPr>
          <w:rFonts w:ascii="Times New Roman" w:eastAsia="Calibri" w:hAnsi="Times New Roman" w:cs="Times New Roman"/>
          <w:sz w:val="20"/>
          <w:szCs w:val="20"/>
        </w:rPr>
      </w:pPr>
    </w:p>
    <w:p w14:paraId="0742768B" w14:textId="0F665AE7" w:rsidR="00A1372F" w:rsidRPr="008C2B9A" w:rsidRDefault="00A1372F" w:rsidP="00E96C8C">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The</w:t>
      </w:r>
      <w:r w:rsidR="005310AA" w:rsidRPr="008C2B9A">
        <w:rPr>
          <w:rFonts w:ascii="Times New Roman" w:eastAsia="Calibri" w:hAnsi="Times New Roman" w:cs="Times New Roman"/>
          <w:sz w:val="20"/>
          <w:szCs w:val="20"/>
        </w:rPr>
        <w:t xml:space="preserve"> products or coverages available through the</w:t>
      </w:r>
      <w:r w:rsidRPr="008C2B9A">
        <w:rPr>
          <w:rFonts w:ascii="Times New Roman" w:eastAsia="Calibri" w:hAnsi="Times New Roman" w:cs="Times New Roman"/>
          <w:sz w:val="20"/>
          <w:szCs w:val="20"/>
        </w:rPr>
        <w:t xml:space="preserv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 duplicate products</w:t>
      </w:r>
      <w:r w:rsidR="005310AA" w:rsidRPr="008C2B9A">
        <w:rPr>
          <w:rFonts w:ascii="Times New Roman" w:eastAsia="Calibri" w:hAnsi="Times New Roman" w:cs="Times New Roman"/>
          <w:sz w:val="20"/>
          <w:szCs w:val="20"/>
        </w:rPr>
        <w:t xml:space="preserve"> or coverages</w:t>
      </w:r>
      <w:r w:rsidRPr="008C2B9A">
        <w:rPr>
          <w:rFonts w:ascii="Times New Roman" w:eastAsia="Calibri" w:hAnsi="Times New Roman" w:cs="Times New Roman"/>
          <w:sz w:val="20"/>
          <w:szCs w:val="20"/>
        </w:rPr>
        <w:t xml:space="preserve"> available through the pet insurance policy; and</w:t>
      </w:r>
    </w:p>
    <w:p w14:paraId="1C7F7E07" w14:textId="77777777" w:rsidR="00E96C8C" w:rsidRPr="008C2B9A" w:rsidRDefault="00E96C8C" w:rsidP="00E96C8C">
      <w:pPr>
        <w:pStyle w:val="ListParagraph"/>
        <w:spacing w:after="0" w:line="240" w:lineRule="auto"/>
        <w:rPr>
          <w:rFonts w:ascii="Times New Roman" w:eastAsia="Calibri" w:hAnsi="Times New Roman" w:cs="Times New Roman"/>
          <w:sz w:val="20"/>
          <w:szCs w:val="20"/>
        </w:rPr>
      </w:pPr>
    </w:p>
    <w:p w14:paraId="1BCA55A4" w14:textId="4066351D" w:rsidR="00A1372F" w:rsidRPr="008C2B9A" w:rsidRDefault="00A1372F" w:rsidP="00D9170E">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advertising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misleading and </w:t>
      </w:r>
      <w:r w:rsidR="005310AA" w:rsidRPr="008C2B9A">
        <w:rPr>
          <w:rFonts w:ascii="Times New Roman" w:eastAsia="Calibri" w:hAnsi="Times New Roman" w:cs="Times New Roman"/>
          <w:sz w:val="20"/>
          <w:szCs w:val="20"/>
        </w:rPr>
        <w:t xml:space="preserve">shall be </w:t>
      </w:r>
      <w:r w:rsidRPr="008C2B9A">
        <w:rPr>
          <w:rFonts w:ascii="Times New Roman" w:eastAsia="Calibri" w:hAnsi="Times New Roman" w:cs="Times New Roman"/>
          <w:sz w:val="20"/>
          <w:szCs w:val="20"/>
        </w:rPr>
        <w:t xml:space="preserve">in accordance with </w:t>
      </w:r>
      <w:r w:rsidR="00A40E3A" w:rsidRPr="008C2B9A">
        <w:rPr>
          <w:rFonts w:ascii="Times New Roman" w:eastAsia="Calibri" w:hAnsi="Times New Roman" w:cs="Times New Roman"/>
          <w:sz w:val="20"/>
          <w:szCs w:val="20"/>
        </w:rPr>
        <w:t>S</w:t>
      </w:r>
      <w:r w:rsidR="00815A36" w:rsidRPr="008C2B9A">
        <w:rPr>
          <w:rFonts w:ascii="Times New Roman" w:eastAsia="Calibri" w:hAnsi="Times New Roman" w:cs="Times New Roman"/>
          <w:sz w:val="20"/>
          <w:szCs w:val="20"/>
        </w:rPr>
        <w:t xml:space="preserve">ubsection </w:t>
      </w:r>
      <w:r w:rsidR="00CE2F9E">
        <w:rPr>
          <w:rFonts w:ascii="Times New Roman" w:eastAsia="Calibri" w:hAnsi="Times New Roman" w:cs="Times New Roman"/>
          <w:sz w:val="20"/>
          <w:szCs w:val="20"/>
        </w:rPr>
        <w:t>6</w:t>
      </w:r>
      <w:r w:rsidRPr="008C2B9A">
        <w:rPr>
          <w:rFonts w:ascii="Times New Roman" w:eastAsia="Calibri" w:hAnsi="Times New Roman" w:cs="Times New Roman"/>
          <w:sz w:val="20"/>
          <w:szCs w:val="20"/>
        </w:rPr>
        <w:t xml:space="preserve">B </w:t>
      </w:r>
      <w:r w:rsidR="00815A36" w:rsidRPr="008C2B9A">
        <w:rPr>
          <w:rFonts w:ascii="Times New Roman" w:eastAsia="Calibri" w:hAnsi="Times New Roman" w:cs="Times New Roman"/>
          <w:sz w:val="20"/>
          <w:szCs w:val="20"/>
        </w:rPr>
        <w:t>of this Model</w:t>
      </w:r>
      <w:r w:rsidRPr="008C2B9A">
        <w:rPr>
          <w:rFonts w:ascii="Times New Roman" w:eastAsia="Calibri" w:hAnsi="Times New Roman" w:cs="Times New Roman"/>
          <w:sz w:val="20"/>
          <w:szCs w:val="20"/>
        </w:rPr>
        <w:t>.</w:t>
      </w:r>
    </w:p>
    <w:p w14:paraId="1A86AA03" w14:textId="77777777" w:rsidR="005310AA" w:rsidRPr="008C2B9A" w:rsidRDefault="005310AA" w:rsidP="00D9170E">
      <w:pPr>
        <w:pStyle w:val="ListParagraph"/>
        <w:rPr>
          <w:rFonts w:ascii="Times New Roman" w:eastAsia="Calibri" w:hAnsi="Times New Roman" w:cs="Times New Roman"/>
          <w:sz w:val="20"/>
          <w:szCs w:val="20"/>
        </w:rPr>
      </w:pPr>
    </w:p>
    <w:p w14:paraId="6032B2D1" w14:textId="187C7264" w:rsidR="005310AA" w:rsidRPr="008C2B9A" w:rsidRDefault="005310AA" w:rsidP="005310AA">
      <w:pPr>
        <w:pStyle w:val="ListParagraph"/>
        <w:numPr>
          <w:ilvl w:val="0"/>
          <w:numId w:val="11"/>
        </w:numPr>
        <w:spacing w:after="0" w:line="240" w:lineRule="auto"/>
        <w:rPr>
          <w:rFonts w:ascii="Times New Roman" w:eastAsia="Calibri" w:hAnsi="Times New Roman" w:cs="Times New Roman"/>
          <w:sz w:val="20"/>
          <w:szCs w:val="20"/>
        </w:rPr>
      </w:pPr>
      <w:r w:rsidRPr="008C2B9A">
        <w:rPr>
          <w:rFonts w:ascii="Times New Roman" w:eastAsia="Calibri" w:hAnsi="Times New Roman" w:cs="Times New Roman"/>
          <w:sz w:val="20"/>
          <w:szCs w:val="20"/>
        </w:rPr>
        <w:t>A pet insurer and/or producer shall clearly disclose the following to consumers, printed in 12-point boldface type:</w:t>
      </w:r>
    </w:p>
    <w:p w14:paraId="3A63EADE" w14:textId="77777777" w:rsidR="005310AA" w:rsidRPr="008C2B9A" w:rsidRDefault="005310AA" w:rsidP="00D9170E">
      <w:pPr>
        <w:pStyle w:val="ListParagraph"/>
        <w:ind w:left="2160"/>
        <w:rPr>
          <w:rFonts w:ascii="Times New Roman" w:eastAsia="Calibri" w:hAnsi="Times New Roman" w:cs="Times New Roman"/>
          <w:sz w:val="20"/>
          <w:szCs w:val="20"/>
        </w:rPr>
      </w:pPr>
    </w:p>
    <w:p w14:paraId="793D293C" w14:textId="321CD85E" w:rsidR="005310AA"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That wellness programs are not insurance.</w:t>
      </w:r>
    </w:p>
    <w:p w14:paraId="17A56DD6" w14:textId="77777777" w:rsidR="0088337B" w:rsidRPr="008C2B9A" w:rsidRDefault="0088337B" w:rsidP="002905D8">
      <w:pPr>
        <w:pStyle w:val="ListParagraph"/>
        <w:spacing w:after="0" w:line="240" w:lineRule="auto"/>
        <w:ind w:left="2880"/>
        <w:rPr>
          <w:rFonts w:ascii="Times New Roman" w:eastAsia="Calibri" w:hAnsi="Times New Roman" w:cs="Times New Roman"/>
          <w:sz w:val="20"/>
          <w:szCs w:val="20"/>
        </w:rPr>
      </w:pPr>
    </w:p>
    <w:p w14:paraId="645F0745" w14:textId="056D7046" w:rsidR="00D9170E"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The address and customer service telephone number of the pet insurer or producer or broker of record.</w:t>
      </w:r>
    </w:p>
    <w:p w14:paraId="5278E793" w14:textId="77777777" w:rsidR="0088337B" w:rsidRPr="002905D8" w:rsidRDefault="0088337B" w:rsidP="002905D8">
      <w:pPr>
        <w:spacing w:after="0" w:line="240" w:lineRule="auto"/>
        <w:rPr>
          <w:rFonts w:ascii="Times New Roman" w:eastAsia="Calibri" w:hAnsi="Times New Roman" w:cs="Times New Roman"/>
          <w:sz w:val="20"/>
          <w:szCs w:val="20"/>
        </w:rPr>
      </w:pPr>
    </w:p>
    <w:p w14:paraId="44971B6B" w14:textId="67B18C39" w:rsidR="00D9170E" w:rsidRDefault="00D9170E" w:rsidP="0088337B">
      <w:pPr>
        <w:pStyle w:val="ListParagraph"/>
        <w:numPr>
          <w:ilvl w:val="0"/>
          <w:numId w:val="17"/>
        </w:numPr>
        <w:spacing w:after="0" w:line="240" w:lineRule="auto"/>
        <w:ind w:left="2880" w:hanging="720"/>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[insert state insurance department]’s mailing address, toll-free telephone number, and website address. </w:t>
      </w:r>
    </w:p>
    <w:p w14:paraId="215D5DC5" w14:textId="77777777" w:rsidR="0088337B" w:rsidRPr="002905D8" w:rsidRDefault="0088337B" w:rsidP="002905D8">
      <w:pPr>
        <w:spacing w:after="0" w:line="240" w:lineRule="auto"/>
        <w:ind w:left="720"/>
        <w:rPr>
          <w:rFonts w:ascii="Times New Roman" w:eastAsia="Calibri" w:hAnsi="Times New Roman" w:cs="Times New Roman"/>
          <w:sz w:val="20"/>
          <w:szCs w:val="20"/>
        </w:rPr>
      </w:pPr>
    </w:p>
    <w:p w14:paraId="73AF93BB" w14:textId="13A2FB3F" w:rsidR="00A1372F" w:rsidRPr="00F96383" w:rsidRDefault="002A51DA" w:rsidP="002905D8">
      <w:pPr>
        <w:shd w:val="clear" w:color="auto" w:fill="FFFFFF"/>
        <w:spacing w:after="0" w:line="240" w:lineRule="auto"/>
        <w:ind w:left="720"/>
        <w:jc w:val="both"/>
        <w:textAlignment w:val="baseline"/>
        <w:outlineLvl w:val="5"/>
        <w:rPr>
          <w:rFonts w:ascii="Times New Roman" w:hAnsi="Times New Roman" w:cs="Times New Roman"/>
          <w:sz w:val="20"/>
          <w:szCs w:val="20"/>
        </w:rPr>
      </w:pPr>
      <w:r w:rsidRPr="008C2B9A">
        <w:rPr>
          <w:rFonts w:ascii="Times New Roman" w:eastAsia="Calibri" w:hAnsi="Times New Roman" w:cs="Times New Roman"/>
          <w:sz w:val="20"/>
          <w:szCs w:val="20"/>
        </w:rPr>
        <w:t>C.</w:t>
      </w:r>
      <w:r w:rsidRPr="008C2B9A">
        <w:rPr>
          <w:rFonts w:ascii="Times New Roman" w:eastAsia="Calibri" w:hAnsi="Times New Roman" w:cs="Times New Roman"/>
          <w:sz w:val="20"/>
          <w:szCs w:val="20"/>
        </w:rPr>
        <w:tab/>
        <w:t>Coverages included in the pet insurance policy contract described as “wellness” benefits are insurance.</w:t>
      </w:r>
    </w:p>
    <w:p w14:paraId="686D121F" w14:textId="37CCB798" w:rsidR="00B145C5" w:rsidRPr="00F96383" w:rsidRDefault="00B145C5" w:rsidP="002905D8">
      <w:pPr>
        <w:spacing w:after="0" w:line="240" w:lineRule="auto"/>
        <w:jc w:val="both"/>
        <w:rPr>
          <w:rFonts w:ascii="Times New Roman" w:hAnsi="Times New Roman" w:cs="Times New Roman"/>
          <w:sz w:val="20"/>
          <w:szCs w:val="20"/>
        </w:rPr>
      </w:pPr>
    </w:p>
    <w:p w14:paraId="0C2A7B3D" w14:textId="6E8D4FD7" w:rsidR="009449E8" w:rsidRPr="009449E8" w:rsidRDefault="009449E8" w:rsidP="002905D8">
      <w:pPr>
        <w:spacing w:after="0" w:line="240" w:lineRule="auto"/>
        <w:jc w:val="both"/>
        <w:rPr>
          <w:rFonts w:ascii="Times New Roman" w:hAnsi="Times New Roman" w:cs="Times New Roman"/>
          <w:b/>
          <w:bCs/>
          <w:sz w:val="20"/>
          <w:szCs w:val="20"/>
        </w:rPr>
      </w:pPr>
      <w:bookmarkStart w:id="2" w:name="_Hlk84430695"/>
      <w:r w:rsidRPr="009449E8">
        <w:rPr>
          <w:rFonts w:ascii="Times New Roman" w:hAnsi="Times New Roman" w:cs="Times New Roman"/>
          <w:b/>
          <w:bCs/>
          <w:sz w:val="20"/>
          <w:szCs w:val="20"/>
        </w:rPr>
        <w:t xml:space="preserve">Section </w:t>
      </w:r>
      <w:r w:rsidR="0088337B">
        <w:rPr>
          <w:rFonts w:ascii="Times New Roman" w:hAnsi="Times New Roman" w:cs="Times New Roman"/>
          <w:b/>
          <w:bCs/>
          <w:sz w:val="20"/>
          <w:szCs w:val="20"/>
        </w:rPr>
        <w:t>7</w:t>
      </w:r>
      <w:r w:rsidR="00AE435B">
        <w:rPr>
          <w:rFonts w:ascii="Times New Roman" w:hAnsi="Times New Roman" w:cs="Times New Roman"/>
          <w:b/>
          <w:bCs/>
          <w:sz w:val="20"/>
          <w:szCs w:val="20"/>
        </w:rPr>
        <w:t>.</w:t>
      </w:r>
      <w:r w:rsidRPr="009449E8">
        <w:rPr>
          <w:rFonts w:ascii="Times New Roman" w:hAnsi="Times New Roman" w:cs="Times New Roman"/>
          <w:b/>
          <w:bCs/>
          <w:sz w:val="20"/>
          <w:szCs w:val="20"/>
        </w:rPr>
        <w:tab/>
      </w:r>
      <w:bookmarkStart w:id="3" w:name="_Hlk85802682"/>
      <w:r w:rsidRPr="009449E8">
        <w:rPr>
          <w:rFonts w:ascii="Times New Roman" w:hAnsi="Times New Roman" w:cs="Times New Roman"/>
          <w:b/>
          <w:bCs/>
          <w:sz w:val="20"/>
          <w:szCs w:val="20"/>
        </w:rPr>
        <w:t xml:space="preserve">Insurance Producer Training </w:t>
      </w:r>
      <w:bookmarkEnd w:id="3"/>
    </w:p>
    <w:p w14:paraId="61CD0757" w14:textId="77777777" w:rsidR="00761E65" w:rsidRDefault="00761E65" w:rsidP="002905D8">
      <w:pPr>
        <w:spacing w:after="0" w:line="240" w:lineRule="auto"/>
        <w:ind w:left="1440"/>
        <w:jc w:val="both"/>
        <w:rPr>
          <w:rFonts w:ascii="Times New Roman" w:hAnsi="Times New Roman" w:cs="Times New Roman"/>
          <w:sz w:val="20"/>
          <w:szCs w:val="20"/>
        </w:rPr>
      </w:pPr>
      <w:bookmarkStart w:id="4" w:name="_Hlk84496471"/>
    </w:p>
    <w:p w14:paraId="44DECB64" w14:textId="3E3CCE89" w:rsidR="00761E65" w:rsidRPr="00761E65" w:rsidRDefault="009449E8" w:rsidP="002905D8">
      <w:pPr>
        <w:numPr>
          <w:ilvl w:val="0"/>
          <w:numId w:val="16"/>
        </w:numPr>
        <w:spacing w:after="0"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An insurance producer shall not sell, solicit, or negotiate a pet insurance product until after the producer </w:t>
      </w:r>
      <w:r w:rsidR="002E1073">
        <w:rPr>
          <w:rFonts w:ascii="Times New Roman" w:hAnsi="Times New Roman" w:cs="Times New Roman"/>
          <w:sz w:val="20"/>
          <w:szCs w:val="20"/>
        </w:rPr>
        <w:t>is appropriately licensed and</w:t>
      </w:r>
      <w:r w:rsidR="00A07F92">
        <w:rPr>
          <w:rFonts w:ascii="Times New Roman" w:hAnsi="Times New Roman" w:cs="Times New Roman"/>
          <w:sz w:val="20"/>
          <w:szCs w:val="20"/>
        </w:rPr>
        <w:t xml:space="preserve"> has</w:t>
      </w:r>
      <w:r w:rsidR="002E1073">
        <w:rPr>
          <w:rFonts w:ascii="Times New Roman" w:hAnsi="Times New Roman" w:cs="Times New Roman"/>
          <w:sz w:val="20"/>
          <w:szCs w:val="20"/>
        </w:rPr>
        <w:t xml:space="preserve"> </w:t>
      </w:r>
      <w:r w:rsidRPr="009449E8">
        <w:rPr>
          <w:rFonts w:ascii="Times New Roman" w:hAnsi="Times New Roman" w:cs="Times New Roman"/>
          <w:sz w:val="20"/>
          <w:szCs w:val="20"/>
        </w:rPr>
        <w:t>complete</w:t>
      </w:r>
      <w:r w:rsidR="002E1073">
        <w:rPr>
          <w:rFonts w:ascii="Times New Roman" w:hAnsi="Times New Roman" w:cs="Times New Roman"/>
          <w:sz w:val="20"/>
          <w:szCs w:val="20"/>
        </w:rPr>
        <w:t>d</w:t>
      </w:r>
      <w:r w:rsidRPr="009449E8">
        <w:rPr>
          <w:rFonts w:ascii="Times New Roman" w:hAnsi="Times New Roman" w:cs="Times New Roman"/>
          <w:sz w:val="20"/>
          <w:szCs w:val="20"/>
        </w:rPr>
        <w:t xml:space="preserve"> the required training identified in subsection B of this Section.  </w:t>
      </w:r>
      <w:bookmarkEnd w:id="4"/>
    </w:p>
    <w:p w14:paraId="4E9E75EE" w14:textId="77777777" w:rsidR="00F91DA5" w:rsidRDefault="00F91DA5" w:rsidP="002905D8">
      <w:pPr>
        <w:spacing w:after="0" w:line="240" w:lineRule="auto"/>
        <w:ind w:left="1440"/>
        <w:jc w:val="both"/>
        <w:rPr>
          <w:rFonts w:ascii="Times New Roman" w:hAnsi="Times New Roman" w:cs="Times New Roman"/>
          <w:sz w:val="20"/>
          <w:szCs w:val="20"/>
        </w:rPr>
      </w:pPr>
    </w:p>
    <w:p w14:paraId="605B7F0C" w14:textId="756569F3" w:rsidR="009449E8" w:rsidRPr="009449E8" w:rsidRDefault="009449E8" w:rsidP="009449E8">
      <w:pPr>
        <w:numPr>
          <w:ilvl w:val="0"/>
          <w:numId w:val="16"/>
        </w:numPr>
        <w:spacing w:line="240" w:lineRule="auto"/>
        <w:jc w:val="both"/>
        <w:rPr>
          <w:rFonts w:ascii="Times New Roman" w:hAnsi="Times New Roman" w:cs="Times New Roman"/>
          <w:sz w:val="20"/>
          <w:szCs w:val="20"/>
        </w:rPr>
      </w:pPr>
      <w:r w:rsidRPr="009449E8">
        <w:rPr>
          <w:rFonts w:ascii="Times New Roman" w:hAnsi="Times New Roman" w:cs="Times New Roman"/>
          <w:sz w:val="20"/>
          <w:szCs w:val="20"/>
        </w:rPr>
        <w:t>Producer Training Requirements</w:t>
      </w:r>
    </w:p>
    <w:p w14:paraId="3125DC28" w14:textId="6F322469" w:rsidR="009449E8" w:rsidRDefault="009449E8" w:rsidP="002905D8">
      <w:pPr>
        <w:pStyle w:val="ListParagraph"/>
        <w:numPr>
          <w:ilvl w:val="1"/>
          <w:numId w:val="16"/>
        </w:numPr>
        <w:spacing w:line="240" w:lineRule="auto"/>
        <w:ind w:left="2160" w:hanging="720"/>
        <w:jc w:val="both"/>
        <w:rPr>
          <w:rFonts w:ascii="Times New Roman" w:hAnsi="Times New Roman" w:cs="Times New Roman"/>
          <w:sz w:val="20"/>
          <w:szCs w:val="20"/>
        </w:rPr>
      </w:pPr>
      <w:r w:rsidRPr="002905D8">
        <w:rPr>
          <w:rFonts w:ascii="Times New Roman" w:hAnsi="Times New Roman" w:cs="Times New Roman"/>
          <w:sz w:val="20"/>
          <w:szCs w:val="20"/>
        </w:rPr>
        <w:t>Training for Insurance Producers with a Major Lines License</w:t>
      </w:r>
    </w:p>
    <w:p w14:paraId="71ABB811" w14:textId="77777777" w:rsidR="008D4D17" w:rsidRPr="002905D8" w:rsidRDefault="008D4D17" w:rsidP="002905D8">
      <w:pPr>
        <w:pStyle w:val="ListParagraph"/>
        <w:spacing w:line="240" w:lineRule="auto"/>
        <w:ind w:left="1800"/>
        <w:jc w:val="both"/>
        <w:rPr>
          <w:rFonts w:ascii="Times New Roman" w:hAnsi="Times New Roman" w:cs="Times New Roman"/>
          <w:sz w:val="20"/>
          <w:szCs w:val="20"/>
        </w:rPr>
      </w:pPr>
    </w:p>
    <w:p w14:paraId="147BBA7C" w14:textId="62873933" w:rsidR="009449E8" w:rsidRPr="002905D8" w:rsidRDefault="009D5C35" w:rsidP="002905D8">
      <w:pPr>
        <w:pStyle w:val="ListParagraph"/>
        <w:numPr>
          <w:ilvl w:val="3"/>
          <w:numId w:val="16"/>
        </w:numPr>
        <w:spacing w:line="240" w:lineRule="auto"/>
        <w:ind w:left="2880" w:hanging="720"/>
        <w:jc w:val="both"/>
        <w:rPr>
          <w:rFonts w:ascii="Times New Roman" w:hAnsi="Times New Roman" w:cs="Times New Roman"/>
          <w:sz w:val="20"/>
          <w:szCs w:val="20"/>
        </w:rPr>
      </w:pPr>
      <w:r w:rsidRPr="002905D8">
        <w:rPr>
          <w:rFonts w:ascii="Times New Roman" w:hAnsi="Times New Roman" w:cs="Times New Roman"/>
          <w:sz w:val="20"/>
          <w:szCs w:val="20"/>
        </w:rPr>
        <w:t>Both the producer and the</w:t>
      </w:r>
      <w:r w:rsidR="009449E8" w:rsidRPr="002905D8">
        <w:rPr>
          <w:rFonts w:ascii="Times New Roman" w:hAnsi="Times New Roman" w:cs="Times New Roman"/>
          <w:sz w:val="20"/>
          <w:szCs w:val="20"/>
        </w:rPr>
        <w:t xml:space="preserve"> insurer shall ensure that its producers have been appropriately trained on the features of its products.</w:t>
      </w:r>
    </w:p>
    <w:p w14:paraId="338DED15" w14:textId="0659CD8F" w:rsidR="00074600" w:rsidRPr="002F789A" w:rsidRDefault="009449E8" w:rsidP="009449E8">
      <w:pPr>
        <w:spacing w:line="240" w:lineRule="auto"/>
        <w:jc w:val="both"/>
        <w:rPr>
          <w:rFonts w:ascii="Times New Roman" w:hAnsi="Times New Roman" w:cs="Times New Roman"/>
          <w:sz w:val="20"/>
          <w:szCs w:val="20"/>
        </w:rPr>
      </w:pPr>
      <w:r w:rsidRPr="002905D8">
        <w:rPr>
          <w:rFonts w:ascii="Times New Roman" w:hAnsi="Times New Roman" w:cs="Times New Roman"/>
          <w:b/>
          <w:bCs/>
          <w:sz w:val="20"/>
          <w:szCs w:val="20"/>
        </w:rPr>
        <w:t>Drafting Note</w:t>
      </w:r>
      <w:r w:rsidR="00E551AD" w:rsidRPr="002905D8">
        <w:rPr>
          <w:rFonts w:ascii="Times New Roman" w:hAnsi="Times New Roman" w:cs="Times New Roman"/>
          <w:b/>
          <w:bCs/>
          <w:sz w:val="20"/>
          <w:szCs w:val="20"/>
        </w:rPr>
        <w:t>:</w:t>
      </w:r>
      <w:r w:rsidRPr="002905D8">
        <w:rPr>
          <w:rFonts w:ascii="Times New Roman" w:hAnsi="Times New Roman" w:cs="Times New Roman"/>
          <w:sz w:val="20"/>
          <w:szCs w:val="20"/>
        </w:rPr>
        <w:t xml:space="preserve"> </w:t>
      </w:r>
      <w:r w:rsidR="00074600">
        <w:rPr>
          <w:rFonts w:ascii="Times New Roman" w:hAnsi="Times New Roman" w:cs="Times New Roman"/>
          <w:sz w:val="20"/>
          <w:szCs w:val="20"/>
        </w:rPr>
        <w:t>T</w:t>
      </w:r>
      <w:r w:rsidRPr="002905D8">
        <w:rPr>
          <w:rFonts w:ascii="Times New Roman" w:hAnsi="Times New Roman" w:cs="Times New Roman"/>
          <w:sz w:val="20"/>
          <w:szCs w:val="20"/>
        </w:rPr>
        <w:t xml:space="preserve">he major line license referenced here is a reference to the </w:t>
      </w:r>
      <w:r w:rsidRPr="002F789A">
        <w:rPr>
          <w:rFonts w:ascii="Times New Roman" w:hAnsi="Times New Roman" w:cs="Times New Roman"/>
          <w:i/>
          <w:iCs/>
          <w:sz w:val="20"/>
          <w:szCs w:val="20"/>
        </w:rPr>
        <w:t>Producer Licensing NAIC Model Act</w:t>
      </w:r>
      <w:r w:rsidR="00F91DA5">
        <w:rPr>
          <w:rFonts w:ascii="Times New Roman" w:hAnsi="Times New Roman" w:cs="Times New Roman"/>
          <w:i/>
          <w:iCs/>
          <w:sz w:val="20"/>
          <w:szCs w:val="20"/>
        </w:rPr>
        <w:t xml:space="preserve"> </w:t>
      </w:r>
      <w:r w:rsidR="002F789A">
        <w:rPr>
          <w:rFonts w:ascii="Times New Roman" w:hAnsi="Times New Roman" w:cs="Times New Roman"/>
          <w:sz w:val="20"/>
          <w:szCs w:val="20"/>
        </w:rPr>
        <w:t>(#218)</w:t>
      </w:r>
      <w:r w:rsidRPr="002905D8">
        <w:rPr>
          <w:rFonts w:ascii="Times New Roman" w:hAnsi="Times New Roman" w:cs="Times New Roman"/>
          <w:sz w:val="20"/>
          <w:szCs w:val="20"/>
        </w:rPr>
        <w:t>. See Section 8E for the term “major line,” and Section 7A(1) through (6) for a listing of those major lines, or see the NAIC State Licensing Handbook, Chapter 9, Lines of Insurance, The Major Lines.</w:t>
      </w:r>
    </w:p>
    <w:p w14:paraId="4C8E44E5" w14:textId="02E97DF0" w:rsidR="009449E8" w:rsidRPr="002905D8" w:rsidRDefault="009449E8" w:rsidP="002905D8">
      <w:pPr>
        <w:pStyle w:val="ListParagraph"/>
        <w:numPr>
          <w:ilvl w:val="1"/>
          <w:numId w:val="16"/>
        </w:numPr>
        <w:spacing w:line="240" w:lineRule="auto"/>
        <w:ind w:left="2160" w:hanging="720"/>
        <w:jc w:val="both"/>
        <w:rPr>
          <w:rFonts w:ascii="Times New Roman" w:hAnsi="Times New Roman" w:cs="Times New Roman"/>
          <w:sz w:val="20"/>
          <w:szCs w:val="20"/>
        </w:rPr>
      </w:pPr>
      <w:r w:rsidRPr="002905D8">
        <w:rPr>
          <w:rFonts w:ascii="Times New Roman" w:hAnsi="Times New Roman" w:cs="Times New Roman"/>
          <w:sz w:val="20"/>
          <w:szCs w:val="20"/>
        </w:rPr>
        <w:t xml:space="preserve">Training for Limited Lines Producers </w:t>
      </w:r>
    </w:p>
    <w:p w14:paraId="08F5EEB2"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A limited lines insurance producer shall not sell, solicit, or negotiate a pet insurance product until after the producer completes training courses approved by the department of insurance and provided by the department of insurance-approved education provider.</w:t>
      </w:r>
    </w:p>
    <w:p w14:paraId="5DD2CC8C"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lastRenderedPageBreak/>
        <w:t>The minimum length of the initial training required under this subsection shall be sufficient to qualify for at least ten (10) pre-licensing education or continuing education credit hours.</w:t>
      </w:r>
    </w:p>
    <w:p w14:paraId="7AFE054D" w14:textId="64CE1B99"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In addition to the training required in </w:t>
      </w:r>
      <w:r w:rsidR="007F4F13">
        <w:rPr>
          <w:rFonts w:ascii="Times New Roman" w:hAnsi="Times New Roman" w:cs="Times New Roman"/>
          <w:sz w:val="20"/>
          <w:szCs w:val="20"/>
        </w:rPr>
        <w:t>P</w:t>
      </w:r>
      <w:r w:rsidRPr="009449E8">
        <w:rPr>
          <w:rFonts w:ascii="Times New Roman" w:hAnsi="Times New Roman" w:cs="Times New Roman"/>
          <w:sz w:val="20"/>
          <w:szCs w:val="20"/>
        </w:rPr>
        <w:t>aragraphs (</w:t>
      </w:r>
      <w:r w:rsidR="00E551AD">
        <w:rPr>
          <w:rFonts w:ascii="Times New Roman" w:hAnsi="Times New Roman" w:cs="Times New Roman"/>
          <w:sz w:val="20"/>
          <w:szCs w:val="20"/>
        </w:rPr>
        <w:t>a</w:t>
      </w:r>
      <w:r w:rsidRPr="009449E8">
        <w:rPr>
          <w:rFonts w:ascii="Times New Roman" w:hAnsi="Times New Roman" w:cs="Times New Roman"/>
          <w:sz w:val="20"/>
          <w:szCs w:val="20"/>
        </w:rPr>
        <w:t>) and (</w:t>
      </w:r>
      <w:r w:rsidR="00E551AD">
        <w:rPr>
          <w:rFonts w:ascii="Times New Roman" w:hAnsi="Times New Roman" w:cs="Times New Roman"/>
          <w:sz w:val="20"/>
          <w:szCs w:val="20"/>
        </w:rPr>
        <w:t>b</w:t>
      </w:r>
      <w:r w:rsidRPr="009449E8">
        <w:rPr>
          <w:rFonts w:ascii="Times New Roman" w:hAnsi="Times New Roman" w:cs="Times New Roman"/>
          <w:sz w:val="20"/>
          <w:szCs w:val="20"/>
        </w:rPr>
        <w:t>) of this subsection, a</w:t>
      </w:r>
      <w:r w:rsidR="009D5C35">
        <w:rPr>
          <w:rFonts w:ascii="Times New Roman" w:hAnsi="Times New Roman" w:cs="Times New Roman"/>
          <w:sz w:val="20"/>
          <w:szCs w:val="20"/>
        </w:rPr>
        <w:t xml:space="preserve"> limited lines</w:t>
      </w:r>
      <w:r w:rsidRPr="009449E8">
        <w:rPr>
          <w:rFonts w:ascii="Times New Roman" w:hAnsi="Times New Roman" w:cs="Times New Roman"/>
          <w:sz w:val="20"/>
          <w:szCs w:val="20"/>
        </w:rPr>
        <w:t xml:space="preserve"> insurance producer who sells, solicits</w:t>
      </w:r>
      <w:r w:rsidR="008C2B9A">
        <w:rPr>
          <w:rFonts w:ascii="Times New Roman" w:hAnsi="Times New Roman" w:cs="Times New Roman"/>
          <w:sz w:val="20"/>
          <w:szCs w:val="20"/>
        </w:rPr>
        <w:t>,</w:t>
      </w:r>
      <w:r w:rsidRPr="009449E8">
        <w:rPr>
          <w:rFonts w:ascii="Times New Roman" w:hAnsi="Times New Roman" w:cs="Times New Roman"/>
          <w:sz w:val="20"/>
          <w:szCs w:val="20"/>
        </w:rPr>
        <w:t xml:space="preserve"> or negotiates pet insurance shall complete ongoing training as set forth in paragraph (</w:t>
      </w:r>
      <w:r w:rsidR="00E551AD">
        <w:rPr>
          <w:rFonts w:ascii="Times New Roman" w:hAnsi="Times New Roman" w:cs="Times New Roman"/>
          <w:sz w:val="20"/>
          <w:szCs w:val="20"/>
        </w:rPr>
        <w:t>d</w:t>
      </w:r>
      <w:r w:rsidRPr="009449E8">
        <w:rPr>
          <w:rFonts w:ascii="Times New Roman" w:hAnsi="Times New Roman" w:cs="Times New Roman"/>
          <w:sz w:val="20"/>
          <w:szCs w:val="20"/>
        </w:rPr>
        <w:t>).</w:t>
      </w:r>
    </w:p>
    <w:p w14:paraId="7E1E5122"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The ongoing training required by this subsection shall be no less than four (4) continuing education credit hours prior to every license renewal.</w:t>
      </w:r>
    </w:p>
    <w:p w14:paraId="6C1B706C"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The training required under this subsection may also qualify for a state’s pre-licensing education or continuing education credit hours in accordance with [insert reference to state law or regulations governing producer continuing education course approval].</w:t>
      </w:r>
    </w:p>
    <w:p w14:paraId="73B4CECD"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Providers of pet insurance training that qualifies for pre-licensing or continuing education shall comply with the reporting requirements and shall issue certificates of completion in accordance with [insert reference to state law or regulations governing producer continuing education course approval].</w:t>
      </w:r>
    </w:p>
    <w:p w14:paraId="7A6E7A24"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satisfaction of the training requirements of another state that are substantially similar to the provisions of this section shall be deemed to satisfy the training requirements of this subsection in this state. </w:t>
      </w:r>
    </w:p>
    <w:p w14:paraId="7B50B807"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satisfaction of the components of the training requirements of any course or courses with components substantially similar to the provisions of this section shall be deemed to satisfy the training requirements of this subsection in this state. </w:t>
      </w:r>
    </w:p>
    <w:p w14:paraId="62B0D59C" w14:textId="479E20BC"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An insurer shall verify that a producer has completed the pet insurance training courses required under this section before allowing the limited line</w:t>
      </w:r>
      <w:r w:rsidR="002D69EF">
        <w:rPr>
          <w:rFonts w:ascii="Times New Roman" w:hAnsi="Times New Roman" w:cs="Times New Roman"/>
          <w:sz w:val="20"/>
          <w:szCs w:val="20"/>
        </w:rPr>
        <w:t>s</w:t>
      </w:r>
      <w:r w:rsidRPr="009449E8">
        <w:rPr>
          <w:rFonts w:ascii="Times New Roman" w:hAnsi="Times New Roman" w:cs="Times New Roman"/>
          <w:sz w:val="20"/>
          <w:szCs w:val="20"/>
        </w:rPr>
        <w:t xml:space="preserve"> producer to sell, solicit or negotiate pet insurance for that insurer. An insurer may satisfy its responsibility under this paragraph by obtaining certificates of completion of the training course or obtaining reports provided by commissioner-sponsored database systems or vendors or from a reasonably reliable commercial database vendor that has a reporting arrangement with approved insurance education providers.</w:t>
      </w:r>
    </w:p>
    <w:p w14:paraId="34FF9F42" w14:textId="20843C07" w:rsidR="009449E8" w:rsidRPr="00DE56CB" w:rsidRDefault="009449E8" w:rsidP="009449E8">
      <w:pPr>
        <w:spacing w:line="240" w:lineRule="auto"/>
        <w:jc w:val="both"/>
        <w:rPr>
          <w:rFonts w:ascii="Times New Roman" w:hAnsi="Times New Roman" w:cs="Times New Roman"/>
          <w:sz w:val="20"/>
          <w:szCs w:val="20"/>
        </w:rPr>
      </w:pPr>
      <w:r w:rsidRPr="002905D8">
        <w:rPr>
          <w:rFonts w:ascii="Times New Roman" w:hAnsi="Times New Roman" w:cs="Times New Roman"/>
          <w:b/>
          <w:bCs/>
          <w:sz w:val="20"/>
          <w:szCs w:val="20"/>
        </w:rPr>
        <w:t>Drafting Note:</w:t>
      </w:r>
      <w:r w:rsidRPr="002905D8">
        <w:rPr>
          <w:rFonts w:ascii="Times New Roman" w:hAnsi="Times New Roman" w:cs="Times New Roman"/>
          <w:sz w:val="20"/>
          <w:szCs w:val="20"/>
        </w:rPr>
        <w:t xml:space="preserve"> A state department of insurance may separately authorize a limited line producer to sell, solicit, or negotiate pet insurance, not based on authority in this statute. See Uniform Licensing Standards section 37 (Non-Core Limited Lines) and Chapter 9 of the Producer Licensing Handbook</w:t>
      </w:r>
      <w:r w:rsidRPr="00DE56CB">
        <w:rPr>
          <w:rFonts w:ascii="Times New Roman" w:hAnsi="Times New Roman" w:cs="Times New Roman"/>
          <w:sz w:val="20"/>
          <w:szCs w:val="20"/>
        </w:rPr>
        <w:t>.</w:t>
      </w:r>
    </w:p>
    <w:p w14:paraId="4D8D7BCB" w14:textId="77777777" w:rsidR="009449E8" w:rsidRPr="009449E8" w:rsidRDefault="009449E8" w:rsidP="009449E8">
      <w:pPr>
        <w:numPr>
          <w:ilvl w:val="0"/>
          <w:numId w:val="16"/>
        </w:numPr>
        <w:spacing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The training required under this section shall include information on the following topics: </w:t>
      </w:r>
    </w:p>
    <w:p w14:paraId="47D30C43"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Preexisting conditions and waiting periods;</w:t>
      </w:r>
    </w:p>
    <w:p w14:paraId="068A474D"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The differences between pet insurance and non-insurance wellness programs;</w:t>
      </w:r>
    </w:p>
    <w:p w14:paraId="01DE0A1A"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Hereditary disorders, congenital anomalies or disorders, and chronic conditions and how pet insurance policies interact with those conditions; and</w:t>
      </w:r>
    </w:p>
    <w:p w14:paraId="3E36329B" w14:textId="77777777" w:rsidR="009449E8" w:rsidRPr="0088337B" w:rsidRDefault="009449E8" w:rsidP="002905D8">
      <w:pPr>
        <w:numPr>
          <w:ilvl w:val="1"/>
          <w:numId w:val="16"/>
        </w:numPr>
        <w:spacing w:after="0" w:line="240" w:lineRule="auto"/>
        <w:ind w:left="2160" w:hanging="720"/>
        <w:jc w:val="both"/>
        <w:rPr>
          <w:rFonts w:ascii="Times New Roman" w:hAnsi="Times New Roman" w:cs="Times New Roman"/>
          <w:sz w:val="20"/>
          <w:szCs w:val="20"/>
        </w:rPr>
      </w:pPr>
      <w:r w:rsidRPr="0088337B">
        <w:rPr>
          <w:rFonts w:ascii="Times New Roman" w:hAnsi="Times New Roman" w:cs="Times New Roman"/>
          <w:sz w:val="20"/>
          <w:szCs w:val="20"/>
        </w:rPr>
        <w:t>Rating, underwriting, renewal, and other related administrative topics.</w:t>
      </w:r>
    </w:p>
    <w:bookmarkEnd w:id="2"/>
    <w:p w14:paraId="3B577239" w14:textId="6F3A9B64" w:rsidR="00154D4A" w:rsidRPr="0088337B" w:rsidRDefault="00154D4A" w:rsidP="002905D8">
      <w:pPr>
        <w:spacing w:after="0" w:line="240" w:lineRule="auto"/>
        <w:jc w:val="both"/>
        <w:rPr>
          <w:rFonts w:ascii="Times New Roman" w:hAnsi="Times New Roman" w:cs="Times New Roman"/>
          <w:sz w:val="20"/>
          <w:szCs w:val="20"/>
        </w:rPr>
      </w:pPr>
    </w:p>
    <w:p w14:paraId="60545108" w14:textId="2B1F2B26" w:rsidR="009D5C35" w:rsidRPr="002905D8" w:rsidRDefault="009D5C35" w:rsidP="002905D8">
      <w:pPr>
        <w:spacing w:after="0" w:line="240" w:lineRule="auto"/>
        <w:jc w:val="both"/>
        <w:rPr>
          <w:rFonts w:ascii="Times New Roman" w:hAnsi="Times New Roman" w:cs="Times New Roman"/>
          <w:b/>
          <w:bCs/>
          <w:sz w:val="20"/>
          <w:szCs w:val="20"/>
        </w:rPr>
      </w:pPr>
      <w:r w:rsidRPr="002905D8">
        <w:rPr>
          <w:rFonts w:ascii="Times New Roman" w:hAnsi="Times New Roman" w:cs="Times New Roman"/>
          <w:b/>
          <w:bCs/>
          <w:sz w:val="20"/>
          <w:szCs w:val="20"/>
        </w:rPr>
        <w:t xml:space="preserve">Section </w:t>
      </w:r>
      <w:r w:rsidR="0088337B" w:rsidRPr="0088337B">
        <w:rPr>
          <w:rFonts w:ascii="Times New Roman" w:hAnsi="Times New Roman" w:cs="Times New Roman"/>
          <w:b/>
          <w:bCs/>
          <w:sz w:val="20"/>
          <w:szCs w:val="20"/>
        </w:rPr>
        <w:t>8</w:t>
      </w:r>
      <w:r w:rsidR="00AE435B" w:rsidRPr="0088337B">
        <w:rPr>
          <w:rFonts w:ascii="Times New Roman" w:hAnsi="Times New Roman" w:cs="Times New Roman"/>
          <w:sz w:val="20"/>
          <w:szCs w:val="20"/>
        </w:rPr>
        <w:t>.</w:t>
      </w:r>
      <w:r w:rsidRPr="0088337B">
        <w:rPr>
          <w:rFonts w:ascii="Times New Roman" w:hAnsi="Times New Roman" w:cs="Times New Roman"/>
          <w:sz w:val="20"/>
          <w:szCs w:val="20"/>
        </w:rPr>
        <w:t xml:space="preserve"> </w:t>
      </w:r>
      <w:r w:rsidRPr="0088337B">
        <w:rPr>
          <w:rFonts w:ascii="Times New Roman" w:hAnsi="Times New Roman" w:cs="Times New Roman"/>
          <w:sz w:val="20"/>
          <w:szCs w:val="20"/>
        </w:rPr>
        <w:tab/>
      </w:r>
      <w:r w:rsidRPr="002905D8">
        <w:rPr>
          <w:rFonts w:ascii="Times New Roman" w:hAnsi="Times New Roman" w:cs="Times New Roman"/>
          <w:b/>
          <w:bCs/>
          <w:sz w:val="20"/>
          <w:szCs w:val="20"/>
        </w:rPr>
        <w:t>Regulations</w:t>
      </w:r>
    </w:p>
    <w:p w14:paraId="1DB5903A" w14:textId="65C70D32" w:rsidR="009D5C35" w:rsidRPr="0088337B" w:rsidRDefault="009D5C35" w:rsidP="002905D8">
      <w:pPr>
        <w:spacing w:after="0" w:line="240" w:lineRule="auto"/>
        <w:jc w:val="both"/>
        <w:rPr>
          <w:rFonts w:ascii="Times New Roman" w:hAnsi="Times New Roman" w:cs="Times New Roman"/>
          <w:sz w:val="20"/>
          <w:szCs w:val="20"/>
        </w:rPr>
      </w:pPr>
    </w:p>
    <w:p w14:paraId="36683D5F" w14:textId="5457CA5B" w:rsidR="009D5C35" w:rsidRPr="0088337B" w:rsidRDefault="009D5C35" w:rsidP="002905D8">
      <w:pPr>
        <w:spacing w:after="0" w:line="240" w:lineRule="auto"/>
        <w:jc w:val="both"/>
        <w:rPr>
          <w:rFonts w:ascii="Times New Roman" w:hAnsi="Times New Roman" w:cs="Times New Roman"/>
          <w:sz w:val="20"/>
          <w:szCs w:val="20"/>
        </w:rPr>
      </w:pPr>
      <w:r w:rsidRPr="0088337B">
        <w:rPr>
          <w:rFonts w:ascii="Times New Roman" w:hAnsi="Times New Roman" w:cs="Times New Roman"/>
          <w:sz w:val="20"/>
          <w:szCs w:val="20"/>
        </w:rPr>
        <w:t>The commissioner may adopt reasonable rules and regulations, as are necessary to administer this part.</w:t>
      </w:r>
    </w:p>
    <w:p w14:paraId="3FBC580F" w14:textId="77777777" w:rsidR="0088337B" w:rsidRDefault="0088337B" w:rsidP="0088337B">
      <w:pPr>
        <w:pStyle w:val="Heading2"/>
      </w:pPr>
    </w:p>
    <w:p w14:paraId="53A9E263" w14:textId="157B8C26" w:rsidR="00DE56CB" w:rsidRPr="0088337B" w:rsidRDefault="00DF3505" w:rsidP="0088337B">
      <w:pPr>
        <w:pStyle w:val="Heading2"/>
      </w:pPr>
      <w:hyperlink r:id="rId13" w:history="1">
        <w:r w:rsidR="00DE56CB" w:rsidRPr="0088337B">
          <w:rPr>
            <w:bdr w:val="none" w:sz="0" w:space="0" w:color="auto" w:frame="1"/>
          </w:rPr>
          <w:t>Section</w:t>
        </w:r>
      </w:hyperlink>
      <w:r w:rsidR="00DE56CB" w:rsidRPr="0088337B">
        <w:t xml:space="preserve"> </w:t>
      </w:r>
      <w:r w:rsidR="0088337B" w:rsidRPr="0088337B">
        <w:t>9</w:t>
      </w:r>
      <w:r w:rsidR="00DE56CB" w:rsidRPr="0088337B">
        <w:t xml:space="preserve">. </w:t>
      </w:r>
      <w:r w:rsidR="00DE56CB" w:rsidRPr="0088337B">
        <w:tab/>
        <w:t>Violations</w:t>
      </w:r>
    </w:p>
    <w:p w14:paraId="375EC2B0"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p>
    <w:p w14:paraId="495FA1CB"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r w:rsidRPr="0088337B">
        <w:rPr>
          <w:rFonts w:ascii="Times New Roman" w:eastAsia="Times New Roman" w:hAnsi="Times New Roman" w:cs="Times New Roman"/>
          <w:sz w:val="20"/>
          <w:szCs w:val="20"/>
        </w:rPr>
        <w:t>Violations of this Act shall be subject to penalties pursuant to [insert state administrative code].</w:t>
      </w:r>
    </w:p>
    <w:p w14:paraId="74CECA00" w14:textId="77777777" w:rsidR="00DE56CB" w:rsidRPr="0088337B" w:rsidRDefault="00DE56CB" w:rsidP="0088337B">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6FAE87D" w14:textId="77777777" w:rsidR="00DE56CB" w:rsidRPr="0088337B" w:rsidRDefault="00DE56CB" w:rsidP="002905D8">
      <w:pPr>
        <w:spacing w:after="0" w:line="240" w:lineRule="auto"/>
        <w:jc w:val="both"/>
        <w:rPr>
          <w:rFonts w:ascii="Times New Roman" w:hAnsi="Times New Roman" w:cs="Times New Roman"/>
          <w:sz w:val="20"/>
          <w:szCs w:val="20"/>
        </w:rPr>
      </w:pPr>
    </w:p>
    <w:sectPr w:rsidR="00DE56CB" w:rsidRPr="0088337B" w:rsidSect="00F96383">
      <w:headerReference w:type="default" r:id="rId14"/>
      <w:footerReference w:type="even" r:id="rId15"/>
      <w:foot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1C74" w14:textId="77777777" w:rsidR="00DF3505" w:rsidRDefault="00DF3505" w:rsidP="00D82B24">
      <w:pPr>
        <w:spacing w:after="0" w:line="240" w:lineRule="auto"/>
      </w:pPr>
      <w:r>
        <w:separator/>
      </w:r>
    </w:p>
  </w:endnote>
  <w:endnote w:type="continuationSeparator" w:id="0">
    <w:p w14:paraId="19C9CC77" w14:textId="77777777" w:rsidR="00DF3505" w:rsidRDefault="00DF3505"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05760B" w:rsidRDefault="001546C5" w:rsidP="001546C5">
    <w:pPr>
      <w:pStyle w:val="Footer"/>
      <w:tabs>
        <w:tab w:val="clear" w:pos="4680"/>
        <w:tab w:val="center" w:pos="5040"/>
      </w:tabs>
      <w:rPr>
        <w:sz w:val="20"/>
        <w:szCs w:val="20"/>
      </w:rPr>
    </w:pPr>
    <w:r w:rsidRPr="002905D8">
      <w:rPr>
        <w:rFonts w:ascii="Times New Roman" w:hAnsi="Times New Roman" w:cs="Times New Roman"/>
        <w:sz w:val="20"/>
        <w:szCs w:val="20"/>
      </w:rPr>
      <w:t>© 2021 National Association of Insurance Commissioners</w:t>
    </w:r>
    <w:r w:rsidRPr="002905D8">
      <w:rPr>
        <w:rFonts w:ascii="Times New Roman" w:hAnsi="Times New Roman" w:cs="Times New Roman"/>
        <w:sz w:val="20"/>
        <w:szCs w:val="20"/>
      </w:rPr>
      <w:tab/>
    </w:r>
    <w:r w:rsidRPr="0005760B">
      <w:rPr>
        <w:rFonts w:ascii="Times New Roman" w:hAnsi="Times New Roman" w:cs="Times New Roman"/>
        <w:sz w:val="20"/>
        <w:szCs w:val="20"/>
      </w:rPr>
      <w:fldChar w:fldCharType="begin"/>
    </w:r>
    <w:r w:rsidRPr="0005760B">
      <w:rPr>
        <w:rFonts w:ascii="Times New Roman" w:hAnsi="Times New Roman" w:cs="Times New Roman"/>
        <w:sz w:val="20"/>
        <w:szCs w:val="20"/>
      </w:rPr>
      <w:instrText xml:space="preserve"> PAGE   \* MERGEFORMAT </w:instrText>
    </w:r>
    <w:r w:rsidRPr="0005760B">
      <w:rPr>
        <w:rFonts w:ascii="Times New Roman" w:hAnsi="Times New Roman" w:cs="Times New Roman"/>
        <w:sz w:val="20"/>
        <w:szCs w:val="20"/>
      </w:rPr>
      <w:fldChar w:fldCharType="separate"/>
    </w:r>
    <w:r w:rsidRPr="0005760B">
      <w:rPr>
        <w:rFonts w:ascii="Times New Roman" w:hAnsi="Times New Roman" w:cs="Times New Roman"/>
        <w:noProof/>
        <w:sz w:val="20"/>
        <w:szCs w:val="20"/>
      </w:rPr>
      <w:t>1</w:t>
    </w:r>
    <w:r w:rsidRPr="0005760B">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4CF974A1"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2021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EBF0" w14:textId="77777777" w:rsidR="00DF3505" w:rsidRDefault="00DF3505" w:rsidP="00D82B24">
      <w:pPr>
        <w:spacing w:after="0" w:line="240" w:lineRule="auto"/>
      </w:pPr>
      <w:r>
        <w:separator/>
      </w:r>
    </w:p>
  </w:footnote>
  <w:footnote w:type="continuationSeparator" w:id="0">
    <w:p w14:paraId="0637E8A8" w14:textId="77777777" w:rsidR="00DF3505" w:rsidRDefault="00DF3505"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DF3505">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443FDA"/>
    <w:multiLevelType w:val="hybridMultilevel"/>
    <w:tmpl w:val="0B6A22E0"/>
    <w:lvl w:ilvl="0" w:tplc="183AE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3A26C15"/>
    <w:multiLevelType w:val="hybridMultilevel"/>
    <w:tmpl w:val="3BC2E7CA"/>
    <w:lvl w:ilvl="0" w:tplc="FFFFFFFF">
      <w:start w:val="1"/>
      <w:numFmt w:val="upperLetter"/>
      <w:lvlText w:val="%1."/>
      <w:lvlJc w:val="left"/>
      <w:pPr>
        <w:ind w:left="1440" w:hanging="720"/>
      </w:pPr>
      <w:rPr>
        <w:rFonts w:hint="default"/>
      </w:rPr>
    </w:lvl>
    <w:lvl w:ilvl="1" w:tplc="FFFFFFFF">
      <w:start w:val="1"/>
      <w:numFmt w:val="decimal"/>
      <w:lvlText w:val="(%2)"/>
      <w:lvlJc w:val="left"/>
      <w:pPr>
        <w:ind w:left="1800" w:hanging="360"/>
      </w:pPr>
      <w:rPr>
        <w:rFonts w:ascii="Times New Roman" w:eastAsiaTheme="minorHAnsi" w:hAnsi="Times New Roman" w:cs="Times New Roman"/>
      </w:rPr>
    </w:lvl>
    <w:lvl w:ilvl="2" w:tplc="D90C266E">
      <w:start w:val="1"/>
      <w:numFmt w:val="lowerLetter"/>
      <w:lvlText w:val="(%3)"/>
      <w:lvlJc w:val="left"/>
      <w:pPr>
        <w:ind w:left="2520" w:hanging="180"/>
      </w:pPr>
      <w:rPr>
        <w:rFonts w:hint="default"/>
      </w:rPr>
    </w:lvl>
    <w:lvl w:ilvl="3" w:tplc="FFFFFFFF">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732D62"/>
    <w:multiLevelType w:val="hybridMultilevel"/>
    <w:tmpl w:val="F1526DAC"/>
    <w:lvl w:ilvl="0" w:tplc="F690B534">
      <w:start w:val="1"/>
      <w:numFmt w:val="upperLetter"/>
      <w:lvlText w:val="%1."/>
      <w:lvlJc w:val="left"/>
      <w:pPr>
        <w:ind w:left="1440" w:hanging="720"/>
      </w:pPr>
      <w:rPr>
        <w:rFonts w:hint="default"/>
      </w:rPr>
    </w:lvl>
    <w:lvl w:ilvl="1" w:tplc="D02A7CC8">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FB742C4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8"/>
  </w:num>
  <w:num w:numId="4">
    <w:abstractNumId w:val="4"/>
  </w:num>
  <w:num w:numId="5">
    <w:abstractNumId w:val="12"/>
  </w:num>
  <w:num w:numId="6">
    <w:abstractNumId w:val="1"/>
  </w:num>
  <w:num w:numId="7">
    <w:abstractNumId w:val="0"/>
  </w:num>
  <w:num w:numId="8">
    <w:abstractNumId w:val="9"/>
  </w:num>
  <w:num w:numId="9">
    <w:abstractNumId w:val="13"/>
  </w:num>
  <w:num w:numId="10">
    <w:abstractNumId w:val="6"/>
  </w:num>
  <w:num w:numId="11">
    <w:abstractNumId w:val="15"/>
  </w:num>
  <w:num w:numId="12">
    <w:abstractNumId w:val="16"/>
  </w:num>
  <w:num w:numId="13">
    <w:abstractNumId w:val="3"/>
  </w:num>
  <w:num w:numId="14">
    <w:abstractNumId w:val="2"/>
  </w:num>
  <w:num w:numId="15">
    <w:abstractNumId w:val="7"/>
  </w:num>
  <w:num w:numId="16">
    <w:abstractNumId w:val="1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22F55"/>
    <w:rsid w:val="0002571E"/>
    <w:rsid w:val="000261CD"/>
    <w:rsid w:val="00030F10"/>
    <w:rsid w:val="00031D43"/>
    <w:rsid w:val="00032147"/>
    <w:rsid w:val="000332D4"/>
    <w:rsid w:val="00040757"/>
    <w:rsid w:val="00050160"/>
    <w:rsid w:val="00050F40"/>
    <w:rsid w:val="0005125D"/>
    <w:rsid w:val="0005760B"/>
    <w:rsid w:val="000626A9"/>
    <w:rsid w:val="000663EA"/>
    <w:rsid w:val="0006641F"/>
    <w:rsid w:val="0007264E"/>
    <w:rsid w:val="00072E67"/>
    <w:rsid w:val="00074600"/>
    <w:rsid w:val="000778E6"/>
    <w:rsid w:val="00087090"/>
    <w:rsid w:val="00095E48"/>
    <w:rsid w:val="000A6096"/>
    <w:rsid w:val="000D4170"/>
    <w:rsid w:val="000F5BAE"/>
    <w:rsid w:val="00111A4E"/>
    <w:rsid w:val="001200E3"/>
    <w:rsid w:val="0013253B"/>
    <w:rsid w:val="00136670"/>
    <w:rsid w:val="0014009A"/>
    <w:rsid w:val="001440A2"/>
    <w:rsid w:val="00144957"/>
    <w:rsid w:val="00144AC5"/>
    <w:rsid w:val="00147418"/>
    <w:rsid w:val="001546C5"/>
    <w:rsid w:val="00154D4A"/>
    <w:rsid w:val="001606F9"/>
    <w:rsid w:val="00160D61"/>
    <w:rsid w:val="001A03FD"/>
    <w:rsid w:val="001A3949"/>
    <w:rsid w:val="001B36A2"/>
    <w:rsid w:val="001C0FB5"/>
    <w:rsid w:val="001C1401"/>
    <w:rsid w:val="001C25F3"/>
    <w:rsid w:val="001C6ED0"/>
    <w:rsid w:val="001D41E8"/>
    <w:rsid w:val="001D58A8"/>
    <w:rsid w:val="001D6928"/>
    <w:rsid w:val="001F5AFD"/>
    <w:rsid w:val="00205BD5"/>
    <w:rsid w:val="00230379"/>
    <w:rsid w:val="0023664E"/>
    <w:rsid w:val="002402D0"/>
    <w:rsid w:val="00240D68"/>
    <w:rsid w:val="002501F2"/>
    <w:rsid w:val="00253472"/>
    <w:rsid w:val="0026518A"/>
    <w:rsid w:val="00276C39"/>
    <w:rsid w:val="00280B08"/>
    <w:rsid w:val="00287DA8"/>
    <w:rsid w:val="002902FA"/>
    <w:rsid w:val="002905D8"/>
    <w:rsid w:val="0029518C"/>
    <w:rsid w:val="002A51DA"/>
    <w:rsid w:val="002C01DE"/>
    <w:rsid w:val="002C2246"/>
    <w:rsid w:val="002D5BFF"/>
    <w:rsid w:val="002D643A"/>
    <w:rsid w:val="002D69EF"/>
    <w:rsid w:val="002E1073"/>
    <w:rsid w:val="002E4133"/>
    <w:rsid w:val="002E5FE5"/>
    <w:rsid w:val="002F789A"/>
    <w:rsid w:val="00324AC8"/>
    <w:rsid w:val="00326FB7"/>
    <w:rsid w:val="00344651"/>
    <w:rsid w:val="00351322"/>
    <w:rsid w:val="00351B09"/>
    <w:rsid w:val="0036423B"/>
    <w:rsid w:val="00364409"/>
    <w:rsid w:val="003746F2"/>
    <w:rsid w:val="003861A5"/>
    <w:rsid w:val="003A3438"/>
    <w:rsid w:val="003A5946"/>
    <w:rsid w:val="003B2B29"/>
    <w:rsid w:val="003C7AC0"/>
    <w:rsid w:val="003D0FFF"/>
    <w:rsid w:val="003D3C82"/>
    <w:rsid w:val="003D64A6"/>
    <w:rsid w:val="003D74B4"/>
    <w:rsid w:val="003E2E77"/>
    <w:rsid w:val="003E33DC"/>
    <w:rsid w:val="003E4374"/>
    <w:rsid w:val="003E7745"/>
    <w:rsid w:val="0041632A"/>
    <w:rsid w:val="00417620"/>
    <w:rsid w:val="00420599"/>
    <w:rsid w:val="00446BA2"/>
    <w:rsid w:val="00453BD8"/>
    <w:rsid w:val="00464E74"/>
    <w:rsid w:val="00467F54"/>
    <w:rsid w:val="00470728"/>
    <w:rsid w:val="0048348F"/>
    <w:rsid w:val="004850DD"/>
    <w:rsid w:val="00485419"/>
    <w:rsid w:val="00486B49"/>
    <w:rsid w:val="004872F6"/>
    <w:rsid w:val="00496B64"/>
    <w:rsid w:val="004B103E"/>
    <w:rsid w:val="004B4F12"/>
    <w:rsid w:val="004B6B8A"/>
    <w:rsid w:val="004D1ED3"/>
    <w:rsid w:val="004D3013"/>
    <w:rsid w:val="004D5E25"/>
    <w:rsid w:val="004D625C"/>
    <w:rsid w:val="004E74E5"/>
    <w:rsid w:val="004F1AC5"/>
    <w:rsid w:val="004F6036"/>
    <w:rsid w:val="004F7CE5"/>
    <w:rsid w:val="005055AD"/>
    <w:rsid w:val="00523D30"/>
    <w:rsid w:val="00523EC4"/>
    <w:rsid w:val="00524D5B"/>
    <w:rsid w:val="005250BC"/>
    <w:rsid w:val="00530930"/>
    <w:rsid w:val="005310AA"/>
    <w:rsid w:val="0053382B"/>
    <w:rsid w:val="00543ED1"/>
    <w:rsid w:val="00544997"/>
    <w:rsid w:val="00547030"/>
    <w:rsid w:val="00552EE6"/>
    <w:rsid w:val="005569F9"/>
    <w:rsid w:val="00561914"/>
    <w:rsid w:val="00566F53"/>
    <w:rsid w:val="00573A5A"/>
    <w:rsid w:val="005756FB"/>
    <w:rsid w:val="00591188"/>
    <w:rsid w:val="005929FD"/>
    <w:rsid w:val="005A0B05"/>
    <w:rsid w:val="005D0A81"/>
    <w:rsid w:val="005D4DBF"/>
    <w:rsid w:val="005F028E"/>
    <w:rsid w:val="005F5610"/>
    <w:rsid w:val="00600A6F"/>
    <w:rsid w:val="00602B6C"/>
    <w:rsid w:val="006140BC"/>
    <w:rsid w:val="00616836"/>
    <w:rsid w:val="00622C90"/>
    <w:rsid w:val="006269ED"/>
    <w:rsid w:val="00632C36"/>
    <w:rsid w:val="00633ED3"/>
    <w:rsid w:val="00645426"/>
    <w:rsid w:val="006538A5"/>
    <w:rsid w:val="00655914"/>
    <w:rsid w:val="006730DF"/>
    <w:rsid w:val="00673827"/>
    <w:rsid w:val="00677A1E"/>
    <w:rsid w:val="00680372"/>
    <w:rsid w:val="00681565"/>
    <w:rsid w:val="0068398B"/>
    <w:rsid w:val="00683E73"/>
    <w:rsid w:val="00691E31"/>
    <w:rsid w:val="006972CE"/>
    <w:rsid w:val="006974F8"/>
    <w:rsid w:val="006A29BF"/>
    <w:rsid w:val="006B1DE0"/>
    <w:rsid w:val="006C0952"/>
    <w:rsid w:val="006C15F8"/>
    <w:rsid w:val="006C229D"/>
    <w:rsid w:val="006D1044"/>
    <w:rsid w:val="006E53C9"/>
    <w:rsid w:val="006F4AB4"/>
    <w:rsid w:val="006F7988"/>
    <w:rsid w:val="00703C51"/>
    <w:rsid w:val="00706057"/>
    <w:rsid w:val="0071739C"/>
    <w:rsid w:val="00724F75"/>
    <w:rsid w:val="00732333"/>
    <w:rsid w:val="00734956"/>
    <w:rsid w:val="00746688"/>
    <w:rsid w:val="0075542E"/>
    <w:rsid w:val="00761E65"/>
    <w:rsid w:val="0077376B"/>
    <w:rsid w:val="00785FFE"/>
    <w:rsid w:val="0079172B"/>
    <w:rsid w:val="00791921"/>
    <w:rsid w:val="00793C8D"/>
    <w:rsid w:val="00796386"/>
    <w:rsid w:val="00797190"/>
    <w:rsid w:val="007A4D3D"/>
    <w:rsid w:val="007B46F7"/>
    <w:rsid w:val="007C0F83"/>
    <w:rsid w:val="007C7355"/>
    <w:rsid w:val="007E01AB"/>
    <w:rsid w:val="007E0AE7"/>
    <w:rsid w:val="007F419C"/>
    <w:rsid w:val="007F4F13"/>
    <w:rsid w:val="007F5FD4"/>
    <w:rsid w:val="008005A8"/>
    <w:rsid w:val="0080106C"/>
    <w:rsid w:val="00813264"/>
    <w:rsid w:val="00815A36"/>
    <w:rsid w:val="00837F1A"/>
    <w:rsid w:val="00851740"/>
    <w:rsid w:val="00851A14"/>
    <w:rsid w:val="00857A69"/>
    <w:rsid w:val="00862EBC"/>
    <w:rsid w:val="008808C7"/>
    <w:rsid w:val="0088337B"/>
    <w:rsid w:val="00883438"/>
    <w:rsid w:val="008879A8"/>
    <w:rsid w:val="008A1099"/>
    <w:rsid w:val="008A66EC"/>
    <w:rsid w:val="008C2014"/>
    <w:rsid w:val="008C2B9A"/>
    <w:rsid w:val="008D3B85"/>
    <w:rsid w:val="008D4D17"/>
    <w:rsid w:val="008D6FD8"/>
    <w:rsid w:val="008F5D2B"/>
    <w:rsid w:val="009017DF"/>
    <w:rsid w:val="00913F1D"/>
    <w:rsid w:val="00941142"/>
    <w:rsid w:val="00941384"/>
    <w:rsid w:val="0094374E"/>
    <w:rsid w:val="009449E8"/>
    <w:rsid w:val="0095044C"/>
    <w:rsid w:val="00951F23"/>
    <w:rsid w:val="00952688"/>
    <w:rsid w:val="00961128"/>
    <w:rsid w:val="0096146A"/>
    <w:rsid w:val="009640E6"/>
    <w:rsid w:val="00976984"/>
    <w:rsid w:val="009808E1"/>
    <w:rsid w:val="00992571"/>
    <w:rsid w:val="00994F5D"/>
    <w:rsid w:val="00995608"/>
    <w:rsid w:val="009B6520"/>
    <w:rsid w:val="009C080D"/>
    <w:rsid w:val="009D37FF"/>
    <w:rsid w:val="009D5C35"/>
    <w:rsid w:val="009D7247"/>
    <w:rsid w:val="009E023F"/>
    <w:rsid w:val="009E3BCB"/>
    <w:rsid w:val="009E6088"/>
    <w:rsid w:val="009E66B7"/>
    <w:rsid w:val="009F43FA"/>
    <w:rsid w:val="009F7F33"/>
    <w:rsid w:val="00A02E95"/>
    <w:rsid w:val="00A07F92"/>
    <w:rsid w:val="00A1372F"/>
    <w:rsid w:val="00A14FB8"/>
    <w:rsid w:val="00A14FE8"/>
    <w:rsid w:val="00A175FF"/>
    <w:rsid w:val="00A2531F"/>
    <w:rsid w:val="00A36FE5"/>
    <w:rsid w:val="00A40E3A"/>
    <w:rsid w:val="00A52F9A"/>
    <w:rsid w:val="00A579BB"/>
    <w:rsid w:val="00A65F85"/>
    <w:rsid w:val="00A755E1"/>
    <w:rsid w:val="00A84BEF"/>
    <w:rsid w:val="00A873ED"/>
    <w:rsid w:val="00A92041"/>
    <w:rsid w:val="00A94F3E"/>
    <w:rsid w:val="00AB154B"/>
    <w:rsid w:val="00AB2753"/>
    <w:rsid w:val="00AB57DE"/>
    <w:rsid w:val="00AC5347"/>
    <w:rsid w:val="00AD118F"/>
    <w:rsid w:val="00AD25BA"/>
    <w:rsid w:val="00AE1A7C"/>
    <w:rsid w:val="00AE435B"/>
    <w:rsid w:val="00AE5B2F"/>
    <w:rsid w:val="00AF355A"/>
    <w:rsid w:val="00AF5A74"/>
    <w:rsid w:val="00AF75AA"/>
    <w:rsid w:val="00B145C5"/>
    <w:rsid w:val="00B16CFC"/>
    <w:rsid w:val="00B17886"/>
    <w:rsid w:val="00B2034F"/>
    <w:rsid w:val="00B274F7"/>
    <w:rsid w:val="00B27BDB"/>
    <w:rsid w:val="00B3403E"/>
    <w:rsid w:val="00B36859"/>
    <w:rsid w:val="00B41BA3"/>
    <w:rsid w:val="00B6232A"/>
    <w:rsid w:val="00B62A8A"/>
    <w:rsid w:val="00B64DFC"/>
    <w:rsid w:val="00B75410"/>
    <w:rsid w:val="00B777B9"/>
    <w:rsid w:val="00B80256"/>
    <w:rsid w:val="00B91C11"/>
    <w:rsid w:val="00B932C1"/>
    <w:rsid w:val="00BB0A69"/>
    <w:rsid w:val="00BB2DD4"/>
    <w:rsid w:val="00BC0D92"/>
    <w:rsid w:val="00BC5B2C"/>
    <w:rsid w:val="00BC6820"/>
    <w:rsid w:val="00BD27A7"/>
    <w:rsid w:val="00BE1751"/>
    <w:rsid w:val="00BE249E"/>
    <w:rsid w:val="00BE4DDE"/>
    <w:rsid w:val="00BF1E1B"/>
    <w:rsid w:val="00BF52DA"/>
    <w:rsid w:val="00C03A66"/>
    <w:rsid w:val="00C07C8C"/>
    <w:rsid w:val="00C10710"/>
    <w:rsid w:val="00C138CD"/>
    <w:rsid w:val="00C1398A"/>
    <w:rsid w:val="00C16688"/>
    <w:rsid w:val="00C31F8B"/>
    <w:rsid w:val="00C3718D"/>
    <w:rsid w:val="00C412F6"/>
    <w:rsid w:val="00C417C0"/>
    <w:rsid w:val="00C5192F"/>
    <w:rsid w:val="00C55864"/>
    <w:rsid w:val="00C55D6B"/>
    <w:rsid w:val="00C7463E"/>
    <w:rsid w:val="00C769CE"/>
    <w:rsid w:val="00C76F39"/>
    <w:rsid w:val="00C778ED"/>
    <w:rsid w:val="00C81AE7"/>
    <w:rsid w:val="00CA0A09"/>
    <w:rsid w:val="00CB19BE"/>
    <w:rsid w:val="00CB2462"/>
    <w:rsid w:val="00CB7D91"/>
    <w:rsid w:val="00CC1B6C"/>
    <w:rsid w:val="00CC46D0"/>
    <w:rsid w:val="00CD04BF"/>
    <w:rsid w:val="00CD4E0B"/>
    <w:rsid w:val="00CE2F9E"/>
    <w:rsid w:val="00CF5A3B"/>
    <w:rsid w:val="00D0100E"/>
    <w:rsid w:val="00D01D65"/>
    <w:rsid w:val="00D022C7"/>
    <w:rsid w:val="00D13A94"/>
    <w:rsid w:val="00D13CFE"/>
    <w:rsid w:val="00D13D70"/>
    <w:rsid w:val="00D32BFC"/>
    <w:rsid w:val="00D376F8"/>
    <w:rsid w:val="00D522B1"/>
    <w:rsid w:val="00D5632B"/>
    <w:rsid w:val="00D7150D"/>
    <w:rsid w:val="00D824F7"/>
    <w:rsid w:val="00D8256C"/>
    <w:rsid w:val="00D82B24"/>
    <w:rsid w:val="00D90046"/>
    <w:rsid w:val="00D9060C"/>
    <w:rsid w:val="00D9170E"/>
    <w:rsid w:val="00D93FAB"/>
    <w:rsid w:val="00DA6282"/>
    <w:rsid w:val="00DB5220"/>
    <w:rsid w:val="00DE5045"/>
    <w:rsid w:val="00DE56CB"/>
    <w:rsid w:val="00DF12AC"/>
    <w:rsid w:val="00DF3505"/>
    <w:rsid w:val="00DF6646"/>
    <w:rsid w:val="00E16C00"/>
    <w:rsid w:val="00E35070"/>
    <w:rsid w:val="00E357AC"/>
    <w:rsid w:val="00E4245D"/>
    <w:rsid w:val="00E551AD"/>
    <w:rsid w:val="00E609B6"/>
    <w:rsid w:val="00E715CF"/>
    <w:rsid w:val="00E7200C"/>
    <w:rsid w:val="00E93001"/>
    <w:rsid w:val="00E96C8C"/>
    <w:rsid w:val="00E97A3A"/>
    <w:rsid w:val="00EA067D"/>
    <w:rsid w:val="00EA24F8"/>
    <w:rsid w:val="00EA79E5"/>
    <w:rsid w:val="00EB1F07"/>
    <w:rsid w:val="00EB59BD"/>
    <w:rsid w:val="00EB61AF"/>
    <w:rsid w:val="00EC36AA"/>
    <w:rsid w:val="00EC4F7D"/>
    <w:rsid w:val="00EC6319"/>
    <w:rsid w:val="00ED240F"/>
    <w:rsid w:val="00ED399A"/>
    <w:rsid w:val="00EF36AE"/>
    <w:rsid w:val="00EF5BBE"/>
    <w:rsid w:val="00F11C3B"/>
    <w:rsid w:val="00F1458F"/>
    <w:rsid w:val="00F200BC"/>
    <w:rsid w:val="00F442E7"/>
    <w:rsid w:val="00F5784C"/>
    <w:rsid w:val="00F643D9"/>
    <w:rsid w:val="00F64649"/>
    <w:rsid w:val="00F672B6"/>
    <w:rsid w:val="00F74B42"/>
    <w:rsid w:val="00F8228A"/>
    <w:rsid w:val="00F91DA5"/>
    <w:rsid w:val="00F96383"/>
    <w:rsid w:val="00FA072B"/>
    <w:rsid w:val="00FC54C8"/>
    <w:rsid w:val="00FC560D"/>
    <w:rsid w:val="00FC6ED2"/>
    <w:rsid w:val="00FC7E45"/>
    <w:rsid w:val="00FD69D2"/>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1E70"/>
  <w15:docId w15:val="{12A9526A-A975-48DC-8E76-03097B0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submitCodesValues('12880.3.','3.14','2014','896','1',%20'id_b14205e8-86ee-11e4-b191-b541c7e31c8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3.','3.14','2014','896','1',%20'id_b14205e8-86ee-11e4-b191-b541c7e31c8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2022-02-06T06:00:00+00:00</_EndDate>
    <StartDate xmlns="http://schemas.microsoft.com/sharepoint/v3">2022-02-02T06:00:00+00:00</StartDate>
    <Location xmlns="http://schemas.microsoft.com/sharepoint/v3/fields">Kansas City, MO</Location>
    <Meeting_x0020_Type xmlns="734dc620-9a3c-4363-b6b2-552d0a5c0ad8">Spring National</Meeting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7422E-DE26-4561-B6F0-BE792905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customXml/itemProps3.xml><?xml version="1.0" encoding="utf-8"?>
<ds:datastoreItem xmlns:ds="http://schemas.openxmlformats.org/officeDocument/2006/customXml" ds:itemID="{BCAA7BAD-E1A1-4BAA-9452-648B539BB34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4.xml><?xml version="1.0" encoding="utf-8"?>
<ds:datastoreItem xmlns:ds="http://schemas.openxmlformats.org/officeDocument/2006/customXml" ds:itemID="{226E660B-671B-49E3-8B22-DF3B53FD66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Pet Insurance Model Law_11921Clean</dc:title>
  <dc:subject/>
  <dc:creator>Zoller, Kendra</dc:creator>
  <cp:keywords/>
  <dc:description/>
  <cp:lastModifiedBy>Crews, Libby</cp:lastModifiedBy>
  <cp:revision>4</cp:revision>
  <cp:lastPrinted>2021-07-27T20:16:00Z</cp:lastPrinted>
  <dcterms:created xsi:type="dcterms:W3CDTF">2022-02-15T20:25:00Z</dcterms:created>
  <dcterms:modified xsi:type="dcterms:W3CDTF">2022-02-15T20:27:00Z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