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E2D1" w14:textId="6A9E58A1" w:rsidR="005A01EC" w:rsidRDefault="00273D66" w:rsidP="00273D66">
      <w:pPr>
        <w:spacing w:after="0" w:line="240" w:lineRule="auto"/>
        <w:jc w:val="center"/>
        <w:rPr>
          <w:rFonts w:ascii="Arial" w:hAnsi="Arial" w:cs="Arial"/>
          <w:b/>
          <w:bCs/>
        </w:rPr>
      </w:pPr>
      <w:r w:rsidRPr="00273D66">
        <w:rPr>
          <w:rFonts w:ascii="Arial" w:hAnsi="Arial" w:cs="Arial"/>
          <w:b/>
          <w:bCs/>
        </w:rPr>
        <w:t>STATE LICENSING HANDBOOK NOTES</w:t>
      </w:r>
    </w:p>
    <w:p w14:paraId="1BAD98AA" w14:textId="77777777" w:rsidR="00AD11B7" w:rsidRDefault="00AD11B7" w:rsidP="00273D66">
      <w:pPr>
        <w:spacing w:after="0" w:line="240" w:lineRule="auto"/>
        <w:rPr>
          <w:rFonts w:ascii="Arial" w:hAnsi="Arial" w:cs="Arial"/>
        </w:rPr>
      </w:pPr>
    </w:p>
    <w:p w14:paraId="6B23C4CA" w14:textId="118E505C" w:rsidR="00273D66" w:rsidRPr="00AD11B7" w:rsidRDefault="00AD11B7" w:rsidP="00273D66">
      <w:pPr>
        <w:spacing w:after="0" w:line="240" w:lineRule="auto"/>
        <w:rPr>
          <w:rFonts w:ascii="Arial" w:hAnsi="Arial" w:cs="Arial"/>
          <w:b/>
          <w:bCs/>
          <w:u w:val="single"/>
        </w:rPr>
      </w:pPr>
      <w:r w:rsidRPr="00AD11B7">
        <w:rPr>
          <w:rFonts w:ascii="Arial" w:hAnsi="Arial" w:cs="Arial"/>
          <w:b/>
          <w:bCs/>
          <w:u w:val="single"/>
        </w:rPr>
        <w:t>ND DOI COMMENTS</w:t>
      </w:r>
    </w:p>
    <w:p w14:paraId="246754C4" w14:textId="77777777" w:rsidR="00273D66" w:rsidRDefault="00273D66" w:rsidP="00273D66">
      <w:pPr>
        <w:spacing w:after="0" w:line="240" w:lineRule="auto"/>
        <w:rPr>
          <w:rFonts w:ascii="Arial" w:hAnsi="Arial" w:cs="Arial"/>
        </w:rPr>
      </w:pPr>
    </w:p>
    <w:p w14:paraId="4722CAA0" w14:textId="61AC1FF6" w:rsidR="00273D66" w:rsidRPr="00932BB4" w:rsidRDefault="00273D66" w:rsidP="00273D66">
      <w:pPr>
        <w:spacing w:after="0" w:line="240" w:lineRule="auto"/>
        <w:rPr>
          <w:rFonts w:ascii="Arial" w:hAnsi="Arial" w:cs="Arial"/>
          <w:b/>
          <w:bCs/>
          <w:u w:val="single"/>
        </w:rPr>
      </w:pPr>
      <w:r w:rsidRPr="00932BB4">
        <w:rPr>
          <w:rFonts w:ascii="Arial" w:hAnsi="Arial" w:cs="Arial"/>
          <w:b/>
          <w:bCs/>
          <w:u w:val="single"/>
        </w:rPr>
        <w:t>CHAPTER 9</w:t>
      </w:r>
    </w:p>
    <w:p w14:paraId="42D6C399" w14:textId="77777777" w:rsidR="00273D66" w:rsidRDefault="00273D66" w:rsidP="00273D66">
      <w:pPr>
        <w:spacing w:after="0" w:line="240" w:lineRule="auto"/>
        <w:rPr>
          <w:rFonts w:ascii="Arial" w:hAnsi="Arial" w:cs="Arial"/>
          <w:u w:val="single"/>
        </w:rPr>
      </w:pPr>
    </w:p>
    <w:p w14:paraId="7D80821B" w14:textId="255496DE" w:rsidR="00273D66" w:rsidRDefault="00273D66" w:rsidP="00273D66">
      <w:pPr>
        <w:spacing w:after="0" w:line="240" w:lineRule="auto"/>
        <w:rPr>
          <w:rFonts w:ascii="Arial" w:hAnsi="Arial" w:cs="Arial"/>
        </w:rPr>
      </w:pPr>
      <w:r>
        <w:rPr>
          <w:rFonts w:ascii="Arial" w:hAnsi="Arial" w:cs="Arial"/>
        </w:rPr>
        <w:t xml:space="preserve">Note that North Dakota will not issue Personal Lines for a resident if they already hold Property and Casualty.  We feel it is a duplicate line of authority when the producer would have broader range of writing ability under the major lines of Property and Casualty.  For non-residents, we will only issue Personal Lines if the producer actually holds the Personal Lines line of authority on their resident state license.  Otherwise, the producer will be issued Property and Casualty.  This applies for both individuals and business entities.  </w:t>
      </w:r>
      <w:r w:rsidR="009B36C4">
        <w:rPr>
          <w:rFonts w:ascii="Arial" w:hAnsi="Arial" w:cs="Arial"/>
        </w:rPr>
        <w:t>I would</w:t>
      </w:r>
      <w:r>
        <w:rPr>
          <w:rFonts w:ascii="Arial" w:hAnsi="Arial" w:cs="Arial"/>
        </w:rPr>
        <w:t xml:space="preserve"> like to see Personal Lines moved back to a Limited Line and not considered a Major Line of Authority.</w:t>
      </w:r>
    </w:p>
    <w:p w14:paraId="6150E28A" w14:textId="77777777" w:rsidR="00273D66" w:rsidRDefault="00273D66" w:rsidP="00273D66">
      <w:pPr>
        <w:spacing w:after="0" w:line="240" w:lineRule="auto"/>
        <w:rPr>
          <w:rFonts w:ascii="Arial" w:hAnsi="Arial" w:cs="Arial"/>
        </w:rPr>
      </w:pPr>
    </w:p>
    <w:p w14:paraId="316BD519" w14:textId="77777777" w:rsidR="00273D66" w:rsidRDefault="00273D66" w:rsidP="00273D66">
      <w:pPr>
        <w:spacing w:after="0" w:line="240" w:lineRule="auto"/>
        <w:rPr>
          <w:rFonts w:ascii="Arial" w:hAnsi="Arial" w:cs="Arial"/>
        </w:rPr>
      </w:pPr>
    </w:p>
    <w:p w14:paraId="49E681CE" w14:textId="770FBA52" w:rsidR="00273D66" w:rsidRDefault="00273D66" w:rsidP="00273D66">
      <w:pPr>
        <w:spacing w:after="0" w:line="240" w:lineRule="auto"/>
        <w:rPr>
          <w:rFonts w:ascii="Arial" w:hAnsi="Arial" w:cs="Arial"/>
        </w:rPr>
      </w:pPr>
      <w:r>
        <w:rPr>
          <w:rFonts w:ascii="Arial" w:hAnsi="Arial" w:cs="Arial"/>
        </w:rPr>
        <w:t>Strongly disagree with the statement ‘</w:t>
      </w:r>
      <w:r w:rsidRPr="00273D66">
        <w:rPr>
          <w:rFonts w:ascii="Arial" w:hAnsi="Arial" w:cs="Arial"/>
          <w:i/>
          <w:iCs/>
        </w:rPr>
        <w:t>For nonresident applicants, it is not appropriate</w:t>
      </w:r>
      <w:r w:rsidRPr="00273D66">
        <w:rPr>
          <w:rFonts w:ascii="Arial" w:hAnsi="Arial" w:cs="Arial"/>
          <w:i/>
          <w:iCs/>
          <w:spacing w:val="-11"/>
        </w:rPr>
        <w:t xml:space="preserve"> </w:t>
      </w:r>
      <w:r w:rsidRPr="00273D66">
        <w:rPr>
          <w:rFonts w:ascii="Arial" w:hAnsi="Arial" w:cs="Arial"/>
          <w:i/>
          <w:iCs/>
        </w:rPr>
        <w:t>to</w:t>
      </w:r>
      <w:r w:rsidRPr="00273D66">
        <w:rPr>
          <w:rFonts w:ascii="Arial" w:hAnsi="Arial" w:cs="Arial"/>
          <w:i/>
          <w:iCs/>
          <w:spacing w:val="-10"/>
        </w:rPr>
        <w:t xml:space="preserve"> </w:t>
      </w:r>
      <w:r w:rsidRPr="00273D66">
        <w:rPr>
          <w:rFonts w:ascii="Arial" w:hAnsi="Arial" w:cs="Arial"/>
          <w:i/>
          <w:iCs/>
        </w:rPr>
        <w:t>pend</w:t>
      </w:r>
      <w:r w:rsidRPr="00273D66">
        <w:rPr>
          <w:rFonts w:ascii="Arial" w:hAnsi="Arial" w:cs="Arial"/>
          <w:i/>
          <w:iCs/>
          <w:spacing w:val="-10"/>
        </w:rPr>
        <w:t xml:space="preserve"> </w:t>
      </w:r>
      <w:r w:rsidRPr="00273D66">
        <w:rPr>
          <w:rFonts w:ascii="Arial" w:hAnsi="Arial" w:cs="Arial"/>
          <w:i/>
          <w:iCs/>
        </w:rPr>
        <w:t>a</w:t>
      </w:r>
      <w:r w:rsidRPr="00273D66">
        <w:rPr>
          <w:rFonts w:ascii="Arial" w:hAnsi="Arial" w:cs="Arial"/>
          <w:i/>
          <w:iCs/>
          <w:spacing w:val="-11"/>
        </w:rPr>
        <w:t xml:space="preserve"> </w:t>
      </w:r>
      <w:r w:rsidRPr="00273D66">
        <w:rPr>
          <w:rFonts w:ascii="Arial" w:hAnsi="Arial" w:cs="Arial"/>
          <w:i/>
          <w:iCs/>
        </w:rPr>
        <w:t>request</w:t>
      </w:r>
      <w:r w:rsidRPr="00273D66">
        <w:rPr>
          <w:rFonts w:ascii="Arial" w:hAnsi="Arial" w:cs="Arial"/>
          <w:i/>
          <w:iCs/>
          <w:spacing w:val="-12"/>
        </w:rPr>
        <w:t xml:space="preserve"> </w:t>
      </w:r>
      <w:r w:rsidRPr="00273D66">
        <w:rPr>
          <w:rFonts w:ascii="Arial" w:hAnsi="Arial" w:cs="Arial"/>
          <w:i/>
          <w:iCs/>
        </w:rPr>
        <w:t>for</w:t>
      </w:r>
      <w:r w:rsidRPr="00273D66">
        <w:rPr>
          <w:rFonts w:ascii="Arial" w:hAnsi="Arial" w:cs="Arial"/>
          <w:i/>
          <w:iCs/>
          <w:spacing w:val="-11"/>
        </w:rPr>
        <w:t xml:space="preserve"> </w:t>
      </w:r>
      <w:r w:rsidRPr="00273D66">
        <w:rPr>
          <w:rFonts w:ascii="Arial" w:hAnsi="Arial" w:cs="Arial"/>
          <w:i/>
          <w:iCs/>
        </w:rPr>
        <w:t>the</w:t>
      </w:r>
      <w:r w:rsidRPr="00273D66">
        <w:rPr>
          <w:rFonts w:ascii="Arial" w:hAnsi="Arial" w:cs="Arial"/>
          <w:i/>
          <w:iCs/>
          <w:spacing w:val="-11"/>
        </w:rPr>
        <w:t xml:space="preserve"> </w:t>
      </w:r>
      <w:r w:rsidRPr="00273D66">
        <w:rPr>
          <w:rFonts w:ascii="Arial" w:hAnsi="Arial" w:cs="Arial"/>
          <w:i/>
          <w:iCs/>
        </w:rPr>
        <w:t>variable</w:t>
      </w:r>
      <w:r w:rsidRPr="00273D66">
        <w:rPr>
          <w:rFonts w:ascii="Arial" w:hAnsi="Arial" w:cs="Arial"/>
          <w:i/>
          <w:iCs/>
          <w:spacing w:val="-11"/>
        </w:rPr>
        <w:t xml:space="preserve"> </w:t>
      </w:r>
      <w:r w:rsidRPr="00273D66">
        <w:rPr>
          <w:rFonts w:ascii="Arial" w:hAnsi="Arial" w:cs="Arial"/>
          <w:i/>
          <w:iCs/>
        </w:rPr>
        <w:t>life/annuity</w:t>
      </w:r>
      <w:r w:rsidRPr="00273D66">
        <w:rPr>
          <w:rFonts w:ascii="Arial" w:hAnsi="Arial" w:cs="Arial"/>
          <w:i/>
          <w:iCs/>
          <w:spacing w:val="-10"/>
        </w:rPr>
        <w:t xml:space="preserve"> </w:t>
      </w:r>
      <w:r w:rsidRPr="00273D66">
        <w:rPr>
          <w:rFonts w:ascii="Arial" w:hAnsi="Arial" w:cs="Arial"/>
          <w:i/>
          <w:iCs/>
        </w:rPr>
        <w:t>products</w:t>
      </w:r>
      <w:r w:rsidRPr="00273D66">
        <w:rPr>
          <w:rFonts w:ascii="Arial" w:hAnsi="Arial" w:cs="Arial"/>
          <w:i/>
          <w:iCs/>
          <w:spacing w:val="-12"/>
        </w:rPr>
        <w:t xml:space="preserve"> </w:t>
      </w:r>
      <w:r w:rsidRPr="00273D66">
        <w:rPr>
          <w:rFonts w:ascii="Arial" w:hAnsi="Arial" w:cs="Arial"/>
          <w:i/>
          <w:iCs/>
        </w:rPr>
        <w:t>LOA</w:t>
      </w:r>
      <w:r w:rsidRPr="00273D66">
        <w:rPr>
          <w:rFonts w:ascii="Arial" w:hAnsi="Arial" w:cs="Arial"/>
          <w:i/>
          <w:iCs/>
          <w:spacing w:val="-12"/>
        </w:rPr>
        <w:t xml:space="preserve"> </w:t>
      </w:r>
      <w:r w:rsidRPr="00273D66">
        <w:rPr>
          <w:rFonts w:ascii="Arial" w:hAnsi="Arial" w:cs="Arial"/>
          <w:i/>
          <w:iCs/>
        </w:rPr>
        <w:t>to</w:t>
      </w:r>
      <w:r w:rsidRPr="00273D66">
        <w:rPr>
          <w:rFonts w:ascii="Arial" w:hAnsi="Arial" w:cs="Arial"/>
          <w:i/>
          <w:iCs/>
          <w:spacing w:val="-10"/>
        </w:rPr>
        <w:t xml:space="preserve"> </w:t>
      </w:r>
      <w:r w:rsidRPr="00273D66">
        <w:rPr>
          <w:rFonts w:ascii="Arial" w:hAnsi="Arial" w:cs="Arial"/>
          <w:i/>
          <w:iCs/>
        </w:rPr>
        <w:t>verify</w:t>
      </w:r>
      <w:r w:rsidRPr="00273D66">
        <w:rPr>
          <w:rFonts w:ascii="Arial" w:hAnsi="Arial" w:cs="Arial"/>
          <w:i/>
          <w:iCs/>
          <w:spacing w:val="-10"/>
        </w:rPr>
        <w:t xml:space="preserve"> </w:t>
      </w:r>
      <w:r w:rsidRPr="00273D66">
        <w:rPr>
          <w:rFonts w:ascii="Arial" w:hAnsi="Arial" w:cs="Arial"/>
          <w:i/>
          <w:iCs/>
        </w:rPr>
        <w:t>existence</w:t>
      </w:r>
      <w:r w:rsidRPr="00273D66">
        <w:rPr>
          <w:rFonts w:ascii="Arial" w:hAnsi="Arial" w:cs="Arial"/>
          <w:i/>
          <w:iCs/>
          <w:spacing w:val="-11"/>
        </w:rPr>
        <w:t xml:space="preserve"> </w:t>
      </w:r>
      <w:r w:rsidRPr="00273D66">
        <w:rPr>
          <w:rFonts w:ascii="Arial" w:hAnsi="Arial" w:cs="Arial"/>
          <w:i/>
          <w:iCs/>
        </w:rPr>
        <w:t>of</w:t>
      </w:r>
      <w:r w:rsidRPr="00273D66">
        <w:rPr>
          <w:rFonts w:ascii="Arial" w:hAnsi="Arial" w:cs="Arial"/>
          <w:i/>
          <w:iCs/>
          <w:spacing w:val="-11"/>
        </w:rPr>
        <w:t xml:space="preserve"> </w:t>
      </w:r>
      <w:r w:rsidRPr="00273D66">
        <w:rPr>
          <w:rFonts w:ascii="Arial" w:hAnsi="Arial" w:cs="Arial"/>
          <w:i/>
          <w:iCs/>
        </w:rPr>
        <w:t>the</w:t>
      </w:r>
      <w:r w:rsidRPr="00273D66">
        <w:rPr>
          <w:rFonts w:ascii="Arial" w:hAnsi="Arial" w:cs="Arial"/>
          <w:i/>
          <w:iCs/>
          <w:spacing w:val="-11"/>
        </w:rPr>
        <w:t xml:space="preserve"> </w:t>
      </w:r>
      <w:r w:rsidRPr="00273D66">
        <w:rPr>
          <w:rFonts w:ascii="Arial" w:hAnsi="Arial" w:cs="Arial"/>
          <w:i/>
          <w:iCs/>
        </w:rPr>
        <w:t>underlying</w:t>
      </w:r>
      <w:r w:rsidRPr="00273D66">
        <w:rPr>
          <w:rFonts w:ascii="Arial" w:hAnsi="Arial" w:cs="Arial"/>
          <w:i/>
          <w:iCs/>
          <w:spacing w:val="-10"/>
        </w:rPr>
        <w:t xml:space="preserve"> </w:t>
      </w:r>
      <w:r w:rsidRPr="00273D66">
        <w:rPr>
          <w:rFonts w:ascii="Arial" w:hAnsi="Arial" w:cs="Arial"/>
          <w:i/>
          <w:iCs/>
        </w:rPr>
        <w:t>life</w:t>
      </w:r>
      <w:r w:rsidRPr="00273D66">
        <w:rPr>
          <w:rFonts w:ascii="Arial" w:hAnsi="Arial" w:cs="Arial"/>
          <w:i/>
          <w:iCs/>
          <w:spacing w:val="-11"/>
        </w:rPr>
        <w:t xml:space="preserve"> </w:t>
      </w:r>
      <w:r w:rsidRPr="00273D66">
        <w:rPr>
          <w:rFonts w:ascii="Arial" w:hAnsi="Arial" w:cs="Arial"/>
          <w:i/>
          <w:iCs/>
        </w:rPr>
        <w:t>LOA in the home state. If a</w:t>
      </w:r>
      <w:r w:rsidRPr="00273D66">
        <w:rPr>
          <w:rFonts w:ascii="Arial" w:hAnsi="Arial" w:cs="Arial"/>
          <w:i/>
          <w:iCs/>
          <w:spacing w:val="-2"/>
        </w:rPr>
        <w:t xml:space="preserve"> </w:t>
      </w:r>
      <w:r w:rsidRPr="00273D66">
        <w:rPr>
          <w:rFonts w:ascii="Arial" w:hAnsi="Arial" w:cs="Arial"/>
          <w:i/>
          <w:iCs/>
        </w:rPr>
        <w:t>proper</w:t>
      </w:r>
      <w:r w:rsidRPr="00273D66">
        <w:rPr>
          <w:rFonts w:ascii="Arial" w:hAnsi="Arial" w:cs="Arial"/>
          <w:i/>
          <w:iCs/>
          <w:spacing w:val="-1"/>
        </w:rPr>
        <w:t xml:space="preserve"> </w:t>
      </w:r>
      <w:r w:rsidRPr="00273D66">
        <w:rPr>
          <w:rFonts w:ascii="Arial" w:hAnsi="Arial" w:cs="Arial"/>
          <w:i/>
          <w:iCs/>
        </w:rPr>
        <w:t>request for licensure is received and the applicant is in good</w:t>
      </w:r>
      <w:r w:rsidRPr="00273D66">
        <w:rPr>
          <w:rFonts w:ascii="Arial" w:hAnsi="Arial" w:cs="Arial"/>
          <w:i/>
          <w:iCs/>
          <w:spacing w:val="-1"/>
        </w:rPr>
        <w:t xml:space="preserve"> </w:t>
      </w:r>
      <w:r w:rsidRPr="00273D66">
        <w:rPr>
          <w:rFonts w:ascii="Arial" w:hAnsi="Arial" w:cs="Arial"/>
          <w:i/>
          <w:iCs/>
        </w:rPr>
        <w:t>standing in the</w:t>
      </w:r>
      <w:r w:rsidRPr="00273D66">
        <w:rPr>
          <w:rFonts w:ascii="Arial" w:hAnsi="Arial" w:cs="Arial"/>
          <w:i/>
          <w:iCs/>
          <w:spacing w:val="-2"/>
        </w:rPr>
        <w:t xml:space="preserve"> </w:t>
      </w:r>
      <w:r w:rsidRPr="00273D66">
        <w:rPr>
          <w:rFonts w:ascii="Arial" w:hAnsi="Arial" w:cs="Arial"/>
          <w:i/>
          <w:iCs/>
        </w:rPr>
        <w:t>home state with the variable life and variable annuity LOA, the nonresident license should be granted.</w:t>
      </w:r>
      <w:r>
        <w:rPr>
          <w:rFonts w:ascii="Arial" w:hAnsi="Arial" w:cs="Arial"/>
          <w:i/>
          <w:iCs/>
        </w:rPr>
        <w:t xml:space="preserve">’  </w:t>
      </w:r>
    </w:p>
    <w:p w14:paraId="2802E9B0" w14:textId="77777777" w:rsidR="00273D66" w:rsidRDefault="00273D66" w:rsidP="00273D66">
      <w:pPr>
        <w:spacing w:after="0" w:line="240" w:lineRule="auto"/>
        <w:rPr>
          <w:rFonts w:ascii="Arial" w:hAnsi="Arial" w:cs="Arial"/>
        </w:rPr>
      </w:pPr>
    </w:p>
    <w:p w14:paraId="2D827FC4" w14:textId="6D9A4FDC" w:rsidR="00273D66" w:rsidRDefault="00273D66" w:rsidP="00273D66">
      <w:pPr>
        <w:spacing w:after="0" w:line="240" w:lineRule="auto"/>
        <w:rPr>
          <w:rFonts w:ascii="Arial" w:hAnsi="Arial" w:cs="Arial"/>
        </w:rPr>
      </w:pPr>
      <w:r>
        <w:rPr>
          <w:rFonts w:ascii="Arial" w:hAnsi="Arial" w:cs="Arial"/>
        </w:rPr>
        <w:t>North Dakota requires registration with the North Dakota Securities Commission and will not issue the Variable Life &amp; Annuity line of authority without the proper registration</w:t>
      </w:r>
      <w:r w:rsidR="00B613F8">
        <w:rPr>
          <w:rFonts w:ascii="Arial" w:hAnsi="Arial" w:cs="Arial"/>
        </w:rPr>
        <w:t>. On</w:t>
      </w:r>
      <w:r>
        <w:rPr>
          <w:rFonts w:ascii="Arial" w:hAnsi="Arial" w:cs="Arial"/>
        </w:rPr>
        <w:t xml:space="preserve"> June 24</w:t>
      </w:r>
      <w:r w:rsidRPr="00273D66">
        <w:rPr>
          <w:rFonts w:ascii="Arial" w:hAnsi="Arial" w:cs="Arial"/>
          <w:vertAlign w:val="superscript"/>
        </w:rPr>
        <w:t>th</w:t>
      </w:r>
      <w:r>
        <w:rPr>
          <w:rFonts w:ascii="Arial" w:hAnsi="Arial" w:cs="Arial"/>
        </w:rPr>
        <w:t>, I had an application for Life &amp; Annuity and Variable Life &amp; Annuity.  The producer did not even have a CRD number for the FINRA registration, AND he did not hold the Variable Life &amp; Annuity line of authority in his resident state of Texas.  He only held Life.  Yet, other states issued him the Variable Life &amp; Annuity line of authority without him even holding it in his resident state!  I am amazed at how many states do not even look at the PDB to see what lines of authority a producer holds before issuing a license.</w:t>
      </w:r>
    </w:p>
    <w:p w14:paraId="0824DA7D" w14:textId="77777777" w:rsidR="00273D66" w:rsidRDefault="00273D66" w:rsidP="00273D66">
      <w:pPr>
        <w:spacing w:after="0" w:line="240" w:lineRule="auto"/>
        <w:rPr>
          <w:rFonts w:ascii="Arial" w:hAnsi="Arial" w:cs="Arial"/>
        </w:rPr>
      </w:pPr>
    </w:p>
    <w:p w14:paraId="5EA123B7" w14:textId="77777777" w:rsidR="00273D66" w:rsidRDefault="00273D66" w:rsidP="00273D66">
      <w:pPr>
        <w:spacing w:after="0" w:line="240" w:lineRule="auto"/>
        <w:rPr>
          <w:rFonts w:ascii="Arial" w:hAnsi="Arial" w:cs="Arial"/>
        </w:rPr>
      </w:pPr>
    </w:p>
    <w:p w14:paraId="3AB513C9" w14:textId="777798E8" w:rsidR="002160C8" w:rsidRDefault="00EA479D" w:rsidP="002160C8">
      <w:pPr>
        <w:pStyle w:val="BodyText"/>
        <w:spacing w:before="1"/>
        <w:jc w:val="both"/>
        <w:rPr>
          <w:rFonts w:ascii="Arial" w:hAnsi="Arial" w:cs="Arial"/>
          <w:spacing w:val="-2"/>
          <w:sz w:val="24"/>
          <w:szCs w:val="24"/>
        </w:rPr>
      </w:pPr>
      <w:r w:rsidRPr="002160C8">
        <w:rPr>
          <w:rFonts w:ascii="Arial" w:hAnsi="Arial" w:cs="Arial"/>
          <w:sz w:val="24"/>
          <w:szCs w:val="24"/>
        </w:rPr>
        <w:t xml:space="preserve">We already allow non-residents to be issued Legal Expense if the producer holds the major lines of authority of LHPC on their resident license.  I am wondering if we should allow the same courtesy for the Pet Insurance line of authority.  I don’t recall having any applications for Pet Insurance yet.  I would think that if </w:t>
      </w:r>
      <w:r w:rsidR="009B36C4" w:rsidRPr="002160C8">
        <w:rPr>
          <w:rFonts w:ascii="Arial" w:hAnsi="Arial" w:cs="Arial"/>
          <w:sz w:val="24"/>
          <w:szCs w:val="24"/>
        </w:rPr>
        <w:t>we happened</w:t>
      </w:r>
      <w:r w:rsidRPr="002160C8">
        <w:rPr>
          <w:rFonts w:ascii="Arial" w:hAnsi="Arial" w:cs="Arial"/>
          <w:sz w:val="24"/>
          <w:szCs w:val="24"/>
        </w:rPr>
        <w:t xml:space="preserve"> to receive any applications for Pet Insurance, we would allow the line of authority as long as they hold Property and Casualty on their resident license.</w:t>
      </w:r>
      <w:r w:rsidR="002160C8" w:rsidRPr="002160C8">
        <w:rPr>
          <w:rFonts w:ascii="Arial" w:hAnsi="Arial" w:cs="Arial"/>
          <w:sz w:val="24"/>
          <w:szCs w:val="24"/>
        </w:rPr>
        <w:t xml:space="preserve">  However, the last line of the chapter does say that ‘No</w:t>
      </w:r>
      <w:r w:rsidR="002160C8" w:rsidRPr="002160C8">
        <w:rPr>
          <w:rFonts w:ascii="Arial" w:hAnsi="Arial" w:cs="Arial"/>
          <w:spacing w:val="-5"/>
          <w:sz w:val="24"/>
          <w:szCs w:val="24"/>
        </w:rPr>
        <w:t xml:space="preserve"> </w:t>
      </w:r>
      <w:r w:rsidR="002160C8" w:rsidRPr="002160C8">
        <w:rPr>
          <w:rFonts w:ascii="Arial" w:hAnsi="Arial" w:cs="Arial"/>
          <w:sz w:val="24"/>
          <w:szCs w:val="24"/>
        </w:rPr>
        <w:t>prelicensing</w:t>
      </w:r>
      <w:r w:rsidR="002160C8" w:rsidRPr="002160C8">
        <w:rPr>
          <w:rFonts w:ascii="Arial" w:hAnsi="Arial" w:cs="Arial"/>
          <w:spacing w:val="-7"/>
          <w:sz w:val="24"/>
          <w:szCs w:val="24"/>
        </w:rPr>
        <w:t xml:space="preserve"> </w:t>
      </w:r>
      <w:r w:rsidR="002160C8" w:rsidRPr="002160C8">
        <w:rPr>
          <w:rFonts w:ascii="Arial" w:hAnsi="Arial" w:cs="Arial"/>
          <w:sz w:val="24"/>
          <w:szCs w:val="24"/>
        </w:rPr>
        <w:t>or</w:t>
      </w:r>
      <w:r w:rsidR="002160C8" w:rsidRPr="002160C8">
        <w:rPr>
          <w:rFonts w:ascii="Arial" w:hAnsi="Arial" w:cs="Arial"/>
          <w:spacing w:val="-5"/>
          <w:sz w:val="24"/>
          <w:szCs w:val="24"/>
        </w:rPr>
        <w:t xml:space="preserve"> </w:t>
      </w:r>
      <w:r w:rsidR="002160C8" w:rsidRPr="002160C8">
        <w:rPr>
          <w:rFonts w:ascii="Arial" w:hAnsi="Arial" w:cs="Arial"/>
          <w:sz w:val="24"/>
          <w:szCs w:val="24"/>
        </w:rPr>
        <w:t>testing</w:t>
      </w:r>
      <w:r w:rsidR="002160C8" w:rsidRPr="002160C8">
        <w:rPr>
          <w:rFonts w:ascii="Arial" w:hAnsi="Arial" w:cs="Arial"/>
          <w:spacing w:val="-5"/>
          <w:sz w:val="24"/>
          <w:szCs w:val="24"/>
        </w:rPr>
        <w:t xml:space="preserve"> </w:t>
      </w:r>
      <w:r w:rsidR="002160C8" w:rsidRPr="002160C8">
        <w:rPr>
          <w:rFonts w:ascii="Arial" w:hAnsi="Arial" w:cs="Arial"/>
          <w:sz w:val="24"/>
          <w:szCs w:val="24"/>
        </w:rPr>
        <w:t>shall</w:t>
      </w:r>
      <w:r w:rsidR="002160C8" w:rsidRPr="002160C8">
        <w:rPr>
          <w:rFonts w:ascii="Arial" w:hAnsi="Arial" w:cs="Arial"/>
          <w:spacing w:val="-5"/>
          <w:sz w:val="24"/>
          <w:szCs w:val="24"/>
        </w:rPr>
        <w:t xml:space="preserve"> </w:t>
      </w:r>
      <w:r w:rsidR="002160C8" w:rsidRPr="002160C8">
        <w:rPr>
          <w:rFonts w:ascii="Arial" w:hAnsi="Arial" w:cs="Arial"/>
          <w:sz w:val="24"/>
          <w:szCs w:val="24"/>
        </w:rPr>
        <w:t>be</w:t>
      </w:r>
      <w:r w:rsidR="002160C8" w:rsidRPr="002160C8">
        <w:rPr>
          <w:rFonts w:ascii="Arial" w:hAnsi="Arial" w:cs="Arial"/>
          <w:spacing w:val="-6"/>
          <w:sz w:val="24"/>
          <w:szCs w:val="24"/>
        </w:rPr>
        <w:t xml:space="preserve"> </w:t>
      </w:r>
      <w:r w:rsidR="002160C8" w:rsidRPr="002160C8">
        <w:rPr>
          <w:rFonts w:ascii="Arial" w:hAnsi="Arial" w:cs="Arial"/>
          <w:sz w:val="24"/>
          <w:szCs w:val="24"/>
        </w:rPr>
        <w:t>required</w:t>
      </w:r>
      <w:r w:rsidR="002160C8" w:rsidRPr="002160C8">
        <w:rPr>
          <w:rFonts w:ascii="Arial" w:hAnsi="Arial" w:cs="Arial"/>
          <w:spacing w:val="-5"/>
          <w:sz w:val="24"/>
          <w:szCs w:val="24"/>
        </w:rPr>
        <w:t xml:space="preserve"> </w:t>
      </w:r>
      <w:r w:rsidR="002160C8" w:rsidRPr="002160C8">
        <w:rPr>
          <w:rFonts w:ascii="Arial" w:hAnsi="Arial" w:cs="Arial"/>
          <w:sz w:val="24"/>
          <w:szCs w:val="24"/>
        </w:rPr>
        <w:t>for</w:t>
      </w:r>
      <w:r w:rsidR="002160C8" w:rsidRPr="002160C8">
        <w:rPr>
          <w:rFonts w:ascii="Arial" w:hAnsi="Arial" w:cs="Arial"/>
          <w:spacing w:val="-5"/>
          <w:sz w:val="24"/>
          <w:szCs w:val="24"/>
        </w:rPr>
        <w:t xml:space="preserve"> </w:t>
      </w:r>
      <w:r w:rsidR="002160C8" w:rsidRPr="002160C8">
        <w:rPr>
          <w:rFonts w:ascii="Arial" w:hAnsi="Arial" w:cs="Arial"/>
          <w:sz w:val="24"/>
          <w:szCs w:val="24"/>
        </w:rPr>
        <w:t>the</w:t>
      </w:r>
      <w:r w:rsidR="002160C8" w:rsidRPr="002160C8">
        <w:rPr>
          <w:rFonts w:ascii="Arial" w:hAnsi="Arial" w:cs="Arial"/>
          <w:spacing w:val="-5"/>
          <w:sz w:val="24"/>
          <w:szCs w:val="24"/>
        </w:rPr>
        <w:t xml:space="preserve"> </w:t>
      </w:r>
      <w:r w:rsidR="002160C8" w:rsidRPr="002160C8">
        <w:rPr>
          <w:rFonts w:ascii="Arial" w:hAnsi="Arial" w:cs="Arial"/>
          <w:sz w:val="24"/>
          <w:szCs w:val="24"/>
        </w:rPr>
        <w:t>identified</w:t>
      </w:r>
      <w:r w:rsidR="002160C8" w:rsidRPr="002160C8">
        <w:rPr>
          <w:rFonts w:ascii="Arial" w:hAnsi="Arial" w:cs="Arial"/>
          <w:spacing w:val="-7"/>
          <w:sz w:val="24"/>
          <w:szCs w:val="24"/>
        </w:rPr>
        <w:t xml:space="preserve"> </w:t>
      </w:r>
      <w:r w:rsidR="002160C8" w:rsidRPr="002160C8">
        <w:rPr>
          <w:rFonts w:ascii="Arial" w:hAnsi="Arial" w:cs="Arial"/>
          <w:sz w:val="24"/>
          <w:szCs w:val="24"/>
        </w:rPr>
        <w:t>non-core</w:t>
      </w:r>
      <w:r w:rsidR="002160C8" w:rsidRPr="002160C8">
        <w:rPr>
          <w:rFonts w:ascii="Arial" w:hAnsi="Arial" w:cs="Arial"/>
          <w:spacing w:val="-6"/>
          <w:sz w:val="24"/>
          <w:szCs w:val="24"/>
        </w:rPr>
        <w:t xml:space="preserve"> </w:t>
      </w:r>
      <w:r w:rsidR="002160C8" w:rsidRPr="002160C8">
        <w:rPr>
          <w:rFonts w:ascii="Arial" w:hAnsi="Arial" w:cs="Arial"/>
          <w:sz w:val="24"/>
          <w:szCs w:val="24"/>
        </w:rPr>
        <w:t>limited</w:t>
      </w:r>
      <w:r w:rsidR="002160C8" w:rsidRPr="002160C8">
        <w:rPr>
          <w:rFonts w:ascii="Arial" w:hAnsi="Arial" w:cs="Arial"/>
          <w:spacing w:val="-4"/>
          <w:sz w:val="24"/>
          <w:szCs w:val="24"/>
        </w:rPr>
        <w:t xml:space="preserve"> </w:t>
      </w:r>
      <w:r w:rsidR="002160C8" w:rsidRPr="002160C8">
        <w:rPr>
          <w:rFonts w:ascii="Arial" w:hAnsi="Arial" w:cs="Arial"/>
          <w:sz w:val="24"/>
          <w:szCs w:val="24"/>
        </w:rPr>
        <w:t>lines</w:t>
      </w:r>
      <w:r w:rsidR="002160C8" w:rsidRPr="002160C8">
        <w:rPr>
          <w:rFonts w:ascii="Arial" w:hAnsi="Arial" w:cs="Arial"/>
          <w:spacing w:val="-7"/>
          <w:sz w:val="24"/>
          <w:szCs w:val="24"/>
        </w:rPr>
        <w:t xml:space="preserve"> </w:t>
      </w:r>
      <w:r w:rsidR="002160C8" w:rsidRPr="002160C8">
        <w:rPr>
          <w:rFonts w:ascii="Arial" w:hAnsi="Arial" w:cs="Arial"/>
          <w:spacing w:val="-2"/>
          <w:sz w:val="24"/>
          <w:szCs w:val="24"/>
        </w:rPr>
        <w:t>insurance</w:t>
      </w:r>
      <w:r w:rsidR="002160C8">
        <w:rPr>
          <w:rFonts w:ascii="Arial" w:hAnsi="Arial" w:cs="Arial"/>
          <w:spacing w:val="-2"/>
          <w:sz w:val="24"/>
          <w:szCs w:val="24"/>
        </w:rPr>
        <w:t>’</w:t>
      </w:r>
      <w:r w:rsidR="002160C8" w:rsidRPr="002160C8">
        <w:rPr>
          <w:rFonts w:ascii="Arial" w:hAnsi="Arial" w:cs="Arial"/>
          <w:spacing w:val="-2"/>
          <w:sz w:val="24"/>
          <w:szCs w:val="24"/>
        </w:rPr>
        <w:t>.</w:t>
      </w:r>
      <w:r w:rsidR="002160C8">
        <w:rPr>
          <w:rFonts w:ascii="Arial" w:hAnsi="Arial" w:cs="Arial"/>
          <w:spacing w:val="-2"/>
          <w:sz w:val="24"/>
          <w:szCs w:val="24"/>
        </w:rPr>
        <w:t xml:space="preserve">  I do believe we require residents to test for Legal Expense.  Maybe we could look into no test for Legal Expense for residents.</w:t>
      </w:r>
    </w:p>
    <w:p w14:paraId="573F62F8" w14:textId="77777777" w:rsidR="0011663D" w:rsidRDefault="0011663D" w:rsidP="002160C8">
      <w:pPr>
        <w:pStyle w:val="BodyText"/>
        <w:spacing w:before="1"/>
        <w:jc w:val="both"/>
        <w:rPr>
          <w:rFonts w:ascii="Arial" w:hAnsi="Arial" w:cs="Arial"/>
          <w:spacing w:val="-2"/>
          <w:sz w:val="24"/>
          <w:szCs w:val="24"/>
        </w:rPr>
      </w:pPr>
    </w:p>
    <w:p w14:paraId="5375A54A" w14:textId="77777777" w:rsidR="0011663D" w:rsidRDefault="0011663D" w:rsidP="002160C8">
      <w:pPr>
        <w:pStyle w:val="BodyText"/>
        <w:spacing w:before="1"/>
        <w:jc w:val="both"/>
        <w:rPr>
          <w:rFonts w:ascii="Arial" w:hAnsi="Arial" w:cs="Arial"/>
          <w:spacing w:val="-2"/>
          <w:sz w:val="24"/>
          <w:szCs w:val="24"/>
        </w:rPr>
      </w:pPr>
    </w:p>
    <w:p w14:paraId="7CB312FF" w14:textId="77777777" w:rsidR="0011663D" w:rsidRDefault="0011663D" w:rsidP="002160C8">
      <w:pPr>
        <w:pStyle w:val="BodyText"/>
        <w:spacing w:before="1"/>
        <w:jc w:val="both"/>
        <w:rPr>
          <w:rFonts w:ascii="Arial" w:hAnsi="Arial" w:cs="Arial"/>
          <w:spacing w:val="-2"/>
          <w:sz w:val="24"/>
          <w:szCs w:val="24"/>
        </w:rPr>
      </w:pPr>
    </w:p>
    <w:p w14:paraId="22FC3ADA" w14:textId="77777777" w:rsidR="0011663D" w:rsidRDefault="0011663D" w:rsidP="002160C8">
      <w:pPr>
        <w:pStyle w:val="BodyText"/>
        <w:spacing w:before="1"/>
        <w:jc w:val="both"/>
        <w:rPr>
          <w:rFonts w:ascii="Arial" w:hAnsi="Arial" w:cs="Arial"/>
          <w:spacing w:val="-2"/>
          <w:sz w:val="24"/>
          <w:szCs w:val="24"/>
        </w:rPr>
      </w:pPr>
    </w:p>
    <w:p w14:paraId="2F879915" w14:textId="1E925BCF" w:rsidR="0011663D" w:rsidRPr="0011663D" w:rsidRDefault="0011663D" w:rsidP="002160C8">
      <w:pPr>
        <w:pStyle w:val="BodyText"/>
        <w:spacing w:before="1"/>
        <w:jc w:val="both"/>
        <w:rPr>
          <w:rFonts w:ascii="Arial" w:hAnsi="Arial" w:cs="Arial"/>
          <w:b/>
          <w:bCs/>
          <w:spacing w:val="-2"/>
          <w:sz w:val="24"/>
          <w:szCs w:val="24"/>
          <w:u w:val="single"/>
        </w:rPr>
      </w:pPr>
      <w:r w:rsidRPr="0011663D">
        <w:rPr>
          <w:rFonts w:ascii="Arial" w:hAnsi="Arial" w:cs="Arial"/>
          <w:b/>
          <w:bCs/>
          <w:spacing w:val="-2"/>
          <w:sz w:val="24"/>
          <w:szCs w:val="24"/>
          <w:u w:val="single"/>
        </w:rPr>
        <w:lastRenderedPageBreak/>
        <w:t>CHAPTER 10</w:t>
      </w:r>
    </w:p>
    <w:p w14:paraId="6DBE237F" w14:textId="77777777" w:rsidR="0011663D" w:rsidRDefault="0011663D" w:rsidP="002160C8">
      <w:pPr>
        <w:pStyle w:val="BodyText"/>
        <w:spacing w:before="1"/>
        <w:jc w:val="both"/>
        <w:rPr>
          <w:rFonts w:ascii="Arial" w:hAnsi="Arial" w:cs="Arial"/>
          <w:sz w:val="24"/>
          <w:szCs w:val="24"/>
        </w:rPr>
      </w:pPr>
    </w:p>
    <w:p w14:paraId="53BF84A1" w14:textId="14D646A3" w:rsidR="0011663D" w:rsidRDefault="0011663D" w:rsidP="002160C8">
      <w:pPr>
        <w:pStyle w:val="BodyText"/>
        <w:spacing w:before="1"/>
        <w:jc w:val="both"/>
        <w:rPr>
          <w:rFonts w:ascii="Arial" w:hAnsi="Arial" w:cs="Arial"/>
          <w:b/>
          <w:bCs/>
          <w:sz w:val="24"/>
          <w:szCs w:val="24"/>
          <w:u w:val="single"/>
        </w:rPr>
      </w:pPr>
      <w:r>
        <w:rPr>
          <w:rFonts w:ascii="Arial" w:hAnsi="Arial" w:cs="Arial"/>
          <w:b/>
          <w:bCs/>
          <w:sz w:val="24"/>
          <w:szCs w:val="24"/>
          <w:u w:val="single"/>
        </w:rPr>
        <w:t>CHAPTER 11</w:t>
      </w:r>
    </w:p>
    <w:p w14:paraId="462601BE" w14:textId="77777777" w:rsidR="0011663D" w:rsidRDefault="0011663D" w:rsidP="002160C8">
      <w:pPr>
        <w:pStyle w:val="BodyText"/>
        <w:spacing w:before="1"/>
        <w:jc w:val="both"/>
        <w:rPr>
          <w:rFonts w:ascii="Arial" w:hAnsi="Arial" w:cs="Arial"/>
          <w:sz w:val="24"/>
          <w:szCs w:val="24"/>
        </w:rPr>
      </w:pPr>
    </w:p>
    <w:p w14:paraId="7E607266" w14:textId="77777777" w:rsidR="0011663D" w:rsidRDefault="0011663D" w:rsidP="002160C8">
      <w:pPr>
        <w:pStyle w:val="BodyText"/>
        <w:spacing w:before="1"/>
        <w:jc w:val="both"/>
        <w:rPr>
          <w:rFonts w:ascii="Arial" w:hAnsi="Arial" w:cs="Arial"/>
          <w:sz w:val="24"/>
          <w:szCs w:val="24"/>
        </w:rPr>
      </w:pPr>
    </w:p>
    <w:p w14:paraId="78DAAA4E" w14:textId="2AB34DDB" w:rsidR="00E03F76" w:rsidRDefault="00E03F76" w:rsidP="00E03F76">
      <w:pPr>
        <w:widowControl w:val="0"/>
        <w:tabs>
          <w:tab w:val="left" w:pos="939"/>
        </w:tabs>
        <w:autoSpaceDE w:val="0"/>
        <w:autoSpaceDN w:val="0"/>
        <w:spacing w:before="1" w:after="0" w:line="240" w:lineRule="auto"/>
        <w:rPr>
          <w:rFonts w:ascii="Arial" w:hAnsi="Arial" w:cs="Arial"/>
          <w:spacing w:val="-2"/>
        </w:rPr>
      </w:pPr>
      <w:r>
        <w:rPr>
          <w:rFonts w:ascii="Arial" w:hAnsi="Arial" w:cs="Arial"/>
        </w:rPr>
        <w:t>‘</w:t>
      </w:r>
      <w:r w:rsidRPr="00E03F76">
        <w:rPr>
          <w:rFonts w:ascii="Arial" w:hAnsi="Arial" w:cs="Arial"/>
        </w:rPr>
        <w:t>States</w:t>
      </w:r>
      <w:r w:rsidRPr="00E03F76">
        <w:rPr>
          <w:rFonts w:ascii="Arial" w:hAnsi="Arial" w:cs="Arial"/>
          <w:spacing w:val="-6"/>
        </w:rPr>
        <w:t xml:space="preserve"> </w:t>
      </w:r>
      <w:r w:rsidRPr="00E03F76">
        <w:rPr>
          <w:rFonts w:ascii="Arial" w:hAnsi="Arial" w:cs="Arial"/>
        </w:rPr>
        <w:t>shall</w:t>
      </w:r>
      <w:r w:rsidRPr="00E03F76">
        <w:rPr>
          <w:rFonts w:ascii="Arial" w:hAnsi="Arial" w:cs="Arial"/>
          <w:spacing w:val="-5"/>
        </w:rPr>
        <w:t xml:space="preserve"> </w:t>
      </w:r>
      <w:r w:rsidRPr="00E03F76">
        <w:rPr>
          <w:rFonts w:ascii="Arial" w:hAnsi="Arial" w:cs="Arial"/>
        </w:rPr>
        <w:t>allow</w:t>
      </w:r>
      <w:r w:rsidRPr="00E03F76">
        <w:rPr>
          <w:rFonts w:ascii="Arial" w:hAnsi="Arial" w:cs="Arial"/>
          <w:spacing w:val="-5"/>
        </w:rPr>
        <w:t xml:space="preserve"> </w:t>
      </w:r>
      <w:r w:rsidRPr="00E03F76">
        <w:rPr>
          <w:rFonts w:ascii="Arial" w:hAnsi="Arial" w:cs="Arial"/>
        </w:rPr>
        <w:t>insurers</w:t>
      </w:r>
      <w:r w:rsidRPr="00E03F76">
        <w:rPr>
          <w:rFonts w:ascii="Arial" w:hAnsi="Arial" w:cs="Arial"/>
          <w:spacing w:val="-6"/>
        </w:rPr>
        <w:t xml:space="preserve"> </w:t>
      </w:r>
      <w:r w:rsidRPr="00E03F76">
        <w:rPr>
          <w:rFonts w:ascii="Arial" w:hAnsi="Arial" w:cs="Arial"/>
        </w:rPr>
        <w:t>to</w:t>
      </w:r>
      <w:r w:rsidRPr="00E03F76">
        <w:rPr>
          <w:rFonts w:ascii="Arial" w:hAnsi="Arial" w:cs="Arial"/>
          <w:spacing w:val="-4"/>
        </w:rPr>
        <w:t xml:space="preserve"> </w:t>
      </w:r>
      <w:r w:rsidRPr="00E03F76">
        <w:rPr>
          <w:rFonts w:ascii="Arial" w:hAnsi="Arial" w:cs="Arial"/>
        </w:rPr>
        <w:t>select</w:t>
      </w:r>
      <w:r w:rsidRPr="00E03F76">
        <w:rPr>
          <w:rFonts w:ascii="Arial" w:hAnsi="Arial" w:cs="Arial"/>
          <w:spacing w:val="-4"/>
        </w:rPr>
        <w:t xml:space="preserve"> </w:t>
      </w:r>
      <w:r w:rsidRPr="00E03F76">
        <w:rPr>
          <w:rFonts w:ascii="Arial" w:hAnsi="Arial" w:cs="Arial"/>
        </w:rPr>
        <w:t>the</w:t>
      </w:r>
      <w:r w:rsidRPr="00E03F76">
        <w:rPr>
          <w:rFonts w:ascii="Arial" w:hAnsi="Arial" w:cs="Arial"/>
          <w:spacing w:val="-5"/>
        </w:rPr>
        <w:t xml:space="preserve"> </w:t>
      </w:r>
      <w:r w:rsidRPr="00E03F76">
        <w:rPr>
          <w:rFonts w:ascii="Arial" w:hAnsi="Arial" w:cs="Arial"/>
        </w:rPr>
        <w:t>effective</w:t>
      </w:r>
      <w:r w:rsidRPr="00E03F76">
        <w:rPr>
          <w:rFonts w:ascii="Arial" w:hAnsi="Arial" w:cs="Arial"/>
          <w:spacing w:val="-5"/>
        </w:rPr>
        <w:t xml:space="preserve"> </w:t>
      </w:r>
      <w:r w:rsidRPr="00E03F76">
        <w:rPr>
          <w:rFonts w:ascii="Arial" w:hAnsi="Arial" w:cs="Arial"/>
        </w:rPr>
        <w:t>date</w:t>
      </w:r>
      <w:r w:rsidRPr="00E03F76">
        <w:rPr>
          <w:rFonts w:ascii="Arial" w:hAnsi="Arial" w:cs="Arial"/>
          <w:spacing w:val="-7"/>
        </w:rPr>
        <w:t xml:space="preserve"> </w:t>
      </w:r>
      <w:r w:rsidRPr="00E03F76">
        <w:rPr>
          <w:rFonts w:ascii="Arial" w:hAnsi="Arial" w:cs="Arial"/>
        </w:rPr>
        <w:t>of</w:t>
      </w:r>
      <w:r w:rsidRPr="00E03F76">
        <w:rPr>
          <w:rFonts w:ascii="Arial" w:hAnsi="Arial" w:cs="Arial"/>
          <w:spacing w:val="-4"/>
        </w:rPr>
        <w:t xml:space="preserve"> </w:t>
      </w:r>
      <w:r w:rsidRPr="00E03F76">
        <w:rPr>
          <w:rFonts w:ascii="Arial" w:hAnsi="Arial" w:cs="Arial"/>
        </w:rPr>
        <w:t>the</w:t>
      </w:r>
      <w:r w:rsidRPr="00E03F76">
        <w:rPr>
          <w:rFonts w:ascii="Arial" w:hAnsi="Arial" w:cs="Arial"/>
          <w:spacing w:val="-5"/>
        </w:rPr>
        <w:t xml:space="preserve"> </w:t>
      </w:r>
      <w:r w:rsidRPr="00E03F76">
        <w:rPr>
          <w:rFonts w:ascii="Arial" w:hAnsi="Arial" w:cs="Arial"/>
        </w:rPr>
        <w:t>initial</w:t>
      </w:r>
      <w:r w:rsidRPr="00E03F76">
        <w:rPr>
          <w:rFonts w:ascii="Arial" w:hAnsi="Arial" w:cs="Arial"/>
          <w:spacing w:val="-4"/>
        </w:rPr>
        <w:t xml:space="preserve"> </w:t>
      </w:r>
      <w:r w:rsidRPr="00E03F76">
        <w:rPr>
          <w:rFonts w:ascii="Arial" w:hAnsi="Arial" w:cs="Arial"/>
          <w:spacing w:val="-2"/>
        </w:rPr>
        <w:t>appointment.</w:t>
      </w:r>
      <w:r>
        <w:rPr>
          <w:rFonts w:ascii="Arial" w:hAnsi="Arial" w:cs="Arial"/>
          <w:spacing w:val="-2"/>
        </w:rPr>
        <w:t>’</w:t>
      </w:r>
    </w:p>
    <w:p w14:paraId="17CD5BBC" w14:textId="77777777" w:rsidR="00E03F76" w:rsidRDefault="00E03F76" w:rsidP="00E03F76">
      <w:pPr>
        <w:widowControl w:val="0"/>
        <w:tabs>
          <w:tab w:val="left" w:pos="939"/>
        </w:tabs>
        <w:autoSpaceDE w:val="0"/>
        <w:autoSpaceDN w:val="0"/>
        <w:spacing w:before="1" w:after="0" w:line="240" w:lineRule="auto"/>
        <w:rPr>
          <w:rFonts w:ascii="Arial" w:hAnsi="Arial" w:cs="Arial"/>
          <w:spacing w:val="-2"/>
        </w:rPr>
      </w:pPr>
    </w:p>
    <w:p w14:paraId="3DAB1B08" w14:textId="3AE10A29" w:rsidR="00E03F76" w:rsidRPr="00E03F76" w:rsidRDefault="00E03F76" w:rsidP="00E03F76">
      <w:pPr>
        <w:widowControl w:val="0"/>
        <w:tabs>
          <w:tab w:val="left" w:pos="939"/>
        </w:tabs>
        <w:autoSpaceDE w:val="0"/>
        <w:autoSpaceDN w:val="0"/>
        <w:spacing w:before="1" w:after="0" w:line="240" w:lineRule="auto"/>
        <w:rPr>
          <w:rFonts w:ascii="Arial" w:hAnsi="Arial" w:cs="Arial"/>
        </w:rPr>
      </w:pPr>
      <w:r>
        <w:rPr>
          <w:rFonts w:ascii="Arial" w:hAnsi="Arial" w:cs="Arial"/>
          <w:spacing w:val="-2"/>
        </w:rPr>
        <w:t>North Dakota will only allow insurers to back date an appointment 30 days after a policy is placed.  Therefore, producers must be appointed within 30 days of placing a policy.</w:t>
      </w:r>
    </w:p>
    <w:p w14:paraId="24756CF3" w14:textId="77777777" w:rsidR="0011663D" w:rsidRPr="0011663D" w:rsidRDefault="0011663D" w:rsidP="002160C8">
      <w:pPr>
        <w:pStyle w:val="BodyText"/>
        <w:spacing w:before="1"/>
        <w:jc w:val="both"/>
        <w:rPr>
          <w:rFonts w:ascii="Arial" w:hAnsi="Arial" w:cs="Arial"/>
          <w:sz w:val="24"/>
          <w:szCs w:val="24"/>
        </w:rPr>
      </w:pPr>
    </w:p>
    <w:p w14:paraId="7F2CDA03" w14:textId="4FC4C782" w:rsidR="002160C8" w:rsidRDefault="002160C8" w:rsidP="00273D66">
      <w:pPr>
        <w:spacing w:after="0" w:line="240" w:lineRule="auto"/>
        <w:rPr>
          <w:rFonts w:ascii="Arial" w:hAnsi="Arial" w:cs="Arial"/>
        </w:rPr>
      </w:pPr>
    </w:p>
    <w:p w14:paraId="26E188B3" w14:textId="77777777" w:rsidR="00066FC7" w:rsidRDefault="00066FC7" w:rsidP="00273D66">
      <w:pPr>
        <w:spacing w:after="0" w:line="240" w:lineRule="auto"/>
        <w:rPr>
          <w:rFonts w:ascii="Arial" w:hAnsi="Arial" w:cs="Arial"/>
        </w:rPr>
      </w:pPr>
    </w:p>
    <w:p w14:paraId="59F218F8" w14:textId="77777777" w:rsidR="00066FC7" w:rsidRDefault="00066FC7" w:rsidP="00273D66">
      <w:pPr>
        <w:spacing w:after="0" w:line="240" w:lineRule="auto"/>
        <w:rPr>
          <w:rFonts w:ascii="Arial" w:hAnsi="Arial" w:cs="Arial"/>
        </w:rPr>
      </w:pPr>
    </w:p>
    <w:p w14:paraId="2E2CD3E2" w14:textId="77777777" w:rsidR="00066FC7" w:rsidRDefault="00066FC7" w:rsidP="00273D66">
      <w:pPr>
        <w:spacing w:after="0" w:line="240" w:lineRule="auto"/>
        <w:rPr>
          <w:rFonts w:ascii="Arial" w:hAnsi="Arial" w:cs="Arial"/>
        </w:rPr>
      </w:pPr>
    </w:p>
    <w:p w14:paraId="2CC85DB4" w14:textId="77777777" w:rsidR="00066FC7" w:rsidRDefault="00066FC7" w:rsidP="00273D66">
      <w:pPr>
        <w:spacing w:after="0" w:line="240" w:lineRule="auto"/>
        <w:rPr>
          <w:rFonts w:ascii="Arial" w:hAnsi="Arial" w:cs="Arial"/>
        </w:rPr>
      </w:pPr>
    </w:p>
    <w:p w14:paraId="589D4ED7" w14:textId="77777777" w:rsidR="00066FC7" w:rsidRDefault="00066FC7" w:rsidP="00273D66">
      <w:pPr>
        <w:spacing w:after="0" w:line="240" w:lineRule="auto"/>
        <w:rPr>
          <w:rFonts w:ascii="Arial" w:hAnsi="Arial" w:cs="Arial"/>
        </w:rPr>
      </w:pPr>
    </w:p>
    <w:p w14:paraId="15480868" w14:textId="77777777" w:rsidR="00066FC7" w:rsidRDefault="00066FC7" w:rsidP="00273D66">
      <w:pPr>
        <w:spacing w:after="0" w:line="240" w:lineRule="auto"/>
        <w:rPr>
          <w:rFonts w:ascii="Arial" w:hAnsi="Arial" w:cs="Arial"/>
        </w:rPr>
      </w:pPr>
    </w:p>
    <w:p w14:paraId="0216E940" w14:textId="77777777" w:rsidR="00066FC7" w:rsidRDefault="00066FC7" w:rsidP="00273D66">
      <w:pPr>
        <w:spacing w:after="0" w:line="240" w:lineRule="auto"/>
        <w:rPr>
          <w:rFonts w:ascii="Arial" w:hAnsi="Arial" w:cs="Arial"/>
        </w:rPr>
      </w:pPr>
    </w:p>
    <w:p w14:paraId="232EC78D" w14:textId="77777777" w:rsidR="00066FC7" w:rsidRDefault="00066FC7" w:rsidP="00273D66">
      <w:pPr>
        <w:spacing w:after="0" w:line="240" w:lineRule="auto"/>
        <w:rPr>
          <w:rFonts w:ascii="Arial" w:hAnsi="Arial" w:cs="Arial"/>
        </w:rPr>
      </w:pPr>
    </w:p>
    <w:p w14:paraId="22D02B2D" w14:textId="77777777" w:rsidR="00066FC7" w:rsidRDefault="00066FC7" w:rsidP="00273D66">
      <w:pPr>
        <w:spacing w:after="0" w:line="240" w:lineRule="auto"/>
        <w:rPr>
          <w:rFonts w:ascii="Arial" w:hAnsi="Arial" w:cs="Arial"/>
        </w:rPr>
      </w:pPr>
    </w:p>
    <w:p w14:paraId="724F50FD" w14:textId="77777777" w:rsidR="00066FC7" w:rsidRDefault="00066FC7" w:rsidP="00273D66">
      <w:pPr>
        <w:spacing w:after="0" w:line="240" w:lineRule="auto"/>
        <w:rPr>
          <w:rFonts w:ascii="Arial" w:hAnsi="Arial" w:cs="Arial"/>
        </w:rPr>
      </w:pPr>
    </w:p>
    <w:p w14:paraId="07BF1203" w14:textId="77777777" w:rsidR="00066FC7" w:rsidRDefault="00066FC7" w:rsidP="00273D66">
      <w:pPr>
        <w:spacing w:after="0" w:line="240" w:lineRule="auto"/>
        <w:rPr>
          <w:rFonts w:ascii="Arial" w:hAnsi="Arial" w:cs="Arial"/>
        </w:rPr>
      </w:pPr>
    </w:p>
    <w:p w14:paraId="771B8DFD" w14:textId="77777777" w:rsidR="00066FC7" w:rsidRDefault="00066FC7" w:rsidP="00273D66">
      <w:pPr>
        <w:spacing w:after="0" w:line="240" w:lineRule="auto"/>
        <w:rPr>
          <w:rFonts w:ascii="Arial" w:hAnsi="Arial" w:cs="Arial"/>
        </w:rPr>
      </w:pPr>
    </w:p>
    <w:p w14:paraId="1A65BCF1" w14:textId="77777777" w:rsidR="00066FC7" w:rsidRDefault="00066FC7" w:rsidP="00273D66">
      <w:pPr>
        <w:spacing w:after="0" w:line="240" w:lineRule="auto"/>
        <w:rPr>
          <w:rFonts w:ascii="Arial" w:hAnsi="Arial" w:cs="Arial"/>
        </w:rPr>
      </w:pPr>
    </w:p>
    <w:p w14:paraId="570BC9BA" w14:textId="77777777" w:rsidR="00066FC7" w:rsidRDefault="00066FC7" w:rsidP="00273D66">
      <w:pPr>
        <w:spacing w:after="0" w:line="240" w:lineRule="auto"/>
        <w:rPr>
          <w:rFonts w:ascii="Arial" w:hAnsi="Arial" w:cs="Arial"/>
        </w:rPr>
      </w:pPr>
    </w:p>
    <w:p w14:paraId="09DDB2F9" w14:textId="77777777" w:rsidR="00066FC7" w:rsidRDefault="00066FC7" w:rsidP="00273D66">
      <w:pPr>
        <w:spacing w:after="0" w:line="240" w:lineRule="auto"/>
        <w:rPr>
          <w:rFonts w:ascii="Arial" w:hAnsi="Arial" w:cs="Arial"/>
        </w:rPr>
      </w:pPr>
    </w:p>
    <w:p w14:paraId="20938F28" w14:textId="77777777" w:rsidR="00066FC7" w:rsidRDefault="00066FC7" w:rsidP="00273D66">
      <w:pPr>
        <w:spacing w:after="0" w:line="240" w:lineRule="auto"/>
        <w:rPr>
          <w:rFonts w:ascii="Arial" w:hAnsi="Arial" w:cs="Arial"/>
        </w:rPr>
      </w:pPr>
    </w:p>
    <w:p w14:paraId="6E83BA72" w14:textId="77777777" w:rsidR="00066FC7" w:rsidRDefault="00066FC7" w:rsidP="00273D66">
      <w:pPr>
        <w:spacing w:after="0" w:line="240" w:lineRule="auto"/>
        <w:rPr>
          <w:rFonts w:ascii="Arial" w:hAnsi="Arial" w:cs="Arial"/>
        </w:rPr>
      </w:pPr>
    </w:p>
    <w:p w14:paraId="358DC590" w14:textId="77777777" w:rsidR="00066FC7" w:rsidRDefault="00066FC7" w:rsidP="00273D66">
      <w:pPr>
        <w:spacing w:after="0" w:line="240" w:lineRule="auto"/>
        <w:rPr>
          <w:rFonts w:ascii="Arial" w:hAnsi="Arial" w:cs="Arial"/>
        </w:rPr>
      </w:pPr>
    </w:p>
    <w:p w14:paraId="4455F097" w14:textId="77777777" w:rsidR="00066FC7" w:rsidRDefault="00066FC7" w:rsidP="00273D66">
      <w:pPr>
        <w:spacing w:after="0" w:line="240" w:lineRule="auto"/>
        <w:rPr>
          <w:rFonts w:ascii="Arial" w:hAnsi="Arial" w:cs="Arial"/>
        </w:rPr>
      </w:pPr>
    </w:p>
    <w:p w14:paraId="6568997B" w14:textId="77777777" w:rsidR="00066FC7" w:rsidRDefault="00066FC7" w:rsidP="00273D66">
      <w:pPr>
        <w:spacing w:after="0" w:line="240" w:lineRule="auto"/>
        <w:rPr>
          <w:rFonts w:ascii="Arial" w:hAnsi="Arial" w:cs="Arial"/>
        </w:rPr>
      </w:pPr>
    </w:p>
    <w:p w14:paraId="1AF53BD3" w14:textId="77777777" w:rsidR="00066FC7" w:rsidRDefault="00066FC7" w:rsidP="00273D66">
      <w:pPr>
        <w:spacing w:after="0" w:line="240" w:lineRule="auto"/>
        <w:rPr>
          <w:rFonts w:ascii="Arial" w:hAnsi="Arial" w:cs="Arial"/>
        </w:rPr>
      </w:pPr>
    </w:p>
    <w:p w14:paraId="4EDE6DB5" w14:textId="77777777" w:rsidR="00066FC7" w:rsidRDefault="00066FC7" w:rsidP="00273D66">
      <w:pPr>
        <w:spacing w:after="0" w:line="240" w:lineRule="auto"/>
        <w:rPr>
          <w:rFonts w:ascii="Arial" w:hAnsi="Arial" w:cs="Arial"/>
        </w:rPr>
      </w:pPr>
    </w:p>
    <w:p w14:paraId="5BCD3922" w14:textId="77777777" w:rsidR="00066FC7" w:rsidRDefault="00066FC7" w:rsidP="00273D66">
      <w:pPr>
        <w:spacing w:after="0" w:line="240" w:lineRule="auto"/>
        <w:rPr>
          <w:rFonts w:ascii="Arial" w:hAnsi="Arial" w:cs="Arial"/>
        </w:rPr>
      </w:pPr>
    </w:p>
    <w:p w14:paraId="3B67F5B2" w14:textId="77777777" w:rsidR="00066FC7" w:rsidRDefault="00066FC7" w:rsidP="00273D66">
      <w:pPr>
        <w:spacing w:after="0" w:line="240" w:lineRule="auto"/>
        <w:rPr>
          <w:rFonts w:ascii="Arial" w:hAnsi="Arial" w:cs="Arial"/>
        </w:rPr>
      </w:pPr>
    </w:p>
    <w:p w14:paraId="028D57D2" w14:textId="77777777" w:rsidR="00066FC7" w:rsidRDefault="00066FC7" w:rsidP="00273D66">
      <w:pPr>
        <w:spacing w:after="0" w:line="240" w:lineRule="auto"/>
        <w:rPr>
          <w:rFonts w:ascii="Arial" w:hAnsi="Arial" w:cs="Arial"/>
        </w:rPr>
      </w:pPr>
    </w:p>
    <w:p w14:paraId="4A8FED1A" w14:textId="77777777" w:rsidR="00066FC7" w:rsidRDefault="00066FC7" w:rsidP="00273D66">
      <w:pPr>
        <w:spacing w:after="0" w:line="240" w:lineRule="auto"/>
        <w:rPr>
          <w:rFonts w:ascii="Arial" w:hAnsi="Arial" w:cs="Arial"/>
        </w:rPr>
      </w:pPr>
    </w:p>
    <w:p w14:paraId="0ED3E36A" w14:textId="77777777" w:rsidR="00066FC7" w:rsidRDefault="00066FC7" w:rsidP="00273D66">
      <w:pPr>
        <w:spacing w:after="0" w:line="240" w:lineRule="auto"/>
        <w:rPr>
          <w:rFonts w:ascii="Arial" w:hAnsi="Arial" w:cs="Arial"/>
        </w:rPr>
      </w:pPr>
    </w:p>
    <w:p w14:paraId="20E96544" w14:textId="77777777" w:rsidR="00066FC7" w:rsidRDefault="00066FC7" w:rsidP="00273D66">
      <w:pPr>
        <w:spacing w:after="0" w:line="240" w:lineRule="auto"/>
        <w:rPr>
          <w:rFonts w:ascii="Arial" w:hAnsi="Arial" w:cs="Arial"/>
        </w:rPr>
      </w:pPr>
    </w:p>
    <w:p w14:paraId="5DBCACF6" w14:textId="77777777" w:rsidR="00066FC7" w:rsidRDefault="00066FC7" w:rsidP="00273D66">
      <w:pPr>
        <w:spacing w:after="0" w:line="240" w:lineRule="auto"/>
        <w:rPr>
          <w:rFonts w:ascii="Arial" w:hAnsi="Arial" w:cs="Arial"/>
        </w:rPr>
      </w:pPr>
    </w:p>
    <w:p w14:paraId="19C2D802" w14:textId="77777777" w:rsidR="00066FC7" w:rsidRDefault="00066FC7" w:rsidP="00273D66">
      <w:pPr>
        <w:spacing w:after="0" w:line="240" w:lineRule="auto"/>
        <w:rPr>
          <w:rFonts w:ascii="Arial" w:hAnsi="Arial" w:cs="Arial"/>
        </w:rPr>
      </w:pPr>
    </w:p>
    <w:p w14:paraId="1B4391E8" w14:textId="77777777" w:rsidR="00066FC7" w:rsidRDefault="00066FC7" w:rsidP="00273D66">
      <w:pPr>
        <w:spacing w:after="0" w:line="240" w:lineRule="auto"/>
        <w:rPr>
          <w:rFonts w:ascii="Arial" w:hAnsi="Arial" w:cs="Arial"/>
        </w:rPr>
      </w:pPr>
    </w:p>
    <w:p w14:paraId="01512AF6" w14:textId="77777777" w:rsidR="00066FC7" w:rsidRDefault="00066FC7" w:rsidP="00273D66">
      <w:pPr>
        <w:spacing w:after="0" w:line="240" w:lineRule="auto"/>
        <w:rPr>
          <w:rFonts w:ascii="Arial" w:hAnsi="Arial" w:cs="Arial"/>
        </w:rPr>
      </w:pPr>
    </w:p>
    <w:p w14:paraId="22787813" w14:textId="77777777" w:rsidR="00066FC7" w:rsidRDefault="00066FC7" w:rsidP="00273D66">
      <w:pPr>
        <w:spacing w:after="0" w:line="240" w:lineRule="auto"/>
        <w:rPr>
          <w:rFonts w:ascii="Arial" w:hAnsi="Arial" w:cs="Arial"/>
        </w:rPr>
      </w:pPr>
    </w:p>
    <w:p w14:paraId="4AFD5936" w14:textId="77777777" w:rsidR="00066FC7" w:rsidRDefault="00066FC7" w:rsidP="00273D66">
      <w:pPr>
        <w:spacing w:after="0" w:line="240" w:lineRule="auto"/>
        <w:rPr>
          <w:rFonts w:ascii="Arial" w:hAnsi="Arial" w:cs="Arial"/>
        </w:rPr>
      </w:pPr>
    </w:p>
    <w:p w14:paraId="61212391" w14:textId="77777777" w:rsidR="00066FC7" w:rsidRDefault="00066FC7" w:rsidP="00273D66">
      <w:pPr>
        <w:spacing w:after="0" w:line="240" w:lineRule="auto"/>
        <w:rPr>
          <w:rFonts w:ascii="Arial" w:hAnsi="Arial" w:cs="Arial"/>
        </w:rPr>
      </w:pPr>
    </w:p>
    <w:p w14:paraId="6FC8D585" w14:textId="06B438E5" w:rsidR="00066FC7" w:rsidRPr="002160C8" w:rsidRDefault="00066FC7" w:rsidP="00273D66">
      <w:pPr>
        <w:spacing w:after="0" w:line="240" w:lineRule="auto"/>
        <w:rPr>
          <w:rFonts w:ascii="Arial" w:hAnsi="Arial" w:cs="Arial"/>
        </w:rPr>
      </w:pPr>
      <w:r>
        <w:rPr>
          <w:rFonts w:ascii="Aptos" w:hAnsi="Aptos"/>
          <w:noProof/>
          <w14:ligatures w14:val="none"/>
        </w:rPr>
        <w:lastRenderedPageBreak/>
        <w:drawing>
          <wp:inline distT="0" distB="0" distL="0" distR="0" wp14:anchorId="4AF75A1F" wp14:editId="5074537D">
            <wp:extent cx="5943600" cy="7228073"/>
            <wp:effectExtent l="0" t="0" r="0" b="11430"/>
            <wp:docPr id="2015948725" name="Picture 1" descr="A document with text and a yellow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48725" name="Picture 1" descr="A document with text and a yellow mark&#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43600" cy="7228073"/>
                    </a:xfrm>
                    <a:prstGeom prst="rect">
                      <a:avLst/>
                    </a:prstGeom>
                    <a:noFill/>
                    <a:ln>
                      <a:noFill/>
                    </a:ln>
                  </pic:spPr>
                </pic:pic>
              </a:graphicData>
            </a:graphic>
          </wp:inline>
        </w:drawing>
      </w:r>
    </w:p>
    <w:sectPr w:rsidR="00066FC7" w:rsidRPr="002160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52302"/>
    <w:multiLevelType w:val="hybridMultilevel"/>
    <w:tmpl w:val="685E6E00"/>
    <w:lvl w:ilvl="0" w:tplc="5D2A690A">
      <w:start w:val="1"/>
      <w:numFmt w:val="decimal"/>
      <w:lvlText w:val="%1."/>
      <w:lvlJc w:val="left"/>
      <w:pPr>
        <w:ind w:left="9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217874BC">
      <w:numFmt w:val="bullet"/>
      <w:lvlText w:val="•"/>
      <w:lvlJc w:val="left"/>
      <w:pPr>
        <w:ind w:left="1826" w:hanging="360"/>
      </w:pPr>
      <w:rPr>
        <w:rFonts w:hint="default"/>
        <w:lang w:val="en-US" w:eastAsia="en-US" w:bidi="ar-SA"/>
      </w:rPr>
    </w:lvl>
    <w:lvl w:ilvl="2" w:tplc="C9927690">
      <w:numFmt w:val="bullet"/>
      <w:lvlText w:val="•"/>
      <w:lvlJc w:val="left"/>
      <w:pPr>
        <w:ind w:left="2712" w:hanging="360"/>
      </w:pPr>
      <w:rPr>
        <w:rFonts w:hint="default"/>
        <w:lang w:val="en-US" w:eastAsia="en-US" w:bidi="ar-SA"/>
      </w:rPr>
    </w:lvl>
    <w:lvl w:ilvl="3" w:tplc="0616C044">
      <w:numFmt w:val="bullet"/>
      <w:lvlText w:val="•"/>
      <w:lvlJc w:val="left"/>
      <w:pPr>
        <w:ind w:left="3598" w:hanging="360"/>
      </w:pPr>
      <w:rPr>
        <w:rFonts w:hint="default"/>
        <w:lang w:val="en-US" w:eastAsia="en-US" w:bidi="ar-SA"/>
      </w:rPr>
    </w:lvl>
    <w:lvl w:ilvl="4" w:tplc="7884E99E">
      <w:numFmt w:val="bullet"/>
      <w:lvlText w:val="•"/>
      <w:lvlJc w:val="left"/>
      <w:pPr>
        <w:ind w:left="4484" w:hanging="360"/>
      </w:pPr>
      <w:rPr>
        <w:rFonts w:hint="default"/>
        <w:lang w:val="en-US" w:eastAsia="en-US" w:bidi="ar-SA"/>
      </w:rPr>
    </w:lvl>
    <w:lvl w:ilvl="5" w:tplc="19541056">
      <w:numFmt w:val="bullet"/>
      <w:lvlText w:val="•"/>
      <w:lvlJc w:val="left"/>
      <w:pPr>
        <w:ind w:left="5370" w:hanging="360"/>
      </w:pPr>
      <w:rPr>
        <w:rFonts w:hint="default"/>
        <w:lang w:val="en-US" w:eastAsia="en-US" w:bidi="ar-SA"/>
      </w:rPr>
    </w:lvl>
    <w:lvl w:ilvl="6" w:tplc="F7A07858">
      <w:numFmt w:val="bullet"/>
      <w:lvlText w:val="•"/>
      <w:lvlJc w:val="left"/>
      <w:pPr>
        <w:ind w:left="6256" w:hanging="360"/>
      </w:pPr>
      <w:rPr>
        <w:rFonts w:hint="default"/>
        <w:lang w:val="en-US" w:eastAsia="en-US" w:bidi="ar-SA"/>
      </w:rPr>
    </w:lvl>
    <w:lvl w:ilvl="7" w:tplc="467A3F58">
      <w:numFmt w:val="bullet"/>
      <w:lvlText w:val="•"/>
      <w:lvlJc w:val="left"/>
      <w:pPr>
        <w:ind w:left="7142" w:hanging="360"/>
      </w:pPr>
      <w:rPr>
        <w:rFonts w:hint="default"/>
        <w:lang w:val="en-US" w:eastAsia="en-US" w:bidi="ar-SA"/>
      </w:rPr>
    </w:lvl>
    <w:lvl w:ilvl="8" w:tplc="6D584886">
      <w:numFmt w:val="bullet"/>
      <w:lvlText w:val="•"/>
      <w:lvlJc w:val="left"/>
      <w:pPr>
        <w:ind w:left="8028" w:hanging="360"/>
      </w:pPr>
      <w:rPr>
        <w:rFonts w:hint="default"/>
        <w:lang w:val="en-US" w:eastAsia="en-US" w:bidi="ar-SA"/>
      </w:rPr>
    </w:lvl>
  </w:abstractNum>
  <w:num w:numId="1" w16cid:durableId="196596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66"/>
    <w:rsid w:val="00066FC7"/>
    <w:rsid w:val="0011663D"/>
    <w:rsid w:val="00121491"/>
    <w:rsid w:val="001A05D7"/>
    <w:rsid w:val="002160C8"/>
    <w:rsid w:val="00273D66"/>
    <w:rsid w:val="004747EC"/>
    <w:rsid w:val="005A01EC"/>
    <w:rsid w:val="005F15F6"/>
    <w:rsid w:val="0073168E"/>
    <w:rsid w:val="00932BB4"/>
    <w:rsid w:val="009B36C4"/>
    <w:rsid w:val="00A81932"/>
    <w:rsid w:val="00AD11B7"/>
    <w:rsid w:val="00B613F8"/>
    <w:rsid w:val="00DD64DC"/>
    <w:rsid w:val="00E03F76"/>
    <w:rsid w:val="00EA479D"/>
    <w:rsid w:val="00EF4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08E2"/>
  <w15:chartTrackingRefBased/>
  <w15:docId w15:val="{099F2158-8800-4CCA-8819-073BCB82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3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3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3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D66"/>
    <w:rPr>
      <w:rFonts w:eastAsiaTheme="majorEastAsia" w:cstheme="majorBidi"/>
      <w:color w:val="272727" w:themeColor="text1" w:themeTint="D8"/>
    </w:rPr>
  </w:style>
  <w:style w:type="paragraph" w:styleId="Title">
    <w:name w:val="Title"/>
    <w:basedOn w:val="Normal"/>
    <w:next w:val="Normal"/>
    <w:link w:val="TitleChar"/>
    <w:uiPriority w:val="10"/>
    <w:qFormat/>
    <w:rsid w:val="00273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D66"/>
    <w:pPr>
      <w:spacing w:before="160"/>
      <w:jc w:val="center"/>
    </w:pPr>
    <w:rPr>
      <w:i/>
      <w:iCs/>
      <w:color w:val="404040" w:themeColor="text1" w:themeTint="BF"/>
    </w:rPr>
  </w:style>
  <w:style w:type="character" w:customStyle="1" w:styleId="QuoteChar">
    <w:name w:val="Quote Char"/>
    <w:basedOn w:val="DefaultParagraphFont"/>
    <w:link w:val="Quote"/>
    <w:uiPriority w:val="29"/>
    <w:rsid w:val="00273D66"/>
    <w:rPr>
      <w:i/>
      <w:iCs/>
      <w:color w:val="404040" w:themeColor="text1" w:themeTint="BF"/>
    </w:rPr>
  </w:style>
  <w:style w:type="paragraph" w:styleId="ListParagraph">
    <w:name w:val="List Paragraph"/>
    <w:basedOn w:val="Normal"/>
    <w:uiPriority w:val="1"/>
    <w:qFormat/>
    <w:rsid w:val="00273D66"/>
    <w:pPr>
      <w:ind w:left="720"/>
      <w:contextualSpacing/>
    </w:pPr>
  </w:style>
  <w:style w:type="character" w:styleId="IntenseEmphasis">
    <w:name w:val="Intense Emphasis"/>
    <w:basedOn w:val="DefaultParagraphFont"/>
    <w:uiPriority w:val="21"/>
    <w:qFormat/>
    <w:rsid w:val="00273D66"/>
    <w:rPr>
      <w:i/>
      <w:iCs/>
      <w:color w:val="0F4761" w:themeColor="accent1" w:themeShade="BF"/>
    </w:rPr>
  </w:style>
  <w:style w:type="paragraph" w:styleId="IntenseQuote">
    <w:name w:val="Intense Quote"/>
    <w:basedOn w:val="Normal"/>
    <w:next w:val="Normal"/>
    <w:link w:val="IntenseQuoteChar"/>
    <w:uiPriority w:val="30"/>
    <w:qFormat/>
    <w:rsid w:val="00273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D66"/>
    <w:rPr>
      <w:i/>
      <w:iCs/>
      <w:color w:val="0F4761" w:themeColor="accent1" w:themeShade="BF"/>
    </w:rPr>
  </w:style>
  <w:style w:type="character" w:styleId="IntenseReference">
    <w:name w:val="Intense Reference"/>
    <w:basedOn w:val="DefaultParagraphFont"/>
    <w:uiPriority w:val="32"/>
    <w:qFormat/>
    <w:rsid w:val="00273D66"/>
    <w:rPr>
      <w:b/>
      <w:bCs/>
      <w:smallCaps/>
      <w:color w:val="0F4761" w:themeColor="accent1" w:themeShade="BF"/>
      <w:spacing w:val="5"/>
    </w:rPr>
  </w:style>
  <w:style w:type="paragraph" w:styleId="BodyText">
    <w:name w:val="Body Text"/>
    <w:basedOn w:val="Normal"/>
    <w:link w:val="BodyTextChar"/>
    <w:uiPriority w:val="1"/>
    <w:qFormat/>
    <w:rsid w:val="002160C8"/>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2160C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6.png@01DBEF20.AE6A0F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2025-07-11T17:26:37+00:00</_EndDate>
    <StartDate xmlns="http://schemas.microsoft.com/sharepoint/v3">2025-07-11T17:26:37+00:00</StartDate>
    <Location xmlns="http://schemas.microsoft.com/sharepoint/v3/fields" xsi:nil="true"/>
    <Meeting_x0020_Type xmlns="734dc620-9a3c-4363-b6b2-552d0a5c0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D1633-63AA-4A09-8284-18C58E731545}">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19959AD5-FF93-47B1-AB6A-F1CE3646A142}">
  <ds:schemaRefs>
    <ds:schemaRef ds:uri="http://schemas.microsoft.com/sharepoint/v3/contenttype/forms"/>
  </ds:schemaRefs>
</ds:datastoreItem>
</file>

<file path=customXml/itemProps3.xml><?xml version="1.0" encoding="utf-8"?>
<ds:datastoreItem xmlns:ds="http://schemas.openxmlformats.org/officeDocument/2006/customXml" ds:itemID="{E0935D4C-378E-44C9-80BC-D4B1D1168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439</Words>
  <Characters>2508</Characters>
  <Application>Microsoft Office Word</Application>
  <DocSecurity>0</DocSecurity>
  <Lines>20</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Offerman, Cindi L.</dc:creator>
  <cp:keywords/>
  <dc:description/>
  <cp:lastModifiedBy>Welker, Greg</cp:lastModifiedBy>
  <cp:revision>3</cp:revision>
  <dcterms:created xsi:type="dcterms:W3CDTF">2025-07-11T17:26:00Z</dcterms:created>
  <dcterms:modified xsi:type="dcterms:W3CDTF">2025-07-11T18:30:00Z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ies>
</file>