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66FF" w14:textId="052DA834" w:rsidR="005129E3" w:rsidRPr="00197EFD" w:rsidRDefault="00045B0F">
      <w:pPr>
        <w:rPr>
          <w:b/>
          <w:bCs/>
        </w:rPr>
      </w:pPr>
      <w:r w:rsidRPr="00197EFD">
        <w:rPr>
          <w:b/>
          <w:bCs/>
        </w:rPr>
        <w:t>New Glossary Terms:</w:t>
      </w:r>
    </w:p>
    <w:p w14:paraId="3D572A0C" w14:textId="77777777" w:rsidR="00197EFD" w:rsidRDefault="00197EFD" w:rsidP="00197EFD">
      <w:pPr>
        <w:jc w:val="both"/>
      </w:pPr>
      <w:r w:rsidRPr="00197EFD">
        <w:rPr>
          <w:b/>
          <w:bCs/>
        </w:rPr>
        <w:t>Accumulated Local Effects Plots:</w:t>
      </w:r>
      <w:r>
        <w:t xml:space="preserve"> A type of interpretability plot. Accumulated Local Effects plots calculate smaller, incremental changes in the feature effects. ALE shows the expected and centered effects of a variable.</w:t>
      </w:r>
    </w:p>
    <w:p w14:paraId="09105117" w14:textId="77777777" w:rsidR="00197EFD" w:rsidRDefault="00197EFD" w:rsidP="00197EFD">
      <w:pPr>
        <w:jc w:val="both"/>
      </w:pPr>
      <w:r w:rsidRPr="00197EFD">
        <w:rPr>
          <w:b/>
          <w:bCs/>
        </w:rPr>
        <w:t>Bagged Trees:</w:t>
      </w:r>
      <w:r>
        <w:t xml:space="preserve"> An ensemble of trees model where each tree is based on a “bootstrap aggregated” sample.</w:t>
      </w:r>
    </w:p>
    <w:p w14:paraId="31FC38DC" w14:textId="55E4B4FA" w:rsidR="00656C43" w:rsidRDefault="00656C43" w:rsidP="00197EFD">
      <w:pPr>
        <w:jc w:val="both"/>
      </w:pPr>
      <w:r w:rsidRPr="00197EFD">
        <w:rPr>
          <w:b/>
          <w:bCs/>
        </w:rPr>
        <w:t>Branch:</w:t>
      </w:r>
      <w:r>
        <w:t xml:space="preserve"> A connection on a decision tree between a parent node and a child node. A relationship based on a predictor variable is checked at each node, determining which branch applies.</w:t>
      </w:r>
    </w:p>
    <w:p w14:paraId="3A77F9E1" w14:textId="4D7931F1" w:rsidR="00656C43" w:rsidRDefault="00656C43" w:rsidP="00197EFD">
      <w:pPr>
        <w:jc w:val="both"/>
      </w:pPr>
      <w:r w:rsidRPr="00197EFD">
        <w:rPr>
          <w:b/>
          <w:bCs/>
        </w:rPr>
        <w:t>Candidate Variables:</w:t>
      </w:r>
      <w:r>
        <w:t xml:space="preserve"> The variables specified by the modeler to be used with</w:t>
      </w:r>
      <w:r w:rsidR="00197EFD">
        <w:t>in</w:t>
      </w:r>
      <w:r>
        <w:t xml:space="preserve"> the full model. The random variable selection by a random forest means that component trees might only use a subset of these variables in each tree.</w:t>
      </w:r>
    </w:p>
    <w:p w14:paraId="78A3BD72" w14:textId="77777777" w:rsidR="00656C43" w:rsidRDefault="00656C43" w:rsidP="00197EFD">
      <w:pPr>
        <w:jc w:val="both"/>
      </w:pPr>
      <w:r w:rsidRPr="00197EFD">
        <w:rPr>
          <w:b/>
          <w:bCs/>
        </w:rPr>
        <w:t>Child node:</w:t>
      </w:r>
      <w:r>
        <w:t xml:space="preserve"> The node below a parent node. The child node is the result of a split that occurs based on a predictor variable. The node above the child node, which is where the split occurred resulting in the creation of the child nodes, is called the parent note. There is 1 parent node for every child node. The root node is the only node which is not a child node.</w:t>
      </w:r>
    </w:p>
    <w:p w14:paraId="3E727D62" w14:textId="59AB5AC4" w:rsidR="00197EFD" w:rsidRDefault="00197EFD" w:rsidP="00197EFD">
      <w:pPr>
        <w:jc w:val="both"/>
      </w:pPr>
      <w:r w:rsidRPr="00197EFD">
        <w:rPr>
          <w:b/>
          <w:bCs/>
        </w:rPr>
        <w:t>Component Tree:</w:t>
      </w:r>
      <w:r>
        <w:t xml:space="preserve"> An individual tree within an ensemble of trees based method such as random forest or gradient boosting machine.</w:t>
      </w:r>
    </w:p>
    <w:p w14:paraId="4E60A4F3" w14:textId="486B6609" w:rsidR="00197EFD" w:rsidRDefault="00197EFD" w:rsidP="00197EFD">
      <w:pPr>
        <w:jc w:val="both"/>
      </w:pPr>
      <w:r w:rsidRPr="00197EFD">
        <w:rPr>
          <w:b/>
          <w:bCs/>
        </w:rPr>
        <w:t>Deviance:</w:t>
      </w:r>
      <w:r>
        <w:t xml:space="preserve"> A measure of model fit. Deviance is based on the difference between the log-likelihood of the saturated model and the log-likelihood of the proposed model being evaluated. Smaller values of deviance demonstrate that a model’s predictions fit closer to actual. Deviance on training data will always decrease as model complexity increases.</w:t>
      </w:r>
    </w:p>
    <w:p w14:paraId="4A950A8B" w14:textId="77777777" w:rsidR="00197EFD" w:rsidRDefault="00197EFD" w:rsidP="00197EFD">
      <w:pPr>
        <w:jc w:val="both"/>
      </w:pPr>
      <w:r w:rsidRPr="00197EFD">
        <w:rPr>
          <w:b/>
          <w:bCs/>
        </w:rPr>
        <w:t>Hyperparameter:</w:t>
      </w:r>
      <w:r>
        <w:t xml:space="preserve"> </w:t>
      </w:r>
      <w:r w:rsidRPr="00BD09C2">
        <w:t xml:space="preserve">A model hyperparameter is a </w:t>
      </w:r>
      <w:r>
        <w:t>model setting specified by the modeler t</w:t>
      </w:r>
      <w:r w:rsidRPr="00BD09C2">
        <w:t>hat is external to the model and whose value cannot be estimated from data.</w:t>
      </w:r>
    </w:p>
    <w:p w14:paraId="11006E3B" w14:textId="77777777" w:rsidR="00656C43" w:rsidRDefault="00656C43" w:rsidP="00197EFD">
      <w:pPr>
        <w:jc w:val="both"/>
      </w:pPr>
      <w:r w:rsidRPr="00197EFD">
        <w:rPr>
          <w:b/>
          <w:bCs/>
        </w:rPr>
        <w:t>Node:</w:t>
      </w:r>
      <w:r>
        <w:t xml:space="preserve"> A point on a decision tree. Nodes are either root nodes (the top node), leaf nodes (a terminal node at which point no further splitting occurs), or </w:t>
      </w:r>
      <w:proofErr w:type="spellStart"/>
      <w:proofErr w:type="gramStart"/>
      <w:r>
        <w:t>a</w:t>
      </w:r>
      <w:proofErr w:type="spellEnd"/>
      <w:proofErr w:type="gramEnd"/>
      <w:r>
        <w:t xml:space="preserve"> internal node which appears in the middle of the tree while splitting is still taking place.</w:t>
      </w:r>
    </w:p>
    <w:p w14:paraId="4D4D47E6" w14:textId="77777777" w:rsidR="00197EFD" w:rsidRDefault="00197EFD" w:rsidP="00197EFD">
      <w:pPr>
        <w:jc w:val="both"/>
      </w:pPr>
      <w:r w:rsidRPr="00197EFD">
        <w:rPr>
          <w:b/>
          <w:bCs/>
        </w:rPr>
        <w:t>Out-of-Bag Error:</w:t>
      </w:r>
      <w:r>
        <w:t xml:space="preserve"> Error calculated for observations based on the trees that did not include them in the set of training observations. Out-of-Bag Error is calculable when bootstrapping is used to generate different datasets for each component tree in an ensemble tree method.</w:t>
      </w:r>
    </w:p>
    <w:p w14:paraId="601E2531" w14:textId="628006F5" w:rsidR="00656C43" w:rsidRDefault="00656C43" w:rsidP="00197EFD">
      <w:pPr>
        <w:jc w:val="both"/>
      </w:pPr>
      <w:r w:rsidRPr="00197EFD">
        <w:rPr>
          <w:b/>
          <w:bCs/>
        </w:rPr>
        <w:t>Parent node:</w:t>
      </w:r>
      <w:r>
        <w:t xml:space="preserve"> The node above a child node. The parent node is where a split occurs based on a predictor variable. The nodes below the parent node, which are a direct result of the parent node’s split, are called child nodes. There are typically 2 child nodes for every parent node. Terminal nodes </w:t>
      </w:r>
      <w:proofErr w:type="spellStart"/>
      <w:r>
        <w:t>can not</w:t>
      </w:r>
      <w:proofErr w:type="spellEnd"/>
      <w:r>
        <w:t xml:space="preserve"> be parent nodes.</w:t>
      </w:r>
    </w:p>
    <w:p w14:paraId="2C841603" w14:textId="77777777" w:rsidR="00197EFD" w:rsidRDefault="00197EFD" w:rsidP="00197EFD">
      <w:pPr>
        <w:jc w:val="both"/>
      </w:pPr>
      <w:r w:rsidRPr="00197EFD">
        <w:rPr>
          <w:b/>
          <w:bCs/>
        </w:rPr>
        <w:t>Partial Dependence Plots:</w:t>
      </w:r>
      <w:r>
        <w:t xml:space="preserve"> A type of interpretability plot. </w:t>
      </w:r>
      <w:r w:rsidRPr="00871801">
        <w:t>The partial dependence plot computes the marginal effect of a given variable on the prediction.</w:t>
      </w:r>
    </w:p>
    <w:p w14:paraId="6DEE6737" w14:textId="52A4AEED" w:rsidR="00656C43" w:rsidRDefault="00656C43" w:rsidP="00197EFD">
      <w:pPr>
        <w:jc w:val="both"/>
      </w:pPr>
      <w:r w:rsidRPr="00197EFD">
        <w:rPr>
          <w:b/>
          <w:bCs/>
        </w:rPr>
        <w:t>Pruning:</w:t>
      </w:r>
      <w:r>
        <w:t xml:space="preserve"> The process of scaling back a tree to reduce </w:t>
      </w:r>
      <w:proofErr w:type="spellStart"/>
      <w:proofErr w:type="gramStart"/>
      <w:r>
        <w:t>it’s</w:t>
      </w:r>
      <w:proofErr w:type="spellEnd"/>
      <w:proofErr w:type="gramEnd"/>
      <w:r>
        <w:t xml:space="preserve"> complexity. This results in trees with fewer branches and terminal nodes appearing higher on the tree. Pruning is more common on models built on </w:t>
      </w:r>
      <w:r>
        <w:lastRenderedPageBreak/>
        <w:t>a single decision tree rather than on ensemble models such as random forests or Gradient Boosting Machines.</w:t>
      </w:r>
    </w:p>
    <w:p w14:paraId="75A63516" w14:textId="77777777" w:rsidR="00197EFD" w:rsidRDefault="00197EFD" w:rsidP="00197EFD">
      <w:pPr>
        <w:jc w:val="both"/>
      </w:pPr>
      <w:r w:rsidRPr="00197EFD">
        <w:rPr>
          <w:b/>
          <w:bCs/>
        </w:rPr>
        <w:t>Random Forest:</w:t>
      </w:r>
      <w:r>
        <w:t xml:space="preserve"> An ensemble of trees model where each tree is based on a bootstrap aggregated sample and each split is based on a random sample of the candidate variables.</w:t>
      </w:r>
    </w:p>
    <w:p w14:paraId="641ED0C8" w14:textId="77777777" w:rsidR="00656C43" w:rsidRDefault="00656C43" w:rsidP="00197EFD">
      <w:pPr>
        <w:jc w:val="both"/>
      </w:pPr>
      <w:r w:rsidRPr="00197EFD">
        <w:rPr>
          <w:b/>
          <w:bCs/>
        </w:rPr>
        <w:t>Root node:</w:t>
      </w:r>
      <w:r>
        <w:t xml:space="preserve"> The first (top) node in a decision tree. This node contains the entire set of data used by the tree as no splits have occurred yet.</w:t>
      </w:r>
    </w:p>
    <w:p w14:paraId="6FB38209" w14:textId="77777777" w:rsidR="00197EFD" w:rsidRDefault="00197EFD" w:rsidP="00197EFD">
      <w:pPr>
        <w:jc w:val="both"/>
      </w:pPr>
      <w:r w:rsidRPr="00197EFD">
        <w:rPr>
          <w:b/>
          <w:bCs/>
        </w:rPr>
        <w:t>Shapley Additive Explanation Plots:</w:t>
      </w:r>
      <w:r>
        <w:t xml:space="preserve"> A type of interpretability plot. Shapley plots investigate the effect of including a variable in the model by the order in which it is added. The Shapley value represents the amount the variable of interest contributes to the prediction.</w:t>
      </w:r>
    </w:p>
    <w:p w14:paraId="4A4159CC" w14:textId="77777777" w:rsidR="00656C43" w:rsidRDefault="00656C43" w:rsidP="00197EFD">
      <w:pPr>
        <w:jc w:val="both"/>
      </w:pPr>
      <w:r w:rsidRPr="00197EFD">
        <w:rPr>
          <w:b/>
          <w:bCs/>
        </w:rPr>
        <w:t>Splitting:</w:t>
      </w:r>
      <w:r>
        <w:t xml:space="preserve"> The process of dividing a node into two or more sub-nodes, starting from the root node. Splitting occurs at every node up until the terminal (leaf) nodes when the stopping criterion is met.</w:t>
      </w:r>
    </w:p>
    <w:p w14:paraId="20FFDE22" w14:textId="77777777" w:rsidR="00197EFD" w:rsidRDefault="00197EFD" w:rsidP="00197EFD">
      <w:pPr>
        <w:jc w:val="both"/>
      </w:pPr>
      <w:r w:rsidRPr="00197EFD">
        <w:rPr>
          <w:b/>
          <w:bCs/>
        </w:rPr>
        <w:t>Stopping Criterion:</w:t>
      </w:r>
      <w:r>
        <w:t xml:space="preserve"> A criterion applied to the splitting process that informs the node when it is ineligible to split any further. Volume of data is often used as a stopping criterion, such that each leaf node is based on at least a pre-determined amount of data.</w:t>
      </w:r>
    </w:p>
    <w:p w14:paraId="30C7B63C" w14:textId="77777777" w:rsidR="00656C43" w:rsidRDefault="00656C43" w:rsidP="00197EFD">
      <w:pPr>
        <w:jc w:val="both"/>
      </w:pPr>
      <w:r w:rsidRPr="00197EFD">
        <w:rPr>
          <w:b/>
          <w:bCs/>
        </w:rPr>
        <w:t>Terminal Node:</w:t>
      </w:r>
      <w:r>
        <w:t xml:space="preserve"> An end node containing no child </w:t>
      </w:r>
      <w:proofErr w:type="gramStart"/>
      <w:r>
        <w:t>nodes, because</w:t>
      </w:r>
      <w:proofErr w:type="gramEnd"/>
      <w:r>
        <w:t xml:space="preserve"> the node has met the stopping criterion. The terminal node is associated with a prediction for one of the component trees. The terminal node is also known as a “leaf” node, the resulting endpoint of a decision tree.</w:t>
      </w:r>
    </w:p>
    <w:p w14:paraId="50F4F806" w14:textId="77777777" w:rsidR="00197EFD" w:rsidRDefault="001266C4" w:rsidP="00197EFD">
      <w:pPr>
        <w:jc w:val="both"/>
      </w:pPr>
      <w:r w:rsidRPr="00197EFD">
        <w:rPr>
          <w:b/>
          <w:bCs/>
        </w:rPr>
        <w:t>Tree Based Model:</w:t>
      </w:r>
      <w:r>
        <w:t xml:space="preserve"> </w:t>
      </w:r>
      <w:r w:rsidR="007E438F" w:rsidRPr="007E438F">
        <w:t>Models that can be represented as a decision tree or a collection of decision trees</w:t>
      </w:r>
      <w:r w:rsidR="00197EFD">
        <w:t>.</w:t>
      </w:r>
    </w:p>
    <w:p w14:paraId="081309F2" w14:textId="02354717" w:rsidR="00197EFD" w:rsidRDefault="00197EFD" w:rsidP="00197EFD">
      <w:pPr>
        <w:jc w:val="both"/>
      </w:pPr>
      <w:r w:rsidRPr="00197EFD">
        <w:rPr>
          <w:b/>
          <w:bCs/>
        </w:rPr>
        <w:t>Tree Depth:</w:t>
      </w:r>
      <w:r>
        <w:t xml:space="preserve"> The maximum number of splits between the root node and a leaf node for a tree. </w:t>
      </w:r>
    </w:p>
    <w:p w14:paraId="4B7EAE7C" w14:textId="77FA675E" w:rsidR="00CF1092" w:rsidRDefault="00CF1092" w:rsidP="00197EFD">
      <w:pPr>
        <w:jc w:val="both"/>
      </w:pPr>
      <w:r w:rsidRPr="00197EFD">
        <w:rPr>
          <w:b/>
          <w:bCs/>
        </w:rPr>
        <w:t>Variable Importance:</w:t>
      </w:r>
      <w:r>
        <w:t xml:space="preserve"> </w:t>
      </w:r>
      <w:r w:rsidR="006E42FC">
        <w:t xml:space="preserve">A measure of how the variables (aka features) contribute to the overall model. </w:t>
      </w:r>
      <w:r w:rsidR="009C0846">
        <w:t xml:space="preserve">There are multiple ways to </w:t>
      </w:r>
      <w:r w:rsidR="00DF0EB0">
        <w:t>measure variable importance.</w:t>
      </w:r>
    </w:p>
    <w:sectPr w:rsidR="00CF1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7E5A" w14:textId="77777777" w:rsidR="00B8329E" w:rsidRDefault="00B8329E" w:rsidP="00E51B0F">
      <w:pPr>
        <w:spacing w:after="0" w:line="240" w:lineRule="auto"/>
      </w:pPr>
      <w:r>
        <w:separator/>
      </w:r>
    </w:p>
  </w:endnote>
  <w:endnote w:type="continuationSeparator" w:id="0">
    <w:p w14:paraId="6C47B0E4" w14:textId="77777777" w:rsidR="00B8329E" w:rsidRDefault="00B8329E" w:rsidP="00E5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F4EC" w14:textId="77777777" w:rsidR="001D473F" w:rsidRDefault="001D4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E439" w14:textId="2CD6B93F" w:rsidR="00E51B0F" w:rsidRPr="008E3BAA" w:rsidRDefault="008E3BAA" w:rsidP="001D473F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8640"/>
        <w:tab w:val="center" w:pos="5040"/>
      </w:tabs>
      <w:spacing w:after="0" w:line="240" w:lineRule="auto"/>
      <w:ind w:left="-360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8E3BAA">
      <w:rPr>
        <w:rFonts w:ascii="Times New Roman" w:eastAsia="Times New Roman" w:hAnsi="Times New Roman" w:cs="Times New Roman"/>
        <w:color w:val="000000"/>
        <w:sz w:val="20"/>
        <w:szCs w:val="20"/>
      </w:rPr>
      <w:t>© 2021 National Association of Insurance Commissioners</w:t>
    </w:r>
    <w:r w:rsidRPr="008E3BAA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Pr="008E3BAA"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Pr="008E3BAA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Pr="008E3BAA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Pr="008E3BAA">
      <w:rPr>
        <w:rFonts w:ascii="Times New Roman" w:eastAsia="Times New Roman" w:hAnsi="Times New Roman" w:cs="Times New Roman"/>
        <w:color w:val="000000"/>
        <w:sz w:val="20"/>
        <w:szCs w:val="20"/>
      </w:rPr>
      <w:t>1</w:t>
    </w:r>
    <w:r w:rsidRPr="008E3BAA"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CC36" w14:textId="77777777" w:rsidR="001D473F" w:rsidRDefault="001D4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7B86" w14:textId="77777777" w:rsidR="00B8329E" w:rsidRDefault="00B8329E" w:rsidP="00E51B0F">
      <w:pPr>
        <w:spacing w:after="0" w:line="240" w:lineRule="auto"/>
      </w:pPr>
      <w:r>
        <w:separator/>
      </w:r>
    </w:p>
  </w:footnote>
  <w:footnote w:type="continuationSeparator" w:id="0">
    <w:p w14:paraId="1A309612" w14:textId="77777777" w:rsidR="00B8329E" w:rsidRDefault="00B8329E" w:rsidP="00E5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17C9" w14:textId="77777777" w:rsidR="001D473F" w:rsidRDefault="001D4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2BBF" w14:textId="1290E9F3" w:rsidR="00E51B0F" w:rsidRPr="00E51B0F" w:rsidRDefault="00E51B0F" w:rsidP="001D473F">
    <w:pPr>
      <w:tabs>
        <w:tab w:val="center" w:pos="4320"/>
        <w:tab w:val="right" w:pos="8640"/>
      </w:tabs>
      <w:spacing w:after="0" w:line="240" w:lineRule="auto"/>
      <w:ind w:right="-360"/>
      <w:jc w:val="right"/>
      <w:rPr>
        <w:rFonts w:ascii="Times New Roman" w:eastAsia="Times New Roman" w:hAnsi="Times New Roman" w:cs="Times New Roman"/>
        <w:sz w:val="20"/>
        <w:szCs w:val="20"/>
      </w:rPr>
    </w:pPr>
    <w:r w:rsidRPr="00E51B0F">
      <w:rPr>
        <w:rFonts w:ascii="Times New Roman" w:eastAsia="Times New Roman" w:hAnsi="Times New Roman" w:cs="Times New Roman"/>
        <w:sz w:val="20"/>
        <w:szCs w:val="20"/>
      </w:rPr>
      <w:t xml:space="preserve">Attachment </w:t>
    </w:r>
    <w:r w:rsidR="008E3BAA">
      <w:rPr>
        <w:rFonts w:ascii="Times New Roman" w:eastAsia="Times New Roman" w:hAnsi="Times New Roman" w:cs="Times New Roman"/>
        <w:sz w:val="20"/>
        <w:szCs w:val="20"/>
      </w:rPr>
      <w:t>Three</w:t>
    </w:r>
  </w:p>
  <w:p w14:paraId="13A9020D" w14:textId="77777777" w:rsidR="00E51B0F" w:rsidRPr="00E51B0F" w:rsidRDefault="00E51B0F" w:rsidP="001D473F">
    <w:pPr>
      <w:tabs>
        <w:tab w:val="center" w:pos="4320"/>
        <w:tab w:val="right" w:pos="8640"/>
      </w:tabs>
      <w:spacing w:after="0" w:line="240" w:lineRule="auto"/>
      <w:ind w:right="-360"/>
      <w:jc w:val="right"/>
      <w:rPr>
        <w:rFonts w:ascii="Times New Roman" w:eastAsia="Times New Roman" w:hAnsi="Times New Roman" w:cs="Times New Roman"/>
        <w:sz w:val="20"/>
        <w:szCs w:val="20"/>
      </w:rPr>
    </w:pPr>
    <w:r w:rsidRPr="00E51B0F">
      <w:rPr>
        <w:rFonts w:ascii="Times New Roman" w:eastAsia="Times New Roman" w:hAnsi="Times New Roman" w:cs="Times New Roman"/>
        <w:sz w:val="20"/>
        <w:szCs w:val="20"/>
      </w:rPr>
      <w:t>Casualty Actuarial and Statistical (C) Task Force</w:t>
    </w:r>
  </w:p>
  <w:p w14:paraId="2DCA8FE6" w14:textId="549D46C6" w:rsidR="008E3BAA" w:rsidRPr="00E51B0F" w:rsidRDefault="00E51B0F" w:rsidP="001D473F">
    <w:pPr>
      <w:tabs>
        <w:tab w:val="center" w:pos="4320"/>
        <w:tab w:val="right" w:pos="8640"/>
      </w:tabs>
      <w:spacing w:after="0" w:line="240" w:lineRule="auto"/>
      <w:ind w:right="-360"/>
      <w:jc w:val="right"/>
      <w:rPr>
        <w:rFonts w:ascii="Times New Roman" w:eastAsia="Times New Roman" w:hAnsi="Times New Roman" w:cs="Times New Roman"/>
        <w:sz w:val="20"/>
        <w:szCs w:val="20"/>
      </w:rPr>
    </w:pPr>
    <w:r w:rsidRPr="00E51B0F">
      <w:rPr>
        <w:rFonts w:ascii="Times New Roman" w:eastAsia="Times New Roman" w:hAnsi="Times New Roman" w:cs="Times New Roman"/>
        <w:sz w:val="20"/>
        <w:szCs w:val="20"/>
      </w:rPr>
      <w:t>12/7/21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E676" w14:textId="77777777" w:rsidR="001D473F" w:rsidRDefault="001D4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0F"/>
    <w:rsid w:val="00022841"/>
    <w:rsid w:val="00045B0F"/>
    <w:rsid w:val="000462F7"/>
    <w:rsid w:val="00060ABB"/>
    <w:rsid w:val="00061860"/>
    <w:rsid w:val="00080DEB"/>
    <w:rsid w:val="001266C4"/>
    <w:rsid w:val="00136359"/>
    <w:rsid w:val="001551EF"/>
    <w:rsid w:val="00180F5C"/>
    <w:rsid w:val="00197EFD"/>
    <w:rsid w:val="001A7AA7"/>
    <w:rsid w:val="001B6BDA"/>
    <w:rsid w:val="001D473F"/>
    <w:rsid w:val="002130C1"/>
    <w:rsid w:val="002600DF"/>
    <w:rsid w:val="002869D3"/>
    <w:rsid w:val="00286E5F"/>
    <w:rsid w:val="00292E1D"/>
    <w:rsid w:val="002A23CB"/>
    <w:rsid w:val="0033149B"/>
    <w:rsid w:val="003359A9"/>
    <w:rsid w:val="0038258B"/>
    <w:rsid w:val="003A74CC"/>
    <w:rsid w:val="003A7A2E"/>
    <w:rsid w:val="003C30EE"/>
    <w:rsid w:val="003C3CFD"/>
    <w:rsid w:val="003E34A8"/>
    <w:rsid w:val="00461CA6"/>
    <w:rsid w:val="00477BCC"/>
    <w:rsid w:val="0050315F"/>
    <w:rsid w:val="005130A7"/>
    <w:rsid w:val="00523B33"/>
    <w:rsid w:val="00560814"/>
    <w:rsid w:val="005704E4"/>
    <w:rsid w:val="00576EE8"/>
    <w:rsid w:val="005B1736"/>
    <w:rsid w:val="006300CB"/>
    <w:rsid w:val="00630739"/>
    <w:rsid w:val="00656C43"/>
    <w:rsid w:val="006672AB"/>
    <w:rsid w:val="006D4CF9"/>
    <w:rsid w:val="006E42FC"/>
    <w:rsid w:val="006F0A15"/>
    <w:rsid w:val="007160F1"/>
    <w:rsid w:val="00721080"/>
    <w:rsid w:val="00757E6E"/>
    <w:rsid w:val="00765D55"/>
    <w:rsid w:val="00776BC5"/>
    <w:rsid w:val="007A4A7F"/>
    <w:rsid w:val="007D7D42"/>
    <w:rsid w:val="007E3523"/>
    <w:rsid w:val="007E438F"/>
    <w:rsid w:val="008017B5"/>
    <w:rsid w:val="00846EBA"/>
    <w:rsid w:val="00860928"/>
    <w:rsid w:val="00864A07"/>
    <w:rsid w:val="00871801"/>
    <w:rsid w:val="0087413F"/>
    <w:rsid w:val="008A2F8E"/>
    <w:rsid w:val="008B01A0"/>
    <w:rsid w:val="008E3BAA"/>
    <w:rsid w:val="008E5DCD"/>
    <w:rsid w:val="009941AF"/>
    <w:rsid w:val="009C0846"/>
    <w:rsid w:val="009C09FD"/>
    <w:rsid w:val="00A622FE"/>
    <w:rsid w:val="00A96856"/>
    <w:rsid w:val="00AB0BC1"/>
    <w:rsid w:val="00AD3234"/>
    <w:rsid w:val="00B05C41"/>
    <w:rsid w:val="00B82786"/>
    <w:rsid w:val="00B8329E"/>
    <w:rsid w:val="00BC14B2"/>
    <w:rsid w:val="00BD09C2"/>
    <w:rsid w:val="00BF7384"/>
    <w:rsid w:val="00C011EF"/>
    <w:rsid w:val="00C20F28"/>
    <w:rsid w:val="00C21C95"/>
    <w:rsid w:val="00C41052"/>
    <w:rsid w:val="00C6053C"/>
    <w:rsid w:val="00C64B84"/>
    <w:rsid w:val="00CC55A4"/>
    <w:rsid w:val="00CF1092"/>
    <w:rsid w:val="00D90904"/>
    <w:rsid w:val="00DF0EB0"/>
    <w:rsid w:val="00E50273"/>
    <w:rsid w:val="00E51B0F"/>
    <w:rsid w:val="00F1665D"/>
    <w:rsid w:val="00F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70F74"/>
  <w15:chartTrackingRefBased/>
  <w15:docId w15:val="{1A1E3C91-695E-4524-8B0F-8668710D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E438F"/>
  </w:style>
  <w:style w:type="paragraph" w:styleId="Header">
    <w:name w:val="header"/>
    <w:basedOn w:val="Normal"/>
    <w:link w:val="HeaderChar"/>
    <w:uiPriority w:val="99"/>
    <w:unhideWhenUsed/>
    <w:rsid w:val="00E5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0F"/>
  </w:style>
  <w:style w:type="paragraph" w:styleId="Footer">
    <w:name w:val="footer"/>
    <w:basedOn w:val="Normal"/>
    <w:link w:val="FooterChar"/>
    <w:uiPriority w:val="99"/>
    <w:unhideWhenUsed/>
    <w:rsid w:val="00E5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2021-12-16T06:00:00+00:00</_EndDate>
    <StartDate xmlns="http://schemas.microsoft.com/sharepoint/v3">2021-12-13T06:00:00+00:00</StartDate>
    <Location xmlns="http://schemas.microsoft.com/sharepoint/v3/fields">San Diego, CA</Location>
    <Meeting_x0020_Type xmlns="734dc620-9a3c-4363-b6b2-552d0a5c0ad8">Fall National</Meeting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11B44-D38B-4D78-BE44-9EBA306C633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1FB9530E-A395-483B-9F8E-5ED58883B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580EF-066E-4212-8949-33FF6515C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Kloese, Sam</dc:creator>
  <cp:keywords/>
  <dc:description/>
  <cp:lastModifiedBy>Thomas, Lia C</cp:lastModifiedBy>
  <cp:revision>85</cp:revision>
  <dcterms:created xsi:type="dcterms:W3CDTF">2021-09-28T21:18:00Z</dcterms:created>
  <dcterms:modified xsi:type="dcterms:W3CDTF">2021-12-06T15:55:00Z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