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0C8F7" w14:textId="53A14C8F" w:rsidR="00B2088B" w:rsidRDefault="69A8288F" w:rsidP="635F58C8">
      <w:pPr>
        <w:jc w:val="center"/>
      </w:pPr>
      <w:r>
        <w:t>Notes from 03/28/23 Pet Insurance SME Group Call</w:t>
      </w:r>
    </w:p>
    <w:p w14:paraId="732EF978" w14:textId="677C8363" w:rsidR="00B2088B" w:rsidRDefault="00B2088B" w:rsidP="635F58C8"/>
    <w:p w14:paraId="198F9D52" w14:textId="7F6C257C" w:rsidR="00B2088B" w:rsidRDefault="00A36835" w:rsidP="00A36835">
      <w:pPr>
        <w:pStyle w:val="ListParagraph"/>
        <w:numPr>
          <w:ilvl w:val="0"/>
          <w:numId w:val="1"/>
        </w:numPr>
      </w:pPr>
      <w:r>
        <w:t>Pre-existing exclusion triggers questions being considered:</w:t>
      </w:r>
    </w:p>
    <w:p w14:paraId="35931F24" w14:textId="41381FB6" w:rsidR="00A36835" w:rsidRDefault="00A36835" w:rsidP="00A36835">
      <w:pPr>
        <w:pStyle w:val="ListParagraph"/>
        <w:numPr>
          <w:ilvl w:val="1"/>
          <w:numId w:val="1"/>
        </w:numPr>
      </w:pPr>
      <w:r>
        <w:t>Interrogatory: What triggers a pre-existing exclusion review (</w:t>
      </w:r>
      <w:r w:rsidR="1670CB83">
        <w:t>e.g.,</w:t>
      </w:r>
      <w:r>
        <w:t xml:space="preserve"> dollar, diagnosis, prescription, other)?</w:t>
      </w:r>
    </w:p>
    <w:p w14:paraId="681E8570" w14:textId="77777777" w:rsidR="00A36835" w:rsidRDefault="00A36835" w:rsidP="00A36835">
      <w:pPr>
        <w:pStyle w:val="ListParagraph"/>
        <w:numPr>
          <w:ilvl w:val="1"/>
          <w:numId w:val="1"/>
        </w:numPr>
      </w:pPr>
      <w:r>
        <w:t>Interrogatory: Does the company have a pre-existing exclusion in its product?</w:t>
      </w:r>
    </w:p>
    <w:p w14:paraId="75F1FFF6" w14:textId="77777777" w:rsidR="00A36835" w:rsidRDefault="00A36835" w:rsidP="00A36835">
      <w:pPr>
        <w:pStyle w:val="ListParagraph"/>
        <w:numPr>
          <w:ilvl w:val="1"/>
          <w:numId w:val="1"/>
        </w:numPr>
      </w:pPr>
      <w:r>
        <w:t>Interrogatory: Does the company have a threshold for applying the pre-existing exclusion review?</w:t>
      </w:r>
    </w:p>
    <w:p w14:paraId="5FF57E3F" w14:textId="443ADFA8" w:rsidR="00A36835" w:rsidRDefault="00A36835" w:rsidP="00A36835">
      <w:pPr>
        <w:pStyle w:val="ListParagraph"/>
        <w:numPr>
          <w:ilvl w:val="1"/>
          <w:numId w:val="1"/>
        </w:numPr>
      </w:pPr>
      <w:r>
        <w:t>Interrogatory: For those products that contain a pre-existing condition exclusion, what triggers a pre-existing exclusion review of a claim (</w:t>
      </w:r>
      <w:r w:rsidR="05EBE9FA">
        <w:t>e.g.,</w:t>
      </w:r>
      <w:r>
        <w:t xml:space="preserve"> dollar, diagnosis, prescription, other)?</w:t>
      </w:r>
    </w:p>
    <w:p w14:paraId="67F916B8" w14:textId="77777777" w:rsidR="00A36835" w:rsidRDefault="00A36835" w:rsidP="00A36835">
      <w:pPr>
        <w:pStyle w:val="ListParagraph"/>
        <w:numPr>
          <w:ilvl w:val="1"/>
          <w:numId w:val="1"/>
        </w:numPr>
      </w:pPr>
      <w:r>
        <w:t>Interrogatory: What percentage of your business has pre-existing exclusions?</w:t>
      </w:r>
    </w:p>
    <w:p w14:paraId="59E976E5" w14:textId="77777777" w:rsidR="00A36835" w:rsidRDefault="00A36835" w:rsidP="00A36835">
      <w:pPr>
        <w:pStyle w:val="ListParagraph"/>
        <w:numPr>
          <w:ilvl w:val="1"/>
          <w:numId w:val="1"/>
        </w:numPr>
      </w:pPr>
      <w:r>
        <w:t>Claims: Number of claims on a policy/certificate that has a pre-existing condition exclusion.</w:t>
      </w:r>
    </w:p>
    <w:p w14:paraId="6C83182A" w14:textId="77777777" w:rsidR="00F77E30" w:rsidRDefault="00F77E30" w:rsidP="00F77E30">
      <w:pPr>
        <w:ind w:left="720"/>
      </w:pPr>
      <w:r>
        <w:t>Additional information – The Other Health MCAS contains the following related questions:</w:t>
      </w:r>
    </w:p>
    <w:p w14:paraId="7C42EF73" w14:textId="77777777" w:rsidR="00F77E30" w:rsidRDefault="00F77E30" w:rsidP="00F77E30">
      <w:pPr>
        <w:pStyle w:val="ListParagraph"/>
        <w:numPr>
          <w:ilvl w:val="0"/>
          <w:numId w:val="2"/>
        </w:numPr>
      </w:pPr>
      <w:r>
        <w:t>Interrogatory: Does the company use pre-existing condition exclusions?</w:t>
      </w:r>
    </w:p>
    <w:p w14:paraId="2EE91A12" w14:textId="77777777" w:rsidR="00F77E30" w:rsidRDefault="00F77E30" w:rsidP="00F77E30">
      <w:pPr>
        <w:pStyle w:val="ListParagraph"/>
        <w:numPr>
          <w:ilvl w:val="1"/>
          <w:numId w:val="2"/>
        </w:numPr>
      </w:pPr>
      <w:r>
        <w:t>If yes, identify which products.</w:t>
      </w:r>
    </w:p>
    <w:p w14:paraId="3F99F1CA" w14:textId="77777777" w:rsidR="00F77E30" w:rsidRDefault="00F77E30" w:rsidP="00F77E30">
      <w:pPr>
        <w:pStyle w:val="ListParagraph"/>
        <w:numPr>
          <w:ilvl w:val="0"/>
          <w:numId w:val="2"/>
        </w:numPr>
      </w:pPr>
      <w:r>
        <w:t>Claims: Number of denied, rejected, or returned as subject to pre-existing condition exclusion.</w:t>
      </w:r>
    </w:p>
    <w:p w14:paraId="0FDDB6A4" w14:textId="77777777" w:rsidR="00F77E30" w:rsidRDefault="00F77E30" w:rsidP="00F77E30">
      <w:pPr>
        <w:pStyle w:val="ListParagraph"/>
        <w:ind w:left="1440"/>
      </w:pPr>
    </w:p>
    <w:p w14:paraId="47B46667" w14:textId="77777777" w:rsidR="008B1069" w:rsidRDefault="008B1069" w:rsidP="008B1069">
      <w:pPr>
        <w:pStyle w:val="ListParagraph"/>
        <w:numPr>
          <w:ilvl w:val="0"/>
          <w:numId w:val="1"/>
        </w:numPr>
      </w:pPr>
      <w:r>
        <w:t>Interrogatory: Does the company require third parties it contracts with to forward insurance-related complaints to the company so the company may report the complaints in its complaint logs?</w:t>
      </w:r>
      <w:r w:rsidR="00DC4F74">
        <w:t xml:space="preserve"> If yes, does the company monitor the third parties to ensure insurance complaints are forwarded to the company?</w:t>
      </w:r>
    </w:p>
    <w:p w14:paraId="244A7A17" w14:textId="63D31B7F" w:rsidR="008B1069" w:rsidRDefault="008B1069" w:rsidP="275F35C8">
      <w:pPr>
        <w:pStyle w:val="ListParagraph"/>
        <w:numPr>
          <w:ilvl w:val="1"/>
          <w:numId w:val="1"/>
        </w:numPr>
      </w:pPr>
      <w:r>
        <w:t>There is concern about confusion related to the definition of “third parties”. Companies may use third parties for areas of business that do not impact consumers. Companies may define third parties differently and lead to varied reporting.</w:t>
      </w:r>
    </w:p>
    <w:p w14:paraId="1AA80109" w14:textId="1E36EAFA" w:rsidR="275F35C8" w:rsidRDefault="275F35C8" w:rsidP="4763DCAF">
      <w:pPr>
        <w:spacing w:after="0" w:afterAutospacing="1"/>
      </w:pPr>
    </w:p>
    <w:p w14:paraId="3D78ACE6" w14:textId="77777777" w:rsidR="00DC4F74" w:rsidRDefault="00DC4F74" w:rsidP="00DC4F74">
      <w:pPr>
        <w:pStyle w:val="ListParagraph"/>
        <w:numPr>
          <w:ilvl w:val="0"/>
          <w:numId w:val="1"/>
        </w:numPr>
      </w:pPr>
      <w:r>
        <w:t>Claims columns for reporting: Currently have Wellness, Accident, Illness, and Accident &amp; Illness.</w:t>
      </w:r>
    </w:p>
    <w:p w14:paraId="598DC899" w14:textId="60166302" w:rsidR="00DC4F74" w:rsidRDefault="00DC4F74" w:rsidP="00DC4F74">
      <w:pPr>
        <w:pStyle w:val="ListParagraph"/>
        <w:numPr>
          <w:ilvl w:val="0"/>
          <w:numId w:val="3"/>
        </w:numPr>
      </w:pPr>
      <w:r>
        <w:t xml:space="preserve">CEJ </w:t>
      </w:r>
      <w:r w:rsidR="2AD12C6C">
        <w:t xml:space="preserve">(Center for Economic Justice) </w:t>
      </w:r>
      <w:r>
        <w:t>Comments on this topic:</w:t>
      </w:r>
    </w:p>
    <w:p w14:paraId="2F5575A4" w14:textId="37ED8E95" w:rsidR="00DC4F74" w:rsidRPr="00DC4F74" w:rsidRDefault="00DC4F74" w:rsidP="00DC4F74">
      <w:pPr>
        <w:ind w:left="1440"/>
        <w:rPr>
          <w:rFonts w:eastAsia="Times New Roman"/>
        </w:rPr>
      </w:pPr>
      <w:r w:rsidRPr="4763DCAF">
        <w:rPr>
          <w:rFonts w:eastAsia="Times New Roman"/>
        </w:rPr>
        <w:t>A second issue was whether and how to break-out claims reporting.  The current draft includes four categories -- wellness, accident, illness and accident</w:t>
      </w:r>
      <w:r w:rsidR="261A28B2" w:rsidRPr="4763DCAF">
        <w:rPr>
          <w:rFonts w:eastAsia="Times New Roman"/>
        </w:rPr>
        <w:t xml:space="preserve"> </w:t>
      </w:r>
      <w:r w:rsidRPr="4763DCAF">
        <w:rPr>
          <w:rFonts w:eastAsia="Times New Roman"/>
        </w:rPr>
        <w:t>&amp;</w:t>
      </w:r>
      <w:r w:rsidR="7F4C703D" w:rsidRPr="4763DCAF">
        <w:rPr>
          <w:rFonts w:eastAsia="Times New Roman"/>
        </w:rPr>
        <w:t xml:space="preserve"> </w:t>
      </w:r>
      <w:r w:rsidRPr="4763DCAF">
        <w:rPr>
          <w:rFonts w:eastAsia="Times New Roman"/>
        </w:rPr>
        <w:t>illness.  We suggest eliminating the "accident</w:t>
      </w:r>
      <w:r w:rsidR="7A370FBB" w:rsidRPr="4763DCAF">
        <w:rPr>
          <w:rFonts w:eastAsia="Times New Roman"/>
        </w:rPr>
        <w:t xml:space="preserve"> </w:t>
      </w:r>
      <w:r w:rsidRPr="4763DCAF">
        <w:rPr>
          <w:rFonts w:eastAsia="Times New Roman"/>
        </w:rPr>
        <w:t>&amp;</w:t>
      </w:r>
      <w:r w:rsidR="38BE6E78" w:rsidRPr="4763DCAF">
        <w:rPr>
          <w:rFonts w:eastAsia="Times New Roman"/>
        </w:rPr>
        <w:t xml:space="preserve"> </w:t>
      </w:r>
      <w:r w:rsidRPr="4763DCAF">
        <w:rPr>
          <w:rFonts w:eastAsia="Times New Roman"/>
        </w:rPr>
        <w:t>illness" category and defining the three remaining categories as mutually exclusive coverages under pet insurance policy.</w:t>
      </w:r>
    </w:p>
    <w:p w14:paraId="7C8EE92B" w14:textId="4A5DC30D" w:rsidR="00DC4F74" w:rsidRPr="00DC4F74" w:rsidRDefault="00DC4F74" w:rsidP="00DC4F74">
      <w:pPr>
        <w:ind w:left="1440"/>
        <w:rPr>
          <w:rFonts w:eastAsia="Times New Roman"/>
        </w:rPr>
      </w:pPr>
      <w:r w:rsidRPr="4763DCAF">
        <w:rPr>
          <w:rFonts w:eastAsia="Times New Roman"/>
        </w:rPr>
        <w:t>First, the current four categories don't make sense.  We think the original intent was to link claims reporting to type of policy, but all the experience will likely be in "accident</w:t>
      </w:r>
      <w:r w:rsidR="1AF6D854" w:rsidRPr="4763DCAF">
        <w:rPr>
          <w:rFonts w:eastAsia="Times New Roman"/>
        </w:rPr>
        <w:t xml:space="preserve"> </w:t>
      </w:r>
      <w:r w:rsidRPr="4763DCAF">
        <w:rPr>
          <w:rFonts w:eastAsia="Times New Roman"/>
        </w:rPr>
        <w:t>&amp;</w:t>
      </w:r>
      <w:r w:rsidR="14A27D21" w:rsidRPr="4763DCAF">
        <w:rPr>
          <w:rFonts w:eastAsia="Times New Roman"/>
        </w:rPr>
        <w:t xml:space="preserve"> </w:t>
      </w:r>
      <w:r w:rsidRPr="4763DCAF">
        <w:rPr>
          <w:rFonts w:eastAsia="Times New Roman"/>
        </w:rPr>
        <w:t xml:space="preserve">illness" since most pet insurance covers both and there is unlikely to be a stand-alone wellness insurance policy.  </w:t>
      </w:r>
    </w:p>
    <w:p w14:paraId="11941999" w14:textId="2DED54C8" w:rsidR="00DC4F74" w:rsidRPr="00DC4F74" w:rsidRDefault="00DC4F74" w:rsidP="00DC4F74">
      <w:pPr>
        <w:ind w:left="1440"/>
        <w:rPr>
          <w:rFonts w:eastAsia="Times New Roman"/>
        </w:rPr>
      </w:pPr>
      <w:r w:rsidRPr="4763DCAF">
        <w:rPr>
          <w:rFonts w:eastAsia="Times New Roman"/>
        </w:rPr>
        <w:t>Second, eliminating "accident</w:t>
      </w:r>
      <w:r w:rsidR="470C4765" w:rsidRPr="4763DCAF">
        <w:rPr>
          <w:rFonts w:eastAsia="Times New Roman"/>
        </w:rPr>
        <w:t xml:space="preserve"> </w:t>
      </w:r>
      <w:r w:rsidRPr="4763DCAF">
        <w:rPr>
          <w:rFonts w:eastAsia="Times New Roman"/>
        </w:rPr>
        <w:t>&amp;</w:t>
      </w:r>
      <w:r w:rsidR="6A36B8C0" w:rsidRPr="4763DCAF">
        <w:rPr>
          <w:rFonts w:eastAsia="Times New Roman"/>
        </w:rPr>
        <w:t xml:space="preserve"> </w:t>
      </w:r>
      <w:r w:rsidRPr="4763DCAF">
        <w:rPr>
          <w:rFonts w:eastAsia="Times New Roman"/>
        </w:rPr>
        <w:t xml:space="preserve">illness" while leaving the other three categories would leave three mutually exclusive coverages for segregating claims reporting.  While there is a definition of "wellness" in the NAIC Pet Insurance Model Act, there are no definitions of illness and accident.  Rather, the model defines pet insurance as providing coverage for "accidents and illnesses."  But the model does include provisions that distinguish between accidents and illnesses. For example, waiting periods are permitted for illnesses, but not accidents.  Two definitions -- congenital anomaly or disorder and hereditary disorder -- specifically refer to illness.  Consequently, regulators drafting the model understood the terms "accident" and "illness" to be sufficiently clear that definitions of these terms were not needed.  </w:t>
      </w:r>
    </w:p>
    <w:p w14:paraId="79A6C989" w14:textId="77777777" w:rsidR="00DC4F74" w:rsidRPr="00DC4F74" w:rsidRDefault="00DC4F74" w:rsidP="00DC4F74">
      <w:pPr>
        <w:ind w:left="1440"/>
        <w:rPr>
          <w:rFonts w:eastAsia="Times New Roman"/>
        </w:rPr>
      </w:pPr>
      <w:r w:rsidRPr="635F58C8">
        <w:rPr>
          <w:rFonts w:eastAsia="Times New Roman"/>
        </w:rPr>
        <w:t xml:space="preserve">So, the logical next question -- is there analytic value in asking insurers to report </w:t>
      </w:r>
      <w:bookmarkStart w:id="0" w:name="_Int_OfVE8ikS"/>
      <w:r w:rsidRPr="635F58C8">
        <w:rPr>
          <w:rFonts w:eastAsia="Times New Roman"/>
        </w:rPr>
        <w:t>claims experience</w:t>
      </w:r>
      <w:bookmarkEnd w:id="0"/>
      <w:r w:rsidRPr="635F58C8">
        <w:rPr>
          <w:rFonts w:eastAsia="Times New Roman"/>
        </w:rPr>
        <w:t xml:space="preserve"> broken out by wellness, accident and illness coverages?   The answer seems clearly to be yes since illnesses can be subject to waiting periods and pre-existing conditions while </w:t>
      </w:r>
      <w:bookmarkStart w:id="1" w:name="_Int_i290b7N8"/>
      <w:r w:rsidRPr="635F58C8">
        <w:rPr>
          <w:rFonts w:eastAsia="Times New Roman"/>
        </w:rPr>
        <w:t>accident</w:t>
      </w:r>
      <w:bookmarkEnd w:id="1"/>
      <w:r w:rsidRPr="635F58C8">
        <w:rPr>
          <w:rFonts w:eastAsia="Times New Roman"/>
        </w:rPr>
        <w:t xml:space="preserve"> cannot under the NAIC model.  It makes sense to segregate out accident claims from illness claims so measurements of claim denials for pre-existing conditions or waiting periods -- which are applicable to illness coverage -- are not skewed by adding accident claims for which such denials are not permitted (and presumably do not occur).</w:t>
      </w:r>
    </w:p>
    <w:p w14:paraId="0E8E8D80" w14:textId="77777777" w:rsidR="00DC4F74" w:rsidRPr="00DC4F74" w:rsidRDefault="00DC4F74" w:rsidP="00DC4F74">
      <w:pPr>
        <w:spacing w:after="0"/>
        <w:ind w:left="1440"/>
        <w:rPr>
          <w:rFonts w:eastAsia="Times New Roman"/>
        </w:rPr>
      </w:pPr>
      <w:r w:rsidRPr="00DC4F74">
        <w:rPr>
          <w:rFonts w:eastAsia="Times New Roman"/>
        </w:rPr>
        <w:t xml:space="preserve">In summary, we suggest </w:t>
      </w:r>
    </w:p>
    <w:p w14:paraId="0DD71D60" w14:textId="7EFFF63F" w:rsidR="00DC4F74" w:rsidRPr="00DC4F74" w:rsidRDefault="00DC4F74" w:rsidP="00DC4F74">
      <w:pPr>
        <w:spacing w:after="0"/>
        <w:ind w:left="1440"/>
        <w:rPr>
          <w:rFonts w:eastAsia="Times New Roman"/>
        </w:rPr>
      </w:pPr>
      <w:r w:rsidRPr="4763DCAF">
        <w:rPr>
          <w:rFonts w:eastAsia="Times New Roman"/>
        </w:rPr>
        <w:t>1.  eliminating "accident</w:t>
      </w:r>
      <w:r w:rsidR="76E1D6E9" w:rsidRPr="4763DCAF">
        <w:rPr>
          <w:rFonts w:eastAsia="Times New Roman"/>
        </w:rPr>
        <w:t xml:space="preserve"> </w:t>
      </w:r>
      <w:r w:rsidRPr="4763DCAF">
        <w:rPr>
          <w:rFonts w:eastAsia="Times New Roman"/>
        </w:rPr>
        <w:t>&amp;</w:t>
      </w:r>
      <w:r w:rsidR="17A19F82" w:rsidRPr="4763DCAF">
        <w:rPr>
          <w:rFonts w:eastAsia="Times New Roman"/>
        </w:rPr>
        <w:t xml:space="preserve"> </w:t>
      </w:r>
      <w:r w:rsidRPr="4763DCAF">
        <w:rPr>
          <w:rFonts w:eastAsia="Times New Roman"/>
        </w:rPr>
        <w:t>illness" as a break-out category for claims;</w:t>
      </w:r>
    </w:p>
    <w:p w14:paraId="108EB65B" w14:textId="77777777" w:rsidR="00DC4F74" w:rsidRPr="00DC4F74" w:rsidRDefault="00DC4F74" w:rsidP="00DC4F74">
      <w:pPr>
        <w:spacing w:after="0"/>
        <w:ind w:left="1440"/>
        <w:rPr>
          <w:rFonts w:eastAsia="Times New Roman"/>
        </w:rPr>
      </w:pPr>
      <w:r w:rsidRPr="00DC4F74">
        <w:rPr>
          <w:rFonts w:eastAsia="Times New Roman"/>
        </w:rPr>
        <w:t>2. defining the three remaining breakout categories as coverages under a pet insurance policy;</w:t>
      </w:r>
    </w:p>
    <w:p w14:paraId="4DF689AA" w14:textId="77777777" w:rsidR="00DC4F74" w:rsidRPr="00DC4F74" w:rsidRDefault="00DC4F74" w:rsidP="00DC4F74">
      <w:pPr>
        <w:spacing w:after="0"/>
        <w:ind w:left="1440"/>
        <w:rPr>
          <w:rFonts w:eastAsia="Times New Roman"/>
        </w:rPr>
      </w:pPr>
      <w:r w:rsidRPr="00DC4F74">
        <w:rPr>
          <w:rFonts w:eastAsia="Times New Roman"/>
        </w:rPr>
        <w:t>3. using the pet model definition of wellness, while not defining "accident" or "illness;" and</w:t>
      </w:r>
    </w:p>
    <w:p w14:paraId="060C18FA" w14:textId="77777777" w:rsidR="00DC4F74" w:rsidRDefault="00DC4F74" w:rsidP="00DC4F74">
      <w:pPr>
        <w:spacing w:after="0"/>
        <w:ind w:left="1440"/>
        <w:rPr>
          <w:rFonts w:eastAsia="Times New Roman"/>
        </w:rPr>
      </w:pPr>
      <w:r w:rsidRPr="635F58C8">
        <w:rPr>
          <w:rFonts w:eastAsia="Times New Roman"/>
        </w:rPr>
        <w:t xml:space="preserve">4. utilizing the LTC data elements and definitions -- with appropriate edits -- for purposes pet MCAS claims reporting.  One example of a tweak for </w:t>
      </w:r>
      <w:bookmarkStart w:id="2" w:name="_Int_pB5DuFFJ"/>
      <w:r w:rsidRPr="635F58C8">
        <w:rPr>
          <w:rFonts w:eastAsia="Times New Roman"/>
        </w:rPr>
        <w:t>pet</w:t>
      </w:r>
      <w:bookmarkEnd w:id="2"/>
      <w:r w:rsidRPr="635F58C8">
        <w:rPr>
          <w:rFonts w:eastAsia="Times New Roman"/>
        </w:rPr>
        <w:t xml:space="preserve"> would be to X out / prevent reporting of pre-x and waiting period denials for accidents (unless the state permits such practice!).</w:t>
      </w:r>
    </w:p>
    <w:p w14:paraId="1926D69C" w14:textId="77777777" w:rsidR="00DC4F74" w:rsidRPr="00DC4F74" w:rsidRDefault="00DC4F74" w:rsidP="00DC4F74">
      <w:pPr>
        <w:spacing w:after="0"/>
        <w:ind w:left="1440"/>
        <w:rPr>
          <w:rFonts w:eastAsia="Times New Roman"/>
        </w:rPr>
      </w:pPr>
    </w:p>
    <w:p w14:paraId="0203E376" w14:textId="77777777" w:rsidR="00DC4F74" w:rsidRDefault="00DC4F74" w:rsidP="00DC4F74">
      <w:pPr>
        <w:pStyle w:val="ListParagraph"/>
        <w:numPr>
          <w:ilvl w:val="0"/>
          <w:numId w:val="1"/>
        </w:numPr>
      </w:pPr>
      <w:r>
        <w:t>Claims reporting:</w:t>
      </w:r>
      <w:r w:rsidR="005A64DB">
        <w:t xml:space="preserve"> This was discussed near the end of the call. The CEJ provided the following thoughts on this topic in the 3/6 comments:</w:t>
      </w:r>
    </w:p>
    <w:p w14:paraId="6A39CF9A" w14:textId="352A03EE" w:rsidR="005A64DB" w:rsidRPr="005A64DB" w:rsidRDefault="005A64DB" w:rsidP="005A64DB">
      <w:pPr>
        <w:ind w:left="720"/>
        <w:rPr>
          <w:rFonts w:eastAsia="Times New Roman"/>
        </w:rPr>
      </w:pPr>
      <w:r w:rsidRPr="4763DCAF">
        <w:rPr>
          <w:rFonts w:eastAsia="Times New Roman"/>
        </w:rPr>
        <w:t xml:space="preserve">During the last call, we discussed a problem with the definition of claim, which is largely based on a p/c or life concept in which a claim represents a request for a total payment for a particular event under a particular coverage -- like a collision claim private passenger auto or a homeowners property damage claim or a non-cash life insurance death benefit claim.  Stated differently, these types of claims generally involve a determination of eligibility for coverage and then a total payment to satisfy the claim.  </w:t>
      </w:r>
    </w:p>
    <w:p w14:paraId="46DE2775" w14:textId="77777777" w:rsidR="005A64DB" w:rsidRPr="005A64DB" w:rsidRDefault="005A64DB" w:rsidP="005A64DB">
      <w:pPr>
        <w:ind w:left="720"/>
        <w:rPr>
          <w:rFonts w:eastAsia="Times New Roman"/>
        </w:rPr>
      </w:pPr>
      <w:r w:rsidRPr="005A64DB">
        <w:rPr>
          <w:rFonts w:eastAsia="Times New Roman"/>
        </w:rPr>
        <w:t>We learned during the call that pet insurance claims can involve an initial determination of eligibility for benefits and then involve ongoing benefit payment requests.  A claim request could be approved followed by some number of benefit payment requests followed by denial of subsequent benefit payment requests.</w:t>
      </w:r>
    </w:p>
    <w:p w14:paraId="539C7C2F" w14:textId="764FC27C" w:rsidR="005A64DB" w:rsidRPr="005A64DB" w:rsidRDefault="005A64DB" w:rsidP="005A64DB">
      <w:pPr>
        <w:ind w:left="720"/>
        <w:rPr>
          <w:rFonts w:eastAsia="Times New Roman"/>
        </w:rPr>
      </w:pPr>
      <w:r w:rsidRPr="635F58C8">
        <w:rPr>
          <w:rFonts w:eastAsia="Times New Roman"/>
        </w:rPr>
        <w:t>We have a solid template for this type of claim and benefit arrangement in the LTC MCAS, which provides two schedules -- Claimant Requests (e.g., LTC MCAS 2021 items 31 to 46 for initial determination of eligibility for benefits) and Benefit Payment Requests (</w:t>
      </w:r>
      <w:r w:rsidR="14413CF9" w:rsidRPr="635F58C8">
        <w:rPr>
          <w:rFonts w:eastAsia="Times New Roman"/>
        </w:rPr>
        <w:t>e.g.,</w:t>
      </w:r>
      <w:r w:rsidRPr="635F58C8">
        <w:rPr>
          <w:rFonts w:eastAsia="Times New Roman"/>
        </w:rPr>
        <w:t xml:space="preserve"> LTC MCAS 2021 items 47 to 58 for requests for benefits once eligibility has been granted).  Attached for your convenience is the LTC blank and instructions.</w:t>
      </w:r>
    </w:p>
    <w:sectPr w:rsidR="005A64DB" w:rsidRPr="005A64DB" w:rsidSect="00DC4F74">
      <w:headerReference w:type="default" r:id="rId10"/>
      <w:footerReference w:type="default" r:id="rId11"/>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22239" w14:textId="77777777" w:rsidR="007A68F5" w:rsidRDefault="007A68F5">
      <w:pPr>
        <w:spacing w:after="0" w:line="240" w:lineRule="auto"/>
      </w:pPr>
      <w:r>
        <w:separator/>
      </w:r>
    </w:p>
  </w:endnote>
  <w:endnote w:type="continuationSeparator" w:id="0">
    <w:p w14:paraId="71F9261D" w14:textId="77777777" w:rsidR="007A68F5" w:rsidRDefault="007A6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1BCF574D" w14:paraId="2FC4A6D8" w14:textId="77777777" w:rsidTr="1BCF574D">
      <w:trPr>
        <w:trHeight w:val="300"/>
      </w:trPr>
      <w:tc>
        <w:tcPr>
          <w:tcW w:w="3600" w:type="dxa"/>
        </w:tcPr>
        <w:p w14:paraId="0906EA99" w14:textId="5B3A3BFC" w:rsidR="1BCF574D" w:rsidRDefault="1BCF574D" w:rsidP="1BCF574D">
          <w:pPr>
            <w:pStyle w:val="Header"/>
            <w:ind w:left="-115"/>
          </w:pPr>
        </w:p>
      </w:tc>
      <w:tc>
        <w:tcPr>
          <w:tcW w:w="3600" w:type="dxa"/>
        </w:tcPr>
        <w:p w14:paraId="21F19C49" w14:textId="7BD370B1" w:rsidR="1BCF574D" w:rsidRDefault="1BCF574D" w:rsidP="1BCF574D">
          <w:pPr>
            <w:pStyle w:val="Header"/>
            <w:jc w:val="center"/>
          </w:pPr>
        </w:p>
      </w:tc>
      <w:tc>
        <w:tcPr>
          <w:tcW w:w="3600" w:type="dxa"/>
        </w:tcPr>
        <w:p w14:paraId="3EA748F8" w14:textId="72DD6EE5" w:rsidR="1BCF574D" w:rsidRDefault="1BCF574D" w:rsidP="1BCF574D">
          <w:pPr>
            <w:pStyle w:val="Header"/>
            <w:ind w:right="-115"/>
            <w:jc w:val="right"/>
          </w:pPr>
        </w:p>
      </w:tc>
    </w:tr>
  </w:tbl>
  <w:p w14:paraId="728B5273" w14:textId="21D55AD6" w:rsidR="1BCF574D" w:rsidRDefault="1BCF574D" w:rsidP="1BCF5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0FBFD" w14:textId="77777777" w:rsidR="007A68F5" w:rsidRDefault="007A68F5">
      <w:pPr>
        <w:spacing w:after="0" w:line="240" w:lineRule="auto"/>
      </w:pPr>
      <w:r>
        <w:separator/>
      </w:r>
    </w:p>
  </w:footnote>
  <w:footnote w:type="continuationSeparator" w:id="0">
    <w:p w14:paraId="5D54D73F" w14:textId="77777777" w:rsidR="007A68F5" w:rsidRDefault="007A68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1BCF574D" w14:paraId="4C2ACF28" w14:textId="77777777" w:rsidTr="635F58C8">
      <w:trPr>
        <w:trHeight w:val="300"/>
      </w:trPr>
      <w:tc>
        <w:tcPr>
          <w:tcW w:w="3600" w:type="dxa"/>
        </w:tcPr>
        <w:p w14:paraId="5D35D5A6" w14:textId="70DC6CC3" w:rsidR="1BCF574D" w:rsidRDefault="1BCF574D" w:rsidP="1BCF574D">
          <w:pPr>
            <w:pStyle w:val="Header"/>
            <w:ind w:left="-115"/>
          </w:pPr>
        </w:p>
      </w:tc>
      <w:tc>
        <w:tcPr>
          <w:tcW w:w="3600" w:type="dxa"/>
        </w:tcPr>
        <w:p w14:paraId="206970FF" w14:textId="0DC3C706" w:rsidR="1BCF574D" w:rsidRDefault="1BCF574D" w:rsidP="1BCF574D">
          <w:pPr>
            <w:pStyle w:val="Header"/>
            <w:jc w:val="center"/>
          </w:pPr>
        </w:p>
      </w:tc>
      <w:tc>
        <w:tcPr>
          <w:tcW w:w="3600" w:type="dxa"/>
        </w:tcPr>
        <w:p w14:paraId="04CA4C1E" w14:textId="07547D00" w:rsidR="1BCF574D" w:rsidRDefault="635F58C8" w:rsidP="1BCF574D">
          <w:pPr>
            <w:pStyle w:val="Header"/>
            <w:ind w:right="-115"/>
            <w:jc w:val="right"/>
          </w:pPr>
          <w:r>
            <w:t>Created by NAIC 03/29/2023</w:t>
          </w:r>
        </w:p>
      </w:tc>
    </w:tr>
  </w:tbl>
  <w:p w14:paraId="054E07FA" w14:textId="2991D8B8" w:rsidR="1BCF574D" w:rsidRDefault="1BCF574D" w:rsidP="1BCF574D">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pB5DuFFJ" int2:invalidationBookmarkName="" int2:hashCode="GwNMOL7Ap69lMq" int2:id="7qyj4265">
      <int2:state int2:value="Rejected" int2:type="LegacyProofing"/>
    </int2:bookmark>
    <int2:bookmark int2:bookmarkName="_Int_i290b7N8" int2:invalidationBookmarkName="" int2:hashCode="8rGV3Ky6oPQfnj" int2:id="XihYT3EM">
      <int2:state int2:value="Rejected" int2:type="LegacyProofing"/>
    </int2:bookmark>
    <int2:bookmark int2:bookmarkName="_Int_OfVE8ikS" int2:invalidationBookmarkName="" int2:hashCode="VHeq1AH15KDlTW" int2:id="Rn2sqSbe">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27DB7"/>
    <w:multiLevelType w:val="hybridMultilevel"/>
    <w:tmpl w:val="FA482A0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98F632B"/>
    <w:multiLevelType w:val="hybridMultilevel"/>
    <w:tmpl w:val="1F22ACB4"/>
    <w:lvl w:ilvl="0" w:tplc="A03C9E86">
      <w:start w:val="1"/>
      <w:numFmt w:val="decimal"/>
      <w:lvlText w:val="%1)"/>
      <w:lvlJc w:val="left"/>
      <w:pPr>
        <w:ind w:left="720" w:hanging="360"/>
      </w:pPr>
      <w:rPr>
        <w:rFonts w:hint="default"/>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034D9F"/>
    <w:multiLevelType w:val="hybridMultilevel"/>
    <w:tmpl w:val="E974A5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0847A9"/>
    <w:multiLevelType w:val="hybridMultilevel"/>
    <w:tmpl w:val="A80C812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57404994">
    <w:abstractNumId w:val="1"/>
  </w:num>
  <w:num w:numId="2" w16cid:durableId="1337197089">
    <w:abstractNumId w:val="3"/>
  </w:num>
  <w:num w:numId="3" w16cid:durableId="954945598">
    <w:abstractNumId w:val="0"/>
  </w:num>
  <w:num w:numId="4" w16cid:durableId="7623848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835"/>
    <w:rsid w:val="005A64DB"/>
    <w:rsid w:val="007A68F5"/>
    <w:rsid w:val="0085342B"/>
    <w:rsid w:val="008B1069"/>
    <w:rsid w:val="00A36835"/>
    <w:rsid w:val="00B2088B"/>
    <w:rsid w:val="00DC4F74"/>
    <w:rsid w:val="00F77E30"/>
    <w:rsid w:val="03626C19"/>
    <w:rsid w:val="047DCFB9"/>
    <w:rsid w:val="05EBE9FA"/>
    <w:rsid w:val="0F2DDDAE"/>
    <w:rsid w:val="12DE634D"/>
    <w:rsid w:val="14413CF9"/>
    <w:rsid w:val="14A27D21"/>
    <w:rsid w:val="1670CB83"/>
    <w:rsid w:val="17A19F82"/>
    <w:rsid w:val="19562C3E"/>
    <w:rsid w:val="1AF6D854"/>
    <w:rsid w:val="1BCF574D"/>
    <w:rsid w:val="2011EA26"/>
    <w:rsid w:val="2411C6A8"/>
    <w:rsid w:val="25F60EDC"/>
    <w:rsid w:val="261A28B2"/>
    <w:rsid w:val="275F35C8"/>
    <w:rsid w:val="2AD12C6C"/>
    <w:rsid w:val="2B806B5F"/>
    <w:rsid w:val="361BA810"/>
    <w:rsid w:val="37297237"/>
    <w:rsid w:val="38BE6E78"/>
    <w:rsid w:val="3A1B8492"/>
    <w:rsid w:val="3A291E0B"/>
    <w:rsid w:val="3DD9A3AA"/>
    <w:rsid w:val="3F568A32"/>
    <w:rsid w:val="4364002D"/>
    <w:rsid w:val="458A05CB"/>
    <w:rsid w:val="470C4765"/>
    <w:rsid w:val="4763DCAF"/>
    <w:rsid w:val="494824E3"/>
    <w:rsid w:val="51C493C1"/>
    <w:rsid w:val="584C7BB3"/>
    <w:rsid w:val="59665C92"/>
    <w:rsid w:val="60105611"/>
    <w:rsid w:val="612BB9B1"/>
    <w:rsid w:val="635F58C8"/>
    <w:rsid w:val="68C74A8E"/>
    <w:rsid w:val="68DC1BD2"/>
    <w:rsid w:val="69A8288F"/>
    <w:rsid w:val="6A36B8C0"/>
    <w:rsid w:val="6C9A3AEA"/>
    <w:rsid w:val="6ECDDA01"/>
    <w:rsid w:val="76E1D6E9"/>
    <w:rsid w:val="7A370FBB"/>
    <w:rsid w:val="7CBFD41E"/>
    <w:rsid w:val="7F4C70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7ADD2"/>
  <w15:chartTrackingRefBased/>
  <w15:docId w15:val="{1D74C942-62FA-4027-BED1-373BD1DC7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6835"/>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423684">
      <w:bodyDiv w:val="1"/>
      <w:marLeft w:val="0"/>
      <w:marRight w:val="0"/>
      <w:marTop w:val="0"/>
      <w:marBottom w:val="0"/>
      <w:divBdr>
        <w:top w:val="none" w:sz="0" w:space="0" w:color="auto"/>
        <w:left w:val="none" w:sz="0" w:space="0" w:color="auto"/>
        <w:bottom w:val="none" w:sz="0" w:space="0" w:color="auto"/>
        <w:right w:val="none" w:sz="0" w:space="0" w:color="auto"/>
      </w:divBdr>
    </w:div>
    <w:div w:id="188385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82A929FC60FA4FAF9318C79D780992" ma:contentTypeVersion="15" ma:contentTypeDescription="Create a new document." ma:contentTypeScope="" ma:versionID="28fdfb1865f721ee15483a5cf3630488">
  <xsd:schema xmlns:xsd="http://www.w3.org/2001/XMLSchema" xmlns:xs="http://www.w3.org/2001/XMLSchema" xmlns:p="http://schemas.microsoft.com/office/2006/metadata/properties" xmlns:ns2="63e07c54-8596-4654-b816-30927332ee34" xmlns:ns3="4ad4dea6-cc71-417b-b11c-faac011a0c5d" xmlns:ns4="3c9e15a3-223f-4584-afb1-1dbe0b3878fa" targetNamespace="http://schemas.microsoft.com/office/2006/metadata/properties" ma:root="true" ma:fieldsID="79e7b565530c8f05a5d686cfaffdbd44" ns2:_="" ns3:_="" ns4:_="">
    <xsd:import namespace="63e07c54-8596-4654-b816-30927332ee34"/>
    <xsd:import namespace="4ad4dea6-cc71-417b-b11c-faac011a0c5d"/>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07c54-8596-4654-b816-30927332ee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ad4dea6-cc71-417b-b11c-faac011a0c5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2b5eb5b-881c-484d-ac0c-4aa181af657a}" ma:internalName="TaxCatchAll" ma:showField="CatchAllData" ma:web="4ad4dea6-cc71-417b-b11c-faac011a0c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63e07c54-8596-4654-b816-30927332ee3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B5817E-1F73-4CC3-A70E-0B106DD2B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07c54-8596-4654-b816-30927332ee34"/>
    <ds:schemaRef ds:uri="4ad4dea6-cc71-417b-b11c-faac011a0c5d"/>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DF8548-0EDD-405B-9FF3-15E35BE6276B}">
  <ds:schemaRefs>
    <ds:schemaRef ds:uri="http://schemas.microsoft.com/office/2006/metadata/properties"/>
    <ds:schemaRef ds:uri="http://schemas.microsoft.com/office/infopath/2007/PartnerControls"/>
    <ds:schemaRef ds:uri="3c9e15a3-223f-4584-afb1-1dbe0b3878fa"/>
    <ds:schemaRef ds:uri="63e07c54-8596-4654-b816-30927332ee34"/>
  </ds:schemaRefs>
</ds:datastoreItem>
</file>

<file path=customXml/itemProps3.xml><?xml version="1.0" encoding="utf-8"?>
<ds:datastoreItem xmlns:ds="http://schemas.openxmlformats.org/officeDocument/2006/customXml" ds:itemID="{AFBBB282-CFEB-4559-B3CA-1FCC1748E7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865</Words>
  <Characters>4933</Characters>
  <Application>Microsoft Office Word</Application>
  <DocSecurity>4</DocSecurity>
  <Lines>41</Lines>
  <Paragraphs>11</Paragraphs>
  <ScaleCrop>false</ScaleCrop>
  <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Teresa</dc:creator>
  <cp:keywords/>
  <dc:description/>
  <cp:lastModifiedBy>Marsh, Hal</cp:lastModifiedBy>
  <cp:revision>6</cp:revision>
  <dcterms:created xsi:type="dcterms:W3CDTF">2023-03-29T12:43:00Z</dcterms:created>
  <dcterms:modified xsi:type="dcterms:W3CDTF">2023-03-29T14:36:00Z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0x010100C482A929FC60FA4FAF9318C79D780992</vt:lpwstr>
  </property>
  <property fmtid="{D5CDD505-2E9C-101B-9397-08002B2CF9AE}" pid="3" name="MediaServiceImageTags">
    <vt:lpwstr/>
  </property>
</Properties>
</file>