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AF30" w14:textId="3DC31BA4" w:rsidR="0074667A" w:rsidRPr="0074667A" w:rsidRDefault="0074667A" w:rsidP="0074667A">
      <w:r w:rsidRPr="0074667A">
        <w:t xml:space="preserve">Draft: </w:t>
      </w:r>
      <w:r w:rsidR="009B3AE9">
        <w:t>7</w:t>
      </w:r>
      <w:r w:rsidRPr="0074667A">
        <w:t>/1</w:t>
      </w:r>
      <w:r w:rsidR="009B3AE9">
        <w:t>8</w:t>
      </w:r>
      <w:r w:rsidRPr="0074667A">
        <w:t>/2</w:t>
      </w:r>
      <w:r w:rsidR="009B3AE9">
        <w:t>5</w:t>
      </w:r>
    </w:p>
    <w:p w14:paraId="031097C3" w14:textId="6B688B86" w:rsidR="0074667A" w:rsidRPr="0074667A" w:rsidRDefault="0074667A" w:rsidP="0074667A">
      <w:r w:rsidRPr="0074667A">
        <w:t xml:space="preserve">Comments are being requested on this draft by </w:t>
      </w:r>
      <w:r w:rsidR="00E830FF">
        <w:t>Aug. 2</w:t>
      </w:r>
      <w:r w:rsidR="00932305">
        <w:t>9</w:t>
      </w:r>
      <w:r w:rsidRPr="0074667A">
        <w:t>, 202</w:t>
      </w:r>
      <w:r w:rsidR="00E830FF">
        <w:t>5</w:t>
      </w:r>
      <w:r w:rsidRPr="0074667A">
        <w:t xml:space="preserve">. Comments should be sent only by email to Jolie Matthews at jmatthews@naic.org. </w:t>
      </w:r>
    </w:p>
    <w:p w14:paraId="67C8E264" w14:textId="77777777" w:rsidR="00B60E47" w:rsidRDefault="00B60E47">
      <w:pPr>
        <w:rPr>
          <w:rFonts w:asciiTheme="majorHAnsi" w:eastAsiaTheme="majorEastAsia" w:hAnsiTheme="majorHAnsi" w:cstheme="majorBidi"/>
          <w:spacing w:val="-10"/>
          <w:kern w:val="28"/>
          <w:sz w:val="56"/>
          <w:szCs w:val="56"/>
        </w:rPr>
      </w:pPr>
      <w:r>
        <w:br w:type="page"/>
      </w:r>
    </w:p>
    <w:p w14:paraId="1C06C7FB" w14:textId="68D5A932" w:rsidR="00421D7B" w:rsidRDefault="00A74AA3" w:rsidP="00604EDB">
      <w:pPr>
        <w:pStyle w:val="Title"/>
        <w:jc w:val="center"/>
      </w:pPr>
      <w:r>
        <w:lastRenderedPageBreak/>
        <w:t>P</w:t>
      </w:r>
      <w:r w:rsidR="00647F00">
        <w:t xml:space="preserve">rior Authorization </w:t>
      </w:r>
      <w:r w:rsidR="00604EDB">
        <w:t>White Paper</w:t>
      </w:r>
    </w:p>
    <w:sdt>
      <w:sdtPr>
        <w:rPr>
          <w:rFonts w:asciiTheme="minorHAnsi" w:eastAsiaTheme="minorHAnsi" w:hAnsiTheme="minorHAnsi" w:cstheme="minorBidi"/>
          <w:color w:val="auto"/>
          <w:kern w:val="2"/>
          <w:sz w:val="24"/>
          <w:szCs w:val="24"/>
          <w14:ligatures w14:val="standardContextual"/>
        </w:rPr>
        <w:id w:val="-1996870276"/>
        <w:docPartObj>
          <w:docPartGallery w:val="Table of Contents"/>
          <w:docPartUnique/>
        </w:docPartObj>
      </w:sdtPr>
      <w:sdtEndPr>
        <w:rPr>
          <w:b/>
          <w:bCs/>
          <w:noProof/>
          <w:sz w:val="22"/>
        </w:rPr>
      </w:sdtEndPr>
      <w:sdtContent>
        <w:p w14:paraId="36FBC5DB" w14:textId="148EC737" w:rsidR="00357DE3" w:rsidRDefault="00357DE3">
          <w:pPr>
            <w:pStyle w:val="TOCHeading"/>
          </w:pPr>
          <w:r>
            <w:t>Contents</w:t>
          </w:r>
        </w:p>
        <w:p w14:paraId="64E35AFA" w14:textId="4FFB4D39" w:rsidR="008822AC" w:rsidRDefault="00357DE3">
          <w:pPr>
            <w:pStyle w:val="TOC1"/>
            <w:tabs>
              <w:tab w:val="right" w:leader="dot" w:pos="10070"/>
            </w:tabs>
            <w:rPr>
              <w:rFonts w:eastAsiaTheme="minorEastAsia"/>
              <w:noProof/>
              <w:sz w:val="24"/>
            </w:rPr>
          </w:pPr>
          <w:r>
            <w:fldChar w:fldCharType="begin"/>
          </w:r>
          <w:r>
            <w:instrText xml:space="preserve"> TOC \o "1-3" \h \z \u </w:instrText>
          </w:r>
          <w:r>
            <w:fldChar w:fldCharType="separate"/>
          </w:r>
          <w:hyperlink w:anchor="_Toc203655681" w:history="1">
            <w:r w:rsidR="008822AC" w:rsidRPr="000D4101">
              <w:rPr>
                <w:rStyle w:val="Hyperlink"/>
                <w:noProof/>
              </w:rPr>
              <w:t>What is prior authorization?</w:t>
            </w:r>
            <w:r w:rsidR="008822AC">
              <w:rPr>
                <w:noProof/>
                <w:webHidden/>
              </w:rPr>
              <w:tab/>
            </w:r>
            <w:r w:rsidR="008822AC">
              <w:rPr>
                <w:noProof/>
                <w:webHidden/>
              </w:rPr>
              <w:fldChar w:fldCharType="begin"/>
            </w:r>
            <w:r w:rsidR="008822AC">
              <w:rPr>
                <w:noProof/>
                <w:webHidden/>
              </w:rPr>
              <w:instrText xml:space="preserve"> PAGEREF _Toc203655681 \h </w:instrText>
            </w:r>
            <w:r w:rsidR="008822AC">
              <w:rPr>
                <w:noProof/>
                <w:webHidden/>
              </w:rPr>
            </w:r>
            <w:r w:rsidR="008822AC">
              <w:rPr>
                <w:noProof/>
                <w:webHidden/>
              </w:rPr>
              <w:fldChar w:fldCharType="separate"/>
            </w:r>
            <w:r w:rsidR="002946B0">
              <w:rPr>
                <w:noProof/>
                <w:webHidden/>
              </w:rPr>
              <w:t>3</w:t>
            </w:r>
            <w:r w:rsidR="008822AC">
              <w:rPr>
                <w:noProof/>
                <w:webHidden/>
              </w:rPr>
              <w:fldChar w:fldCharType="end"/>
            </w:r>
          </w:hyperlink>
        </w:p>
        <w:p w14:paraId="01261672" w14:textId="3B93211B" w:rsidR="008822AC" w:rsidRDefault="008822AC">
          <w:pPr>
            <w:pStyle w:val="TOC2"/>
            <w:tabs>
              <w:tab w:val="right" w:leader="dot" w:pos="10070"/>
            </w:tabs>
            <w:rPr>
              <w:rFonts w:eastAsiaTheme="minorEastAsia"/>
              <w:noProof/>
              <w:sz w:val="24"/>
            </w:rPr>
          </w:pPr>
          <w:hyperlink w:anchor="_Toc203655682" w:history="1">
            <w:r w:rsidRPr="000D4101">
              <w:rPr>
                <w:rStyle w:val="Hyperlink"/>
                <w:noProof/>
              </w:rPr>
              <w:t>How this document can help regulators</w:t>
            </w:r>
            <w:r>
              <w:rPr>
                <w:noProof/>
                <w:webHidden/>
              </w:rPr>
              <w:tab/>
            </w:r>
            <w:r>
              <w:rPr>
                <w:noProof/>
                <w:webHidden/>
              </w:rPr>
              <w:fldChar w:fldCharType="begin"/>
            </w:r>
            <w:r>
              <w:rPr>
                <w:noProof/>
                <w:webHidden/>
              </w:rPr>
              <w:instrText xml:space="preserve"> PAGEREF _Toc203655682 \h </w:instrText>
            </w:r>
            <w:r>
              <w:rPr>
                <w:noProof/>
                <w:webHidden/>
              </w:rPr>
            </w:r>
            <w:r>
              <w:rPr>
                <w:noProof/>
                <w:webHidden/>
              </w:rPr>
              <w:fldChar w:fldCharType="separate"/>
            </w:r>
            <w:r w:rsidR="002946B0">
              <w:rPr>
                <w:noProof/>
                <w:webHidden/>
              </w:rPr>
              <w:t>3</w:t>
            </w:r>
            <w:r>
              <w:rPr>
                <w:noProof/>
                <w:webHidden/>
              </w:rPr>
              <w:fldChar w:fldCharType="end"/>
            </w:r>
          </w:hyperlink>
        </w:p>
        <w:p w14:paraId="2D37BCED" w14:textId="13A1794A" w:rsidR="008822AC" w:rsidRDefault="008822AC">
          <w:pPr>
            <w:pStyle w:val="TOC1"/>
            <w:tabs>
              <w:tab w:val="right" w:leader="dot" w:pos="10070"/>
            </w:tabs>
            <w:rPr>
              <w:rFonts w:eastAsiaTheme="minorEastAsia"/>
              <w:noProof/>
              <w:sz w:val="24"/>
            </w:rPr>
          </w:pPr>
          <w:hyperlink w:anchor="_Toc203655683" w:history="1">
            <w:r w:rsidRPr="000D4101">
              <w:rPr>
                <w:rStyle w:val="Hyperlink"/>
                <w:noProof/>
              </w:rPr>
              <w:t>The prior authorization process</w:t>
            </w:r>
            <w:r>
              <w:rPr>
                <w:noProof/>
                <w:webHidden/>
              </w:rPr>
              <w:tab/>
            </w:r>
            <w:r>
              <w:rPr>
                <w:noProof/>
                <w:webHidden/>
              </w:rPr>
              <w:fldChar w:fldCharType="begin"/>
            </w:r>
            <w:r>
              <w:rPr>
                <w:noProof/>
                <w:webHidden/>
              </w:rPr>
              <w:instrText xml:space="preserve"> PAGEREF _Toc203655683 \h </w:instrText>
            </w:r>
            <w:r>
              <w:rPr>
                <w:noProof/>
                <w:webHidden/>
              </w:rPr>
            </w:r>
            <w:r>
              <w:rPr>
                <w:noProof/>
                <w:webHidden/>
              </w:rPr>
              <w:fldChar w:fldCharType="separate"/>
            </w:r>
            <w:r w:rsidR="002946B0">
              <w:rPr>
                <w:noProof/>
                <w:webHidden/>
              </w:rPr>
              <w:t>4</w:t>
            </w:r>
            <w:r>
              <w:rPr>
                <w:noProof/>
                <w:webHidden/>
              </w:rPr>
              <w:fldChar w:fldCharType="end"/>
            </w:r>
          </w:hyperlink>
        </w:p>
        <w:p w14:paraId="4E579BB3" w14:textId="0FA47664" w:rsidR="008822AC" w:rsidRDefault="008822AC">
          <w:pPr>
            <w:pStyle w:val="TOC2"/>
            <w:tabs>
              <w:tab w:val="right" w:leader="dot" w:pos="10070"/>
            </w:tabs>
            <w:rPr>
              <w:rFonts w:eastAsiaTheme="minorEastAsia"/>
              <w:noProof/>
              <w:sz w:val="24"/>
            </w:rPr>
          </w:pPr>
          <w:hyperlink w:anchor="_Toc203655684" w:history="1">
            <w:r w:rsidRPr="000D4101">
              <w:rPr>
                <w:rStyle w:val="Hyperlink"/>
                <w:noProof/>
              </w:rPr>
              <w:t>Common medical services subject to prior authorization</w:t>
            </w:r>
            <w:r>
              <w:rPr>
                <w:noProof/>
                <w:webHidden/>
              </w:rPr>
              <w:tab/>
            </w:r>
            <w:r>
              <w:rPr>
                <w:noProof/>
                <w:webHidden/>
              </w:rPr>
              <w:fldChar w:fldCharType="begin"/>
            </w:r>
            <w:r>
              <w:rPr>
                <w:noProof/>
                <w:webHidden/>
              </w:rPr>
              <w:instrText xml:space="preserve"> PAGEREF _Toc203655684 \h </w:instrText>
            </w:r>
            <w:r>
              <w:rPr>
                <w:noProof/>
                <w:webHidden/>
              </w:rPr>
            </w:r>
            <w:r>
              <w:rPr>
                <w:noProof/>
                <w:webHidden/>
              </w:rPr>
              <w:fldChar w:fldCharType="separate"/>
            </w:r>
            <w:r w:rsidR="002946B0">
              <w:rPr>
                <w:noProof/>
                <w:webHidden/>
              </w:rPr>
              <w:t>4</w:t>
            </w:r>
            <w:r>
              <w:rPr>
                <w:noProof/>
                <w:webHidden/>
              </w:rPr>
              <w:fldChar w:fldCharType="end"/>
            </w:r>
          </w:hyperlink>
        </w:p>
        <w:p w14:paraId="11FD11F0" w14:textId="3A812FDA" w:rsidR="008822AC" w:rsidRDefault="008822AC">
          <w:pPr>
            <w:pStyle w:val="TOC1"/>
            <w:tabs>
              <w:tab w:val="right" w:leader="dot" w:pos="10070"/>
            </w:tabs>
            <w:rPr>
              <w:rFonts w:eastAsiaTheme="minorEastAsia"/>
              <w:noProof/>
              <w:sz w:val="24"/>
            </w:rPr>
          </w:pPr>
          <w:hyperlink w:anchor="_Toc203655685" w:history="1">
            <w:r w:rsidRPr="000D4101">
              <w:rPr>
                <w:rStyle w:val="Hyperlink"/>
                <w:noProof/>
              </w:rPr>
              <w:t>Prior authorization issue perspectives</w:t>
            </w:r>
            <w:r>
              <w:rPr>
                <w:noProof/>
                <w:webHidden/>
              </w:rPr>
              <w:tab/>
            </w:r>
            <w:r>
              <w:rPr>
                <w:noProof/>
                <w:webHidden/>
              </w:rPr>
              <w:fldChar w:fldCharType="begin"/>
            </w:r>
            <w:r>
              <w:rPr>
                <w:noProof/>
                <w:webHidden/>
              </w:rPr>
              <w:instrText xml:space="preserve"> PAGEREF _Toc203655685 \h </w:instrText>
            </w:r>
            <w:r>
              <w:rPr>
                <w:noProof/>
                <w:webHidden/>
              </w:rPr>
            </w:r>
            <w:r>
              <w:rPr>
                <w:noProof/>
                <w:webHidden/>
              </w:rPr>
              <w:fldChar w:fldCharType="separate"/>
            </w:r>
            <w:r w:rsidR="002946B0">
              <w:rPr>
                <w:noProof/>
                <w:webHidden/>
              </w:rPr>
              <w:t>4</w:t>
            </w:r>
            <w:r>
              <w:rPr>
                <w:noProof/>
                <w:webHidden/>
              </w:rPr>
              <w:fldChar w:fldCharType="end"/>
            </w:r>
          </w:hyperlink>
        </w:p>
        <w:p w14:paraId="34A5CF33" w14:textId="4AE26776" w:rsidR="008822AC" w:rsidRDefault="008822AC">
          <w:pPr>
            <w:pStyle w:val="TOC2"/>
            <w:tabs>
              <w:tab w:val="right" w:leader="dot" w:pos="10070"/>
            </w:tabs>
            <w:rPr>
              <w:rFonts w:eastAsiaTheme="minorEastAsia"/>
              <w:noProof/>
              <w:sz w:val="24"/>
            </w:rPr>
          </w:pPr>
          <w:hyperlink w:anchor="_Toc203655686" w:history="1">
            <w:r w:rsidRPr="000D4101">
              <w:rPr>
                <w:rStyle w:val="Hyperlink"/>
                <w:noProof/>
              </w:rPr>
              <w:t>The provider perspective</w:t>
            </w:r>
            <w:r>
              <w:rPr>
                <w:noProof/>
                <w:webHidden/>
              </w:rPr>
              <w:tab/>
            </w:r>
            <w:r>
              <w:rPr>
                <w:noProof/>
                <w:webHidden/>
              </w:rPr>
              <w:fldChar w:fldCharType="begin"/>
            </w:r>
            <w:r>
              <w:rPr>
                <w:noProof/>
                <w:webHidden/>
              </w:rPr>
              <w:instrText xml:space="preserve"> PAGEREF _Toc203655686 \h </w:instrText>
            </w:r>
            <w:r>
              <w:rPr>
                <w:noProof/>
                <w:webHidden/>
              </w:rPr>
            </w:r>
            <w:r>
              <w:rPr>
                <w:noProof/>
                <w:webHidden/>
              </w:rPr>
              <w:fldChar w:fldCharType="separate"/>
            </w:r>
            <w:r w:rsidR="002946B0">
              <w:rPr>
                <w:noProof/>
                <w:webHidden/>
              </w:rPr>
              <w:t>4</w:t>
            </w:r>
            <w:r>
              <w:rPr>
                <w:noProof/>
                <w:webHidden/>
              </w:rPr>
              <w:fldChar w:fldCharType="end"/>
            </w:r>
          </w:hyperlink>
        </w:p>
        <w:p w14:paraId="580A950B" w14:textId="125426FD" w:rsidR="008822AC" w:rsidRDefault="008822AC">
          <w:pPr>
            <w:pStyle w:val="TOC3"/>
            <w:tabs>
              <w:tab w:val="right" w:leader="dot" w:pos="10070"/>
            </w:tabs>
            <w:rPr>
              <w:rFonts w:eastAsiaTheme="minorEastAsia"/>
              <w:noProof/>
              <w:sz w:val="24"/>
            </w:rPr>
          </w:pPr>
          <w:hyperlink w:anchor="_Toc203655687" w:history="1">
            <w:r w:rsidRPr="000D4101">
              <w:rPr>
                <w:rStyle w:val="Hyperlink"/>
                <w:noProof/>
              </w:rPr>
              <w:t>Administrative burden and expense</w:t>
            </w:r>
            <w:r>
              <w:rPr>
                <w:noProof/>
                <w:webHidden/>
              </w:rPr>
              <w:tab/>
            </w:r>
            <w:r>
              <w:rPr>
                <w:noProof/>
                <w:webHidden/>
              </w:rPr>
              <w:fldChar w:fldCharType="begin"/>
            </w:r>
            <w:r>
              <w:rPr>
                <w:noProof/>
                <w:webHidden/>
              </w:rPr>
              <w:instrText xml:space="preserve"> PAGEREF _Toc203655687 \h </w:instrText>
            </w:r>
            <w:r>
              <w:rPr>
                <w:noProof/>
                <w:webHidden/>
              </w:rPr>
            </w:r>
            <w:r>
              <w:rPr>
                <w:noProof/>
                <w:webHidden/>
              </w:rPr>
              <w:fldChar w:fldCharType="separate"/>
            </w:r>
            <w:r w:rsidR="002946B0">
              <w:rPr>
                <w:noProof/>
                <w:webHidden/>
              </w:rPr>
              <w:t>4</w:t>
            </w:r>
            <w:r>
              <w:rPr>
                <w:noProof/>
                <w:webHidden/>
              </w:rPr>
              <w:fldChar w:fldCharType="end"/>
            </w:r>
          </w:hyperlink>
        </w:p>
        <w:p w14:paraId="2904A5B5" w14:textId="455773CC" w:rsidR="008822AC" w:rsidRDefault="008822AC">
          <w:pPr>
            <w:pStyle w:val="TOC3"/>
            <w:tabs>
              <w:tab w:val="right" w:leader="dot" w:pos="10070"/>
            </w:tabs>
            <w:rPr>
              <w:rFonts w:eastAsiaTheme="minorEastAsia"/>
              <w:noProof/>
              <w:sz w:val="24"/>
            </w:rPr>
          </w:pPr>
          <w:hyperlink w:anchor="_Toc203655688" w:history="1">
            <w:r w:rsidRPr="000D4101">
              <w:rPr>
                <w:rStyle w:val="Hyperlink"/>
                <w:noProof/>
              </w:rPr>
              <w:t>Lack of consistency and transparency</w:t>
            </w:r>
            <w:r>
              <w:rPr>
                <w:noProof/>
                <w:webHidden/>
              </w:rPr>
              <w:tab/>
            </w:r>
            <w:r>
              <w:rPr>
                <w:noProof/>
                <w:webHidden/>
              </w:rPr>
              <w:fldChar w:fldCharType="begin"/>
            </w:r>
            <w:r>
              <w:rPr>
                <w:noProof/>
                <w:webHidden/>
              </w:rPr>
              <w:instrText xml:space="preserve"> PAGEREF _Toc203655688 \h </w:instrText>
            </w:r>
            <w:r>
              <w:rPr>
                <w:noProof/>
                <w:webHidden/>
              </w:rPr>
            </w:r>
            <w:r>
              <w:rPr>
                <w:noProof/>
                <w:webHidden/>
              </w:rPr>
              <w:fldChar w:fldCharType="separate"/>
            </w:r>
            <w:r w:rsidR="002946B0">
              <w:rPr>
                <w:noProof/>
                <w:webHidden/>
              </w:rPr>
              <w:t>5</w:t>
            </w:r>
            <w:r>
              <w:rPr>
                <w:noProof/>
                <w:webHidden/>
              </w:rPr>
              <w:fldChar w:fldCharType="end"/>
            </w:r>
          </w:hyperlink>
        </w:p>
        <w:p w14:paraId="3255DB02" w14:textId="37AC20E9" w:rsidR="008822AC" w:rsidRDefault="008822AC">
          <w:pPr>
            <w:pStyle w:val="TOC3"/>
            <w:tabs>
              <w:tab w:val="right" w:leader="dot" w:pos="10070"/>
            </w:tabs>
            <w:rPr>
              <w:rFonts w:eastAsiaTheme="minorEastAsia"/>
              <w:noProof/>
              <w:sz w:val="24"/>
            </w:rPr>
          </w:pPr>
          <w:hyperlink w:anchor="_Toc203655689" w:history="1">
            <w:r w:rsidRPr="000D4101">
              <w:rPr>
                <w:rStyle w:val="Hyperlink"/>
                <w:noProof/>
              </w:rPr>
              <w:t>Outdated and inefficient technology</w:t>
            </w:r>
            <w:r>
              <w:rPr>
                <w:noProof/>
                <w:webHidden/>
              </w:rPr>
              <w:tab/>
            </w:r>
            <w:r>
              <w:rPr>
                <w:noProof/>
                <w:webHidden/>
              </w:rPr>
              <w:fldChar w:fldCharType="begin"/>
            </w:r>
            <w:r>
              <w:rPr>
                <w:noProof/>
                <w:webHidden/>
              </w:rPr>
              <w:instrText xml:space="preserve"> PAGEREF _Toc203655689 \h </w:instrText>
            </w:r>
            <w:r>
              <w:rPr>
                <w:noProof/>
                <w:webHidden/>
              </w:rPr>
            </w:r>
            <w:r>
              <w:rPr>
                <w:noProof/>
                <w:webHidden/>
              </w:rPr>
              <w:fldChar w:fldCharType="separate"/>
            </w:r>
            <w:r w:rsidR="002946B0">
              <w:rPr>
                <w:noProof/>
                <w:webHidden/>
              </w:rPr>
              <w:t>5</w:t>
            </w:r>
            <w:r>
              <w:rPr>
                <w:noProof/>
                <w:webHidden/>
              </w:rPr>
              <w:fldChar w:fldCharType="end"/>
            </w:r>
          </w:hyperlink>
        </w:p>
        <w:p w14:paraId="22BFB5CB" w14:textId="0EABE15D" w:rsidR="008822AC" w:rsidRDefault="008822AC">
          <w:pPr>
            <w:pStyle w:val="TOC3"/>
            <w:tabs>
              <w:tab w:val="right" w:leader="dot" w:pos="10070"/>
            </w:tabs>
            <w:rPr>
              <w:rFonts w:eastAsiaTheme="minorEastAsia"/>
              <w:noProof/>
              <w:sz w:val="24"/>
            </w:rPr>
          </w:pPr>
          <w:hyperlink w:anchor="_Toc203655690" w:history="1">
            <w:r w:rsidRPr="000D4101">
              <w:rPr>
                <w:rStyle w:val="Hyperlink"/>
                <w:noProof/>
              </w:rPr>
              <w:t>Misalignment with clinical standards of care</w:t>
            </w:r>
            <w:r>
              <w:rPr>
                <w:noProof/>
                <w:webHidden/>
              </w:rPr>
              <w:tab/>
            </w:r>
            <w:r>
              <w:rPr>
                <w:noProof/>
                <w:webHidden/>
              </w:rPr>
              <w:fldChar w:fldCharType="begin"/>
            </w:r>
            <w:r>
              <w:rPr>
                <w:noProof/>
                <w:webHidden/>
              </w:rPr>
              <w:instrText xml:space="preserve"> PAGEREF _Toc203655690 \h </w:instrText>
            </w:r>
            <w:r>
              <w:rPr>
                <w:noProof/>
                <w:webHidden/>
              </w:rPr>
            </w:r>
            <w:r>
              <w:rPr>
                <w:noProof/>
                <w:webHidden/>
              </w:rPr>
              <w:fldChar w:fldCharType="separate"/>
            </w:r>
            <w:r w:rsidR="002946B0">
              <w:rPr>
                <w:noProof/>
                <w:webHidden/>
              </w:rPr>
              <w:t>5</w:t>
            </w:r>
            <w:r>
              <w:rPr>
                <w:noProof/>
                <w:webHidden/>
              </w:rPr>
              <w:fldChar w:fldCharType="end"/>
            </w:r>
          </w:hyperlink>
        </w:p>
        <w:p w14:paraId="2FADECF6" w14:textId="6C1151C6" w:rsidR="008822AC" w:rsidRDefault="008822AC">
          <w:pPr>
            <w:pStyle w:val="TOC2"/>
            <w:tabs>
              <w:tab w:val="right" w:leader="dot" w:pos="10070"/>
            </w:tabs>
            <w:rPr>
              <w:rFonts w:eastAsiaTheme="minorEastAsia"/>
              <w:noProof/>
              <w:sz w:val="24"/>
            </w:rPr>
          </w:pPr>
          <w:hyperlink w:anchor="_Toc203655691" w:history="1">
            <w:r w:rsidRPr="000D4101">
              <w:rPr>
                <w:rStyle w:val="Hyperlink"/>
                <w:noProof/>
              </w:rPr>
              <w:t>The consumer perspective</w:t>
            </w:r>
            <w:r>
              <w:rPr>
                <w:noProof/>
                <w:webHidden/>
              </w:rPr>
              <w:tab/>
            </w:r>
            <w:r>
              <w:rPr>
                <w:noProof/>
                <w:webHidden/>
              </w:rPr>
              <w:fldChar w:fldCharType="begin"/>
            </w:r>
            <w:r>
              <w:rPr>
                <w:noProof/>
                <w:webHidden/>
              </w:rPr>
              <w:instrText xml:space="preserve"> PAGEREF _Toc203655691 \h </w:instrText>
            </w:r>
            <w:r>
              <w:rPr>
                <w:noProof/>
                <w:webHidden/>
              </w:rPr>
            </w:r>
            <w:r>
              <w:rPr>
                <w:noProof/>
                <w:webHidden/>
              </w:rPr>
              <w:fldChar w:fldCharType="separate"/>
            </w:r>
            <w:r w:rsidR="002946B0">
              <w:rPr>
                <w:noProof/>
                <w:webHidden/>
              </w:rPr>
              <w:t>6</w:t>
            </w:r>
            <w:r>
              <w:rPr>
                <w:noProof/>
                <w:webHidden/>
              </w:rPr>
              <w:fldChar w:fldCharType="end"/>
            </w:r>
          </w:hyperlink>
        </w:p>
        <w:p w14:paraId="3E686665" w14:textId="317F60B4" w:rsidR="008822AC" w:rsidRDefault="008822AC">
          <w:pPr>
            <w:pStyle w:val="TOC3"/>
            <w:tabs>
              <w:tab w:val="right" w:leader="dot" w:pos="10070"/>
            </w:tabs>
            <w:rPr>
              <w:rFonts w:eastAsiaTheme="minorEastAsia"/>
              <w:noProof/>
              <w:sz w:val="24"/>
            </w:rPr>
          </w:pPr>
          <w:hyperlink w:anchor="_Toc203655692" w:history="1">
            <w:r w:rsidRPr="000D4101">
              <w:rPr>
                <w:rStyle w:val="Hyperlink"/>
                <w:noProof/>
              </w:rPr>
              <w:t>Disruptions in care</w:t>
            </w:r>
            <w:r>
              <w:rPr>
                <w:noProof/>
                <w:webHidden/>
              </w:rPr>
              <w:tab/>
            </w:r>
            <w:r>
              <w:rPr>
                <w:noProof/>
                <w:webHidden/>
              </w:rPr>
              <w:fldChar w:fldCharType="begin"/>
            </w:r>
            <w:r>
              <w:rPr>
                <w:noProof/>
                <w:webHidden/>
              </w:rPr>
              <w:instrText xml:space="preserve"> PAGEREF _Toc203655692 \h </w:instrText>
            </w:r>
            <w:r>
              <w:rPr>
                <w:noProof/>
                <w:webHidden/>
              </w:rPr>
            </w:r>
            <w:r>
              <w:rPr>
                <w:noProof/>
                <w:webHidden/>
              </w:rPr>
              <w:fldChar w:fldCharType="separate"/>
            </w:r>
            <w:r w:rsidR="002946B0">
              <w:rPr>
                <w:noProof/>
                <w:webHidden/>
              </w:rPr>
              <w:t>6</w:t>
            </w:r>
            <w:r>
              <w:rPr>
                <w:noProof/>
                <w:webHidden/>
              </w:rPr>
              <w:fldChar w:fldCharType="end"/>
            </w:r>
          </w:hyperlink>
        </w:p>
        <w:p w14:paraId="462D000A" w14:textId="376F3F38" w:rsidR="008822AC" w:rsidRDefault="008822AC">
          <w:pPr>
            <w:pStyle w:val="TOC3"/>
            <w:tabs>
              <w:tab w:val="right" w:leader="dot" w:pos="10070"/>
            </w:tabs>
            <w:rPr>
              <w:rFonts w:eastAsiaTheme="minorEastAsia"/>
              <w:noProof/>
              <w:sz w:val="24"/>
            </w:rPr>
          </w:pPr>
          <w:hyperlink w:anchor="_Toc203655693" w:history="1">
            <w:r w:rsidRPr="000D4101">
              <w:rPr>
                <w:rStyle w:val="Hyperlink"/>
                <w:noProof/>
              </w:rPr>
              <w:t>Higher costs in the long run</w:t>
            </w:r>
            <w:r>
              <w:rPr>
                <w:noProof/>
                <w:webHidden/>
              </w:rPr>
              <w:tab/>
            </w:r>
            <w:r>
              <w:rPr>
                <w:noProof/>
                <w:webHidden/>
              </w:rPr>
              <w:fldChar w:fldCharType="begin"/>
            </w:r>
            <w:r>
              <w:rPr>
                <w:noProof/>
                <w:webHidden/>
              </w:rPr>
              <w:instrText xml:space="preserve"> PAGEREF _Toc203655693 \h </w:instrText>
            </w:r>
            <w:r>
              <w:rPr>
                <w:noProof/>
                <w:webHidden/>
              </w:rPr>
            </w:r>
            <w:r>
              <w:rPr>
                <w:noProof/>
                <w:webHidden/>
              </w:rPr>
              <w:fldChar w:fldCharType="separate"/>
            </w:r>
            <w:r w:rsidR="002946B0">
              <w:rPr>
                <w:noProof/>
                <w:webHidden/>
              </w:rPr>
              <w:t>6</w:t>
            </w:r>
            <w:r>
              <w:rPr>
                <w:noProof/>
                <w:webHidden/>
              </w:rPr>
              <w:fldChar w:fldCharType="end"/>
            </w:r>
          </w:hyperlink>
        </w:p>
        <w:p w14:paraId="4767672F" w14:textId="27AC0FC0" w:rsidR="008822AC" w:rsidRDefault="008822AC">
          <w:pPr>
            <w:pStyle w:val="TOC3"/>
            <w:tabs>
              <w:tab w:val="right" w:leader="dot" w:pos="10070"/>
            </w:tabs>
            <w:rPr>
              <w:rFonts w:eastAsiaTheme="minorEastAsia"/>
              <w:noProof/>
              <w:sz w:val="24"/>
            </w:rPr>
          </w:pPr>
          <w:hyperlink w:anchor="_Toc203655694" w:history="1">
            <w:r w:rsidRPr="000D4101">
              <w:rPr>
                <w:rStyle w:val="Hyperlink"/>
                <w:noProof/>
              </w:rPr>
              <w:t>Adverse and inequitable outcomes</w:t>
            </w:r>
            <w:r>
              <w:rPr>
                <w:noProof/>
                <w:webHidden/>
              </w:rPr>
              <w:tab/>
            </w:r>
            <w:r>
              <w:rPr>
                <w:noProof/>
                <w:webHidden/>
              </w:rPr>
              <w:fldChar w:fldCharType="begin"/>
            </w:r>
            <w:r>
              <w:rPr>
                <w:noProof/>
                <w:webHidden/>
              </w:rPr>
              <w:instrText xml:space="preserve"> PAGEREF _Toc203655694 \h </w:instrText>
            </w:r>
            <w:r>
              <w:rPr>
                <w:noProof/>
                <w:webHidden/>
              </w:rPr>
            </w:r>
            <w:r>
              <w:rPr>
                <w:noProof/>
                <w:webHidden/>
              </w:rPr>
              <w:fldChar w:fldCharType="separate"/>
            </w:r>
            <w:r w:rsidR="002946B0">
              <w:rPr>
                <w:noProof/>
                <w:webHidden/>
              </w:rPr>
              <w:t>7</w:t>
            </w:r>
            <w:r>
              <w:rPr>
                <w:noProof/>
                <w:webHidden/>
              </w:rPr>
              <w:fldChar w:fldCharType="end"/>
            </w:r>
          </w:hyperlink>
        </w:p>
        <w:p w14:paraId="64EE50F6" w14:textId="79E0411A" w:rsidR="008822AC" w:rsidRDefault="008822AC">
          <w:pPr>
            <w:pStyle w:val="TOC3"/>
            <w:tabs>
              <w:tab w:val="right" w:leader="dot" w:pos="10070"/>
            </w:tabs>
            <w:rPr>
              <w:rFonts w:eastAsiaTheme="minorEastAsia"/>
              <w:noProof/>
              <w:sz w:val="24"/>
            </w:rPr>
          </w:pPr>
          <w:hyperlink w:anchor="_Toc203655695" w:history="1">
            <w:r w:rsidRPr="000D4101">
              <w:rPr>
                <w:rStyle w:val="Hyperlink"/>
                <w:noProof/>
              </w:rPr>
              <w:t>The appeals process</w:t>
            </w:r>
            <w:r>
              <w:rPr>
                <w:noProof/>
                <w:webHidden/>
              </w:rPr>
              <w:tab/>
            </w:r>
            <w:r>
              <w:rPr>
                <w:noProof/>
                <w:webHidden/>
              </w:rPr>
              <w:fldChar w:fldCharType="begin"/>
            </w:r>
            <w:r>
              <w:rPr>
                <w:noProof/>
                <w:webHidden/>
              </w:rPr>
              <w:instrText xml:space="preserve"> PAGEREF _Toc203655695 \h </w:instrText>
            </w:r>
            <w:r>
              <w:rPr>
                <w:noProof/>
                <w:webHidden/>
              </w:rPr>
            </w:r>
            <w:r>
              <w:rPr>
                <w:noProof/>
                <w:webHidden/>
              </w:rPr>
              <w:fldChar w:fldCharType="separate"/>
            </w:r>
            <w:r w:rsidR="002946B0">
              <w:rPr>
                <w:noProof/>
                <w:webHidden/>
              </w:rPr>
              <w:t>7</w:t>
            </w:r>
            <w:r>
              <w:rPr>
                <w:noProof/>
                <w:webHidden/>
              </w:rPr>
              <w:fldChar w:fldCharType="end"/>
            </w:r>
          </w:hyperlink>
        </w:p>
        <w:p w14:paraId="25A4D3DF" w14:textId="16276B0A" w:rsidR="008822AC" w:rsidRDefault="008822AC">
          <w:pPr>
            <w:pStyle w:val="TOC2"/>
            <w:tabs>
              <w:tab w:val="right" w:leader="dot" w:pos="10070"/>
            </w:tabs>
            <w:rPr>
              <w:rFonts w:eastAsiaTheme="minorEastAsia"/>
              <w:noProof/>
              <w:sz w:val="24"/>
            </w:rPr>
          </w:pPr>
          <w:hyperlink w:anchor="_Toc203655696" w:history="1">
            <w:r w:rsidRPr="000D4101">
              <w:rPr>
                <w:rStyle w:val="Hyperlink"/>
                <w:noProof/>
              </w:rPr>
              <w:t>The insurer perspective</w:t>
            </w:r>
            <w:r>
              <w:rPr>
                <w:noProof/>
                <w:webHidden/>
              </w:rPr>
              <w:tab/>
            </w:r>
            <w:r>
              <w:rPr>
                <w:noProof/>
                <w:webHidden/>
              </w:rPr>
              <w:fldChar w:fldCharType="begin"/>
            </w:r>
            <w:r>
              <w:rPr>
                <w:noProof/>
                <w:webHidden/>
              </w:rPr>
              <w:instrText xml:space="preserve"> PAGEREF _Toc203655696 \h </w:instrText>
            </w:r>
            <w:r>
              <w:rPr>
                <w:noProof/>
                <w:webHidden/>
              </w:rPr>
            </w:r>
            <w:r>
              <w:rPr>
                <w:noProof/>
                <w:webHidden/>
              </w:rPr>
              <w:fldChar w:fldCharType="separate"/>
            </w:r>
            <w:r w:rsidR="002946B0">
              <w:rPr>
                <w:noProof/>
                <w:webHidden/>
              </w:rPr>
              <w:t>7</w:t>
            </w:r>
            <w:r>
              <w:rPr>
                <w:noProof/>
                <w:webHidden/>
              </w:rPr>
              <w:fldChar w:fldCharType="end"/>
            </w:r>
          </w:hyperlink>
        </w:p>
        <w:p w14:paraId="3F60D812" w14:textId="115E2EFF" w:rsidR="008822AC" w:rsidRDefault="008822AC">
          <w:pPr>
            <w:pStyle w:val="TOC3"/>
            <w:tabs>
              <w:tab w:val="right" w:leader="dot" w:pos="10070"/>
            </w:tabs>
            <w:rPr>
              <w:rFonts w:eastAsiaTheme="minorEastAsia"/>
              <w:noProof/>
              <w:sz w:val="24"/>
            </w:rPr>
          </w:pPr>
          <w:hyperlink w:anchor="_Toc203655697" w:history="1">
            <w:r w:rsidRPr="000D4101">
              <w:rPr>
                <w:rStyle w:val="Hyperlink"/>
                <w:noProof/>
              </w:rPr>
              <w:t>Patient Safety</w:t>
            </w:r>
            <w:r>
              <w:rPr>
                <w:noProof/>
                <w:webHidden/>
              </w:rPr>
              <w:tab/>
            </w:r>
            <w:r>
              <w:rPr>
                <w:noProof/>
                <w:webHidden/>
              </w:rPr>
              <w:fldChar w:fldCharType="begin"/>
            </w:r>
            <w:r>
              <w:rPr>
                <w:noProof/>
                <w:webHidden/>
              </w:rPr>
              <w:instrText xml:space="preserve"> PAGEREF _Toc203655697 \h </w:instrText>
            </w:r>
            <w:r>
              <w:rPr>
                <w:noProof/>
                <w:webHidden/>
              </w:rPr>
            </w:r>
            <w:r>
              <w:rPr>
                <w:noProof/>
                <w:webHidden/>
              </w:rPr>
              <w:fldChar w:fldCharType="separate"/>
            </w:r>
            <w:r w:rsidR="002946B0">
              <w:rPr>
                <w:noProof/>
                <w:webHidden/>
              </w:rPr>
              <w:t>8</w:t>
            </w:r>
            <w:r>
              <w:rPr>
                <w:noProof/>
                <w:webHidden/>
              </w:rPr>
              <w:fldChar w:fldCharType="end"/>
            </w:r>
          </w:hyperlink>
        </w:p>
        <w:p w14:paraId="014DFE03" w14:textId="321D9A16" w:rsidR="008822AC" w:rsidRDefault="008822AC">
          <w:pPr>
            <w:pStyle w:val="TOC3"/>
            <w:tabs>
              <w:tab w:val="right" w:leader="dot" w:pos="10070"/>
            </w:tabs>
            <w:rPr>
              <w:rFonts w:eastAsiaTheme="minorEastAsia"/>
              <w:noProof/>
              <w:sz w:val="24"/>
            </w:rPr>
          </w:pPr>
          <w:hyperlink w:anchor="_Toc203655698" w:history="1">
            <w:r w:rsidRPr="000D4101">
              <w:rPr>
                <w:rStyle w:val="Hyperlink"/>
                <w:noProof/>
              </w:rPr>
              <w:t>Cost containment</w:t>
            </w:r>
            <w:r>
              <w:rPr>
                <w:noProof/>
                <w:webHidden/>
              </w:rPr>
              <w:tab/>
            </w:r>
            <w:r>
              <w:rPr>
                <w:noProof/>
                <w:webHidden/>
              </w:rPr>
              <w:fldChar w:fldCharType="begin"/>
            </w:r>
            <w:r>
              <w:rPr>
                <w:noProof/>
                <w:webHidden/>
              </w:rPr>
              <w:instrText xml:space="preserve"> PAGEREF _Toc203655698 \h </w:instrText>
            </w:r>
            <w:r>
              <w:rPr>
                <w:noProof/>
                <w:webHidden/>
              </w:rPr>
            </w:r>
            <w:r>
              <w:rPr>
                <w:noProof/>
                <w:webHidden/>
              </w:rPr>
              <w:fldChar w:fldCharType="separate"/>
            </w:r>
            <w:r w:rsidR="002946B0">
              <w:rPr>
                <w:noProof/>
                <w:webHidden/>
              </w:rPr>
              <w:t>8</w:t>
            </w:r>
            <w:r>
              <w:rPr>
                <w:noProof/>
                <w:webHidden/>
              </w:rPr>
              <w:fldChar w:fldCharType="end"/>
            </w:r>
          </w:hyperlink>
        </w:p>
        <w:p w14:paraId="281679E8" w14:textId="345A9368" w:rsidR="008822AC" w:rsidRDefault="008822AC">
          <w:pPr>
            <w:pStyle w:val="TOC3"/>
            <w:tabs>
              <w:tab w:val="right" w:leader="dot" w:pos="10070"/>
            </w:tabs>
            <w:rPr>
              <w:rFonts w:eastAsiaTheme="minorEastAsia"/>
              <w:noProof/>
              <w:sz w:val="24"/>
            </w:rPr>
          </w:pPr>
          <w:hyperlink w:anchor="_Toc203655699" w:history="1">
            <w:r w:rsidRPr="000D4101">
              <w:rPr>
                <w:rStyle w:val="Hyperlink"/>
                <w:noProof/>
              </w:rPr>
              <w:t>Friction with providers and members</w:t>
            </w:r>
            <w:r>
              <w:rPr>
                <w:noProof/>
                <w:webHidden/>
              </w:rPr>
              <w:tab/>
            </w:r>
            <w:r>
              <w:rPr>
                <w:noProof/>
                <w:webHidden/>
              </w:rPr>
              <w:fldChar w:fldCharType="begin"/>
            </w:r>
            <w:r>
              <w:rPr>
                <w:noProof/>
                <w:webHidden/>
              </w:rPr>
              <w:instrText xml:space="preserve"> PAGEREF _Toc203655699 \h </w:instrText>
            </w:r>
            <w:r>
              <w:rPr>
                <w:noProof/>
                <w:webHidden/>
              </w:rPr>
            </w:r>
            <w:r>
              <w:rPr>
                <w:noProof/>
                <w:webHidden/>
              </w:rPr>
              <w:fldChar w:fldCharType="separate"/>
            </w:r>
            <w:r w:rsidR="002946B0">
              <w:rPr>
                <w:noProof/>
                <w:webHidden/>
              </w:rPr>
              <w:t>8</w:t>
            </w:r>
            <w:r>
              <w:rPr>
                <w:noProof/>
                <w:webHidden/>
              </w:rPr>
              <w:fldChar w:fldCharType="end"/>
            </w:r>
          </w:hyperlink>
        </w:p>
        <w:p w14:paraId="014F7155" w14:textId="124674E0" w:rsidR="008822AC" w:rsidRDefault="008822AC">
          <w:pPr>
            <w:pStyle w:val="TOC3"/>
            <w:tabs>
              <w:tab w:val="right" w:leader="dot" w:pos="10070"/>
            </w:tabs>
            <w:rPr>
              <w:rFonts w:eastAsiaTheme="minorEastAsia"/>
              <w:noProof/>
              <w:sz w:val="24"/>
            </w:rPr>
          </w:pPr>
          <w:hyperlink w:anchor="_Toc203655700" w:history="1">
            <w:r w:rsidRPr="000D4101">
              <w:rPr>
                <w:rStyle w:val="Hyperlink"/>
                <w:noProof/>
              </w:rPr>
              <w:t>Electronic prior authorization</w:t>
            </w:r>
            <w:r>
              <w:rPr>
                <w:noProof/>
                <w:webHidden/>
              </w:rPr>
              <w:tab/>
            </w:r>
            <w:r>
              <w:rPr>
                <w:noProof/>
                <w:webHidden/>
              </w:rPr>
              <w:fldChar w:fldCharType="begin"/>
            </w:r>
            <w:r>
              <w:rPr>
                <w:noProof/>
                <w:webHidden/>
              </w:rPr>
              <w:instrText xml:space="preserve"> PAGEREF _Toc203655700 \h </w:instrText>
            </w:r>
            <w:r>
              <w:rPr>
                <w:noProof/>
                <w:webHidden/>
              </w:rPr>
            </w:r>
            <w:r>
              <w:rPr>
                <w:noProof/>
                <w:webHidden/>
              </w:rPr>
              <w:fldChar w:fldCharType="separate"/>
            </w:r>
            <w:r w:rsidR="002946B0">
              <w:rPr>
                <w:noProof/>
                <w:webHidden/>
              </w:rPr>
              <w:t>8</w:t>
            </w:r>
            <w:r>
              <w:rPr>
                <w:noProof/>
                <w:webHidden/>
              </w:rPr>
              <w:fldChar w:fldCharType="end"/>
            </w:r>
          </w:hyperlink>
        </w:p>
        <w:p w14:paraId="5FBB83C2" w14:textId="0B98CC86" w:rsidR="008822AC" w:rsidRDefault="008822AC">
          <w:pPr>
            <w:pStyle w:val="TOC3"/>
            <w:tabs>
              <w:tab w:val="right" w:leader="dot" w:pos="10070"/>
            </w:tabs>
            <w:rPr>
              <w:rFonts w:eastAsiaTheme="minorEastAsia"/>
              <w:noProof/>
              <w:sz w:val="24"/>
            </w:rPr>
          </w:pPr>
          <w:hyperlink w:anchor="_Toc203655701" w:history="1">
            <w:r w:rsidRPr="000D4101">
              <w:rPr>
                <w:rStyle w:val="Hyperlink"/>
                <w:noProof/>
              </w:rPr>
              <w:t>Selective use</w:t>
            </w:r>
            <w:r>
              <w:rPr>
                <w:noProof/>
                <w:webHidden/>
              </w:rPr>
              <w:tab/>
            </w:r>
            <w:r>
              <w:rPr>
                <w:noProof/>
                <w:webHidden/>
              </w:rPr>
              <w:fldChar w:fldCharType="begin"/>
            </w:r>
            <w:r>
              <w:rPr>
                <w:noProof/>
                <w:webHidden/>
              </w:rPr>
              <w:instrText xml:space="preserve"> PAGEREF _Toc203655701 \h </w:instrText>
            </w:r>
            <w:r>
              <w:rPr>
                <w:noProof/>
                <w:webHidden/>
              </w:rPr>
            </w:r>
            <w:r>
              <w:rPr>
                <w:noProof/>
                <w:webHidden/>
              </w:rPr>
              <w:fldChar w:fldCharType="separate"/>
            </w:r>
            <w:r w:rsidR="002946B0">
              <w:rPr>
                <w:noProof/>
                <w:webHidden/>
              </w:rPr>
              <w:t>9</w:t>
            </w:r>
            <w:r>
              <w:rPr>
                <w:noProof/>
                <w:webHidden/>
              </w:rPr>
              <w:fldChar w:fldCharType="end"/>
            </w:r>
          </w:hyperlink>
        </w:p>
        <w:p w14:paraId="37BAA2AD" w14:textId="35957677" w:rsidR="008822AC" w:rsidRDefault="008822AC">
          <w:pPr>
            <w:pStyle w:val="TOC3"/>
            <w:tabs>
              <w:tab w:val="right" w:leader="dot" w:pos="10070"/>
            </w:tabs>
            <w:rPr>
              <w:rFonts w:eastAsiaTheme="minorEastAsia"/>
              <w:noProof/>
              <w:sz w:val="24"/>
            </w:rPr>
          </w:pPr>
          <w:hyperlink w:anchor="_Toc203655702" w:history="1">
            <w:r w:rsidRPr="000D4101">
              <w:rPr>
                <w:rStyle w:val="Hyperlink"/>
                <w:noProof/>
              </w:rPr>
              <w:t>Questions regarding the evidence base</w:t>
            </w:r>
            <w:r>
              <w:rPr>
                <w:noProof/>
                <w:webHidden/>
              </w:rPr>
              <w:tab/>
            </w:r>
            <w:r>
              <w:rPr>
                <w:noProof/>
                <w:webHidden/>
              </w:rPr>
              <w:fldChar w:fldCharType="begin"/>
            </w:r>
            <w:r>
              <w:rPr>
                <w:noProof/>
                <w:webHidden/>
              </w:rPr>
              <w:instrText xml:space="preserve"> PAGEREF _Toc203655702 \h </w:instrText>
            </w:r>
            <w:r>
              <w:rPr>
                <w:noProof/>
                <w:webHidden/>
              </w:rPr>
            </w:r>
            <w:r>
              <w:rPr>
                <w:noProof/>
                <w:webHidden/>
              </w:rPr>
              <w:fldChar w:fldCharType="separate"/>
            </w:r>
            <w:r w:rsidR="002946B0">
              <w:rPr>
                <w:noProof/>
                <w:webHidden/>
              </w:rPr>
              <w:t>9</w:t>
            </w:r>
            <w:r>
              <w:rPr>
                <w:noProof/>
                <w:webHidden/>
              </w:rPr>
              <w:fldChar w:fldCharType="end"/>
            </w:r>
          </w:hyperlink>
        </w:p>
        <w:p w14:paraId="0DFF917B" w14:textId="68FDB194" w:rsidR="008822AC" w:rsidRDefault="008822AC">
          <w:pPr>
            <w:pStyle w:val="TOC1"/>
            <w:tabs>
              <w:tab w:val="right" w:leader="dot" w:pos="10070"/>
            </w:tabs>
            <w:rPr>
              <w:rFonts w:eastAsiaTheme="minorEastAsia"/>
              <w:noProof/>
              <w:sz w:val="24"/>
            </w:rPr>
          </w:pPr>
          <w:hyperlink w:anchor="_Toc203655703" w:history="1">
            <w:r w:rsidRPr="000D4101">
              <w:rPr>
                <w:rStyle w:val="Hyperlink"/>
                <w:noProof/>
              </w:rPr>
              <w:t>Solutions and examples</w:t>
            </w:r>
            <w:r>
              <w:rPr>
                <w:noProof/>
                <w:webHidden/>
              </w:rPr>
              <w:tab/>
            </w:r>
            <w:r>
              <w:rPr>
                <w:noProof/>
                <w:webHidden/>
              </w:rPr>
              <w:fldChar w:fldCharType="begin"/>
            </w:r>
            <w:r>
              <w:rPr>
                <w:noProof/>
                <w:webHidden/>
              </w:rPr>
              <w:instrText xml:space="preserve"> PAGEREF _Toc203655703 \h </w:instrText>
            </w:r>
            <w:r>
              <w:rPr>
                <w:noProof/>
                <w:webHidden/>
              </w:rPr>
            </w:r>
            <w:r>
              <w:rPr>
                <w:noProof/>
                <w:webHidden/>
              </w:rPr>
              <w:fldChar w:fldCharType="separate"/>
            </w:r>
            <w:r w:rsidR="002946B0">
              <w:rPr>
                <w:noProof/>
                <w:webHidden/>
              </w:rPr>
              <w:t>9</w:t>
            </w:r>
            <w:r>
              <w:rPr>
                <w:noProof/>
                <w:webHidden/>
              </w:rPr>
              <w:fldChar w:fldCharType="end"/>
            </w:r>
          </w:hyperlink>
        </w:p>
        <w:p w14:paraId="207CCBDD" w14:textId="757B35DA" w:rsidR="008822AC" w:rsidRDefault="008822AC">
          <w:pPr>
            <w:pStyle w:val="TOC2"/>
            <w:tabs>
              <w:tab w:val="right" w:leader="dot" w:pos="10070"/>
            </w:tabs>
            <w:rPr>
              <w:rFonts w:eastAsiaTheme="minorEastAsia"/>
              <w:noProof/>
              <w:sz w:val="24"/>
            </w:rPr>
          </w:pPr>
          <w:hyperlink w:anchor="_Toc203655704" w:history="1">
            <w:r w:rsidRPr="000D4101">
              <w:rPr>
                <w:rStyle w:val="Hyperlink"/>
                <w:noProof/>
              </w:rPr>
              <w:t>States</w:t>
            </w:r>
            <w:r>
              <w:rPr>
                <w:noProof/>
                <w:webHidden/>
              </w:rPr>
              <w:tab/>
            </w:r>
            <w:r>
              <w:rPr>
                <w:noProof/>
                <w:webHidden/>
              </w:rPr>
              <w:fldChar w:fldCharType="begin"/>
            </w:r>
            <w:r>
              <w:rPr>
                <w:noProof/>
                <w:webHidden/>
              </w:rPr>
              <w:instrText xml:space="preserve"> PAGEREF _Toc203655704 \h </w:instrText>
            </w:r>
            <w:r>
              <w:rPr>
                <w:noProof/>
                <w:webHidden/>
              </w:rPr>
            </w:r>
            <w:r>
              <w:rPr>
                <w:noProof/>
                <w:webHidden/>
              </w:rPr>
              <w:fldChar w:fldCharType="separate"/>
            </w:r>
            <w:r w:rsidR="002946B0">
              <w:rPr>
                <w:noProof/>
                <w:webHidden/>
              </w:rPr>
              <w:t>9</w:t>
            </w:r>
            <w:r>
              <w:rPr>
                <w:noProof/>
                <w:webHidden/>
              </w:rPr>
              <w:fldChar w:fldCharType="end"/>
            </w:r>
          </w:hyperlink>
        </w:p>
        <w:p w14:paraId="6EA5AF41" w14:textId="45D16186" w:rsidR="008822AC" w:rsidRDefault="008822AC">
          <w:pPr>
            <w:pStyle w:val="TOC3"/>
            <w:tabs>
              <w:tab w:val="right" w:leader="dot" w:pos="10070"/>
            </w:tabs>
            <w:rPr>
              <w:rFonts w:eastAsiaTheme="minorEastAsia"/>
              <w:noProof/>
              <w:sz w:val="24"/>
            </w:rPr>
          </w:pPr>
          <w:hyperlink w:anchor="_Toc203655705" w:history="1">
            <w:r w:rsidRPr="000D4101">
              <w:rPr>
                <w:rStyle w:val="Hyperlink"/>
                <w:noProof/>
              </w:rPr>
              <w:t>Gold carding</w:t>
            </w:r>
            <w:r>
              <w:rPr>
                <w:noProof/>
                <w:webHidden/>
              </w:rPr>
              <w:tab/>
            </w:r>
            <w:r>
              <w:rPr>
                <w:noProof/>
                <w:webHidden/>
              </w:rPr>
              <w:fldChar w:fldCharType="begin"/>
            </w:r>
            <w:r>
              <w:rPr>
                <w:noProof/>
                <w:webHidden/>
              </w:rPr>
              <w:instrText xml:space="preserve"> PAGEREF _Toc203655705 \h </w:instrText>
            </w:r>
            <w:r>
              <w:rPr>
                <w:noProof/>
                <w:webHidden/>
              </w:rPr>
            </w:r>
            <w:r>
              <w:rPr>
                <w:noProof/>
                <w:webHidden/>
              </w:rPr>
              <w:fldChar w:fldCharType="separate"/>
            </w:r>
            <w:r w:rsidR="002946B0">
              <w:rPr>
                <w:noProof/>
                <w:webHidden/>
              </w:rPr>
              <w:t>9</w:t>
            </w:r>
            <w:r>
              <w:rPr>
                <w:noProof/>
                <w:webHidden/>
              </w:rPr>
              <w:fldChar w:fldCharType="end"/>
            </w:r>
          </w:hyperlink>
        </w:p>
        <w:p w14:paraId="654145E0" w14:textId="5CE9A681" w:rsidR="008822AC" w:rsidRDefault="008822AC">
          <w:pPr>
            <w:pStyle w:val="TOC3"/>
            <w:tabs>
              <w:tab w:val="right" w:leader="dot" w:pos="10070"/>
            </w:tabs>
            <w:rPr>
              <w:rFonts w:eastAsiaTheme="minorEastAsia"/>
              <w:noProof/>
              <w:sz w:val="24"/>
            </w:rPr>
          </w:pPr>
          <w:hyperlink w:anchor="_Toc203655706" w:history="1">
            <w:r w:rsidRPr="000D4101">
              <w:rPr>
                <w:rStyle w:val="Hyperlink"/>
                <w:noProof/>
              </w:rPr>
              <w:t>Addressing continuity concerns</w:t>
            </w:r>
            <w:r>
              <w:rPr>
                <w:noProof/>
                <w:webHidden/>
              </w:rPr>
              <w:tab/>
            </w:r>
            <w:r>
              <w:rPr>
                <w:noProof/>
                <w:webHidden/>
              </w:rPr>
              <w:fldChar w:fldCharType="begin"/>
            </w:r>
            <w:r>
              <w:rPr>
                <w:noProof/>
                <w:webHidden/>
              </w:rPr>
              <w:instrText xml:space="preserve"> PAGEREF _Toc203655706 \h </w:instrText>
            </w:r>
            <w:r>
              <w:rPr>
                <w:noProof/>
                <w:webHidden/>
              </w:rPr>
            </w:r>
            <w:r>
              <w:rPr>
                <w:noProof/>
                <w:webHidden/>
              </w:rPr>
              <w:fldChar w:fldCharType="separate"/>
            </w:r>
            <w:r w:rsidR="002946B0">
              <w:rPr>
                <w:noProof/>
                <w:webHidden/>
              </w:rPr>
              <w:t>12</w:t>
            </w:r>
            <w:r>
              <w:rPr>
                <w:noProof/>
                <w:webHidden/>
              </w:rPr>
              <w:fldChar w:fldCharType="end"/>
            </w:r>
          </w:hyperlink>
        </w:p>
        <w:p w14:paraId="1422868F" w14:textId="6B3F7FDA" w:rsidR="008822AC" w:rsidRDefault="008822AC">
          <w:pPr>
            <w:pStyle w:val="TOC3"/>
            <w:tabs>
              <w:tab w:val="right" w:leader="dot" w:pos="10070"/>
            </w:tabs>
            <w:rPr>
              <w:rFonts w:eastAsiaTheme="minorEastAsia"/>
              <w:noProof/>
              <w:sz w:val="24"/>
            </w:rPr>
          </w:pPr>
          <w:hyperlink w:anchor="_Toc203655707" w:history="1">
            <w:r w:rsidRPr="000D4101">
              <w:rPr>
                <w:rStyle w:val="Hyperlink"/>
                <w:noProof/>
              </w:rPr>
              <w:t>Reducing response times</w:t>
            </w:r>
            <w:r>
              <w:rPr>
                <w:noProof/>
                <w:webHidden/>
              </w:rPr>
              <w:tab/>
            </w:r>
            <w:r>
              <w:rPr>
                <w:noProof/>
                <w:webHidden/>
              </w:rPr>
              <w:fldChar w:fldCharType="begin"/>
            </w:r>
            <w:r>
              <w:rPr>
                <w:noProof/>
                <w:webHidden/>
              </w:rPr>
              <w:instrText xml:space="preserve"> PAGEREF _Toc203655707 \h </w:instrText>
            </w:r>
            <w:r>
              <w:rPr>
                <w:noProof/>
                <w:webHidden/>
              </w:rPr>
            </w:r>
            <w:r>
              <w:rPr>
                <w:noProof/>
                <w:webHidden/>
              </w:rPr>
              <w:fldChar w:fldCharType="separate"/>
            </w:r>
            <w:r w:rsidR="002946B0">
              <w:rPr>
                <w:noProof/>
                <w:webHidden/>
              </w:rPr>
              <w:t>12</w:t>
            </w:r>
            <w:r>
              <w:rPr>
                <w:noProof/>
                <w:webHidden/>
              </w:rPr>
              <w:fldChar w:fldCharType="end"/>
            </w:r>
          </w:hyperlink>
        </w:p>
        <w:p w14:paraId="0B90C9CF" w14:textId="50568B11" w:rsidR="008822AC" w:rsidRDefault="008822AC">
          <w:pPr>
            <w:pStyle w:val="TOC3"/>
            <w:tabs>
              <w:tab w:val="right" w:leader="dot" w:pos="10070"/>
            </w:tabs>
            <w:rPr>
              <w:rFonts w:eastAsiaTheme="minorEastAsia"/>
              <w:noProof/>
              <w:sz w:val="24"/>
            </w:rPr>
          </w:pPr>
          <w:hyperlink w:anchor="_Toc203655708" w:history="1">
            <w:r w:rsidRPr="000D4101">
              <w:rPr>
                <w:rStyle w:val="Hyperlink"/>
                <w:noProof/>
              </w:rPr>
              <w:t>Updating technology and systems</w:t>
            </w:r>
            <w:r>
              <w:rPr>
                <w:noProof/>
                <w:webHidden/>
              </w:rPr>
              <w:tab/>
            </w:r>
            <w:r>
              <w:rPr>
                <w:noProof/>
                <w:webHidden/>
              </w:rPr>
              <w:fldChar w:fldCharType="begin"/>
            </w:r>
            <w:r>
              <w:rPr>
                <w:noProof/>
                <w:webHidden/>
              </w:rPr>
              <w:instrText xml:space="preserve"> PAGEREF _Toc203655708 \h </w:instrText>
            </w:r>
            <w:r>
              <w:rPr>
                <w:noProof/>
                <w:webHidden/>
              </w:rPr>
            </w:r>
            <w:r>
              <w:rPr>
                <w:noProof/>
                <w:webHidden/>
              </w:rPr>
              <w:fldChar w:fldCharType="separate"/>
            </w:r>
            <w:r w:rsidR="002946B0">
              <w:rPr>
                <w:noProof/>
                <w:webHidden/>
              </w:rPr>
              <w:t>13</w:t>
            </w:r>
            <w:r>
              <w:rPr>
                <w:noProof/>
                <w:webHidden/>
              </w:rPr>
              <w:fldChar w:fldCharType="end"/>
            </w:r>
          </w:hyperlink>
        </w:p>
        <w:p w14:paraId="4C9AC3F8" w14:textId="6EF613E7" w:rsidR="008822AC" w:rsidRDefault="008822AC">
          <w:pPr>
            <w:pStyle w:val="TOC3"/>
            <w:tabs>
              <w:tab w:val="right" w:leader="dot" w:pos="10070"/>
            </w:tabs>
            <w:rPr>
              <w:rFonts w:eastAsiaTheme="minorEastAsia"/>
              <w:noProof/>
              <w:sz w:val="24"/>
            </w:rPr>
          </w:pPr>
          <w:hyperlink w:anchor="_Toc203655709" w:history="1">
            <w:r w:rsidRPr="000D4101">
              <w:rPr>
                <w:rStyle w:val="Hyperlink"/>
                <w:noProof/>
              </w:rPr>
              <w:t>Improving transparency</w:t>
            </w:r>
            <w:r>
              <w:rPr>
                <w:noProof/>
                <w:webHidden/>
              </w:rPr>
              <w:tab/>
            </w:r>
            <w:r>
              <w:rPr>
                <w:noProof/>
                <w:webHidden/>
              </w:rPr>
              <w:fldChar w:fldCharType="begin"/>
            </w:r>
            <w:r>
              <w:rPr>
                <w:noProof/>
                <w:webHidden/>
              </w:rPr>
              <w:instrText xml:space="preserve"> PAGEREF _Toc203655709 \h </w:instrText>
            </w:r>
            <w:r>
              <w:rPr>
                <w:noProof/>
                <w:webHidden/>
              </w:rPr>
            </w:r>
            <w:r>
              <w:rPr>
                <w:noProof/>
                <w:webHidden/>
              </w:rPr>
              <w:fldChar w:fldCharType="separate"/>
            </w:r>
            <w:r w:rsidR="002946B0">
              <w:rPr>
                <w:noProof/>
                <w:webHidden/>
              </w:rPr>
              <w:t>14</w:t>
            </w:r>
            <w:r>
              <w:rPr>
                <w:noProof/>
                <w:webHidden/>
              </w:rPr>
              <w:fldChar w:fldCharType="end"/>
            </w:r>
          </w:hyperlink>
        </w:p>
        <w:p w14:paraId="685CDCA7" w14:textId="6D1B82A7" w:rsidR="008822AC" w:rsidRDefault="008822AC">
          <w:pPr>
            <w:pStyle w:val="TOC2"/>
            <w:tabs>
              <w:tab w:val="right" w:leader="dot" w:pos="10070"/>
            </w:tabs>
            <w:rPr>
              <w:rFonts w:eastAsiaTheme="minorEastAsia"/>
              <w:noProof/>
              <w:sz w:val="24"/>
            </w:rPr>
          </w:pPr>
          <w:hyperlink w:anchor="_Toc203655710" w:history="1">
            <w:r w:rsidRPr="000D4101">
              <w:rPr>
                <w:rStyle w:val="Hyperlink"/>
                <w:noProof/>
              </w:rPr>
              <w:t>Provider Associations</w:t>
            </w:r>
            <w:r>
              <w:rPr>
                <w:noProof/>
                <w:webHidden/>
              </w:rPr>
              <w:tab/>
            </w:r>
            <w:r>
              <w:rPr>
                <w:noProof/>
                <w:webHidden/>
              </w:rPr>
              <w:fldChar w:fldCharType="begin"/>
            </w:r>
            <w:r>
              <w:rPr>
                <w:noProof/>
                <w:webHidden/>
              </w:rPr>
              <w:instrText xml:space="preserve"> PAGEREF _Toc203655710 \h </w:instrText>
            </w:r>
            <w:r>
              <w:rPr>
                <w:noProof/>
                <w:webHidden/>
              </w:rPr>
            </w:r>
            <w:r>
              <w:rPr>
                <w:noProof/>
                <w:webHidden/>
              </w:rPr>
              <w:fldChar w:fldCharType="separate"/>
            </w:r>
            <w:r w:rsidR="002946B0">
              <w:rPr>
                <w:noProof/>
                <w:webHidden/>
              </w:rPr>
              <w:t>16</w:t>
            </w:r>
            <w:r>
              <w:rPr>
                <w:noProof/>
                <w:webHidden/>
              </w:rPr>
              <w:fldChar w:fldCharType="end"/>
            </w:r>
          </w:hyperlink>
        </w:p>
        <w:p w14:paraId="4D89F185" w14:textId="3FAD68E1" w:rsidR="008822AC" w:rsidRDefault="008822AC">
          <w:pPr>
            <w:pStyle w:val="TOC3"/>
            <w:tabs>
              <w:tab w:val="right" w:leader="dot" w:pos="10070"/>
            </w:tabs>
            <w:rPr>
              <w:rFonts w:eastAsiaTheme="minorEastAsia"/>
              <w:noProof/>
              <w:sz w:val="24"/>
            </w:rPr>
          </w:pPr>
          <w:hyperlink w:anchor="_Toc203655711" w:history="1">
            <w:r w:rsidRPr="000D4101">
              <w:rPr>
                <w:rStyle w:val="Hyperlink"/>
                <w:noProof/>
              </w:rPr>
              <w:t>American Medical Association Model Legislation</w:t>
            </w:r>
            <w:r>
              <w:rPr>
                <w:noProof/>
                <w:webHidden/>
              </w:rPr>
              <w:tab/>
            </w:r>
            <w:r>
              <w:rPr>
                <w:noProof/>
                <w:webHidden/>
              </w:rPr>
              <w:fldChar w:fldCharType="begin"/>
            </w:r>
            <w:r>
              <w:rPr>
                <w:noProof/>
                <w:webHidden/>
              </w:rPr>
              <w:instrText xml:space="preserve"> PAGEREF _Toc203655711 \h </w:instrText>
            </w:r>
            <w:r>
              <w:rPr>
                <w:noProof/>
                <w:webHidden/>
              </w:rPr>
            </w:r>
            <w:r>
              <w:rPr>
                <w:noProof/>
                <w:webHidden/>
              </w:rPr>
              <w:fldChar w:fldCharType="separate"/>
            </w:r>
            <w:r w:rsidR="002946B0">
              <w:rPr>
                <w:noProof/>
                <w:webHidden/>
              </w:rPr>
              <w:t>16</w:t>
            </w:r>
            <w:r>
              <w:rPr>
                <w:noProof/>
                <w:webHidden/>
              </w:rPr>
              <w:fldChar w:fldCharType="end"/>
            </w:r>
          </w:hyperlink>
        </w:p>
        <w:p w14:paraId="40036903" w14:textId="2E24DF09" w:rsidR="008822AC" w:rsidRDefault="008822AC">
          <w:pPr>
            <w:pStyle w:val="TOC3"/>
            <w:tabs>
              <w:tab w:val="right" w:leader="dot" w:pos="10070"/>
            </w:tabs>
            <w:rPr>
              <w:rFonts w:eastAsiaTheme="minorEastAsia"/>
              <w:noProof/>
              <w:sz w:val="24"/>
            </w:rPr>
          </w:pPr>
          <w:hyperlink w:anchor="_Toc203655712" w:history="1">
            <w:r w:rsidRPr="000D4101">
              <w:rPr>
                <w:rStyle w:val="Hyperlink"/>
                <w:noProof/>
              </w:rPr>
              <w:t>American Psychiatric Association Model Legislation</w:t>
            </w:r>
            <w:r>
              <w:rPr>
                <w:noProof/>
                <w:webHidden/>
              </w:rPr>
              <w:tab/>
            </w:r>
            <w:r>
              <w:rPr>
                <w:noProof/>
                <w:webHidden/>
              </w:rPr>
              <w:fldChar w:fldCharType="begin"/>
            </w:r>
            <w:r>
              <w:rPr>
                <w:noProof/>
                <w:webHidden/>
              </w:rPr>
              <w:instrText xml:space="preserve"> PAGEREF _Toc203655712 \h </w:instrText>
            </w:r>
            <w:r>
              <w:rPr>
                <w:noProof/>
                <w:webHidden/>
              </w:rPr>
            </w:r>
            <w:r>
              <w:rPr>
                <w:noProof/>
                <w:webHidden/>
              </w:rPr>
              <w:fldChar w:fldCharType="separate"/>
            </w:r>
            <w:r w:rsidR="002946B0">
              <w:rPr>
                <w:noProof/>
                <w:webHidden/>
              </w:rPr>
              <w:t>18</w:t>
            </w:r>
            <w:r>
              <w:rPr>
                <w:noProof/>
                <w:webHidden/>
              </w:rPr>
              <w:fldChar w:fldCharType="end"/>
            </w:r>
          </w:hyperlink>
        </w:p>
        <w:p w14:paraId="5DE06EEE" w14:textId="2358293F" w:rsidR="008822AC" w:rsidRDefault="008822AC">
          <w:pPr>
            <w:pStyle w:val="TOC2"/>
            <w:tabs>
              <w:tab w:val="right" w:leader="dot" w:pos="10070"/>
            </w:tabs>
            <w:rPr>
              <w:rFonts w:eastAsiaTheme="minorEastAsia"/>
              <w:noProof/>
              <w:sz w:val="24"/>
            </w:rPr>
          </w:pPr>
          <w:hyperlink w:anchor="_Toc203655713" w:history="1">
            <w:r w:rsidRPr="000D4101">
              <w:rPr>
                <w:rStyle w:val="Hyperlink"/>
                <w:noProof/>
              </w:rPr>
              <w:t>The federal government</w:t>
            </w:r>
            <w:r>
              <w:rPr>
                <w:noProof/>
                <w:webHidden/>
              </w:rPr>
              <w:tab/>
            </w:r>
            <w:r>
              <w:rPr>
                <w:noProof/>
                <w:webHidden/>
              </w:rPr>
              <w:fldChar w:fldCharType="begin"/>
            </w:r>
            <w:r>
              <w:rPr>
                <w:noProof/>
                <w:webHidden/>
              </w:rPr>
              <w:instrText xml:space="preserve"> PAGEREF _Toc203655713 \h </w:instrText>
            </w:r>
            <w:r>
              <w:rPr>
                <w:noProof/>
                <w:webHidden/>
              </w:rPr>
            </w:r>
            <w:r>
              <w:rPr>
                <w:noProof/>
                <w:webHidden/>
              </w:rPr>
              <w:fldChar w:fldCharType="separate"/>
            </w:r>
            <w:r w:rsidR="002946B0">
              <w:rPr>
                <w:noProof/>
                <w:webHidden/>
              </w:rPr>
              <w:t>19</w:t>
            </w:r>
            <w:r>
              <w:rPr>
                <w:noProof/>
                <w:webHidden/>
              </w:rPr>
              <w:fldChar w:fldCharType="end"/>
            </w:r>
          </w:hyperlink>
        </w:p>
        <w:p w14:paraId="060C8E4F" w14:textId="28C9BD63" w:rsidR="008822AC" w:rsidRDefault="008822AC">
          <w:pPr>
            <w:pStyle w:val="TOC2"/>
            <w:tabs>
              <w:tab w:val="right" w:leader="dot" w:pos="10070"/>
            </w:tabs>
            <w:rPr>
              <w:rFonts w:eastAsiaTheme="minorEastAsia"/>
              <w:noProof/>
              <w:sz w:val="24"/>
            </w:rPr>
          </w:pPr>
          <w:hyperlink w:anchor="_Toc203655714" w:history="1">
            <w:r w:rsidRPr="000D4101">
              <w:rPr>
                <w:rStyle w:val="Hyperlink"/>
                <w:noProof/>
              </w:rPr>
              <w:t>Private industry</w:t>
            </w:r>
            <w:r>
              <w:rPr>
                <w:noProof/>
                <w:webHidden/>
              </w:rPr>
              <w:tab/>
            </w:r>
            <w:r>
              <w:rPr>
                <w:noProof/>
                <w:webHidden/>
              </w:rPr>
              <w:fldChar w:fldCharType="begin"/>
            </w:r>
            <w:r>
              <w:rPr>
                <w:noProof/>
                <w:webHidden/>
              </w:rPr>
              <w:instrText xml:space="preserve"> PAGEREF _Toc203655714 \h </w:instrText>
            </w:r>
            <w:r>
              <w:rPr>
                <w:noProof/>
                <w:webHidden/>
              </w:rPr>
            </w:r>
            <w:r>
              <w:rPr>
                <w:noProof/>
                <w:webHidden/>
              </w:rPr>
              <w:fldChar w:fldCharType="separate"/>
            </w:r>
            <w:r w:rsidR="002946B0">
              <w:rPr>
                <w:noProof/>
                <w:webHidden/>
              </w:rPr>
              <w:t>19</w:t>
            </w:r>
            <w:r>
              <w:rPr>
                <w:noProof/>
                <w:webHidden/>
              </w:rPr>
              <w:fldChar w:fldCharType="end"/>
            </w:r>
          </w:hyperlink>
        </w:p>
        <w:p w14:paraId="2ABC2B1E" w14:textId="58A87BCE" w:rsidR="008822AC" w:rsidRDefault="008822AC">
          <w:pPr>
            <w:pStyle w:val="TOC1"/>
            <w:tabs>
              <w:tab w:val="right" w:leader="dot" w:pos="10070"/>
            </w:tabs>
            <w:rPr>
              <w:rFonts w:eastAsiaTheme="minorEastAsia"/>
              <w:noProof/>
              <w:sz w:val="24"/>
            </w:rPr>
          </w:pPr>
          <w:hyperlink w:anchor="_Toc203655715" w:history="1">
            <w:r w:rsidRPr="000D4101">
              <w:rPr>
                <w:rStyle w:val="Hyperlink"/>
                <w:noProof/>
              </w:rPr>
              <w:t>Takeaways</w:t>
            </w:r>
            <w:r>
              <w:rPr>
                <w:noProof/>
                <w:webHidden/>
              </w:rPr>
              <w:tab/>
            </w:r>
            <w:r>
              <w:rPr>
                <w:noProof/>
                <w:webHidden/>
              </w:rPr>
              <w:fldChar w:fldCharType="begin"/>
            </w:r>
            <w:r>
              <w:rPr>
                <w:noProof/>
                <w:webHidden/>
              </w:rPr>
              <w:instrText xml:space="preserve"> PAGEREF _Toc203655715 \h </w:instrText>
            </w:r>
            <w:r>
              <w:rPr>
                <w:noProof/>
                <w:webHidden/>
              </w:rPr>
            </w:r>
            <w:r>
              <w:rPr>
                <w:noProof/>
                <w:webHidden/>
              </w:rPr>
              <w:fldChar w:fldCharType="separate"/>
            </w:r>
            <w:r w:rsidR="002946B0">
              <w:rPr>
                <w:noProof/>
                <w:webHidden/>
              </w:rPr>
              <w:t>20</w:t>
            </w:r>
            <w:r>
              <w:rPr>
                <w:noProof/>
                <w:webHidden/>
              </w:rPr>
              <w:fldChar w:fldCharType="end"/>
            </w:r>
          </w:hyperlink>
        </w:p>
        <w:p w14:paraId="0FCEDD24" w14:textId="17BDC3FE" w:rsidR="008822AC" w:rsidRDefault="008822AC">
          <w:pPr>
            <w:pStyle w:val="TOC2"/>
            <w:tabs>
              <w:tab w:val="right" w:leader="dot" w:pos="10070"/>
            </w:tabs>
            <w:rPr>
              <w:rFonts w:eastAsiaTheme="minorEastAsia"/>
              <w:noProof/>
              <w:sz w:val="24"/>
            </w:rPr>
          </w:pPr>
          <w:hyperlink w:anchor="_Toc203655716" w:history="1">
            <w:r w:rsidRPr="000D4101">
              <w:rPr>
                <w:rStyle w:val="Hyperlink"/>
                <w:noProof/>
              </w:rPr>
              <w:t>Take advantage of data calls</w:t>
            </w:r>
            <w:r>
              <w:rPr>
                <w:noProof/>
                <w:webHidden/>
              </w:rPr>
              <w:tab/>
            </w:r>
            <w:r>
              <w:rPr>
                <w:noProof/>
                <w:webHidden/>
              </w:rPr>
              <w:fldChar w:fldCharType="begin"/>
            </w:r>
            <w:r>
              <w:rPr>
                <w:noProof/>
                <w:webHidden/>
              </w:rPr>
              <w:instrText xml:space="preserve"> PAGEREF _Toc203655716 \h </w:instrText>
            </w:r>
            <w:r>
              <w:rPr>
                <w:noProof/>
                <w:webHidden/>
              </w:rPr>
            </w:r>
            <w:r>
              <w:rPr>
                <w:noProof/>
                <w:webHidden/>
              </w:rPr>
              <w:fldChar w:fldCharType="separate"/>
            </w:r>
            <w:r w:rsidR="002946B0">
              <w:rPr>
                <w:noProof/>
                <w:webHidden/>
              </w:rPr>
              <w:t>20</w:t>
            </w:r>
            <w:r>
              <w:rPr>
                <w:noProof/>
                <w:webHidden/>
              </w:rPr>
              <w:fldChar w:fldCharType="end"/>
            </w:r>
          </w:hyperlink>
        </w:p>
        <w:p w14:paraId="0E066D3F" w14:textId="501A9E88" w:rsidR="008822AC" w:rsidRDefault="008822AC">
          <w:pPr>
            <w:pStyle w:val="TOC2"/>
            <w:tabs>
              <w:tab w:val="right" w:leader="dot" w:pos="10070"/>
            </w:tabs>
            <w:rPr>
              <w:rFonts w:eastAsiaTheme="minorEastAsia"/>
              <w:noProof/>
              <w:sz w:val="24"/>
            </w:rPr>
          </w:pPr>
          <w:hyperlink w:anchor="_Toc203655717" w:history="1">
            <w:r w:rsidRPr="000D4101">
              <w:rPr>
                <w:rStyle w:val="Hyperlink"/>
                <w:noProof/>
              </w:rPr>
              <w:t>Incorporating flexibility in legislation</w:t>
            </w:r>
            <w:r>
              <w:rPr>
                <w:noProof/>
                <w:webHidden/>
              </w:rPr>
              <w:tab/>
            </w:r>
            <w:r>
              <w:rPr>
                <w:noProof/>
                <w:webHidden/>
              </w:rPr>
              <w:fldChar w:fldCharType="begin"/>
            </w:r>
            <w:r>
              <w:rPr>
                <w:noProof/>
                <w:webHidden/>
              </w:rPr>
              <w:instrText xml:space="preserve"> PAGEREF _Toc203655717 \h </w:instrText>
            </w:r>
            <w:r>
              <w:rPr>
                <w:noProof/>
                <w:webHidden/>
              </w:rPr>
            </w:r>
            <w:r>
              <w:rPr>
                <w:noProof/>
                <w:webHidden/>
              </w:rPr>
              <w:fldChar w:fldCharType="separate"/>
            </w:r>
            <w:r w:rsidR="002946B0">
              <w:rPr>
                <w:noProof/>
                <w:webHidden/>
              </w:rPr>
              <w:t>20</w:t>
            </w:r>
            <w:r>
              <w:rPr>
                <w:noProof/>
                <w:webHidden/>
              </w:rPr>
              <w:fldChar w:fldCharType="end"/>
            </w:r>
          </w:hyperlink>
        </w:p>
        <w:p w14:paraId="2799C216" w14:textId="445D0728" w:rsidR="008822AC" w:rsidRDefault="008822AC">
          <w:pPr>
            <w:pStyle w:val="TOC2"/>
            <w:tabs>
              <w:tab w:val="right" w:leader="dot" w:pos="10070"/>
            </w:tabs>
            <w:rPr>
              <w:rFonts w:eastAsiaTheme="minorEastAsia"/>
              <w:noProof/>
              <w:sz w:val="24"/>
            </w:rPr>
          </w:pPr>
          <w:hyperlink w:anchor="_Toc203655718" w:history="1">
            <w:r w:rsidRPr="000D4101">
              <w:rPr>
                <w:rStyle w:val="Hyperlink"/>
                <w:noProof/>
              </w:rPr>
              <w:t>Build relationships with state partners</w:t>
            </w:r>
            <w:r>
              <w:rPr>
                <w:noProof/>
                <w:webHidden/>
              </w:rPr>
              <w:tab/>
            </w:r>
            <w:r>
              <w:rPr>
                <w:noProof/>
                <w:webHidden/>
              </w:rPr>
              <w:fldChar w:fldCharType="begin"/>
            </w:r>
            <w:r>
              <w:rPr>
                <w:noProof/>
                <w:webHidden/>
              </w:rPr>
              <w:instrText xml:space="preserve"> PAGEREF _Toc203655718 \h </w:instrText>
            </w:r>
            <w:r>
              <w:rPr>
                <w:noProof/>
                <w:webHidden/>
              </w:rPr>
            </w:r>
            <w:r>
              <w:rPr>
                <w:noProof/>
                <w:webHidden/>
              </w:rPr>
              <w:fldChar w:fldCharType="separate"/>
            </w:r>
            <w:r w:rsidR="002946B0">
              <w:rPr>
                <w:noProof/>
                <w:webHidden/>
              </w:rPr>
              <w:t>20</w:t>
            </w:r>
            <w:r>
              <w:rPr>
                <w:noProof/>
                <w:webHidden/>
              </w:rPr>
              <w:fldChar w:fldCharType="end"/>
            </w:r>
          </w:hyperlink>
        </w:p>
        <w:p w14:paraId="50B7824F" w14:textId="2C0756BA" w:rsidR="008822AC" w:rsidRDefault="008822AC">
          <w:pPr>
            <w:pStyle w:val="TOC2"/>
            <w:tabs>
              <w:tab w:val="right" w:leader="dot" w:pos="10070"/>
            </w:tabs>
            <w:rPr>
              <w:rFonts w:eastAsiaTheme="minorEastAsia"/>
              <w:noProof/>
              <w:sz w:val="24"/>
            </w:rPr>
          </w:pPr>
          <w:hyperlink w:anchor="_Toc203655719" w:history="1">
            <w:r w:rsidRPr="000D4101">
              <w:rPr>
                <w:rStyle w:val="Hyperlink"/>
                <w:noProof/>
              </w:rPr>
              <w:t>Implementation processes</w:t>
            </w:r>
            <w:r>
              <w:rPr>
                <w:noProof/>
                <w:webHidden/>
              </w:rPr>
              <w:tab/>
            </w:r>
            <w:r>
              <w:rPr>
                <w:noProof/>
                <w:webHidden/>
              </w:rPr>
              <w:fldChar w:fldCharType="begin"/>
            </w:r>
            <w:r>
              <w:rPr>
                <w:noProof/>
                <w:webHidden/>
              </w:rPr>
              <w:instrText xml:space="preserve"> PAGEREF _Toc203655719 \h </w:instrText>
            </w:r>
            <w:r>
              <w:rPr>
                <w:noProof/>
                <w:webHidden/>
              </w:rPr>
            </w:r>
            <w:r>
              <w:rPr>
                <w:noProof/>
                <w:webHidden/>
              </w:rPr>
              <w:fldChar w:fldCharType="separate"/>
            </w:r>
            <w:r w:rsidR="002946B0">
              <w:rPr>
                <w:noProof/>
                <w:webHidden/>
              </w:rPr>
              <w:t>20</w:t>
            </w:r>
            <w:r>
              <w:rPr>
                <w:noProof/>
                <w:webHidden/>
              </w:rPr>
              <w:fldChar w:fldCharType="end"/>
            </w:r>
          </w:hyperlink>
        </w:p>
        <w:p w14:paraId="2B0EF302" w14:textId="4283CD34" w:rsidR="008822AC" w:rsidRDefault="008822AC">
          <w:pPr>
            <w:pStyle w:val="TOC2"/>
            <w:tabs>
              <w:tab w:val="right" w:leader="dot" w:pos="10070"/>
            </w:tabs>
            <w:rPr>
              <w:rFonts w:eastAsiaTheme="minorEastAsia"/>
              <w:noProof/>
              <w:sz w:val="24"/>
            </w:rPr>
          </w:pPr>
          <w:hyperlink w:anchor="_Toc203655720" w:history="1">
            <w:r w:rsidRPr="000D4101">
              <w:rPr>
                <w:rStyle w:val="Hyperlink"/>
                <w:noProof/>
              </w:rPr>
              <w:t>Develop provider and consumer education</w:t>
            </w:r>
            <w:r>
              <w:rPr>
                <w:noProof/>
                <w:webHidden/>
              </w:rPr>
              <w:tab/>
            </w:r>
            <w:r>
              <w:rPr>
                <w:noProof/>
                <w:webHidden/>
              </w:rPr>
              <w:fldChar w:fldCharType="begin"/>
            </w:r>
            <w:r>
              <w:rPr>
                <w:noProof/>
                <w:webHidden/>
              </w:rPr>
              <w:instrText xml:space="preserve"> PAGEREF _Toc203655720 \h </w:instrText>
            </w:r>
            <w:r>
              <w:rPr>
                <w:noProof/>
                <w:webHidden/>
              </w:rPr>
            </w:r>
            <w:r>
              <w:rPr>
                <w:noProof/>
                <w:webHidden/>
              </w:rPr>
              <w:fldChar w:fldCharType="separate"/>
            </w:r>
            <w:r w:rsidR="002946B0">
              <w:rPr>
                <w:noProof/>
                <w:webHidden/>
              </w:rPr>
              <w:t>20</w:t>
            </w:r>
            <w:r>
              <w:rPr>
                <w:noProof/>
                <w:webHidden/>
              </w:rPr>
              <w:fldChar w:fldCharType="end"/>
            </w:r>
          </w:hyperlink>
        </w:p>
        <w:p w14:paraId="778D5330" w14:textId="358E3BDA" w:rsidR="008822AC" w:rsidRDefault="008822AC">
          <w:pPr>
            <w:pStyle w:val="TOC2"/>
            <w:tabs>
              <w:tab w:val="right" w:leader="dot" w:pos="10070"/>
            </w:tabs>
            <w:rPr>
              <w:rFonts w:eastAsiaTheme="minorEastAsia"/>
              <w:noProof/>
              <w:sz w:val="24"/>
            </w:rPr>
          </w:pPr>
          <w:hyperlink w:anchor="_Toc203655721" w:history="1">
            <w:r w:rsidRPr="000D4101">
              <w:rPr>
                <w:rStyle w:val="Hyperlink"/>
                <w:noProof/>
              </w:rPr>
              <w:t>Create structure for enforcement</w:t>
            </w:r>
            <w:r>
              <w:rPr>
                <w:noProof/>
                <w:webHidden/>
              </w:rPr>
              <w:tab/>
            </w:r>
            <w:r>
              <w:rPr>
                <w:noProof/>
                <w:webHidden/>
              </w:rPr>
              <w:fldChar w:fldCharType="begin"/>
            </w:r>
            <w:r>
              <w:rPr>
                <w:noProof/>
                <w:webHidden/>
              </w:rPr>
              <w:instrText xml:space="preserve"> PAGEREF _Toc203655721 \h </w:instrText>
            </w:r>
            <w:r>
              <w:rPr>
                <w:noProof/>
                <w:webHidden/>
              </w:rPr>
            </w:r>
            <w:r>
              <w:rPr>
                <w:noProof/>
                <w:webHidden/>
              </w:rPr>
              <w:fldChar w:fldCharType="separate"/>
            </w:r>
            <w:r w:rsidR="002946B0">
              <w:rPr>
                <w:noProof/>
                <w:webHidden/>
              </w:rPr>
              <w:t>21</w:t>
            </w:r>
            <w:r>
              <w:rPr>
                <w:noProof/>
                <w:webHidden/>
              </w:rPr>
              <w:fldChar w:fldCharType="end"/>
            </w:r>
          </w:hyperlink>
        </w:p>
        <w:p w14:paraId="03BD52E0" w14:textId="1D6BCD62" w:rsidR="008822AC" w:rsidRDefault="008822AC">
          <w:pPr>
            <w:pStyle w:val="TOC1"/>
            <w:tabs>
              <w:tab w:val="right" w:leader="dot" w:pos="10070"/>
            </w:tabs>
            <w:rPr>
              <w:rFonts w:eastAsiaTheme="minorEastAsia"/>
              <w:noProof/>
              <w:sz w:val="24"/>
            </w:rPr>
          </w:pPr>
          <w:hyperlink w:anchor="_Toc203655722" w:history="1">
            <w:r w:rsidRPr="000D4101">
              <w:rPr>
                <w:rStyle w:val="Hyperlink"/>
                <w:noProof/>
              </w:rPr>
              <w:t>APPENDIX—CHART ON STATE PA LAWS AND TYPE PRIOR AUTHORIZATION LAW</w:t>
            </w:r>
            <w:r>
              <w:rPr>
                <w:noProof/>
                <w:webHidden/>
              </w:rPr>
              <w:tab/>
            </w:r>
            <w:r>
              <w:rPr>
                <w:noProof/>
                <w:webHidden/>
              </w:rPr>
              <w:fldChar w:fldCharType="begin"/>
            </w:r>
            <w:r>
              <w:rPr>
                <w:noProof/>
                <w:webHidden/>
              </w:rPr>
              <w:instrText xml:space="preserve"> PAGEREF _Toc203655722 \h </w:instrText>
            </w:r>
            <w:r>
              <w:rPr>
                <w:noProof/>
                <w:webHidden/>
              </w:rPr>
            </w:r>
            <w:r>
              <w:rPr>
                <w:noProof/>
                <w:webHidden/>
              </w:rPr>
              <w:fldChar w:fldCharType="separate"/>
            </w:r>
            <w:r w:rsidR="002946B0">
              <w:rPr>
                <w:noProof/>
                <w:webHidden/>
              </w:rPr>
              <w:t>21</w:t>
            </w:r>
            <w:r>
              <w:rPr>
                <w:noProof/>
                <w:webHidden/>
              </w:rPr>
              <w:fldChar w:fldCharType="end"/>
            </w:r>
          </w:hyperlink>
        </w:p>
        <w:p w14:paraId="73E223E5" w14:textId="1121075C" w:rsidR="00357DE3" w:rsidRDefault="00357DE3">
          <w:r>
            <w:rPr>
              <w:b/>
              <w:bCs/>
              <w:noProof/>
            </w:rPr>
            <w:fldChar w:fldCharType="end"/>
          </w:r>
        </w:p>
      </w:sdtContent>
    </w:sdt>
    <w:p w14:paraId="7999DDD2" w14:textId="216B7C4F" w:rsidR="00956F1E" w:rsidRPr="004E469B" w:rsidRDefault="00514477" w:rsidP="00357DE3">
      <w:pPr>
        <w:pStyle w:val="Heading1"/>
      </w:pPr>
      <w:bookmarkStart w:id="0" w:name="_Toc203655681"/>
      <w:r>
        <w:t>What is prior authorization?</w:t>
      </w:r>
      <w:bookmarkEnd w:id="0"/>
    </w:p>
    <w:p w14:paraId="3A785A54" w14:textId="7E656C0B" w:rsidR="00956F1E" w:rsidRDefault="00C364E3" w:rsidP="006823DA">
      <w:r>
        <w:t>Prior authorization (PA)</w:t>
      </w:r>
      <w:r w:rsidR="00956F1E" w:rsidRPr="00956F1E">
        <w:t xml:space="preserve"> is a mechanism used to check that a service, treatment, or medication is medically necessary and covered by a health plan. </w:t>
      </w:r>
      <w:r>
        <w:t>This was initially intended to ensure</w:t>
      </w:r>
      <w:r w:rsidR="00956F1E" w:rsidRPr="00956F1E">
        <w:t xml:space="preserve"> safety (e.g., prevent negative drug interactions) and reduce utilization of medically unnecessary treatments, with the overall aim of containing health care costs. </w:t>
      </w:r>
      <w:r>
        <w:t xml:space="preserve">Now, PA is </w:t>
      </w:r>
      <w:r w:rsidR="00956F1E" w:rsidRPr="00956F1E">
        <w:t>used for a broad swath of treatments, both prescriptions and procedures</w:t>
      </w:r>
      <w:r>
        <w:t>, though not</w:t>
      </w:r>
      <w:r w:rsidR="00956F1E" w:rsidRPr="00956F1E">
        <w:t xml:space="preserve"> all services require </w:t>
      </w:r>
      <w:r w:rsidR="00A74AA3">
        <w:t>PA</w:t>
      </w:r>
      <w:r w:rsidR="00956F1E" w:rsidRPr="00956F1E">
        <w:t xml:space="preserve">. </w:t>
      </w:r>
      <w:r w:rsidR="00617245">
        <w:t>PA</w:t>
      </w:r>
      <w:r w:rsidR="00617245" w:rsidRPr="00884DBC">
        <w:t xml:space="preserve"> can achieve a favorable balance between costs and benefits for both insurers and their members. By formalizing in advance, in writing, the insurer’s commitment to covering a health care service, it can also provide needed assurance for consumers and providers prior to the provision of services.</w:t>
      </w:r>
      <w:r w:rsidR="00617245">
        <w:t xml:space="preserve"> </w:t>
      </w:r>
      <w:r w:rsidR="007C7204">
        <w:t>While</w:t>
      </w:r>
      <w:r w:rsidR="00956F1E" w:rsidRPr="00956F1E">
        <w:t xml:space="preserve"> </w:t>
      </w:r>
      <w:r w:rsidR="00A74AA3">
        <w:t>PA</w:t>
      </w:r>
      <w:r w:rsidR="00956F1E" w:rsidRPr="00956F1E">
        <w:t xml:space="preserve"> can benefit insurers, providers, and consumers</w:t>
      </w:r>
      <w:r w:rsidR="007C7204">
        <w:t>, the</w:t>
      </w:r>
      <w:r w:rsidR="00956F1E" w:rsidRPr="00956F1E">
        <w:t xml:space="preserve"> process has a reputation of burdening providers and delaying care for consumers.</w:t>
      </w:r>
    </w:p>
    <w:p w14:paraId="37805EF2" w14:textId="6199E701" w:rsidR="00514477" w:rsidRPr="00956F1E" w:rsidRDefault="00514477" w:rsidP="00514477">
      <w:pPr>
        <w:pStyle w:val="Heading2"/>
      </w:pPr>
      <w:bookmarkStart w:id="1" w:name="_Toc203655682"/>
      <w:r>
        <w:t xml:space="preserve">How this document can help </w:t>
      </w:r>
      <w:r w:rsidR="00FD3BBE">
        <w:t>regulators</w:t>
      </w:r>
      <w:bookmarkEnd w:id="1"/>
    </w:p>
    <w:p w14:paraId="510A6B29" w14:textId="64FE6010" w:rsidR="00D10C3E" w:rsidRDefault="00956F1E" w:rsidP="006823DA">
      <w:r w:rsidRPr="00956F1E">
        <w:t xml:space="preserve">In recent years, </w:t>
      </w:r>
      <w:hyperlink w:anchor="_States" w:history="1">
        <w:r w:rsidRPr="002C2D0F">
          <w:rPr>
            <w:rStyle w:val="Hyperlink"/>
            <w:szCs w:val="22"/>
          </w:rPr>
          <w:t xml:space="preserve">state legislatures have </w:t>
        </w:r>
        <w:r w:rsidR="00514477" w:rsidRPr="002C2D0F">
          <w:rPr>
            <w:rStyle w:val="Hyperlink"/>
            <w:szCs w:val="22"/>
          </w:rPr>
          <w:t xml:space="preserve">introduced and </w:t>
        </w:r>
        <w:r w:rsidRPr="002C2D0F">
          <w:rPr>
            <w:rStyle w:val="Hyperlink"/>
            <w:szCs w:val="22"/>
          </w:rPr>
          <w:t xml:space="preserve">updated </w:t>
        </w:r>
        <w:r w:rsidR="00A74AA3" w:rsidRPr="002C2D0F">
          <w:rPr>
            <w:rStyle w:val="Hyperlink"/>
            <w:szCs w:val="22"/>
          </w:rPr>
          <w:t>PA</w:t>
        </w:r>
        <w:r w:rsidRPr="002C2D0F">
          <w:rPr>
            <w:rStyle w:val="Hyperlink"/>
            <w:szCs w:val="22"/>
          </w:rPr>
          <w:t xml:space="preserve"> statutes</w:t>
        </w:r>
      </w:hyperlink>
      <w:r w:rsidRPr="00956F1E">
        <w:t xml:space="preserve"> to reduce administrative </w:t>
      </w:r>
      <w:r w:rsidR="009A0B7F">
        <w:t xml:space="preserve">burdens </w:t>
      </w:r>
      <w:r w:rsidRPr="00956F1E">
        <w:t xml:space="preserve">and </w:t>
      </w:r>
      <w:r w:rsidR="009A0B7F">
        <w:t xml:space="preserve">negative </w:t>
      </w:r>
      <w:r w:rsidRPr="00956F1E">
        <w:t xml:space="preserve">health </w:t>
      </w:r>
      <w:r w:rsidR="009A0B7F">
        <w:t>outcomes</w:t>
      </w:r>
      <w:r w:rsidRPr="00956F1E">
        <w:t xml:space="preserve">. Most proposed legislation focuses on the method by which </w:t>
      </w:r>
      <w:r w:rsidR="00A74AA3">
        <w:t>PA</w:t>
      </w:r>
      <w:r w:rsidRPr="00956F1E">
        <w:t xml:space="preserve"> must be requested (</w:t>
      </w:r>
      <w:r w:rsidR="001E6433">
        <w:t xml:space="preserve">e.g., by </w:t>
      </w:r>
      <w:r w:rsidRPr="00956F1E">
        <w:t xml:space="preserve">phone, fax, or online portal) and “provider gold-carding,” a system in which providers can bypass the </w:t>
      </w:r>
      <w:r w:rsidR="00A74AA3">
        <w:t>PA</w:t>
      </w:r>
      <w:r w:rsidRPr="00956F1E">
        <w:t xml:space="preserve"> process given their previous record</w:t>
      </w:r>
      <w:r w:rsidR="003B0361">
        <w:t xml:space="preserve"> of</w:t>
      </w:r>
      <w:r w:rsidRPr="00956F1E">
        <w:t xml:space="preserve"> </w:t>
      </w:r>
      <w:r w:rsidR="00026154">
        <w:t xml:space="preserve">consistently </w:t>
      </w:r>
      <w:r w:rsidRPr="00956F1E">
        <w:t>providing necessary medical care</w:t>
      </w:r>
      <w:r w:rsidR="00D10C3E">
        <w:t xml:space="preserve">. </w:t>
      </w:r>
      <w:r w:rsidRPr="00956F1E">
        <w:t>This reference is meant to be a</w:t>
      </w:r>
      <w:r w:rsidR="000054BB">
        <w:t xml:space="preserve"> source of information and</w:t>
      </w:r>
      <w:r w:rsidR="003B0361">
        <w:t xml:space="preserve"> a</w:t>
      </w:r>
      <w:r w:rsidRPr="00956F1E">
        <w:t xml:space="preserve"> </w:t>
      </w:r>
      <w:hyperlink w:anchor="_Solutions_and_examples" w:history="1">
        <w:r w:rsidRPr="00530514">
          <w:rPr>
            <w:rStyle w:val="Hyperlink"/>
            <w:szCs w:val="22"/>
          </w:rPr>
          <w:t>roadmap of legislative options</w:t>
        </w:r>
      </w:hyperlink>
      <w:r w:rsidRPr="00956F1E">
        <w:t xml:space="preserve"> related to </w:t>
      </w:r>
      <w:r w:rsidR="00A74AA3">
        <w:t>PA</w:t>
      </w:r>
      <w:r w:rsidRPr="00956F1E">
        <w:t xml:space="preserve">. </w:t>
      </w:r>
    </w:p>
    <w:p w14:paraId="218A1E83" w14:textId="033205FD" w:rsidR="00956F1E" w:rsidRPr="00346DF7" w:rsidRDefault="00956F1E" w:rsidP="006823DA">
      <w:r w:rsidRPr="00956F1E">
        <w:t xml:space="preserve">Please note that this document will not elaborate on the use of artificial intelligence (AI) in the </w:t>
      </w:r>
      <w:r w:rsidR="00A74AA3">
        <w:t>PA</w:t>
      </w:r>
      <w:r w:rsidRPr="00956F1E">
        <w:t xml:space="preserve"> space. The topic would more appropriately be addressed in detail by the NAIC </w:t>
      </w:r>
      <w:r w:rsidRPr="00346DF7">
        <w:t>Innovation, Cybersecurity, and Technology (</w:t>
      </w:r>
      <w:r w:rsidRPr="00956F1E">
        <w:t>H</w:t>
      </w:r>
      <w:r w:rsidRPr="00346DF7">
        <w:t xml:space="preserve">) </w:t>
      </w:r>
      <w:r w:rsidR="00D10C3E" w:rsidRPr="00346DF7">
        <w:t>Committee</w:t>
      </w:r>
      <w:r w:rsidR="00D10C3E">
        <w:t>,</w:t>
      </w:r>
      <w:r w:rsidR="00D10C3E" w:rsidRPr="00956F1E">
        <w:t xml:space="preserve"> though</w:t>
      </w:r>
      <w:r w:rsidR="000054BB" w:rsidRPr="00956F1E">
        <w:t xml:space="preserve"> </w:t>
      </w:r>
      <w:r w:rsidRPr="00956F1E">
        <w:t xml:space="preserve">we would be comfortable </w:t>
      </w:r>
      <w:r w:rsidR="00FD3BBE">
        <w:t>assisting</w:t>
      </w:r>
      <w:r w:rsidR="00FD3BBE" w:rsidRPr="00956F1E">
        <w:t xml:space="preserve"> </w:t>
      </w:r>
      <w:r w:rsidRPr="00346DF7">
        <w:t xml:space="preserve">the </w:t>
      </w:r>
      <w:r w:rsidRPr="00956F1E">
        <w:t xml:space="preserve">H </w:t>
      </w:r>
      <w:r w:rsidRPr="00346DF7">
        <w:t>Committee</w:t>
      </w:r>
      <w:r w:rsidRPr="00956F1E">
        <w:t xml:space="preserve"> </w:t>
      </w:r>
      <w:r w:rsidR="00FD3BBE">
        <w:t xml:space="preserve">in any endeavors to better understand the </w:t>
      </w:r>
      <w:proofErr w:type="gramStart"/>
      <w:r w:rsidR="00FD3BBE">
        <w:t>use</w:t>
      </w:r>
      <w:proofErr w:type="gramEnd"/>
      <w:r w:rsidRPr="00956F1E">
        <w:t xml:space="preserve"> AI </w:t>
      </w:r>
      <w:r w:rsidR="00FD3BBE">
        <w:t xml:space="preserve">in prior authorizations </w:t>
      </w:r>
      <w:r w:rsidRPr="00956F1E">
        <w:t>in any forthcoming materials.</w:t>
      </w:r>
    </w:p>
    <w:p w14:paraId="47E1BD43" w14:textId="7C17ADD9" w:rsidR="00883BDA" w:rsidRPr="00883BDA" w:rsidRDefault="007E221D" w:rsidP="00357DE3">
      <w:pPr>
        <w:pStyle w:val="Heading1"/>
      </w:pPr>
      <w:bookmarkStart w:id="2" w:name="_Toc203655683"/>
      <w:r>
        <w:lastRenderedPageBreak/>
        <w:t xml:space="preserve">The </w:t>
      </w:r>
      <w:r w:rsidR="00A74AA3">
        <w:t>prior authorization</w:t>
      </w:r>
      <w:r>
        <w:t xml:space="preserve"> process</w:t>
      </w:r>
      <w:bookmarkEnd w:id="2"/>
    </w:p>
    <w:p w14:paraId="0B43EFE7" w14:textId="1F216F6D" w:rsidR="00886D77" w:rsidRDefault="00886D77" w:rsidP="006823DA">
      <w:r w:rsidRPr="00886D77">
        <w:t xml:space="preserve">The </w:t>
      </w:r>
      <w:r w:rsidR="00A74AA3">
        <w:t>PA</w:t>
      </w:r>
      <w:r w:rsidRPr="00886D77">
        <w:t xml:space="preserve"> process typically involves several steps, requiring coordination between </w:t>
      </w:r>
      <w:r w:rsidR="00D4345B">
        <w:t>health care</w:t>
      </w:r>
      <w:r w:rsidRPr="00886D77">
        <w:t xml:space="preserve"> providers, the patient, and the insurance company.</w:t>
      </w:r>
      <w:r w:rsidR="00D33DA2">
        <w:rPr>
          <w:rStyle w:val="FootnoteReference"/>
          <w:szCs w:val="22"/>
        </w:rPr>
        <w:footnoteReference w:id="2"/>
      </w:r>
      <w:r w:rsidR="00FE00C5">
        <w:t xml:space="preserve"> Those steps typically </w:t>
      </w:r>
      <w:r w:rsidR="00A151BA">
        <w:t>are</w:t>
      </w:r>
      <w:r w:rsidR="00FE00C5">
        <w:t>:</w:t>
      </w:r>
    </w:p>
    <w:p w14:paraId="6CB8B83D" w14:textId="60BC5E78" w:rsidR="00567E7C" w:rsidRPr="00567E7C" w:rsidRDefault="00567E7C" w:rsidP="00567E7C">
      <w:pPr>
        <w:numPr>
          <w:ilvl w:val="0"/>
          <w:numId w:val="5"/>
        </w:numPr>
        <w:rPr>
          <w:szCs w:val="22"/>
        </w:rPr>
      </w:pPr>
      <w:r w:rsidRPr="00567E7C">
        <w:rPr>
          <w:b/>
          <w:bCs/>
          <w:i/>
          <w:iCs/>
          <w:szCs w:val="22"/>
        </w:rPr>
        <w:t>Submission:</w:t>
      </w:r>
      <w:r w:rsidRPr="00567E7C">
        <w:rPr>
          <w:szCs w:val="22"/>
        </w:rPr>
        <w:t xml:space="preserve"> The </w:t>
      </w:r>
      <w:r w:rsidR="00D4345B">
        <w:rPr>
          <w:szCs w:val="22"/>
        </w:rPr>
        <w:t>health care</w:t>
      </w:r>
      <w:r w:rsidRPr="00567E7C">
        <w:rPr>
          <w:szCs w:val="22"/>
        </w:rPr>
        <w:t xml:space="preserve"> provider submits a </w:t>
      </w:r>
      <w:r w:rsidR="00A74AA3">
        <w:rPr>
          <w:szCs w:val="22"/>
        </w:rPr>
        <w:t>PA</w:t>
      </w:r>
      <w:r w:rsidRPr="00567E7C">
        <w:rPr>
          <w:szCs w:val="22"/>
        </w:rPr>
        <w:t xml:space="preserve"> request to the </w:t>
      </w:r>
      <w:r w:rsidR="009A0209">
        <w:rPr>
          <w:szCs w:val="22"/>
        </w:rPr>
        <w:t>insurer</w:t>
      </w:r>
      <w:r w:rsidRPr="00567E7C">
        <w:rPr>
          <w:szCs w:val="22"/>
        </w:rPr>
        <w:t>, detailing the medication or treatment recommended for the patient.</w:t>
      </w:r>
    </w:p>
    <w:p w14:paraId="0580E2F7" w14:textId="43F5F596" w:rsidR="00567E7C" w:rsidRPr="00567E7C" w:rsidRDefault="00567E7C" w:rsidP="00567E7C">
      <w:pPr>
        <w:numPr>
          <w:ilvl w:val="0"/>
          <w:numId w:val="5"/>
        </w:numPr>
        <w:rPr>
          <w:szCs w:val="22"/>
        </w:rPr>
      </w:pPr>
      <w:r w:rsidRPr="00567E7C">
        <w:rPr>
          <w:b/>
          <w:bCs/>
          <w:i/>
          <w:iCs/>
          <w:szCs w:val="22"/>
        </w:rPr>
        <w:t>Review:</w:t>
      </w:r>
      <w:r w:rsidRPr="00567E7C">
        <w:rPr>
          <w:szCs w:val="22"/>
        </w:rPr>
        <w:t xml:space="preserve"> The insurance company reviews the request, evaluating it against its clinical guidelines and policies.</w:t>
      </w:r>
      <w:r w:rsidR="00D10C3E">
        <w:rPr>
          <w:szCs w:val="22"/>
        </w:rPr>
        <w:t xml:space="preserve"> </w:t>
      </w:r>
    </w:p>
    <w:p w14:paraId="3C8FD94D" w14:textId="7E62A328" w:rsidR="00567E7C" w:rsidRPr="00567E7C" w:rsidRDefault="00567E7C" w:rsidP="00567E7C">
      <w:pPr>
        <w:numPr>
          <w:ilvl w:val="0"/>
          <w:numId w:val="5"/>
        </w:numPr>
        <w:rPr>
          <w:szCs w:val="22"/>
        </w:rPr>
      </w:pPr>
      <w:r w:rsidRPr="00567E7C">
        <w:rPr>
          <w:b/>
          <w:bCs/>
          <w:i/>
          <w:iCs/>
          <w:szCs w:val="22"/>
        </w:rPr>
        <w:t>Approval or Denial:</w:t>
      </w:r>
      <w:r w:rsidRPr="00567E7C">
        <w:rPr>
          <w:szCs w:val="22"/>
        </w:rPr>
        <w:t xml:space="preserve"> Based on the review, the </w:t>
      </w:r>
      <w:r w:rsidR="00CE25B2">
        <w:rPr>
          <w:szCs w:val="22"/>
        </w:rPr>
        <w:t>insurer</w:t>
      </w:r>
      <w:r w:rsidRPr="00567E7C">
        <w:rPr>
          <w:szCs w:val="22"/>
        </w:rPr>
        <w:t xml:space="preserve"> either approves or denies </w:t>
      </w:r>
      <w:r w:rsidR="00D10C3E">
        <w:rPr>
          <w:szCs w:val="22"/>
        </w:rPr>
        <w:t>the request</w:t>
      </w:r>
      <w:r w:rsidRPr="00567E7C">
        <w:rPr>
          <w:szCs w:val="22"/>
        </w:rPr>
        <w:t>, often providing an explanation.</w:t>
      </w:r>
    </w:p>
    <w:p w14:paraId="759021F5" w14:textId="3203B012" w:rsidR="00567E7C" w:rsidRPr="00567E7C" w:rsidRDefault="00567E7C" w:rsidP="00567E7C">
      <w:pPr>
        <w:numPr>
          <w:ilvl w:val="0"/>
          <w:numId w:val="5"/>
        </w:numPr>
        <w:rPr>
          <w:szCs w:val="22"/>
        </w:rPr>
      </w:pPr>
      <w:r w:rsidRPr="00567E7C">
        <w:rPr>
          <w:b/>
          <w:bCs/>
          <w:i/>
          <w:iCs/>
          <w:szCs w:val="22"/>
        </w:rPr>
        <w:t>Appeals:</w:t>
      </w:r>
      <w:r w:rsidRPr="00567E7C">
        <w:rPr>
          <w:szCs w:val="22"/>
        </w:rPr>
        <w:t xml:space="preserve"> If the request is denied, the patient or provider may appeal the decision</w:t>
      </w:r>
      <w:r w:rsidR="00234FDF">
        <w:rPr>
          <w:szCs w:val="22"/>
        </w:rPr>
        <w:t xml:space="preserve"> and provide </w:t>
      </w:r>
      <w:r w:rsidRPr="00567E7C">
        <w:rPr>
          <w:szCs w:val="22"/>
        </w:rPr>
        <w:t>additional information to support the necessity of the treatment.</w:t>
      </w:r>
    </w:p>
    <w:p w14:paraId="3AB4DEF5" w14:textId="6656901B" w:rsidR="00A151BA" w:rsidRPr="00B65278" w:rsidRDefault="00721776" w:rsidP="00D84323">
      <w:pPr>
        <w:pStyle w:val="Heading2"/>
      </w:pPr>
      <w:bookmarkStart w:id="3" w:name="_Toc203655684"/>
      <w:r w:rsidRPr="00B65278">
        <w:t>Common</w:t>
      </w:r>
      <w:r w:rsidR="00F97F61" w:rsidRPr="00B65278">
        <w:t xml:space="preserve"> </w:t>
      </w:r>
      <w:r w:rsidR="00E74187">
        <w:t>m</w:t>
      </w:r>
      <w:r w:rsidR="008D6F1D">
        <w:t>edical</w:t>
      </w:r>
      <w:r w:rsidR="00F97F61" w:rsidRPr="00B65278">
        <w:t xml:space="preserve"> </w:t>
      </w:r>
      <w:r w:rsidR="00E74187">
        <w:t>s</w:t>
      </w:r>
      <w:r w:rsidR="00F97F61" w:rsidRPr="00B65278">
        <w:t xml:space="preserve">ervices </w:t>
      </w:r>
      <w:r w:rsidR="00E74187">
        <w:t>s</w:t>
      </w:r>
      <w:r w:rsidRPr="00B65278">
        <w:t xml:space="preserve">ubject to </w:t>
      </w:r>
      <w:r w:rsidR="00956C24">
        <w:t>prior authorization</w:t>
      </w:r>
      <w:bookmarkEnd w:id="3"/>
    </w:p>
    <w:p w14:paraId="4888AE74" w14:textId="457B4041" w:rsidR="00EC3368" w:rsidRPr="00EC3368" w:rsidRDefault="00EC3368" w:rsidP="00EC3368">
      <w:pPr>
        <w:rPr>
          <w:szCs w:val="22"/>
        </w:rPr>
      </w:pPr>
      <w:r w:rsidRPr="00EC3368">
        <w:rPr>
          <w:szCs w:val="22"/>
        </w:rPr>
        <w:t xml:space="preserve">Certain types of </w:t>
      </w:r>
      <w:r w:rsidR="008D6F1D">
        <w:rPr>
          <w:szCs w:val="22"/>
        </w:rPr>
        <w:t>medical</w:t>
      </w:r>
      <w:r>
        <w:rPr>
          <w:szCs w:val="22"/>
        </w:rPr>
        <w:t xml:space="preserve"> services </w:t>
      </w:r>
      <w:r w:rsidRPr="00EC3368">
        <w:rPr>
          <w:szCs w:val="22"/>
        </w:rPr>
        <w:t xml:space="preserve">are more likely to require </w:t>
      </w:r>
      <w:r w:rsidR="00A74AA3">
        <w:rPr>
          <w:szCs w:val="22"/>
        </w:rPr>
        <w:t>PA</w:t>
      </w:r>
      <w:r w:rsidRPr="00EC3368">
        <w:rPr>
          <w:szCs w:val="22"/>
        </w:rPr>
        <w:t xml:space="preserve">. </w:t>
      </w:r>
      <w:r w:rsidR="00267EAF">
        <w:rPr>
          <w:szCs w:val="22"/>
        </w:rPr>
        <w:t>Examples include:</w:t>
      </w:r>
    </w:p>
    <w:p w14:paraId="2165A875" w14:textId="74E31A05" w:rsidR="00EC3368" w:rsidRPr="00EC3368" w:rsidRDefault="00B62C69" w:rsidP="00EC3368">
      <w:pPr>
        <w:numPr>
          <w:ilvl w:val="0"/>
          <w:numId w:val="6"/>
        </w:numPr>
        <w:rPr>
          <w:szCs w:val="22"/>
        </w:rPr>
      </w:pPr>
      <w:r>
        <w:rPr>
          <w:b/>
          <w:bCs/>
          <w:i/>
          <w:iCs/>
          <w:szCs w:val="22"/>
        </w:rPr>
        <w:t xml:space="preserve">High-Cost and </w:t>
      </w:r>
      <w:r w:rsidR="00EC3368" w:rsidRPr="00EC3368">
        <w:rPr>
          <w:b/>
          <w:bCs/>
          <w:i/>
          <w:iCs/>
          <w:szCs w:val="22"/>
        </w:rPr>
        <w:t>Specialty Drugs:</w:t>
      </w:r>
      <w:r w:rsidR="00EC3368" w:rsidRPr="00EC3368">
        <w:rPr>
          <w:szCs w:val="22"/>
        </w:rPr>
        <w:t xml:space="preserve"> Medications that are expensive or require careful monitoring, such as biologics or high-dose chemotherapy drugs.</w:t>
      </w:r>
    </w:p>
    <w:p w14:paraId="53FC658C" w14:textId="774E33C7" w:rsidR="00EC3368" w:rsidRPr="00EC3368" w:rsidRDefault="00EC3368" w:rsidP="00EC3368">
      <w:pPr>
        <w:numPr>
          <w:ilvl w:val="0"/>
          <w:numId w:val="6"/>
        </w:numPr>
        <w:rPr>
          <w:szCs w:val="22"/>
        </w:rPr>
      </w:pPr>
      <w:r w:rsidRPr="00EC3368">
        <w:rPr>
          <w:b/>
          <w:bCs/>
          <w:i/>
          <w:iCs/>
          <w:szCs w:val="22"/>
        </w:rPr>
        <w:t>Advanced Imaging:</w:t>
      </w:r>
      <w:r w:rsidRPr="00EC3368">
        <w:rPr>
          <w:szCs w:val="22"/>
        </w:rPr>
        <w:t xml:space="preserve"> Tests like MRI, CT scans, or PET scans.</w:t>
      </w:r>
    </w:p>
    <w:p w14:paraId="14D08BEC" w14:textId="77777777" w:rsidR="00EC3368" w:rsidRPr="00EC3368" w:rsidRDefault="00EC3368" w:rsidP="00EC3368">
      <w:pPr>
        <w:numPr>
          <w:ilvl w:val="0"/>
          <w:numId w:val="6"/>
        </w:numPr>
        <w:rPr>
          <w:szCs w:val="22"/>
        </w:rPr>
      </w:pPr>
      <w:r w:rsidRPr="00EC3368">
        <w:rPr>
          <w:b/>
          <w:bCs/>
          <w:i/>
          <w:iCs/>
          <w:szCs w:val="22"/>
        </w:rPr>
        <w:t>Surgical Procedures:</w:t>
      </w:r>
      <w:r w:rsidRPr="00EC3368">
        <w:rPr>
          <w:szCs w:val="22"/>
        </w:rPr>
        <w:t xml:space="preserve"> Surgeries that are elective or involve the use of experimental techniques.</w:t>
      </w:r>
    </w:p>
    <w:p w14:paraId="1F948AF8" w14:textId="0E2543B2" w:rsidR="00EC3368" w:rsidRPr="00EC3368" w:rsidRDefault="00EC3368" w:rsidP="00EC3368">
      <w:pPr>
        <w:numPr>
          <w:ilvl w:val="0"/>
          <w:numId w:val="6"/>
        </w:numPr>
        <w:rPr>
          <w:szCs w:val="22"/>
        </w:rPr>
      </w:pPr>
      <w:r w:rsidRPr="00EC3368">
        <w:rPr>
          <w:b/>
          <w:bCs/>
          <w:i/>
          <w:iCs/>
          <w:szCs w:val="22"/>
        </w:rPr>
        <w:t>Durable Medical Equipment:</w:t>
      </w:r>
      <w:r w:rsidRPr="00EC3368">
        <w:rPr>
          <w:szCs w:val="22"/>
        </w:rPr>
        <w:t xml:space="preserve"> Items like wheelchairs or hospital beds.</w:t>
      </w:r>
    </w:p>
    <w:p w14:paraId="54313618" w14:textId="30E8FEE5" w:rsidR="00956F1E" w:rsidRPr="009E5E8D" w:rsidRDefault="00A74AA3" w:rsidP="00D84323">
      <w:pPr>
        <w:pStyle w:val="Heading1"/>
      </w:pPr>
      <w:bookmarkStart w:id="4" w:name="_Toc203655685"/>
      <w:r>
        <w:t>Prior authorization</w:t>
      </w:r>
      <w:r w:rsidR="00E74187">
        <w:t xml:space="preserve"> issue perspectives</w:t>
      </w:r>
      <w:bookmarkEnd w:id="4"/>
    </w:p>
    <w:p w14:paraId="22D54446" w14:textId="551E7711" w:rsidR="000D5D18" w:rsidRDefault="00C853F8" w:rsidP="00D84323">
      <w:pPr>
        <w:pStyle w:val="Heading2"/>
      </w:pPr>
      <w:bookmarkStart w:id="5" w:name="_Toc203655686"/>
      <w:proofErr w:type="gramStart"/>
      <w:r>
        <w:t>The p</w:t>
      </w:r>
      <w:r w:rsidR="00254DDF" w:rsidRPr="00254DDF">
        <w:t>rovider</w:t>
      </w:r>
      <w:proofErr w:type="gramEnd"/>
      <w:r w:rsidR="00254DDF" w:rsidRPr="00254DDF">
        <w:t xml:space="preserve"> </w:t>
      </w:r>
      <w:r w:rsidR="00E74187">
        <w:t>p</w:t>
      </w:r>
      <w:r w:rsidR="00254DDF" w:rsidRPr="00254DDF">
        <w:t>erspective</w:t>
      </w:r>
      <w:bookmarkEnd w:id="5"/>
    </w:p>
    <w:p w14:paraId="7A3E79A9" w14:textId="1B8A4712" w:rsidR="00273353" w:rsidRPr="000D5D18" w:rsidRDefault="00273353" w:rsidP="00D84323">
      <w:pPr>
        <w:pStyle w:val="Heading3"/>
      </w:pPr>
      <w:bookmarkStart w:id="6" w:name="_Toc203655687"/>
      <w:r w:rsidRPr="000D5D18">
        <w:t>Administrative burden and expense</w:t>
      </w:r>
      <w:bookmarkEnd w:id="6"/>
    </w:p>
    <w:p w14:paraId="065CEE72" w14:textId="7C7403FC" w:rsidR="00273353" w:rsidRDefault="0047676F" w:rsidP="00273353">
      <w:pPr>
        <w:rPr>
          <w:szCs w:val="22"/>
        </w:rPr>
      </w:pPr>
      <w:r>
        <w:rPr>
          <w:szCs w:val="22"/>
        </w:rPr>
        <w:t>Prior authorization can</w:t>
      </w:r>
      <w:r w:rsidR="00273353" w:rsidRPr="00273353">
        <w:rPr>
          <w:szCs w:val="22"/>
        </w:rPr>
        <w:t xml:space="preserve"> create substantial administrative burdens, costs, and inefficiencies.</w:t>
      </w:r>
      <w:r w:rsidR="006F0E32">
        <w:rPr>
          <w:szCs w:val="22"/>
        </w:rPr>
        <w:t xml:space="preserve"> </w:t>
      </w:r>
      <w:r w:rsidR="00273353" w:rsidRPr="00273353">
        <w:rPr>
          <w:szCs w:val="22"/>
        </w:rPr>
        <w:t xml:space="preserve">According to a recent American Medical Association </w:t>
      </w:r>
      <w:r w:rsidR="00C8510A">
        <w:rPr>
          <w:szCs w:val="22"/>
        </w:rPr>
        <w:t xml:space="preserve">(AMA) </w:t>
      </w:r>
      <w:r w:rsidR="00273353" w:rsidRPr="00273353">
        <w:rPr>
          <w:szCs w:val="22"/>
        </w:rPr>
        <w:t>survey</w:t>
      </w:r>
      <w:r w:rsidR="00273353" w:rsidRPr="00273353">
        <w:rPr>
          <w:szCs w:val="22"/>
          <w:vertAlign w:val="superscript"/>
        </w:rPr>
        <w:footnoteReference w:id="3"/>
      </w:r>
      <w:r w:rsidR="00273353" w:rsidRPr="00273353">
        <w:rPr>
          <w:szCs w:val="22"/>
        </w:rPr>
        <w:t xml:space="preserve">, physicians spend </w:t>
      </w:r>
      <w:r w:rsidR="004A5665">
        <w:rPr>
          <w:szCs w:val="22"/>
        </w:rPr>
        <w:t>13</w:t>
      </w:r>
      <w:r w:rsidR="00273353" w:rsidRPr="00273353">
        <w:rPr>
          <w:szCs w:val="22"/>
        </w:rPr>
        <w:t xml:space="preserve"> hours per week requesting </w:t>
      </w:r>
      <w:r w:rsidR="00A74AA3">
        <w:rPr>
          <w:szCs w:val="22"/>
        </w:rPr>
        <w:t>P</w:t>
      </w:r>
      <w:r w:rsidR="00BC217A">
        <w:rPr>
          <w:szCs w:val="22"/>
        </w:rPr>
        <w:t>A</w:t>
      </w:r>
      <w:r w:rsidR="00273353" w:rsidRPr="00273353">
        <w:rPr>
          <w:szCs w:val="22"/>
        </w:rPr>
        <w:t>s</w:t>
      </w:r>
      <w:r w:rsidR="00BC217A">
        <w:rPr>
          <w:szCs w:val="22"/>
        </w:rPr>
        <w:t>.</w:t>
      </w:r>
      <w:r w:rsidR="00C8510A">
        <w:rPr>
          <w:szCs w:val="22"/>
        </w:rPr>
        <w:t xml:space="preserve"> </w:t>
      </w:r>
      <w:r w:rsidR="00645084">
        <w:rPr>
          <w:szCs w:val="22"/>
        </w:rPr>
        <w:t>To mitigate this</w:t>
      </w:r>
      <w:r w:rsidR="00C8510A">
        <w:rPr>
          <w:szCs w:val="22"/>
        </w:rPr>
        <w:t xml:space="preserve">, </w:t>
      </w:r>
      <w:r w:rsidR="00D4345B">
        <w:rPr>
          <w:szCs w:val="22"/>
        </w:rPr>
        <w:t>health care</w:t>
      </w:r>
      <w:r w:rsidR="00C74285" w:rsidRPr="00273353">
        <w:rPr>
          <w:szCs w:val="22"/>
        </w:rPr>
        <w:t xml:space="preserve"> providers must </w:t>
      </w:r>
      <w:r w:rsidR="00C74285">
        <w:rPr>
          <w:szCs w:val="22"/>
        </w:rPr>
        <w:t xml:space="preserve">also </w:t>
      </w:r>
      <w:r w:rsidR="00C74285" w:rsidRPr="00273353">
        <w:rPr>
          <w:szCs w:val="22"/>
        </w:rPr>
        <w:t xml:space="preserve">employ and maintain knowledgeable </w:t>
      </w:r>
      <w:r w:rsidR="00550346" w:rsidRPr="00273353">
        <w:rPr>
          <w:szCs w:val="22"/>
        </w:rPr>
        <w:t>staff</w:t>
      </w:r>
      <w:r w:rsidR="00C8510A">
        <w:rPr>
          <w:szCs w:val="22"/>
        </w:rPr>
        <w:t xml:space="preserve"> who can help monitor the PA process. According to the same AMA </w:t>
      </w:r>
      <w:r w:rsidR="00996603">
        <w:rPr>
          <w:szCs w:val="22"/>
        </w:rPr>
        <w:t>survey</w:t>
      </w:r>
      <w:r w:rsidR="00402B05" w:rsidRPr="00273353">
        <w:rPr>
          <w:szCs w:val="22"/>
          <w:vertAlign w:val="superscript"/>
        </w:rPr>
        <w:footnoteReference w:id="4"/>
      </w:r>
      <w:r w:rsidR="00C8510A">
        <w:rPr>
          <w:szCs w:val="22"/>
        </w:rPr>
        <w:t xml:space="preserve">, </w:t>
      </w:r>
      <w:r w:rsidR="0003552F">
        <w:rPr>
          <w:szCs w:val="22"/>
        </w:rPr>
        <w:t>40%</w:t>
      </w:r>
      <w:r w:rsidR="00273353" w:rsidRPr="00273353">
        <w:rPr>
          <w:szCs w:val="22"/>
        </w:rPr>
        <w:t xml:space="preserve"> of </w:t>
      </w:r>
      <w:r w:rsidR="00996603">
        <w:rPr>
          <w:szCs w:val="22"/>
        </w:rPr>
        <w:t xml:space="preserve">participating </w:t>
      </w:r>
      <w:r w:rsidR="00273353" w:rsidRPr="00273353">
        <w:rPr>
          <w:szCs w:val="22"/>
        </w:rPr>
        <w:t xml:space="preserve">physicians </w:t>
      </w:r>
      <w:r w:rsidR="00C74285">
        <w:rPr>
          <w:szCs w:val="22"/>
        </w:rPr>
        <w:t>have</w:t>
      </w:r>
      <w:r w:rsidR="00273353" w:rsidRPr="00273353">
        <w:rPr>
          <w:szCs w:val="22"/>
        </w:rPr>
        <w:t xml:space="preserve"> staff who work exclusively on </w:t>
      </w:r>
      <w:r w:rsidR="00A74AA3">
        <w:rPr>
          <w:szCs w:val="22"/>
        </w:rPr>
        <w:t>PA</w:t>
      </w:r>
      <w:r w:rsidR="00273353" w:rsidRPr="00273353">
        <w:rPr>
          <w:szCs w:val="22"/>
        </w:rPr>
        <w:t>s.</w:t>
      </w:r>
      <w:r w:rsidR="006F0E32">
        <w:rPr>
          <w:szCs w:val="22"/>
        </w:rPr>
        <w:t xml:space="preserve"> </w:t>
      </w:r>
      <w:r w:rsidR="00CA6CDF">
        <w:rPr>
          <w:szCs w:val="22"/>
        </w:rPr>
        <w:t>P</w:t>
      </w:r>
      <w:r w:rsidR="00023A9C">
        <w:rPr>
          <w:szCs w:val="22"/>
        </w:rPr>
        <w:t>roviders’</w:t>
      </w:r>
      <w:r w:rsidR="00273353" w:rsidRPr="00273353">
        <w:rPr>
          <w:szCs w:val="22"/>
        </w:rPr>
        <w:t xml:space="preserve"> electronic health records generally do not integrate with </w:t>
      </w:r>
      <w:r w:rsidR="009C18FC">
        <w:rPr>
          <w:szCs w:val="22"/>
        </w:rPr>
        <w:t>insurer</w:t>
      </w:r>
      <w:r w:rsidR="00273353" w:rsidRPr="00273353">
        <w:rPr>
          <w:szCs w:val="22"/>
        </w:rPr>
        <w:t xml:space="preserve"> </w:t>
      </w:r>
      <w:r w:rsidR="00273353" w:rsidRPr="00273353">
        <w:rPr>
          <w:szCs w:val="22"/>
        </w:rPr>
        <w:lastRenderedPageBreak/>
        <w:t>systems,</w:t>
      </w:r>
      <w:r w:rsidR="00CA6CDF">
        <w:rPr>
          <w:szCs w:val="22"/>
        </w:rPr>
        <w:t xml:space="preserve"> so</w:t>
      </w:r>
      <w:r w:rsidR="00273353" w:rsidRPr="00273353">
        <w:rPr>
          <w:szCs w:val="22"/>
        </w:rPr>
        <w:t xml:space="preserve"> staff must manually enter data into these systems.</w:t>
      </w:r>
      <w:r w:rsidR="006F0E32">
        <w:rPr>
          <w:szCs w:val="22"/>
        </w:rPr>
        <w:t xml:space="preserve"> </w:t>
      </w:r>
      <w:r w:rsidR="00550346">
        <w:rPr>
          <w:szCs w:val="22"/>
        </w:rPr>
        <w:t>Furthermore</w:t>
      </w:r>
      <w:r w:rsidR="00273353" w:rsidRPr="00273353">
        <w:rPr>
          <w:szCs w:val="22"/>
        </w:rPr>
        <w:t xml:space="preserve">, </w:t>
      </w:r>
      <w:r w:rsidR="00550346">
        <w:rPr>
          <w:szCs w:val="22"/>
        </w:rPr>
        <w:t xml:space="preserve">incorrect or missing </w:t>
      </w:r>
      <w:r w:rsidR="00273353" w:rsidRPr="00273353">
        <w:rPr>
          <w:szCs w:val="22"/>
        </w:rPr>
        <w:t xml:space="preserve">patient demographic and insurance information </w:t>
      </w:r>
      <w:r w:rsidR="00550346">
        <w:rPr>
          <w:szCs w:val="22"/>
        </w:rPr>
        <w:t>can delay</w:t>
      </w:r>
      <w:r w:rsidR="00273353" w:rsidRPr="00273353">
        <w:rPr>
          <w:szCs w:val="22"/>
        </w:rPr>
        <w:t xml:space="preserve"> </w:t>
      </w:r>
      <w:r w:rsidR="00A74AA3">
        <w:rPr>
          <w:szCs w:val="22"/>
        </w:rPr>
        <w:t>PA</w:t>
      </w:r>
      <w:r w:rsidR="00273353" w:rsidRPr="00273353">
        <w:rPr>
          <w:szCs w:val="22"/>
        </w:rPr>
        <w:t xml:space="preserve"> or result in unexplained denials.</w:t>
      </w:r>
      <w:r w:rsidR="006F0E32">
        <w:rPr>
          <w:szCs w:val="22"/>
        </w:rPr>
        <w:t xml:space="preserve"> </w:t>
      </w:r>
    </w:p>
    <w:p w14:paraId="42E1A7AE" w14:textId="2D356256" w:rsidR="002E2691" w:rsidRDefault="002E2691" w:rsidP="002E2691">
      <w:pPr>
        <w:rPr>
          <w:szCs w:val="22"/>
        </w:rPr>
      </w:pPr>
      <w:r w:rsidRPr="005F6ED4">
        <w:rPr>
          <w:szCs w:val="22"/>
        </w:rPr>
        <w:t xml:space="preserve">In many cases, health insurers require </w:t>
      </w:r>
      <w:r>
        <w:rPr>
          <w:szCs w:val="22"/>
        </w:rPr>
        <w:t>PA</w:t>
      </w:r>
      <w:r w:rsidRPr="005F6ED4">
        <w:rPr>
          <w:szCs w:val="22"/>
        </w:rPr>
        <w:t xml:space="preserve"> to be completed at certain intervals during a course of treatment.</w:t>
      </w:r>
      <w:r w:rsidR="006F0E32">
        <w:rPr>
          <w:szCs w:val="22"/>
        </w:rPr>
        <w:t xml:space="preserve"> </w:t>
      </w:r>
      <w:r w:rsidRPr="005F6ED4">
        <w:rPr>
          <w:szCs w:val="22"/>
        </w:rPr>
        <w:t xml:space="preserve">This may take the form of step therapy </w:t>
      </w:r>
      <w:r>
        <w:rPr>
          <w:szCs w:val="22"/>
        </w:rPr>
        <w:t>(</w:t>
      </w:r>
      <w:r w:rsidRPr="005F6ED4">
        <w:rPr>
          <w:szCs w:val="22"/>
        </w:rPr>
        <w:t xml:space="preserve">the process by which an insurer requires the use of certain </w:t>
      </w:r>
      <w:r>
        <w:rPr>
          <w:szCs w:val="22"/>
        </w:rPr>
        <w:t>treatment</w:t>
      </w:r>
      <w:r w:rsidRPr="005F6ED4">
        <w:rPr>
          <w:szCs w:val="22"/>
        </w:rPr>
        <w:t xml:space="preserve"> first, and only upon failure will a preferred or prescribed </w:t>
      </w:r>
      <w:r>
        <w:rPr>
          <w:szCs w:val="22"/>
        </w:rPr>
        <w:t>treatment</w:t>
      </w:r>
      <w:r w:rsidRPr="005F6ED4">
        <w:rPr>
          <w:szCs w:val="22"/>
        </w:rPr>
        <w:t xml:space="preserve"> be approved</w:t>
      </w:r>
      <w:r>
        <w:rPr>
          <w:szCs w:val="22"/>
        </w:rPr>
        <w:t>)</w:t>
      </w:r>
      <w:r w:rsidRPr="005F6ED4">
        <w:rPr>
          <w:szCs w:val="22"/>
        </w:rPr>
        <w:t xml:space="preserve"> or </w:t>
      </w:r>
      <w:r>
        <w:rPr>
          <w:szCs w:val="22"/>
        </w:rPr>
        <w:t>requirements</w:t>
      </w:r>
      <w:r w:rsidRPr="005F6ED4">
        <w:rPr>
          <w:szCs w:val="22"/>
        </w:rPr>
        <w:t xml:space="preserve"> </w:t>
      </w:r>
      <w:r>
        <w:rPr>
          <w:szCs w:val="22"/>
        </w:rPr>
        <w:t>for</w:t>
      </w:r>
      <w:r w:rsidRPr="005F6ED4">
        <w:rPr>
          <w:szCs w:val="22"/>
        </w:rPr>
        <w:t xml:space="preserve"> regular authorizations to monitor treatment progress and efficacy</w:t>
      </w:r>
      <w:r>
        <w:rPr>
          <w:szCs w:val="22"/>
        </w:rPr>
        <w:t>. N</w:t>
      </w:r>
      <w:r w:rsidRPr="005F6ED4">
        <w:rPr>
          <w:szCs w:val="22"/>
        </w:rPr>
        <w:t xml:space="preserve">avigating </w:t>
      </w:r>
      <w:r>
        <w:rPr>
          <w:szCs w:val="22"/>
        </w:rPr>
        <w:t>these</w:t>
      </w:r>
      <w:r w:rsidR="00CE71C0">
        <w:rPr>
          <w:szCs w:val="22"/>
        </w:rPr>
        <w:t xml:space="preserve"> PA</w:t>
      </w:r>
      <w:r>
        <w:rPr>
          <w:szCs w:val="22"/>
        </w:rPr>
        <w:t xml:space="preserve"> requirements</w:t>
      </w:r>
      <w:r w:rsidRPr="005F6ED4">
        <w:rPr>
          <w:szCs w:val="22"/>
        </w:rPr>
        <w:t xml:space="preserve"> </w:t>
      </w:r>
      <w:r>
        <w:rPr>
          <w:szCs w:val="22"/>
        </w:rPr>
        <w:t>during</w:t>
      </w:r>
      <w:r w:rsidRPr="005F6ED4">
        <w:rPr>
          <w:szCs w:val="22"/>
        </w:rPr>
        <w:t xml:space="preserve"> ongoing treatment</w:t>
      </w:r>
      <w:r>
        <w:rPr>
          <w:szCs w:val="22"/>
        </w:rPr>
        <w:t xml:space="preserve"> of a patient burdens a provider with additional administrative tasks – time that could be spent treating the patient</w:t>
      </w:r>
      <w:r w:rsidRPr="005F6ED4">
        <w:rPr>
          <w:szCs w:val="22"/>
        </w:rPr>
        <w:t>.</w:t>
      </w:r>
    </w:p>
    <w:p w14:paraId="444F5092" w14:textId="649A2DF8" w:rsidR="009E1428" w:rsidRDefault="009E1428" w:rsidP="002E2691">
      <w:pPr>
        <w:rPr>
          <w:szCs w:val="22"/>
        </w:rPr>
      </w:pPr>
      <w:r>
        <w:rPr>
          <w:szCs w:val="22"/>
        </w:rPr>
        <w:t>Despite</w:t>
      </w:r>
      <w:r w:rsidRPr="00273353">
        <w:rPr>
          <w:szCs w:val="22"/>
        </w:rPr>
        <w:t xml:space="preserve"> the burdens of the </w:t>
      </w:r>
      <w:r>
        <w:rPr>
          <w:szCs w:val="22"/>
        </w:rPr>
        <w:t>PA</w:t>
      </w:r>
      <w:r w:rsidRPr="00273353">
        <w:rPr>
          <w:szCs w:val="22"/>
        </w:rPr>
        <w:t xml:space="preserve"> process, some providers prefer the administrative burden of obtaining a </w:t>
      </w:r>
      <w:r>
        <w:rPr>
          <w:szCs w:val="22"/>
        </w:rPr>
        <w:t>PA</w:t>
      </w:r>
      <w:r w:rsidRPr="00273353">
        <w:rPr>
          <w:szCs w:val="22"/>
        </w:rPr>
        <w:t xml:space="preserve"> over the risk of not being paid.</w:t>
      </w:r>
      <w:r>
        <w:rPr>
          <w:szCs w:val="22"/>
        </w:rPr>
        <w:t xml:space="preserve"> S</w:t>
      </w:r>
      <w:r w:rsidRPr="00273353">
        <w:rPr>
          <w:szCs w:val="22"/>
        </w:rPr>
        <w:t xml:space="preserve">ome providers want </w:t>
      </w:r>
      <w:r w:rsidR="009C18FC">
        <w:rPr>
          <w:szCs w:val="22"/>
        </w:rPr>
        <w:t>insurer</w:t>
      </w:r>
      <w:r w:rsidRPr="00273353">
        <w:rPr>
          <w:szCs w:val="22"/>
        </w:rPr>
        <w:t xml:space="preserve">s to require </w:t>
      </w:r>
      <w:r>
        <w:rPr>
          <w:szCs w:val="22"/>
        </w:rPr>
        <w:t>PA</w:t>
      </w:r>
      <w:r w:rsidRPr="00273353">
        <w:rPr>
          <w:szCs w:val="22"/>
        </w:rPr>
        <w:t xml:space="preserve">s for certain services so the provider will know a service will be covered by the </w:t>
      </w:r>
      <w:r w:rsidR="009C18FC">
        <w:rPr>
          <w:szCs w:val="22"/>
        </w:rPr>
        <w:t>insurer</w:t>
      </w:r>
      <w:r>
        <w:rPr>
          <w:szCs w:val="22"/>
        </w:rPr>
        <w:t xml:space="preserve"> with PA approval</w:t>
      </w:r>
      <w:r w:rsidRPr="00273353">
        <w:rPr>
          <w:szCs w:val="22"/>
        </w:rPr>
        <w:t>.</w:t>
      </w:r>
      <w:r w:rsidR="001476C0">
        <w:rPr>
          <w:szCs w:val="22"/>
        </w:rPr>
        <w:t xml:space="preserve"> For example, t</w:t>
      </w:r>
      <w:r w:rsidR="00385376" w:rsidRPr="00385376">
        <w:rPr>
          <w:szCs w:val="22"/>
        </w:rPr>
        <w:t xml:space="preserve">his concern led Arkansas to pass legislation </w:t>
      </w:r>
      <w:r w:rsidR="007A3653">
        <w:rPr>
          <w:szCs w:val="22"/>
        </w:rPr>
        <w:t xml:space="preserve">in April 2025 </w:t>
      </w:r>
      <w:r w:rsidR="00385376" w:rsidRPr="00385376">
        <w:rPr>
          <w:szCs w:val="22"/>
        </w:rPr>
        <w:t>mandating</w:t>
      </w:r>
      <w:r w:rsidR="00545D2A">
        <w:rPr>
          <w:szCs w:val="22"/>
        </w:rPr>
        <w:t xml:space="preserve"> that</w:t>
      </w:r>
      <w:r w:rsidR="00385376" w:rsidRPr="00385376">
        <w:rPr>
          <w:szCs w:val="22"/>
        </w:rPr>
        <w:t xml:space="preserve"> an insurer require </w:t>
      </w:r>
      <w:r w:rsidR="009F2B0B">
        <w:rPr>
          <w:szCs w:val="22"/>
        </w:rPr>
        <w:t>PA</w:t>
      </w:r>
      <w:r w:rsidR="00385376" w:rsidRPr="00385376">
        <w:rPr>
          <w:szCs w:val="22"/>
        </w:rPr>
        <w:t xml:space="preserve"> for breast reconstructi</w:t>
      </w:r>
      <w:r w:rsidR="00545D2A">
        <w:rPr>
          <w:szCs w:val="22"/>
        </w:rPr>
        <w:t>ve</w:t>
      </w:r>
      <w:r w:rsidR="00385376" w:rsidRPr="00385376">
        <w:rPr>
          <w:szCs w:val="22"/>
        </w:rPr>
        <w:t xml:space="preserve"> surgery.</w:t>
      </w:r>
      <w:r w:rsidR="007A3653">
        <w:rPr>
          <w:rStyle w:val="FootnoteReference"/>
          <w:szCs w:val="22"/>
        </w:rPr>
        <w:footnoteReference w:id="5"/>
      </w:r>
      <w:r w:rsidR="00385376">
        <w:rPr>
          <w:szCs w:val="22"/>
        </w:rPr>
        <w:t xml:space="preserve"> </w:t>
      </w:r>
    </w:p>
    <w:p w14:paraId="3F181B00" w14:textId="77777777" w:rsidR="00134787" w:rsidRDefault="00134787" w:rsidP="00134787">
      <w:pPr>
        <w:pStyle w:val="Heading3"/>
      </w:pPr>
      <w:bookmarkStart w:id="7" w:name="_Toc203655688"/>
      <w:r>
        <w:t>Lack of consistency and transparency</w:t>
      </w:r>
      <w:bookmarkEnd w:id="7"/>
    </w:p>
    <w:p w14:paraId="1AD0B295" w14:textId="2D2FDF9A" w:rsidR="00134787" w:rsidRDefault="00134787" w:rsidP="00134787">
      <w:pPr>
        <w:rPr>
          <w:szCs w:val="22"/>
        </w:rPr>
      </w:pPr>
      <w:r w:rsidRPr="00273353">
        <w:rPr>
          <w:szCs w:val="22"/>
        </w:rPr>
        <w:t xml:space="preserve">Definitions of medical necessity for a particular service differ </w:t>
      </w:r>
      <w:r>
        <w:rPr>
          <w:szCs w:val="22"/>
        </w:rPr>
        <w:t>between insurers</w:t>
      </w:r>
      <w:r w:rsidRPr="00273353">
        <w:rPr>
          <w:szCs w:val="22"/>
        </w:rPr>
        <w:t>, and some</w:t>
      </w:r>
      <w:r w:rsidR="009032B5">
        <w:rPr>
          <w:szCs w:val="22"/>
        </w:rPr>
        <w:t xml:space="preserve"> insurers </w:t>
      </w:r>
      <w:r w:rsidRPr="00273353">
        <w:rPr>
          <w:szCs w:val="22"/>
        </w:rPr>
        <w:t>define medical necessity without providing the clinical criteria</w:t>
      </w:r>
      <w:r w:rsidR="009032B5">
        <w:rPr>
          <w:szCs w:val="22"/>
        </w:rPr>
        <w:t xml:space="preserve"> for a provider to determine if the health care service being requested meets the medical necessity threshold. </w:t>
      </w:r>
      <w:r>
        <w:rPr>
          <w:szCs w:val="22"/>
        </w:rPr>
        <w:t>This forces providers</w:t>
      </w:r>
      <w:r w:rsidRPr="00273353">
        <w:rPr>
          <w:szCs w:val="22"/>
        </w:rPr>
        <w:t xml:space="preserve"> to spend more time determining what will be approved for each </w:t>
      </w:r>
      <w:r w:rsidR="009E1428">
        <w:rPr>
          <w:szCs w:val="22"/>
        </w:rPr>
        <w:t xml:space="preserve">patient’s </w:t>
      </w:r>
      <w:r w:rsidR="00780B1B">
        <w:rPr>
          <w:szCs w:val="22"/>
        </w:rPr>
        <w:t>plan and</w:t>
      </w:r>
      <w:r w:rsidRPr="00273353">
        <w:rPr>
          <w:szCs w:val="22"/>
        </w:rPr>
        <w:t xml:space="preserve"> potentially </w:t>
      </w:r>
      <w:r>
        <w:rPr>
          <w:szCs w:val="22"/>
        </w:rPr>
        <w:t>research</w:t>
      </w:r>
      <w:r w:rsidRPr="00273353">
        <w:rPr>
          <w:szCs w:val="22"/>
        </w:rPr>
        <w:t xml:space="preserve"> alternative treatment</w:t>
      </w:r>
      <w:r>
        <w:rPr>
          <w:szCs w:val="22"/>
        </w:rPr>
        <w:t>s</w:t>
      </w:r>
      <w:r w:rsidRPr="00273353">
        <w:rPr>
          <w:szCs w:val="22"/>
        </w:rPr>
        <w:t xml:space="preserve"> that may not </w:t>
      </w:r>
      <w:r>
        <w:rPr>
          <w:szCs w:val="22"/>
        </w:rPr>
        <w:t xml:space="preserve">be as effective </w:t>
      </w:r>
      <w:r w:rsidRPr="00273353">
        <w:rPr>
          <w:szCs w:val="22"/>
        </w:rPr>
        <w:t>as the preferred treatment.</w:t>
      </w:r>
      <w:r w:rsidR="00056E34">
        <w:rPr>
          <w:szCs w:val="22"/>
        </w:rPr>
        <w:t xml:space="preserve"> Furthermore, </w:t>
      </w:r>
      <w:r w:rsidR="00056E34" w:rsidRPr="005F6ED4">
        <w:rPr>
          <w:szCs w:val="22"/>
        </w:rPr>
        <w:t xml:space="preserve">navigating differences </w:t>
      </w:r>
      <w:r w:rsidR="00056E34">
        <w:rPr>
          <w:szCs w:val="22"/>
        </w:rPr>
        <w:t>in medical necessity criteria during</w:t>
      </w:r>
      <w:r w:rsidR="00056E34" w:rsidRPr="005F6ED4">
        <w:rPr>
          <w:szCs w:val="22"/>
        </w:rPr>
        <w:t xml:space="preserve"> an ongoing course of treatment highlights the disruption that can be caused due to PA processes.</w:t>
      </w:r>
    </w:p>
    <w:p w14:paraId="535FC0F7" w14:textId="0B220B05" w:rsidR="00134787" w:rsidRDefault="00134787" w:rsidP="00134787">
      <w:pPr>
        <w:rPr>
          <w:szCs w:val="22"/>
        </w:rPr>
      </w:pPr>
      <w:r w:rsidRPr="00273353">
        <w:rPr>
          <w:szCs w:val="22"/>
        </w:rPr>
        <w:t>Denial letters often lack transparency and provide no information on how the denial was determined.</w:t>
      </w:r>
      <w:r w:rsidR="006F0E32">
        <w:rPr>
          <w:szCs w:val="22"/>
        </w:rPr>
        <w:t xml:space="preserve"> </w:t>
      </w:r>
      <w:r w:rsidR="00D4345B">
        <w:rPr>
          <w:szCs w:val="22"/>
        </w:rPr>
        <w:t>Health care</w:t>
      </w:r>
      <w:r w:rsidRPr="00273353">
        <w:rPr>
          <w:szCs w:val="22"/>
        </w:rPr>
        <w:t xml:space="preserve"> providers are forced to guess why the denial occurred and how to </w:t>
      </w:r>
      <w:r>
        <w:rPr>
          <w:szCs w:val="22"/>
        </w:rPr>
        <w:t>appeal the decision</w:t>
      </w:r>
      <w:r w:rsidRPr="00273353">
        <w:rPr>
          <w:szCs w:val="22"/>
        </w:rPr>
        <w:t>.</w:t>
      </w:r>
      <w:r w:rsidR="006F0E32">
        <w:rPr>
          <w:szCs w:val="22"/>
        </w:rPr>
        <w:t xml:space="preserve"> </w:t>
      </w:r>
      <w:r w:rsidR="007612AF" w:rsidRPr="0062313D">
        <w:rPr>
          <w:szCs w:val="22"/>
        </w:rPr>
        <w:t xml:space="preserve">Some </w:t>
      </w:r>
      <w:r w:rsidR="00D4345B">
        <w:rPr>
          <w:szCs w:val="22"/>
        </w:rPr>
        <w:t>health care</w:t>
      </w:r>
      <w:r w:rsidR="007612AF" w:rsidRPr="0062313D">
        <w:rPr>
          <w:szCs w:val="22"/>
        </w:rPr>
        <w:t xml:space="preserve"> providers completely avoid the PA process by not accepting insurance.</w:t>
      </w:r>
    </w:p>
    <w:p w14:paraId="0645843D" w14:textId="0F19BF0A" w:rsidR="00550346" w:rsidRPr="00273353" w:rsidRDefault="00550346" w:rsidP="00550346">
      <w:pPr>
        <w:pStyle w:val="Heading3"/>
      </w:pPr>
      <w:bookmarkStart w:id="8" w:name="_Toc203655689"/>
      <w:r>
        <w:t>Outdated</w:t>
      </w:r>
      <w:r w:rsidR="00FF68E5">
        <w:t xml:space="preserve"> and inefficient</w:t>
      </w:r>
      <w:r>
        <w:t xml:space="preserve"> technology</w:t>
      </w:r>
      <w:bookmarkEnd w:id="8"/>
    </w:p>
    <w:p w14:paraId="5CFE371D" w14:textId="5F0E575A" w:rsidR="00A07C78" w:rsidRDefault="001C0A35" w:rsidP="007612AF">
      <w:pPr>
        <w:rPr>
          <w:szCs w:val="22"/>
        </w:rPr>
      </w:pPr>
      <w:r>
        <w:rPr>
          <w:szCs w:val="22"/>
        </w:rPr>
        <w:t>Oftentimes,</w:t>
      </w:r>
      <w:r w:rsidR="00273353" w:rsidRPr="00273353">
        <w:rPr>
          <w:szCs w:val="22"/>
        </w:rPr>
        <w:t xml:space="preserve"> the technologies </w:t>
      </w:r>
      <w:r w:rsidR="00A277F2">
        <w:rPr>
          <w:szCs w:val="22"/>
        </w:rPr>
        <w:t xml:space="preserve">(including software, web portals, fax machines, and even communication by phone) </w:t>
      </w:r>
      <w:r w:rsidR="00273353" w:rsidRPr="00273353">
        <w:rPr>
          <w:szCs w:val="22"/>
        </w:rPr>
        <w:t xml:space="preserve">used by </w:t>
      </w:r>
      <w:r w:rsidR="009C18FC">
        <w:rPr>
          <w:szCs w:val="22"/>
        </w:rPr>
        <w:t>insurer</w:t>
      </w:r>
      <w:r w:rsidR="00273353" w:rsidRPr="00273353">
        <w:rPr>
          <w:szCs w:val="22"/>
        </w:rPr>
        <w:t xml:space="preserve"> </w:t>
      </w:r>
      <w:r w:rsidR="00A74AA3">
        <w:rPr>
          <w:szCs w:val="22"/>
        </w:rPr>
        <w:t>PA</w:t>
      </w:r>
      <w:r w:rsidR="00273353" w:rsidRPr="00273353">
        <w:rPr>
          <w:szCs w:val="22"/>
        </w:rPr>
        <w:t xml:space="preserve"> systems are outdated and cumbersome.</w:t>
      </w:r>
      <w:r w:rsidR="006F0E32">
        <w:rPr>
          <w:szCs w:val="22"/>
        </w:rPr>
        <w:t xml:space="preserve"> </w:t>
      </w:r>
      <w:r>
        <w:rPr>
          <w:szCs w:val="22"/>
        </w:rPr>
        <w:t>The</w:t>
      </w:r>
      <w:r w:rsidRPr="00273353">
        <w:rPr>
          <w:szCs w:val="22"/>
        </w:rPr>
        <w:t xml:space="preserve"> </w:t>
      </w:r>
      <w:r>
        <w:rPr>
          <w:szCs w:val="22"/>
        </w:rPr>
        <w:t>PA</w:t>
      </w:r>
      <w:r w:rsidRPr="00273353">
        <w:rPr>
          <w:szCs w:val="22"/>
        </w:rPr>
        <w:t xml:space="preserve"> process can be significantly delayed or result in denials</w:t>
      </w:r>
      <w:r>
        <w:rPr>
          <w:szCs w:val="22"/>
        </w:rPr>
        <w:t xml:space="preserve"> i</w:t>
      </w:r>
      <w:r w:rsidR="00273353" w:rsidRPr="00273353">
        <w:rPr>
          <w:szCs w:val="22"/>
        </w:rPr>
        <w:t>f a</w:t>
      </w:r>
      <w:r>
        <w:rPr>
          <w:szCs w:val="22"/>
        </w:rPr>
        <w:t xml:space="preserve">n insurer </w:t>
      </w:r>
      <w:r w:rsidR="00273353" w:rsidRPr="00273353">
        <w:rPr>
          <w:szCs w:val="22"/>
        </w:rPr>
        <w:t xml:space="preserve">has not updated its utilization management processes or </w:t>
      </w:r>
      <w:r w:rsidR="00C97946" w:rsidRPr="00273353">
        <w:rPr>
          <w:szCs w:val="22"/>
        </w:rPr>
        <w:t>has not</w:t>
      </w:r>
      <w:r w:rsidR="00273353" w:rsidRPr="00273353">
        <w:rPr>
          <w:szCs w:val="22"/>
        </w:rPr>
        <w:t xml:space="preserve"> </w:t>
      </w:r>
      <w:r>
        <w:rPr>
          <w:szCs w:val="22"/>
        </w:rPr>
        <w:t>communicated changes to</w:t>
      </w:r>
      <w:r w:rsidR="00273353" w:rsidRPr="00273353">
        <w:rPr>
          <w:szCs w:val="22"/>
        </w:rPr>
        <w:t xml:space="preserve"> processes</w:t>
      </w:r>
      <w:r>
        <w:rPr>
          <w:szCs w:val="22"/>
        </w:rPr>
        <w:t xml:space="preserve"> or </w:t>
      </w:r>
      <w:r w:rsidR="00273353" w:rsidRPr="00273353">
        <w:rPr>
          <w:szCs w:val="22"/>
        </w:rPr>
        <w:t>codes.</w:t>
      </w:r>
      <w:r w:rsidR="006F0E32">
        <w:rPr>
          <w:szCs w:val="22"/>
        </w:rPr>
        <w:t xml:space="preserve"> </w:t>
      </w:r>
      <w:r w:rsidR="00273353" w:rsidRPr="00273353">
        <w:rPr>
          <w:szCs w:val="22"/>
        </w:rPr>
        <w:t xml:space="preserve">Though some </w:t>
      </w:r>
      <w:r w:rsidR="009C18FC">
        <w:rPr>
          <w:szCs w:val="22"/>
        </w:rPr>
        <w:t>insurer</w:t>
      </w:r>
      <w:r w:rsidR="00273353" w:rsidRPr="00273353">
        <w:rPr>
          <w:szCs w:val="22"/>
        </w:rPr>
        <w:t xml:space="preserve"> portals make it easy to look up required </w:t>
      </w:r>
      <w:r w:rsidR="00A74AA3">
        <w:rPr>
          <w:szCs w:val="22"/>
        </w:rPr>
        <w:t>PA</w:t>
      </w:r>
      <w:r w:rsidR="00273353" w:rsidRPr="00273353">
        <w:rPr>
          <w:szCs w:val="22"/>
        </w:rPr>
        <w:t xml:space="preserve"> information by simply inputting a procedure’s current procedural terminology code, other </w:t>
      </w:r>
      <w:r w:rsidR="009C18FC">
        <w:rPr>
          <w:szCs w:val="22"/>
        </w:rPr>
        <w:t>insurer</w:t>
      </w:r>
      <w:r w:rsidR="00273353" w:rsidRPr="00273353">
        <w:rPr>
          <w:szCs w:val="22"/>
        </w:rPr>
        <w:t>s will not provide information until a</w:t>
      </w:r>
      <w:r w:rsidR="00BF0CC9">
        <w:rPr>
          <w:szCs w:val="22"/>
        </w:rPr>
        <w:t xml:space="preserve"> provider </w:t>
      </w:r>
      <w:r w:rsidR="00273353" w:rsidRPr="00273353">
        <w:rPr>
          <w:szCs w:val="22"/>
        </w:rPr>
        <w:t>contacts them.</w:t>
      </w:r>
      <w:r w:rsidR="006F0E32">
        <w:rPr>
          <w:szCs w:val="22"/>
        </w:rPr>
        <w:t xml:space="preserve"> </w:t>
      </w:r>
      <w:r w:rsidR="00273353" w:rsidRPr="00273353">
        <w:rPr>
          <w:szCs w:val="22"/>
        </w:rPr>
        <w:t>When</w:t>
      </w:r>
      <w:r w:rsidR="00BF0CC9">
        <w:rPr>
          <w:szCs w:val="22"/>
        </w:rPr>
        <w:t xml:space="preserve"> medical</w:t>
      </w:r>
      <w:r w:rsidR="00273353" w:rsidRPr="00273353">
        <w:rPr>
          <w:szCs w:val="22"/>
        </w:rPr>
        <w:t xml:space="preserve"> offices are required to contact a health benefit plan by phone, staff experience long hold times.</w:t>
      </w:r>
      <w:r w:rsidR="006F0E32">
        <w:rPr>
          <w:szCs w:val="22"/>
        </w:rPr>
        <w:t xml:space="preserve"> </w:t>
      </w:r>
      <w:r w:rsidR="00273353" w:rsidRPr="00273353">
        <w:rPr>
          <w:szCs w:val="22"/>
        </w:rPr>
        <w:t xml:space="preserve">Providers often need to create documentation </w:t>
      </w:r>
      <w:proofErr w:type="gramStart"/>
      <w:r w:rsidR="00273353" w:rsidRPr="00273353">
        <w:rPr>
          <w:szCs w:val="22"/>
        </w:rPr>
        <w:t>of</w:t>
      </w:r>
      <w:proofErr w:type="gramEnd"/>
      <w:r w:rsidR="00273353" w:rsidRPr="00273353">
        <w:rPr>
          <w:szCs w:val="22"/>
        </w:rPr>
        <w:t xml:space="preserve"> </w:t>
      </w:r>
      <w:r w:rsidR="00105A4F">
        <w:rPr>
          <w:szCs w:val="22"/>
        </w:rPr>
        <w:t xml:space="preserve">their </w:t>
      </w:r>
      <w:r w:rsidR="00273353" w:rsidRPr="00273353">
        <w:rPr>
          <w:szCs w:val="22"/>
        </w:rPr>
        <w:t>communications by phone or fax in case such information is later needed to prove contact was made.</w:t>
      </w:r>
    </w:p>
    <w:p w14:paraId="544487FB" w14:textId="5EF614F8" w:rsidR="00273353" w:rsidRPr="00273353" w:rsidRDefault="00C853F8" w:rsidP="00D84323">
      <w:pPr>
        <w:pStyle w:val="Heading3"/>
      </w:pPr>
      <w:bookmarkStart w:id="9" w:name="_Toc203655690"/>
      <w:r>
        <w:t>Misalignment</w:t>
      </w:r>
      <w:r w:rsidR="00273353" w:rsidRPr="00273353">
        <w:t xml:space="preserve"> with clinical standards of care</w:t>
      </w:r>
      <w:bookmarkEnd w:id="9"/>
    </w:p>
    <w:p w14:paraId="0BA8B67F" w14:textId="1D1CEE5D" w:rsidR="009E5E8D" w:rsidRDefault="00273353" w:rsidP="009E5E8D">
      <w:pPr>
        <w:rPr>
          <w:szCs w:val="22"/>
        </w:rPr>
      </w:pPr>
      <w:r w:rsidRPr="00273353">
        <w:rPr>
          <w:szCs w:val="22"/>
        </w:rPr>
        <w:t xml:space="preserve">In addition to determining whether a requested service is recommended according to research-based evidence, </w:t>
      </w:r>
      <w:r w:rsidR="009C18FC">
        <w:rPr>
          <w:szCs w:val="22"/>
        </w:rPr>
        <w:t>insurer</w:t>
      </w:r>
      <w:r w:rsidRPr="00273353">
        <w:rPr>
          <w:szCs w:val="22"/>
        </w:rPr>
        <w:t xml:space="preserve">s also consider whether the service is the most </w:t>
      </w:r>
      <w:r w:rsidR="00D10369" w:rsidRPr="00273353">
        <w:rPr>
          <w:szCs w:val="22"/>
        </w:rPr>
        <w:t>cost-effective</w:t>
      </w:r>
      <w:r w:rsidRPr="00273353">
        <w:rPr>
          <w:szCs w:val="22"/>
        </w:rPr>
        <w:t xml:space="preserve"> way to treat a patient. </w:t>
      </w:r>
      <w:r w:rsidRPr="00273353">
        <w:rPr>
          <w:szCs w:val="22"/>
        </w:rPr>
        <w:lastRenderedPageBreak/>
        <w:t xml:space="preserve">Clinical standards used by providers do not </w:t>
      </w:r>
      <w:r w:rsidR="00593CD3">
        <w:rPr>
          <w:szCs w:val="22"/>
        </w:rPr>
        <w:t xml:space="preserve">necessarily </w:t>
      </w:r>
      <w:r w:rsidRPr="00273353">
        <w:rPr>
          <w:szCs w:val="22"/>
        </w:rPr>
        <w:t>consider cost and are intended to provide the most efficient and effective care depending on a patient’s particular needs.</w:t>
      </w:r>
      <w:r w:rsidR="006F0E32">
        <w:rPr>
          <w:szCs w:val="22"/>
        </w:rPr>
        <w:t xml:space="preserve"> </w:t>
      </w:r>
      <w:r w:rsidRPr="00273353">
        <w:rPr>
          <w:szCs w:val="22"/>
        </w:rPr>
        <w:t xml:space="preserve">Rather than treating a patient with what the </w:t>
      </w:r>
      <w:r w:rsidR="00D4345B">
        <w:rPr>
          <w:szCs w:val="22"/>
        </w:rPr>
        <w:t>health care</w:t>
      </w:r>
      <w:r w:rsidRPr="00273353">
        <w:rPr>
          <w:szCs w:val="22"/>
        </w:rPr>
        <w:t xml:space="preserve"> provider considers to be most appropriate treatment using </w:t>
      </w:r>
      <w:r w:rsidR="001741DF">
        <w:rPr>
          <w:szCs w:val="22"/>
        </w:rPr>
        <w:t>their</w:t>
      </w:r>
      <w:r w:rsidRPr="00273353">
        <w:rPr>
          <w:szCs w:val="22"/>
        </w:rPr>
        <w:t xml:space="preserve"> knowledge of clinical standards of care, </w:t>
      </w:r>
      <w:r w:rsidR="00B030DA">
        <w:rPr>
          <w:szCs w:val="22"/>
        </w:rPr>
        <w:t>a PA request denial</w:t>
      </w:r>
      <w:r w:rsidRPr="00273353">
        <w:rPr>
          <w:szCs w:val="22"/>
        </w:rPr>
        <w:t xml:space="preserve"> may force a </w:t>
      </w:r>
      <w:r w:rsidR="00D4345B">
        <w:rPr>
          <w:szCs w:val="22"/>
        </w:rPr>
        <w:t>health care</w:t>
      </w:r>
      <w:r w:rsidRPr="00273353">
        <w:rPr>
          <w:szCs w:val="22"/>
        </w:rPr>
        <w:t xml:space="preserve"> provider to prescribe a different therapy, not considered to be in the patient’s best interests, but </w:t>
      </w:r>
      <w:r w:rsidR="00B030DA">
        <w:rPr>
          <w:szCs w:val="22"/>
        </w:rPr>
        <w:t xml:space="preserve">that is </w:t>
      </w:r>
      <w:r w:rsidRPr="00273353">
        <w:rPr>
          <w:szCs w:val="22"/>
        </w:rPr>
        <w:t xml:space="preserve">covered by the patient’s </w:t>
      </w:r>
      <w:r w:rsidR="009C18FC">
        <w:rPr>
          <w:szCs w:val="22"/>
        </w:rPr>
        <w:t>insurer</w:t>
      </w:r>
      <w:r w:rsidRPr="00273353">
        <w:rPr>
          <w:szCs w:val="22"/>
        </w:rPr>
        <w:t>.</w:t>
      </w:r>
      <w:r w:rsidR="006F0E32">
        <w:rPr>
          <w:szCs w:val="22"/>
        </w:rPr>
        <w:t xml:space="preserve"> </w:t>
      </w:r>
      <w:r w:rsidRPr="00273353">
        <w:rPr>
          <w:szCs w:val="22"/>
        </w:rPr>
        <w:t xml:space="preserve">The provider must choose whether to pursue a lengthy and possibly futile appeal process related to </w:t>
      </w:r>
      <w:r w:rsidR="001741DF">
        <w:rPr>
          <w:szCs w:val="22"/>
        </w:rPr>
        <w:t>their</w:t>
      </w:r>
      <w:r w:rsidRPr="00273353">
        <w:rPr>
          <w:szCs w:val="22"/>
        </w:rPr>
        <w:t xml:space="preserve"> preferred therapy that will further delay treatment or choose a different therapy less likely to provide optimal results.</w:t>
      </w:r>
    </w:p>
    <w:p w14:paraId="50822312" w14:textId="03CA1231" w:rsidR="005B08F1" w:rsidRPr="009E5E8D" w:rsidRDefault="00C853F8" w:rsidP="00D84323">
      <w:pPr>
        <w:pStyle w:val="Heading2"/>
      </w:pPr>
      <w:bookmarkStart w:id="10" w:name="_Toc203655691"/>
      <w:r>
        <w:t>The c</w:t>
      </w:r>
      <w:r w:rsidR="005B08F1" w:rsidRPr="009E5E8D">
        <w:t xml:space="preserve">onsumer </w:t>
      </w:r>
      <w:r>
        <w:t>p</w:t>
      </w:r>
      <w:r w:rsidR="005B08F1" w:rsidRPr="009E5E8D">
        <w:t>erspective</w:t>
      </w:r>
      <w:bookmarkEnd w:id="10"/>
    </w:p>
    <w:p w14:paraId="14706B4E" w14:textId="60433581" w:rsidR="005F6ED4" w:rsidRDefault="005F6ED4" w:rsidP="005F6ED4">
      <w:pPr>
        <w:rPr>
          <w:szCs w:val="22"/>
        </w:rPr>
      </w:pPr>
      <w:r w:rsidRPr="005F6ED4">
        <w:rPr>
          <w:szCs w:val="22"/>
        </w:rPr>
        <w:t xml:space="preserve">While PA processes are </w:t>
      </w:r>
      <w:r w:rsidR="00166153">
        <w:rPr>
          <w:szCs w:val="22"/>
        </w:rPr>
        <w:t>well-</w:t>
      </w:r>
      <w:r w:rsidR="0082003E">
        <w:rPr>
          <w:szCs w:val="22"/>
        </w:rPr>
        <w:t>meaning</w:t>
      </w:r>
      <w:r w:rsidR="00387845">
        <w:rPr>
          <w:szCs w:val="22"/>
        </w:rPr>
        <w:t xml:space="preserve"> for the </w:t>
      </w:r>
      <w:r w:rsidR="00D4345B">
        <w:rPr>
          <w:szCs w:val="22"/>
        </w:rPr>
        <w:t>health care</w:t>
      </w:r>
      <w:r w:rsidR="00387845">
        <w:rPr>
          <w:szCs w:val="22"/>
        </w:rPr>
        <w:t xml:space="preserve"> system</w:t>
      </w:r>
      <w:r w:rsidR="00166153">
        <w:rPr>
          <w:szCs w:val="22"/>
        </w:rPr>
        <w:t>,</w:t>
      </w:r>
      <w:r w:rsidRPr="005F6ED4">
        <w:rPr>
          <w:szCs w:val="22"/>
        </w:rPr>
        <w:t xml:space="preserve"> </w:t>
      </w:r>
      <w:proofErr w:type="gramStart"/>
      <w:r w:rsidRPr="005F6ED4">
        <w:rPr>
          <w:szCs w:val="22"/>
        </w:rPr>
        <w:t>the consumer</w:t>
      </w:r>
      <w:proofErr w:type="gramEnd"/>
      <w:r w:rsidRPr="005F6ED4">
        <w:rPr>
          <w:szCs w:val="22"/>
        </w:rPr>
        <w:t xml:space="preserve"> experience is often marred by inefficiency, care disruption, and adverse outcomes.</w:t>
      </w:r>
      <w:r w:rsidR="006F0E32">
        <w:rPr>
          <w:szCs w:val="22"/>
        </w:rPr>
        <w:t xml:space="preserve"> </w:t>
      </w:r>
    </w:p>
    <w:p w14:paraId="726A9AC5" w14:textId="145488AB" w:rsidR="00166153" w:rsidRDefault="00166153" w:rsidP="00C853F8">
      <w:pPr>
        <w:pStyle w:val="Heading3"/>
      </w:pPr>
      <w:bookmarkStart w:id="11" w:name="_Toc203655692"/>
      <w:r>
        <w:t>Disruptions in care</w:t>
      </w:r>
      <w:bookmarkEnd w:id="11"/>
    </w:p>
    <w:p w14:paraId="7277AB69" w14:textId="74EA1C35" w:rsidR="00166153" w:rsidRDefault="00F57C35" w:rsidP="00166153">
      <w:pPr>
        <w:rPr>
          <w:szCs w:val="22"/>
        </w:rPr>
      </w:pPr>
      <w:r>
        <w:rPr>
          <w:szCs w:val="22"/>
        </w:rPr>
        <w:t xml:space="preserve">According to a KFF survey, approximately </w:t>
      </w:r>
      <w:r w:rsidR="00696E50">
        <w:rPr>
          <w:szCs w:val="22"/>
        </w:rPr>
        <w:t>six</w:t>
      </w:r>
      <w:r>
        <w:rPr>
          <w:szCs w:val="22"/>
        </w:rPr>
        <w:t xml:space="preserve"> in 10 insured adults are not able to use their insurance without experiencing a problem.</w:t>
      </w:r>
      <w:r>
        <w:rPr>
          <w:rStyle w:val="FootnoteReference"/>
          <w:szCs w:val="22"/>
        </w:rPr>
        <w:footnoteReference w:id="6"/>
      </w:r>
      <w:r>
        <w:rPr>
          <w:szCs w:val="22"/>
        </w:rPr>
        <w:t xml:space="preserve">  Of those insured adults that report having an issue with using their insurance, 16% reported experiencing problems specifically with PA processes.</w:t>
      </w:r>
      <w:r>
        <w:rPr>
          <w:rStyle w:val="FootnoteReference"/>
          <w:szCs w:val="22"/>
        </w:rPr>
        <w:footnoteReference w:id="7"/>
      </w:r>
      <w:r>
        <w:rPr>
          <w:szCs w:val="22"/>
        </w:rPr>
        <w:t xml:space="preserve"> Additionally, a KFF analysis of CMS’ 2023 Transparency in Coverage data demonstrated that prior authorization accounted for </w:t>
      </w:r>
      <w:r w:rsidR="00D26AED">
        <w:rPr>
          <w:szCs w:val="22"/>
        </w:rPr>
        <w:t>9%</w:t>
      </w:r>
      <w:r>
        <w:rPr>
          <w:szCs w:val="22"/>
        </w:rPr>
        <w:t xml:space="preserve"> – more than six million - of in-network claim denials. Separately, </w:t>
      </w:r>
      <w:r w:rsidR="00166153" w:rsidRPr="005F6ED4">
        <w:rPr>
          <w:szCs w:val="22"/>
        </w:rPr>
        <w:t xml:space="preserve">a physician survey conducted by the AMA in 2023, </w:t>
      </w:r>
      <w:r w:rsidR="002B0951">
        <w:rPr>
          <w:szCs w:val="22"/>
        </w:rPr>
        <w:t xml:space="preserve">found that </w:t>
      </w:r>
      <w:r w:rsidR="00166153" w:rsidRPr="005F6ED4">
        <w:rPr>
          <w:szCs w:val="22"/>
        </w:rPr>
        <w:t xml:space="preserve">94% of the patients </w:t>
      </w:r>
      <w:r w:rsidR="00D4345B">
        <w:rPr>
          <w:szCs w:val="22"/>
        </w:rPr>
        <w:t>of participant</w:t>
      </w:r>
      <w:r w:rsidR="00166153" w:rsidRPr="005F6ED4">
        <w:rPr>
          <w:szCs w:val="22"/>
        </w:rPr>
        <w:t xml:space="preserve"> physicians experienced delays in care that they would not have otherwise experienced.</w:t>
      </w:r>
      <w:r w:rsidR="00166153" w:rsidRPr="005F6ED4">
        <w:rPr>
          <w:szCs w:val="22"/>
          <w:vertAlign w:val="superscript"/>
        </w:rPr>
        <w:footnoteReference w:id="8"/>
      </w:r>
      <w:r w:rsidR="006F0E32">
        <w:rPr>
          <w:szCs w:val="22"/>
        </w:rPr>
        <w:t xml:space="preserve"> </w:t>
      </w:r>
      <w:r w:rsidR="00166153" w:rsidRPr="005F6ED4">
        <w:rPr>
          <w:szCs w:val="22"/>
        </w:rPr>
        <w:t>Moreover, the same survey found that 78% of the patients abandoned treatment because of the PA processes.</w:t>
      </w:r>
      <w:r w:rsidR="00166153" w:rsidRPr="005F6ED4">
        <w:rPr>
          <w:szCs w:val="22"/>
          <w:vertAlign w:val="superscript"/>
        </w:rPr>
        <w:footnoteReference w:id="9"/>
      </w:r>
      <w:r w:rsidR="006F0E32">
        <w:rPr>
          <w:szCs w:val="22"/>
        </w:rPr>
        <w:t xml:space="preserve"> </w:t>
      </w:r>
      <w:r w:rsidR="00EF5BBA">
        <w:rPr>
          <w:szCs w:val="22"/>
        </w:rPr>
        <w:t xml:space="preserve">  </w:t>
      </w:r>
    </w:p>
    <w:p w14:paraId="522DBC76" w14:textId="77D7823F" w:rsidR="00A87979" w:rsidRDefault="009150FF" w:rsidP="009150FF">
      <w:pPr>
        <w:rPr>
          <w:szCs w:val="22"/>
        </w:rPr>
      </w:pPr>
      <w:r w:rsidRPr="005F6ED4">
        <w:rPr>
          <w:szCs w:val="22"/>
        </w:rPr>
        <w:t xml:space="preserve">Beyond driving individuals away from engaging with their </w:t>
      </w:r>
      <w:r w:rsidR="00357A4E">
        <w:rPr>
          <w:szCs w:val="22"/>
        </w:rPr>
        <w:t>providers</w:t>
      </w:r>
      <w:r w:rsidRPr="005F6ED4">
        <w:rPr>
          <w:szCs w:val="22"/>
        </w:rPr>
        <w:t>, onerous PA processes may also discourage individuals from seeking long-term treatment that may require multiple interactions with PA processes with different health care providers, different health insurers, or both.</w:t>
      </w:r>
      <w:r w:rsidR="006F0E32">
        <w:rPr>
          <w:szCs w:val="22"/>
        </w:rPr>
        <w:t xml:space="preserve"> </w:t>
      </w:r>
      <w:r w:rsidR="00264AE0">
        <w:rPr>
          <w:szCs w:val="22"/>
        </w:rPr>
        <w:t>When</w:t>
      </w:r>
      <w:r w:rsidR="00A87979" w:rsidRPr="005F6ED4">
        <w:rPr>
          <w:szCs w:val="22"/>
        </w:rPr>
        <w:t xml:space="preserve"> health insurers require </w:t>
      </w:r>
      <w:r w:rsidR="00A87979">
        <w:rPr>
          <w:szCs w:val="22"/>
        </w:rPr>
        <w:t>PA</w:t>
      </w:r>
      <w:r w:rsidR="00A87979" w:rsidRPr="005F6ED4">
        <w:rPr>
          <w:szCs w:val="22"/>
        </w:rPr>
        <w:t xml:space="preserve"> to be completed at certain intervals during </w:t>
      </w:r>
      <w:r w:rsidR="006F58DF">
        <w:rPr>
          <w:szCs w:val="22"/>
        </w:rPr>
        <w:t>ongoing</w:t>
      </w:r>
      <w:r w:rsidR="00A87979" w:rsidRPr="005F6ED4">
        <w:rPr>
          <w:szCs w:val="22"/>
        </w:rPr>
        <w:t xml:space="preserve"> treatment</w:t>
      </w:r>
      <w:r w:rsidR="00A87979">
        <w:rPr>
          <w:szCs w:val="22"/>
        </w:rPr>
        <w:t xml:space="preserve">, </w:t>
      </w:r>
      <w:r w:rsidR="006F58DF">
        <w:rPr>
          <w:szCs w:val="22"/>
        </w:rPr>
        <w:t>patients can experience undue stress and disruptions to their treatment and recovery</w:t>
      </w:r>
      <w:r w:rsidR="00264AE0">
        <w:rPr>
          <w:szCs w:val="22"/>
        </w:rPr>
        <w:t>.</w:t>
      </w:r>
    </w:p>
    <w:p w14:paraId="28D6B5A7" w14:textId="334AB729" w:rsidR="00203C9F" w:rsidRPr="005F6ED4" w:rsidRDefault="00A624AC" w:rsidP="00203C9F">
      <w:pPr>
        <w:pStyle w:val="Heading3"/>
      </w:pPr>
      <w:bookmarkStart w:id="12" w:name="_Toc203655693"/>
      <w:r>
        <w:t>Higher costs in the long run</w:t>
      </w:r>
      <w:bookmarkEnd w:id="12"/>
    </w:p>
    <w:p w14:paraId="33DC867B" w14:textId="0E19BD79" w:rsidR="00203C9F" w:rsidRDefault="00F00167" w:rsidP="00203C9F">
      <w:pPr>
        <w:rPr>
          <w:szCs w:val="22"/>
        </w:rPr>
      </w:pPr>
      <w:r>
        <w:rPr>
          <w:szCs w:val="22"/>
        </w:rPr>
        <w:t>F</w:t>
      </w:r>
      <w:r w:rsidR="008D4CA6" w:rsidRPr="005F6ED4">
        <w:rPr>
          <w:szCs w:val="22"/>
        </w:rPr>
        <w:t xml:space="preserve">ederal law prohibits plans from requiring </w:t>
      </w:r>
      <w:r w:rsidR="008D4CA6">
        <w:rPr>
          <w:szCs w:val="22"/>
        </w:rPr>
        <w:t>PA</w:t>
      </w:r>
      <w:r w:rsidR="008D4CA6" w:rsidRPr="005F6ED4">
        <w:rPr>
          <w:szCs w:val="22"/>
        </w:rPr>
        <w:t xml:space="preserve"> for coverage of emergency services</w:t>
      </w:r>
      <w:r>
        <w:rPr>
          <w:szCs w:val="22"/>
        </w:rPr>
        <w:t xml:space="preserve">. As a result, some </w:t>
      </w:r>
      <w:r w:rsidR="008D4CA6" w:rsidRPr="005F6ED4">
        <w:rPr>
          <w:szCs w:val="22"/>
        </w:rPr>
        <w:t xml:space="preserve">individuals </w:t>
      </w:r>
      <w:r>
        <w:rPr>
          <w:szCs w:val="22"/>
        </w:rPr>
        <w:t>seek</w:t>
      </w:r>
      <w:r w:rsidR="008D4CA6" w:rsidRPr="005F6ED4">
        <w:rPr>
          <w:szCs w:val="22"/>
        </w:rPr>
        <w:t xml:space="preserve"> care directly from an emergency room rather than engaging with their health insurer to help coordinate care prior to a medical issue becoming emergent. </w:t>
      </w:r>
      <w:r w:rsidR="00FB5A7D">
        <w:rPr>
          <w:szCs w:val="22"/>
        </w:rPr>
        <w:t xml:space="preserve">According to a survey from </w:t>
      </w:r>
      <w:r w:rsidR="006C62ED">
        <w:rPr>
          <w:szCs w:val="22"/>
        </w:rPr>
        <w:t xml:space="preserve">the </w:t>
      </w:r>
      <w:r w:rsidR="00FB5A7D">
        <w:rPr>
          <w:szCs w:val="22"/>
        </w:rPr>
        <w:t>AMA, i</w:t>
      </w:r>
      <w:r w:rsidR="007E08D9" w:rsidRPr="00152634">
        <w:rPr>
          <w:szCs w:val="22"/>
        </w:rPr>
        <w:t>n</w:t>
      </w:r>
      <w:r w:rsidR="007E08D9" w:rsidRPr="005F6ED4">
        <w:rPr>
          <w:szCs w:val="22"/>
        </w:rPr>
        <w:t xml:space="preserve">sured adults who received health care in an emergency room </w:t>
      </w:r>
      <w:r w:rsidR="00FB5A7D">
        <w:rPr>
          <w:szCs w:val="22"/>
        </w:rPr>
        <w:t>would have been</w:t>
      </w:r>
      <w:r w:rsidR="007E08D9" w:rsidRPr="005F6ED4">
        <w:rPr>
          <w:szCs w:val="22"/>
        </w:rPr>
        <w:t xml:space="preserve"> twice as likely to encounter PA problems </w:t>
      </w:r>
      <w:r w:rsidR="00960E19">
        <w:rPr>
          <w:szCs w:val="22"/>
        </w:rPr>
        <w:t>when</w:t>
      </w:r>
      <w:r w:rsidR="003E716F">
        <w:rPr>
          <w:szCs w:val="22"/>
        </w:rPr>
        <w:t xml:space="preserve"> trying to seek care in a non-emergency setting </w:t>
      </w:r>
      <w:r w:rsidR="007E08D9" w:rsidRPr="005F6ED4">
        <w:rPr>
          <w:szCs w:val="22"/>
        </w:rPr>
        <w:t>when compared to those who did not otherwise use the emergency room.</w:t>
      </w:r>
      <w:r w:rsidR="007E08D9" w:rsidRPr="005F6ED4">
        <w:rPr>
          <w:szCs w:val="22"/>
          <w:vertAlign w:val="superscript"/>
        </w:rPr>
        <w:footnoteReference w:id="10"/>
      </w:r>
      <w:r w:rsidR="007E08D9" w:rsidRPr="005F6ED4">
        <w:rPr>
          <w:szCs w:val="22"/>
        </w:rPr>
        <w:t xml:space="preserve"> </w:t>
      </w:r>
    </w:p>
    <w:p w14:paraId="3B6DE8A0" w14:textId="1F6D2E68" w:rsidR="00A624AC" w:rsidRPr="005F6ED4" w:rsidRDefault="00193871" w:rsidP="00203C9F">
      <w:pPr>
        <w:rPr>
          <w:szCs w:val="22"/>
        </w:rPr>
      </w:pPr>
      <w:r>
        <w:rPr>
          <w:szCs w:val="22"/>
        </w:rPr>
        <w:lastRenderedPageBreak/>
        <w:t>For those consumers who do seek care in an emergency room setting</w:t>
      </w:r>
      <w:r w:rsidR="003E716F">
        <w:rPr>
          <w:szCs w:val="22"/>
        </w:rPr>
        <w:t>, they will incur significant out-of-pocket costs that may otherwise be avoided by seeking care in non-emergency room settings.</w:t>
      </w:r>
      <w:r w:rsidR="003E716F">
        <w:rPr>
          <w:rStyle w:val="FootnoteReference"/>
          <w:szCs w:val="22"/>
        </w:rPr>
        <w:footnoteReference w:id="11"/>
      </w:r>
      <w:r w:rsidR="003E716F">
        <w:rPr>
          <w:szCs w:val="22"/>
        </w:rPr>
        <w:t xml:space="preserve"> For example, one study found that an insured spends $646 out-of-pocket on average for an emergency room visit.</w:t>
      </w:r>
      <w:r w:rsidR="003E716F">
        <w:rPr>
          <w:rStyle w:val="FootnoteReference"/>
          <w:szCs w:val="22"/>
        </w:rPr>
        <w:footnoteReference w:id="12"/>
      </w:r>
    </w:p>
    <w:p w14:paraId="0886D25C" w14:textId="32C2793E" w:rsidR="001F6A72" w:rsidRDefault="00587DCE" w:rsidP="001F6A72">
      <w:pPr>
        <w:pStyle w:val="Heading3"/>
      </w:pPr>
      <w:bookmarkStart w:id="13" w:name="_Toc203655694"/>
      <w:r>
        <w:t>Adverse and inequitable outcomes</w:t>
      </w:r>
      <w:bookmarkEnd w:id="13"/>
    </w:p>
    <w:p w14:paraId="4B948BC1" w14:textId="06E285C1" w:rsidR="004C3F9E" w:rsidRDefault="005F6ED4" w:rsidP="005F6ED4">
      <w:pPr>
        <w:rPr>
          <w:szCs w:val="22"/>
        </w:rPr>
      </w:pPr>
      <w:r w:rsidRPr="005F6ED4">
        <w:rPr>
          <w:szCs w:val="22"/>
        </w:rPr>
        <w:t xml:space="preserve">Within the overall insured population, certain </w:t>
      </w:r>
      <w:r w:rsidR="003B0446">
        <w:rPr>
          <w:szCs w:val="22"/>
        </w:rPr>
        <w:t>groups of people</w:t>
      </w:r>
      <w:r w:rsidRPr="005F6ED4">
        <w:rPr>
          <w:szCs w:val="22"/>
        </w:rPr>
        <w:t xml:space="preserve"> experience a disproportionate share of PA problems.</w:t>
      </w:r>
      <w:r w:rsidR="006F0E32">
        <w:rPr>
          <w:szCs w:val="22"/>
        </w:rPr>
        <w:t xml:space="preserve"> </w:t>
      </w:r>
      <w:r w:rsidRPr="005F6ED4">
        <w:rPr>
          <w:szCs w:val="22"/>
        </w:rPr>
        <w:t xml:space="preserve">For example, 31% of adults who </w:t>
      </w:r>
      <w:r w:rsidR="00DA2A7D">
        <w:rPr>
          <w:szCs w:val="22"/>
        </w:rPr>
        <w:t>use</w:t>
      </w:r>
      <w:r w:rsidRPr="005F6ED4">
        <w:rPr>
          <w:szCs w:val="22"/>
        </w:rPr>
        <w:t xml:space="preserve"> more health care services </w:t>
      </w:r>
      <w:r w:rsidR="00574D28">
        <w:rPr>
          <w:szCs w:val="22"/>
        </w:rPr>
        <w:t>(</w:t>
      </w:r>
      <w:r w:rsidRPr="005F6ED4">
        <w:rPr>
          <w:szCs w:val="22"/>
        </w:rPr>
        <w:t>defined as</w:t>
      </w:r>
      <w:r w:rsidR="00574D28">
        <w:rPr>
          <w:szCs w:val="22"/>
        </w:rPr>
        <w:t xml:space="preserve"> having</w:t>
      </w:r>
      <w:r w:rsidRPr="005F6ED4">
        <w:rPr>
          <w:szCs w:val="22"/>
        </w:rPr>
        <w:t xml:space="preserve"> more than 10 doctor visits a yea</w:t>
      </w:r>
      <w:r w:rsidR="00574D28">
        <w:rPr>
          <w:szCs w:val="22"/>
        </w:rPr>
        <w:t>r)</w:t>
      </w:r>
      <w:r w:rsidRPr="005F6ED4">
        <w:rPr>
          <w:szCs w:val="22"/>
        </w:rPr>
        <w:t xml:space="preserve"> experience difficulties navigating PA processes.</w:t>
      </w:r>
      <w:r w:rsidRPr="005F6ED4">
        <w:rPr>
          <w:szCs w:val="22"/>
          <w:vertAlign w:val="superscript"/>
        </w:rPr>
        <w:footnoteReference w:id="13"/>
      </w:r>
      <w:r w:rsidR="006F0E32">
        <w:rPr>
          <w:szCs w:val="22"/>
        </w:rPr>
        <w:t xml:space="preserve"> </w:t>
      </w:r>
      <w:r w:rsidR="001F6A72">
        <w:rPr>
          <w:szCs w:val="22"/>
        </w:rPr>
        <w:t>About a quarter (</w:t>
      </w:r>
      <w:r w:rsidRPr="005F6ED4">
        <w:rPr>
          <w:szCs w:val="22"/>
        </w:rPr>
        <w:t>26%</w:t>
      </w:r>
      <w:r w:rsidR="001F6A72">
        <w:rPr>
          <w:szCs w:val="22"/>
        </w:rPr>
        <w:t>)</w:t>
      </w:r>
      <w:r w:rsidRPr="005F6ED4">
        <w:rPr>
          <w:szCs w:val="22"/>
        </w:rPr>
        <w:t xml:space="preserve"> of individuals with mental health conditions who sought treatment or a prescription experienced problems or delays</w:t>
      </w:r>
      <w:r w:rsidR="003E716F">
        <w:rPr>
          <w:szCs w:val="22"/>
        </w:rPr>
        <w:t xml:space="preserve"> as a result of their difficulties navigating PA processes</w:t>
      </w:r>
      <w:r w:rsidRPr="005F6ED4">
        <w:rPr>
          <w:szCs w:val="22"/>
        </w:rPr>
        <w:t>.</w:t>
      </w:r>
      <w:r w:rsidRPr="005F6ED4">
        <w:rPr>
          <w:szCs w:val="22"/>
          <w:vertAlign w:val="superscript"/>
        </w:rPr>
        <w:footnoteReference w:id="14"/>
      </w:r>
      <w:r w:rsidRPr="005F6ED4">
        <w:rPr>
          <w:szCs w:val="22"/>
        </w:rPr>
        <w:t xml:space="preserve"> </w:t>
      </w:r>
      <w:r w:rsidR="004339D5">
        <w:rPr>
          <w:szCs w:val="22"/>
        </w:rPr>
        <w:t>Seeking medical care can be stressful, complicated, and expensive</w:t>
      </w:r>
      <w:r w:rsidR="00F1087A">
        <w:rPr>
          <w:szCs w:val="22"/>
        </w:rPr>
        <w:t>, and a</w:t>
      </w:r>
      <w:r w:rsidR="00387C13">
        <w:rPr>
          <w:szCs w:val="22"/>
        </w:rPr>
        <w:t xml:space="preserve">dding the burden of </w:t>
      </w:r>
      <w:r w:rsidR="004C3F9E">
        <w:rPr>
          <w:szCs w:val="22"/>
        </w:rPr>
        <w:t xml:space="preserve">PA processes </w:t>
      </w:r>
      <w:r w:rsidR="00387C13">
        <w:rPr>
          <w:szCs w:val="22"/>
        </w:rPr>
        <w:t>can be</w:t>
      </w:r>
      <w:r w:rsidR="004339D5">
        <w:rPr>
          <w:szCs w:val="22"/>
        </w:rPr>
        <w:t xml:space="preserve"> harmful</w:t>
      </w:r>
      <w:r w:rsidR="00F1087A">
        <w:rPr>
          <w:szCs w:val="22"/>
        </w:rPr>
        <w:t>. A</w:t>
      </w:r>
      <w:r w:rsidR="00387C13">
        <w:rPr>
          <w:szCs w:val="22"/>
        </w:rPr>
        <w:t>mong</w:t>
      </w:r>
      <w:r w:rsidR="004339D5" w:rsidRPr="005F6ED4">
        <w:rPr>
          <w:szCs w:val="22"/>
        </w:rPr>
        <w:t xml:space="preserve"> individuals </w:t>
      </w:r>
      <w:r w:rsidR="00387C13">
        <w:rPr>
          <w:szCs w:val="22"/>
        </w:rPr>
        <w:t>who rep</w:t>
      </w:r>
      <w:r w:rsidR="004339D5" w:rsidRPr="005F6ED4">
        <w:rPr>
          <w:szCs w:val="22"/>
        </w:rPr>
        <w:t>ort</w:t>
      </w:r>
      <w:r w:rsidR="00387C13">
        <w:rPr>
          <w:szCs w:val="22"/>
        </w:rPr>
        <w:t>ed</w:t>
      </w:r>
      <w:r w:rsidR="004339D5" w:rsidRPr="005F6ED4">
        <w:rPr>
          <w:szCs w:val="22"/>
        </w:rPr>
        <w:t xml:space="preserve"> problems with PA processes, they </w:t>
      </w:r>
      <w:r w:rsidR="00387C13">
        <w:rPr>
          <w:szCs w:val="22"/>
        </w:rPr>
        <w:t>were</w:t>
      </w:r>
      <w:r w:rsidR="004339D5" w:rsidRPr="005F6ED4">
        <w:rPr>
          <w:szCs w:val="22"/>
        </w:rPr>
        <w:t xml:space="preserve"> twice as likely </w:t>
      </w:r>
      <w:r w:rsidR="00387C13">
        <w:rPr>
          <w:szCs w:val="22"/>
        </w:rPr>
        <w:t>(than</w:t>
      </w:r>
      <w:r w:rsidR="00387C13" w:rsidRPr="005F6ED4">
        <w:rPr>
          <w:szCs w:val="22"/>
        </w:rPr>
        <w:t xml:space="preserve"> individuals who did not report experiencing</w:t>
      </w:r>
      <w:r w:rsidR="00387C13">
        <w:rPr>
          <w:szCs w:val="22"/>
        </w:rPr>
        <w:t xml:space="preserve"> issues with</w:t>
      </w:r>
      <w:r w:rsidR="00387C13" w:rsidRPr="005F6ED4">
        <w:rPr>
          <w:szCs w:val="22"/>
        </w:rPr>
        <w:t xml:space="preserve"> PA process</w:t>
      </w:r>
      <w:r w:rsidR="00387C13">
        <w:rPr>
          <w:szCs w:val="22"/>
        </w:rPr>
        <w:t>es)</w:t>
      </w:r>
      <w:r w:rsidR="00387C13" w:rsidRPr="005F6ED4">
        <w:rPr>
          <w:szCs w:val="22"/>
        </w:rPr>
        <w:t xml:space="preserve"> </w:t>
      </w:r>
      <w:r w:rsidR="004339D5" w:rsidRPr="005F6ED4">
        <w:rPr>
          <w:szCs w:val="22"/>
        </w:rPr>
        <w:t>to report that their health declined as a result.</w:t>
      </w:r>
      <w:r w:rsidR="004339D5" w:rsidRPr="005F6ED4">
        <w:rPr>
          <w:szCs w:val="22"/>
          <w:vertAlign w:val="superscript"/>
        </w:rPr>
        <w:footnoteReference w:id="15"/>
      </w:r>
    </w:p>
    <w:p w14:paraId="6F389886" w14:textId="4BE5172A" w:rsidR="005F6ED4" w:rsidRPr="005F6ED4" w:rsidRDefault="00D10369" w:rsidP="00D84323">
      <w:pPr>
        <w:pStyle w:val="Heading3"/>
      </w:pPr>
      <w:bookmarkStart w:id="14" w:name="_Toc203655695"/>
      <w:r>
        <w:t>The appeals process</w:t>
      </w:r>
      <w:bookmarkEnd w:id="14"/>
    </w:p>
    <w:p w14:paraId="581BCE11" w14:textId="746C5A08" w:rsidR="005F6ED4" w:rsidRPr="005F6ED4" w:rsidRDefault="005F6ED4" w:rsidP="005F6ED4">
      <w:pPr>
        <w:rPr>
          <w:szCs w:val="22"/>
        </w:rPr>
      </w:pPr>
      <w:r w:rsidRPr="005F6ED4">
        <w:rPr>
          <w:szCs w:val="22"/>
        </w:rPr>
        <w:t xml:space="preserve">It is important to note that </w:t>
      </w:r>
      <w:r w:rsidR="00834A36" w:rsidRPr="005F6ED4">
        <w:rPr>
          <w:szCs w:val="22"/>
        </w:rPr>
        <w:t>most</w:t>
      </w:r>
      <w:r w:rsidRPr="005F6ED4">
        <w:rPr>
          <w:szCs w:val="22"/>
        </w:rPr>
        <w:t xml:space="preserve"> </w:t>
      </w:r>
      <w:r w:rsidR="00A74AA3">
        <w:rPr>
          <w:szCs w:val="22"/>
        </w:rPr>
        <w:t>PA</w:t>
      </w:r>
      <w:r w:rsidRPr="005F6ED4">
        <w:rPr>
          <w:szCs w:val="22"/>
        </w:rPr>
        <w:t xml:space="preserve"> requests are approved.</w:t>
      </w:r>
      <w:r w:rsidR="006F0E32">
        <w:rPr>
          <w:szCs w:val="22"/>
        </w:rPr>
        <w:t xml:space="preserve"> </w:t>
      </w:r>
      <w:r w:rsidRPr="005F6ED4">
        <w:rPr>
          <w:szCs w:val="22"/>
        </w:rPr>
        <w:t xml:space="preserve">For example, for Medicare Advantage plans in 2023, 90% of </w:t>
      </w:r>
      <w:r w:rsidR="00A74AA3">
        <w:rPr>
          <w:szCs w:val="22"/>
        </w:rPr>
        <w:t>PA</w:t>
      </w:r>
      <w:r w:rsidRPr="005F6ED4">
        <w:rPr>
          <w:szCs w:val="22"/>
        </w:rPr>
        <w:t xml:space="preserve"> determinations were fully favorable.</w:t>
      </w:r>
      <w:r w:rsidRPr="005F6ED4">
        <w:rPr>
          <w:szCs w:val="22"/>
          <w:vertAlign w:val="superscript"/>
        </w:rPr>
        <w:footnoteReference w:id="16"/>
      </w:r>
      <w:r w:rsidR="006F0E32">
        <w:rPr>
          <w:szCs w:val="22"/>
        </w:rPr>
        <w:t xml:space="preserve"> </w:t>
      </w:r>
      <w:r w:rsidR="00995FD9">
        <w:rPr>
          <w:szCs w:val="22"/>
        </w:rPr>
        <w:t>In the event of a PA denial, there</w:t>
      </w:r>
      <w:r w:rsidRPr="005F6ED4">
        <w:rPr>
          <w:szCs w:val="22"/>
        </w:rPr>
        <w:t xml:space="preserve"> are mechanisms to appeal</w:t>
      </w:r>
      <w:r w:rsidR="007669A2">
        <w:rPr>
          <w:szCs w:val="22"/>
        </w:rPr>
        <w:t>. T</w:t>
      </w:r>
      <w:r w:rsidRPr="005F6ED4">
        <w:rPr>
          <w:szCs w:val="22"/>
        </w:rPr>
        <w:t>hese processes are often byzantine and difficult to access</w:t>
      </w:r>
      <w:r w:rsidR="007669A2">
        <w:rPr>
          <w:szCs w:val="22"/>
        </w:rPr>
        <w:t xml:space="preserve"> and</w:t>
      </w:r>
      <w:r w:rsidRPr="005F6ED4">
        <w:rPr>
          <w:szCs w:val="22"/>
        </w:rPr>
        <w:t xml:space="preserve"> </w:t>
      </w:r>
      <w:r w:rsidR="00FA46B6">
        <w:rPr>
          <w:szCs w:val="22"/>
        </w:rPr>
        <w:t xml:space="preserve">discourage </w:t>
      </w:r>
      <w:r w:rsidRPr="005F6ED4">
        <w:rPr>
          <w:szCs w:val="22"/>
        </w:rPr>
        <w:t>consumers who receive a denial</w:t>
      </w:r>
      <w:r w:rsidR="00FA46B6">
        <w:rPr>
          <w:szCs w:val="22"/>
        </w:rPr>
        <w:t xml:space="preserve"> from appealing</w:t>
      </w:r>
      <w:r w:rsidRPr="005F6ED4">
        <w:rPr>
          <w:szCs w:val="22"/>
        </w:rPr>
        <w:t xml:space="preserve">. </w:t>
      </w:r>
      <w:r w:rsidR="00D77A3F">
        <w:rPr>
          <w:szCs w:val="22"/>
        </w:rPr>
        <w:t>In Pennsylvania, for</w:t>
      </w:r>
      <w:r w:rsidR="00FA46B6">
        <w:rPr>
          <w:szCs w:val="22"/>
        </w:rPr>
        <w:t xml:space="preserve"> example, </w:t>
      </w:r>
      <w:r w:rsidR="00F93121">
        <w:rPr>
          <w:szCs w:val="22"/>
        </w:rPr>
        <w:t>of the 2,135,041</w:t>
      </w:r>
      <w:r w:rsidRPr="005F6ED4">
        <w:rPr>
          <w:szCs w:val="22"/>
        </w:rPr>
        <w:t xml:space="preserve"> claims denied by Qualified Health Plans in the</w:t>
      </w:r>
      <w:r w:rsidR="00D77A3F">
        <w:rPr>
          <w:szCs w:val="22"/>
        </w:rPr>
        <w:t xml:space="preserve"> state’s</w:t>
      </w:r>
      <w:r w:rsidRPr="005F6ED4">
        <w:rPr>
          <w:szCs w:val="22"/>
        </w:rPr>
        <w:t xml:space="preserve"> individual health insurance</w:t>
      </w:r>
      <w:r w:rsidR="000E25EE">
        <w:rPr>
          <w:szCs w:val="22"/>
        </w:rPr>
        <w:t xml:space="preserve"> market</w:t>
      </w:r>
      <w:r w:rsidR="00F93121">
        <w:rPr>
          <w:szCs w:val="22"/>
        </w:rPr>
        <w:t xml:space="preserve">, </w:t>
      </w:r>
      <w:r w:rsidR="000D6D0E">
        <w:rPr>
          <w:szCs w:val="22"/>
        </w:rPr>
        <w:t xml:space="preserve">just </w:t>
      </w:r>
      <w:r w:rsidRPr="005F6ED4">
        <w:rPr>
          <w:szCs w:val="22"/>
        </w:rPr>
        <w:t>3,156 internal appeals were filed.</w:t>
      </w:r>
      <w:r w:rsidR="006F0E32">
        <w:rPr>
          <w:szCs w:val="22"/>
        </w:rPr>
        <w:t xml:space="preserve"> </w:t>
      </w:r>
      <w:r w:rsidRPr="005F6ED4">
        <w:rPr>
          <w:szCs w:val="22"/>
        </w:rPr>
        <w:t xml:space="preserve">Of those internal appeals, </w:t>
      </w:r>
      <w:r w:rsidR="000D6D0E">
        <w:rPr>
          <w:szCs w:val="22"/>
        </w:rPr>
        <w:t>nearly half (48%)</w:t>
      </w:r>
      <w:r w:rsidRPr="005F6ED4">
        <w:rPr>
          <w:szCs w:val="22"/>
        </w:rPr>
        <w:t xml:space="preserve"> were overturned in favor of providing coverage for the requested service.</w:t>
      </w:r>
      <w:r w:rsidRPr="005F6ED4">
        <w:rPr>
          <w:szCs w:val="22"/>
          <w:vertAlign w:val="superscript"/>
        </w:rPr>
        <w:footnoteReference w:id="17"/>
      </w:r>
      <w:r w:rsidR="006F0E32">
        <w:rPr>
          <w:szCs w:val="22"/>
        </w:rPr>
        <w:t xml:space="preserve"> </w:t>
      </w:r>
      <w:r w:rsidR="003E716F">
        <w:rPr>
          <w:szCs w:val="22"/>
        </w:rPr>
        <w:t xml:space="preserve">The pattern is repeated at the national level. </w:t>
      </w:r>
      <w:r w:rsidRPr="005F6ED4">
        <w:rPr>
          <w:szCs w:val="22"/>
        </w:rPr>
        <w:t xml:space="preserve">Qualified Health Plans offering individual health insurance coverage through the Federally Facilitated Exchange in 2022 denied 69,315,868 claims. </w:t>
      </w:r>
      <w:r w:rsidR="00252935">
        <w:rPr>
          <w:szCs w:val="22"/>
        </w:rPr>
        <w:t xml:space="preserve">Less than one percent of those </w:t>
      </w:r>
      <w:r w:rsidR="00175999">
        <w:rPr>
          <w:szCs w:val="22"/>
        </w:rPr>
        <w:t>denials</w:t>
      </w:r>
      <w:r w:rsidR="00252935">
        <w:rPr>
          <w:szCs w:val="22"/>
        </w:rPr>
        <w:t xml:space="preserve"> </w:t>
      </w:r>
      <w:r w:rsidR="00DC03FD">
        <w:rPr>
          <w:szCs w:val="22"/>
        </w:rPr>
        <w:t>was</w:t>
      </w:r>
      <w:r w:rsidR="00252935">
        <w:rPr>
          <w:szCs w:val="22"/>
        </w:rPr>
        <w:t xml:space="preserve"> </w:t>
      </w:r>
      <w:r w:rsidR="00175999">
        <w:rPr>
          <w:szCs w:val="22"/>
        </w:rPr>
        <w:t>appealed</w:t>
      </w:r>
      <w:r w:rsidR="00855ED7">
        <w:rPr>
          <w:szCs w:val="22"/>
        </w:rPr>
        <w:t xml:space="preserve">, </w:t>
      </w:r>
      <w:r w:rsidR="007F16D3">
        <w:rPr>
          <w:szCs w:val="22"/>
        </w:rPr>
        <w:t>and</w:t>
      </w:r>
      <w:r w:rsidR="00855ED7">
        <w:rPr>
          <w:szCs w:val="22"/>
        </w:rPr>
        <w:t xml:space="preserve"> 42% of t</w:t>
      </w:r>
      <w:r w:rsidR="00252935">
        <w:rPr>
          <w:szCs w:val="22"/>
        </w:rPr>
        <w:t>he appeals filed</w:t>
      </w:r>
      <w:r w:rsidR="00855ED7">
        <w:rPr>
          <w:szCs w:val="22"/>
        </w:rPr>
        <w:t xml:space="preserve"> </w:t>
      </w:r>
      <w:r w:rsidR="000C7E14">
        <w:rPr>
          <w:szCs w:val="22"/>
        </w:rPr>
        <w:t>were overturned</w:t>
      </w:r>
      <w:r w:rsidRPr="005F6ED4">
        <w:rPr>
          <w:szCs w:val="22"/>
        </w:rPr>
        <w:t>.</w:t>
      </w:r>
      <w:r w:rsidRPr="005F6ED4">
        <w:rPr>
          <w:szCs w:val="22"/>
          <w:vertAlign w:val="superscript"/>
        </w:rPr>
        <w:footnoteReference w:id="18"/>
      </w:r>
      <w:r w:rsidR="004A1423">
        <w:rPr>
          <w:szCs w:val="22"/>
        </w:rPr>
        <w:t xml:space="preserve"> </w:t>
      </w:r>
      <w:r w:rsidRPr="005F6ED4">
        <w:rPr>
          <w:szCs w:val="22"/>
        </w:rPr>
        <w:t xml:space="preserve">Staking the availability of coverage for medical services on the ability to navigate administrative processes </w:t>
      </w:r>
      <w:r w:rsidR="00AB24C6">
        <w:rPr>
          <w:szCs w:val="22"/>
        </w:rPr>
        <w:t>can have</w:t>
      </w:r>
      <w:r w:rsidRPr="005F6ED4">
        <w:rPr>
          <w:szCs w:val="22"/>
        </w:rPr>
        <w:t xml:space="preserve"> negative impacts on health outcomes</w:t>
      </w:r>
      <w:r w:rsidR="00175999">
        <w:rPr>
          <w:szCs w:val="22"/>
        </w:rPr>
        <w:t>.</w:t>
      </w:r>
      <w:r w:rsidR="006F0E32">
        <w:rPr>
          <w:szCs w:val="22"/>
        </w:rPr>
        <w:t xml:space="preserve"> </w:t>
      </w:r>
    </w:p>
    <w:p w14:paraId="4C5BDE3C" w14:textId="219D0EBE" w:rsidR="002763BD" w:rsidRPr="009E5E8D" w:rsidRDefault="00C853F8" w:rsidP="00D84323">
      <w:pPr>
        <w:pStyle w:val="Heading2"/>
      </w:pPr>
      <w:bookmarkStart w:id="15" w:name="_Toc203655696"/>
      <w:r w:rsidRPr="00635011">
        <w:t>The i</w:t>
      </w:r>
      <w:r w:rsidR="002101F7" w:rsidRPr="00635011">
        <w:t xml:space="preserve">nsurer </w:t>
      </w:r>
      <w:r w:rsidRPr="00635011">
        <w:t>p</w:t>
      </w:r>
      <w:r w:rsidR="002101F7" w:rsidRPr="00635011">
        <w:t>erspective</w:t>
      </w:r>
      <w:bookmarkEnd w:id="15"/>
    </w:p>
    <w:p w14:paraId="3C774BC7" w14:textId="79F12F70" w:rsidR="00884DBC" w:rsidRPr="00884DBC" w:rsidRDefault="00884DBC" w:rsidP="00884DBC">
      <w:pPr>
        <w:rPr>
          <w:szCs w:val="22"/>
        </w:rPr>
      </w:pPr>
      <w:r w:rsidRPr="00884DBC">
        <w:rPr>
          <w:szCs w:val="22"/>
        </w:rPr>
        <w:t xml:space="preserve">From the </w:t>
      </w:r>
      <w:r w:rsidR="009C18FC">
        <w:rPr>
          <w:szCs w:val="22"/>
        </w:rPr>
        <w:t>insurer</w:t>
      </w:r>
      <w:r w:rsidRPr="00884DBC">
        <w:rPr>
          <w:szCs w:val="22"/>
        </w:rPr>
        <w:t xml:space="preserve"> perspective, the primary goals of </w:t>
      </w:r>
      <w:r w:rsidR="00A74AA3">
        <w:rPr>
          <w:szCs w:val="22"/>
        </w:rPr>
        <w:t>PA</w:t>
      </w:r>
      <w:r w:rsidRPr="00884DBC">
        <w:rPr>
          <w:szCs w:val="22"/>
        </w:rPr>
        <w:t xml:space="preserve"> include</w:t>
      </w:r>
      <w:r w:rsidR="00C84004">
        <w:rPr>
          <w:szCs w:val="22"/>
        </w:rPr>
        <w:t>:</w:t>
      </w:r>
    </w:p>
    <w:p w14:paraId="4CBC5035" w14:textId="77777777" w:rsidR="00884DBC" w:rsidRPr="00884DBC" w:rsidRDefault="00884DBC" w:rsidP="00884DBC">
      <w:pPr>
        <w:numPr>
          <w:ilvl w:val="0"/>
          <w:numId w:val="8"/>
        </w:numPr>
        <w:rPr>
          <w:szCs w:val="22"/>
        </w:rPr>
      </w:pPr>
      <w:r w:rsidRPr="00884DBC">
        <w:rPr>
          <w:szCs w:val="22"/>
        </w:rPr>
        <w:lastRenderedPageBreak/>
        <w:t>Flagging newer and better treatments for patients to improve the quality of care;</w:t>
      </w:r>
    </w:p>
    <w:p w14:paraId="6F5DEFB2" w14:textId="24562F00" w:rsidR="00884DBC" w:rsidRPr="00884DBC" w:rsidRDefault="00884DBC" w:rsidP="00884DBC">
      <w:pPr>
        <w:numPr>
          <w:ilvl w:val="0"/>
          <w:numId w:val="8"/>
        </w:numPr>
        <w:rPr>
          <w:szCs w:val="22"/>
        </w:rPr>
      </w:pPr>
      <w:r w:rsidRPr="00884DBC">
        <w:rPr>
          <w:szCs w:val="22"/>
        </w:rPr>
        <w:t>Preventing excessive, unnecessary, harmful or fraudulent</w:t>
      </w:r>
      <w:r w:rsidR="00EC30F9">
        <w:rPr>
          <w:szCs w:val="22"/>
        </w:rPr>
        <w:t xml:space="preserve"> health care</w:t>
      </w:r>
      <w:r w:rsidRPr="00884DBC">
        <w:rPr>
          <w:szCs w:val="22"/>
        </w:rPr>
        <w:t xml:space="preserve"> utilization; and</w:t>
      </w:r>
    </w:p>
    <w:p w14:paraId="01C175D5" w14:textId="77777777" w:rsidR="00884DBC" w:rsidRPr="00884DBC" w:rsidRDefault="00884DBC" w:rsidP="00884DBC">
      <w:pPr>
        <w:numPr>
          <w:ilvl w:val="0"/>
          <w:numId w:val="8"/>
        </w:numPr>
        <w:rPr>
          <w:szCs w:val="22"/>
        </w:rPr>
      </w:pPr>
      <w:r w:rsidRPr="00884DBC">
        <w:rPr>
          <w:szCs w:val="22"/>
        </w:rPr>
        <w:t>Containing claims costs.</w:t>
      </w:r>
    </w:p>
    <w:p w14:paraId="33B8399D" w14:textId="77777777" w:rsidR="001959E0" w:rsidRDefault="001959E0" w:rsidP="001959E0">
      <w:pPr>
        <w:pStyle w:val="Heading3"/>
      </w:pPr>
      <w:bookmarkStart w:id="16" w:name="_Toc203655697"/>
      <w:r>
        <w:t>Patient Safety</w:t>
      </w:r>
      <w:bookmarkEnd w:id="16"/>
    </w:p>
    <w:p w14:paraId="394D1196" w14:textId="4C22E3F0" w:rsidR="00884DBC" w:rsidRPr="00884DBC" w:rsidRDefault="00725A6B" w:rsidP="00884DBC">
      <w:pPr>
        <w:rPr>
          <w:szCs w:val="22"/>
        </w:rPr>
      </w:pPr>
      <w:r>
        <w:rPr>
          <w:szCs w:val="22"/>
        </w:rPr>
        <w:t xml:space="preserve">Health insurers often cite </w:t>
      </w:r>
      <w:r w:rsidR="00884DBC" w:rsidRPr="00884DBC">
        <w:rPr>
          <w:szCs w:val="22"/>
        </w:rPr>
        <w:t>examples of clearly harmful activity by providers, such as providing inappropriate cancer treatments to patients who may not even suffer from cancer</w:t>
      </w:r>
      <w:r>
        <w:rPr>
          <w:szCs w:val="22"/>
        </w:rPr>
        <w:t xml:space="preserve">, </w:t>
      </w:r>
      <w:r w:rsidR="00885111">
        <w:rPr>
          <w:szCs w:val="22"/>
        </w:rPr>
        <w:t>to demonstrate how PA supports patient safety</w:t>
      </w:r>
      <w:r w:rsidR="00884DBC" w:rsidRPr="00884DBC">
        <w:rPr>
          <w:szCs w:val="22"/>
        </w:rPr>
        <w:t>.</w:t>
      </w:r>
      <w:r w:rsidR="00884DBC" w:rsidRPr="00884DBC">
        <w:rPr>
          <w:szCs w:val="22"/>
          <w:vertAlign w:val="superscript"/>
        </w:rPr>
        <w:footnoteReference w:id="19"/>
      </w:r>
      <w:r w:rsidR="00884DBC" w:rsidRPr="00884DBC">
        <w:rPr>
          <w:szCs w:val="22"/>
        </w:rPr>
        <w:t xml:space="preserve"> It is difficult to determine how frequently these forms of consumer harm are prevented by </w:t>
      </w:r>
      <w:r w:rsidR="00A74AA3">
        <w:rPr>
          <w:szCs w:val="22"/>
        </w:rPr>
        <w:t>PA</w:t>
      </w:r>
      <w:r w:rsidR="00884DBC" w:rsidRPr="00884DBC">
        <w:rPr>
          <w:szCs w:val="22"/>
        </w:rPr>
        <w:t>, but there is no reason to doubt that such harms are a legitimate concern.</w:t>
      </w:r>
    </w:p>
    <w:p w14:paraId="5610E824" w14:textId="77777777" w:rsidR="001959E0" w:rsidRPr="00884DBC" w:rsidRDefault="001959E0" w:rsidP="001959E0">
      <w:pPr>
        <w:pStyle w:val="Heading3"/>
      </w:pPr>
      <w:bookmarkStart w:id="17" w:name="_Toc203655698"/>
      <w:r>
        <w:t>Cost containment</w:t>
      </w:r>
      <w:bookmarkEnd w:id="17"/>
    </w:p>
    <w:p w14:paraId="048A94EE" w14:textId="29833A95" w:rsidR="00DB316C" w:rsidRPr="00884DBC" w:rsidRDefault="008845B6" w:rsidP="00DB316C">
      <w:pPr>
        <w:rPr>
          <w:szCs w:val="22"/>
        </w:rPr>
      </w:pPr>
      <w:r>
        <w:rPr>
          <w:szCs w:val="22"/>
        </w:rPr>
        <w:t>I</w:t>
      </w:r>
      <w:r w:rsidR="008A76D6">
        <w:rPr>
          <w:szCs w:val="22"/>
        </w:rPr>
        <w:t>nsurers claim that PA prevents the use of</w:t>
      </w:r>
      <w:r w:rsidR="00884DBC" w:rsidRPr="00884DBC">
        <w:rPr>
          <w:szCs w:val="22"/>
        </w:rPr>
        <w:t xml:space="preserve"> low-value health care service</w:t>
      </w:r>
      <w:r w:rsidR="008A76D6">
        <w:rPr>
          <w:szCs w:val="22"/>
        </w:rPr>
        <w:t xml:space="preserve">s, saving </w:t>
      </w:r>
      <w:proofErr w:type="gramStart"/>
      <w:r w:rsidR="00884DBC" w:rsidRPr="00884DBC">
        <w:rPr>
          <w:szCs w:val="22"/>
        </w:rPr>
        <w:t>insurer</w:t>
      </w:r>
      <w:proofErr w:type="gramEnd"/>
      <w:r w:rsidR="00884DBC" w:rsidRPr="00884DBC">
        <w:rPr>
          <w:szCs w:val="22"/>
        </w:rPr>
        <w:t xml:space="preserve"> and member dollars without adverse health consequences.</w:t>
      </w:r>
      <w:r w:rsidR="00884DBC" w:rsidRPr="00884DBC">
        <w:rPr>
          <w:szCs w:val="22"/>
          <w:vertAlign w:val="superscript"/>
        </w:rPr>
        <w:footnoteReference w:id="20"/>
      </w:r>
      <w:r w:rsidR="00884DBC" w:rsidRPr="00884DBC">
        <w:rPr>
          <w:szCs w:val="22"/>
        </w:rPr>
        <w:t xml:space="preserve"> </w:t>
      </w:r>
      <w:r w:rsidR="00596D1F">
        <w:rPr>
          <w:szCs w:val="22"/>
        </w:rPr>
        <w:t>While</w:t>
      </w:r>
      <w:r w:rsidR="00884DBC" w:rsidRPr="00884DBC">
        <w:rPr>
          <w:szCs w:val="22"/>
        </w:rPr>
        <w:t xml:space="preserve"> the research on the value proposition of health care services may be clear</w:t>
      </w:r>
      <w:r w:rsidR="00596D1F">
        <w:rPr>
          <w:szCs w:val="22"/>
        </w:rPr>
        <w:t xml:space="preserve"> in some cases</w:t>
      </w:r>
      <w:r w:rsidR="00884DBC" w:rsidRPr="00884DBC">
        <w:rPr>
          <w:szCs w:val="22"/>
        </w:rPr>
        <w:t>, it is disputed</w:t>
      </w:r>
      <w:r w:rsidR="00596D1F">
        <w:rPr>
          <w:szCs w:val="22"/>
        </w:rPr>
        <w:t xml:space="preserve"> in others. E</w:t>
      </w:r>
      <w:r w:rsidR="00884DBC" w:rsidRPr="00884DBC">
        <w:rPr>
          <w:szCs w:val="22"/>
        </w:rPr>
        <w:t>specially for newer modes of treatment that may lack a large evidence base</w:t>
      </w:r>
      <w:r w:rsidR="00596D1F">
        <w:rPr>
          <w:szCs w:val="22"/>
        </w:rPr>
        <w:t xml:space="preserve">. This </w:t>
      </w:r>
      <w:r w:rsidR="00884DBC" w:rsidRPr="00884DBC">
        <w:rPr>
          <w:szCs w:val="22"/>
        </w:rPr>
        <w:t>can lead to disputes, appeals and complaints to regulators.</w:t>
      </w:r>
      <w:r w:rsidR="00DB316C" w:rsidRPr="00DB316C">
        <w:rPr>
          <w:szCs w:val="22"/>
        </w:rPr>
        <w:t xml:space="preserve"> </w:t>
      </w:r>
      <w:r w:rsidR="00DB316C" w:rsidRPr="00884DBC">
        <w:rPr>
          <w:szCs w:val="22"/>
        </w:rPr>
        <w:t xml:space="preserve">There is not yet definitive research to determine the overall economic value of </w:t>
      </w:r>
      <w:r w:rsidR="00DB316C">
        <w:rPr>
          <w:szCs w:val="22"/>
        </w:rPr>
        <w:t>PA</w:t>
      </w:r>
      <w:r w:rsidR="00DB316C" w:rsidRPr="00884DBC">
        <w:rPr>
          <w:szCs w:val="22"/>
        </w:rPr>
        <w:t xml:space="preserve"> for </w:t>
      </w:r>
      <w:r w:rsidR="00BC183E">
        <w:rPr>
          <w:szCs w:val="22"/>
        </w:rPr>
        <w:t>insurers</w:t>
      </w:r>
      <w:r w:rsidR="00DB316C" w:rsidRPr="00884DBC">
        <w:rPr>
          <w:szCs w:val="22"/>
        </w:rPr>
        <w:t xml:space="preserve">. However, </w:t>
      </w:r>
      <w:r w:rsidR="009C18FC">
        <w:rPr>
          <w:szCs w:val="22"/>
        </w:rPr>
        <w:t>insurer</w:t>
      </w:r>
      <w:r w:rsidR="00DB316C" w:rsidRPr="00884DBC">
        <w:rPr>
          <w:szCs w:val="22"/>
        </w:rPr>
        <w:t xml:space="preserve"> representatives consistently articulate the centrality of </w:t>
      </w:r>
      <w:r w:rsidR="00DB316C">
        <w:rPr>
          <w:szCs w:val="22"/>
        </w:rPr>
        <w:t>PA</w:t>
      </w:r>
      <w:r w:rsidR="00DB316C" w:rsidRPr="00884DBC">
        <w:rPr>
          <w:szCs w:val="22"/>
        </w:rPr>
        <w:t xml:space="preserve"> for their efforts to contain costs and improve quality of care.</w:t>
      </w:r>
    </w:p>
    <w:p w14:paraId="00DD3628" w14:textId="3D2F4944" w:rsidR="00CF25EE" w:rsidRPr="00884DBC" w:rsidRDefault="00CF25EE" w:rsidP="00CF25EE">
      <w:pPr>
        <w:rPr>
          <w:szCs w:val="22"/>
        </w:rPr>
      </w:pPr>
      <w:r w:rsidRPr="00884DBC">
        <w:rPr>
          <w:szCs w:val="22"/>
        </w:rPr>
        <w:t xml:space="preserve">The potential cost containment benefits of </w:t>
      </w:r>
      <w:r>
        <w:rPr>
          <w:szCs w:val="22"/>
        </w:rPr>
        <w:t>PA</w:t>
      </w:r>
      <w:r w:rsidRPr="00884DBC">
        <w:rPr>
          <w:szCs w:val="22"/>
        </w:rPr>
        <w:t xml:space="preserve"> may be particularly important in the context of the Affordable Care Act’s</w:t>
      </w:r>
      <w:r w:rsidR="00231834">
        <w:rPr>
          <w:szCs w:val="22"/>
        </w:rPr>
        <w:t xml:space="preserve"> (ACA)</w:t>
      </w:r>
      <w:r w:rsidRPr="00884DBC">
        <w:rPr>
          <w:szCs w:val="22"/>
        </w:rPr>
        <w:t xml:space="preserve"> insurance reforms. Core ACA provisions such as guaranteed </w:t>
      </w:r>
      <w:proofErr w:type="gramStart"/>
      <w:r w:rsidRPr="00884DBC">
        <w:rPr>
          <w:szCs w:val="22"/>
        </w:rPr>
        <w:t>issue</w:t>
      </w:r>
      <w:proofErr w:type="gramEnd"/>
      <w:r w:rsidRPr="00884DBC">
        <w:rPr>
          <w:szCs w:val="22"/>
        </w:rPr>
        <w:t xml:space="preserve">, community rating and prohibitions on pre-existing condition exclusions provide important consumer </w:t>
      </w:r>
      <w:proofErr w:type="gramStart"/>
      <w:r w:rsidRPr="00884DBC">
        <w:rPr>
          <w:szCs w:val="22"/>
        </w:rPr>
        <w:t>protections</w:t>
      </w:r>
      <w:proofErr w:type="gramEnd"/>
      <w:r w:rsidRPr="00884DBC">
        <w:rPr>
          <w:szCs w:val="22"/>
        </w:rPr>
        <w:t xml:space="preserve"> but also leave </w:t>
      </w:r>
      <w:r w:rsidR="009C18FC">
        <w:rPr>
          <w:szCs w:val="22"/>
        </w:rPr>
        <w:t>insurer</w:t>
      </w:r>
      <w:r w:rsidRPr="00884DBC">
        <w:rPr>
          <w:szCs w:val="22"/>
        </w:rPr>
        <w:t xml:space="preserve">s on the hook for higher health care costs. In this context, it may be unsurprising that </w:t>
      </w:r>
      <w:r>
        <w:rPr>
          <w:szCs w:val="22"/>
        </w:rPr>
        <w:t>PA</w:t>
      </w:r>
      <w:r w:rsidRPr="00884DBC">
        <w:rPr>
          <w:szCs w:val="22"/>
        </w:rPr>
        <w:t xml:space="preserve"> requirements appear to be on rise in recent years, as they may represent one of the few tools remaining for insurers to contain costs, which in turn can help keep premiums and out-of-pocket costs in check</w:t>
      </w:r>
      <w:r w:rsidR="00231834">
        <w:rPr>
          <w:szCs w:val="22"/>
        </w:rPr>
        <w:t>.</w:t>
      </w:r>
    </w:p>
    <w:p w14:paraId="0DAC16C3" w14:textId="380DB5ED" w:rsidR="00CF25EE" w:rsidRPr="00884DBC" w:rsidRDefault="00CF25EE" w:rsidP="00CF25EE">
      <w:pPr>
        <w:pStyle w:val="Heading3"/>
      </w:pPr>
      <w:bookmarkStart w:id="18" w:name="_Toc203655699"/>
      <w:r>
        <w:t>Friction with providers and members</w:t>
      </w:r>
      <w:bookmarkEnd w:id="18"/>
    </w:p>
    <w:p w14:paraId="4D07B8DC" w14:textId="5A1A8DAB" w:rsidR="00884DBC" w:rsidRPr="00884DBC" w:rsidRDefault="00884DBC" w:rsidP="00884DBC">
      <w:pPr>
        <w:rPr>
          <w:szCs w:val="22"/>
        </w:rPr>
      </w:pPr>
      <w:r w:rsidRPr="00884DBC">
        <w:rPr>
          <w:szCs w:val="22"/>
        </w:rPr>
        <w:t xml:space="preserve">For </w:t>
      </w:r>
      <w:r w:rsidR="009C18FC">
        <w:rPr>
          <w:szCs w:val="22"/>
        </w:rPr>
        <w:t>insurer</w:t>
      </w:r>
      <w:r w:rsidRPr="00884DBC">
        <w:rPr>
          <w:szCs w:val="22"/>
        </w:rPr>
        <w:t xml:space="preserve">s, </w:t>
      </w:r>
      <w:r w:rsidR="006247C7">
        <w:rPr>
          <w:szCs w:val="22"/>
        </w:rPr>
        <w:t>the</w:t>
      </w:r>
      <w:r w:rsidRPr="00884DBC">
        <w:rPr>
          <w:szCs w:val="22"/>
        </w:rPr>
        <w:t xml:space="preserve"> benefits</w:t>
      </w:r>
      <w:r w:rsidR="006247C7">
        <w:rPr>
          <w:szCs w:val="22"/>
        </w:rPr>
        <w:t xml:space="preserve"> of PA</w:t>
      </w:r>
      <w:r w:rsidRPr="00884DBC">
        <w:rPr>
          <w:szCs w:val="22"/>
        </w:rPr>
        <w:t xml:space="preserve"> must be weighed against the administrative costs and burdens of administering a </w:t>
      </w:r>
      <w:r w:rsidR="00A74AA3">
        <w:rPr>
          <w:szCs w:val="22"/>
        </w:rPr>
        <w:t>PA</w:t>
      </w:r>
      <w:r w:rsidRPr="00884DBC">
        <w:rPr>
          <w:szCs w:val="22"/>
        </w:rPr>
        <w:t xml:space="preserve"> program and the potential for friction and conflict with health care providers and members. This friction may result from issues including potential reductions in provider time available for patient care, provider resentment, patient frustration, and poorer quality outcomes due to delayed or abandoned care.</w:t>
      </w:r>
    </w:p>
    <w:p w14:paraId="42B17C80" w14:textId="77777777" w:rsidR="00652C2F" w:rsidRPr="00884DBC" w:rsidRDefault="00652C2F" w:rsidP="00652C2F">
      <w:pPr>
        <w:pStyle w:val="Heading3"/>
      </w:pPr>
      <w:bookmarkStart w:id="19" w:name="_Toc203655700"/>
      <w:r w:rsidRPr="00884DBC">
        <w:t xml:space="preserve">Electronic </w:t>
      </w:r>
      <w:r>
        <w:t>prior authorization</w:t>
      </w:r>
      <w:bookmarkEnd w:id="19"/>
    </w:p>
    <w:p w14:paraId="2E020F78" w14:textId="3799F214" w:rsidR="00652C2F" w:rsidRPr="00884DBC" w:rsidRDefault="00652C2F" w:rsidP="00652C2F">
      <w:pPr>
        <w:rPr>
          <w:szCs w:val="22"/>
        </w:rPr>
      </w:pPr>
      <w:r w:rsidRPr="00884DBC">
        <w:rPr>
          <w:szCs w:val="22"/>
        </w:rPr>
        <w:t xml:space="preserve">Health insurance carriers have been broadly supportive of moving away from manual and “paper” processes for </w:t>
      </w:r>
      <w:r>
        <w:rPr>
          <w:szCs w:val="22"/>
        </w:rPr>
        <w:t>PA</w:t>
      </w:r>
      <w:r w:rsidRPr="00884DBC">
        <w:rPr>
          <w:szCs w:val="22"/>
        </w:rPr>
        <w:t xml:space="preserve"> and toward more uniform electronic submission standards. For example, carriers </w:t>
      </w:r>
      <w:r w:rsidRPr="00884DBC">
        <w:rPr>
          <w:szCs w:val="22"/>
        </w:rPr>
        <w:lastRenderedPageBreak/>
        <w:t xml:space="preserve">supported federal adoption of a rule on </w:t>
      </w:r>
      <w:hyperlink w:anchor="_The_federal_government" w:history="1">
        <w:r w:rsidRPr="008E22E9">
          <w:rPr>
            <w:rStyle w:val="Hyperlink"/>
            <w:szCs w:val="22"/>
          </w:rPr>
          <w:t>PA interoperability in 2024</w:t>
        </w:r>
      </w:hyperlink>
      <w:r w:rsidRPr="00884DBC">
        <w:rPr>
          <w:szCs w:val="22"/>
        </w:rPr>
        <w:t>.</w:t>
      </w:r>
      <w:r w:rsidRPr="00884DBC">
        <w:rPr>
          <w:szCs w:val="22"/>
          <w:vertAlign w:val="superscript"/>
        </w:rPr>
        <w:footnoteReference w:id="21"/>
      </w:r>
      <w:r w:rsidRPr="00884DBC">
        <w:rPr>
          <w:szCs w:val="22"/>
        </w:rPr>
        <w:t xml:space="preserve"> Carrier advocates have typically argued that state activity in this area should focus on aligning state requirements for insurers with these federal rules, </w:t>
      </w:r>
      <w:r w:rsidR="00FE6EC0">
        <w:rPr>
          <w:szCs w:val="22"/>
        </w:rPr>
        <w:t>and</w:t>
      </w:r>
      <w:r w:rsidRPr="00884DBC">
        <w:rPr>
          <w:szCs w:val="22"/>
        </w:rPr>
        <w:t xml:space="preserve"> that states should consider more proactively implementing requirements for health care providers.</w:t>
      </w:r>
      <w:r w:rsidRPr="00884DBC">
        <w:rPr>
          <w:szCs w:val="22"/>
          <w:vertAlign w:val="superscript"/>
        </w:rPr>
        <w:footnoteReference w:id="22"/>
      </w:r>
      <w:r w:rsidRPr="00884DBC">
        <w:rPr>
          <w:szCs w:val="22"/>
        </w:rPr>
        <w:t xml:space="preserve"> Carrier</w:t>
      </w:r>
      <w:r w:rsidR="0099502C">
        <w:rPr>
          <w:szCs w:val="22"/>
        </w:rPr>
        <w:t xml:space="preserve">s </w:t>
      </w:r>
      <w:r w:rsidRPr="00884DBC">
        <w:rPr>
          <w:szCs w:val="22"/>
        </w:rPr>
        <w:t xml:space="preserve">have suggested that more rapid </w:t>
      </w:r>
      <w:r w:rsidR="0099502C">
        <w:rPr>
          <w:szCs w:val="22"/>
        </w:rPr>
        <w:t xml:space="preserve">adoption </w:t>
      </w:r>
      <w:r w:rsidRPr="00884DBC">
        <w:rPr>
          <w:szCs w:val="22"/>
        </w:rPr>
        <w:t xml:space="preserve">and effective implementation of electronic </w:t>
      </w:r>
      <w:r>
        <w:rPr>
          <w:szCs w:val="22"/>
        </w:rPr>
        <w:t>PA</w:t>
      </w:r>
      <w:r w:rsidRPr="00884DBC">
        <w:rPr>
          <w:szCs w:val="22"/>
        </w:rPr>
        <w:t xml:space="preserve"> on the part of health care providers </w:t>
      </w:r>
      <w:r w:rsidR="0099502C">
        <w:rPr>
          <w:szCs w:val="22"/>
        </w:rPr>
        <w:t>can</w:t>
      </w:r>
      <w:r w:rsidRPr="00884DBC">
        <w:rPr>
          <w:szCs w:val="22"/>
        </w:rPr>
        <w:t xml:space="preserve"> resolve some of their</w:t>
      </w:r>
      <w:r w:rsidR="00E14ED9">
        <w:rPr>
          <w:szCs w:val="22"/>
        </w:rPr>
        <w:t xml:space="preserve"> concerns about</w:t>
      </w:r>
      <w:r w:rsidRPr="00884DBC">
        <w:rPr>
          <w:szCs w:val="22"/>
        </w:rPr>
        <w:t xml:space="preserve"> administrative burden</w:t>
      </w:r>
      <w:r w:rsidR="00E14ED9">
        <w:rPr>
          <w:szCs w:val="22"/>
        </w:rPr>
        <w:t>s</w:t>
      </w:r>
      <w:r w:rsidRPr="00884DBC">
        <w:rPr>
          <w:szCs w:val="22"/>
        </w:rPr>
        <w:t>.</w:t>
      </w:r>
    </w:p>
    <w:p w14:paraId="46CA2238" w14:textId="326BEFD2" w:rsidR="00884DBC" w:rsidRPr="00884DBC" w:rsidRDefault="00884DBC" w:rsidP="00A742FC">
      <w:pPr>
        <w:pStyle w:val="Heading3"/>
      </w:pPr>
      <w:bookmarkStart w:id="20" w:name="_Toc203655701"/>
      <w:r w:rsidRPr="00884DBC">
        <w:t>Selective use</w:t>
      </w:r>
      <w:bookmarkEnd w:id="20"/>
    </w:p>
    <w:p w14:paraId="49633700" w14:textId="085D029C" w:rsidR="00884DBC" w:rsidRPr="00884DBC" w:rsidRDefault="007366D0" w:rsidP="00884DBC">
      <w:pPr>
        <w:rPr>
          <w:szCs w:val="22"/>
        </w:rPr>
      </w:pPr>
      <w:r>
        <w:rPr>
          <w:szCs w:val="22"/>
        </w:rPr>
        <w:t xml:space="preserve">Selective use, also called </w:t>
      </w:r>
      <w:hyperlink w:anchor="_Gold_carding_1" w:history="1">
        <w:r w:rsidRPr="007366D0">
          <w:rPr>
            <w:rStyle w:val="Hyperlink"/>
            <w:szCs w:val="22"/>
          </w:rPr>
          <w:t>gold carding</w:t>
        </w:r>
      </w:hyperlink>
      <w:r>
        <w:rPr>
          <w:szCs w:val="22"/>
        </w:rPr>
        <w:t>,</w:t>
      </w:r>
      <w:r w:rsidR="00884DBC" w:rsidRPr="00884DBC">
        <w:rPr>
          <w:szCs w:val="22"/>
        </w:rPr>
        <w:t xml:space="preserve"> means applying different </w:t>
      </w:r>
      <w:r w:rsidR="00A74AA3">
        <w:rPr>
          <w:szCs w:val="22"/>
        </w:rPr>
        <w:t>PA</w:t>
      </w:r>
      <w:r w:rsidR="00884DBC" w:rsidRPr="00884DBC">
        <w:rPr>
          <w:szCs w:val="22"/>
        </w:rPr>
        <w:t xml:space="preserve"> processes and expectations based on provider performance.</w:t>
      </w:r>
      <w:r w:rsidR="00884DBC" w:rsidRPr="00884DBC">
        <w:rPr>
          <w:szCs w:val="22"/>
          <w:vertAlign w:val="superscript"/>
        </w:rPr>
        <w:footnoteReference w:id="23"/>
      </w:r>
      <w:r w:rsidR="00884DBC" w:rsidRPr="00884DBC">
        <w:rPr>
          <w:szCs w:val="22"/>
        </w:rPr>
        <w:t xml:space="preserve"> </w:t>
      </w:r>
      <w:r w:rsidR="00A742FC">
        <w:rPr>
          <w:szCs w:val="22"/>
        </w:rPr>
        <w:t>H</w:t>
      </w:r>
      <w:r w:rsidR="00884DBC" w:rsidRPr="00884DBC">
        <w:rPr>
          <w:szCs w:val="22"/>
        </w:rPr>
        <w:t xml:space="preserve">ealth insurers have typically opposed statutory or regulatory mandates in the area of selective use, preferring to be permitted the flexibility to explore a range of options to strike a favorable balance between administrative simplification, patient protection and cost containment. However, many health insurers </w:t>
      </w:r>
      <w:r w:rsidR="0005400E" w:rsidRPr="00884DBC">
        <w:rPr>
          <w:szCs w:val="22"/>
        </w:rPr>
        <w:t>voluntarily</w:t>
      </w:r>
      <w:r w:rsidR="00884DBC" w:rsidRPr="00884DBC">
        <w:rPr>
          <w:szCs w:val="22"/>
        </w:rPr>
        <w:t xml:space="preserve"> apply selective use policies as part of their </w:t>
      </w:r>
      <w:r w:rsidR="00A74AA3">
        <w:rPr>
          <w:szCs w:val="22"/>
        </w:rPr>
        <w:t>PA</w:t>
      </w:r>
      <w:r w:rsidR="00884DBC" w:rsidRPr="00884DBC">
        <w:rPr>
          <w:szCs w:val="22"/>
        </w:rPr>
        <w:t xml:space="preserve"> programs.</w:t>
      </w:r>
    </w:p>
    <w:p w14:paraId="402CFB28" w14:textId="4305BF29" w:rsidR="00884DBC" w:rsidRPr="00884DBC" w:rsidRDefault="000B48C5" w:rsidP="00A742FC">
      <w:pPr>
        <w:pStyle w:val="Heading3"/>
      </w:pPr>
      <w:bookmarkStart w:id="21" w:name="_Toc203655702"/>
      <w:r>
        <w:t>Questions regarding the evidence base</w:t>
      </w:r>
      <w:bookmarkEnd w:id="21"/>
    </w:p>
    <w:p w14:paraId="67194CCB" w14:textId="6BCBFF2E" w:rsidR="000A0317" w:rsidRDefault="000B48C5" w:rsidP="00884DBC">
      <w:pPr>
        <w:rPr>
          <w:szCs w:val="22"/>
        </w:rPr>
      </w:pPr>
      <w:r>
        <w:rPr>
          <w:szCs w:val="22"/>
        </w:rPr>
        <w:t>O</w:t>
      </w:r>
      <w:r w:rsidR="00884DBC" w:rsidRPr="00884DBC">
        <w:rPr>
          <w:szCs w:val="22"/>
        </w:rPr>
        <w:t xml:space="preserve">ne of the key purposes of </w:t>
      </w:r>
      <w:r w:rsidR="00A74AA3">
        <w:rPr>
          <w:szCs w:val="22"/>
        </w:rPr>
        <w:t>PA</w:t>
      </w:r>
      <w:r w:rsidR="00884DBC" w:rsidRPr="00884DBC">
        <w:rPr>
          <w:szCs w:val="22"/>
        </w:rPr>
        <w:t xml:space="preserve"> cited by </w:t>
      </w:r>
      <w:r w:rsidR="009C18FC">
        <w:rPr>
          <w:szCs w:val="22"/>
        </w:rPr>
        <w:t>insurer</w:t>
      </w:r>
      <w:r w:rsidR="00884DBC" w:rsidRPr="00884DBC">
        <w:rPr>
          <w:szCs w:val="22"/>
        </w:rPr>
        <w:t>s is to ensure that covered services are evidence-based and effective</w:t>
      </w:r>
      <w:r>
        <w:rPr>
          <w:szCs w:val="22"/>
        </w:rPr>
        <w:t xml:space="preserve">. Some insurers </w:t>
      </w:r>
      <w:r w:rsidR="00884DBC" w:rsidRPr="00884DBC">
        <w:rPr>
          <w:szCs w:val="22"/>
        </w:rPr>
        <w:t>have expressed concerns about the evidence</w:t>
      </w:r>
      <w:r w:rsidR="00D033F8">
        <w:rPr>
          <w:szCs w:val="22"/>
        </w:rPr>
        <w:t xml:space="preserve"> </w:t>
      </w:r>
      <w:r w:rsidR="00900704">
        <w:rPr>
          <w:szCs w:val="22"/>
        </w:rPr>
        <w:t xml:space="preserve">base </w:t>
      </w:r>
      <w:r w:rsidR="0093063D">
        <w:rPr>
          <w:szCs w:val="22"/>
        </w:rPr>
        <w:t>behind</w:t>
      </w:r>
      <w:r w:rsidR="00884DBC" w:rsidRPr="00884DBC">
        <w:rPr>
          <w:szCs w:val="22"/>
        </w:rPr>
        <w:t xml:space="preserve"> </w:t>
      </w:r>
      <w:r w:rsidR="00A74AA3">
        <w:rPr>
          <w:szCs w:val="22"/>
        </w:rPr>
        <w:t>PA</w:t>
      </w:r>
      <w:r w:rsidR="00884DBC" w:rsidRPr="00884DBC">
        <w:rPr>
          <w:szCs w:val="22"/>
        </w:rPr>
        <w:t xml:space="preserve"> </w:t>
      </w:r>
      <w:r w:rsidR="00A54C1C">
        <w:rPr>
          <w:szCs w:val="22"/>
        </w:rPr>
        <w:t>and h</w:t>
      </w:r>
      <w:r w:rsidR="00762876">
        <w:rPr>
          <w:szCs w:val="22"/>
        </w:rPr>
        <w:t>ave</w:t>
      </w:r>
      <w:r w:rsidR="00884DBC" w:rsidRPr="00884DBC">
        <w:rPr>
          <w:szCs w:val="22"/>
        </w:rPr>
        <w:t xml:space="preserve"> pushed for stricter requirements in this area.</w:t>
      </w:r>
      <w:r w:rsidR="00884DBC" w:rsidRPr="00884DBC">
        <w:rPr>
          <w:szCs w:val="22"/>
          <w:vertAlign w:val="superscript"/>
        </w:rPr>
        <w:footnoteReference w:id="24"/>
      </w:r>
      <w:r w:rsidR="00884DBC" w:rsidRPr="00884DBC">
        <w:rPr>
          <w:szCs w:val="22"/>
        </w:rPr>
        <w:t xml:space="preserve"> </w:t>
      </w:r>
      <w:r w:rsidR="00F45F2B">
        <w:rPr>
          <w:szCs w:val="22"/>
        </w:rPr>
        <w:t>Insurers</w:t>
      </w:r>
      <w:r w:rsidR="00884DBC" w:rsidRPr="00884DBC">
        <w:rPr>
          <w:szCs w:val="22"/>
        </w:rPr>
        <w:t xml:space="preserve"> are unlikely to be supportive of restricting their flexibility in this area for a variety of reasons</w:t>
      </w:r>
      <w:r w:rsidR="007428A1">
        <w:rPr>
          <w:szCs w:val="22"/>
        </w:rPr>
        <w:t>. For example:</w:t>
      </w:r>
    </w:p>
    <w:p w14:paraId="2966EF6C" w14:textId="77777777" w:rsidR="007428A1" w:rsidRDefault="00A74AA3" w:rsidP="000A0317">
      <w:pPr>
        <w:pStyle w:val="ListParagraph"/>
        <w:numPr>
          <w:ilvl w:val="0"/>
          <w:numId w:val="8"/>
        </w:numPr>
        <w:rPr>
          <w:szCs w:val="22"/>
        </w:rPr>
      </w:pPr>
      <w:r w:rsidRPr="000A0317">
        <w:rPr>
          <w:szCs w:val="22"/>
        </w:rPr>
        <w:t>PA</w:t>
      </w:r>
      <w:r w:rsidR="00884DBC" w:rsidRPr="000A0317">
        <w:rPr>
          <w:szCs w:val="22"/>
        </w:rPr>
        <w:t xml:space="preserve"> denials are typically subject to appeal and external review requirements that provide the opportunity for an independent check on practices not aligned with clinical evidence. </w:t>
      </w:r>
    </w:p>
    <w:p w14:paraId="18ABF517" w14:textId="7106B552" w:rsidR="00884DBC" w:rsidRPr="000A0317" w:rsidRDefault="007428A1" w:rsidP="000A0317">
      <w:pPr>
        <w:pStyle w:val="ListParagraph"/>
        <w:numPr>
          <w:ilvl w:val="0"/>
          <w:numId w:val="8"/>
        </w:numPr>
        <w:rPr>
          <w:szCs w:val="22"/>
        </w:rPr>
      </w:pPr>
      <w:r>
        <w:rPr>
          <w:szCs w:val="22"/>
        </w:rPr>
        <w:t>Q</w:t>
      </w:r>
      <w:r w:rsidR="00884DBC" w:rsidRPr="000A0317">
        <w:rPr>
          <w:szCs w:val="22"/>
        </w:rPr>
        <w:t xml:space="preserve">uestions about the value proposition of </w:t>
      </w:r>
      <w:proofErr w:type="gramStart"/>
      <w:r w:rsidR="00884DBC" w:rsidRPr="000A0317">
        <w:rPr>
          <w:szCs w:val="22"/>
        </w:rPr>
        <w:t>particular health</w:t>
      </w:r>
      <w:proofErr w:type="gramEnd"/>
      <w:r w:rsidR="00884DBC" w:rsidRPr="000A0317">
        <w:rPr>
          <w:szCs w:val="22"/>
        </w:rPr>
        <w:t xml:space="preserve"> care services may not be entirely resolvable by clinical evidence. For example, there may be cases where two therapies with significant cost differences have similar effectiveness in treating a health condition but may have differential effects on the patient experience in other respects, such as comfort or aesthetic considerations.</w:t>
      </w:r>
      <w:r w:rsidR="00884DBC" w:rsidRPr="00884DBC">
        <w:rPr>
          <w:vertAlign w:val="superscript"/>
        </w:rPr>
        <w:footnoteReference w:id="25"/>
      </w:r>
    </w:p>
    <w:p w14:paraId="427495FB" w14:textId="1663A59D" w:rsidR="00762819" w:rsidRDefault="00BE03E7" w:rsidP="00D84323">
      <w:pPr>
        <w:pStyle w:val="Heading1"/>
      </w:pPr>
      <w:bookmarkStart w:id="22" w:name="_Solutions_and_examples"/>
      <w:bookmarkStart w:id="23" w:name="_Toc203655703"/>
      <w:bookmarkEnd w:id="22"/>
      <w:r>
        <w:t>Solutions and examples</w:t>
      </w:r>
      <w:bookmarkEnd w:id="23"/>
    </w:p>
    <w:p w14:paraId="0E716AA6" w14:textId="0AE8F401" w:rsidR="00BE03E7" w:rsidRDefault="00BE03E7" w:rsidP="00BE03E7">
      <w:pPr>
        <w:pStyle w:val="Heading2"/>
      </w:pPr>
      <w:bookmarkStart w:id="24" w:name="_States"/>
      <w:bookmarkStart w:id="25" w:name="_Toc203655704"/>
      <w:bookmarkEnd w:id="24"/>
      <w:r>
        <w:t>States</w:t>
      </w:r>
      <w:bookmarkEnd w:id="25"/>
    </w:p>
    <w:p w14:paraId="4AE49EB3" w14:textId="77777777" w:rsidR="00334790" w:rsidRPr="009E5E8D" w:rsidRDefault="00334790" w:rsidP="00334790">
      <w:pPr>
        <w:pStyle w:val="Heading3"/>
      </w:pPr>
      <w:bookmarkStart w:id="26" w:name="_Gold_carding_1"/>
      <w:bookmarkStart w:id="27" w:name="_Toc203655705"/>
      <w:bookmarkEnd w:id="26"/>
      <w:r w:rsidRPr="009E5E8D">
        <w:t>Gold carding</w:t>
      </w:r>
      <w:bookmarkEnd w:id="27"/>
    </w:p>
    <w:p w14:paraId="2C6FEF23" w14:textId="7F04718C" w:rsidR="002968AC" w:rsidRPr="00785333" w:rsidRDefault="002968AC" w:rsidP="002968AC">
      <w:pPr>
        <w:rPr>
          <w:szCs w:val="22"/>
        </w:rPr>
      </w:pPr>
      <w:r w:rsidRPr="00785333">
        <w:rPr>
          <w:szCs w:val="22"/>
        </w:rPr>
        <w:t xml:space="preserve">“Gold carding” describes a process by which a </w:t>
      </w:r>
      <w:r w:rsidR="00D4345B">
        <w:rPr>
          <w:szCs w:val="22"/>
        </w:rPr>
        <w:t>health care</w:t>
      </w:r>
      <w:r w:rsidRPr="00785333">
        <w:rPr>
          <w:szCs w:val="22"/>
        </w:rPr>
        <w:t xml:space="preserve"> provider may qualify for an exemption from a health</w:t>
      </w:r>
      <w:r>
        <w:rPr>
          <w:szCs w:val="22"/>
        </w:rPr>
        <w:t xml:space="preserve"> insurer</w:t>
      </w:r>
      <w:r w:rsidRPr="00785333">
        <w:rPr>
          <w:szCs w:val="22"/>
        </w:rPr>
        <w:t xml:space="preserve">’s </w:t>
      </w:r>
      <w:r>
        <w:rPr>
          <w:szCs w:val="22"/>
        </w:rPr>
        <w:t>PA</w:t>
      </w:r>
      <w:r w:rsidRPr="00785333">
        <w:rPr>
          <w:szCs w:val="22"/>
        </w:rPr>
        <w:t xml:space="preserve"> requirements. A provider who has qualified for a gold card for a particular </w:t>
      </w:r>
      <w:r w:rsidR="00D4345B">
        <w:rPr>
          <w:szCs w:val="22"/>
        </w:rPr>
        <w:t>health care</w:t>
      </w:r>
      <w:r w:rsidRPr="00785333">
        <w:rPr>
          <w:szCs w:val="22"/>
        </w:rPr>
        <w:t xml:space="preserve"> </w:t>
      </w:r>
      <w:r w:rsidRPr="00785333">
        <w:rPr>
          <w:szCs w:val="22"/>
        </w:rPr>
        <w:lastRenderedPageBreak/>
        <w:t xml:space="preserve">service will not be required to obtain </w:t>
      </w:r>
      <w:r>
        <w:rPr>
          <w:szCs w:val="22"/>
        </w:rPr>
        <w:t>PA</w:t>
      </w:r>
      <w:r w:rsidRPr="00785333">
        <w:rPr>
          <w:szCs w:val="22"/>
        </w:rPr>
        <w:t xml:space="preserve"> before performing that service.</w:t>
      </w:r>
      <w:r>
        <w:rPr>
          <w:szCs w:val="22"/>
        </w:rPr>
        <w:t xml:space="preserve"> </w:t>
      </w:r>
      <w:r w:rsidRPr="00785333">
        <w:rPr>
          <w:szCs w:val="22"/>
        </w:rPr>
        <w:t xml:space="preserve">Once implemented, these programs are intended to simplify </w:t>
      </w:r>
      <w:r w:rsidR="00D4345B">
        <w:rPr>
          <w:szCs w:val="22"/>
        </w:rPr>
        <w:t>health care</w:t>
      </w:r>
      <w:r w:rsidRPr="00785333">
        <w:rPr>
          <w:szCs w:val="22"/>
        </w:rPr>
        <w:t xml:space="preserve"> for consumers, providers, and </w:t>
      </w:r>
      <w:r>
        <w:rPr>
          <w:szCs w:val="22"/>
        </w:rPr>
        <w:t>insurers</w:t>
      </w:r>
      <w:r w:rsidRPr="00785333">
        <w:rPr>
          <w:szCs w:val="22"/>
        </w:rPr>
        <w:t>.</w:t>
      </w:r>
      <w:r>
        <w:rPr>
          <w:szCs w:val="22"/>
        </w:rPr>
        <w:t xml:space="preserve"> </w:t>
      </w:r>
    </w:p>
    <w:p w14:paraId="3FA91ABC" w14:textId="7F6A29B2" w:rsidR="00334790" w:rsidRPr="00762819" w:rsidRDefault="009E3515" w:rsidP="00334790">
      <w:pPr>
        <w:rPr>
          <w:szCs w:val="22"/>
        </w:rPr>
      </w:pPr>
      <w:r>
        <w:rPr>
          <w:szCs w:val="22"/>
        </w:rPr>
        <w:t xml:space="preserve">Under state gold carding </w:t>
      </w:r>
      <w:r w:rsidR="00334790" w:rsidRPr="004024E4">
        <w:rPr>
          <w:szCs w:val="22"/>
        </w:rPr>
        <w:t xml:space="preserve">programs, a health insurer is required by the state to evaluate a </w:t>
      </w:r>
      <w:r w:rsidR="00D4345B">
        <w:rPr>
          <w:szCs w:val="22"/>
        </w:rPr>
        <w:t>health care</w:t>
      </w:r>
      <w:r w:rsidR="00334790" w:rsidRPr="004024E4">
        <w:rPr>
          <w:szCs w:val="22"/>
        </w:rPr>
        <w:t xml:space="preserve"> provider’s history of requesting PA for a particular </w:t>
      </w:r>
      <w:r w:rsidR="00D4345B">
        <w:rPr>
          <w:szCs w:val="22"/>
        </w:rPr>
        <w:t>health care</w:t>
      </w:r>
      <w:r w:rsidR="00334790" w:rsidRPr="004024E4">
        <w:rPr>
          <w:szCs w:val="22"/>
        </w:rPr>
        <w:t xml:space="preserve"> service to determine whether the provider qualifies for an exemption from PA for that </w:t>
      </w:r>
      <w:proofErr w:type="gramStart"/>
      <w:r w:rsidR="00334790" w:rsidRPr="004024E4">
        <w:rPr>
          <w:szCs w:val="22"/>
        </w:rPr>
        <w:t>particular service</w:t>
      </w:r>
      <w:proofErr w:type="gramEnd"/>
      <w:r w:rsidR="00334790" w:rsidRPr="004024E4">
        <w:rPr>
          <w:szCs w:val="22"/>
        </w:rPr>
        <w:t>.</w:t>
      </w:r>
      <w:r w:rsidR="006F0E32">
        <w:rPr>
          <w:szCs w:val="22"/>
        </w:rPr>
        <w:t xml:space="preserve"> </w:t>
      </w:r>
      <w:r w:rsidR="00334790" w:rsidRPr="004024E4">
        <w:rPr>
          <w:szCs w:val="22"/>
        </w:rPr>
        <w:t xml:space="preserve">The insurer examines medical records to determine the number of times a </w:t>
      </w:r>
      <w:r w:rsidR="00D4345B">
        <w:rPr>
          <w:szCs w:val="22"/>
        </w:rPr>
        <w:t>health care</w:t>
      </w:r>
      <w:r w:rsidR="00334790" w:rsidRPr="004024E4">
        <w:rPr>
          <w:szCs w:val="22"/>
        </w:rPr>
        <w:t xml:space="preserve"> provider requested </w:t>
      </w:r>
      <w:proofErr w:type="gramStart"/>
      <w:r w:rsidR="00334790" w:rsidRPr="004024E4">
        <w:rPr>
          <w:szCs w:val="22"/>
        </w:rPr>
        <w:t>PA</w:t>
      </w:r>
      <w:proofErr w:type="gramEnd"/>
      <w:r w:rsidR="00334790" w:rsidRPr="004024E4">
        <w:rPr>
          <w:szCs w:val="22"/>
        </w:rPr>
        <w:t xml:space="preserve"> for a particular service and compare that number to the number of times the provider’s request for that service was approved.</w:t>
      </w:r>
      <w:r w:rsidR="006F0E32">
        <w:rPr>
          <w:szCs w:val="22"/>
        </w:rPr>
        <w:t xml:space="preserve"> </w:t>
      </w:r>
      <w:r w:rsidR="00334790" w:rsidRPr="004024E4">
        <w:rPr>
          <w:szCs w:val="22"/>
        </w:rPr>
        <w:t xml:space="preserve">If the percentage of approved requests meets the number mandated by the state legislature, the </w:t>
      </w:r>
      <w:r w:rsidR="00C721CB">
        <w:rPr>
          <w:szCs w:val="22"/>
        </w:rPr>
        <w:t>insurer</w:t>
      </w:r>
      <w:r w:rsidR="00334790" w:rsidRPr="004024E4">
        <w:rPr>
          <w:szCs w:val="22"/>
        </w:rPr>
        <w:t xml:space="preserve"> will be required to issue the provider a gold card exemption for that service.</w:t>
      </w:r>
      <w:r w:rsidR="00334790" w:rsidRPr="00762819">
        <w:rPr>
          <w:szCs w:val="22"/>
        </w:rPr>
        <w:t xml:space="preserve"> </w:t>
      </w:r>
    </w:p>
    <w:p w14:paraId="4905B1B3" w14:textId="5BA25BB5" w:rsidR="00334790" w:rsidRPr="00762819" w:rsidRDefault="0045222D" w:rsidP="00334790">
      <w:pPr>
        <w:rPr>
          <w:szCs w:val="22"/>
        </w:rPr>
      </w:pPr>
      <w:r w:rsidRPr="00762819">
        <w:rPr>
          <w:szCs w:val="22"/>
        </w:rPr>
        <w:t xml:space="preserve">A gold card is </w:t>
      </w:r>
      <w:r w:rsidR="009C18FC">
        <w:rPr>
          <w:szCs w:val="22"/>
        </w:rPr>
        <w:t>insurer</w:t>
      </w:r>
      <w:r w:rsidRPr="00762819">
        <w:rPr>
          <w:szCs w:val="22"/>
        </w:rPr>
        <w:t xml:space="preserve">-specific such that a </w:t>
      </w:r>
      <w:r w:rsidR="00D4345B">
        <w:rPr>
          <w:szCs w:val="22"/>
        </w:rPr>
        <w:t>health care</w:t>
      </w:r>
      <w:r w:rsidRPr="00762819">
        <w:rPr>
          <w:szCs w:val="22"/>
        </w:rPr>
        <w:t xml:space="preserve"> provider may meet the standard for obtaining a gold card from some </w:t>
      </w:r>
      <w:r w:rsidR="009C18FC">
        <w:rPr>
          <w:szCs w:val="22"/>
        </w:rPr>
        <w:t>insurer</w:t>
      </w:r>
      <w:r w:rsidRPr="00762819">
        <w:rPr>
          <w:szCs w:val="22"/>
        </w:rPr>
        <w:t>s but not others.</w:t>
      </w:r>
      <w:r>
        <w:rPr>
          <w:szCs w:val="22"/>
        </w:rPr>
        <w:t xml:space="preserve"> </w:t>
      </w:r>
      <w:r w:rsidR="00CA1BF3">
        <w:rPr>
          <w:szCs w:val="22"/>
        </w:rPr>
        <w:t>A gold card can</w:t>
      </w:r>
      <w:r>
        <w:rPr>
          <w:szCs w:val="22"/>
        </w:rPr>
        <w:t xml:space="preserve"> also</w:t>
      </w:r>
      <w:r w:rsidR="00CA1BF3">
        <w:rPr>
          <w:szCs w:val="22"/>
        </w:rPr>
        <w:t xml:space="preserve"> be service-specific</w:t>
      </w:r>
      <w:r w:rsidR="0015176F">
        <w:rPr>
          <w:szCs w:val="22"/>
        </w:rPr>
        <w:t xml:space="preserve">: </w:t>
      </w:r>
      <w:r w:rsidR="0051461F">
        <w:rPr>
          <w:szCs w:val="22"/>
        </w:rPr>
        <w:t>an</w:t>
      </w:r>
      <w:r w:rsidR="00334790" w:rsidRPr="00762819">
        <w:rPr>
          <w:szCs w:val="22"/>
        </w:rPr>
        <w:t xml:space="preserve"> </w:t>
      </w:r>
      <w:r w:rsidR="009C18FC">
        <w:rPr>
          <w:szCs w:val="22"/>
        </w:rPr>
        <w:t>insurer</w:t>
      </w:r>
      <w:r w:rsidR="00334790" w:rsidRPr="00762819">
        <w:rPr>
          <w:szCs w:val="22"/>
        </w:rPr>
        <w:t xml:space="preserve"> may </w:t>
      </w:r>
      <w:r w:rsidR="0015176F">
        <w:rPr>
          <w:szCs w:val="22"/>
        </w:rPr>
        <w:t xml:space="preserve">examine </w:t>
      </w:r>
      <w:r w:rsidR="00334790">
        <w:rPr>
          <w:szCs w:val="22"/>
        </w:rPr>
        <w:t>PA</w:t>
      </w:r>
      <w:r w:rsidR="00334790" w:rsidRPr="00762819">
        <w:rPr>
          <w:szCs w:val="22"/>
        </w:rPr>
        <w:t xml:space="preserve"> request</w:t>
      </w:r>
      <w:r w:rsidR="0015176F">
        <w:rPr>
          <w:szCs w:val="22"/>
        </w:rPr>
        <w:t>s</w:t>
      </w:r>
      <w:r w:rsidR="00334790" w:rsidRPr="00762819">
        <w:rPr>
          <w:szCs w:val="22"/>
        </w:rPr>
        <w:t xml:space="preserve"> by a </w:t>
      </w:r>
      <w:r w:rsidR="00D4345B">
        <w:rPr>
          <w:szCs w:val="22"/>
        </w:rPr>
        <w:t>health care</w:t>
      </w:r>
      <w:r w:rsidR="00334790" w:rsidRPr="00762819">
        <w:rPr>
          <w:szCs w:val="22"/>
        </w:rPr>
        <w:t xml:space="preserve"> provider and make a separate calculation for each service to determine whether the provider should receive a gold card exemption for each of these services.</w:t>
      </w:r>
      <w:r w:rsidR="006F0E32">
        <w:rPr>
          <w:szCs w:val="22"/>
        </w:rPr>
        <w:t xml:space="preserve"> </w:t>
      </w:r>
      <w:r>
        <w:rPr>
          <w:szCs w:val="22"/>
        </w:rPr>
        <w:t>However, e</w:t>
      </w:r>
      <w:r w:rsidR="00334790" w:rsidRPr="00762819">
        <w:rPr>
          <w:szCs w:val="22"/>
        </w:rPr>
        <w:t xml:space="preserve">ven if a provider has been granted a gold card for a particular service, if </w:t>
      </w:r>
      <w:r w:rsidR="0051461F" w:rsidRPr="00762819">
        <w:rPr>
          <w:szCs w:val="22"/>
        </w:rPr>
        <w:t>an</w:t>
      </w:r>
      <w:r w:rsidR="00334790" w:rsidRPr="00762819">
        <w:rPr>
          <w:szCs w:val="22"/>
        </w:rPr>
        <w:t xml:space="preserve"> </w:t>
      </w:r>
      <w:r w:rsidR="009C18FC">
        <w:rPr>
          <w:szCs w:val="22"/>
        </w:rPr>
        <w:t>insurer</w:t>
      </w:r>
      <w:r w:rsidR="00334790" w:rsidRPr="00762819">
        <w:rPr>
          <w:szCs w:val="22"/>
        </w:rPr>
        <w:t xml:space="preserve"> determines that a service provided by a provider who holds a gold card </w:t>
      </w:r>
      <w:proofErr w:type="gramStart"/>
      <w:r w:rsidR="00334790" w:rsidRPr="00762819">
        <w:rPr>
          <w:szCs w:val="22"/>
        </w:rPr>
        <w:t>exemption</w:t>
      </w:r>
      <w:proofErr w:type="gramEnd"/>
      <w:r w:rsidR="00334790" w:rsidRPr="00762819">
        <w:rPr>
          <w:szCs w:val="22"/>
        </w:rPr>
        <w:t xml:space="preserve"> for that service was not medically necessary or otherwise fails to meet plan eligibility standards, the </w:t>
      </w:r>
      <w:r w:rsidR="009C18FC">
        <w:rPr>
          <w:szCs w:val="22"/>
        </w:rPr>
        <w:t>insurer</w:t>
      </w:r>
      <w:r w:rsidR="00334790" w:rsidRPr="00762819">
        <w:rPr>
          <w:szCs w:val="22"/>
        </w:rPr>
        <w:t xml:space="preserve"> may still decline to </w:t>
      </w:r>
      <w:r>
        <w:rPr>
          <w:szCs w:val="22"/>
        </w:rPr>
        <w:t>cover</w:t>
      </w:r>
      <w:r w:rsidR="00334790" w:rsidRPr="00762819">
        <w:rPr>
          <w:szCs w:val="22"/>
        </w:rPr>
        <w:t xml:space="preserve"> the service.</w:t>
      </w:r>
    </w:p>
    <w:p w14:paraId="589E10BD" w14:textId="77777777" w:rsidR="002D0D32" w:rsidRPr="000C4348" w:rsidRDefault="002D0D32" w:rsidP="00B17D09">
      <w:pPr>
        <w:pStyle w:val="Heading4"/>
      </w:pPr>
      <w:r w:rsidRPr="000C4348">
        <w:t>Arkansas</w:t>
      </w:r>
    </w:p>
    <w:p w14:paraId="24E78FA0" w14:textId="51FB5EC1" w:rsidR="00017D8F" w:rsidRDefault="006D438B" w:rsidP="00017D8F">
      <w:r w:rsidRPr="00017D8F">
        <w:t>Arkansas has extended its</w:t>
      </w:r>
      <w:r w:rsidR="004D68A8" w:rsidRPr="00017D8F">
        <w:t xml:space="preserve"> gold card programs to PAs for prescription drugs</w:t>
      </w:r>
      <w:r w:rsidRPr="00017D8F">
        <w:t xml:space="preserve">. </w:t>
      </w:r>
      <w:r w:rsidR="009C18FC">
        <w:t>Insurer</w:t>
      </w:r>
      <w:r w:rsidRPr="00017D8F">
        <w:t>s in Arkansas</w:t>
      </w:r>
      <w:r w:rsidR="004D68A8" w:rsidRPr="00017D8F">
        <w:t xml:space="preserve"> examine the </w:t>
      </w:r>
      <w:r w:rsidR="00D4345B">
        <w:t>health care</w:t>
      </w:r>
      <w:r w:rsidR="004D68A8" w:rsidRPr="00017D8F">
        <w:t xml:space="preserve"> provider’s history of all PAs requested for </w:t>
      </w:r>
      <w:r w:rsidR="00172793" w:rsidRPr="00017D8F">
        <w:t xml:space="preserve">all </w:t>
      </w:r>
      <w:r w:rsidR="00D4345B">
        <w:t>health care</w:t>
      </w:r>
      <w:r w:rsidR="00172793" w:rsidRPr="00017D8F">
        <w:t xml:space="preserve"> services, which Arkansas defines to include prescription drugs</w:t>
      </w:r>
      <w:r w:rsidR="004D68A8" w:rsidRPr="00017D8F">
        <w:t>.</w:t>
      </w:r>
      <w:r w:rsidR="00945312" w:rsidRPr="00017D8F">
        <w:rPr>
          <w:rStyle w:val="FootnoteReference"/>
        </w:rPr>
        <w:footnoteReference w:id="26"/>
      </w:r>
      <w:r w:rsidR="004D68A8" w:rsidRPr="00017D8F">
        <w:t xml:space="preserve"> </w:t>
      </w:r>
      <w:r w:rsidR="00017D8F">
        <w:t xml:space="preserve">A </w:t>
      </w:r>
      <w:r w:rsidR="00D4345B">
        <w:t>health care</w:t>
      </w:r>
      <w:r w:rsidR="00017D8F">
        <w:t xml:space="preserve"> provider’s gold card exemption privilege extends to any </w:t>
      </w:r>
      <w:r w:rsidR="00D4345B">
        <w:t>health care</w:t>
      </w:r>
      <w:r w:rsidR="00017D8F">
        <w:t xml:space="preserve"> service for which they received approval of the PA request at least </w:t>
      </w:r>
      <w:r w:rsidR="006263A4">
        <w:t>90</w:t>
      </w:r>
      <w:r w:rsidR="00017D8F">
        <w:t>%) of the time within a six-month evaluation period.</w:t>
      </w:r>
      <w:r w:rsidR="00017D8F">
        <w:rPr>
          <w:rStyle w:val="FootnoteReference"/>
        </w:rPr>
        <w:footnoteReference w:id="27"/>
      </w:r>
      <w:r w:rsidR="00017D8F">
        <w:t xml:space="preserve"> An insurer may rescind a </w:t>
      </w:r>
      <w:r w:rsidR="00D4345B">
        <w:t>health care</w:t>
      </w:r>
      <w:r w:rsidR="00017D8F">
        <w:t xml:space="preserve"> provider’s exemption if the provider performs five or fewer of the </w:t>
      </w:r>
      <w:r w:rsidR="00D4345B">
        <w:t>health care</w:t>
      </w:r>
      <w:r w:rsidR="00017D8F">
        <w:t xml:space="preserve"> service for which they obtained an exemption.</w:t>
      </w:r>
      <w:r w:rsidR="00017D8F">
        <w:rPr>
          <w:rStyle w:val="FootnoteReference"/>
        </w:rPr>
        <w:footnoteReference w:id="28"/>
      </w:r>
      <w:r w:rsidR="00017D8F">
        <w:t xml:space="preserve"> </w:t>
      </w:r>
    </w:p>
    <w:p w14:paraId="42F512FA" w14:textId="1E6108B6" w:rsidR="002D0D32" w:rsidRPr="00582FB5" w:rsidRDefault="00017D8F" w:rsidP="00582FB5">
      <w:pPr>
        <w:rPr>
          <w:highlight w:val="yellow"/>
        </w:rPr>
      </w:pPr>
      <w:r>
        <w:t xml:space="preserve">Arkansas has also established a process that allows </w:t>
      </w:r>
      <w:r w:rsidR="0051461F">
        <w:t>an</w:t>
      </w:r>
      <w:r>
        <w:t xml:space="preserve"> </w:t>
      </w:r>
      <w:r w:rsidR="009C18FC">
        <w:t>insurer</w:t>
      </w:r>
      <w:r>
        <w:t xml:space="preserve"> to continue requiring PA for a particular drug if the </w:t>
      </w:r>
      <w:r w:rsidR="009C18FC">
        <w:t>insurer</w:t>
      </w:r>
      <w:r>
        <w:t xml:space="preserve"> obtains approval from the state’s boards of pharmacy and medicine to continue requiring PA.</w:t>
      </w:r>
      <w:r>
        <w:rPr>
          <w:rStyle w:val="FootnoteReference"/>
        </w:rPr>
        <w:footnoteReference w:id="29"/>
      </w:r>
      <w:r>
        <w:t xml:space="preserve"> When </w:t>
      </w:r>
      <w:r w:rsidR="0051461F">
        <w:t>an</w:t>
      </w:r>
      <w:r>
        <w:t xml:space="preserve"> </w:t>
      </w:r>
      <w:r w:rsidR="009C18FC">
        <w:t>insurer</w:t>
      </w:r>
      <w:r>
        <w:t xml:space="preserve"> receives approval to continue requiring PA for a particular drug, the approval is good for two years, and the </w:t>
      </w:r>
      <w:r w:rsidR="009C18FC">
        <w:t>insurer</w:t>
      </w:r>
      <w:r>
        <w:t xml:space="preserve"> may continue requiring PAs for that drug from all </w:t>
      </w:r>
      <w:r w:rsidR="00D4345B">
        <w:t>health care</w:t>
      </w:r>
      <w:r>
        <w:t xml:space="preserve"> providers, regardless of any gold card exemption privilege a </w:t>
      </w:r>
      <w:r w:rsidR="00D4345B">
        <w:t>health care</w:t>
      </w:r>
      <w:r>
        <w:t xml:space="preserve"> provider would have otherwise had.</w:t>
      </w:r>
    </w:p>
    <w:p w14:paraId="3FCC4E5A" w14:textId="58FFE32D" w:rsidR="00D85C5A" w:rsidRDefault="00D85C5A" w:rsidP="00AC6DF6">
      <w:pPr>
        <w:pStyle w:val="Heading4"/>
      </w:pPr>
      <w:r>
        <w:t>Texas</w:t>
      </w:r>
    </w:p>
    <w:p w14:paraId="6BBB206B" w14:textId="10D8E07A" w:rsidR="00D85C5A" w:rsidRPr="003E03F3" w:rsidRDefault="00D85C5A" w:rsidP="00582FB5">
      <w:r w:rsidRPr="003E03F3">
        <w:t xml:space="preserve">In 2022, Texas implemented House Bill 3459, also known as the Texas Gold Law. This legislation exempts physicians and providers from </w:t>
      </w:r>
      <w:r w:rsidR="00094445">
        <w:t>needing</w:t>
      </w:r>
      <w:r w:rsidRPr="003E03F3">
        <w:t xml:space="preserve"> </w:t>
      </w:r>
      <w:r w:rsidR="009B2620">
        <w:t>PA</w:t>
      </w:r>
      <w:r w:rsidRPr="003E03F3">
        <w:t xml:space="preserve"> for certain health care services if they maintain a consistently high approval rate</w:t>
      </w:r>
      <w:r w:rsidR="009B2620">
        <w:t xml:space="preserve"> – </w:t>
      </w:r>
      <w:r w:rsidRPr="003E03F3">
        <w:t>at</w:t>
      </w:r>
      <w:r w:rsidR="009B2620">
        <w:t xml:space="preserve"> </w:t>
      </w:r>
      <w:r w:rsidRPr="003E03F3">
        <w:t>least 90% over a recent six-month period</w:t>
      </w:r>
      <w:r w:rsidR="009B2620">
        <w:t xml:space="preserve"> – </w:t>
      </w:r>
      <w:r w:rsidRPr="003E03F3">
        <w:t xml:space="preserve">for those services. However, the </w:t>
      </w:r>
      <w:r w:rsidR="00A84B16" w:rsidRPr="003E03F3">
        <w:t>law</w:t>
      </w:r>
      <w:r w:rsidRPr="003E03F3">
        <w:t xml:space="preserve"> does not apply to</w:t>
      </w:r>
      <w:r w:rsidR="00094445">
        <w:t xml:space="preserve"> patients insured by</w:t>
      </w:r>
      <w:r w:rsidRPr="003E03F3">
        <w:t xml:space="preserve"> Medicaid or </w:t>
      </w:r>
      <w:r w:rsidR="000B5B58" w:rsidRPr="003E03F3">
        <w:t xml:space="preserve">Children’s Health Insurance Program </w:t>
      </w:r>
      <w:r w:rsidR="000B5B58">
        <w:t>(</w:t>
      </w:r>
      <w:r w:rsidRPr="003E03F3">
        <w:t>CHIP</w:t>
      </w:r>
      <w:r w:rsidR="000B5B58">
        <w:t>)</w:t>
      </w:r>
      <w:r w:rsidRPr="003E03F3">
        <w:t>. Its intent is to reduce delays in patient care and allow physicians to dedicate more time to their patients. The Texas Department of Insurance (TDI) is responsible for overseeing the implementation of this law.</w:t>
      </w:r>
    </w:p>
    <w:p w14:paraId="04D7985E" w14:textId="77777777" w:rsidR="00D85C5A" w:rsidRPr="003E03F3" w:rsidRDefault="00D85C5A" w:rsidP="00071A3E">
      <w:r w:rsidRPr="003E03F3">
        <w:lastRenderedPageBreak/>
        <w:t>A provider or physician in Texas qualifies for an exemption once they have:</w:t>
      </w:r>
    </w:p>
    <w:p w14:paraId="5DFD0C6A" w14:textId="0C9B950A" w:rsidR="00D85C5A" w:rsidRPr="003E03F3" w:rsidRDefault="00D85C5A" w:rsidP="00071A3E">
      <w:pPr>
        <w:pStyle w:val="ListParagraph"/>
        <w:numPr>
          <w:ilvl w:val="0"/>
          <w:numId w:val="11"/>
        </w:numPr>
      </w:pPr>
      <w:r w:rsidRPr="003E03F3">
        <w:t xml:space="preserve">Submitted five or more eligible </w:t>
      </w:r>
      <w:r w:rsidR="00FE4B22">
        <w:t>PA</w:t>
      </w:r>
      <w:r w:rsidRPr="003E03F3">
        <w:t xml:space="preserve"> requests for the </w:t>
      </w:r>
      <w:proofErr w:type="gramStart"/>
      <w:r w:rsidRPr="003E03F3">
        <w:t>particular health</w:t>
      </w:r>
      <w:proofErr w:type="gramEnd"/>
      <w:r w:rsidRPr="003E03F3">
        <w:t xml:space="preserve"> care service in the most recent evaluation period; and</w:t>
      </w:r>
    </w:p>
    <w:p w14:paraId="4FD2162C" w14:textId="5F306D3B" w:rsidR="00D85C5A" w:rsidRPr="003E03F3" w:rsidRDefault="00D85C5A" w:rsidP="00071A3E">
      <w:pPr>
        <w:pStyle w:val="ListParagraph"/>
        <w:numPr>
          <w:ilvl w:val="0"/>
          <w:numId w:val="11"/>
        </w:numPr>
      </w:pPr>
      <w:r w:rsidRPr="003E03F3">
        <w:t xml:space="preserve">At least 90% of the eligible </w:t>
      </w:r>
      <w:r w:rsidR="00FE4B22">
        <w:t>PA</w:t>
      </w:r>
      <w:r w:rsidRPr="003E03F3">
        <w:t xml:space="preserve"> requests</w:t>
      </w:r>
      <w:r w:rsidR="00821220">
        <w:t xml:space="preserve"> for a particular service</w:t>
      </w:r>
      <w:r w:rsidRPr="003E03F3">
        <w:t xml:space="preserve"> were approved. </w:t>
      </w:r>
      <w:r w:rsidRPr="003E03F3">
        <w:rPr>
          <w:vertAlign w:val="superscript"/>
        </w:rPr>
        <w:footnoteReference w:id="30"/>
      </w:r>
    </w:p>
    <w:p w14:paraId="49A983C1" w14:textId="31B197C3" w:rsidR="00D85C5A" w:rsidRPr="003E03F3" w:rsidRDefault="00D85C5A" w:rsidP="00940E20">
      <w:r w:rsidRPr="003E03F3">
        <w:t xml:space="preserve">The physician or provider is not required to request an exemption to qualify for an exemption. It is the responsibility of the insurer to notify physicians and providers that they have been granted or denied a </w:t>
      </w:r>
      <w:r w:rsidR="00FE4B22">
        <w:t>PA</w:t>
      </w:r>
      <w:r w:rsidRPr="003E03F3">
        <w:t xml:space="preserve"> exemption for those health care services for which the minimum threshold has been satisfied. </w:t>
      </w:r>
    </w:p>
    <w:p w14:paraId="2447C5EF" w14:textId="36B07BB8" w:rsidR="00F32B92" w:rsidRDefault="00D85C5A" w:rsidP="00071A3E">
      <w:r w:rsidRPr="003E03F3">
        <w:t xml:space="preserve">According to </w:t>
      </w:r>
      <w:r w:rsidR="00095B94">
        <w:t>the legislation</w:t>
      </w:r>
      <w:r w:rsidRPr="003E03F3">
        <w:t xml:space="preserve">, the notice granting exemptions must contain a plain language explanation of the effect of the </w:t>
      </w:r>
      <w:r w:rsidR="00FE4B22">
        <w:t>PA</w:t>
      </w:r>
      <w:r w:rsidRPr="003E03F3">
        <w:t xml:space="preserve"> exemption and any claim coding guidance to properly document the exemption. </w:t>
      </w:r>
      <w:r w:rsidR="00940E20">
        <w:t>E</w:t>
      </w:r>
      <w:r w:rsidRPr="003E03F3">
        <w:t>xemption</w:t>
      </w:r>
      <w:r w:rsidR="00940E20">
        <w:t xml:space="preserve">s </w:t>
      </w:r>
      <w:r w:rsidRPr="003E03F3">
        <w:t>must remain in place for at least six months before be</w:t>
      </w:r>
      <w:r w:rsidR="00940E20">
        <w:t>ing</w:t>
      </w:r>
      <w:r w:rsidRPr="003E03F3">
        <w:t xml:space="preserve"> rescinded. </w:t>
      </w:r>
    </w:p>
    <w:p w14:paraId="09D1560A" w14:textId="42FDF90A" w:rsidR="00A323EC" w:rsidRDefault="00A323EC" w:rsidP="001E189F">
      <w:pPr>
        <w:pStyle w:val="Heading4"/>
      </w:pPr>
      <w:r>
        <w:t>West Virginia</w:t>
      </w:r>
    </w:p>
    <w:p w14:paraId="0E4C78EA" w14:textId="07326C88" w:rsidR="00A323EC" w:rsidRPr="00A323EC" w:rsidRDefault="00A323EC" w:rsidP="00071A3E">
      <w:r>
        <w:t xml:space="preserve">Updated West Virginia </w:t>
      </w:r>
      <w:r w:rsidRPr="003E03F3">
        <w:t>statute lowered the requirements to qualify for a gold card program.</w:t>
      </w:r>
      <w:r>
        <w:t xml:space="preserve"> </w:t>
      </w:r>
      <w:r w:rsidRPr="003E03F3">
        <w:t xml:space="preserve">This allows a health care provider to earn exemption from </w:t>
      </w:r>
      <w:r>
        <w:t>PA</w:t>
      </w:r>
      <w:r w:rsidRPr="003E03F3">
        <w:t xml:space="preserve"> requirements based on the provider’s track record of previous </w:t>
      </w:r>
      <w:r>
        <w:t>PA</w:t>
      </w:r>
      <w:r w:rsidRPr="003E03F3">
        <w:t xml:space="preserve"> approvals and the frequency with which the provider performs the procedure.</w:t>
      </w:r>
      <w:r>
        <w:t xml:space="preserve"> </w:t>
      </w:r>
      <w:r w:rsidRPr="003E03F3">
        <w:t xml:space="preserve">If a health care provider has performed an average of </w:t>
      </w:r>
      <w:r w:rsidR="007E16E5">
        <w:t>30</w:t>
      </w:r>
      <w:r w:rsidRPr="003E03F3">
        <w:t xml:space="preserve"> procedures per year and in a six-month period has received a 90% final prior approval rating, the health insurer may not require a </w:t>
      </w:r>
      <w:r>
        <w:t>PA</w:t>
      </w:r>
      <w:r w:rsidRPr="003E03F3">
        <w:t xml:space="preserve"> for at least the next six-month period, or longer if the insurer allows.</w:t>
      </w:r>
      <w:r>
        <w:t xml:space="preserve"> </w:t>
      </w:r>
      <w:r w:rsidRPr="003E03F3">
        <w:t xml:space="preserve">The </w:t>
      </w:r>
      <w:r w:rsidR="00083C9B">
        <w:t>state legislature</w:t>
      </w:r>
      <w:r w:rsidRPr="003E03F3">
        <w:t xml:space="preserve"> clarified in 2025 that prescription drugs and related authorizations are exempted from the gold card program.</w:t>
      </w:r>
      <w:r>
        <w:t xml:space="preserve"> </w:t>
      </w:r>
    </w:p>
    <w:p w14:paraId="037140F1" w14:textId="1F61E66B" w:rsidR="001E189F" w:rsidRDefault="001E189F" w:rsidP="001E189F">
      <w:pPr>
        <w:pStyle w:val="Heading4"/>
      </w:pPr>
      <w:r>
        <w:t>Wyoming</w:t>
      </w:r>
    </w:p>
    <w:p w14:paraId="1C6F12AB" w14:textId="5F986AAC" w:rsidR="001E189F" w:rsidRPr="003E03F3" w:rsidRDefault="001E189F" w:rsidP="001E189F">
      <w:pPr>
        <w:rPr>
          <w:szCs w:val="22"/>
        </w:rPr>
      </w:pPr>
      <w:r w:rsidRPr="003E03F3">
        <w:rPr>
          <w:szCs w:val="22"/>
        </w:rPr>
        <w:t xml:space="preserve">The Wyoming legislature passed legislation regarding provider exemptions from </w:t>
      </w:r>
      <w:r>
        <w:rPr>
          <w:szCs w:val="22"/>
        </w:rPr>
        <w:t>PA</w:t>
      </w:r>
      <w:r w:rsidRPr="003E03F3">
        <w:rPr>
          <w:szCs w:val="22"/>
        </w:rPr>
        <w:t xml:space="preserve"> requirements (Gold Carding).</w:t>
      </w:r>
      <w:r w:rsidRPr="003E03F3">
        <w:rPr>
          <w:szCs w:val="22"/>
          <w:vertAlign w:val="superscript"/>
        </w:rPr>
        <w:footnoteReference w:id="31"/>
      </w:r>
      <w:r w:rsidRPr="003E03F3">
        <w:rPr>
          <w:szCs w:val="22"/>
        </w:rPr>
        <w:t xml:space="preserve"> The law will go into effect January 2026.</w:t>
      </w:r>
      <w:r w:rsidR="00B92D36">
        <w:rPr>
          <w:szCs w:val="22"/>
        </w:rPr>
        <w:t xml:space="preserve"> </w:t>
      </w:r>
      <w:r w:rsidRPr="003E03F3">
        <w:rPr>
          <w:szCs w:val="22"/>
        </w:rPr>
        <w:t xml:space="preserve">The </w:t>
      </w:r>
      <w:r w:rsidR="00B92D36">
        <w:rPr>
          <w:szCs w:val="22"/>
        </w:rPr>
        <w:t>legislation establishe</w:t>
      </w:r>
      <w:r w:rsidR="0040559C">
        <w:rPr>
          <w:szCs w:val="22"/>
        </w:rPr>
        <w:t>s</w:t>
      </w:r>
      <w:r w:rsidRPr="003E03F3">
        <w:rPr>
          <w:szCs w:val="22"/>
        </w:rPr>
        <w:t xml:space="preserve"> guidelines for a provider to be exempted from completing </w:t>
      </w:r>
      <w:r>
        <w:rPr>
          <w:szCs w:val="22"/>
        </w:rPr>
        <w:t>PA</w:t>
      </w:r>
      <w:r w:rsidRPr="003E03F3">
        <w:rPr>
          <w:szCs w:val="22"/>
        </w:rPr>
        <w:t xml:space="preserve">s for health care services that have been authorized </w:t>
      </w:r>
      <w:r w:rsidR="003D63FB">
        <w:rPr>
          <w:szCs w:val="22"/>
        </w:rPr>
        <w:t>90%</w:t>
      </w:r>
      <w:r w:rsidRPr="003E03F3">
        <w:rPr>
          <w:szCs w:val="22"/>
        </w:rPr>
        <w:t xml:space="preserve"> of the time in the proceeding twelve months. The provider must have submitted </w:t>
      </w:r>
      <w:r w:rsidR="003D63FB">
        <w:rPr>
          <w:szCs w:val="22"/>
        </w:rPr>
        <w:t>no fewer than five</w:t>
      </w:r>
      <w:r w:rsidRPr="003E03F3">
        <w:rPr>
          <w:szCs w:val="22"/>
        </w:rPr>
        <w:t xml:space="preserve"> </w:t>
      </w:r>
      <w:r>
        <w:rPr>
          <w:szCs w:val="22"/>
        </w:rPr>
        <w:t>PA</w:t>
      </w:r>
      <w:r w:rsidRPr="003E03F3">
        <w:rPr>
          <w:szCs w:val="22"/>
        </w:rPr>
        <w:t>s for the procedure during that time. The insurer can review the exemption every twelve months, but they may establish a longer exemption period. In addition, an exemption cannot be revoked before twelve months have passed.</w:t>
      </w:r>
    </w:p>
    <w:p w14:paraId="64916153" w14:textId="48CBD87C" w:rsidR="0004193B" w:rsidRDefault="001E189F" w:rsidP="0004193B">
      <w:pPr>
        <w:rPr>
          <w:szCs w:val="22"/>
        </w:rPr>
      </w:pPr>
      <w:r w:rsidRPr="003E03F3">
        <w:rPr>
          <w:szCs w:val="22"/>
        </w:rPr>
        <w:t xml:space="preserve">Providers are not required to apply for an exemption. The insurer or contacted utilization review entity shall provide a health care provider with a statement that notifies them they qualify for the exemption; a list of services for which the exemption applies; and a statement of the </w:t>
      </w:r>
      <w:r w:rsidR="00C82AB8">
        <w:rPr>
          <w:szCs w:val="22"/>
        </w:rPr>
        <w:t>12-</w:t>
      </w:r>
      <w:r w:rsidR="0083775A" w:rsidRPr="003E03F3">
        <w:rPr>
          <w:szCs w:val="22"/>
        </w:rPr>
        <w:t>month</w:t>
      </w:r>
      <w:r w:rsidRPr="003E03F3">
        <w:rPr>
          <w:szCs w:val="22"/>
        </w:rPr>
        <w:t xml:space="preserve"> duration. A health care provider may </w:t>
      </w:r>
      <w:proofErr w:type="gramStart"/>
      <w:r w:rsidRPr="003E03F3">
        <w:rPr>
          <w:szCs w:val="22"/>
        </w:rPr>
        <w:t>appeal</w:t>
      </w:r>
      <w:proofErr w:type="gramEnd"/>
      <w:r w:rsidRPr="003E03F3">
        <w:rPr>
          <w:szCs w:val="22"/>
        </w:rPr>
        <w:t xml:space="preserve"> a health insurer or contract utilization review </w:t>
      </w:r>
      <w:proofErr w:type="gramStart"/>
      <w:r w:rsidRPr="003E03F3">
        <w:rPr>
          <w:szCs w:val="22"/>
        </w:rPr>
        <w:t>entity’s</w:t>
      </w:r>
      <w:proofErr w:type="gramEnd"/>
      <w:r w:rsidRPr="003E03F3">
        <w:rPr>
          <w:szCs w:val="22"/>
        </w:rPr>
        <w:t xml:space="preserve"> decision to deny an </w:t>
      </w:r>
      <w:r w:rsidR="0004193B">
        <w:rPr>
          <w:szCs w:val="22"/>
        </w:rPr>
        <w:t>exemption.</w:t>
      </w:r>
    </w:p>
    <w:p w14:paraId="70D7F524" w14:textId="5F3738F8" w:rsidR="00FA64BB" w:rsidRDefault="0004193B" w:rsidP="0004193B">
      <w:pPr>
        <w:pStyle w:val="Heading3"/>
      </w:pPr>
      <w:bookmarkStart w:id="28" w:name="_Toc203655706"/>
      <w:r>
        <w:lastRenderedPageBreak/>
        <w:t xml:space="preserve">Addressing </w:t>
      </w:r>
      <w:r w:rsidR="00C550E4">
        <w:t>continuity concerns</w:t>
      </w:r>
      <w:bookmarkEnd w:id="28"/>
    </w:p>
    <w:p w14:paraId="0DE5D9D6" w14:textId="77777777" w:rsidR="002D0D32" w:rsidRPr="00B50094" w:rsidRDefault="002D0D32" w:rsidP="002D0D32">
      <w:pPr>
        <w:pStyle w:val="Heading4"/>
      </w:pPr>
      <w:r w:rsidRPr="00B50094">
        <w:t>District of Columbia</w:t>
      </w:r>
    </w:p>
    <w:p w14:paraId="45E2AC33" w14:textId="77D41B47" w:rsidR="002D0D32" w:rsidRPr="00C550E4" w:rsidRDefault="002D0D32" w:rsidP="002D0D32">
      <w:pPr>
        <w:rPr>
          <w:szCs w:val="22"/>
        </w:rPr>
      </w:pPr>
      <w:r w:rsidRPr="00B50094">
        <w:rPr>
          <w:szCs w:val="22"/>
        </w:rPr>
        <w:t>The District of Columbia requires a PA to be valid for at least one year or for the course of the treatment, including any dosage changes.</w:t>
      </w:r>
      <w:r w:rsidRPr="00B50094">
        <w:rPr>
          <w:szCs w:val="22"/>
          <w:vertAlign w:val="superscript"/>
        </w:rPr>
        <w:footnoteReference w:id="32"/>
      </w:r>
      <w:r w:rsidR="006F0E32">
        <w:rPr>
          <w:szCs w:val="22"/>
        </w:rPr>
        <w:t xml:space="preserve"> </w:t>
      </w:r>
    </w:p>
    <w:p w14:paraId="07912F66" w14:textId="77777777" w:rsidR="002D0D32" w:rsidRPr="00B50094" w:rsidRDefault="002D0D32" w:rsidP="002D0D32">
      <w:pPr>
        <w:pStyle w:val="Heading4"/>
      </w:pPr>
      <w:r w:rsidRPr="00B50094">
        <w:t>Illinois</w:t>
      </w:r>
    </w:p>
    <w:p w14:paraId="67D41A9E" w14:textId="77777777" w:rsidR="002D0D32" w:rsidRDefault="002D0D32" w:rsidP="002D0D32">
      <w:pPr>
        <w:rPr>
          <w:szCs w:val="22"/>
        </w:rPr>
      </w:pPr>
      <w:r w:rsidRPr="00B50094">
        <w:rPr>
          <w:szCs w:val="22"/>
        </w:rPr>
        <w:t xml:space="preserve">Illinois </w:t>
      </w:r>
      <w:r>
        <w:rPr>
          <w:szCs w:val="22"/>
        </w:rPr>
        <w:t xml:space="preserve">also requires health insurers to honor an approved PA for the first 90 days of a </w:t>
      </w:r>
      <w:r w:rsidRPr="00B50094">
        <w:rPr>
          <w:szCs w:val="22"/>
        </w:rPr>
        <w:t>health insurance consumer’s coverage under a new health insurance policy</w:t>
      </w:r>
      <w:r>
        <w:rPr>
          <w:szCs w:val="22"/>
        </w:rPr>
        <w:t>.</w:t>
      </w:r>
    </w:p>
    <w:p w14:paraId="2D33552F" w14:textId="796A332A" w:rsidR="00D4472C" w:rsidRDefault="00D4472C" w:rsidP="00D4472C">
      <w:pPr>
        <w:pStyle w:val="Heading4"/>
      </w:pPr>
      <w:r>
        <w:t>Oklahoma</w:t>
      </w:r>
    </w:p>
    <w:p w14:paraId="14DC06C1" w14:textId="0F0BCF75" w:rsidR="00D4472C" w:rsidRDefault="00D4472C" w:rsidP="002D0D32">
      <w:pPr>
        <w:rPr>
          <w:szCs w:val="22"/>
        </w:rPr>
      </w:pPr>
      <w:r w:rsidRPr="003E03F3">
        <w:rPr>
          <w:szCs w:val="22"/>
        </w:rPr>
        <w:t xml:space="preserve">House Bill 3190 specifies that </w:t>
      </w:r>
      <w:r>
        <w:rPr>
          <w:szCs w:val="22"/>
        </w:rPr>
        <w:t>PA</w:t>
      </w:r>
      <w:r w:rsidRPr="003E03F3">
        <w:rPr>
          <w:szCs w:val="22"/>
        </w:rPr>
        <w:t xml:space="preserve">s are valid for at least 45 days, or for six months in the case of chronic conditions, creating a more predictable and less disruptive process for patients. A health benefit cannot revoke, limit, condition, or restrict </w:t>
      </w:r>
      <w:r>
        <w:rPr>
          <w:szCs w:val="22"/>
        </w:rPr>
        <w:t>PA</w:t>
      </w:r>
      <w:r w:rsidRPr="003E03F3">
        <w:rPr>
          <w:szCs w:val="22"/>
        </w:rPr>
        <w:t xml:space="preserve"> if care is provided within 45 business days from when the </w:t>
      </w:r>
      <w:r w:rsidR="00D4345B">
        <w:rPr>
          <w:szCs w:val="22"/>
        </w:rPr>
        <w:t>health care</w:t>
      </w:r>
      <w:r w:rsidRPr="003E03F3">
        <w:rPr>
          <w:szCs w:val="22"/>
        </w:rPr>
        <w:t xml:space="preserve"> provider received the </w:t>
      </w:r>
      <w:r>
        <w:rPr>
          <w:szCs w:val="22"/>
        </w:rPr>
        <w:t>PA</w:t>
      </w:r>
      <w:r w:rsidRPr="003E03F3">
        <w:rPr>
          <w:szCs w:val="22"/>
        </w:rPr>
        <w:t xml:space="preserve">, unless the enrollee was no longer eligible for care on that day. These extended validity periods for </w:t>
      </w:r>
      <w:r>
        <w:rPr>
          <w:szCs w:val="22"/>
        </w:rPr>
        <w:t>PA</w:t>
      </w:r>
      <w:r w:rsidRPr="003E03F3">
        <w:rPr>
          <w:szCs w:val="22"/>
        </w:rPr>
        <w:t xml:space="preserve">s, particularly for chronic conditions, are more generous than in many other states, providing patients with greater stability in their care. </w:t>
      </w:r>
    </w:p>
    <w:p w14:paraId="163F8D07" w14:textId="6CD0B0DD" w:rsidR="00152ED9" w:rsidRPr="00B50094" w:rsidRDefault="00B50094" w:rsidP="00AC6DF6">
      <w:pPr>
        <w:pStyle w:val="Heading4"/>
      </w:pPr>
      <w:r w:rsidRPr="00B50094">
        <w:t>Tennessee</w:t>
      </w:r>
    </w:p>
    <w:p w14:paraId="4A1DFAE9" w14:textId="438C8F49" w:rsidR="00B50094" w:rsidRPr="00B50094" w:rsidRDefault="00C550E4" w:rsidP="00C550E4">
      <w:pPr>
        <w:rPr>
          <w:szCs w:val="22"/>
        </w:rPr>
      </w:pPr>
      <w:r w:rsidRPr="00B50094">
        <w:rPr>
          <w:szCs w:val="22"/>
        </w:rPr>
        <w:t>Tennessee passed a law that took effect in 2025 that requires health insurers to honor an approved PA for the first 90 days of a health insurance consumer’s coverage under a new health insurance policy.</w:t>
      </w:r>
      <w:r w:rsidR="006F0E32">
        <w:rPr>
          <w:szCs w:val="22"/>
        </w:rPr>
        <w:t xml:space="preserve"> </w:t>
      </w:r>
    </w:p>
    <w:p w14:paraId="72699E56" w14:textId="1003FAB2" w:rsidR="00B50094" w:rsidRPr="00B50094" w:rsidRDefault="00B50094" w:rsidP="00AC6DF6">
      <w:pPr>
        <w:pStyle w:val="Heading4"/>
      </w:pPr>
      <w:r w:rsidRPr="00B50094">
        <w:t>Texas</w:t>
      </w:r>
    </w:p>
    <w:p w14:paraId="4589E33E" w14:textId="77777777" w:rsidR="00B50094" w:rsidRDefault="00B50094" w:rsidP="00C550E4">
      <w:pPr>
        <w:rPr>
          <w:szCs w:val="22"/>
        </w:rPr>
      </w:pPr>
      <w:r>
        <w:rPr>
          <w:szCs w:val="22"/>
        </w:rPr>
        <w:t>I</w:t>
      </w:r>
      <w:r w:rsidR="00C550E4" w:rsidRPr="00B50094">
        <w:rPr>
          <w:szCs w:val="22"/>
        </w:rPr>
        <w:t>n Texas, a health insurer is not permitted to require more than one annual PA for a prescription drug for certain conditions.</w:t>
      </w:r>
    </w:p>
    <w:p w14:paraId="103CEE0E" w14:textId="77777777" w:rsidR="0017540B" w:rsidRDefault="0017540B" w:rsidP="0017540B">
      <w:pPr>
        <w:pStyle w:val="Heading4"/>
      </w:pPr>
      <w:r w:rsidRPr="00D64A84">
        <w:t>Wyoming</w:t>
      </w:r>
    </w:p>
    <w:p w14:paraId="70BA749C" w14:textId="2B56AE55" w:rsidR="00177373" w:rsidRDefault="008211E3" w:rsidP="0017540B">
      <w:pPr>
        <w:rPr>
          <w:szCs w:val="22"/>
        </w:rPr>
      </w:pPr>
      <w:r>
        <w:rPr>
          <w:szCs w:val="22"/>
        </w:rPr>
        <w:t xml:space="preserve">The </w:t>
      </w:r>
      <w:r w:rsidR="0017540B" w:rsidRPr="003E03F3">
        <w:rPr>
          <w:szCs w:val="22"/>
        </w:rPr>
        <w:t xml:space="preserve">Wyoming Insurance Code, titled </w:t>
      </w:r>
      <w:r w:rsidR="0017540B" w:rsidRPr="003E03F3">
        <w:rPr>
          <w:i/>
          <w:szCs w:val="22"/>
        </w:rPr>
        <w:t xml:space="preserve">Ensuring Transparency in </w:t>
      </w:r>
      <w:r w:rsidR="0017540B">
        <w:rPr>
          <w:i/>
          <w:szCs w:val="22"/>
        </w:rPr>
        <w:t>PA</w:t>
      </w:r>
      <w:r w:rsidR="0017540B" w:rsidRPr="003E03F3">
        <w:rPr>
          <w:i/>
          <w:szCs w:val="22"/>
        </w:rPr>
        <w:t xml:space="preserve"> Act </w:t>
      </w:r>
      <w:r w:rsidR="0017540B" w:rsidRPr="003E03F3">
        <w:rPr>
          <w:szCs w:val="22"/>
        </w:rPr>
        <w:t>was passed in 2024</w:t>
      </w:r>
      <w:r w:rsidR="0017540B" w:rsidRPr="003E03F3">
        <w:rPr>
          <w:szCs w:val="22"/>
          <w:vertAlign w:val="superscript"/>
        </w:rPr>
        <w:footnoteReference w:id="33"/>
      </w:r>
      <w:r w:rsidR="0017540B" w:rsidRPr="003E03F3">
        <w:rPr>
          <w:szCs w:val="22"/>
        </w:rPr>
        <w:t xml:space="preserve"> </w:t>
      </w:r>
      <w:r w:rsidR="008908A1">
        <w:rPr>
          <w:szCs w:val="22"/>
        </w:rPr>
        <w:t>and</w:t>
      </w:r>
      <w:r w:rsidR="0017540B" w:rsidRPr="003E03F3">
        <w:rPr>
          <w:szCs w:val="22"/>
        </w:rPr>
        <w:t xml:space="preserve"> addresse</w:t>
      </w:r>
      <w:r w:rsidR="00D64A84">
        <w:rPr>
          <w:szCs w:val="22"/>
        </w:rPr>
        <w:t>s</w:t>
      </w:r>
      <w:r w:rsidR="0017540B" w:rsidRPr="003E03F3">
        <w:rPr>
          <w:szCs w:val="22"/>
        </w:rPr>
        <w:t xml:space="preserve"> continuity of care and step therapy. If an individual changes health care coverage and has an approved </w:t>
      </w:r>
      <w:r w:rsidR="0017540B">
        <w:rPr>
          <w:szCs w:val="22"/>
        </w:rPr>
        <w:t>PA</w:t>
      </w:r>
      <w:r w:rsidR="0017540B" w:rsidRPr="003E03F3">
        <w:rPr>
          <w:szCs w:val="22"/>
        </w:rPr>
        <w:t xml:space="preserve"> with their prior insurer, and the health care service is a covered benefit under the new plan, the new insurer </w:t>
      </w:r>
      <w:r w:rsidR="00826C06">
        <w:rPr>
          <w:szCs w:val="22"/>
        </w:rPr>
        <w:t>must</w:t>
      </w:r>
      <w:r w:rsidR="0017540B" w:rsidRPr="003E03F3">
        <w:rPr>
          <w:szCs w:val="22"/>
        </w:rPr>
        <w:t xml:space="preserve"> honor the </w:t>
      </w:r>
      <w:r w:rsidR="0017540B">
        <w:rPr>
          <w:szCs w:val="22"/>
        </w:rPr>
        <w:t>PA</w:t>
      </w:r>
      <w:r w:rsidR="0017540B" w:rsidRPr="003E03F3">
        <w:rPr>
          <w:szCs w:val="22"/>
        </w:rPr>
        <w:t xml:space="preserve"> for </w:t>
      </w:r>
      <w:r w:rsidR="00826C06">
        <w:rPr>
          <w:szCs w:val="22"/>
        </w:rPr>
        <w:t>at least</w:t>
      </w:r>
      <w:r w:rsidR="00B4209F">
        <w:rPr>
          <w:szCs w:val="22"/>
        </w:rPr>
        <w:t xml:space="preserve"> </w:t>
      </w:r>
      <w:r w:rsidR="005C15BC">
        <w:rPr>
          <w:szCs w:val="22"/>
        </w:rPr>
        <w:t>90</w:t>
      </w:r>
      <w:r w:rsidR="0017540B" w:rsidRPr="003E03F3">
        <w:rPr>
          <w:szCs w:val="22"/>
        </w:rPr>
        <w:t xml:space="preserve"> days. </w:t>
      </w:r>
    </w:p>
    <w:p w14:paraId="5299201A" w14:textId="498EFF89" w:rsidR="00DF6C1A" w:rsidRDefault="0017540B" w:rsidP="0017540B">
      <w:pPr>
        <w:rPr>
          <w:szCs w:val="22"/>
        </w:rPr>
      </w:pPr>
      <w:r w:rsidRPr="003E03F3">
        <w:rPr>
          <w:szCs w:val="22"/>
        </w:rPr>
        <w:t>In addition,</w:t>
      </w:r>
      <w:r w:rsidR="00B4209F">
        <w:rPr>
          <w:szCs w:val="22"/>
        </w:rPr>
        <w:t xml:space="preserve"> </w:t>
      </w:r>
      <w:r w:rsidR="00DF6C1A">
        <w:rPr>
          <w:szCs w:val="22"/>
        </w:rPr>
        <w:t>insurers cannot require a consumer</w:t>
      </w:r>
      <w:r w:rsidR="00177373">
        <w:rPr>
          <w:szCs w:val="22"/>
        </w:rPr>
        <w:t xml:space="preserve"> to</w:t>
      </w:r>
      <w:r w:rsidR="00B4209F">
        <w:rPr>
          <w:szCs w:val="22"/>
        </w:rPr>
        <w:t xml:space="preserve"> </w:t>
      </w:r>
      <w:r w:rsidR="00DF6C1A" w:rsidRPr="003E03F3">
        <w:rPr>
          <w:szCs w:val="22"/>
        </w:rPr>
        <w:t>repeat a step therapy protocol</w:t>
      </w:r>
      <w:r w:rsidR="000B2EC4">
        <w:rPr>
          <w:szCs w:val="22"/>
        </w:rPr>
        <w:t xml:space="preserve"> if that enrollee,</w:t>
      </w:r>
      <w:r w:rsidR="00177373" w:rsidRPr="003E03F3">
        <w:rPr>
          <w:szCs w:val="22"/>
        </w:rPr>
        <w:t xml:space="preserve"> while under their current or previous health benefit plan, </w:t>
      </w:r>
      <w:proofErr w:type="gramStart"/>
      <w:r w:rsidR="00177373" w:rsidRPr="003E03F3">
        <w:rPr>
          <w:szCs w:val="22"/>
        </w:rPr>
        <w:t>used</w:t>
      </w:r>
      <w:proofErr w:type="gramEnd"/>
      <w:r w:rsidR="00177373" w:rsidRPr="003E03F3">
        <w:rPr>
          <w:szCs w:val="22"/>
        </w:rPr>
        <w:t xml:space="preserve"> the prescription drug required by the step therapy protocol, or another prescription drug in the same pharmacologic class</w:t>
      </w:r>
      <w:r w:rsidR="000B2EC4">
        <w:rPr>
          <w:szCs w:val="22"/>
        </w:rPr>
        <w:t>.</w:t>
      </w:r>
    </w:p>
    <w:p w14:paraId="6FBC3142" w14:textId="77777777" w:rsidR="001712D9" w:rsidRDefault="001712D9" w:rsidP="001712D9">
      <w:pPr>
        <w:pStyle w:val="Heading3"/>
      </w:pPr>
      <w:bookmarkStart w:id="29" w:name="_Toc203655707"/>
      <w:r>
        <w:t>Reducing response times</w:t>
      </w:r>
      <w:bookmarkEnd w:id="29"/>
    </w:p>
    <w:p w14:paraId="21BA9E73" w14:textId="77777777" w:rsidR="001712D9" w:rsidRDefault="001712D9" w:rsidP="001712D9">
      <w:pPr>
        <w:pStyle w:val="Heading4"/>
      </w:pPr>
      <w:r>
        <w:t>Oklahoma</w:t>
      </w:r>
    </w:p>
    <w:p w14:paraId="0F5D63CB" w14:textId="0574F29F" w:rsidR="001712D9" w:rsidRPr="003E03F3" w:rsidRDefault="001712D9" w:rsidP="001712D9">
      <w:pPr>
        <w:rPr>
          <w:szCs w:val="22"/>
        </w:rPr>
      </w:pPr>
      <w:r w:rsidRPr="003E03F3">
        <w:rPr>
          <w:szCs w:val="22"/>
        </w:rPr>
        <w:t>House Bill 3190</w:t>
      </w:r>
      <w:r w:rsidRPr="003E03F3">
        <w:rPr>
          <w:szCs w:val="22"/>
          <w:vertAlign w:val="superscript"/>
        </w:rPr>
        <w:footnoteReference w:id="34"/>
      </w:r>
      <w:r w:rsidRPr="003E03F3">
        <w:rPr>
          <w:szCs w:val="22"/>
        </w:rPr>
        <w:t xml:space="preserve">, which took effect on January 1, 2025, </w:t>
      </w:r>
      <w:r w:rsidR="00A44669">
        <w:rPr>
          <w:szCs w:val="22"/>
        </w:rPr>
        <w:t xml:space="preserve">requires </w:t>
      </w:r>
      <w:proofErr w:type="gramStart"/>
      <w:r w:rsidR="00A44669">
        <w:rPr>
          <w:szCs w:val="22"/>
        </w:rPr>
        <w:t>utilization</w:t>
      </w:r>
      <w:proofErr w:type="gramEnd"/>
      <w:r w:rsidRPr="003E03F3">
        <w:rPr>
          <w:szCs w:val="22"/>
        </w:rPr>
        <w:t xml:space="preserve"> review entities to respond more promptly to </w:t>
      </w:r>
      <w:r>
        <w:rPr>
          <w:szCs w:val="22"/>
        </w:rPr>
        <w:t>PA</w:t>
      </w:r>
      <w:r w:rsidRPr="003E03F3">
        <w:rPr>
          <w:szCs w:val="22"/>
        </w:rPr>
        <w:t xml:space="preserve"> requests. </w:t>
      </w:r>
      <w:r w:rsidR="00B10983">
        <w:rPr>
          <w:szCs w:val="22"/>
        </w:rPr>
        <w:t>After a utilization review entity has obtain</w:t>
      </w:r>
      <w:r w:rsidRPr="003E03F3">
        <w:rPr>
          <w:szCs w:val="22"/>
        </w:rPr>
        <w:t xml:space="preserve">ed all necessary information to make a </w:t>
      </w:r>
      <w:r w:rsidRPr="003E03F3">
        <w:rPr>
          <w:szCs w:val="22"/>
        </w:rPr>
        <w:lastRenderedPageBreak/>
        <w:t>decision, the</w:t>
      </w:r>
      <w:r w:rsidR="006D3C12">
        <w:rPr>
          <w:szCs w:val="22"/>
        </w:rPr>
        <w:t xml:space="preserve"> entit</w:t>
      </w:r>
      <w:r w:rsidRPr="003E03F3">
        <w:rPr>
          <w:szCs w:val="22"/>
        </w:rPr>
        <w:t xml:space="preserve">y must respond within 72 hours for urgent requests and within seven days for non-urgent requests. These expedited timelines are intended to facilitate timely care for patients. </w:t>
      </w:r>
    </w:p>
    <w:p w14:paraId="0CCA1733" w14:textId="77777777" w:rsidR="001712D9" w:rsidRDefault="001712D9" w:rsidP="001712D9">
      <w:pPr>
        <w:pStyle w:val="Heading4"/>
      </w:pPr>
      <w:r>
        <w:t>Texas</w:t>
      </w:r>
    </w:p>
    <w:p w14:paraId="3FE8B8B3" w14:textId="39615317" w:rsidR="001712D9" w:rsidRPr="003E03F3" w:rsidRDefault="001712D9" w:rsidP="001712D9">
      <w:pPr>
        <w:rPr>
          <w:szCs w:val="22"/>
        </w:rPr>
      </w:pPr>
      <w:r w:rsidRPr="003E03F3">
        <w:rPr>
          <w:szCs w:val="22"/>
        </w:rPr>
        <w:t>According to TDI</w:t>
      </w:r>
      <w:r w:rsidR="00A6154C">
        <w:rPr>
          <w:szCs w:val="22"/>
        </w:rPr>
        <w:t>,</w:t>
      </w:r>
      <w:r w:rsidRPr="003E03F3">
        <w:rPr>
          <w:szCs w:val="22"/>
        </w:rPr>
        <w:t xml:space="preserve"> commercial insurers have two business days to approve a </w:t>
      </w:r>
      <w:r>
        <w:rPr>
          <w:szCs w:val="22"/>
        </w:rPr>
        <w:t>PA</w:t>
      </w:r>
      <w:r w:rsidRPr="003E03F3">
        <w:rPr>
          <w:szCs w:val="22"/>
        </w:rPr>
        <w:t xml:space="preserve"> request after receiving all necessary information. Life-threatening conditions require a response within one hour and concurrent care within </w:t>
      </w:r>
      <w:r w:rsidR="009304E6">
        <w:rPr>
          <w:szCs w:val="22"/>
        </w:rPr>
        <w:t>24</w:t>
      </w:r>
      <w:r w:rsidRPr="003E03F3">
        <w:rPr>
          <w:szCs w:val="22"/>
        </w:rPr>
        <w:t xml:space="preserve"> hours. </w:t>
      </w:r>
    </w:p>
    <w:p w14:paraId="464BCA40" w14:textId="77777777" w:rsidR="004C720D" w:rsidRDefault="004C720D" w:rsidP="004C720D">
      <w:pPr>
        <w:pStyle w:val="Heading4"/>
      </w:pPr>
      <w:r>
        <w:t>Washington</w:t>
      </w:r>
    </w:p>
    <w:p w14:paraId="649AC4ED" w14:textId="77777777" w:rsidR="004C720D" w:rsidRPr="00CB13F0" w:rsidRDefault="004C720D" w:rsidP="004C720D">
      <w:pPr>
        <w:rPr>
          <w:szCs w:val="22"/>
        </w:rPr>
      </w:pPr>
      <w:r w:rsidRPr="003E03F3">
        <w:rPr>
          <w:szCs w:val="22"/>
        </w:rPr>
        <w:t xml:space="preserve">The Evergreen State has implemented shorter turnaround times for </w:t>
      </w:r>
      <w:r>
        <w:rPr>
          <w:szCs w:val="22"/>
        </w:rPr>
        <w:t>PA</w:t>
      </w:r>
      <w:r w:rsidRPr="003E03F3">
        <w:rPr>
          <w:szCs w:val="22"/>
        </w:rPr>
        <w:t xml:space="preserve"> approvals</w:t>
      </w:r>
      <w:r w:rsidRPr="003E03F3">
        <w:rPr>
          <w:szCs w:val="22"/>
          <w:vertAlign w:val="superscript"/>
        </w:rPr>
        <w:footnoteReference w:id="35"/>
      </w:r>
      <w:r w:rsidRPr="003E03F3">
        <w:rPr>
          <w:szCs w:val="22"/>
        </w:rPr>
        <w:t>, ranging from one to five calendar days, aiming for timely patient access to care.</w:t>
      </w:r>
      <w:r>
        <w:rPr>
          <w:szCs w:val="22"/>
        </w:rPr>
        <w:t xml:space="preserve"> </w:t>
      </w:r>
      <w:r w:rsidRPr="003E03F3">
        <w:rPr>
          <w:szCs w:val="22"/>
        </w:rPr>
        <w:t>The required turnaround times differ depending on how the request is submitted to the carrier (non-electronic versus electronic) and whether the request is urgent.</w:t>
      </w:r>
      <w:r>
        <w:rPr>
          <w:szCs w:val="22"/>
        </w:rPr>
        <w:t xml:space="preserve"> </w:t>
      </w:r>
      <w:r w:rsidRPr="003E03F3">
        <w:rPr>
          <w:szCs w:val="22"/>
        </w:rPr>
        <w:t xml:space="preserve">For electronic </w:t>
      </w:r>
      <w:r>
        <w:rPr>
          <w:szCs w:val="22"/>
        </w:rPr>
        <w:t>PA</w:t>
      </w:r>
      <w:r w:rsidRPr="003E03F3">
        <w:rPr>
          <w:szCs w:val="22"/>
        </w:rPr>
        <w:t xml:space="preserve"> requests, carriers must </w:t>
      </w:r>
      <w:proofErr w:type="gramStart"/>
      <w:r w:rsidRPr="003E03F3">
        <w:rPr>
          <w:szCs w:val="22"/>
        </w:rPr>
        <w:t>make a decision</w:t>
      </w:r>
      <w:proofErr w:type="gramEnd"/>
      <w:r w:rsidRPr="003E03F3">
        <w:rPr>
          <w:szCs w:val="22"/>
        </w:rPr>
        <w:t xml:space="preserve"> and notify the provider and facility of the decision within three calendar days for a standard request and within one calendar day for an urgent request.</w:t>
      </w:r>
      <w:r>
        <w:rPr>
          <w:szCs w:val="22"/>
        </w:rPr>
        <w:t xml:space="preserve"> </w:t>
      </w:r>
      <w:r w:rsidRPr="003E03F3">
        <w:rPr>
          <w:szCs w:val="22"/>
        </w:rPr>
        <w:t>The turnaround times are a little longer for non-electronic requests - within five calendar days for a standard request and two calendar days for an urgent request.</w:t>
      </w:r>
    </w:p>
    <w:p w14:paraId="7FE2FC40" w14:textId="17FB8805" w:rsidR="00873DFE" w:rsidRDefault="00873DFE" w:rsidP="001712D9">
      <w:pPr>
        <w:pStyle w:val="Heading4"/>
      </w:pPr>
      <w:r>
        <w:t>West Virginia</w:t>
      </w:r>
    </w:p>
    <w:p w14:paraId="6D320695" w14:textId="1BF806D6" w:rsidR="00873DFE" w:rsidRPr="00873DFE" w:rsidRDefault="00873DFE" w:rsidP="00873DFE">
      <w:r>
        <w:rPr>
          <w:szCs w:val="22"/>
        </w:rPr>
        <w:t>West Virginia</w:t>
      </w:r>
      <w:r w:rsidRPr="003E03F3">
        <w:rPr>
          <w:szCs w:val="22"/>
        </w:rPr>
        <w:t xml:space="preserve"> statute allows for a bundled request per episode of care. An episode of care is defined as a medical condition or specific illness.</w:t>
      </w:r>
      <w:r>
        <w:rPr>
          <w:szCs w:val="22"/>
        </w:rPr>
        <w:t xml:space="preserve"> </w:t>
      </w:r>
      <w:r w:rsidRPr="003E03F3">
        <w:rPr>
          <w:szCs w:val="22"/>
        </w:rPr>
        <w:t xml:space="preserve">For non-life threatening or routine medical conditions, the health insurer must respond within five business days from the date the </w:t>
      </w:r>
      <w:r>
        <w:rPr>
          <w:szCs w:val="22"/>
        </w:rPr>
        <w:t>PA</w:t>
      </w:r>
      <w:r w:rsidRPr="003E03F3">
        <w:rPr>
          <w:szCs w:val="22"/>
        </w:rPr>
        <w:t xml:space="preserve"> was received.</w:t>
      </w:r>
      <w:r>
        <w:rPr>
          <w:szCs w:val="22"/>
        </w:rPr>
        <w:t xml:space="preserve"> </w:t>
      </w:r>
      <w:r w:rsidRPr="003E03F3">
        <w:rPr>
          <w:szCs w:val="22"/>
        </w:rPr>
        <w:t xml:space="preserve">For life threatening or non-routine medical conditions, the insurer must respond within two business days. Incomplete </w:t>
      </w:r>
      <w:r>
        <w:rPr>
          <w:szCs w:val="22"/>
        </w:rPr>
        <w:t>PA</w:t>
      </w:r>
      <w:r w:rsidRPr="003E03F3">
        <w:rPr>
          <w:szCs w:val="22"/>
        </w:rPr>
        <w:t>s must be corrected within two business days by the provider from the date of receipt of the insurer.</w:t>
      </w:r>
      <w:r>
        <w:rPr>
          <w:szCs w:val="22"/>
        </w:rPr>
        <w:t xml:space="preserve"> </w:t>
      </w:r>
      <w:r w:rsidRPr="003E03F3">
        <w:rPr>
          <w:szCs w:val="22"/>
        </w:rPr>
        <w:t>The health care provider shall provide the requested information within three business days from the date of the returned request and the health insurer shall render a determination within two business days after the receipt of the requested information.</w:t>
      </w:r>
    </w:p>
    <w:p w14:paraId="5E027534" w14:textId="7EBBA62D" w:rsidR="001712D9" w:rsidRPr="003E03F3" w:rsidRDefault="001712D9" w:rsidP="001712D9">
      <w:pPr>
        <w:pStyle w:val="Heading4"/>
      </w:pPr>
      <w:r w:rsidRPr="003E03F3">
        <w:t xml:space="preserve">Wyoming </w:t>
      </w:r>
    </w:p>
    <w:p w14:paraId="1F57455A" w14:textId="490B2635" w:rsidR="001712D9" w:rsidRDefault="00C24B94" w:rsidP="001712D9">
      <w:pPr>
        <w:rPr>
          <w:szCs w:val="22"/>
        </w:rPr>
      </w:pPr>
      <w:r>
        <w:rPr>
          <w:szCs w:val="22"/>
        </w:rPr>
        <w:t xml:space="preserve">The </w:t>
      </w:r>
      <w:r w:rsidR="001712D9" w:rsidRPr="003E03F3">
        <w:rPr>
          <w:i/>
          <w:szCs w:val="22"/>
        </w:rPr>
        <w:t xml:space="preserve">Ensuring Transparency in </w:t>
      </w:r>
      <w:r w:rsidR="001712D9">
        <w:rPr>
          <w:i/>
          <w:szCs w:val="22"/>
        </w:rPr>
        <w:t>PA</w:t>
      </w:r>
      <w:r w:rsidR="001712D9" w:rsidRPr="003E03F3">
        <w:rPr>
          <w:i/>
          <w:szCs w:val="22"/>
        </w:rPr>
        <w:t xml:space="preserve"> Act </w:t>
      </w:r>
      <w:r w:rsidR="001712D9" w:rsidRPr="003E03F3">
        <w:rPr>
          <w:szCs w:val="22"/>
        </w:rPr>
        <w:t xml:space="preserve">relied heavily on </w:t>
      </w:r>
      <w:hyperlink w:anchor="_American_Medical_Association" w:history="1">
        <w:r w:rsidR="001712D9" w:rsidRPr="000C02AE">
          <w:rPr>
            <w:rStyle w:val="Hyperlink"/>
            <w:szCs w:val="22"/>
          </w:rPr>
          <w:t>the American Medical Association model</w:t>
        </w:r>
      </w:hyperlink>
      <w:r w:rsidR="001712D9">
        <w:rPr>
          <w:szCs w:val="22"/>
        </w:rPr>
        <w:t xml:space="preserve"> and </w:t>
      </w:r>
      <w:r w:rsidR="001712D9" w:rsidRPr="003E03F3">
        <w:rPr>
          <w:szCs w:val="22"/>
        </w:rPr>
        <w:t xml:space="preserve">established response times for </w:t>
      </w:r>
      <w:r w:rsidR="001712D9">
        <w:rPr>
          <w:szCs w:val="22"/>
        </w:rPr>
        <w:t>PA</w:t>
      </w:r>
      <w:r w:rsidR="001712D9" w:rsidRPr="003E03F3">
        <w:rPr>
          <w:szCs w:val="22"/>
        </w:rPr>
        <w:t xml:space="preserve"> requests.</w:t>
      </w:r>
      <w:r w:rsidRPr="003E03F3">
        <w:rPr>
          <w:szCs w:val="22"/>
          <w:vertAlign w:val="superscript"/>
        </w:rPr>
        <w:footnoteReference w:id="36"/>
      </w:r>
      <w:r w:rsidR="001712D9" w:rsidRPr="003E03F3">
        <w:rPr>
          <w:szCs w:val="22"/>
        </w:rPr>
        <w:t xml:space="preserve"> </w:t>
      </w:r>
      <w:r w:rsidR="001712D9">
        <w:rPr>
          <w:szCs w:val="22"/>
        </w:rPr>
        <w:t>PA</w:t>
      </w:r>
      <w:r w:rsidR="001712D9" w:rsidRPr="003E03F3">
        <w:rPr>
          <w:szCs w:val="22"/>
        </w:rPr>
        <w:t xml:space="preserve"> response times for non-emergent responses are to be within five calendar days of obtaining all necessary information to complete the review. Urgent </w:t>
      </w:r>
      <w:proofErr w:type="gramStart"/>
      <w:r w:rsidR="001712D9" w:rsidRPr="003E03F3">
        <w:rPr>
          <w:szCs w:val="22"/>
        </w:rPr>
        <w:t>authorizations are</w:t>
      </w:r>
      <w:proofErr w:type="gramEnd"/>
      <w:r w:rsidR="001712D9" w:rsidRPr="003E03F3">
        <w:rPr>
          <w:szCs w:val="22"/>
        </w:rPr>
        <w:t xml:space="preserve"> to be completed within </w:t>
      </w:r>
      <w:r w:rsidR="00647F00">
        <w:rPr>
          <w:szCs w:val="22"/>
        </w:rPr>
        <w:t>72</w:t>
      </w:r>
      <w:r w:rsidR="001712D9" w:rsidRPr="003E03F3">
        <w:rPr>
          <w:szCs w:val="22"/>
        </w:rPr>
        <w:t xml:space="preserve"> hours of obtaining all necessary information. Health insurers and contracted utilization review entities shall not require </w:t>
      </w:r>
      <w:r w:rsidR="001712D9">
        <w:rPr>
          <w:szCs w:val="22"/>
        </w:rPr>
        <w:t>PA</w:t>
      </w:r>
      <w:r w:rsidR="001712D9" w:rsidRPr="003E03F3">
        <w:rPr>
          <w:szCs w:val="22"/>
        </w:rPr>
        <w:t xml:space="preserve"> for medications used for opioid use disorder. In addition, a health insurer or contracted utilization review entity shall not require </w:t>
      </w:r>
      <w:r w:rsidR="001712D9">
        <w:rPr>
          <w:szCs w:val="22"/>
        </w:rPr>
        <w:t>PA</w:t>
      </w:r>
      <w:r w:rsidR="001712D9" w:rsidRPr="003E03F3">
        <w:rPr>
          <w:szCs w:val="22"/>
        </w:rPr>
        <w:t xml:space="preserve"> for rehabilitative or habilitative services including, but not limited to, physical therapy service or occupations therapy services for the first twelve visits for each new episode of care.</w:t>
      </w:r>
    </w:p>
    <w:p w14:paraId="43C6DE93" w14:textId="3E944B1A" w:rsidR="0003781F" w:rsidRDefault="00A61E3F" w:rsidP="0003781F">
      <w:pPr>
        <w:pStyle w:val="Heading3"/>
      </w:pPr>
      <w:bookmarkStart w:id="30" w:name="_Toc203655708"/>
      <w:r>
        <w:t>Updating</w:t>
      </w:r>
      <w:r w:rsidR="0003781F">
        <w:t xml:space="preserve"> technology and systems</w:t>
      </w:r>
      <w:bookmarkEnd w:id="30"/>
    </w:p>
    <w:p w14:paraId="3F557350" w14:textId="77777777" w:rsidR="0003781F" w:rsidRPr="009E5E8D" w:rsidRDefault="0003781F" w:rsidP="0003781F">
      <w:pPr>
        <w:pStyle w:val="Heading4"/>
      </w:pPr>
      <w:r w:rsidRPr="009E5E8D">
        <w:t xml:space="preserve">Texas </w:t>
      </w:r>
    </w:p>
    <w:p w14:paraId="3CEC7BA3" w14:textId="3FD5127E" w:rsidR="0003781F" w:rsidRDefault="0003781F" w:rsidP="0003781F">
      <w:pPr>
        <w:rPr>
          <w:szCs w:val="22"/>
        </w:rPr>
      </w:pPr>
      <w:r w:rsidRPr="003E03F3">
        <w:rPr>
          <w:szCs w:val="22"/>
        </w:rPr>
        <w:t>In 2014, Texas mandat</w:t>
      </w:r>
      <w:r w:rsidR="006A6B59">
        <w:rPr>
          <w:szCs w:val="22"/>
        </w:rPr>
        <w:t>ed</w:t>
      </w:r>
      <w:r w:rsidRPr="003E03F3">
        <w:rPr>
          <w:szCs w:val="22"/>
        </w:rPr>
        <w:t xml:space="preserve"> standardized </w:t>
      </w:r>
      <w:r>
        <w:rPr>
          <w:szCs w:val="22"/>
        </w:rPr>
        <w:t>PA</w:t>
      </w:r>
      <w:r w:rsidRPr="003E03F3">
        <w:rPr>
          <w:szCs w:val="22"/>
        </w:rPr>
        <w:t xml:space="preserve"> request forms for health care services and prescription drug benefits.</w:t>
      </w:r>
      <w:r w:rsidR="006A6B59">
        <w:rPr>
          <w:rStyle w:val="FootnoteReference"/>
          <w:szCs w:val="22"/>
        </w:rPr>
        <w:footnoteReference w:id="37"/>
      </w:r>
      <w:r w:rsidRPr="003E03F3">
        <w:rPr>
          <w:szCs w:val="22"/>
        </w:rPr>
        <w:t xml:space="preserve"> The code, which took effect on September 1, 2015, established an advisory committee tasked </w:t>
      </w:r>
      <w:r w:rsidRPr="003E03F3">
        <w:rPr>
          <w:szCs w:val="22"/>
        </w:rPr>
        <w:lastRenderedPageBreak/>
        <w:t xml:space="preserve">with updating the forms every two years. Its primary goal was to streamline the </w:t>
      </w:r>
      <w:r>
        <w:rPr>
          <w:szCs w:val="22"/>
        </w:rPr>
        <w:t>PA</w:t>
      </w:r>
      <w:r w:rsidRPr="003E03F3">
        <w:rPr>
          <w:szCs w:val="22"/>
        </w:rPr>
        <w:t xml:space="preserve"> process, making it more efficient and transparent for both providers and patients. By standardizing the forms and ensuring their accessibility, the code aimed to reduce confusion and facilitate a smoother authorization process for necessary health care services.</w:t>
      </w:r>
      <w:r w:rsidR="00C92684">
        <w:rPr>
          <w:szCs w:val="22"/>
        </w:rPr>
        <w:t xml:space="preserve"> </w:t>
      </w:r>
      <w:r w:rsidRPr="003E03F3">
        <w:rPr>
          <w:szCs w:val="22"/>
        </w:rPr>
        <w:t>The forms must be provided in both paper and electronic formats and made accessible on health plan websites. Medicaid and CHIP</w:t>
      </w:r>
      <w:r w:rsidR="000B5B58">
        <w:rPr>
          <w:szCs w:val="22"/>
        </w:rPr>
        <w:t xml:space="preserve"> </w:t>
      </w:r>
      <w:r w:rsidRPr="003E03F3">
        <w:rPr>
          <w:szCs w:val="22"/>
        </w:rPr>
        <w:t xml:space="preserve">are required to accept these forms. </w:t>
      </w:r>
    </w:p>
    <w:p w14:paraId="574FF9E0" w14:textId="77777777" w:rsidR="0003781F" w:rsidRPr="009E5E8D" w:rsidRDefault="0003781F" w:rsidP="0003781F">
      <w:pPr>
        <w:pStyle w:val="Heading4"/>
      </w:pPr>
      <w:r w:rsidRPr="009E5E8D">
        <w:t>Washington</w:t>
      </w:r>
    </w:p>
    <w:p w14:paraId="3231E22A" w14:textId="5BD159CF" w:rsidR="0003781F" w:rsidRPr="003E03F3" w:rsidRDefault="0003781F" w:rsidP="0003781F">
      <w:pPr>
        <w:rPr>
          <w:szCs w:val="22"/>
        </w:rPr>
      </w:pPr>
      <w:r w:rsidRPr="003E03F3">
        <w:rPr>
          <w:szCs w:val="22"/>
        </w:rPr>
        <w:t xml:space="preserve">Washington state's </w:t>
      </w:r>
      <w:r>
        <w:rPr>
          <w:szCs w:val="22"/>
        </w:rPr>
        <w:t>PA</w:t>
      </w:r>
      <w:r w:rsidRPr="003E03F3">
        <w:rPr>
          <w:szCs w:val="22"/>
        </w:rPr>
        <w:t xml:space="preserve"> legislation differs from other states by prioritizing the use of Electronic Health Records (EHR) and interoperable systems, requiring automatic decisioning of some requests, and setting faster turnaround times for </w:t>
      </w:r>
      <w:r>
        <w:rPr>
          <w:szCs w:val="22"/>
        </w:rPr>
        <w:t>PA</w:t>
      </w:r>
      <w:r w:rsidRPr="003E03F3">
        <w:rPr>
          <w:szCs w:val="22"/>
        </w:rPr>
        <w:t xml:space="preserve"> approvals. It also requires carriers to include </w:t>
      </w:r>
      <w:r>
        <w:rPr>
          <w:szCs w:val="22"/>
        </w:rPr>
        <w:t>PA</w:t>
      </w:r>
      <w:r w:rsidRPr="003E03F3">
        <w:rPr>
          <w:szCs w:val="22"/>
        </w:rPr>
        <w:t xml:space="preserve"> data in their annual report to the Office of the Insurance Commissioner (OIC). Washington was the first state to mandate that carriers receive </w:t>
      </w:r>
      <w:r>
        <w:rPr>
          <w:szCs w:val="22"/>
        </w:rPr>
        <w:t>PA</w:t>
      </w:r>
      <w:r w:rsidRPr="003E03F3">
        <w:rPr>
          <w:szCs w:val="22"/>
        </w:rPr>
        <w:t xml:space="preserve"> requests through physician practice EHRs.</w:t>
      </w:r>
      <w:r w:rsidR="006F0E32">
        <w:rPr>
          <w:szCs w:val="22"/>
        </w:rPr>
        <w:t xml:space="preserve"> </w:t>
      </w:r>
    </w:p>
    <w:p w14:paraId="20B5F438" w14:textId="73B5B7A7" w:rsidR="0003781F" w:rsidRPr="003E03F3" w:rsidRDefault="0003781F" w:rsidP="0003781F">
      <w:pPr>
        <w:rPr>
          <w:szCs w:val="22"/>
        </w:rPr>
      </w:pPr>
      <w:r w:rsidRPr="003E03F3">
        <w:rPr>
          <w:szCs w:val="22"/>
        </w:rPr>
        <w:t>With the passage of Engrossed Second Substitute House Bill (ESSHB)1357</w:t>
      </w:r>
      <w:r w:rsidRPr="003E03F3">
        <w:rPr>
          <w:szCs w:val="22"/>
          <w:vertAlign w:val="superscript"/>
        </w:rPr>
        <w:footnoteReference w:id="38"/>
      </w:r>
      <w:r w:rsidRPr="003E03F3">
        <w:rPr>
          <w:szCs w:val="22"/>
        </w:rPr>
        <w:t xml:space="preserve"> in 2023, each carrier is required to build and maintain a </w:t>
      </w:r>
      <w:r>
        <w:rPr>
          <w:szCs w:val="22"/>
        </w:rPr>
        <w:t>PA</w:t>
      </w:r>
      <w:r w:rsidRPr="003E03F3">
        <w:rPr>
          <w:szCs w:val="22"/>
        </w:rPr>
        <w:t xml:space="preserve"> application programming interface (API) that automates the process for in-network providers to determine whether a </w:t>
      </w:r>
      <w:r>
        <w:rPr>
          <w:szCs w:val="22"/>
        </w:rPr>
        <w:t>PA</w:t>
      </w:r>
      <w:r w:rsidRPr="003E03F3">
        <w:rPr>
          <w:szCs w:val="22"/>
        </w:rPr>
        <w:t xml:space="preserve"> is required for health care services, identify </w:t>
      </w:r>
      <w:r>
        <w:rPr>
          <w:szCs w:val="22"/>
        </w:rPr>
        <w:t>PA</w:t>
      </w:r>
      <w:r w:rsidRPr="003E03F3">
        <w:rPr>
          <w:szCs w:val="22"/>
        </w:rPr>
        <w:t xml:space="preserve"> information and documentation requirements, and facilitate the exchange of </w:t>
      </w:r>
      <w:r>
        <w:rPr>
          <w:szCs w:val="22"/>
        </w:rPr>
        <w:t>PA</w:t>
      </w:r>
      <w:r w:rsidRPr="003E03F3">
        <w:rPr>
          <w:szCs w:val="22"/>
        </w:rPr>
        <w:t xml:space="preserve"> requests and </w:t>
      </w:r>
      <w:r w:rsidR="00ED3E5B">
        <w:rPr>
          <w:szCs w:val="22"/>
        </w:rPr>
        <w:t>determinations</w:t>
      </w:r>
      <w:r w:rsidRPr="003E03F3">
        <w:rPr>
          <w:szCs w:val="22"/>
        </w:rPr>
        <w:t xml:space="preserve"> from its EHR or practice management system by January 1, 2025.</w:t>
      </w:r>
      <w:r w:rsidR="006F0E32">
        <w:rPr>
          <w:szCs w:val="22"/>
        </w:rPr>
        <w:t xml:space="preserve"> </w:t>
      </w:r>
      <w:r w:rsidRPr="003E03F3">
        <w:rPr>
          <w:szCs w:val="22"/>
        </w:rPr>
        <w:t xml:space="preserve">Carriers would also be required to automate the process to determine whether a </w:t>
      </w:r>
      <w:r>
        <w:rPr>
          <w:szCs w:val="22"/>
        </w:rPr>
        <w:t>PA</w:t>
      </w:r>
      <w:r w:rsidRPr="003E03F3">
        <w:rPr>
          <w:szCs w:val="22"/>
        </w:rPr>
        <w:t xml:space="preserve"> is required for durable medical equipment or a health care service, streamlining the process. The API requirements were modified by Substitute House Bill (SHB) 1706</w:t>
      </w:r>
      <w:r w:rsidRPr="003E03F3">
        <w:rPr>
          <w:szCs w:val="22"/>
          <w:vertAlign w:val="superscript"/>
        </w:rPr>
        <w:footnoteReference w:id="39"/>
      </w:r>
      <w:r w:rsidRPr="003E03F3">
        <w:rPr>
          <w:szCs w:val="22"/>
        </w:rPr>
        <w:t xml:space="preserve"> in 2025 to align the API requirements codified in Washington’s RCW with the guidance and timelines in the </w:t>
      </w:r>
      <w:hyperlink w:anchor="_The_federal_government_1" w:history="1">
        <w:r w:rsidRPr="00236A39">
          <w:rPr>
            <w:rStyle w:val="Hyperlink"/>
            <w:szCs w:val="22"/>
          </w:rPr>
          <w:t>CMS Interoperability and PA Final Rule</w:t>
        </w:r>
      </w:hyperlink>
      <w:r w:rsidRPr="003E03F3">
        <w:rPr>
          <w:szCs w:val="22"/>
          <w:vertAlign w:val="superscript"/>
        </w:rPr>
        <w:footnoteReference w:id="40"/>
      </w:r>
      <w:r w:rsidRPr="003E03F3">
        <w:rPr>
          <w:szCs w:val="22"/>
        </w:rPr>
        <w:t>.</w:t>
      </w:r>
    </w:p>
    <w:p w14:paraId="22F85C32" w14:textId="77777777" w:rsidR="0003781F" w:rsidRPr="003E03F3" w:rsidRDefault="0003781F" w:rsidP="0003781F">
      <w:pPr>
        <w:pStyle w:val="Heading4"/>
      </w:pPr>
      <w:r w:rsidRPr="003E03F3">
        <w:t>West Virginia</w:t>
      </w:r>
    </w:p>
    <w:p w14:paraId="2CF5B791" w14:textId="1D3B15AF" w:rsidR="0003781F" w:rsidRPr="003E03F3" w:rsidRDefault="0003781F" w:rsidP="0003781F">
      <w:pPr>
        <w:rPr>
          <w:szCs w:val="22"/>
        </w:rPr>
      </w:pPr>
      <w:r w:rsidRPr="003E03F3">
        <w:rPr>
          <w:szCs w:val="22"/>
        </w:rPr>
        <w:t xml:space="preserve">During the 2024 Legislative Session, WV updated </w:t>
      </w:r>
      <w:r>
        <w:rPr>
          <w:szCs w:val="22"/>
        </w:rPr>
        <w:t>PA</w:t>
      </w:r>
      <w:r w:rsidRPr="003E03F3">
        <w:rPr>
          <w:szCs w:val="22"/>
        </w:rPr>
        <w:t xml:space="preserve"> laws</w:t>
      </w:r>
      <w:r w:rsidRPr="003E03F3">
        <w:rPr>
          <w:szCs w:val="22"/>
          <w:vertAlign w:val="superscript"/>
        </w:rPr>
        <w:footnoteReference w:id="41"/>
      </w:r>
      <w:r w:rsidRPr="003E03F3">
        <w:rPr>
          <w:szCs w:val="22"/>
        </w:rPr>
        <w:t xml:space="preserve"> to require a health insurer to submit requests with any related communication via an electronic portal. </w:t>
      </w:r>
    </w:p>
    <w:p w14:paraId="7C9D0AC4" w14:textId="5087F282" w:rsidR="00451ADF" w:rsidRDefault="00451ADF" w:rsidP="00AC6DF6">
      <w:pPr>
        <w:pStyle w:val="Heading3"/>
      </w:pPr>
      <w:bookmarkStart w:id="31" w:name="_Toc203655709"/>
      <w:r>
        <w:t>Improving transparency</w:t>
      </w:r>
      <w:bookmarkEnd w:id="31"/>
    </w:p>
    <w:p w14:paraId="65DEACF4" w14:textId="24DE3B7E" w:rsidR="00451ADF" w:rsidRPr="009E5E8D" w:rsidRDefault="00451ADF" w:rsidP="00AC6DF6">
      <w:pPr>
        <w:pStyle w:val="Heading4"/>
      </w:pPr>
      <w:r w:rsidRPr="009E5E8D">
        <w:t>Oklahoma</w:t>
      </w:r>
    </w:p>
    <w:p w14:paraId="161BDAE7" w14:textId="5A85DD65" w:rsidR="00E02A24" w:rsidRDefault="00451ADF" w:rsidP="00451ADF">
      <w:pPr>
        <w:rPr>
          <w:szCs w:val="22"/>
        </w:rPr>
      </w:pPr>
      <w:r w:rsidRPr="003E03F3">
        <w:rPr>
          <w:szCs w:val="22"/>
        </w:rPr>
        <w:t>House Bill 3190</w:t>
      </w:r>
      <w:r w:rsidRPr="003E03F3">
        <w:rPr>
          <w:szCs w:val="22"/>
          <w:vertAlign w:val="superscript"/>
        </w:rPr>
        <w:footnoteReference w:id="42"/>
      </w:r>
      <w:r w:rsidR="00D4472C">
        <w:rPr>
          <w:szCs w:val="22"/>
        </w:rPr>
        <w:t xml:space="preserve"> </w:t>
      </w:r>
      <w:r w:rsidRPr="003E03F3">
        <w:rPr>
          <w:szCs w:val="22"/>
        </w:rPr>
        <w:t xml:space="preserve">requires health insurers to publish their </w:t>
      </w:r>
      <w:r>
        <w:rPr>
          <w:szCs w:val="22"/>
        </w:rPr>
        <w:t>PA</w:t>
      </w:r>
      <w:r w:rsidRPr="003E03F3">
        <w:rPr>
          <w:szCs w:val="22"/>
        </w:rPr>
        <w:t xml:space="preserve"> requirements online, ensuring they are accessible to patients and providers. </w:t>
      </w:r>
      <w:r w:rsidR="00E02A24" w:rsidRPr="003E03F3">
        <w:rPr>
          <w:szCs w:val="22"/>
        </w:rPr>
        <w:t xml:space="preserve">If a utilization review entity—defined as an individual or organization that performs </w:t>
      </w:r>
      <w:r w:rsidR="00E02A24">
        <w:rPr>
          <w:szCs w:val="22"/>
        </w:rPr>
        <w:t>PA</w:t>
      </w:r>
      <w:r w:rsidR="00E02A24" w:rsidRPr="003E03F3">
        <w:rPr>
          <w:szCs w:val="22"/>
        </w:rPr>
        <w:t xml:space="preserve"> for a health benefit plan—plans to implement a new requirement or change an existing one, they cannot do so until their website reflects the updated information.</w:t>
      </w:r>
    </w:p>
    <w:p w14:paraId="01F93FC5" w14:textId="77777777" w:rsidR="004D5BA5" w:rsidRPr="003E03F3" w:rsidRDefault="004D5BA5" w:rsidP="004D5BA5">
      <w:pPr>
        <w:rPr>
          <w:szCs w:val="22"/>
        </w:rPr>
      </w:pPr>
      <w:r w:rsidRPr="003E03F3">
        <w:rPr>
          <w:szCs w:val="22"/>
        </w:rPr>
        <w:t xml:space="preserve">Furthermore, utilization review entities are required to enhance communication opportunities during the </w:t>
      </w:r>
      <w:r>
        <w:rPr>
          <w:szCs w:val="22"/>
        </w:rPr>
        <w:t>PA</w:t>
      </w:r>
      <w:r w:rsidRPr="003E03F3">
        <w:rPr>
          <w:szCs w:val="22"/>
        </w:rPr>
        <w:t xml:space="preserve"> process. They must have staff available for phone calls regarding </w:t>
      </w:r>
      <w:r>
        <w:rPr>
          <w:szCs w:val="22"/>
        </w:rPr>
        <w:t>PA</w:t>
      </w:r>
      <w:r w:rsidRPr="003E03F3">
        <w:rPr>
          <w:szCs w:val="22"/>
        </w:rPr>
        <w:t xml:space="preserve"> issues at least eight hours a day during normal business hours. In addition, they must allow staff to address communications about </w:t>
      </w:r>
      <w:r>
        <w:rPr>
          <w:szCs w:val="22"/>
        </w:rPr>
        <w:t>PA</w:t>
      </w:r>
      <w:r w:rsidRPr="003E03F3">
        <w:rPr>
          <w:szCs w:val="22"/>
        </w:rPr>
        <w:t xml:space="preserve"> </w:t>
      </w:r>
      <w:r w:rsidRPr="003E03F3">
        <w:rPr>
          <w:szCs w:val="22"/>
        </w:rPr>
        <w:lastRenderedPageBreak/>
        <w:t xml:space="preserve">concerns after regular business hours and provide treating providers with the opportunity to discuss a </w:t>
      </w:r>
      <w:r>
        <w:rPr>
          <w:szCs w:val="22"/>
        </w:rPr>
        <w:t>PA</w:t>
      </w:r>
      <w:r w:rsidRPr="003E03F3">
        <w:rPr>
          <w:szCs w:val="22"/>
        </w:rPr>
        <w:t xml:space="preserve"> denial with an appropriate reviewer. </w:t>
      </w:r>
    </w:p>
    <w:p w14:paraId="4491608F" w14:textId="77777777" w:rsidR="00127AB5" w:rsidRDefault="004D5BA5" w:rsidP="004D5BA5">
      <w:pPr>
        <w:rPr>
          <w:szCs w:val="22"/>
        </w:rPr>
      </w:pPr>
      <w:r w:rsidRPr="003E03F3">
        <w:rPr>
          <w:szCs w:val="22"/>
        </w:rPr>
        <w:t>All adverse determinations and appeal decisions must be made by a physician or licensed mental health professional to ensure that qualified professionals are involved in medical decisions. For adverse determinations, the physician or licensed mental health professional must:</w:t>
      </w:r>
    </w:p>
    <w:p w14:paraId="1DF3A31F" w14:textId="77777777" w:rsidR="00127AB5" w:rsidRDefault="004D5BA5" w:rsidP="00127AB5">
      <w:pPr>
        <w:pStyle w:val="ListParagraph"/>
        <w:numPr>
          <w:ilvl w:val="0"/>
          <w:numId w:val="12"/>
        </w:numPr>
        <w:rPr>
          <w:szCs w:val="22"/>
        </w:rPr>
      </w:pPr>
      <w:r w:rsidRPr="00127AB5">
        <w:rPr>
          <w:szCs w:val="22"/>
        </w:rPr>
        <w:t xml:space="preserve">possess a current and valid unrestricted license in the United States; </w:t>
      </w:r>
    </w:p>
    <w:p w14:paraId="7A0B77BB" w14:textId="53227114" w:rsidR="00127AB5" w:rsidRDefault="004D5BA5" w:rsidP="00127AB5">
      <w:pPr>
        <w:pStyle w:val="ListParagraph"/>
        <w:numPr>
          <w:ilvl w:val="0"/>
          <w:numId w:val="12"/>
        </w:numPr>
        <w:rPr>
          <w:szCs w:val="22"/>
        </w:rPr>
      </w:pPr>
      <w:r w:rsidRPr="00127AB5">
        <w:rPr>
          <w:szCs w:val="22"/>
        </w:rPr>
        <w:t xml:space="preserve">have the appropriate training, knowledge, or expertise to apply relevant clinical guidelines to the requested </w:t>
      </w:r>
      <w:r w:rsidR="00D4345B">
        <w:rPr>
          <w:szCs w:val="22"/>
        </w:rPr>
        <w:t>health care</w:t>
      </w:r>
      <w:r w:rsidRPr="00127AB5">
        <w:rPr>
          <w:szCs w:val="22"/>
        </w:rPr>
        <w:t xml:space="preserve"> service; and </w:t>
      </w:r>
    </w:p>
    <w:p w14:paraId="52102B40" w14:textId="3FF6CC61" w:rsidR="004D5BA5" w:rsidRPr="00127AB5" w:rsidRDefault="004D5BA5" w:rsidP="00127AB5">
      <w:pPr>
        <w:pStyle w:val="ListParagraph"/>
        <w:numPr>
          <w:ilvl w:val="0"/>
          <w:numId w:val="12"/>
        </w:numPr>
        <w:rPr>
          <w:szCs w:val="22"/>
        </w:rPr>
      </w:pPr>
      <w:r w:rsidRPr="00127AB5">
        <w:rPr>
          <w:szCs w:val="22"/>
        </w:rPr>
        <w:t xml:space="preserve">make the determination under the clinical direction of a licensed physician who serves as a medical director for the utilization review entity. </w:t>
      </w:r>
    </w:p>
    <w:p w14:paraId="5158296B" w14:textId="230D55C4" w:rsidR="004D5BA5" w:rsidRPr="003E03F3" w:rsidRDefault="004D5BA5" w:rsidP="004D5BA5">
      <w:pPr>
        <w:rPr>
          <w:szCs w:val="22"/>
        </w:rPr>
      </w:pPr>
      <w:r w:rsidRPr="003E03F3">
        <w:rPr>
          <w:szCs w:val="22"/>
        </w:rPr>
        <w:t xml:space="preserve">For appeals, the requirements are stricter to ensure a fair process. The physician or licensed mental health professional must share the same or a similar specialty as the </w:t>
      </w:r>
      <w:r w:rsidR="00D4345B">
        <w:rPr>
          <w:szCs w:val="22"/>
        </w:rPr>
        <w:t>health care</w:t>
      </w:r>
      <w:r w:rsidRPr="003E03F3">
        <w:rPr>
          <w:szCs w:val="22"/>
        </w:rPr>
        <w:t xml:space="preserve"> professional who typically manages the medical condition in question. This means they should either maintain board certification in the same specialty or have training and experience relevant to treating the condition and any related complications. All appeal decisions must consider all known clinical aspects of the </w:t>
      </w:r>
      <w:r w:rsidR="00D4345B">
        <w:rPr>
          <w:szCs w:val="22"/>
        </w:rPr>
        <w:t>health care</w:t>
      </w:r>
      <w:r w:rsidRPr="003E03F3">
        <w:rPr>
          <w:szCs w:val="22"/>
        </w:rPr>
        <w:t xml:space="preserve"> service under review, including any pertinent medical records provided by the enrollee's </w:t>
      </w:r>
      <w:r w:rsidR="00D4345B">
        <w:rPr>
          <w:szCs w:val="22"/>
        </w:rPr>
        <w:t>health care</w:t>
      </w:r>
      <w:r w:rsidRPr="003E03F3">
        <w:rPr>
          <w:szCs w:val="22"/>
        </w:rPr>
        <w:t xml:space="preserve"> provider. </w:t>
      </w:r>
    </w:p>
    <w:p w14:paraId="509C22F4" w14:textId="77777777" w:rsidR="00ED3904" w:rsidRDefault="00ED3904" w:rsidP="00AC6DF6">
      <w:pPr>
        <w:pStyle w:val="Heading4"/>
      </w:pPr>
      <w:r>
        <w:t>Pennsylvania</w:t>
      </w:r>
    </w:p>
    <w:p w14:paraId="3DB948CA" w14:textId="6011771B" w:rsidR="00ED3904" w:rsidRPr="00A36E0A" w:rsidRDefault="00ED3904" w:rsidP="00ED3904">
      <w:pPr>
        <w:rPr>
          <w:szCs w:val="22"/>
        </w:rPr>
      </w:pPr>
      <w:r w:rsidRPr="005F6ED4">
        <w:rPr>
          <w:szCs w:val="22"/>
        </w:rPr>
        <w:t xml:space="preserve">Pennsylvania passed Act 146 </w:t>
      </w:r>
      <w:r>
        <w:rPr>
          <w:szCs w:val="22"/>
        </w:rPr>
        <w:t>in</w:t>
      </w:r>
      <w:r w:rsidRPr="005F6ED4">
        <w:rPr>
          <w:szCs w:val="22"/>
        </w:rPr>
        <w:t xml:space="preserve"> 2022</w:t>
      </w:r>
      <w:r>
        <w:rPr>
          <w:szCs w:val="22"/>
        </w:rPr>
        <w:t xml:space="preserve"> to </w:t>
      </w:r>
      <w:r w:rsidRPr="005F6ED4">
        <w:rPr>
          <w:szCs w:val="22"/>
        </w:rPr>
        <w:t xml:space="preserve">overhaul its </w:t>
      </w:r>
      <w:r>
        <w:rPr>
          <w:szCs w:val="22"/>
        </w:rPr>
        <w:t>PA</w:t>
      </w:r>
      <w:r w:rsidRPr="005F6ED4">
        <w:rPr>
          <w:szCs w:val="22"/>
        </w:rPr>
        <w:t xml:space="preserve"> rules.</w:t>
      </w:r>
      <w:r w:rsidR="006F0E32">
        <w:rPr>
          <w:szCs w:val="22"/>
        </w:rPr>
        <w:t xml:space="preserve"> </w:t>
      </w:r>
      <w:r w:rsidRPr="005F6ED4">
        <w:rPr>
          <w:szCs w:val="22"/>
        </w:rPr>
        <w:t xml:space="preserve">Specifically, health insurers are now required to post their medical policies and the medical services that are subject to </w:t>
      </w:r>
      <w:r>
        <w:rPr>
          <w:szCs w:val="22"/>
        </w:rPr>
        <w:t>PA</w:t>
      </w:r>
      <w:r w:rsidRPr="005F6ED4">
        <w:rPr>
          <w:szCs w:val="22"/>
        </w:rPr>
        <w:t xml:space="preserve"> on public-facing websites.</w:t>
      </w:r>
      <w:r w:rsidR="006F0E32">
        <w:rPr>
          <w:szCs w:val="22"/>
        </w:rPr>
        <w:t xml:space="preserve"> </w:t>
      </w:r>
      <w:r w:rsidRPr="005F6ED4">
        <w:rPr>
          <w:szCs w:val="22"/>
        </w:rPr>
        <w:t xml:space="preserve">Additionally, health care providers and health insurers will need to use electronic portals to streamline </w:t>
      </w:r>
      <w:proofErr w:type="gramStart"/>
      <w:r w:rsidRPr="005F6ED4">
        <w:rPr>
          <w:szCs w:val="22"/>
        </w:rPr>
        <w:t>document</w:t>
      </w:r>
      <w:proofErr w:type="gramEnd"/>
      <w:r w:rsidRPr="005F6ED4">
        <w:rPr>
          <w:szCs w:val="22"/>
        </w:rPr>
        <w:t xml:space="preserve"> and information exchange.</w:t>
      </w:r>
      <w:r w:rsidR="006F0E32">
        <w:rPr>
          <w:szCs w:val="22"/>
        </w:rPr>
        <w:t xml:space="preserve"> </w:t>
      </w:r>
      <w:r w:rsidRPr="005F6ED4">
        <w:rPr>
          <w:szCs w:val="22"/>
        </w:rPr>
        <w:t xml:space="preserve">Adjustments to individual states’ </w:t>
      </w:r>
      <w:r>
        <w:rPr>
          <w:szCs w:val="22"/>
        </w:rPr>
        <w:t>PA</w:t>
      </w:r>
      <w:r w:rsidRPr="005F6ED4">
        <w:rPr>
          <w:szCs w:val="22"/>
        </w:rPr>
        <w:t xml:space="preserve"> rules along these lines may alleviate the administrative tangles that often result from a health care provider’s unfamiliarity with a health insurer’s policies.</w:t>
      </w:r>
    </w:p>
    <w:p w14:paraId="4062455C" w14:textId="2AE23DD2" w:rsidR="0066593D" w:rsidRDefault="0066593D" w:rsidP="00465F62">
      <w:pPr>
        <w:pStyle w:val="Heading4"/>
      </w:pPr>
      <w:r>
        <w:t>Texas</w:t>
      </w:r>
    </w:p>
    <w:p w14:paraId="40819B03" w14:textId="0B9F797A" w:rsidR="0066593D" w:rsidRPr="0066593D" w:rsidRDefault="0066593D" w:rsidP="0066593D">
      <w:pPr>
        <w:rPr>
          <w:szCs w:val="22"/>
        </w:rPr>
      </w:pPr>
      <w:r w:rsidRPr="003E03F3">
        <w:rPr>
          <w:szCs w:val="22"/>
        </w:rPr>
        <w:t xml:space="preserve">If a </w:t>
      </w:r>
      <w:r>
        <w:rPr>
          <w:szCs w:val="22"/>
        </w:rPr>
        <w:t>PA</w:t>
      </w:r>
      <w:r w:rsidRPr="003E03F3">
        <w:rPr>
          <w:szCs w:val="22"/>
        </w:rPr>
        <w:t xml:space="preserve"> exemption is denied, the </w:t>
      </w:r>
      <w:r w:rsidR="0074332A">
        <w:rPr>
          <w:szCs w:val="22"/>
        </w:rPr>
        <w:t>insurer</w:t>
      </w:r>
      <w:r w:rsidRPr="003E03F3">
        <w:rPr>
          <w:szCs w:val="22"/>
        </w:rPr>
        <w:t xml:space="preserve"> is required to provide a notice to the provider describing why the exemption was denied, directions on how to appeal the denial and information on how to file a complaint with TDI.</w:t>
      </w:r>
      <w:r w:rsidR="006A6B59">
        <w:rPr>
          <w:rStyle w:val="FootnoteReference"/>
          <w:szCs w:val="22"/>
        </w:rPr>
        <w:footnoteReference w:id="43"/>
      </w:r>
      <w:r w:rsidRPr="003E03F3">
        <w:rPr>
          <w:szCs w:val="22"/>
        </w:rPr>
        <w:t xml:space="preserve"> Determinations must be made by an individual licensed to practice medicine in Texas who has the same or similar specialty as that physician. The physician or provider has the right to a review regarding a </w:t>
      </w:r>
      <w:r>
        <w:rPr>
          <w:szCs w:val="22"/>
        </w:rPr>
        <w:t>PA</w:t>
      </w:r>
      <w:r w:rsidRPr="003E03F3">
        <w:rPr>
          <w:szCs w:val="22"/>
        </w:rPr>
        <w:t xml:space="preserve"> exemption to be conducted by an independent review organization.</w:t>
      </w:r>
      <w:r w:rsidRPr="003E03F3">
        <w:rPr>
          <w:szCs w:val="22"/>
          <w:vertAlign w:val="superscript"/>
        </w:rPr>
        <w:footnoteReference w:id="44"/>
      </w:r>
    </w:p>
    <w:p w14:paraId="1EB0E120" w14:textId="65281EE9" w:rsidR="00A17C41" w:rsidRDefault="00A17C41" w:rsidP="00465F62">
      <w:pPr>
        <w:pStyle w:val="Heading4"/>
      </w:pPr>
      <w:r>
        <w:t>Washington</w:t>
      </w:r>
    </w:p>
    <w:p w14:paraId="056BFD65" w14:textId="7427FC78" w:rsidR="001728E2" w:rsidRDefault="00A17C41" w:rsidP="00A17C41">
      <w:pPr>
        <w:rPr>
          <w:szCs w:val="22"/>
        </w:rPr>
      </w:pPr>
      <w:r w:rsidRPr="003E03F3">
        <w:rPr>
          <w:szCs w:val="22"/>
        </w:rPr>
        <w:t>Starting October 1, 2020, and annually thereafter, carriers</w:t>
      </w:r>
      <w:r>
        <w:rPr>
          <w:szCs w:val="22"/>
        </w:rPr>
        <w:t xml:space="preserve"> in Washington</w:t>
      </w:r>
      <w:r w:rsidRPr="003E03F3">
        <w:rPr>
          <w:szCs w:val="22"/>
        </w:rPr>
        <w:t xml:space="preserve"> must include in their annual report to the OIC aggregated and deidentified data related to their </w:t>
      </w:r>
      <w:r>
        <w:rPr>
          <w:szCs w:val="22"/>
        </w:rPr>
        <w:t>PA</w:t>
      </w:r>
      <w:r w:rsidRPr="003E03F3">
        <w:rPr>
          <w:szCs w:val="22"/>
        </w:rPr>
        <w:t xml:space="preserve"> practices and experience for the prior plan year</w:t>
      </w:r>
      <w:r w:rsidR="006A6B59">
        <w:rPr>
          <w:szCs w:val="22"/>
        </w:rPr>
        <w:t>.</w:t>
      </w:r>
      <w:r w:rsidRPr="003E03F3">
        <w:rPr>
          <w:szCs w:val="22"/>
          <w:vertAlign w:val="superscript"/>
        </w:rPr>
        <w:footnoteReference w:id="45"/>
      </w:r>
      <w:r>
        <w:rPr>
          <w:szCs w:val="22"/>
        </w:rPr>
        <w:t xml:space="preserve"> </w:t>
      </w:r>
      <w:r w:rsidRPr="003E03F3">
        <w:rPr>
          <w:szCs w:val="22"/>
        </w:rPr>
        <w:t xml:space="preserve">For each category (inpatient medical or surgical, outpatient medical or surgical, mental health and substance use disorder, durable medical equipment, diabetes, and prescription), carriers must list the </w:t>
      </w:r>
      <w:r w:rsidR="001728E2">
        <w:rPr>
          <w:szCs w:val="22"/>
        </w:rPr>
        <w:t>ten</w:t>
      </w:r>
      <w:r w:rsidRPr="003E03F3">
        <w:rPr>
          <w:szCs w:val="22"/>
        </w:rPr>
        <w:t xml:space="preserve"> codes with the:</w:t>
      </w:r>
    </w:p>
    <w:p w14:paraId="7ED24C8F" w14:textId="2E747005" w:rsidR="001728E2" w:rsidRDefault="00A17C41" w:rsidP="001728E2">
      <w:pPr>
        <w:pStyle w:val="ListParagraph"/>
        <w:numPr>
          <w:ilvl w:val="0"/>
          <w:numId w:val="13"/>
        </w:numPr>
        <w:rPr>
          <w:szCs w:val="22"/>
        </w:rPr>
      </w:pPr>
      <w:r w:rsidRPr="001728E2">
        <w:rPr>
          <w:szCs w:val="22"/>
        </w:rPr>
        <w:lastRenderedPageBreak/>
        <w:t xml:space="preserve">highest total number of PA requests during the previous plan year, including the total number of PA requests for each code and the </w:t>
      </w:r>
      <w:r w:rsidR="00C85682" w:rsidRPr="001728E2">
        <w:rPr>
          <w:szCs w:val="22"/>
        </w:rPr>
        <w:t>percentage</w:t>
      </w:r>
      <w:r w:rsidRPr="001728E2">
        <w:rPr>
          <w:szCs w:val="22"/>
        </w:rPr>
        <w:t xml:space="preserve"> of approved requests for each code;</w:t>
      </w:r>
    </w:p>
    <w:p w14:paraId="489A90CC" w14:textId="797B4F11" w:rsidR="001728E2" w:rsidRDefault="00A17C41" w:rsidP="001728E2">
      <w:pPr>
        <w:pStyle w:val="ListParagraph"/>
        <w:numPr>
          <w:ilvl w:val="0"/>
          <w:numId w:val="13"/>
        </w:numPr>
        <w:rPr>
          <w:szCs w:val="22"/>
        </w:rPr>
      </w:pPr>
      <w:r w:rsidRPr="001728E2">
        <w:rPr>
          <w:szCs w:val="22"/>
        </w:rPr>
        <w:t xml:space="preserve">highest percentage of approved PA requests during the previous plan year, including the total number of prior requests for each code and the </w:t>
      </w:r>
      <w:r w:rsidR="00C85682" w:rsidRPr="001728E2">
        <w:rPr>
          <w:szCs w:val="22"/>
        </w:rPr>
        <w:t>percentage</w:t>
      </w:r>
      <w:r w:rsidRPr="001728E2">
        <w:rPr>
          <w:szCs w:val="22"/>
        </w:rPr>
        <w:t xml:space="preserve"> of approved requests for each code; and</w:t>
      </w:r>
    </w:p>
    <w:p w14:paraId="045E8D5D" w14:textId="2C10AF93" w:rsidR="00A17C41" w:rsidRPr="001728E2" w:rsidRDefault="00A17C41" w:rsidP="001728E2">
      <w:pPr>
        <w:pStyle w:val="ListParagraph"/>
        <w:numPr>
          <w:ilvl w:val="0"/>
          <w:numId w:val="13"/>
        </w:numPr>
        <w:rPr>
          <w:szCs w:val="22"/>
        </w:rPr>
      </w:pPr>
      <w:r w:rsidRPr="001728E2">
        <w:rPr>
          <w:szCs w:val="22"/>
        </w:rPr>
        <w:t xml:space="preserve">highest percentage of PA requests that were initially denied and then subsequently approved on appeal, including the total number of PA requests for each code and the </w:t>
      </w:r>
      <w:r w:rsidR="00C85682" w:rsidRPr="001728E2">
        <w:rPr>
          <w:szCs w:val="22"/>
        </w:rPr>
        <w:t>percentage</w:t>
      </w:r>
      <w:r w:rsidRPr="001728E2">
        <w:rPr>
          <w:szCs w:val="22"/>
        </w:rPr>
        <w:t xml:space="preserve"> of requests that were initially denied and then subsequently approved.</w:t>
      </w:r>
    </w:p>
    <w:p w14:paraId="3515651C" w14:textId="63FC7BF2" w:rsidR="00873DFE" w:rsidRDefault="00873DFE" w:rsidP="00465F62">
      <w:pPr>
        <w:pStyle w:val="Heading4"/>
      </w:pPr>
      <w:r>
        <w:t>West Virginia</w:t>
      </w:r>
    </w:p>
    <w:p w14:paraId="7834A1EA" w14:textId="6E7AEF4C" w:rsidR="00873DFE" w:rsidRPr="002F7EB6" w:rsidRDefault="00873DFE" w:rsidP="00873DFE">
      <w:pPr>
        <w:rPr>
          <w:szCs w:val="22"/>
        </w:rPr>
      </w:pPr>
      <w:r>
        <w:rPr>
          <w:szCs w:val="22"/>
        </w:rPr>
        <w:t>In West Virginia, if a</w:t>
      </w:r>
      <w:r w:rsidRPr="003E03F3">
        <w:rPr>
          <w:szCs w:val="22"/>
        </w:rPr>
        <w:t xml:space="preserve"> </w:t>
      </w:r>
      <w:r>
        <w:rPr>
          <w:szCs w:val="22"/>
        </w:rPr>
        <w:t xml:space="preserve">PA request </w:t>
      </w:r>
      <w:r w:rsidRPr="003E03F3">
        <w:rPr>
          <w:szCs w:val="22"/>
        </w:rPr>
        <w:t>is rejected by the health insurer and the health care provider asks for an appeal by peer review, the peer review shall be with a health care provider similar in specialty, education, and background. The time frame for a peer-to-peer appeal process shall take no longer than five days from the date of request of the peer-to-peer consultation.</w:t>
      </w:r>
      <w:r>
        <w:rPr>
          <w:szCs w:val="22"/>
        </w:rPr>
        <w:t xml:space="preserve"> </w:t>
      </w:r>
      <w:r w:rsidRPr="003E03F3">
        <w:rPr>
          <w:szCs w:val="22"/>
        </w:rPr>
        <w:t xml:space="preserve">The time frame regarding an appeal of the decision on a </w:t>
      </w:r>
      <w:r>
        <w:rPr>
          <w:szCs w:val="22"/>
        </w:rPr>
        <w:t>PA</w:t>
      </w:r>
      <w:r w:rsidRPr="003E03F3">
        <w:rPr>
          <w:szCs w:val="22"/>
        </w:rPr>
        <w:t xml:space="preserve"> shall take no longer than 10 business days from the date of the appeal submission.</w:t>
      </w:r>
      <w:r>
        <w:rPr>
          <w:szCs w:val="22"/>
        </w:rPr>
        <w:t xml:space="preserve"> </w:t>
      </w:r>
    </w:p>
    <w:p w14:paraId="5E89A612" w14:textId="69D1EA46" w:rsidR="00465F62" w:rsidRDefault="00465F62" w:rsidP="00465F62">
      <w:pPr>
        <w:pStyle w:val="Heading4"/>
      </w:pPr>
      <w:r>
        <w:t>Wyoming</w:t>
      </w:r>
    </w:p>
    <w:p w14:paraId="7297C7FE" w14:textId="7A372286" w:rsidR="00465F62" w:rsidRPr="003E03F3" w:rsidRDefault="00C24B94" w:rsidP="00465F62">
      <w:pPr>
        <w:rPr>
          <w:szCs w:val="22"/>
        </w:rPr>
      </w:pPr>
      <w:r>
        <w:rPr>
          <w:szCs w:val="22"/>
        </w:rPr>
        <w:t xml:space="preserve">The </w:t>
      </w:r>
      <w:r w:rsidR="00465F62" w:rsidRPr="003E03F3">
        <w:rPr>
          <w:i/>
          <w:szCs w:val="22"/>
        </w:rPr>
        <w:t xml:space="preserve">Ensuring Transparency in </w:t>
      </w:r>
      <w:r w:rsidR="00465F62">
        <w:rPr>
          <w:i/>
          <w:szCs w:val="22"/>
        </w:rPr>
        <w:t>PA</w:t>
      </w:r>
      <w:r w:rsidR="00465F62" w:rsidRPr="003E03F3">
        <w:rPr>
          <w:i/>
          <w:szCs w:val="22"/>
        </w:rPr>
        <w:t xml:space="preserve"> Ac</w:t>
      </w:r>
      <w:r w:rsidR="00882162">
        <w:rPr>
          <w:i/>
          <w:szCs w:val="22"/>
        </w:rPr>
        <w:t>t</w:t>
      </w:r>
      <w:r w:rsidR="00465F62" w:rsidRPr="003E03F3">
        <w:rPr>
          <w:szCs w:val="22"/>
        </w:rPr>
        <w:t xml:space="preserve"> </w:t>
      </w:r>
      <w:r w:rsidR="00972D11">
        <w:rPr>
          <w:szCs w:val="22"/>
        </w:rPr>
        <w:t xml:space="preserve">and </w:t>
      </w:r>
      <w:r w:rsidR="00465F62" w:rsidRPr="003E03F3">
        <w:rPr>
          <w:szCs w:val="22"/>
        </w:rPr>
        <w:t>established guidelines for review of adverse determinations.</w:t>
      </w:r>
      <w:r w:rsidR="00465F62" w:rsidRPr="003E03F3">
        <w:rPr>
          <w:szCs w:val="22"/>
          <w:vertAlign w:val="superscript"/>
        </w:rPr>
        <w:footnoteReference w:id="46"/>
      </w:r>
      <w:r w:rsidR="00465F62" w:rsidRPr="003E03F3">
        <w:rPr>
          <w:szCs w:val="22"/>
        </w:rPr>
        <w:t xml:space="preserve"> Individuals qualified to make adverse determinations need sufficient knowledge in the applicable practice area or specialty, knowledge of coverage criteria, have an unrestricted license to practice within the scope of their profession recognized in the United States or District of Columbia, and knowledge of the person’s medical history and diagnosis. The health insurer or contracted utilization review entity shall provide the opportunity for the provider to discuss the medical necessity of the service. An attempt to schedule the discussion should take place within five days of the provider’s request.</w:t>
      </w:r>
    </w:p>
    <w:p w14:paraId="751F38FC" w14:textId="54D8DFDA" w:rsidR="009961E1" w:rsidRPr="009961E1" w:rsidRDefault="00465F62" w:rsidP="009961E1">
      <w:pPr>
        <w:rPr>
          <w:szCs w:val="22"/>
        </w:rPr>
      </w:pPr>
      <w:r w:rsidRPr="003E03F3">
        <w:rPr>
          <w:szCs w:val="22"/>
        </w:rPr>
        <w:t xml:space="preserve">Finally, the insurer or contracted utilization review entity shall make any </w:t>
      </w:r>
      <w:r>
        <w:rPr>
          <w:szCs w:val="22"/>
        </w:rPr>
        <w:t>PA</w:t>
      </w:r>
      <w:r w:rsidRPr="003E03F3">
        <w:rPr>
          <w:szCs w:val="22"/>
        </w:rPr>
        <w:t xml:space="preserve"> requirements and restrictions easily accessible on their website to enrollees, health providers and the </w:t>
      </w:r>
      <w:r w:rsidR="00B653EC" w:rsidRPr="003E03F3">
        <w:rPr>
          <w:szCs w:val="22"/>
        </w:rPr>
        <w:t>public</w:t>
      </w:r>
      <w:r w:rsidRPr="003E03F3">
        <w:rPr>
          <w:szCs w:val="22"/>
        </w:rPr>
        <w:t>.</w:t>
      </w:r>
      <w:r w:rsidR="009961E1">
        <w:rPr>
          <w:szCs w:val="22"/>
        </w:rPr>
        <w:t xml:space="preserve"> Should a provider ask for the PA requirements or restrictions from </w:t>
      </w:r>
      <w:r w:rsidR="009961E1" w:rsidRPr="009961E1">
        <w:rPr>
          <w:szCs w:val="22"/>
        </w:rPr>
        <w:t xml:space="preserve">an insurer, </w:t>
      </w:r>
      <w:r w:rsidR="009961E1">
        <w:rPr>
          <w:szCs w:val="22"/>
        </w:rPr>
        <w:t>the insurer</w:t>
      </w:r>
      <w:r w:rsidR="009961E1" w:rsidRPr="009961E1">
        <w:rPr>
          <w:szCs w:val="22"/>
        </w:rPr>
        <w:t xml:space="preserve"> must provide the list to the requesting party within </w:t>
      </w:r>
      <w:r w:rsidR="0062154C">
        <w:rPr>
          <w:szCs w:val="22"/>
        </w:rPr>
        <w:t>24</w:t>
      </w:r>
      <w:r w:rsidR="009961E1" w:rsidRPr="009961E1">
        <w:rPr>
          <w:szCs w:val="22"/>
        </w:rPr>
        <w:t xml:space="preserve"> hours</w:t>
      </w:r>
      <w:r w:rsidR="009961E1">
        <w:rPr>
          <w:szCs w:val="22"/>
        </w:rPr>
        <w:t>.</w:t>
      </w:r>
      <w:r w:rsidR="00E36D77" w:rsidRPr="00E36D77">
        <w:rPr>
          <w:szCs w:val="22"/>
          <w:vertAlign w:val="superscript"/>
        </w:rPr>
        <w:t xml:space="preserve"> </w:t>
      </w:r>
      <w:r w:rsidR="00E36D77" w:rsidRPr="003E03F3">
        <w:rPr>
          <w:szCs w:val="22"/>
          <w:vertAlign w:val="superscript"/>
        </w:rPr>
        <w:footnoteReference w:id="47"/>
      </w:r>
      <w:r w:rsidR="009961E1">
        <w:rPr>
          <w:szCs w:val="22"/>
        </w:rPr>
        <w:t xml:space="preserve"> Furthermore, </w:t>
      </w:r>
      <w:r w:rsidR="009961E1" w:rsidRPr="009961E1">
        <w:rPr>
          <w:szCs w:val="22"/>
        </w:rPr>
        <w:t>any changes to the requirements must be posted</w:t>
      </w:r>
      <w:r w:rsidR="0009508C">
        <w:rPr>
          <w:szCs w:val="22"/>
        </w:rPr>
        <w:t xml:space="preserve"> </w:t>
      </w:r>
      <w:r w:rsidR="0062154C">
        <w:rPr>
          <w:szCs w:val="22"/>
        </w:rPr>
        <w:t>60</w:t>
      </w:r>
      <w:r w:rsidR="009961E1" w:rsidRPr="009961E1">
        <w:rPr>
          <w:szCs w:val="22"/>
        </w:rPr>
        <w:t xml:space="preserve"> days in advance of the change</w:t>
      </w:r>
      <w:r w:rsidR="00E36D77">
        <w:rPr>
          <w:szCs w:val="22"/>
        </w:rPr>
        <w:t>’s enactment</w:t>
      </w:r>
      <w:r w:rsidR="009961E1" w:rsidRPr="009961E1">
        <w:rPr>
          <w:szCs w:val="22"/>
        </w:rPr>
        <w:t>.</w:t>
      </w:r>
      <w:r w:rsidR="00E36D77" w:rsidRPr="003E03F3">
        <w:rPr>
          <w:szCs w:val="22"/>
          <w:vertAlign w:val="superscript"/>
        </w:rPr>
        <w:footnoteReference w:id="48"/>
      </w:r>
      <w:r w:rsidR="009961E1" w:rsidRPr="009961E1">
        <w:rPr>
          <w:szCs w:val="22"/>
        </w:rPr>
        <w:t xml:space="preserve"> These deadlines have to </w:t>
      </w:r>
      <w:proofErr w:type="gramStart"/>
      <w:r w:rsidR="009961E1" w:rsidRPr="009961E1">
        <w:rPr>
          <w:szCs w:val="22"/>
        </w:rPr>
        <w:t>do</w:t>
      </w:r>
      <w:proofErr w:type="gramEnd"/>
      <w:r w:rsidR="009961E1" w:rsidRPr="009961E1">
        <w:rPr>
          <w:szCs w:val="22"/>
        </w:rPr>
        <w:t xml:space="preserve"> with the disclosure and review of prior authorization requirements, not a specific patient PA.</w:t>
      </w:r>
    </w:p>
    <w:p w14:paraId="5FDA4414" w14:textId="43A83CE9" w:rsidR="00A36E0A" w:rsidRDefault="00213C5C" w:rsidP="00A36E0A">
      <w:pPr>
        <w:pStyle w:val="Heading2"/>
      </w:pPr>
      <w:bookmarkStart w:id="32" w:name="_The_federal_government"/>
      <w:bookmarkStart w:id="33" w:name="_Toc203655710"/>
      <w:bookmarkEnd w:id="32"/>
      <w:r>
        <w:t xml:space="preserve">Provider </w:t>
      </w:r>
      <w:r w:rsidR="00A36E0A">
        <w:t>Associations</w:t>
      </w:r>
      <w:bookmarkStart w:id="34" w:name="_Gold_carding"/>
      <w:bookmarkEnd w:id="33"/>
      <w:bookmarkEnd w:id="34"/>
    </w:p>
    <w:p w14:paraId="47A9793A" w14:textId="53758E20" w:rsidR="003E03F3" w:rsidRPr="003E03F3" w:rsidRDefault="003E03F3" w:rsidP="00A36E0A">
      <w:pPr>
        <w:pStyle w:val="Heading3"/>
      </w:pPr>
      <w:bookmarkStart w:id="35" w:name="_American_Medical_Association"/>
      <w:bookmarkStart w:id="36" w:name="_Toc203655711"/>
      <w:bookmarkEnd w:id="35"/>
      <w:r w:rsidRPr="003E03F3">
        <w:t>American Medical Association Model Legislation</w:t>
      </w:r>
      <w:bookmarkEnd w:id="36"/>
    </w:p>
    <w:p w14:paraId="4B9C8813" w14:textId="1546BA56" w:rsidR="003E03F3" w:rsidRPr="003E03F3" w:rsidRDefault="003E03F3" w:rsidP="003E03F3">
      <w:pPr>
        <w:rPr>
          <w:szCs w:val="22"/>
        </w:rPr>
      </w:pPr>
      <w:r w:rsidRPr="003E03F3">
        <w:rPr>
          <w:szCs w:val="22"/>
        </w:rPr>
        <w:t>The goal of the AMA model legislation</w:t>
      </w:r>
      <w:r w:rsidRPr="003E03F3">
        <w:rPr>
          <w:szCs w:val="22"/>
          <w:vertAlign w:val="superscript"/>
        </w:rPr>
        <w:footnoteReference w:id="49"/>
      </w:r>
      <w:r w:rsidRPr="003E03F3">
        <w:rPr>
          <w:szCs w:val="22"/>
        </w:rPr>
        <w:t xml:space="preserve"> is to improve transparency and limit interruptions to patient care. The following states have taken language directly from the model legislation: Delaware, Georgia, Illinois, Mississippi, New Jersey, Oklahoma, and Wyoming. </w:t>
      </w:r>
    </w:p>
    <w:p w14:paraId="4F1D3138" w14:textId="77777777" w:rsidR="003E03F3" w:rsidRPr="003E03F3" w:rsidRDefault="003E03F3" w:rsidP="003E03F3">
      <w:pPr>
        <w:rPr>
          <w:szCs w:val="22"/>
        </w:rPr>
      </w:pPr>
      <w:r w:rsidRPr="003E03F3">
        <w:rPr>
          <w:szCs w:val="22"/>
        </w:rPr>
        <w:lastRenderedPageBreak/>
        <w:t xml:space="preserve">The legislation recommends: </w:t>
      </w:r>
    </w:p>
    <w:p w14:paraId="2DF615E6" w14:textId="77777777" w:rsidR="003E03F3" w:rsidRPr="003E03F3" w:rsidRDefault="003E03F3" w:rsidP="003E03F3">
      <w:pPr>
        <w:numPr>
          <w:ilvl w:val="0"/>
          <w:numId w:val="2"/>
        </w:numPr>
        <w:rPr>
          <w:szCs w:val="22"/>
        </w:rPr>
      </w:pPr>
      <w:r w:rsidRPr="003E03F3">
        <w:rPr>
          <w:szCs w:val="22"/>
        </w:rPr>
        <w:t xml:space="preserve">Establishing quick response times (24 hours for urgent, 48 hours for non-urgent care). </w:t>
      </w:r>
    </w:p>
    <w:p w14:paraId="54B2E940" w14:textId="77777777" w:rsidR="003E03F3" w:rsidRPr="003E03F3" w:rsidRDefault="003E03F3" w:rsidP="003E03F3">
      <w:pPr>
        <w:numPr>
          <w:ilvl w:val="0"/>
          <w:numId w:val="2"/>
        </w:numPr>
        <w:rPr>
          <w:szCs w:val="22"/>
        </w:rPr>
      </w:pPr>
      <w:r w:rsidRPr="003E03F3">
        <w:rPr>
          <w:szCs w:val="22"/>
        </w:rPr>
        <w:t xml:space="preserve">Requiring adverse determinations to be made only by a physician licensed in the state and of the same specialty that typically manages the patient’s condition. </w:t>
      </w:r>
    </w:p>
    <w:p w14:paraId="6EAB2E23" w14:textId="77777777" w:rsidR="003E03F3" w:rsidRPr="003E03F3" w:rsidRDefault="003E03F3" w:rsidP="003E03F3">
      <w:pPr>
        <w:numPr>
          <w:ilvl w:val="0"/>
          <w:numId w:val="2"/>
        </w:numPr>
        <w:rPr>
          <w:szCs w:val="22"/>
        </w:rPr>
      </w:pPr>
      <w:r w:rsidRPr="003E03F3">
        <w:rPr>
          <w:szCs w:val="22"/>
        </w:rPr>
        <w:t xml:space="preserve">Prohibiting retroactive denials if care is preauthorized. </w:t>
      </w:r>
    </w:p>
    <w:p w14:paraId="3815F884" w14:textId="77777777" w:rsidR="003E03F3" w:rsidRPr="003E03F3" w:rsidRDefault="003E03F3" w:rsidP="003E03F3">
      <w:pPr>
        <w:numPr>
          <w:ilvl w:val="0"/>
          <w:numId w:val="2"/>
        </w:numPr>
        <w:rPr>
          <w:szCs w:val="22"/>
        </w:rPr>
      </w:pPr>
      <w:r w:rsidRPr="003E03F3">
        <w:rPr>
          <w:szCs w:val="22"/>
        </w:rPr>
        <w:t xml:space="preserve">Requiring authorizations to be valid for at least 1 year, regardless of dose changes, and for those with chronic conditions, to be valid for the length of treatment. </w:t>
      </w:r>
    </w:p>
    <w:p w14:paraId="3DEBA6E9" w14:textId="3FA742BC" w:rsidR="003E03F3" w:rsidRPr="003E03F3" w:rsidRDefault="003E03F3" w:rsidP="003E03F3">
      <w:pPr>
        <w:numPr>
          <w:ilvl w:val="0"/>
          <w:numId w:val="2"/>
        </w:numPr>
        <w:rPr>
          <w:szCs w:val="22"/>
        </w:rPr>
      </w:pPr>
      <w:r w:rsidRPr="003E03F3">
        <w:rPr>
          <w:szCs w:val="22"/>
        </w:rPr>
        <w:t xml:space="preserve">Requiring the public release of insurers’ </w:t>
      </w:r>
      <w:r w:rsidR="00A74AA3">
        <w:rPr>
          <w:szCs w:val="22"/>
        </w:rPr>
        <w:t>PA</w:t>
      </w:r>
      <w:r w:rsidRPr="003E03F3">
        <w:rPr>
          <w:szCs w:val="22"/>
        </w:rPr>
        <w:t xml:space="preserve"> data by drug and service as it relates to approvals, denials, appeals, wait times and more.</w:t>
      </w:r>
    </w:p>
    <w:p w14:paraId="146F1303" w14:textId="44C1A6B0" w:rsidR="003E03F3" w:rsidRPr="003E03F3" w:rsidRDefault="003E03F3" w:rsidP="003E03F3">
      <w:pPr>
        <w:numPr>
          <w:ilvl w:val="0"/>
          <w:numId w:val="2"/>
        </w:numPr>
        <w:rPr>
          <w:szCs w:val="22"/>
        </w:rPr>
      </w:pPr>
      <w:r w:rsidRPr="003E03F3">
        <w:rPr>
          <w:szCs w:val="22"/>
        </w:rPr>
        <w:t xml:space="preserve">Requiring new plans to honor a patient’s </w:t>
      </w:r>
      <w:r w:rsidR="00A74AA3">
        <w:rPr>
          <w:szCs w:val="22"/>
        </w:rPr>
        <w:t>PA</w:t>
      </w:r>
      <w:r w:rsidRPr="003E03F3">
        <w:rPr>
          <w:szCs w:val="22"/>
        </w:rPr>
        <w:t xml:space="preserve"> for at least 60 days; and </w:t>
      </w:r>
    </w:p>
    <w:p w14:paraId="04390FD1" w14:textId="1815137E" w:rsidR="003E03F3" w:rsidRPr="003E03F3" w:rsidRDefault="003E03F3" w:rsidP="003E03F3">
      <w:pPr>
        <w:numPr>
          <w:ilvl w:val="0"/>
          <w:numId w:val="2"/>
        </w:numPr>
        <w:rPr>
          <w:szCs w:val="22"/>
        </w:rPr>
      </w:pPr>
      <w:r w:rsidRPr="003E03F3">
        <w:rPr>
          <w:szCs w:val="22"/>
        </w:rPr>
        <w:t xml:space="preserve">Reducing volume using </w:t>
      </w:r>
      <w:r w:rsidR="00A74AA3">
        <w:rPr>
          <w:szCs w:val="22"/>
        </w:rPr>
        <w:t>PA</w:t>
      </w:r>
      <w:r w:rsidRPr="003E03F3">
        <w:rPr>
          <w:szCs w:val="22"/>
        </w:rPr>
        <w:t xml:space="preserve"> exemptions or gold-carding programs. </w:t>
      </w:r>
    </w:p>
    <w:p w14:paraId="1C208178" w14:textId="4E8D6364" w:rsidR="003E03F3" w:rsidRPr="003E03F3" w:rsidRDefault="003E03F3" w:rsidP="003E03F3">
      <w:pPr>
        <w:rPr>
          <w:szCs w:val="22"/>
        </w:rPr>
      </w:pPr>
      <w:r w:rsidRPr="003E03F3">
        <w:rPr>
          <w:szCs w:val="22"/>
        </w:rPr>
        <w:t xml:space="preserve">It also defines several terms including clinical criteria, medically necessary health care services, </w:t>
      </w:r>
      <w:r w:rsidR="00A74AA3">
        <w:rPr>
          <w:szCs w:val="22"/>
        </w:rPr>
        <w:t>PA</w:t>
      </w:r>
      <w:r w:rsidRPr="003E03F3">
        <w:rPr>
          <w:szCs w:val="22"/>
        </w:rPr>
        <w:t xml:space="preserve">, urgent health care service, and utilization review entity. </w:t>
      </w:r>
    </w:p>
    <w:p w14:paraId="2613A971" w14:textId="6EFD59C0" w:rsidR="003E03F3" w:rsidRPr="003E03F3" w:rsidRDefault="003E03F3" w:rsidP="003E03F3">
      <w:pPr>
        <w:rPr>
          <w:szCs w:val="22"/>
        </w:rPr>
      </w:pPr>
      <w:r w:rsidRPr="003E03F3">
        <w:rPr>
          <w:szCs w:val="22"/>
        </w:rPr>
        <w:t xml:space="preserve">A utilization review entity is any individual or entity that performs </w:t>
      </w:r>
      <w:r w:rsidR="00A74AA3">
        <w:rPr>
          <w:szCs w:val="22"/>
        </w:rPr>
        <w:t>PA</w:t>
      </w:r>
      <w:r w:rsidRPr="003E03F3">
        <w:rPr>
          <w:szCs w:val="22"/>
        </w:rPr>
        <w:t xml:space="preserve"> on behalf of certain other entities</w:t>
      </w:r>
      <w:r w:rsidR="002039A8">
        <w:rPr>
          <w:szCs w:val="22"/>
        </w:rPr>
        <w:t>,</w:t>
      </w:r>
      <w:r w:rsidRPr="003E03F3">
        <w:rPr>
          <w:szCs w:val="22"/>
        </w:rPr>
        <w:t xml:space="preserve"> including but not limited to, insurers that write health insurance policies, a preferred provider organization or health maintenance organization, or an employer with employees who are covered under a health benefit plan or health insurance policy. Under the bill, a utilization review entity is required to make </w:t>
      </w:r>
      <w:r w:rsidR="00A74AA3">
        <w:rPr>
          <w:szCs w:val="22"/>
        </w:rPr>
        <w:t>PA</w:t>
      </w:r>
      <w:r w:rsidRPr="003E03F3">
        <w:rPr>
          <w:szCs w:val="22"/>
        </w:rPr>
        <w:t xml:space="preserve"> requirements and restrictions readily accessible on its website in detailed but easily understandable language. This should also include written clinical criteria. </w:t>
      </w:r>
    </w:p>
    <w:p w14:paraId="5B582D84" w14:textId="62E5CBB1" w:rsidR="003E03F3" w:rsidRPr="003E03F3" w:rsidRDefault="003E03F3" w:rsidP="003E03F3">
      <w:pPr>
        <w:rPr>
          <w:szCs w:val="22"/>
        </w:rPr>
      </w:pPr>
      <w:r w:rsidRPr="003E03F3">
        <w:rPr>
          <w:szCs w:val="22"/>
        </w:rPr>
        <w:t xml:space="preserve">Utilization review entities are also required to submit an annual report to a given state’s Department of Insurance that contains specific information about </w:t>
      </w:r>
      <w:r w:rsidR="00A74AA3">
        <w:rPr>
          <w:szCs w:val="22"/>
        </w:rPr>
        <w:t>PA</w:t>
      </w:r>
      <w:r w:rsidRPr="003E03F3">
        <w:rPr>
          <w:szCs w:val="22"/>
        </w:rPr>
        <w:t xml:space="preserve"> requests from the previous calendar year.</w:t>
      </w:r>
      <w:r w:rsidR="006F0E32">
        <w:rPr>
          <w:szCs w:val="22"/>
        </w:rPr>
        <w:t xml:space="preserve"> </w:t>
      </w:r>
    </w:p>
    <w:p w14:paraId="60D6F625" w14:textId="77777777" w:rsidR="003E03F3" w:rsidRPr="003E03F3" w:rsidRDefault="003E03F3" w:rsidP="003E03F3">
      <w:pPr>
        <w:rPr>
          <w:szCs w:val="22"/>
        </w:rPr>
      </w:pPr>
      <w:r w:rsidRPr="003E03F3">
        <w:rPr>
          <w:szCs w:val="22"/>
        </w:rPr>
        <w:t xml:space="preserve">The bill defines medically necessary health services as those that a prudent physician would provide to diagnose or treat an illness, are clinically appropriate, in accordance with generally accepted standards of medical practice, and not primarily for economic benefit. If a utilization review entity is questioning whether a health care service is medically necessary, it must notify the enrollee’s physician. Before issuing an adverse determination, the enrollee’s physician must be given the opportunity to discuss the medical necessity of the service with the physician determining authorization of the service under review. </w:t>
      </w:r>
    </w:p>
    <w:p w14:paraId="31ADD770" w14:textId="5A1885F4" w:rsidR="003E03F3" w:rsidRPr="003E03F3" w:rsidRDefault="003E03F3" w:rsidP="003E03F3">
      <w:pPr>
        <w:rPr>
          <w:szCs w:val="22"/>
        </w:rPr>
      </w:pPr>
      <w:r w:rsidRPr="003E03F3">
        <w:rPr>
          <w:szCs w:val="22"/>
        </w:rPr>
        <w:t xml:space="preserve">Furthermore, a utilization review entity issuing </w:t>
      </w:r>
      <w:proofErr w:type="gramStart"/>
      <w:r w:rsidRPr="003E03F3">
        <w:rPr>
          <w:szCs w:val="22"/>
        </w:rPr>
        <w:t>an adverse</w:t>
      </w:r>
      <w:proofErr w:type="gramEnd"/>
      <w:r w:rsidRPr="003E03F3">
        <w:rPr>
          <w:szCs w:val="22"/>
        </w:rPr>
        <w:t xml:space="preserve"> determination must explain its reasoning using its own </w:t>
      </w:r>
      <w:r w:rsidR="00A74AA3">
        <w:rPr>
          <w:szCs w:val="22"/>
        </w:rPr>
        <w:t>PA</w:t>
      </w:r>
      <w:r w:rsidRPr="003E03F3">
        <w:rPr>
          <w:szCs w:val="22"/>
        </w:rPr>
        <w:t xml:space="preserve"> requirements as a basis, provide the clinical criteria used, inform the enrollee of their right to appeal and the process to file an appeal, and provide all information necessary to support a successful appeal. </w:t>
      </w:r>
    </w:p>
    <w:p w14:paraId="752EB009" w14:textId="77777777" w:rsidR="003E03F3" w:rsidRPr="003E03F3" w:rsidRDefault="003E03F3" w:rsidP="003E03F3">
      <w:pPr>
        <w:rPr>
          <w:szCs w:val="22"/>
        </w:rPr>
      </w:pPr>
      <w:r w:rsidRPr="003E03F3">
        <w:rPr>
          <w:szCs w:val="22"/>
        </w:rPr>
        <w:t>When issuing a denial of an appeal, the utilization review entity must provide the enrollee and requesting health care provider with the reasons for denying the appeal, the clinical criteria used in determining the denial of the appeal, the process for challenging the determination, and all information necessary to support a successful second level appeal (when the next level is not an external review process).</w:t>
      </w:r>
    </w:p>
    <w:p w14:paraId="1B244CFF" w14:textId="2BA9BB59" w:rsidR="003E03F3" w:rsidRPr="003E03F3" w:rsidRDefault="003E03F3" w:rsidP="003E03F3">
      <w:pPr>
        <w:rPr>
          <w:szCs w:val="22"/>
        </w:rPr>
      </w:pPr>
      <w:r w:rsidRPr="003E03F3">
        <w:rPr>
          <w:szCs w:val="22"/>
        </w:rPr>
        <w:lastRenderedPageBreak/>
        <w:t xml:space="preserve">The model legislation also outlines a gold-card system. A utilization review entity may not require a health care provider to complete a </w:t>
      </w:r>
      <w:r w:rsidR="00A74AA3">
        <w:rPr>
          <w:szCs w:val="22"/>
        </w:rPr>
        <w:t>PA</w:t>
      </w:r>
      <w:r w:rsidRPr="003E03F3">
        <w:rPr>
          <w:szCs w:val="22"/>
        </w:rPr>
        <w:t xml:space="preserve"> for a health care service if in the most recent 12-month period, the utilization review entity has approved or would have approved not less than 80</w:t>
      </w:r>
      <w:r w:rsidR="00DE4D63">
        <w:rPr>
          <w:szCs w:val="22"/>
        </w:rPr>
        <w:t>%</w:t>
      </w:r>
      <w:r w:rsidRPr="003E03F3">
        <w:rPr>
          <w:szCs w:val="22"/>
        </w:rPr>
        <w:t xml:space="preserve"> of the </w:t>
      </w:r>
      <w:r w:rsidR="00A74AA3">
        <w:rPr>
          <w:szCs w:val="22"/>
        </w:rPr>
        <w:t>PA</w:t>
      </w:r>
      <w:r w:rsidRPr="003E03F3">
        <w:rPr>
          <w:szCs w:val="22"/>
        </w:rPr>
        <w:t xml:space="preserve"> requests submitted by the health care provider for that service, including any approval granted after an appeal. </w:t>
      </w:r>
    </w:p>
    <w:p w14:paraId="5AAA92B3" w14:textId="0B97DDDA" w:rsidR="003E03F3" w:rsidRPr="003E03F3" w:rsidRDefault="003E03F3" w:rsidP="003E03F3">
      <w:pPr>
        <w:rPr>
          <w:szCs w:val="22"/>
        </w:rPr>
      </w:pPr>
      <w:r w:rsidRPr="003E03F3">
        <w:rPr>
          <w:szCs w:val="22"/>
        </w:rPr>
        <w:t xml:space="preserve">Finally, the bill establishes </w:t>
      </w:r>
      <w:r w:rsidR="00A74AA3">
        <w:rPr>
          <w:szCs w:val="22"/>
        </w:rPr>
        <w:t>PA</w:t>
      </w:r>
      <w:r w:rsidRPr="003E03F3">
        <w:rPr>
          <w:szCs w:val="22"/>
        </w:rPr>
        <w:t xml:space="preserve"> exemptions for emergency services and medications for opioid use disorder (MOUD) and outlines electronic standards for </w:t>
      </w:r>
      <w:r w:rsidR="00A74AA3">
        <w:rPr>
          <w:szCs w:val="22"/>
        </w:rPr>
        <w:t>PA</w:t>
      </w:r>
      <w:r w:rsidRPr="003E03F3">
        <w:rPr>
          <w:szCs w:val="22"/>
        </w:rPr>
        <w:t xml:space="preserve">. By a given date, </w:t>
      </w:r>
      <w:r w:rsidR="0051461F" w:rsidRPr="003E03F3">
        <w:rPr>
          <w:szCs w:val="22"/>
        </w:rPr>
        <w:t>an</w:t>
      </w:r>
      <w:r w:rsidRPr="003E03F3">
        <w:rPr>
          <w:szCs w:val="22"/>
        </w:rPr>
        <w:t xml:space="preserve"> </w:t>
      </w:r>
      <w:r w:rsidR="009C18FC">
        <w:rPr>
          <w:szCs w:val="22"/>
        </w:rPr>
        <w:t>insurer</w:t>
      </w:r>
      <w:r w:rsidRPr="003E03F3">
        <w:rPr>
          <w:szCs w:val="22"/>
        </w:rPr>
        <w:t xml:space="preserve"> must accept and respond to </w:t>
      </w:r>
      <w:r w:rsidR="00A74AA3">
        <w:rPr>
          <w:szCs w:val="22"/>
        </w:rPr>
        <w:t>PA</w:t>
      </w:r>
      <w:r w:rsidRPr="003E03F3">
        <w:rPr>
          <w:szCs w:val="22"/>
        </w:rPr>
        <w:t xml:space="preserve"> requests under the pharmacy benefit through a secure electronic transmission using the NCPDP SCRIPT Standard </w:t>
      </w:r>
      <w:proofErr w:type="spellStart"/>
      <w:r w:rsidRPr="003E03F3">
        <w:rPr>
          <w:szCs w:val="22"/>
        </w:rPr>
        <w:t>ePA</w:t>
      </w:r>
      <w:proofErr w:type="spellEnd"/>
      <w:r w:rsidRPr="003E03F3">
        <w:rPr>
          <w:szCs w:val="22"/>
        </w:rPr>
        <w:t xml:space="preserve"> transactions. Any technology not directly integrated with a physician’s electronic health record/electronic prescribing system must not be considered secure electronic transmission.</w:t>
      </w:r>
    </w:p>
    <w:p w14:paraId="5CCAC27B" w14:textId="3F433AA5" w:rsidR="003E03F3" w:rsidRPr="003E03F3" w:rsidRDefault="003E03F3" w:rsidP="00A36E0A">
      <w:pPr>
        <w:pStyle w:val="Heading3"/>
      </w:pPr>
      <w:bookmarkStart w:id="37" w:name="_Toc203655712"/>
      <w:r w:rsidRPr="003E03F3">
        <w:t>American Psychiatric Association Model Legislation</w:t>
      </w:r>
      <w:bookmarkEnd w:id="37"/>
    </w:p>
    <w:p w14:paraId="6993C046" w14:textId="497C8668" w:rsidR="003E03F3" w:rsidRPr="003E03F3" w:rsidRDefault="003E03F3" w:rsidP="003E03F3">
      <w:pPr>
        <w:rPr>
          <w:szCs w:val="22"/>
        </w:rPr>
      </w:pPr>
      <w:r w:rsidRPr="003E03F3">
        <w:rPr>
          <w:szCs w:val="22"/>
        </w:rPr>
        <w:t>In 2022, the American Psychiatric Association (APA) developed model legislation</w:t>
      </w:r>
      <w:r w:rsidRPr="003E03F3">
        <w:rPr>
          <w:szCs w:val="22"/>
          <w:vertAlign w:val="superscript"/>
        </w:rPr>
        <w:footnoteReference w:id="50"/>
      </w:r>
      <w:r w:rsidRPr="003E03F3">
        <w:rPr>
          <w:szCs w:val="22"/>
        </w:rPr>
        <w:t xml:space="preserve"> aimed at reforming the </w:t>
      </w:r>
      <w:r w:rsidR="00A74AA3">
        <w:rPr>
          <w:szCs w:val="22"/>
        </w:rPr>
        <w:t>PA</w:t>
      </w:r>
      <w:r w:rsidRPr="003E03F3">
        <w:rPr>
          <w:szCs w:val="22"/>
        </w:rPr>
        <w:t xml:space="preserve"> process to reduce unnecessary administrative burdens and improve patient access to care. This legislation focuses on streamlining the authorization process, increasing transparency, and ensuring timely decision-making. It protects the rights of patients with mental health conditions, preventing unfair denial of coverage or excessive delays in accessing necessary care. </w:t>
      </w:r>
    </w:p>
    <w:p w14:paraId="6444243B" w14:textId="4AF373EC" w:rsidR="003E03F3" w:rsidRPr="003E03F3" w:rsidRDefault="003E03F3" w:rsidP="003E03F3">
      <w:pPr>
        <w:rPr>
          <w:szCs w:val="22"/>
        </w:rPr>
      </w:pPr>
      <w:r w:rsidRPr="003E03F3">
        <w:rPr>
          <w:szCs w:val="22"/>
        </w:rPr>
        <w:t xml:space="preserve">The proposal identifies specific scenarios that would be exempt from </w:t>
      </w:r>
      <w:r w:rsidR="00A74AA3">
        <w:rPr>
          <w:szCs w:val="22"/>
        </w:rPr>
        <w:t>PA</w:t>
      </w:r>
      <w:r w:rsidRPr="003E03F3">
        <w:rPr>
          <w:szCs w:val="22"/>
        </w:rPr>
        <w:t xml:space="preserve">, including: </w:t>
      </w:r>
    </w:p>
    <w:p w14:paraId="252ECD5E" w14:textId="77777777" w:rsidR="003E03F3" w:rsidRPr="003E03F3" w:rsidRDefault="003E03F3" w:rsidP="003E03F3">
      <w:pPr>
        <w:numPr>
          <w:ilvl w:val="0"/>
          <w:numId w:val="4"/>
        </w:numPr>
        <w:rPr>
          <w:szCs w:val="22"/>
        </w:rPr>
      </w:pPr>
      <w:r w:rsidRPr="003E03F3">
        <w:rPr>
          <w:szCs w:val="22"/>
        </w:rPr>
        <w:t xml:space="preserve">Generic prescription drugs that are not classified as controlled substances under 21 CFR 1308.11 through 21 CFR 1308.15 or under any state criminal law. </w:t>
      </w:r>
    </w:p>
    <w:p w14:paraId="0F895223" w14:textId="77777777" w:rsidR="003E03F3" w:rsidRPr="003E03F3" w:rsidRDefault="003E03F3" w:rsidP="003E03F3">
      <w:pPr>
        <w:numPr>
          <w:ilvl w:val="0"/>
          <w:numId w:val="4"/>
        </w:numPr>
        <w:rPr>
          <w:szCs w:val="22"/>
        </w:rPr>
      </w:pPr>
      <w:r w:rsidRPr="003E03F3">
        <w:rPr>
          <w:szCs w:val="22"/>
        </w:rPr>
        <w:t xml:space="preserve">Any prescription drug, whether generic or brand-name, that is not classified as a controlled substance in federal or state law, after the insured or enrollee has been prescribed the drug without interruption for six months. </w:t>
      </w:r>
    </w:p>
    <w:p w14:paraId="2220CB07" w14:textId="05AC4147" w:rsidR="003E03F3" w:rsidRPr="003E03F3" w:rsidRDefault="003E03F3" w:rsidP="003E03F3">
      <w:pPr>
        <w:numPr>
          <w:ilvl w:val="0"/>
          <w:numId w:val="4"/>
        </w:numPr>
        <w:rPr>
          <w:szCs w:val="22"/>
        </w:rPr>
      </w:pPr>
      <w:r w:rsidRPr="003E03F3">
        <w:rPr>
          <w:szCs w:val="22"/>
        </w:rPr>
        <w:t xml:space="preserve">Any prescription drug, whether generic or brand-name, where the insured or enrollee has already undergone </w:t>
      </w:r>
      <w:r w:rsidR="00A74AA3">
        <w:rPr>
          <w:szCs w:val="22"/>
        </w:rPr>
        <w:t>PA</w:t>
      </w:r>
      <w:r w:rsidRPr="003E03F3">
        <w:rPr>
          <w:szCs w:val="22"/>
        </w:rPr>
        <w:t xml:space="preserve"> for the same dosage and received approval for coverage, on the grounds of therapeutic duplication. </w:t>
      </w:r>
    </w:p>
    <w:p w14:paraId="5F199BDD" w14:textId="77777777" w:rsidR="003E03F3" w:rsidRPr="003E03F3" w:rsidRDefault="003E03F3" w:rsidP="003E03F3">
      <w:pPr>
        <w:numPr>
          <w:ilvl w:val="0"/>
          <w:numId w:val="4"/>
        </w:numPr>
        <w:rPr>
          <w:szCs w:val="22"/>
        </w:rPr>
      </w:pPr>
      <w:r w:rsidRPr="003E03F3">
        <w:rPr>
          <w:szCs w:val="22"/>
        </w:rPr>
        <w:t xml:space="preserve">Any prescription drug, whether generic or brand-name, when the dosage has been adjusted by the prescriber. </w:t>
      </w:r>
    </w:p>
    <w:p w14:paraId="747D62B2" w14:textId="77777777" w:rsidR="003E03F3" w:rsidRPr="003E03F3" w:rsidRDefault="003E03F3" w:rsidP="003E03F3">
      <w:pPr>
        <w:numPr>
          <w:ilvl w:val="0"/>
          <w:numId w:val="4"/>
        </w:numPr>
        <w:rPr>
          <w:szCs w:val="22"/>
        </w:rPr>
      </w:pPr>
      <w:r w:rsidRPr="003E03F3">
        <w:rPr>
          <w:szCs w:val="22"/>
        </w:rPr>
        <w:t xml:space="preserve">Any long-acting injectable prescription drug. </w:t>
      </w:r>
    </w:p>
    <w:p w14:paraId="094038B5" w14:textId="07A998E6" w:rsidR="003E03F3" w:rsidRPr="003E03F3" w:rsidRDefault="003E03F3" w:rsidP="003E03F3">
      <w:pPr>
        <w:rPr>
          <w:szCs w:val="22"/>
        </w:rPr>
      </w:pPr>
      <w:r w:rsidRPr="003E03F3">
        <w:rPr>
          <w:szCs w:val="22"/>
        </w:rPr>
        <w:t xml:space="preserve">The APA's model legislation also aims to eliminate unnecessary paperwork and ensure that any denial of coverage is made by a physician with the appropriate expertise. Denials during the </w:t>
      </w:r>
      <w:r w:rsidR="00A74AA3">
        <w:rPr>
          <w:szCs w:val="22"/>
        </w:rPr>
        <w:t>PA</w:t>
      </w:r>
      <w:r w:rsidRPr="003E03F3">
        <w:rPr>
          <w:szCs w:val="22"/>
        </w:rPr>
        <w:t xml:space="preserve"> process must be made by a physician who specializes in the same field as the prescriber or who focuses on the diagnosis and treatment of the condition for which the drug was prescribed. </w:t>
      </w:r>
    </w:p>
    <w:p w14:paraId="7FCC3CE9" w14:textId="77777777" w:rsidR="003E03F3" w:rsidRPr="003E03F3" w:rsidRDefault="003E03F3" w:rsidP="003E03F3">
      <w:pPr>
        <w:rPr>
          <w:szCs w:val="22"/>
        </w:rPr>
      </w:pPr>
      <w:r w:rsidRPr="003E03F3">
        <w:rPr>
          <w:szCs w:val="22"/>
        </w:rPr>
        <w:t xml:space="preserve">The legislation outlines expedited internal appeal processes with quick response times for denials. It requires decisions to be made within 48 hours for expedited appeals. If the prescriber believes that the insured or enrollee will suffer serious harm without access to the prescribed drug, the denial becomes </w:t>
      </w:r>
      <w:r w:rsidRPr="003E03F3">
        <w:rPr>
          <w:szCs w:val="22"/>
        </w:rPr>
        <w:lastRenderedPageBreak/>
        <w:t xml:space="preserve">eligible for an expedited internal appeal. Once the expedited appeal process is initiated, the insurance carrier must render a decision within 48 hours and provide written notice. If a decision is not made within this timeframe, the initial denial is automatically overturned, and the insured or enrollee receives immediate coverage approval for the prescription drug. </w:t>
      </w:r>
    </w:p>
    <w:p w14:paraId="71A8747E" w14:textId="34AE45C6" w:rsidR="00956F1E" w:rsidRDefault="003E03F3" w:rsidP="00956F1E">
      <w:pPr>
        <w:rPr>
          <w:szCs w:val="22"/>
        </w:rPr>
      </w:pPr>
      <w:r w:rsidRPr="003E03F3">
        <w:rPr>
          <w:szCs w:val="22"/>
        </w:rPr>
        <w:t xml:space="preserve">Additionally, the model legislation proposes eliminating </w:t>
      </w:r>
      <w:r w:rsidR="00A74AA3">
        <w:rPr>
          <w:szCs w:val="22"/>
        </w:rPr>
        <w:t>PA</w:t>
      </w:r>
      <w:r w:rsidRPr="003E03F3">
        <w:rPr>
          <w:szCs w:val="22"/>
        </w:rPr>
        <w:t xml:space="preserve"> requirements through the implementation of gold-carding programs. Under these programs, a physician or provider would not need </w:t>
      </w:r>
      <w:r w:rsidR="00A74AA3">
        <w:rPr>
          <w:szCs w:val="22"/>
        </w:rPr>
        <w:t>PA</w:t>
      </w:r>
      <w:r w:rsidRPr="003E03F3">
        <w:rPr>
          <w:szCs w:val="22"/>
        </w:rPr>
        <w:t xml:space="preserve"> for a specific health benefit if, during the most recent six-month evaluation period, the carrier approved or would have approved at least 90</w:t>
      </w:r>
      <w:r w:rsidR="00962C08">
        <w:rPr>
          <w:szCs w:val="22"/>
        </w:rPr>
        <w:t>%</w:t>
      </w:r>
      <w:r w:rsidRPr="003E03F3">
        <w:rPr>
          <w:szCs w:val="22"/>
        </w:rPr>
        <w:t xml:space="preserve"> of the </w:t>
      </w:r>
      <w:r w:rsidR="00A74AA3">
        <w:rPr>
          <w:szCs w:val="22"/>
        </w:rPr>
        <w:t>PA</w:t>
      </w:r>
      <w:r w:rsidRPr="003E03F3">
        <w:rPr>
          <w:szCs w:val="22"/>
        </w:rPr>
        <w:t xml:space="preserve"> requests submitted by that physician or provider for that health benefit. Physicians or providers will be reevaluated every six months to determine their eligibility for this exemption.</w:t>
      </w:r>
    </w:p>
    <w:p w14:paraId="477621B2" w14:textId="77777777" w:rsidR="00DC67ED" w:rsidRPr="004A7BE3" w:rsidRDefault="00DC67ED" w:rsidP="004A7BE3">
      <w:pPr>
        <w:pStyle w:val="Heading2"/>
      </w:pPr>
      <w:bookmarkStart w:id="38" w:name="_The_federal_government_1"/>
      <w:bookmarkStart w:id="39" w:name="_Toc203655713"/>
      <w:bookmarkEnd w:id="38"/>
      <w:r w:rsidRPr="004A7BE3">
        <w:t>The federal government</w:t>
      </w:r>
      <w:bookmarkEnd w:id="39"/>
    </w:p>
    <w:p w14:paraId="19F7914B" w14:textId="1A9ABF90" w:rsidR="00DC67ED" w:rsidRPr="00695953" w:rsidRDefault="00DC67ED" w:rsidP="00DC67ED">
      <w:r w:rsidRPr="005F6ED4">
        <w:rPr>
          <w:szCs w:val="22"/>
        </w:rPr>
        <w:t xml:space="preserve">In addition to state legislative action, the Centers for Medicaid and Medicare Services (CMS) within the federal Department of Health and Human Services (HHS), issued a CMS Interoperability and </w:t>
      </w:r>
      <w:r>
        <w:rPr>
          <w:szCs w:val="22"/>
        </w:rPr>
        <w:t>PA</w:t>
      </w:r>
      <w:r w:rsidRPr="005F6ED4">
        <w:rPr>
          <w:szCs w:val="22"/>
        </w:rPr>
        <w:t xml:space="preserve"> Final Rule</w:t>
      </w:r>
      <w:r w:rsidRPr="005F6ED4">
        <w:rPr>
          <w:szCs w:val="22"/>
          <w:vertAlign w:val="superscript"/>
        </w:rPr>
        <w:footnoteReference w:id="51"/>
      </w:r>
      <w:r w:rsidRPr="005F6ED4">
        <w:rPr>
          <w:szCs w:val="22"/>
        </w:rPr>
        <w:t xml:space="preserve"> </w:t>
      </w:r>
      <w:r>
        <w:rPr>
          <w:szCs w:val="22"/>
        </w:rPr>
        <w:t xml:space="preserve">in 2024 </w:t>
      </w:r>
      <w:r w:rsidRPr="005F6ED4">
        <w:rPr>
          <w:szCs w:val="22"/>
        </w:rPr>
        <w:t>in an effort to set uniform national PA standards for the federal health coverage programs under its jurisdiction, as well as for Qualified Health Plans offering A</w:t>
      </w:r>
      <w:r w:rsidR="005261BE">
        <w:rPr>
          <w:szCs w:val="22"/>
        </w:rPr>
        <w:t>CA</w:t>
      </w:r>
      <w:r w:rsidRPr="005F6ED4">
        <w:rPr>
          <w:szCs w:val="22"/>
        </w:rPr>
        <w:t xml:space="preserve"> compliant coverage through Federally Facilitated Exchanges.</w:t>
      </w:r>
      <w:r w:rsidR="006F0E32">
        <w:rPr>
          <w:szCs w:val="22"/>
        </w:rPr>
        <w:t xml:space="preserve"> </w:t>
      </w:r>
      <w:r w:rsidRPr="005F6ED4">
        <w:rPr>
          <w:szCs w:val="22"/>
        </w:rPr>
        <w:t>The rule created uniform timeframes for PA decisions, data exchange requirements, transparency requirements, and other digitization efforts.</w:t>
      </w:r>
      <w:r w:rsidR="006F0E32">
        <w:rPr>
          <w:szCs w:val="22"/>
        </w:rPr>
        <w:t xml:space="preserve"> </w:t>
      </w:r>
      <w:r w:rsidRPr="005F6ED4">
        <w:rPr>
          <w:szCs w:val="22"/>
        </w:rPr>
        <w:t>While this rule does not reach health insurers operating in states with State-Based Exchanges, having a federal baseline may help encourage national uniformity as states continue to grapple with the issue.</w:t>
      </w:r>
    </w:p>
    <w:p w14:paraId="0969835A" w14:textId="476FFFC5" w:rsidR="00405FFB" w:rsidRDefault="00405FFB" w:rsidP="00405FFB">
      <w:pPr>
        <w:pStyle w:val="Heading2"/>
      </w:pPr>
      <w:bookmarkStart w:id="40" w:name="_Toc203655714"/>
      <w:r>
        <w:t>Private industry</w:t>
      </w:r>
      <w:bookmarkEnd w:id="40"/>
    </w:p>
    <w:p w14:paraId="382DCA85" w14:textId="02422280" w:rsidR="008744E1" w:rsidRPr="008744E1" w:rsidRDefault="00512A08" w:rsidP="008744E1">
      <w:pPr>
        <w:rPr>
          <w:szCs w:val="22"/>
        </w:rPr>
      </w:pPr>
      <w:r w:rsidRPr="00327A09">
        <w:rPr>
          <w:szCs w:val="22"/>
        </w:rPr>
        <w:t xml:space="preserve">In June 2025, </w:t>
      </w:r>
      <w:r w:rsidR="00665130" w:rsidRPr="00327A09">
        <w:rPr>
          <w:szCs w:val="22"/>
        </w:rPr>
        <w:t>AHIP</w:t>
      </w:r>
      <w:r w:rsidR="00665130">
        <w:rPr>
          <w:szCs w:val="22"/>
        </w:rPr>
        <w:t xml:space="preserve"> announced efforts</w:t>
      </w:r>
      <w:r w:rsidR="00742983" w:rsidRPr="00742983">
        <w:rPr>
          <w:szCs w:val="22"/>
        </w:rPr>
        <w:t xml:space="preserve"> </w:t>
      </w:r>
      <w:r w:rsidR="00742983">
        <w:rPr>
          <w:szCs w:val="22"/>
        </w:rPr>
        <w:t>by its member health insurance providers</w:t>
      </w:r>
      <w:r w:rsidR="00665130">
        <w:rPr>
          <w:szCs w:val="22"/>
        </w:rPr>
        <w:t xml:space="preserve"> to simplify prior authorization</w:t>
      </w:r>
      <w:r w:rsidR="009C2F36">
        <w:rPr>
          <w:szCs w:val="22"/>
        </w:rPr>
        <w:t xml:space="preserve">, </w:t>
      </w:r>
      <w:r w:rsidR="00742983">
        <w:rPr>
          <w:szCs w:val="22"/>
        </w:rPr>
        <w:t>with</w:t>
      </w:r>
      <w:r w:rsidR="009C2F36">
        <w:rPr>
          <w:szCs w:val="22"/>
        </w:rPr>
        <w:t xml:space="preserve"> a focus on “</w:t>
      </w:r>
      <w:r w:rsidR="00365069" w:rsidRPr="00365069">
        <w:rPr>
          <w:szCs w:val="22"/>
        </w:rPr>
        <w:t>connecting patients more quickly to the care they need while minimizing administrative burdens on providers.</w:t>
      </w:r>
      <w:r w:rsidR="009C2F36">
        <w:rPr>
          <w:szCs w:val="22"/>
        </w:rPr>
        <w:t>”</w:t>
      </w:r>
      <w:r w:rsidR="009C2F36">
        <w:rPr>
          <w:rStyle w:val="FootnoteReference"/>
          <w:szCs w:val="22"/>
        </w:rPr>
        <w:footnoteReference w:id="52"/>
      </w:r>
      <w:r w:rsidR="00891E21">
        <w:rPr>
          <w:szCs w:val="22"/>
        </w:rPr>
        <w:t xml:space="preserve"> </w:t>
      </w:r>
      <w:r w:rsidR="005276EA">
        <w:rPr>
          <w:szCs w:val="22"/>
        </w:rPr>
        <w:t xml:space="preserve">The pledge </w:t>
      </w:r>
      <w:r w:rsidR="007A245E">
        <w:rPr>
          <w:szCs w:val="22"/>
        </w:rPr>
        <w:t xml:space="preserve">is the outcome of </w:t>
      </w:r>
      <w:r w:rsidR="00CD4AF9">
        <w:rPr>
          <w:szCs w:val="22"/>
        </w:rPr>
        <w:t>a survey of AHIP’s members</w:t>
      </w:r>
      <w:r w:rsidR="00CD4AF9">
        <w:rPr>
          <w:rStyle w:val="FootnoteReference"/>
          <w:szCs w:val="22"/>
        </w:rPr>
        <w:footnoteReference w:id="53"/>
      </w:r>
      <w:r w:rsidR="00CD4AF9">
        <w:rPr>
          <w:szCs w:val="22"/>
        </w:rPr>
        <w:t xml:space="preserve"> and </w:t>
      </w:r>
      <w:r w:rsidR="005276EA">
        <w:rPr>
          <w:szCs w:val="22"/>
        </w:rPr>
        <w:t xml:space="preserve">applies to insurance markets </w:t>
      </w:r>
      <w:r w:rsidR="00C166A8">
        <w:rPr>
          <w:szCs w:val="22"/>
        </w:rPr>
        <w:t>including</w:t>
      </w:r>
      <w:r w:rsidR="005276EA">
        <w:rPr>
          <w:szCs w:val="22"/>
        </w:rPr>
        <w:t xml:space="preserve"> Commercial coverage, Medicare Advantage, and Medicaid managed care.</w:t>
      </w:r>
      <w:r w:rsidR="008744E1">
        <w:rPr>
          <w:szCs w:val="22"/>
        </w:rPr>
        <w:t xml:space="preserve"> The</w:t>
      </w:r>
      <w:r w:rsidR="00BB76CE">
        <w:rPr>
          <w:szCs w:val="22"/>
        </w:rPr>
        <w:t xml:space="preserve"> </w:t>
      </w:r>
      <w:proofErr w:type="gramStart"/>
      <w:r w:rsidR="00BB76CE">
        <w:rPr>
          <w:szCs w:val="22"/>
        </w:rPr>
        <w:t>participating</w:t>
      </w:r>
      <w:proofErr w:type="gramEnd"/>
      <w:r w:rsidR="008744E1">
        <w:rPr>
          <w:szCs w:val="22"/>
        </w:rPr>
        <w:t xml:space="preserve"> member health plans </w:t>
      </w:r>
      <w:r w:rsidR="00967507">
        <w:rPr>
          <w:szCs w:val="22"/>
        </w:rPr>
        <w:t>commit to:</w:t>
      </w:r>
    </w:p>
    <w:p w14:paraId="4FBF1660" w14:textId="10E108DC" w:rsidR="008744E1" w:rsidRPr="008744E1" w:rsidRDefault="008744E1" w:rsidP="008744E1">
      <w:pPr>
        <w:numPr>
          <w:ilvl w:val="0"/>
          <w:numId w:val="14"/>
        </w:numPr>
        <w:rPr>
          <w:szCs w:val="22"/>
        </w:rPr>
      </w:pPr>
      <w:r w:rsidRPr="008744E1">
        <w:rPr>
          <w:b/>
          <w:bCs/>
          <w:szCs w:val="22"/>
        </w:rPr>
        <w:t>Standardiz</w:t>
      </w:r>
      <w:r w:rsidR="00054739">
        <w:rPr>
          <w:b/>
          <w:bCs/>
          <w:szCs w:val="22"/>
        </w:rPr>
        <w:t xml:space="preserve">e </w:t>
      </w:r>
      <w:r w:rsidR="00967507">
        <w:rPr>
          <w:b/>
          <w:bCs/>
          <w:szCs w:val="22"/>
        </w:rPr>
        <w:t>e</w:t>
      </w:r>
      <w:r w:rsidRPr="008744E1">
        <w:rPr>
          <w:b/>
          <w:bCs/>
          <w:szCs w:val="22"/>
        </w:rPr>
        <w:t xml:space="preserve">lectronic </w:t>
      </w:r>
      <w:r w:rsidR="00967507">
        <w:rPr>
          <w:b/>
          <w:bCs/>
          <w:szCs w:val="22"/>
        </w:rPr>
        <w:t>PA</w:t>
      </w:r>
      <w:r w:rsidR="001F4DEB">
        <w:rPr>
          <w:b/>
          <w:bCs/>
          <w:szCs w:val="22"/>
        </w:rPr>
        <w:t xml:space="preserve"> </w:t>
      </w:r>
      <w:r w:rsidRPr="008744E1">
        <w:rPr>
          <w:szCs w:val="22"/>
        </w:rPr>
        <w:t>by January 1, 2027</w:t>
      </w:r>
      <w:r w:rsidR="00B80CED">
        <w:rPr>
          <w:szCs w:val="22"/>
        </w:rPr>
        <w:t>.</w:t>
      </w:r>
      <w:r w:rsidR="000654A6">
        <w:rPr>
          <w:szCs w:val="22"/>
        </w:rPr>
        <w:t xml:space="preserve"> </w:t>
      </w:r>
      <w:proofErr w:type="gramStart"/>
      <w:r w:rsidR="000654A6">
        <w:rPr>
          <w:szCs w:val="22"/>
        </w:rPr>
        <w:t>P</w:t>
      </w:r>
      <w:r w:rsidR="000654A6" w:rsidRPr="000654A6">
        <w:rPr>
          <w:szCs w:val="22"/>
        </w:rPr>
        <w:t>articipating</w:t>
      </w:r>
      <w:proofErr w:type="gramEnd"/>
      <w:r w:rsidR="000654A6" w:rsidRPr="000654A6">
        <w:rPr>
          <w:szCs w:val="22"/>
        </w:rPr>
        <w:t xml:space="preserve"> health plans will work toward implementing common, transparent submissions for electronic </w:t>
      </w:r>
      <w:r w:rsidR="000A0E12">
        <w:rPr>
          <w:szCs w:val="22"/>
        </w:rPr>
        <w:t>PA</w:t>
      </w:r>
      <w:r w:rsidR="000654A6" w:rsidRPr="000654A6">
        <w:rPr>
          <w:szCs w:val="22"/>
        </w:rPr>
        <w:t>.</w:t>
      </w:r>
    </w:p>
    <w:p w14:paraId="70CA3458" w14:textId="60A9AAF4" w:rsidR="008744E1" w:rsidRPr="008744E1" w:rsidRDefault="008744E1" w:rsidP="008744E1">
      <w:pPr>
        <w:numPr>
          <w:ilvl w:val="0"/>
          <w:numId w:val="15"/>
        </w:numPr>
        <w:rPr>
          <w:szCs w:val="22"/>
        </w:rPr>
      </w:pPr>
      <w:r w:rsidRPr="008744E1">
        <w:rPr>
          <w:b/>
          <w:bCs/>
          <w:szCs w:val="22"/>
        </w:rPr>
        <w:t>Reduc</w:t>
      </w:r>
      <w:r w:rsidR="00054739">
        <w:rPr>
          <w:b/>
          <w:bCs/>
          <w:szCs w:val="22"/>
        </w:rPr>
        <w:t>e</w:t>
      </w:r>
      <w:r w:rsidRPr="008744E1">
        <w:rPr>
          <w:b/>
          <w:bCs/>
          <w:szCs w:val="22"/>
        </w:rPr>
        <w:t xml:space="preserve"> the </w:t>
      </w:r>
      <w:r w:rsidR="001F4DEB">
        <w:rPr>
          <w:b/>
          <w:bCs/>
          <w:szCs w:val="22"/>
        </w:rPr>
        <w:t>s</w:t>
      </w:r>
      <w:r w:rsidRPr="008744E1">
        <w:rPr>
          <w:b/>
          <w:bCs/>
          <w:szCs w:val="22"/>
        </w:rPr>
        <w:t xml:space="preserve">cope of </w:t>
      </w:r>
      <w:r w:rsidR="001F4DEB">
        <w:rPr>
          <w:b/>
          <w:bCs/>
          <w:szCs w:val="22"/>
        </w:rPr>
        <w:t>c</w:t>
      </w:r>
      <w:r w:rsidRPr="008744E1">
        <w:rPr>
          <w:b/>
          <w:bCs/>
          <w:szCs w:val="22"/>
        </w:rPr>
        <w:t xml:space="preserve">laims </w:t>
      </w:r>
      <w:r w:rsidR="001F4DEB">
        <w:rPr>
          <w:b/>
          <w:bCs/>
          <w:szCs w:val="22"/>
        </w:rPr>
        <w:t>s</w:t>
      </w:r>
      <w:r w:rsidRPr="008744E1">
        <w:rPr>
          <w:b/>
          <w:bCs/>
          <w:szCs w:val="22"/>
        </w:rPr>
        <w:t xml:space="preserve">ubject to </w:t>
      </w:r>
      <w:r w:rsidR="001F4DEB">
        <w:rPr>
          <w:b/>
          <w:bCs/>
          <w:szCs w:val="22"/>
        </w:rPr>
        <w:t>p</w:t>
      </w:r>
      <w:r w:rsidRPr="008744E1">
        <w:rPr>
          <w:b/>
          <w:bCs/>
          <w:szCs w:val="22"/>
        </w:rPr>
        <w:t xml:space="preserve">rior </w:t>
      </w:r>
      <w:r w:rsidR="001F4DEB">
        <w:rPr>
          <w:b/>
          <w:bCs/>
          <w:szCs w:val="22"/>
        </w:rPr>
        <w:t>a</w:t>
      </w:r>
      <w:r w:rsidRPr="008744E1">
        <w:rPr>
          <w:b/>
          <w:bCs/>
          <w:szCs w:val="22"/>
        </w:rPr>
        <w:t>uthorization</w:t>
      </w:r>
      <w:r w:rsidRPr="008744E1">
        <w:rPr>
          <w:szCs w:val="22"/>
        </w:rPr>
        <w:t>, with demonstrated reductions by January 1, 2026</w:t>
      </w:r>
      <w:r w:rsidR="00B80CED">
        <w:rPr>
          <w:szCs w:val="22"/>
        </w:rPr>
        <w:t>.</w:t>
      </w:r>
      <w:r w:rsidR="00DD0243">
        <w:rPr>
          <w:szCs w:val="22"/>
        </w:rPr>
        <w:t xml:space="preserve"> </w:t>
      </w:r>
      <w:r w:rsidR="00DD0243" w:rsidRPr="00DD0243">
        <w:rPr>
          <w:szCs w:val="22"/>
        </w:rPr>
        <w:t xml:space="preserve">Individual plans will commit to specific reductions to medical </w:t>
      </w:r>
      <w:r w:rsidR="000A0E12">
        <w:rPr>
          <w:szCs w:val="22"/>
        </w:rPr>
        <w:t>PA</w:t>
      </w:r>
      <w:r w:rsidR="00DD0243" w:rsidRPr="00DD0243">
        <w:rPr>
          <w:szCs w:val="22"/>
        </w:rPr>
        <w:t xml:space="preserve"> as appropriate for </w:t>
      </w:r>
      <w:r w:rsidR="00DD0243">
        <w:rPr>
          <w:szCs w:val="22"/>
        </w:rPr>
        <w:t xml:space="preserve">their </w:t>
      </w:r>
      <w:proofErr w:type="gramStart"/>
      <w:r w:rsidR="00DD0243">
        <w:rPr>
          <w:szCs w:val="22"/>
        </w:rPr>
        <w:t>particular</w:t>
      </w:r>
      <w:r w:rsidR="00DD0243" w:rsidRPr="00DD0243">
        <w:rPr>
          <w:szCs w:val="22"/>
        </w:rPr>
        <w:t xml:space="preserve"> market</w:t>
      </w:r>
      <w:proofErr w:type="gramEnd"/>
      <w:r w:rsidR="00DD0243">
        <w:rPr>
          <w:szCs w:val="22"/>
        </w:rPr>
        <w:t>.</w:t>
      </w:r>
    </w:p>
    <w:p w14:paraId="1846FB26" w14:textId="19591135" w:rsidR="008744E1" w:rsidRPr="008744E1" w:rsidRDefault="00054739" w:rsidP="008744E1">
      <w:pPr>
        <w:numPr>
          <w:ilvl w:val="0"/>
          <w:numId w:val="15"/>
        </w:numPr>
        <w:rPr>
          <w:szCs w:val="22"/>
        </w:rPr>
      </w:pPr>
      <w:r w:rsidRPr="008744E1">
        <w:rPr>
          <w:b/>
          <w:bCs/>
          <w:szCs w:val="22"/>
        </w:rPr>
        <w:t>Guara</w:t>
      </w:r>
      <w:r>
        <w:rPr>
          <w:b/>
          <w:bCs/>
          <w:szCs w:val="22"/>
        </w:rPr>
        <w:t>ntee</w:t>
      </w:r>
      <w:r w:rsidR="008744E1" w:rsidRPr="008744E1">
        <w:rPr>
          <w:b/>
          <w:bCs/>
          <w:szCs w:val="22"/>
        </w:rPr>
        <w:t xml:space="preserve"> </w:t>
      </w:r>
      <w:r w:rsidR="001F4DEB">
        <w:rPr>
          <w:b/>
          <w:bCs/>
          <w:szCs w:val="22"/>
        </w:rPr>
        <w:t>c</w:t>
      </w:r>
      <w:r w:rsidR="008744E1" w:rsidRPr="008744E1">
        <w:rPr>
          <w:b/>
          <w:bCs/>
          <w:szCs w:val="22"/>
        </w:rPr>
        <w:t xml:space="preserve">ontinuity of </w:t>
      </w:r>
      <w:r w:rsidR="001F4DEB">
        <w:rPr>
          <w:b/>
          <w:bCs/>
          <w:szCs w:val="22"/>
        </w:rPr>
        <w:t>c</w:t>
      </w:r>
      <w:r w:rsidR="008744E1" w:rsidRPr="008744E1">
        <w:rPr>
          <w:b/>
          <w:bCs/>
          <w:szCs w:val="22"/>
        </w:rPr>
        <w:t xml:space="preserve">are </w:t>
      </w:r>
      <w:r w:rsidR="001F4DEB">
        <w:rPr>
          <w:b/>
          <w:bCs/>
          <w:szCs w:val="22"/>
        </w:rPr>
        <w:t>w</w:t>
      </w:r>
      <w:r w:rsidR="008744E1" w:rsidRPr="008744E1">
        <w:rPr>
          <w:b/>
          <w:bCs/>
          <w:szCs w:val="22"/>
        </w:rPr>
        <w:t xml:space="preserve">hen </w:t>
      </w:r>
      <w:r w:rsidR="001F4DEB">
        <w:rPr>
          <w:b/>
          <w:bCs/>
          <w:szCs w:val="22"/>
        </w:rPr>
        <w:t>p</w:t>
      </w:r>
      <w:r w:rsidR="008744E1" w:rsidRPr="008744E1">
        <w:rPr>
          <w:b/>
          <w:bCs/>
          <w:szCs w:val="22"/>
        </w:rPr>
        <w:t xml:space="preserve">atients </w:t>
      </w:r>
      <w:r w:rsidR="001F4DEB">
        <w:rPr>
          <w:b/>
          <w:bCs/>
          <w:szCs w:val="22"/>
        </w:rPr>
        <w:t>c</w:t>
      </w:r>
      <w:r w:rsidR="008744E1" w:rsidRPr="008744E1">
        <w:rPr>
          <w:b/>
          <w:bCs/>
          <w:szCs w:val="22"/>
        </w:rPr>
        <w:t xml:space="preserve">hange </w:t>
      </w:r>
      <w:r w:rsidR="001F4DEB" w:rsidRPr="00B80CED">
        <w:rPr>
          <w:b/>
          <w:bCs/>
          <w:szCs w:val="22"/>
        </w:rPr>
        <w:t>p</w:t>
      </w:r>
      <w:r w:rsidR="008744E1" w:rsidRPr="008744E1">
        <w:rPr>
          <w:b/>
          <w:bCs/>
          <w:szCs w:val="22"/>
        </w:rPr>
        <w:t>lans</w:t>
      </w:r>
      <w:r w:rsidR="00B80CED">
        <w:rPr>
          <w:szCs w:val="22"/>
        </w:rPr>
        <w:t>, b</w:t>
      </w:r>
      <w:r w:rsidR="008744E1" w:rsidRPr="008744E1">
        <w:rPr>
          <w:szCs w:val="22"/>
        </w:rPr>
        <w:t>eginning January 1, 2026</w:t>
      </w:r>
      <w:r w:rsidR="00B80CED">
        <w:rPr>
          <w:szCs w:val="22"/>
        </w:rPr>
        <w:t>. W</w:t>
      </w:r>
      <w:r w:rsidR="008744E1" w:rsidRPr="008744E1">
        <w:rPr>
          <w:szCs w:val="22"/>
        </w:rPr>
        <w:t xml:space="preserve">hen a patient changes insurance companies during a course of treatment, the new plan will honor existing </w:t>
      </w:r>
      <w:r w:rsidR="000A0E12">
        <w:rPr>
          <w:szCs w:val="22"/>
        </w:rPr>
        <w:t>PAs</w:t>
      </w:r>
      <w:r w:rsidR="008744E1" w:rsidRPr="008744E1">
        <w:rPr>
          <w:szCs w:val="22"/>
        </w:rPr>
        <w:t xml:space="preserve"> for benefit-equivalent in-network services as part of a 90-day transition period.</w:t>
      </w:r>
    </w:p>
    <w:p w14:paraId="761D98EC" w14:textId="0102994E" w:rsidR="008744E1" w:rsidRPr="008744E1" w:rsidRDefault="008744E1" w:rsidP="008744E1">
      <w:pPr>
        <w:numPr>
          <w:ilvl w:val="0"/>
          <w:numId w:val="16"/>
        </w:numPr>
        <w:rPr>
          <w:szCs w:val="22"/>
        </w:rPr>
      </w:pPr>
      <w:r w:rsidRPr="008744E1">
        <w:rPr>
          <w:b/>
          <w:bCs/>
          <w:szCs w:val="22"/>
        </w:rPr>
        <w:lastRenderedPageBreak/>
        <w:t>Enhanc</w:t>
      </w:r>
      <w:r w:rsidR="00054739">
        <w:rPr>
          <w:b/>
          <w:bCs/>
          <w:szCs w:val="22"/>
        </w:rPr>
        <w:t>e</w:t>
      </w:r>
      <w:r w:rsidRPr="008744E1">
        <w:rPr>
          <w:b/>
          <w:bCs/>
          <w:szCs w:val="22"/>
        </w:rPr>
        <w:t xml:space="preserve"> </w:t>
      </w:r>
      <w:r w:rsidR="00B80CED">
        <w:rPr>
          <w:b/>
          <w:bCs/>
          <w:szCs w:val="22"/>
        </w:rPr>
        <w:t>c</w:t>
      </w:r>
      <w:r w:rsidRPr="008744E1">
        <w:rPr>
          <w:b/>
          <w:bCs/>
          <w:szCs w:val="22"/>
        </w:rPr>
        <w:t xml:space="preserve">ommunication and </w:t>
      </w:r>
      <w:r w:rsidR="00B80CED">
        <w:rPr>
          <w:b/>
          <w:bCs/>
          <w:szCs w:val="22"/>
        </w:rPr>
        <w:t>t</w:t>
      </w:r>
      <w:r w:rsidRPr="008744E1">
        <w:rPr>
          <w:b/>
          <w:bCs/>
          <w:szCs w:val="22"/>
        </w:rPr>
        <w:t xml:space="preserve">ransparency on </w:t>
      </w:r>
      <w:r w:rsidR="00B80CED">
        <w:rPr>
          <w:b/>
          <w:bCs/>
          <w:szCs w:val="22"/>
        </w:rPr>
        <w:t>d</w:t>
      </w:r>
      <w:r w:rsidRPr="008744E1">
        <w:rPr>
          <w:b/>
          <w:bCs/>
          <w:szCs w:val="22"/>
        </w:rPr>
        <w:t>eterminations</w:t>
      </w:r>
      <w:r w:rsidR="00B80CED">
        <w:rPr>
          <w:b/>
          <w:bCs/>
          <w:szCs w:val="22"/>
        </w:rPr>
        <w:t>,</w:t>
      </w:r>
      <w:r w:rsidRPr="008744E1">
        <w:rPr>
          <w:szCs w:val="22"/>
        </w:rPr>
        <w:t xml:space="preserve"> operational for fully insured and commercial coverage by January 1, 2026, with a focus on supporting regulatory changes for expansion to additional coverage types.</w:t>
      </w:r>
    </w:p>
    <w:p w14:paraId="688097CF" w14:textId="1FA64221" w:rsidR="008744E1" w:rsidRPr="008744E1" w:rsidRDefault="008744E1" w:rsidP="008744E1">
      <w:pPr>
        <w:numPr>
          <w:ilvl w:val="0"/>
          <w:numId w:val="17"/>
        </w:numPr>
        <w:rPr>
          <w:szCs w:val="22"/>
        </w:rPr>
      </w:pPr>
      <w:r w:rsidRPr="008744E1">
        <w:rPr>
          <w:b/>
          <w:bCs/>
          <w:szCs w:val="22"/>
        </w:rPr>
        <w:t xml:space="preserve">Expand </w:t>
      </w:r>
      <w:r w:rsidR="00C52E11">
        <w:rPr>
          <w:b/>
          <w:bCs/>
          <w:szCs w:val="22"/>
        </w:rPr>
        <w:t>r</w:t>
      </w:r>
      <w:r w:rsidRPr="008744E1">
        <w:rPr>
          <w:b/>
          <w:bCs/>
          <w:szCs w:val="22"/>
        </w:rPr>
        <w:t>eal-</w:t>
      </w:r>
      <w:r w:rsidR="00C52E11">
        <w:rPr>
          <w:b/>
          <w:bCs/>
          <w:szCs w:val="22"/>
        </w:rPr>
        <w:t>t</w:t>
      </w:r>
      <w:r w:rsidRPr="008744E1">
        <w:rPr>
          <w:b/>
          <w:bCs/>
          <w:szCs w:val="22"/>
        </w:rPr>
        <w:t xml:space="preserve">ime </w:t>
      </w:r>
      <w:r w:rsidR="00C52E11">
        <w:rPr>
          <w:b/>
          <w:bCs/>
          <w:szCs w:val="22"/>
        </w:rPr>
        <w:t>r</w:t>
      </w:r>
      <w:r w:rsidRPr="008744E1">
        <w:rPr>
          <w:b/>
          <w:bCs/>
          <w:szCs w:val="22"/>
        </w:rPr>
        <w:t>esponses. </w:t>
      </w:r>
      <w:r w:rsidRPr="008744E1">
        <w:rPr>
          <w:szCs w:val="22"/>
        </w:rPr>
        <w:t>In 2027, at least 80</w:t>
      </w:r>
      <w:r w:rsidR="00357149">
        <w:rPr>
          <w:szCs w:val="22"/>
        </w:rPr>
        <w:t>%</w:t>
      </w:r>
      <w:r w:rsidRPr="008744E1">
        <w:rPr>
          <w:szCs w:val="22"/>
        </w:rPr>
        <w:t xml:space="preserve"> of </w:t>
      </w:r>
      <w:r w:rsidR="00EF1CF8">
        <w:rPr>
          <w:szCs w:val="22"/>
        </w:rPr>
        <w:t xml:space="preserve">complete </w:t>
      </w:r>
      <w:r w:rsidRPr="008744E1">
        <w:rPr>
          <w:szCs w:val="22"/>
        </w:rPr>
        <w:t xml:space="preserve">electronic prior authorization </w:t>
      </w:r>
      <w:r w:rsidR="00EF1CF8">
        <w:rPr>
          <w:szCs w:val="22"/>
        </w:rPr>
        <w:t>requests</w:t>
      </w:r>
      <w:r w:rsidRPr="008744E1">
        <w:rPr>
          <w:szCs w:val="22"/>
        </w:rPr>
        <w:t xml:space="preserve"> will be answered in real-time</w:t>
      </w:r>
      <w:r w:rsidR="00BC1226">
        <w:rPr>
          <w:szCs w:val="22"/>
        </w:rPr>
        <w:t>.</w:t>
      </w:r>
    </w:p>
    <w:p w14:paraId="6DAA007D" w14:textId="472045ED" w:rsidR="00FF09D9" w:rsidRPr="00054739" w:rsidRDefault="008744E1" w:rsidP="00054739">
      <w:pPr>
        <w:numPr>
          <w:ilvl w:val="0"/>
          <w:numId w:val="17"/>
        </w:numPr>
        <w:rPr>
          <w:szCs w:val="22"/>
        </w:rPr>
      </w:pPr>
      <w:r w:rsidRPr="008744E1">
        <w:rPr>
          <w:b/>
          <w:bCs/>
          <w:szCs w:val="22"/>
        </w:rPr>
        <w:t>Ensur</w:t>
      </w:r>
      <w:r w:rsidR="00054739">
        <w:rPr>
          <w:b/>
          <w:bCs/>
          <w:szCs w:val="22"/>
        </w:rPr>
        <w:t>e</w:t>
      </w:r>
      <w:r w:rsidRPr="008744E1">
        <w:rPr>
          <w:b/>
          <w:bCs/>
          <w:szCs w:val="22"/>
        </w:rPr>
        <w:t xml:space="preserve"> </w:t>
      </w:r>
      <w:r w:rsidR="00BC1226" w:rsidRPr="00EF1CF8">
        <w:rPr>
          <w:b/>
          <w:bCs/>
          <w:szCs w:val="22"/>
        </w:rPr>
        <w:t>m</w:t>
      </w:r>
      <w:r w:rsidRPr="008744E1">
        <w:rPr>
          <w:b/>
          <w:bCs/>
          <w:szCs w:val="22"/>
        </w:rPr>
        <w:t xml:space="preserve">edical </w:t>
      </w:r>
      <w:r w:rsidR="00BC1226" w:rsidRPr="00EF1CF8">
        <w:rPr>
          <w:b/>
          <w:bCs/>
          <w:szCs w:val="22"/>
        </w:rPr>
        <w:t>r</w:t>
      </w:r>
      <w:r w:rsidRPr="008744E1">
        <w:rPr>
          <w:b/>
          <w:bCs/>
          <w:szCs w:val="22"/>
        </w:rPr>
        <w:t xml:space="preserve">eview of </w:t>
      </w:r>
      <w:r w:rsidR="00BC1226" w:rsidRPr="00EF1CF8">
        <w:rPr>
          <w:b/>
          <w:bCs/>
          <w:szCs w:val="22"/>
        </w:rPr>
        <w:t>denied r</w:t>
      </w:r>
      <w:r w:rsidRPr="008744E1">
        <w:rPr>
          <w:b/>
          <w:bCs/>
          <w:szCs w:val="22"/>
        </w:rPr>
        <w:t>equests</w:t>
      </w:r>
      <w:r w:rsidR="00BC1226" w:rsidRPr="00EF1CF8">
        <w:rPr>
          <w:szCs w:val="22"/>
        </w:rPr>
        <w:t xml:space="preserve">, a standard that </w:t>
      </w:r>
      <w:r w:rsidR="00EF1CF8" w:rsidRPr="00EF1CF8">
        <w:rPr>
          <w:szCs w:val="22"/>
        </w:rPr>
        <w:t>is already in place</w:t>
      </w:r>
      <w:r w:rsidR="00302A07" w:rsidRPr="00054739">
        <w:rPr>
          <w:szCs w:val="22"/>
          <w:highlight w:val="yellow"/>
        </w:rPr>
        <w:t xml:space="preserve"> </w:t>
      </w:r>
    </w:p>
    <w:p w14:paraId="00D3CF1D" w14:textId="51A0073C" w:rsidR="00405FFB" w:rsidRPr="00273353" w:rsidRDefault="00405FFB" w:rsidP="00405FFB">
      <w:pPr>
        <w:rPr>
          <w:szCs w:val="22"/>
        </w:rPr>
      </w:pPr>
      <w:r w:rsidRPr="00273353">
        <w:rPr>
          <w:szCs w:val="22"/>
        </w:rPr>
        <w:t xml:space="preserve">Given the immense use of resources consumed by the </w:t>
      </w:r>
      <w:r>
        <w:rPr>
          <w:szCs w:val="22"/>
        </w:rPr>
        <w:t>PA</w:t>
      </w:r>
      <w:r w:rsidRPr="00273353">
        <w:rPr>
          <w:szCs w:val="22"/>
        </w:rPr>
        <w:t xml:space="preserve"> process, some entrepreneurs have created businesses that exist solely to facilitate </w:t>
      </w:r>
      <w:r>
        <w:rPr>
          <w:szCs w:val="22"/>
        </w:rPr>
        <w:t>PA</w:t>
      </w:r>
      <w:r w:rsidRPr="00273353">
        <w:rPr>
          <w:szCs w:val="22"/>
        </w:rPr>
        <w:t xml:space="preserve"> electronic communication between </w:t>
      </w:r>
      <w:r w:rsidR="00D4345B">
        <w:rPr>
          <w:szCs w:val="22"/>
        </w:rPr>
        <w:t>health care</w:t>
      </w:r>
      <w:r w:rsidRPr="00273353">
        <w:rPr>
          <w:szCs w:val="22"/>
        </w:rPr>
        <w:t xml:space="preserve"> providers and health benefit plans.</w:t>
      </w:r>
    </w:p>
    <w:p w14:paraId="53948272" w14:textId="5AB715B2" w:rsidR="002A0154" w:rsidRDefault="002E31D0" w:rsidP="00F80EF3">
      <w:pPr>
        <w:pStyle w:val="Heading1"/>
      </w:pPr>
      <w:bookmarkStart w:id="41" w:name="_Toc203655715"/>
      <w:r w:rsidRPr="002E31D0">
        <w:t>Takeaways</w:t>
      </w:r>
      <w:bookmarkEnd w:id="41"/>
    </w:p>
    <w:p w14:paraId="08473FDA" w14:textId="377C854C" w:rsidR="005C5D3D" w:rsidRPr="005C5D3D" w:rsidRDefault="005C5D3D" w:rsidP="005C5D3D">
      <w:r>
        <w:t>States should w</w:t>
      </w:r>
      <w:r w:rsidRPr="000F4B2F">
        <w:t>o</w:t>
      </w:r>
      <w:r>
        <w:t>rk within the broader NAIC to develop Prior Authorization Standards.</w:t>
      </w:r>
    </w:p>
    <w:p w14:paraId="37F389E7" w14:textId="172FF188" w:rsidR="00756A36" w:rsidRDefault="0074617A" w:rsidP="00756A36">
      <w:pPr>
        <w:pStyle w:val="Heading2"/>
      </w:pPr>
      <w:bookmarkStart w:id="42" w:name="_Toc203655716"/>
      <w:r>
        <w:t>Take advantage of</w:t>
      </w:r>
      <w:r w:rsidR="00200DA2">
        <w:t xml:space="preserve"> </w:t>
      </w:r>
      <w:r>
        <w:t>data calls</w:t>
      </w:r>
      <w:bookmarkEnd w:id="42"/>
    </w:p>
    <w:p w14:paraId="766E072A" w14:textId="658D7E40" w:rsidR="00756A36" w:rsidRPr="00C03E0F" w:rsidRDefault="00756A36" w:rsidP="00C03E0F">
      <w:r>
        <w:t xml:space="preserve">Make use of targeted data calls while in the legislative process to understand your market. This data will </w:t>
      </w:r>
      <w:r w:rsidR="008C7649">
        <w:t>prove</w:t>
      </w:r>
      <w:r>
        <w:t xml:space="preserve"> invaluable to mold future legislation that will benefit your consumers as well as your providers and </w:t>
      </w:r>
      <w:r w:rsidR="009C18FC">
        <w:t>insurer</w:t>
      </w:r>
      <w:r>
        <w:t xml:space="preserve">s.  </w:t>
      </w:r>
    </w:p>
    <w:p w14:paraId="7615DAA7" w14:textId="77777777" w:rsidR="00756A36" w:rsidRDefault="00756A36" w:rsidP="00756A36">
      <w:pPr>
        <w:pStyle w:val="Heading2"/>
      </w:pPr>
      <w:bookmarkStart w:id="43" w:name="_Toc203655717"/>
      <w:r w:rsidRPr="00883BDA">
        <w:t>Incorporating flexibility in legislation</w:t>
      </w:r>
      <w:bookmarkEnd w:id="43"/>
    </w:p>
    <w:p w14:paraId="3F72375F" w14:textId="00313A2B" w:rsidR="00756A36" w:rsidRPr="00AD7FD9" w:rsidRDefault="00756A36" w:rsidP="00756A36">
      <w:r>
        <w:t xml:space="preserve">Any new processes in legislation, while </w:t>
      </w:r>
      <w:r w:rsidR="00D770BD">
        <w:t>well-</w:t>
      </w:r>
      <w:r>
        <w:t xml:space="preserve">intentioned, may cause unintended consequences </w:t>
      </w:r>
      <w:proofErr w:type="gramStart"/>
      <w:r>
        <w:t>to</w:t>
      </w:r>
      <w:proofErr w:type="gramEnd"/>
      <w:r>
        <w:t xml:space="preserve"> consumers. New processes, such as electronic </w:t>
      </w:r>
      <w:r w:rsidR="005E0A20">
        <w:t>PA</w:t>
      </w:r>
      <w:r>
        <w:t xml:space="preserve">, can cause unneeded delays if systems crash unless there are alternate methods permitted.  </w:t>
      </w:r>
    </w:p>
    <w:p w14:paraId="1BC31759" w14:textId="204B529F" w:rsidR="00756A36" w:rsidRDefault="005821E6" w:rsidP="00756A36">
      <w:pPr>
        <w:pStyle w:val="Heading2"/>
      </w:pPr>
      <w:bookmarkStart w:id="44" w:name="_Toc203655718"/>
      <w:r>
        <w:t>Build</w:t>
      </w:r>
      <w:r w:rsidR="00756A36" w:rsidRPr="00883BDA">
        <w:t xml:space="preserve"> relationships with state partners</w:t>
      </w:r>
      <w:bookmarkEnd w:id="44"/>
    </w:p>
    <w:p w14:paraId="26637106" w14:textId="7B912530" w:rsidR="00756A36" w:rsidRPr="00A67E90" w:rsidRDefault="00756A36" w:rsidP="00756A36">
      <w:r>
        <w:t xml:space="preserve">In all conversations with providers, regulators and consumer organizations, stay patient focused. The </w:t>
      </w:r>
      <w:proofErr w:type="gramStart"/>
      <w:r>
        <w:t>ultimate goal</w:t>
      </w:r>
      <w:proofErr w:type="gramEnd"/>
      <w:r>
        <w:t xml:space="preserve"> is to get patients the necessary care they need in the shortest amount of time.  </w:t>
      </w:r>
    </w:p>
    <w:p w14:paraId="4FF3B5CA" w14:textId="48489AC2" w:rsidR="00756A36" w:rsidRDefault="00756A36" w:rsidP="00756A36">
      <w:pPr>
        <w:pStyle w:val="Heading2"/>
      </w:pPr>
      <w:bookmarkStart w:id="45" w:name="_Toc203655719"/>
      <w:r w:rsidRPr="00883BDA">
        <w:t>Implementation</w:t>
      </w:r>
      <w:r w:rsidR="00B237A4">
        <w:t xml:space="preserve"> processes</w:t>
      </w:r>
      <w:bookmarkEnd w:id="45"/>
    </w:p>
    <w:p w14:paraId="5391F294" w14:textId="1319D814" w:rsidR="00756A36" w:rsidRPr="00AD7FD9" w:rsidRDefault="00756A36" w:rsidP="00756A36">
      <w:r>
        <w:t xml:space="preserve">As with any </w:t>
      </w:r>
      <w:r w:rsidR="00D4345B">
        <w:t>health care</w:t>
      </w:r>
      <w:r>
        <w:t xml:space="preserve"> legislation, prior authorization changes to law can require significant effort to implement. It is important for state agencies to understand their roles with any changes, and to have mechanisms in law or processes in place to communicate how actions or decisions by one agency may </w:t>
      </w:r>
      <w:proofErr w:type="gramStart"/>
      <w:r>
        <w:t>impact</w:t>
      </w:r>
      <w:proofErr w:type="gramEnd"/>
      <w:r>
        <w:t xml:space="preserve"> the work of other agencies. In addition, many of the changes to facilitate faster processing time require IT updates at both the </w:t>
      </w:r>
      <w:r w:rsidR="009C18FC">
        <w:t>insurer</w:t>
      </w:r>
      <w:r>
        <w:t xml:space="preserve"> and provider levels, taking both time and </w:t>
      </w:r>
      <w:proofErr w:type="gramStart"/>
      <w:r>
        <w:t>a financial</w:t>
      </w:r>
      <w:proofErr w:type="gramEnd"/>
      <w:r>
        <w:t xml:space="preserve"> commitment to achieve.  </w:t>
      </w:r>
    </w:p>
    <w:p w14:paraId="10E06BB0" w14:textId="0DD2F79A" w:rsidR="00CB2C04" w:rsidRDefault="00AB2E8C" w:rsidP="00F80EF3">
      <w:pPr>
        <w:pStyle w:val="Heading2"/>
      </w:pPr>
      <w:bookmarkStart w:id="46" w:name="_Toc203655720"/>
      <w:r>
        <w:t>Develop</w:t>
      </w:r>
      <w:r w:rsidR="005821E6">
        <w:t xml:space="preserve"> </w:t>
      </w:r>
      <w:proofErr w:type="gramStart"/>
      <w:r w:rsidR="005821E6">
        <w:t>p</w:t>
      </w:r>
      <w:r w:rsidR="00686C43" w:rsidRPr="00883BDA">
        <w:t>rovider</w:t>
      </w:r>
      <w:proofErr w:type="gramEnd"/>
      <w:r w:rsidR="00686C43" w:rsidRPr="00883BDA">
        <w:t xml:space="preserve"> and consumer education</w:t>
      </w:r>
      <w:bookmarkEnd w:id="46"/>
      <w:r w:rsidR="00686C43" w:rsidRPr="00883BDA">
        <w:t xml:space="preserve"> </w:t>
      </w:r>
    </w:p>
    <w:p w14:paraId="6B823280" w14:textId="03AE3625" w:rsidR="005C5AE2" w:rsidRDefault="005C5AE2" w:rsidP="005C5AE2">
      <w:pPr>
        <w:rPr>
          <w:szCs w:val="22"/>
        </w:rPr>
      </w:pPr>
      <w:r>
        <w:rPr>
          <w:szCs w:val="22"/>
        </w:rPr>
        <w:t>States</w:t>
      </w:r>
      <w:r w:rsidRPr="005F6ED4">
        <w:rPr>
          <w:szCs w:val="22"/>
        </w:rPr>
        <w:t xml:space="preserve"> may pursue public awareness campaigns so that health insurance consumers and their physicians become familiar with </w:t>
      </w:r>
      <w:r>
        <w:rPr>
          <w:szCs w:val="22"/>
        </w:rPr>
        <w:t>PA</w:t>
      </w:r>
      <w:r w:rsidRPr="005F6ED4">
        <w:rPr>
          <w:szCs w:val="22"/>
        </w:rPr>
        <w:t xml:space="preserve"> processes and the attendant appeal rights.</w:t>
      </w:r>
      <w:r w:rsidR="006F0E32">
        <w:rPr>
          <w:szCs w:val="22"/>
        </w:rPr>
        <w:t xml:space="preserve"> </w:t>
      </w:r>
      <w:r w:rsidRPr="005F6ED4">
        <w:rPr>
          <w:szCs w:val="22"/>
        </w:rPr>
        <w:t>States may also highlight rules currently in effect designed to significantly increase transparency of health insurer processes.</w:t>
      </w:r>
      <w:r w:rsidR="006F0E32">
        <w:rPr>
          <w:szCs w:val="22"/>
        </w:rPr>
        <w:t xml:space="preserve"> </w:t>
      </w:r>
      <w:r w:rsidRPr="005F6ED4">
        <w:rPr>
          <w:szCs w:val="22"/>
        </w:rPr>
        <w:t xml:space="preserve">Bringing </w:t>
      </w:r>
      <w:r w:rsidRPr="005F6ED4">
        <w:rPr>
          <w:szCs w:val="22"/>
        </w:rPr>
        <w:lastRenderedPageBreak/>
        <w:t xml:space="preserve">more focus to the health insurance consumer experience with </w:t>
      </w:r>
      <w:r>
        <w:rPr>
          <w:szCs w:val="22"/>
        </w:rPr>
        <w:t>PA</w:t>
      </w:r>
      <w:r w:rsidRPr="005F6ED4">
        <w:rPr>
          <w:szCs w:val="22"/>
        </w:rPr>
        <w:t xml:space="preserve"> will greatly benefit those depending on the coverage they purchased to help navigate and </w:t>
      </w:r>
      <w:r>
        <w:rPr>
          <w:szCs w:val="22"/>
        </w:rPr>
        <w:t>address</w:t>
      </w:r>
      <w:r w:rsidRPr="005F6ED4">
        <w:rPr>
          <w:szCs w:val="22"/>
        </w:rPr>
        <w:t xml:space="preserve"> complex health concerns.</w:t>
      </w:r>
    </w:p>
    <w:p w14:paraId="77BB2460" w14:textId="7209E381" w:rsidR="00756A36" w:rsidRDefault="00AB2E8C" w:rsidP="006F4AD6">
      <w:pPr>
        <w:pStyle w:val="Heading2"/>
      </w:pPr>
      <w:bookmarkStart w:id="47" w:name="_Toc203655721"/>
      <w:r>
        <w:t>Create structure for e</w:t>
      </w:r>
      <w:r w:rsidR="00C67DAB">
        <w:t>nforcemen</w:t>
      </w:r>
      <w:r>
        <w:t>t</w:t>
      </w:r>
      <w:bookmarkEnd w:id="47"/>
    </w:p>
    <w:p w14:paraId="4DC053EC" w14:textId="3D0D7E17" w:rsidR="00756A36" w:rsidRPr="00756A36" w:rsidRDefault="00FD3BBE" w:rsidP="005C5AE2">
      <w:r>
        <w:t xml:space="preserve">New </w:t>
      </w:r>
      <w:r w:rsidR="006905BA">
        <w:t>PA</w:t>
      </w:r>
      <w:r>
        <w:t xml:space="preserve"> requirements can have complicated enforcement mechanism</w:t>
      </w:r>
      <w:r w:rsidR="006905BA">
        <w:t>s</w:t>
      </w:r>
      <w:r>
        <w:t>, and some may require additional staff expertise or investment in training. The Reg</w:t>
      </w:r>
      <w:r w:rsidR="007405AC">
        <w:t xml:space="preserve">ulatory </w:t>
      </w:r>
      <w:r>
        <w:t>Framework</w:t>
      </w:r>
      <w:r w:rsidR="007405AC">
        <w:t xml:space="preserve"> (B) Task Force </w:t>
      </w:r>
      <w:r>
        <w:t xml:space="preserve">will evaluate the need for an ad hoc </w:t>
      </w:r>
      <w:r w:rsidR="0048325F">
        <w:t>or other group</w:t>
      </w:r>
      <w:r>
        <w:t xml:space="preserve"> to support regulators newly embarking on </w:t>
      </w:r>
      <w:r w:rsidR="007405AC">
        <w:t>PA</w:t>
      </w:r>
      <w:r>
        <w:t xml:space="preserve"> enforcement.</w:t>
      </w:r>
    </w:p>
    <w:p w14:paraId="0B2F162B" w14:textId="112D8F75" w:rsidR="002E31D0" w:rsidRPr="00CB2C04" w:rsidRDefault="00407984" w:rsidP="00F80EF3">
      <w:pPr>
        <w:pStyle w:val="Heading1"/>
      </w:pPr>
      <w:bookmarkStart w:id="48" w:name="_Toc203655722"/>
      <w:r w:rsidRPr="00CB2C04">
        <w:t>APPENDIX—</w:t>
      </w:r>
      <w:r w:rsidR="003F1D16" w:rsidRPr="00CB2C04">
        <w:t xml:space="preserve">CHART ON STATE </w:t>
      </w:r>
      <w:r w:rsidR="00A74AA3">
        <w:t>PA</w:t>
      </w:r>
      <w:r w:rsidR="003F1D16" w:rsidRPr="00CB2C04">
        <w:t xml:space="preserve"> LAWS AND TYPE PRIOR</w:t>
      </w:r>
      <w:r w:rsidR="000D4D6D">
        <w:t xml:space="preserve"> </w:t>
      </w:r>
      <w:r w:rsidR="003F1D16" w:rsidRPr="00CB2C04">
        <w:t>AUTHO</w:t>
      </w:r>
      <w:r w:rsidR="00136D48" w:rsidRPr="00CB2C04">
        <w:t>RIZATION LAW</w:t>
      </w:r>
      <w:bookmarkEnd w:id="48"/>
    </w:p>
    <w:p w14:paraId="2A640063" w14:textId="77777777" w:rsidR="00154556" w:rsidRPr="00407984" w:rsidRDefault="00154556" w:rsidP="00136D48">
      <w:pPr>
        <w:ind w:left="720" w:hanging="720"/>
        <w:rPr>
          <w:b/>
          <w:bCs/>
          <w:szCs w:val="22"/>
        </w:rPr>
      </w:pPr>
    </w:p>
    <w:sectPr w:rsidR="00154556" w:rsidRPr="00407984" w:rsidSect="00956F1E">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D587" w14:textId="77777777" w:rsidR="00E74EAB" w:rsidRDefault="00E74EAB" w:rsidP="00785333">
      <w:pPr>
        <w:spacing w:after="0" w:line="240" w:lineRule="auto"/>
      </w:pPr>
      <w:r>
        <w:separator/>
      </w:r>
    </w:p>
  </w:endnote>
  <w:endnote w:type="continuationSeparator" w:id="0">
    <w:p w14:paraId="3E67D6DD" w14:textId="77777777" w:rsidR="00E74EAB" w:rsidRDefault="00E74EAB" w:rsidP="00785333">
      <w:pPr>
        <w:spacing w:after="0" w:line="240" w:lineRule="auto"/>
      </w:pPr>
      <w:r>
        <w:continuationSeparator/>
      </w:r>
    </w:p>
  </w:endnote>
  <w:endnote w:type="continuationNotice" w:id="1">
    <w:p w14:paraId="21AF0910" w14:textId="77777777" w:rsidR="00E74EAB" w:rsidRDefault="00E74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7F8A" w14:textId="0857D0C7" w:rsidR="00346DF7" w:rsidRPr="00346DF7" w:rsidRDefault="00346DF7" w:rsidP="00346DF7">
    <w:pPr>
      <w:tabs>
        <w:tab w:val="center" w:pos="5040"/>
        <w:tab w:val="right" w:pos="8640"/>
      </w:tabs>
      <w:spacing w:after="0" w:line="240" w:lineRule="auto"/>
      <w:jc w:val="both"/>
      <w:rPr>
        <w:rFonts w:ascii="Calibri" w:eastAsia="Times New Roman" w:hAnsi="Calibri" w:cs="Calibri"/>
        <w:kern w:val="0"/>
        <w:sz w:val="20"/>
        <w:szCs w:val="20"/>
        <w14:ligatures w14:val="none"/>
      </w:rPr>
    </w:pPr>
    <w:r w:rsidRPr="00346DF7">
      <w:rPr>
        <w:rFonts w:ascii="Calibri" w:eastAsia="Times New Roman" w:hAnsi="Calibri" w:cs="Calibri"/>
        <w:kern w:val="0"/>
        <w:sz w:val="20"/>
        <w:szCs w:val="20"/>
        <w14:ligatures w14:val="none"/>
      </w:rPr>
      <w:t>© 202</w:t>
    </w:r>
    <w:r>
      <w:rPr>
        <w:rFonts w:ascii="Calibri" w:eastAsia="Times New Roman" w:hAnsi="Calibri" w:cs="Calibri"/>
        <w:kern w:val="0"/>
        <w:sz w:val="20"/>
        <w:szCs w:val="20"/>
        <w14:ligatures w14:val="none"/>
      </w:rPr>
      <w:t>5</w:t>
    </w:r>
    <w:r w:rsidRPr="00346DF7">
      <w:rPr>
        <w:rFonts w:ascii="Calibri" w:eastAsia="Times New Roman" w:hAnsi="Calibri" w:cs="Calibri"/>
        <w:kern w:val="0"/>
        <w:sz w:val="20"/>
        <w:szCs w:val="20"/>
        <w14:ligatures w14:val="none"/>
      </w:rPr>
      <w:t xml:space="preserve"> National Association of Insurance Commissioners</w:t>
    </w:r>
    <w:r w:rsidRPr="00346DF7">
      <w:rPr>
        <w:rFonts w:ascii="Calibri" w:eastAsia="Times New Roman" w:hAnsi="Calibri" w:cs="Calibri"/>
        <w:kern w:val="0"/>
        <w:sz w:val="20"/>
        <w:szCs w:val="20"/>
        <w14:ligatures w14:val="none"/>
      </w:rPr>
      <w:tab/>
    </w:r>
    <w:r w:rsidRPr="00346DF7">
      <w:rPr>
        <w:rFonts w:ascii="Calibri" w:eastAsia="Times New Roman" w:hAnsi="Calibri" w:cs="Calibri"/>
        <w:kern w:val="0"/>
        <w:sz w:val="20"/>
        <w:szCs w:val="20"/>
        <w14:ligatures w14:val="none"/>
      </w:rPr>
      <w:fldChar w:fldCharType="begin"/>
    </w:r>
    <w:r w:rsidRPr="00346DF7">
      <w:rPr>
        <w:rFonts w:ascii="Calibri" w:eastAsia="Times New Roman" w:hAnsi="Calibri" w:cs="Calibri"/>
        <w:kern w:val="0"/>
        <w:sz w:val="20"/>
        <w:szCs w:val="20"/>
        <w14:ligatures w14:val="none"/>
      </w:rPr>
      <w:instrText xml:space="preserve"> PAGE   \* MERGEFORMAT </w:instrText>
    </w:r>
    <w:r w:rsidRPr="00346DF7">
      <w:rPr>
        <w:rFonts w:ascii="Calibri" w:eastAsia="Times New Roman" w:hAnsi="Calibri" w:cs="Calibri"/>
        <w:kern w:val="0"/>
        <w:sz w:val="20"/>
        <w:szCs w:val="20"/>
        <w14:ligatures w14:val="none"/>
      </w:rPr>
      <w:fldChar w:fldCharType="separate"/>
    </w:r>
    <w:r w:rsidRPr="00346DF7">
      <w:rPr>
        <w:rFonts w:ascii="Times New Roman" w:eastAsia="Times New Roman" w:hAnsi="Times New Roman" w:cs="Calibri"/>
        <w:kern w:val="0"/>
        <w:sz w:val="20"/>
        <w:szCs w:val="20"/>
        <w14:ligatures w14:val="none"/>
      </w:rPr>
      <w:t>1</w:t>
    </w:r>
    <w:r w:rsidRPr="00346DF7">
      <w:rPr>
        <w:rFonts w:ascii="Calibri" w:eastAsia="Times New Roman" w:hAnsi="Calibri" w:cs="Calibri"/>
        <w:noProof/>
        <w:kern w:val="0"/>
        <w:sz w:val="20"/>
        <w:szCs w:val="20"/>
        <w14:ligatures w14:val="none"/>
      </w:rPr>
      <w:fldChar w:fldCharType="end"/>
    </w:r>
  </w:p>
  <w:p w14:paraId="7A2D03E7" w14:textId="77777777" w:rsidR="00B73F55" w:rsidRDefault="00B73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FAD0" w14:textId="77777777" w:rsidR="00E74EAB" w:rsidRDefault="00E74EAB" w:rsidP="00785333">
      <w:pPr>
        <w:spacing w:after="0" w:line="240" w:lineRule="auto"/>
      </w:pPr>
      <w:r>
        <w:separator/>
      </w:r>
    </w:p>
  </w:footnote>
  <w:footnote w:type="continuationSeparator" w:id="0">
    <w:p w14:paraId="339BE1BA" w14:textId="77777777" w:rsidR="00E74EAB" w:rsidRDefault="00E74EAB" w:rsidP="00785333">
      <w:pPr>
        <w:spacing w:after="0" w:line="240" w:lineRule="auto"/>
      </w:pPr>
      <w:r>
        <w:continuationSeparator/>
      </w:r>
    </w:p>
  </w:footnote>
  <w:footnote w:type="continuationNotice" w:id="1">
    <w:p w14:paraId="798BBD9B" w14:textId="77777777" w:rsidR="00E74EAB" w:rsidRDefault="00E74EAB">
      <w:pPr>
        <w:spacing w:after="0" w:line="240" w:lineRule="auto"/>
      </w:pPr>
    </w:p>
  </w:footnote>
  <w:footnote w:id="2">
    <w:p w14:paraId="20771BDA" w14:textId="56054C0F" w:rsidR="00D33DA2" w:rsidRDefault="00D33DA2">
      <w:pPr>
        <w:pStyle w:val="FootnoteText"/>
      </w:pPr>
      <w:r>
        <w:rPr>
          <w:rStyle w:val="FootnoteReference"/>
        </w:rPr>
        <w:footnoteRef/>
      </w:r>
      <w:r>
        <w:t xml:space="preserve"> </w:t>
      </w:r>
      <w:hyperlink r:id="rId1" w:history="1">
        <w:r w:rsidR="001C606B" w:rsidRPr="00B32619">
          <w:rPr>
            <w:rStyle w:val="Hyperlink"/>
          </w:rPr>
          <w:t>https://www.health.harvard.edu/staying-healthy/prior-authorization-what-is-it-when-might-you-need-it-and-how-do-you-get-it</w:t>
        </w:r>
      </w:hyperlink>
      <w:r w:rsidR="001C606B">
        <w:t>.</w:t>
      </w:r>
    </w:p>
    <w:p w14:paraId="0D2B6452" w14:textId="77777777" w:rsidR="001C606B" w:rsidRDefault="001C606B">
      <w:pPr>
        <w:pStyle w:val="FootnoteText"/>
      </w:pPr>
    </w:p>
  </w:footnote>
  <w:footnote w:id="3">
    <w:p w14:paraId="73805D9E" w14:textId="77777777" w:rsidR="00273353" w:rsidRDefault="00273353" w:rsidP="00273353">
      <w:pPr>
        <w:pStyle w:val="FootnoteText"/>
      </w:pPr>
      <w:r>
        <w:rPr>
          <w:rStyle w:val="FootnoteReference"/>
        </w:rPr>
        <w:footnoteRef/>
      </w:r>
      <w:r>
        <w:t xml:space="preserve"> </w:t>
      </w:r>
      <w:r w:rsidRPr="00BA1304">
        <w:t>https://www.ama-assn.org/system/files/prior-authorization-survey.pdf</w:t>
      </w:r>
    </w:p>
  </w:footnote>
  <w:footnote w:id="4">
    <w:p w14:paraId="780E7470" w14:textId="57EE867A" w:rsidR="00402B05" w:rsidRDefault="00402B05" w:rsidP="00402B05">
      <w:pPr>
        <w:pStyle w:val="FootnoteText"/>
      </w:pPr>
      <w:r>
        <w:rPr>
          <w:rStyle w:val="FootnoteReference"/>
        </w:rPr>
        <w:footnoteRef/>
      </w:r>
      <w:r>
        <w:t xml:space="preserve"> Id.</w:t>
      </w:r>
    </w:p>
  </w:footnote>
  <w:footnote w:id="5">
    <w:p w14:paraId="18CA9185" w14:textId="5220B907" w:rsidR="007A3653" w:rsidRDefault="007A3653">
      <w:pPr>
        <w:pStyle w:val="FootnoteText"/>
      </w:pPr>
      <w:r>
        <w:rPr>
          <w:rStyle w:val="FootnoteReference"/>
        </w:rPr>
        <w:footnoteRef/>
      </w:r>
      <w:r>
        <w:t xml:space="preserve"> </w:t>
      </w:r>
      <w:r w:rsidRPr="007A3653">
        <w:t>https://arkleg.state.ar.us/Bills/Detail?id=sb83&amp;ddBienniumSession=2025%2F2025R</w:t>
      </w:r>
    </w:p>
  </w:footnote>
  <w:footnote w:id="6">
    <w:p w14:paraId="42BBADE5" w14:textId="1B1D1CCB" w:rsidR="00F57C35" w:rsidRDefault="00F57C35">
      <w:pPr>
        <w:pStyle w:val="FootnoteText"/>
      </w:pPr>
      <w:r>
        <w:rPr>
          <w:rStyle w:val="FootnoteReference"/>
        </w:rPr>
        <w:footnoteRef/>
      </w:r>
      <w:r>
        <w:t xml:space="preserve"> </w:t>
      </w:r>
      <w:r w:rsidRPr="00F57C35">
        <w:t>https://www.kff.org/affordable-care-act/issue-brief/consumer-problems-with-prior-authorization-evidence-from-kff-survey/</w:t>
      </w:r>
    </w:p>
  </w:footnote>
  <w:footnote w:id="7">
    <w:p w14:paraId="548D77EB" w14:textId="320B4E7F" w:rsidR="00F57C35" w:rsidRDefault="00F57C35">
      <w:pPr>
        <w:pStyle w:val="FootnoteText"/>
      </w:pPr>
      <w:r>
        <w:rPr>
          <w:rStyle w:val="FootnoteReference"/>
        </w:rPr>
        <w:footnoteRef/>
      </w:r>
      <w:r>
        <w:t xml:space="preserve"> Id.</w:t>
      </w:r>
    </w:p>
  </w:footnote>
  <w:footnote w:id="8">
    <w:p w14:paraId="07560F1E" w14:textId="77777777" w:rsidR="00166153" w:rsidRDefault="00166153" w:rsidP="00166153">
      <w:pPr>
        <w:pStyle w:val="FootnoteText"/>
      </w:pPr>
      <w:r>
        <w:rPr>
          <w:rStyle w:val="FootnoteReference"/>
        </w:rPr>
        <w:footnoteRef/>
      </w:r>
      <w:r>
        <w:t xml:space="preserve"> </w:t>
      </w:r>
      <w:hyperlink r:id="rId2" w:history="1">
        <w:r w:rsidRPr="001362B2">
          <w:rPr>
            <w:rStyle w:val="Hyperlink"/>
          </w:rPr>
          <w:t>https://web.archive.org/web/20240819003745/https:/www.ama-assn.org/system/files/prior-authorization-survey.pdf</w:t>
        </w:r>
      </w:hyperlink>
      <w:r>
        <w:t xml:space="preserve"> </w:t>
      </w:r>
    </w:p>
  </w:footnote>
  <w:footnote w:id="9">
    <w:p w14:paraId="0B8EB629" w14:textId="77777777" w:rsidR="00166153" w:rsidRDefault="00166153" w:rsidP="00166153">
      <w:pPr>
        <w:pStyle w:val="FootnoteText"/>
      </w:pPr>
      <w:r>
        <w:rPr>
          <w:rStyle w:val="FootnoteReference"/>
        </w:rPr>
        <w:footnoteRef/>
      </w:r>
      <w:r>
        <w:t xml:space="preserve"> Id.</w:t>
      </w:r>
    </w:p>
  </w:footnote>
  <w:footnote w:id="10">
    <w:p w14:paraId="3C358831" w14:textId="77777777" w:rsidR="007E08D9" w:rsidRDefault="007E08D9" w:rsidP="007E08D9">
      <w:pPr>
        <w:pStyle w:val="FootnoteText"/>
      </w:pPr>
      <w:r>
        <w:rPr>
          <w:rStyle w:val="FootnoteReference"/>
        </w:rPr>
        <w:footnoteRef/>
      </w:r>
      <w:r>
        <w:t xml:space="preserve"> Id.</w:t>
      </w:r>
    </w:p>
  </w:footnote>
  <w:footnote w:id="11">
    <w:p w14:paraId="0154BA9E" w14:textId="3D1B1A5B" w:rsidR="003E716F" w:rsidRDefault="003E716F">
      <w:pPr>
        <w:pStyle w:val="FootnoteText"/>
      </w:pPr>
      <w:r>
        <w:rPr>
          <w:rStyle w:val="FootnoteReference"/>
        </w:rPr>
        <w:footnoteRef/>
      </w:r>
      <w:r>
        <w:t xml:space="preserve"> </w:t>
      </w:r>
      <w:r w:rsidRPr="003E716F">
        <w:t>https://www.healthsystemtracker.org/brief/emergency-department-visits-exceed-affordability-thresholds-for-many-consumers-with-private-insurance/#Total%20and%20Out-Of-Pocket%20Costs%20for%20Emergency%20Department%20Visits,%202019</w:t>
      </w:r>
    </w:p>
  </w:footnote>
  <w:footnote w:id="12">
    <w:p w14:paraId="20F43D7D" w14:textId="422B2D9F" w:rsidR="003E716F" w:rsidRDefault="003E716F">
      <w:pPr>
        <w:pStyle w:val="FootnoteText"/>
      </w:pPr>
      <w:r>
        <w:rPr>
          <w:rStyle w:val="FootnoteReference"/>
        </w:rPr>
        <w:footnoteRef/>
      </w:r>
      <w:r>
        <w:t xml:space="preserve"> Id.</w:t>
      </w:r>
    </w:p>
  </w:footnote>
  <w:footnote w:id="13">
    <w:p w14:paraId="6FEC75DF" w14:textId="77777777" w:rsidR="005F6ED4" w:rsidRDefault="005F6ED4" w:rsidP="005F6ED4">
      <w:pPr>
        <w:pStyle w:val="FootnoteText"/>
      </w:pPr>
      <w:r>
        <w:rPr>
          <w:rStyle w:val="FootnoteReference"/>
        </w:rPr>
        <w:footnoteRef/>
      </w:r>
      <w:r>
        <w:t xml:space="preserve"> </w:t>
      </w:r>
      <w:hyperlink r:id="rId3" w:history="1">
        <w:r w:rsidRPr="001362B2">
          <w:rPr>
            <w:rStyle w:val="Hyperlink"/>
          </w:rPr>
          <w:t>https://www.kff.org/affordable-care-act/issue-brief/consumer-problems-with-prior-authorization-evidence-from-kff-survey/</w:t>
        </w:r>
      </w:hyperlink>
      <w:r>
        <w:t xml:space="preserve"> </w:t>
      </w:r>
    </w:p>
  </w:footnote>
  <w:footnote w:id="14">
    <w:p w14:paraId="5D72CDCB" w14:textId="77777777" w:rsidR="005F6ED4" w:rsidRDefault="005F6ED4" w:rsidP="005F6ED4">
      <w:pPr>
        <w:pStyle w:val="FootnoteText"/>
      </w:pPr>
      <w:r>
        <w:rPr>
          <w:rStyle w:val="FootnoteReference"/>
        </w:rPr>
        <w:footnoteRef/>
      </w:r>
      <w:r>
        <w:t xml:space="preserve"> Id.</w:t>
      </w:r>
    </w:p>
  </w:footnote>
  <w:footnote w:id="15">
    <w:p w14:paraId="22EDF0CD" w14:textId="77777777" w:rsidR="004339D5" w:rsidRDefault="004339D5" w:rsidP="004339D5">
      <w:pPr>
        <w:pStyle w:val="FootnoteText"/>
      </w:pPr>
      <w:r>
        <w:rPr>
          <w:rStyle w:val="FootnoteReference"/>
        </w:rPr>
        <w:footnoteRef/>
      </w:r>
      <w:r>
        <w:t xml:space="preserve"> Id.</w:t>
      </w:r>
    </w:p>
  </w:footnote>
  <w:footnote w:id="16">
    <w:p w14:paraId="3C4FB7DB" w14:textId="77777777" w:rsidR="005F6ED4" w:rsidRDefault="005F6ED4" w:rsidP="005F6ED4">
      <w:pPr>
        <w:pStyle w:val="FootnoteText"/>
      </w:pPr>
      <w:r>
        <w:rPr>
          <w:rStyle w:val="FootnoteReference"/>
        </w:rPr>
        <w:footnoteRef/>
      </w:r>
      <w:r>
        <w:t xml:space="preserve"> </w:t>
      </w:r>
      <w:hyperlink r:id="rId4" w:anchor=":~:text=Of%20the%2049.8%20million%20prior,of%2014%20requested%20therapy%20sessions" w:history="1">
        <w:r w:rsidRPr="001362B2">
          <w:rPr>
            <w:rStyle w:val="Hyperlink"/>
          </w:rPr>
          <w:t>https://www.kff.org/medicare/issue-brief/nearly-50-million-prior-authorization-requests-were-sent-to-medicare-advantage-insurers-in-2023/#:~:text=Of%20the%2049.8%20million%20prior,of%2014%20requested%20therapy%20sessions</w:t>
        </w:r>
      </w:hyperlink>
      <w:r w:rsidRPr="00595B76">
        <w:t>.</w:t>
      </w:r>
      <w:r>
        <w:t xml:space="preserve"> </w:t>
      </w:r>
    </w:p>
  </w:footnote>
  <w:footnote w:id="17">
    <w:p w14:paraId="594D184F" w14:textId="77777777" w:rsidR="005F6ED4" w:rsidRDefault="005F6ED4" w:rsidP="005F6ED4">
      <w:pPr>
        <w:pStyle w:val="FootnoteText"/>
      </w:pPr>
      <w:r>
        <w:rPr>
          <w:rStyle w:val="FootnoteReference"/>
        </w:rPr>
        <w:footnoteRef/>
      </w:r>
      <w:r>
        <w:t xml:space="preserve"> </w:t>
      </w:r>
      <w:hyperlink r:id="rId5" w:history="1">
        <w:r w:rsidRPr="001362B2">
          <w:rPr>
            <w:rStyle w:val="Hyperlink"/>
          </w:rPr>
          <w:t>https://www.pa.gov/content/dam/copapwp-pagov/en/insurance/documents/posted-filings-reports-orders/posted-reports/aca-plan-transparency-reports/transparency-coverage-report-aca-health-plans-2024.pdf</w:t>
        </w:r>
      </w:hyperlink>
      <w:r>
        <w:t xml:space="preserve"> </w:t>
      </w:r>
    </w:p>
  </w:footnote>
  <w:footnote w:id="18">
    <w:p w14:paraId="7DAA8109" w14:textId="77777777" w:rsidR="005F6ED4" w:rsidRDefault="005F6ED4" w:rsidP="005F6ED4">
      <w:pPr>
        <w:pStyle w:val="FootnoteText"/>
      </w:pPr>
      <w:r>
        <w:rPr>
          <w:rStyle w:val="FootnoteReference"/>
        </w:rPr>
        <w:footnoteRef/>
      </w:r>
      <w:r>
        <w:t xml:space="preserve"> Id.</w:t>
      </w:r>
    </w:p>
  </w:footnote>
  <w:footnote w:id="19">
    <w:p w14:paraId="2A22C6C9" w14:textId="527DF6E0" w:rsidR="00884DBC" w:rsidRDefault="00884DBC" w:rsidP="00884DBC">
      <w:pPr>
        <w:pStyle w:val="FootnoteText"/>
      </w:pPr>
      <w:r>
        <w:rPr>
          <w:rStyle w:val="FootnoteReference"/>
        </w:rPr>
        <w:footnoteRef/>
      </w:r>
      <w:r>
        <w:t xml:space="preserve"> Examples: </w:t>
      </w:r>
      <w:hyperlink r:id="rId6" w:history="1">
        <w:r w:rsidRPr="00903943">
          <w:rPr>
            <w:rStyle w:val="Hyperlink"/>
          </w:rPr>
          <w:t>https://www.propublica.org/article/anthony-olson-thomas-weiner-montana-st-peters-hospital-leukemia</w:t>
        </w:r>
      </w:hyperlink>
      <w:r>
        <w:t>;</w:t>
      </w:r>
      <w:r w:rsidR="006F0E32">
        <w:t xml:space="preserve"> </w:t>
      </w:r>
      <w:hyperlink r:id="rId7" w:history="1">
        <w:r w:rsidRPr="00903943">
          <w:rPr>
            <w:rStyle w:val="Hyperlink"/>
          </w:rPr>
          <w:t>https://www.thelundreport.org/content/tenth-lawsuit-claims-oregon-labs-testing-caused-women-harm-unneeded-chemotherapy</w:t>
        </w:r>
      </w:hyperlink>
      <w:r>
        <w:t xml:space="preserve"> </w:t>
      </w:r>
    </w:p>
  </w:footnote>
  <w:footnote w:id="20">
    <w:p w14:paraId="1330CAD7" w14:textId="77777777" w:rsidR="00884DBC" w:rsidRDefault="00884DBC" w:rsidP="00884DBC">
      <w:pPr>
        <w:pStyle w:val="FootnoteText"/>
      </w:pPr>
      <w:r>
        <w:rPr>
          <w:rStyle w:val="FootnoteReference"/>
        </w:rPr>
        <w:footnoteRef/>
      </w:r>
      <w:r>
        <w:t xml:space="preserve"> One often-cited source is the </w:t>
      </w:r>
      <w:r w:rsidRPr="00800BB5">
        <w:t>Low-Value Care Task Force</w:t>
      </w:r>
      <w:r>
        <w:t xml:space="preserve"> at VBID Health: </w:t>
      </w:r>
      <w:hyperlink r:id="rId8" w:history="1">
        <w:r w:rsidRPr="00867233">
          <w:rPr>
            <w:rStyle w:val="Hyperlink"/>
          </w:rPr>
          <w:t>https://vbidhealth.com/low-value-care-task-force/</w:t>
        </w:r>
      </w:hyperlink>
      <w:r>
        <w:t xml:space="preserve"> </w:t>
      </w:r>
    </w:p>
  </w:footnote>
  <w:footnote w:id="21">
    <w:p w14:paraId="201847B0" w14:textId="77777777" w:rsidR="00652C2F" w:rsidRDefault="00652C2F" w:rsidP="00652C2F">
      <w:pPr>
        <w:pStyle w:val="FootnoteText"/>
      </w:pPr>
      <w:r>
        <w:rPr>
          <w:rStyle w:val="FootnoteReference"/>
        </w:rPr>
        <w:footnoteRef/>
      </w:r>
      <w:r>
        <w:t xml:space="preserve"> </w:t>
      </w:r>
      <w:hyperlink r:id="rId9" w:history="1">
        <w:r w:rsidRPr="00867233">
          <w:rPr>
            <w:rStyle w:val="Hyperlink"/>
          </w:rPr>
          <w:t>https://www.ahip.org/news/press-releases/ahip-statement-on-the-cms-interoperability-and-prior-authorization-final-rule</w:t>
        </w:r>
      </w:hyperlink>
      <w:r>
        <w:t xml:space="preserve"> </w:t>
      </w:r>
    </w:p>
  </w:footnote>
  <w:footnote w:id="22">
    <w:p w14:paraId="5E82DD4A" w14:textId="77777777" w:rsidR="00652C2F" w:rsidRDefault="00652C2F" w:rsidP="00652C2F">
      <w:pPr>
        <w:pStyle w:val="FootnoteText"/>
      </w:pPr>
      <w:r>
        <w:rPr>
          <w:rStyle w:val="FootnoteReference"/>
        </w:rPr>
        <w:footnoteRef/>
      </w:r>
      <w:r>
        <w:t xml:space="preserve"> </w:t>
      </w:r>
      <w:hyperlink r:id="rId10" w:history="1">
        <w:r w:rsidRPr="00867233">
          <w:rPr>
            <w:rStyle w:val="Hyperlink"/>
          </w:rPr>
          <w:t>https://www.ahip.org/resources/impact-of-federal-prior-authorization-requirements-on-states</w:t>
        </w:r>
      </w:hyperlink>
      <w:r>
        <w:t xml:space="preserve"> </w:t>
      </w:r>
    </w:p>
  </w:footnote>
  <w:footnote w:id="23">
    <w:p w14:paraId="51E247F6" w14:textId="77777777" w:rsidR="00884DBC" w:rsidRDefault="00884DBC" w:rsidP="00884DBC">
      <w:pPr>
        <w:pStyle w:val="FootnoteText"/>
      </w:pPr>
      <w:r>
        <w:rPr>
          <w:rStyle w:val="FootnoteReference"/>
        </w:rPr>
        <w:footnoteRef/>
      </w:r>
      <w:r>
        <w:t xml:space="preserve"> See e.g., </w:t>
      </w:r>
      <w:hyperlink r:id="rId11" w:history="1">
        <w:r w:rsidRPr="00867233">
          <w:rPr>
            <w:rStyle w:val="Hyperlink"/>
          </w:rPr>
          <w:t>https://www.ama-assn.org/sites/ama-assn.org/files/corp/media-browser/public/arc-public/prior-authorization-consensus-statement.pdf</w:t>
        </w:r>
      </w:hyperlink>
      <w:r>
        <w:t xml:space="preserve"> </w:t>
      </w:r>
    </w:p>
  </w:footnote>
  <w:footnote w:id="24">
    <w:p w14:paraId="32A8A874" w14:textId="77777777" w:rsidR="00884DBC" w:rsidRDefault="00884DBC" w:rsidP="00884DBC">
      <w:pPr>
        <w:pStyle w:val="FootnoteText"/>
      </w:pPr>
      <w:r>
        <w:rPr>
          <w:rStyle w:val="FootnoteReference"/>
        </w:rPr>
        <w:footnoteRef/>
      </w:r>
      <w:r>
        <w:t xml:space="preserve"> For example, Congress has considered legislation that would push Medicare Advantage issuers to consult with health care providers on evidence-based best practices for prior authorization: </w:t>
      </w:r>
      <w:hyperlink r:id="rId12" w:history="1">
        <w:r w:rsidRPr="00867233">
          <w:rPr>
            <w:rStyle w:val="Hyperlink"/>
          </w:rPr>
          <w:t>https://delbene.house.gov/news/documentsingle.aspx?DocumentID=3221</w:t>
        </w:r>
      </w:hyperlink>
      <w:r>
        <w:t xml:space="preserve"> </w:t>
      </w:r>
    </w:p>
  </w:footnote>
  <w:footnote w:id="25">
    <w:p w14:paraId="0B533F6A" w14:textId="77777777" w:rsidR="00884DBC" w:rsidRDefault="00884DBC" w:rsidP="00884DBC">
      <w:pPr>
        <w:pStyle w:val="FootnoteText"/>
      </w:pPr>
      <w:r>
        <w:rPr>
          <w:rStyle w:val="FootnoteReference"/>
        </w:rPr>
        <w:footnoteRef/>
      </w:r>
      <w:r>
        <w:t xml:space="preserve"> Potential examples could include proton beam therapy for cancer treatment or autologous breast reconstruction following mastectomy.</w:t>
      </w:r>
    </w:p>
  </w:footnote>
  <w:footnote w:id="26">
    <w:p w14:paraId="693206C0" w14:textId="76FADE62" w:rsidR="00945312" w:rsidRPr="00D22C2D" w:rsidRDefault="00945312">
      <w:pPr>
        <w:pStyle w:val="FootnoteText"/>
      </w:pPr>
      <w:r>
        <w:rPr>
          <w:rStyle w:val="FootnoteReference"/>
        </w:rPr>
        <w:footnoteRef/>
      </w:r>
      <w:r w:rsidRPr="00D22C2D">
        <w:t xml:space="preserve"> Ark. Code Ann. § 23-99-1103(10)(A).</w:t>
      </w:r>
    </w:p>
  </w:footnote>
  <w:footnote w:id="27">
    <w:p w14:paraId="08B7E36C" w14:textId="77777777" w:rsidR="00017D8F" w:rsidRDefault="00017D8F" w:rsidP="00017D8F">
      <w:pPr>
        <w:pStyle w:val="FootnoteText"/>
      </w:pPr>
      <w:r>
        <w:rPr>
          <w:rStyle w:val="FootnoteReference"/>
        </w:rPr>
        <w:footnoteRef/>
      </w:r>
      <w:r w:rsidRPr="00D22C2D">
        <w:t xml:space="preserve">  Ark. Code Ann. </w:t>
      </w:r>
      <w:r>
        <w:t>§ 23-99-1120(a).</w:t>
      </w:r>
    </w:p>
  </w:footnote>
  <w:footnote w:id="28">
    <w:p w14:paraId="119C5FEF" w14:textId="77777777" w:rsidR="00017D8F" w:rsidRDefault="00017D8F" w:rsidP="00017D8F">
      <w:pPr>
        <w:pStyle w:val="FootnoteText"/>
      </w:pPr>
      <w:r>
        <w:rPr>
          <w:rStyle w:val="FootnoteReference"/>
        </w:rPr>
        <w:footnoteRef/>
      </w:r>
      <w:r>
        <w:t xml:space="preserve"> Ark. Code Ann. § 23-99-1122(a)(3).</w:t>
      </w:r>
    </w:p>
  </w:footnote>
  <w:footnote w:id="29">
    <w:p w14:paraId="3719020E" w14:textId="77777777" w:rsidR="00017D8F" w:rsidRDefault="00017D8F" w:rsidP="00017D8F">
      <w:pPr>
        <w:pStyle w:val="FootnoteText"/>
      </w:pPr>
      <w:r>
        <w:rPr>
          <w:rStyle w:val="FootnoteReference"/>
        </w:rPr>
        <w:footnoteRef/>
      </w:r>
      <w:r>
        <w:t xml:space="preserve"> Ark. Code Ann. § 23-99-1128(b).</w:t>
      </w:r>
    </w:p>
  </w:footnote>
  <w:footnote w:id="30">
    <w:p w14:paraId="220D98A9" w14:textId="77777777" w:rsidR="00D85C5A" w:rsidRDefault="00D85C5A" w:rsidP="00D85C5A">
      <w:pPr>
        <w:pStyle w:val="FootnoteText"/>
      </w:pPr>
      <w:r>
        <w:rPr>
          <w:rStyle w:val="FootnoteReference"/>
        </w:rPr>
        <w:footnoteRef/>
      </w:r>
      <w:r>
        <w:t xml:space="preserve"> Texas Administrative Code </w:t>
      </w:r>
      <w:hyperlink r:id="rId13" w:history="1">
        <w:r>
          <w:rPr>
            <w:rStyle w:val="Hyperlink"/>
          </w:rPr>
          <w:t>https://texas-sos.appianportalsgov.com/rules-and-meetings?$locale=en_US&amp;interface=VIEW_TAC_SUMMARY&amp;recordId=209986</w:t>
        </w:r>
      </w:hyperlink>
      <w:r>
        <w:t xml:space="preserve"> and Texas Insurance Code Title 14, Ch. 4201 </w:t>
      </w:r>
      <w:hyperlink r:id="rId14" w:anchor="4201.653" w:history="1">
        <w:r>
          <w:rPr>
            <w:rStyle w:val="Hyperlink"/>
          </w:rPr>
          <w:t>https://statutes.capitol.texas.gov/Docs/IN/htm/IN.4201.htm#4201.653</w:t>
        </w:r>
      </w:hyperlink>
      <w:r>
        <w:t xml:space="preserve"> </w:t>
      </w:r>
    </w:p>
  </w:footnote>
  <w:footnote w:id="31">
    <w:p w14:paraId="6917D14E" w14:textId="77777777" w:rsidR="001E189F" w:rsidRPr="00D22C2D" w:rsidRDefault="001E189F" w:rsidP="001E189F">
      <w:pPr>
        <w:pStyle w:val="FootnoteText"/>
      </w:pPr>
      <w:r>
        <w:rPr>
          <w:rStyle w:val="FootnoteReference"/>
        </w:rPr>
        <w:footnoteRef/>
      </w:r>
      <w:r w:rsidRPr="00D22C2D">
        <w:t xml:space="preserve"> Wyo. Stat. Ann. § 26-55-112</w:t>
      </w:r>
    </w:p>
  </w:footnote>
  <w:footnote w:id="32">
    <w:p w14:paraId="23F508FB" w14:textId="77777777" w:rsidR="002D0D32" w:rsidRPr="00D22C2D" w:rsidRDefault="002D0D32" w:rsidP="002D0D32">
      <w:pPr>
        <w:pStyle w:val="FootnoteText"/>
      </w:pPr>
      <w:r>
        <w:rPr>
          <w:rStyle w:val="FootnoteReference"/>
        </w:rPr>
        <w:footnoteRef/>
      </w:r>
      <w:r w:rsidRPr="00D22C2D">
        <w:t xml:space="preserve"> </w:t>
      </w:r>
      <w:hyperlink r:id="rId15" w:anchor=":~:text=Georgia%2C%20Kentucky%2C%20Louisiana%2C%20Michigan,hemophilia%20or%20Von%20Willebrand%20disease" w:history="1">
        <w:r w:rsidRPr="00D22C2D">
          <w:rPr>
            <w:rStyle w:val="Hyperlink"/>
          </w:rPr>
          <w:t>https://www.ama-assn.org/practice-management/prior-authorization/fixing-prior-auth-we-must-ensure-continuity-care#:~:text=Georgia%2C%20Kentucky%2C%20Louisiana%2C%20Michigan,hemophilia%20or%20Von%20Willebrand%20disease</w:t>
        </w:r>
      </w:hyperlink>
      <w:r w:rsidRPr="00D22C2D">
        <w:t xml:space="preserve">. </w:t>
      </w:r>
    </w:p>
  </w:footnote>
  <w:footnote w:id="33">
    <w:p w14:paraId="6FEA3661" w14:textId="77777777" w:rsidR="0017540B" w:rsidRDefault="0017540B" w:rsidP="0017540B">
      <w:pPr>
        <w:pStyle w:val="FootnoteText"/>
      </w:pPr>
      <w:r>
        <w:rPr>
          <w:rStyle w:val="FootnoteReference"/>
        </w:rPr>
        <w:footnoteRef/>
      </w:r>
      <w:r>
        <w:t xml:space="preserve"> Wyo. Stat. Ann. §§ 26-55-101 through -113</w:t>
      </w:r>
    </w:p>
  </w:footnote>
  <w:footnote w:id="34">
    <w:p w14:paraId="5DB3C98E" w14:textId="77777777" w:rsidR="001712D9" w:rsidRDefault="001712D9" w:rsidP="001712D9">
      <w:pPr>
        <w:pStyle w:val="FootnoteText"/>
      </w:pPr>
      <w:r>
        <w:rPr>
          <w:rStyle w:val="FootnoteReference"/>
        </w:rPr>
        <w:footnoteRef/>
      </w:r>
      <w:r>
        <w:t xml:space="preserve"> Oklahoma HB 3190 </w:t>
      </w:r>
      <w:hyperlink r:id="rId16" w:history="1">
        <w:r w:rsidRPr="00893A25">
          <w:rPr>
            <w:rStyle w:val="Hyperlink"/>
          </w:rPr>
          <w:t>https://www.oklegislature.gov/BillInfo.aspx?Bill=hb%203190&amp;Session=2400</w:t>
        </w:r>
      </w:hyperlink>
      <w:r>
        <w:t xml:space="preserve"> </w:t>
      </w:r>
    </w:p>
  </w:footnote>
  <w:footnote w:id="35">
    <w:p w14:paraId="2081A379" w14:textId="77777777" w:rsidR="004C720D" w:rsidRDefault="004C720D" w:rsidP="004C720D">
      <w:pPr>
        <w:pStyle w:val="FootnoteText"/>
      </w:pPr>
      <w:r>
        <w:rPr>
          <w:rStyle w:val="FootnoteReference"/>
        </w:rPr>
        <w:footnoteRef/>
      </w:r>
      <w:r>
        <w:t xml:space="preserve"> Washington RCW 48.43.830 </w:t>
      </w:r>
      <w:hyperlink r:id="rId17" w:history="1">
        <w:r w:rsidRPr="00893A25">
          <w:rPr>
            <w:rStyle w:val="Hyperlink"/>
          </w:rPr>
          <w:t>https://app.leg.wa.gov/rcw/default.aspx?cite=48.43.830</w:t>
        </w:r>
      </w:hyperlink>
      <w:r>
        <w:t xml:space="preserve"> </w:t>
      </w:r>
    </w:p>
  </w:footnote>
  <w:footnote w:id="36">
    <w:p w14:paraId="7035D5A8" w14:textId="77777777" w:rsidR="00C24B94" w:rsidRDefault="00C24B94" w:rsidP="00C24B94">
      <w:pPr>
        <w:pStyle w:val="FootnoteText"/>
      </w:pPr>
      <w:r>
        <w:rPr>
          <w:rStyle w:val="FootnoteReference"/>
        </w:rPr>
        <w:footnoteRef/>
      </w:r>
      <w:r>
        <w:t xml:space="preserve"> Wyo. Stat. Ann. §§ 26-55-101 through -113</w:t>
      </w:r>
    </w:p>
  </w:footnote>
  <w:footnote w:id="37">
    <w:p w14:paraId="31DFA397" w14:textId="10DF1A2F" w:rsidR="006A6B59" w:rsidRDefault="006A6B59">
      <w:pPr>
        <w:pStyle w:val="FootnoteText"/>
      </w:pPr>
      <w:r>
        <w:rPr>
          <w:rStyle w:val="FootnoteReference"/>
        </w:rPr>
        <w:footnoteRef/>
      </w:r>
      <w:r>
        <w:t xml:space="preserve"> </w:t>
      </w:r>
      <w:r>
        <w:rPr>
          <w:sz w:val="22"/>
          <w:szCs w:val="22"/>
        </w:rPr>
        <w:t>see</w:t>
      </w:r>
      <w:r w:rsidRPr="003E03F3">
        <w:rPr>
          <w:sz w:val="22"/>
          <w:szCs w:val="22"/>
        </w:rPr>
        <w:t xml:space="preserve"> 28 Tex. Admin. Code § 19.1810</w:t>
      </w:r>
    </w:p>
  </w:footnote>
  <w:footnote w:id="38">
    <w:p w14:paraId="0031C377" w14:textId="77777777" w:rsidR="0003781F" w:rsidRDefault="0003781F" w:rsidP="0003781F">
      <w:pPr>
        <w:pStyle w:val="FootnoteText"/>
      </w:pPr>
      <w:r>
        <w:rPr>
          <w:rStyle w:val="FootnoteReference"/>
        </w:rPr>
        <w:footnoteRef/>
      </w:r>
      <w:r>
        <w:t xml:space="preserve"> Washington ESSHB 1357 </w:t>
      </w:r>
      <w:hyperlink r:id="rId18" w:history="1">
        <w:r w:rsidRPr="00893A25">
          <w:rPr>
            <w:rStyle w:val="Hyperlink"/>
          </w:rPr>
          <w:t>https://lawfilesext.leg.wa.gov/biennium/2023-24/Pdf/Bills/Session%20Laws/House/1357-S2.SL.pdf?cite=2023%20c%20382%20s%201</w:t>
        </w:r>
      </w:hyperlink>
      <w:r>
        <w:t xml:space="preserve"> </w:t>
      </w:r>
    </w:p>
  </w:footnote>
  <w:footnote w:id="39">
    <w:p w14:paraId="102462B5" w14:textId="77777777" w:rsidR="0003781F" w:rsidRDefault="0003781F" w:rsidP="0003781F">
      <w:pPr>
        <w:pStyle w:val="FootnoteText"/>
      </w:pPr>
      <w:r>
        <w:rPr>
          <w:rStyle w:val="FootnoteReference"/>
        </w:rPr>
        <w:footnoteRef/>
      </w:r>
      <w:r>
        <w:t xml:space="preserve"> Washington SHB 1706 </w:t>
      </w:r>
      <w:hyperlink r:id="rId19" w:history="1">
        <w:r w:rsidRPr="00893A25">
          <w:rPr>
            <w:rStyle w:val="Hyperlink"/>
          </w:rPr>
          <w:t>https://lawfilesext.leg.wa.gov/biennium/2025-26/Pdf/Bills/Session%20Laws/House/1706-S.SL.pdf</w:t>
        </w:r>
      </w:hyperlink>
      <w:r>
        <w:t xml:space="preserve"> </w:t>
      </w:r>
    </w:p>
  </w:footnote>
  <w:footnote w:id="40">
    <w:p w14:paraId="5EEB8640" w14:textId="77777777" w:rsidR="0003781F" w:rsidRDefault="0003781F" w:rsidP="0003781F">
      <w:pPr>
        <w:pStyle w:val="FootnoteText"/>
      </w:pPr>
      <w:r>
        <w:rPr>
          <w:rStyle w:val="FootnoteReference"/>
        </w:rPr>
        <w:footnoteRef/>
      </w:r>
      <w:r>
        <w:t xml:space="preserve"> CMS Interoperability and Prior Authorization Final Rule (CMS-0057-F) </w:t>
      </w:r>
      <w:hyperlink r:id="rId20" w:history="1">
        <w:r w:rsidRPr="00893A25">
          <w:rPr>
            <w:rStyle w:val="Hyperlink"/>
          </w:rPr>
          <w:t>https://www.cms.gov/priorities/burden-reduction/overview/interoperability/policies-and-regulations/cms-interoperability-and-prior-authorization-final-rule-cms-0057-f/cms-interoperability-and-prior-authorization-final-rule-cms-0057-f</w:t>
        </w:r>
      </w:hyperlink>
      <w:r>
        <w:t xml:space="preserve"> </w:t>
      </w:r>
    </w:p>
  </w:footnote>
  <w:footnote w:id="41">
    <w:p w14:paraId="2A0584F6" w14:textId="77777777" w:rsidR="0003781F" w:rsidRDefault="0003781F" w:rsidP="0003781F">
      <w:pPr>
        <w:pStyle w:val="FootnoteText"/>
      </w:pPr>
      <w:r>
        <w:rPr>
          <w:rStyle w:val="FootnoteReference"/>
        </w:rPr>
        <w:footnoteRef/>
      </w:r>
      <w:r>
        <w:t xml:space="preserve"> </w:t>
      </w:r>
      <w:r w:rsidRPr="009E5B87">
        <w:t xml:space="preserve">W. Va. Code Ann. §33-15-4s </w:t>
      </w:r>
      <w:r w:rsidRPr="009E5B87">
        <w:t>et.seq.</w:t>
      </w:r>
    </w:p>
  </w:footnote>
  <w:footnote w:id="42">
    <w:p w14:paraId="37B138D6" w14:textId="77777777" w:rsidR="00451ADF" w:rsidRDefault="00451ADF" w:rsidP="00451ADF">
      <w:pPr>
        <w:pStyle w:val="FootnoteText"/>
      </w:pPr>
      <w:r>
        <w:rPr>
          <w:rStyle w:val="FootnoteReference"/>
        </w:rPr>
        <w:footnoteRef/>
      </w:r>
      <w:r>
        <w:t xml:space="preserve"> Oklahoma HB 3190 </w:t>
      </w:r>
      <w:hyperlink r:id="rId21" w:history="1">
        <w:r w:rsidRPr="00893A25">
          <w:rPr>
            <w:rStyle w:val="Hyperlink"/>
          </w:rPr>
          <w:t>https://www.oklegislature.gov/BillInfo.aspx?Bill=hb%203190&amp;Session=2400</w:t>
        </w:r>
      </w:hyperlink>
      <w:r>
        <w:t xml:space="preserve"> </w:t>
      </w:r>
    </w:p>
  </w:footnote>
  <w:footnote w:id="43">
    <w:p w14:paraId="0448D234" w14:textId="63D4FBC4" w:rsidR="006A6B59" w:rsidRDefault="006A6B59">
      <w:pPr>
        <w:pStyle w:val="FootnoteText"/>
      </w:pPr>
      <w:r>
        <w:rPr>
          <w:rStyle w:val="FootnoteReference"/>
        </w:rPr>
        <w:footnoteRef/>
      </w:r>
      <w:r>
        <w:t xml:space="preserve"> </w:t>
      </w:r>
      <w:r>
        <w:rPr>
          <w:sz w:val="22"/>
          <w:szCs w:val="22"/>
        </w:rPr>
        <w:t>see</w:t>
      </w:r>
      <w:r w:rsidRPr="003E03F3">
        <w:rPr>
          <w:sz w:val="22"/>
          <w:szCs w:val="22"/>
        </w:rPr>
        <w:t xml:space="preserve"> 28 Tex. Admin. Code §19.1732(b)</w:t>
      </w:r>
    </w:p>
  </w:footnote>
  <w:footnote w:id="44">
    <w:p w14:paraId="5FA4ABFB" w14:textId="07736734" w:rsidR="0066593D" w:rsidRDefault="0066593D" w:rsidP="0066593D">
      <w:pPr>
        <w:pStyle w:val="FootnoteText"/>
      </w:pPr>
    </w:p>
  </w:footnote>
  <w:footnote w:id="45">
    <w:p w14:paraId="55773D17" w14:textId="77777777" w:rsidR="00A17C41" w:rsidRDefault="00A17C41" w:rsidP="00A17C41">
      <w:pPr>
        <w:pStyle w:val="FootnoteText"/>
      </w:pPr>
      <w:r>
        <w:rPr>
          <w:rStyle w:val="FootnoteReference"/>
        </w:rPr>
        <w:footnoteRef/>
      </w:r>
      <w:r>
        <w:t xml:space="preserve"> Washington RCW 48.43.0161 </w:t>
      </w:r>
      <w:hyperlink r:id="rId22" w:history="1">
        <w:r w:rsidRPr="00893A25">
          <w:rPr>
            <w:rStyle w:val="Hyperlink"/>
          </w:rPr>
          <w:t>https://app.leg.wa.gov/RCW/default.aspx?cite=48.43.0161</w:t>
        </w:r>
      </w:hyperlink>
      <w:r>
        <w:t xml:space="preserve"> </w:t>
      </w:r>
    </w:p>
  </w:footnote>
  <w:footnote w:id="46">
    <w:p w14:paraId="395A76C8" w14:textId="77777777" w:rsidR="00465F62" w:rsidRDefault="00465F62" w:rsidP="00465F62">
      <w:pPr>
        <w:pStyle w:val="FootnoteText"/>
      </w:pPr>
      <w:r>
        <w:rPr>
          <w:rStyle w:val="FootnoteReference"/>
        </w:rPr>
        <w:footnoteRef/>
      </w:r>
      <w:r>
        <w:t xml:space="preserve"> Wyo. Stat. Ann. § 26-55-101 through -106</w:t>
      </w:r>
    </w:p>
  </w:footnote>
  <w:footnote w:id="47">
    <w:p w14:paraId="39B077D7" w14:textId="77777777" w:rsidR="00E36D77" w:rsidRDefault="00E36D77" w:rsidP="00E36D77">
      <w:pPr>
        <w:pStyle w:val="FootnoteText"/>
      </w:pPr>
      <w:r>
        <w:rPr>
          <w:rStyle w:val="FootnoteReference"/>
        </w:rPr>
        <w:footnoteRef/>
      </w:r>
      <w:r>
        <w:t xml:space="preserve"> Wyo. Stat. Ann. § 26-55-103</w:t>
      </w:r>
    </w:p>
  </w:footnote>
  <w:footnote w:id="48">
    <w:p w14:paraId="031C5754" w14:textId="77777777" w:rsidR="00E36D77" w:rsidRDefault="00E36D77" w:rsidP="00E36D77">
      <w:pPr>
        <w:pStyle w:val="FootnoteText"/>
      </w:pPr>
      <w:r>
        <w:rPr>
          <w:rStyle w:val="FootnoteReference"/>
        </w:rPr>
        <w:footnoteRef/>
      </w:r>
      <w:r>
        <w:t xml:space="preserve"> Wyo. Stat. Ann. § 26-55-103</w:t>
      </w:r>
    </w:p>
  </w:footnote>
  <w:footnote w:id="49">
    <w:p w14:paraId="1AD5637B" w14:textId="77777777" w:rsidR="003E03F3" w:rsidRDefault="003E03F3" w:rsidP="003E03F3">
      <w:pPr>
        <w:pStyle w:val="FootnoteText"/>
      </w:pPr>
      <w:r>
        <w:rPr>
          <w:rStyle w:val="FootnoteReference"/>
        </w:rPr>
        <w:footnoteRef/>
      </w:r>
      <w:r>
        <w:t xml:space="preserve"> American Medical Association’s Ensuring Transparency in Prior Authorization Act </w:t>
      </w:r>
      <w:hyperlink r:id="rId23" w:history="1">
        <w:r w:rsidRPr="00893A25">
          <w:rPr>
            <w:rStyle w:val="Hyperlink"/>
          </w:rPr>
          <w:t>https://www.ama-assn.org/system/files/model-bill-ensuring-transparency-in-prior-authorization.pdf</w:t>
        </w:r>
      </w:hyperlink>
      <w:r>
        <w:t xml:space="preserve"> </w:t>
      </w:r>
    </w:p>
  </w:footnote>
  <w:footnote w:id="50">
    <w:p w14:paraId="075630D7" w14:textId="77777777" w:rsidR="003E03F3" w:rsidRDefault="003E03F3" w:rsidP="003E03F3">
      <w:pPr>
        <w:pStyle w:val="FootnoteText"/>
      </w:pPr>
      <w:r>
        <w:rPr>
          <w:rStyle w:val="FootnoteReference"/>
        </w:rPr>
        <w:footnoteRef/>
      </w:r>
      <w:r>
        <w:t xml:space="preserve"> APA Prior Authorization Model Legislation </w:t>
      </w:r>
      <w:hyperlink r:id="rId24" w:history="1">
        <w:r w:rsidRPr="00893A25">
          <w:rPr>
            <w:rStyle w:val="Hyperlink"/>
          </w:rPr>
          <w:t>https://votervoice.s3.amazonaws.com/groups/americanpsych/attachments/SAC/2022%20APA%20Prior%20Authorization%20Reform%20Model%20Legislation.pdf</w:t>
        </w:r>
      </w:hyperlink>
      <w:r>
        <w:t xml:space="preserve"> </w:t>
      </w:r>
    </w:p>
  </w:footnote>
  <w:footnote w:id="51">
    <w:p w14:paraId="5A1C260A" w14:textId="77777777" w:rsidR="00DC67ED" w:rsidRDefault="00DC67ED" w:rsidP="00DC67ED">
      <w:pPr>
        <w:pStyle w:val="FootnoteText"/>
      </w:pPr>
      <w:r>
        <w:rPr>
          <w:rStyle w:val="FootnoteReference"/>
        </w:rPr>
        <w:footnoteRef/>
      </w:r>
      <w:r>
        <w:t xml:space="preserve"> </w:t>
      </w:r>
      <w:hyperlink r:id="rId25" w:history="1">
        <w:r w:rsidRPr="001362B2">
          <w:rPr>
            <w:rStyle w:val="Hyperlink"/>
          </w:rPr>
          <w:t>https://www.federalregister.gov/documents/2024/02/08/2024-00895/medicare-and-medicaid-programs-patient-protection-and-affordable-care-act-advancing-interoperability</w:t>
        </w:r>
      </w:hyperlink>
      <w:r>
        <w:t xml:space="preserve"> </w:t>
      </w:r>
    </w:p>
  </w:footnote>
  <w:footnote w:id="52">
    <w:p w14:paraId="69B9B158" w14:textId="2B43BF4F" w:rsidR="009C2F36" w:rsidRDefault="009C2F36">
      <w:pPr>
        <w:pStyle w:val="FootnoteText"/>
      </w:pPr>
      <w:r>
        <w:rPr>
          <w:rStyle w:val="FootnoteReference"/>
        </w:rPr>
        <w:footnoteRef/>
      </w:r>
      <w:r>
        <w:t xml:space="preserve"> </w:t>
      </w:r>
      <w:hyperlink r:id="rId26" w:history="1">
        <w:r w:rsidRPr="00CF1F16">
          <w:rPr>
            <w:rStyle w:val="Hyperlink"/>
          </w:rPr>
          <w:t>https://www.ahip.org/news/press-releases/health-plans-take-action-to-simplify-prior-authorization</w:t>
        </w:r>
      </w:hyperlink>
      <w:r>
        <w:t xml:space="preserve"> </w:t>
      </w:r>
    </w:p>
  </w:footnote>
  <w:footnote w:id="53">
    <w:p w14:paraId="133D915B" w14:textId="557A108F" w:rsidR="00CD4AF9" w:rsidRDefault="00CD4AF9">
      <w:pPr>
        <w:pStyle w:val="FootnoteText"/>
      </w:pPr>
      <w:r>
        <w:rPr>
          <w:rStyle w:val="FootnoteReference"/>
        </w:rPr>
        <w:footnoteRef/>
      </w:r>
      <w:r>
        <w:t xml:space="preserve"> </w:t>
      </w:r>
      <w:hyperlink r:id="rId27" w:history="1">
        <w:r w:rsidRPr="00CF1F16">
          <w:rPr>
            <w:rStyle w:val="Hyperlink"/>
          </w:rPr>
          <w:t>https://ahiporg-production.s3.amazonaws.com/documents/202506_AHIP_Report_Prior_Authorization-final.pdf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59C8" w14:textId="786AD6EC" w:rsidR="008A5BD4" w:rsidRDefault="0033675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7B2"/>
    <w:multiLevelType w:val="hybridMultilevel"/>
    <w:tmpl w:val="9222A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7E92"/>
    <w:multiLevelType w:val="hybridMultilevel"/>
    <w:tmpl w:val="73B421EE"/>
    <w:lvl w:ilvl="0" w:tplc="DF649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81C75"/>
    <w:multiLevelType w:val="hybridMultilevel"/>
    <w:tmpl w:val="2486AFD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2A067C"/>
    <w:multiLevelType w:val="hybridMultilevel"/>
    <w:tmpl w:val="FA14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A3046"/>
    <w:multiLevelType w:val="multilevel"/>
    <w:tmpl w:val="685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33886"/>
    <w:multiLevelType w:val="multilevel"/>
    <w:tmpl w:val="741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104E9"/>
    <w:multiLevelType w:val="hybridMultilevel"/>
    <w:tmpl w:val="68A0243E"/>
    <w:lvl w:ilvl="0" w:tplc="BB0A0D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A4DA5"/>
    <w:multiLevelType w:val="hybridMultilevel"/>
    <w:tmpl w:val="D9EE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D1B8B"/>
    <w:multiLevelType w:val="hybridMultilevel"/>
    <w:tmpl w:val="A9EA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7628A"/>
    <w:multiLevelType w:val="hybridMultilevel"/>
    <w:tmpl w:val="0A5E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A3A42"/>
    <w:multiLevelType w:val="multilevel"/>
    <w:tmpl w:val="48F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54E4F"/>
    <w:multiLevelType w:val="hybridMultilevel"/>
    <w:tmpl w:val="C2D894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B7D35"/>
    <w:multiLevelType w:val="multilevel"/>
    <w:tmpl w:val="4F1E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D5A0E"/>
    <w:multiLevelType w:val="hybridMultilevel"/>
    <w:tmpl w:val="3E66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E511A7"/>
    <w:multiLevelType w:val="hybridMultilevel"/>
    <w:tmpl w:val="1D2A1A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108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5D517A"/>
    <w:multiLevelType w:val="hybridMultilevel"/>
    <w:tmpl w:val="A0D6A234"/>
    <w:lvl w:ilvl="0" w:tplc="2990E3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D061CA8"/>
    <w:multiLevelType w:val="hybridMultilevel"/>
    <w:tmpl w:val="24EC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518829">
    <w:abstractNumId w:val="1"/>
  </w:num>
  <w:num w:numId="2" w16cid:durableId="1291591276">
    <w:abstractNumId w:val="13"/>
  </w:num>
  <w:num w:numId="3" w16cid:durableId="13025363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6774370">
    <w:abstractNumId w:val="11"/>
  </w:num>
  <w:num w:numId="5" w16cid:durableId="921525599">
    <w:abstractNumId w:val="8"/>
  </w:num>
  <w:num w:numId="6" w16cid:durableId="391781055">
    <w:abstractNumId w:val="9"/>
  </w:num>
  <w:num w:numId="7" w16cid:durableId="2107456665">
    <w:abstractNumId w:val="14"/>
  </w:num>
  <w:num w:numId="8" w16cid:durableId="1221750675">
    <w:abstractNumId w:val="7"/>
  </w:num>
  <w:num w:numId="9" w16cid:durableId="1167131690">
    <w:abstractNumId w:val="6"/>
  </w:num>
  <w:num w:numId="10" w16cid:durableId="1942182947">
    <w:abstractNumId w:val="2"/>
  </w:num>
  <w:num w:numId="11" w16cid:durableId="954748919">
    <w:abstractNumId w:val="0"/>
  </w:num>
  <w:num w:numId="12" w16cid:durableId="734402717">
    <w:abstractNumId w:val="16"/>
  </w:num>
  <w:num w:numId="13" w16cid:durableId="1593512954">
    <w:abstractNumId w:val="3"/>
  </w:num>
  <w:num w:numId="14" w16cid:durableId="219101329">
    <w:abstractNumId w:val="10"/>
  </w:num>
  <w:num w:numId="15" w16cid:durableId="1576931819">
    <w:abstractNumId w:val="12"/>
  </w:num>
  <w:num w:numId="16" w16cid:durableId="226964203">
    <w:abstractNumId w:val="4"/>
  </w:num>
  <w:num w:numId="17" w16cid:durableId="903301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1E"/>
    <w:rsid w:val="00004D74"/>
    <w:rsid w:val="000054BB"/>
    <w:rsid w:val="00006E2A"/>
    <w:rsid w:val="000137E9"/>
    <w:rsid w:val="00017D8F"/>
    <w:rsid w:val="00023A9C"/>
    <w:rsid w:val="00026154"/>
    <w:rsid w:val="00027361"/>
    <w:rsid w:val="0003552F"/>
    <w:rsid w:val="0003767C"/>
    <w:rsid w:val="0003781F"/>
    <w:rsid w:val="0004193B"/>
    <w:rsid w:val="000467F1"/>
    <w:rsid w:val="0005400E"/>
    <w:rsid w:val="00054739"/>
    <w:rsid w:val="000560FA"/>
    <w:rsid w:val="00056E34"/>
    <w:rsid w:val="000654A6"/>
    <w:rsid w:val="000672F0"/>
    <w:rsid w:val="00070C8C"/>
    <w:rsid w:val="00070E39"/>
    <w:rsid w:val="00071A3E"/>
    <w:rsid w:val="0007407A"/>
    <w:rsid w:val="000806C4"/>
    <w:rsid w:val="0008267F"/>
    <w:rsid w:val="00083C9B"/>
    <w:rsid w:val="0009162B"/>
    <w:rsid w:val="0009291E"/>
    <w:rsid w:val="00094445"/>
    <w:rsid w:val="0009508C"/>
    <w:rsid w:val="00095B94"/>
    <w:rsid w:val="00097D1A"/>
    <w:rsid w:val="000A0317"/>
    <w:rsid w:val="000A0E12"/>
    <w:rsid w:val="000A58A3"/>
    <w:rsid w:val="000B2EC4"/>
    <w:rsid w:val="000B48C5"/>
    <w:rsid w:val="000B5B58"/>
    <w:rsid w:val="000C02AE"/>
    <w:rsid w:val="000C1DE0"/>
    <w:rsid w:val="000C4174"/>
    <w:rsid w:val="000C4348"/>
    <w:rsid w:val="000C7198"/>
    <w:rsid w:val="000C7E14"/>
    <w:rsid w:val="000D1F6E"/>
    <w:rsid w:val="000D3D8C"/>
    <w:rsid w:val="000D4D6D"/>
    <w:rsid w:val="000D5D18"/>
    <w:rsid w:val="000D5D85"/>
    <w:rsid w:val="000D6D0E"/>
    <w:rsid w:val="000D7CF8"/>
    <w:rsid w:val="000D7D89"/>
    <w:rsid w:val="000E25EE"/>
    <w:rsid w:val="000E51E8"/>
    <w:rsid w:val="000F2216"/>
    <w:rsid w:val="000F5E55"/>
    <w:rsid w:val="000F6226"/>
    <w:rsid w:val="00105A4F"/>
    <w:rsid w:val="0011452B"/>
    <w:rsid w:val="00124184"/>
    <w:rsid w:val="00127AB5"/>
    <w:rsid w:val="00132B95"/>
    <w:rsid w:val="00134787"/>
    <w:rsid w:val="00134D28"/>
    <w:rsid w:val="00136D48"/>
    <w:rsid w:val="001378C7"/>
    <w:rsid w:val="00140B5E"/>
    <w:rsid w:val="00145864"/>
    <w:rsid w:val="001476C0"/>
    <w:rsid w:val="0015176F"/>
    <w:rsid w:val="00152634"/>
    <w:rsid w:val="00152D23"/>
    <w:rsid w:val="00152ED9"/>
    <w:rsid w:val="00154556"/>
    <w:rsid w:val="00163F62"/>
    <w:rsid w:val="00164697"/>
    <w:rsid w:val="00166153"/>
    <w:rsid w:val="00170E6E"/>
    <w:rsid w:val="001712D9"/>
    <w:rsid w:val="00172793"/>
    <w:rsid w:val="001728E2"/>
    <w:rsid w:val="001741DF"/>
    <w:rsid w:val="0017540B"/>
    <w:rsid w:val="00175999"/>
    <w:rsid w:val="00177373"/>
    <w:rsid w:val="00187C7A"/>
    <w:rsid w:val="00193871"/>
    <w:rsid w:val="00194D45"/>
    <w:rsid w:val="001959E0"/>
    <w:rsid w:val="001A20D8"/>
    <w:rsid w:val="001A36B4"/>
    <w:rsid w:val="001C0A35"/>
    <w:rsid w:val="001C39AE"/>
    <w:rsid w:val="001C606B"/>
    <w:rsid w:val="001D6055"/>
    <w:rsid w:val="001E189F"/>
    <w:rsid w:val="001E6433"/>
    <w:rsid w:val="001F4DEB"/>
    <w:rsid w:val="001F6A72"/>
    <w:rsid w:val="00200DA2"/>
    <w:rsid w:val="002039A8"/>
    <w:rsid w:val="00203C9F"/>
    <w:rsid w:val="00205167"/>
    <w:rsid w:val="002101F7"/>
    <w:rsid w:val="00213C5C"/>
    <w:rsid w:val="00231834"/>
    <w:rsid w:val="00234FDF"/>
    <w:rsid w:val="00236A39"/>
    <w:rsid w:val="00237F82"/>
    <w:rsid w:val="00242B50"/>
    <w:rsid w:val="00252935"/>
    <w:rsid w:val="00254DDF"/>
    <w:rsid w:val="00264AE0"/>
    <w:rsid w:val="00267EAF"/>
    <w:rsid w:val="00273353"/>
    <w:rsid w:val="002763BD"/>
    <w:rsid w:val="00283BAE"/>
    <w:rsid w:val="002946B0"/>
    <w:rsid w:val="002968AC"/>
    <w:rsid w:val="002A0154"/>
    <w:rsid w:val="002A7034"/>
    <w:rsid w:val="002B0951"/>
    <w:rsid w:val="002C2D0F"/>
    <w:rsid w:val="002D0D32"/>
    <w:rsid w:val="002D7256"/>
    <w:rsid w:val="002E06A0"/>
    <w:rsid w:val="002E2691"/>
    <w:rsid w:val="002E31D0"/>
    <w:rsid w:val="002F7EB6"/>
    <w:rsid w:val="00302A07"/>
    <w:rsid w:val="00304AD1"/>
    <w:rsid w:val="00310A0D"/>
    <w:rsid w:val="00324575"/>
    <w:rsid w:val="00324EB3"/>
    <w:rsid w:val="0032620D"/>
    <w:rsid w:val="00327A09"/>
    <w:rsid w:val="00334790"/>
    <w:rsid w:val="00336753"/>
    <w:rsid w:val="0034369B"/>
    <w:rsid w:val="00344F95"/>
    <w:rsid w:val="00345CD5"/>
    <w:rsid w:val="00346DF7"/>
    <w:rsid w:val="003476B0"/>
    <w:rsid w:val="00357149"/>
    <w:rsid w:val="00357A4E"/>
    <w:rsid w:val="00357DE3"/>
    <w:rsid w:val="003601C2"/>
    <w:rsid w:val="0036293F"/>
    <w:rsid w:val="00365069"/>
    <w:rsid w:val="00385376"/>
    <w:rsid w:val="00387845"/>
    <w:rsid w:val="00387C13"/>
    <w:rsid w:val="003B0361"/>
    <w:rsid w:val="003B0446"/>
    <w:rsid w:val="003B4A90"/>
    <w:rsid w:val="003C50BC"/>
    <w:rsid w:val="003C589F"/>
    <w:rsid w:val="003C6C0C"/>
    <w:rsid w:val="003D1072"/>
    <w:rsid w:val="003D63FB"/>
    <w:rsid w:val="003E03F3"/>
    <w:rsid w:val="003E584B"/>
    <w:rsid w:val="003E716F"/>
    <w:rsid w:val="003F0256"/>
    <w:rsid w:val="003F1348"/>
    <w:rsid w:val="003F1D16"/>
    <w:rsid w:val="004024E4"/>
    <w:rsid w:val="00402B05"/>
    <w:rsid w:val="0040559C"/>
    <w:rsid w:val="00405FFB"/>
    <w:rsid w:val="004068D4"/>
    <w:rsid w:val="00407984"/>
    <w:rsid w:val="00416613"/>
    <w:rsid w:val="00416CDE"/>
    <w:rsid w:val="00417961"/>
    <w:rsid w:val="00421D7B"/>
    <w:rsid w:val="00422085"/>
    <w:rsid w:val="004339D5"/>
    <w:rsid w:val="00440A49"/>
    <w:rsid w:val="004455CB"/>
    <w:rsid w:val="00451ADF"/>
    <w:rsid w:val="0045222D"/>
    <w:rsid w:val="00460925"/>
    <w:rsid w:val="004625C4"/>
    <w:rsid w:val="00463BFC"/>
    <w:rsid w:val="00465F62"/>
    <w:rsid w:val="004765B5"/>
    <w:rsid w:val="0047676F"/>
    <w:rsid w:val="00481BC8"/>
    <w:rsid w:val="0048307C"/>
    <w:rsid w:val="0048325F"/>
    <w:rsid w:val="004850D1"/>
    <w:rsid w:val="00485B4E"/>
    <w:rsid w:val="00485E23"/>
    <w:rsid w:val="0048721A"/>
    <w:rsid w:val="00487A08"/>
    <w:rsid w:val="00487CD6"/>
    <w:rsid w:val="004919EC"/>
    <w:rsid w:val="0049732D"/>
    <w:rsid w:val="004A1423"/>
    <w:rsid w:val="004A54A4"/>
    <w:rsid w:val="004A5665"/>
    <w:rsid w:val="004A7BE3"/>
    <w:rsid w:val="004C32E5"/>
    <w:rsid w:val="004C3F9E"/>
    <w:rsid w:val="004C4A30"/>
    <w:rsid w:val="004C720D"/>
    <w:rsid w:val="004D552E"/>
    <w:rsid w:val="004D5BA5"/>
    <w:rsid w:val="004D68A8"/>
    <w:rsid w:val="004D7AB5"/>
    <w:rsid w:val="004E1B10"/>
    <w:rsid w:val="004E469B"/>
    <w:rsid w:val="004E7E45"/>
    <w:rsid w:val="004E7EE2"/>
    <w:rsid w:val="004F57B9"/>
    <w:rsid w:val="004F7DFC"/>
    <w:rsid w:val="0050494F"/>
    <w:rsid w:val="00512A08"/>
    <w:rsid w:val="00513801"/>
    <w:rsid w:val="005140F8"/>
    <w:rsid w:val="00514477"/>
    <w:rsid w:val="0051461F"/>
    <w:rsid w:val="00522300"/>
    <w:rsid w:val="005261BE"/>
    <w:rsid w:val="005276EA"/>
    <w:rsid w:val="00527B01"/>
    <w:rsid w:val="00527B9B"/>
    <w:rsid w:val="00530514"/>
    <w:rsid w:val="00545D2A"/>
    <w:rsid w:val="00550346"/>
    <w:rsid w:val="00556BCF"/>
    <w:rsid w:val="00566F3F"/>
    <w:rsid w:val="00567E7C"/>
    <w:rsid w:val="00570570"/>
    <w:rsid w:val="00574D28"/>
    <w:rsid w:val="00580C84"/>
    <w:rsid w:val="005821E6"/>
    <w:rsid w:val="00582FB5"/>
    <w:rsid w:val="0058377E"/>
    <w:rsid w:val="00584799"/>
    <w:rsid w:val="00585238"/>
    <w:rsid w:val="00587DCE"/>
    <w:rsid w:val="00593CD3"/>
    <w:rsid w:val="00596D1F"/>
    <w:rsid w:val="005A7A31"/>
    <w:rsid w:val="005B08F1"/>
    <w:rsid w:val="005B3242"/>
    <w:rsid w:val="005B6C49"/>
    <w:rsid w:val="005C15BC"/>
    <w:rsid w:val="005C5AE2"/>
    <w:rsid w:val="005C5D3D"/>
    <w:rsid w:val="005C7BFE"/>
    <w:rsid w:val="005D1A05"/>
    <w:rsid w:val="005D5859"/>
    <w:rsid w:val="005E0A20"/>
    <w:rsid w:val="005E6DF3"/>
    <w:rsid w:val="005F1C36"/>
    <w:rsid w:val="005F23C6"/>
    <w:rsid w:val="005F6ED4"/>
    <w:rsid w:val="006007C6"/>
    <w:rsid w:val="00604029"/>
    <w:rsid w:val="00604EDB"/>
    <w:rsid w:val="00613656"/>
    <w:rsid w:val="00617245"/>
    <w:rsid w:val="00620553"/>
    <w:rsid w:val="00620B71"/>
    <w:rsid w:val="0062154C"/>
    <w:rsid w:val="0062313D"/>
    <w:rsid w:val="00623543"/>
    <w:rsid w:val="00624168"/>
    <w:rsid w:val="006247C7"/>
    <w:rsid w:val="00625BFA"/>
    <w:rsid w:val="006263A4"/>
    <w:rsid w:val="00627D9A"/>
    <w:rsid w:val="0063307C"/>
    <w:rsid w:val="006345BC"/>
    <w:rsid w:val="00635011"/>
    <w:rsid w:val="0063585B"/>
    <w:rsid w:val="0064373A"/>
    <w:rsid w:val="00645084"/>
    <w:rsid w:val="006464B5"/>
    <w:rsid w:val="00647F00"/>
    <w:rsid w:val="00652C2F"/>
    <w:rsid w:val="00665130"/>
    <w:rsid w:val="0066593D"/>
    <w:rsid w:val="006722DB"/>
    <w:rsid w:val="006804AB"/>
    <w:rsid w:val="006823DA"/>
    <w:rsid w:val="00686C43"/>
    <w:rsid w:val="006905BA"/>
    <w:rsid w:val="00693045"/>
    <w:rsid w:val="00695953"/>
    <w:rsid w:val="00696E50"/>
    <w:rsid w:val="00697BE0"/>
    <w:rsid w:val="006A4251"/>
    <w:rsid w:val="006A6B59"/>
    <w:rsid w:val="006B6CFD"/>
    <w:rsid w:val="006C57FD"/>
    <w:rsid w:val="006C62ED"/>
    <w:rsid w:val="006D3A27"/>
    <w:rsid w:val="006D3C12"/>
    <w:rsid w:val="006D438B"/>
    <w:rsid w:val="006F0E32"/>
    <w:rsid w:val="006F4AD6"/>
    <w:rsid w:val="006F58DF"/>
    <w:rsid w:val="006F6D29"/>
    <w:rsid w:val="006F6D49"/>
    <w:rsid w:val="006F71ED"/>
    <w:rsid w:val="00704864"/>
    <w:rsid w:val="007140A4"/>
    <w:rsid w:val="00715F8D"/>
    <w:rsid w:val="00716228"/>
    <w:rsid w:val="00721776"/>
    <w:rsid w:val="00725A6B"/>
    <w:rsid w:val="0073067E"/>
    <w:rsid w:val="007366D0"/>
    <w:rsid w:val="007405AC"/>
    <w:rsid w:val="007428A1"/>
    <w:rsid w:val="00742983"/>
    <w:rsid w:val="0074332A"/>
    <w:rsid w:val="00744863"/>
    <w:rsid w:val="007451E7"/>
    <w:rsid w:val="0074617A"/>
    <w:rsid w:val="0074667A"/>
    <w:rsid w:val="00753C71"/>
    <w:rsid w:val="00755E2A"/>
    <w:rsid w:val="00756A36"/>
    <w:rsid w:val="007612AF"/>
    <w:rsid w:val="00762819"/>
    <w:rsid w:val="00762876"/>
    <w:rsid w:val="00765380"/>
    <w:rsid w:val="00765981"/>
    <w:rsid w:val="007669A2"/>
    <w:rsid w:val="0077724E"/>
    <w:rsid w:val="00780B1B"/>
    <w:rsid w:val="00780F82"/>
    <w:rsid w:val="00785333"/>
    <w:rsid w:val="00785AF2"/>
    <w:rsid w:val="00790F56"/>
    <w:rsid w:val="00793110"/>
    <w:rsid w:val="00794BA3"/>
    <w:rsid w:val="00796B1C"/>
    <w:rsid w:val="007A0DB2"/>
    <w:rsid w:val="007A245E"/>
    <w:rsid w:val="007A3653"/>
    <w:rsid w:val="007A37E7"/>
    <w:rsid w:val="007A7F19"/>
    <w:rsid w:val="007B5CB6"/>
    <w:rsid w:val="007B626E"/>
    <w:rsid w:val="007B7D34"/>
    <w:rsid w:val="007C15C6"/>
    <w:rsid w:val="007C7204"/>
    <w:rsid w:val="007D0C29"/>
    <w:rsid w:val="007D6451"/>
    <w:rsid w:val="007E08D9"/>
    <w:rsid w:val="007E16E5"/>
    <w:rsid w:val="007E221D"/>
    <w:rsid w:val="007E698B"/>
    <w:rsid w:val="007F16D3"/>
    <w:rsid w:val="007F182A"/>
    <w:rsid w:val="007F3D61"/>
    <w:rsid w:val="00805924"/>
    <w:rsid w:val="00816885"/>
    <w:rsid w:val="0082003E"/>
    <w:rsid w:val="008211E3"/>
    <w:rsid w:val="00821220"/>
    <w:rsid w:val="00826C06"/>
    <w:rsid w:val="00827BAA"/>
    <w:rsid w:val="00834A36"/>
    <w:rsid w:val="0083775A"/>
    <w:rsid w:val="008556D2"/>
    <w:rsid w:val="00855ED7"/>
    <w:rsid w:val="00865300"/>
    <w:rsid w:val="00865D58"/>
    <w:rsid w:val="0087056E"/>
    <w:rsid w:val="008725E4"/>
    <w:rsid w:val="00873DFE"/>
    <w:rsid w:val="008744E1"/>
    <w:rsid w:val="008752A9"/>
    <w:rsid w:val="00875E55"/>
    <w:rsid w:val="008769FF"/>
    <w:rsid w:val="0088022E"/>
    <w:rsid w:val="008811B9"/>
    <w:rsid w:val="00882162"/>
    <w:rsid w:val="008822AC"/>
    <w:rsid w:val="00883BDA"/>
    <w:rsid w:val="008845B6"/>
    <w:rsid w:val="00884DBC"/>
    <w:rsid w:val="00885111"/>
    <w:rsid w:val="00886D77"/>
    <w:rsid w:val="00890769"/>
    <w:rsid w:val="008908A1"/>
    <w:rsid w:val="00891E21"/>
    <w:rsid w:val="0089312D"/>
    <w:rsid w:val="008948B4"/>
    <w:rsid w:val="008A2D47"/>
    <w:rsid w:val="008A3F4A"/>
    <w:rsid w:val="008A5BD4"/>
    <w:rsid w:val="008A76D6"/>
    <w:rsid w:val="008B2C2B"/>
    <w:rsid w:val="008B7972"/>
    <w:rsid w:val="008C5D11"/>
    <w:rsid w:val="008C7649"/>
    <w:rsid w:val="008D4CA6"/>
    <w:rsid w:val="008D643B"/>
    <w:rsid w:val="008D6F1D"/>
    <w:rsid w:val="008E22E9"/>
    <w:rsid w:val="008E45D4"/>
    <w:rsid w:val="008E4A0A"/>
    <w:rsid w:val="008F0F8A"/>
    <w:rsid w:val="008F1B52"/>
    <w:rsid w:val="008F6CF6"/>
    <w:rsid w:val="00900704"/>
    <w:rsid w:val="009032B5"/>
    <w:rsid w:val="009039D2"/>
    <w:rsid w:val="00904834"/>
    <w:rsid w:val="00910229"/>
    <w:rsid w:val="009150FF"/>
    <w:rsid w:val="00916BD7"/>
    <w:rsid w:val="009266AE"/>
    <w:rsid w:val="009274DD"/>
    <w:rsid w:val="00927C62"/>
    <w:rsid w:val="009304E6"/>
    <w:rsid w:val="0093063D"/>
    <w:rsid w:val="00932305"/>
    <w:rsid w:val="00932C8D"/>
    <w:rsid w:val="00940E20"/>
    <w:rsid w:val="00941109"/>
    <w:rsid w:val="009449C9"/>
    <w:rsid w:val="00945312"/>
    <w:rsid w:val="0095554B"/>
    <w:rsid w:val="00955E7B"/>
    <w:rsid w:val="00956C24"/>
    <w:rsid w:val="00956F1E"/>
    <w:rsid w:val="00960E19"/>
    <w:rsid w:val="00962C08"/>
    <w:rsid w:val="00966D9A"/>
    <w:rsid w:val="00967507"/>
    <w:rsid w:val="00970898"/>
    <w:rsid w:val="00972D11"/>
    <w:rsid w:val="009759D1"/>
    <w:rsid w:val="009766BE"/>
    <w:rsid w:val="00982DD8"/>
    <w:rsid w:val="00983488"/>
    <w:rsid w:val="00983524"/>
    <w:rsid w:val="00983CB5"/>
    <w:rsid w:val="00987FFD"/>
    <w:rsid w:val="0099252C"/>
    <w:rsid w:val="0099440C"/>
    <w:rsid w:val="0099502C"/>
    <w:rsid w:val="00995FD9"/>
    <w:rsid w:val="009961E1"/>
    <w:rsid w:val="00996603"/>
    <w:rsid w:val="00997CD0"/>
    <w:rsid w:val="009A0209"/>
    <w:rsid w:val="009A0B7F"/>
    <w:rsid w:val="009A59B1"/>
    <w:rsid w:val="009B2620"/>
    <w:rsid w:val="009B3AE9"/>
    <w:rsid w:val="009B62E6"/>
    <w:rsid w:val="009B7E92"/>
    <w:rsid w:val="009C062A"/>
    <w:rsid w:val="009C18FC"/>
    <w:rsid w:val="009C2F36"/>
    <w:rsid w:val="009C599A"/>
    <w:rsid w:val="009D1944"/>
    <w:rsid w:val="009E07FB"/>
    <w:rsid w:val="009E1226"/>
    <w:rsid w:val="009E1428"/>
    <w:rsid w:val="009E29B0"/>
    <w:rsid w:val="009E3515"/>
    <w:rsid w:val="009E58AE"/>
    <w:rsid w:val="009E5E8D"/>
    <w:rsid w:val="009F2B0B"/>
    <w:rsid w:val="009F5141"/>
    <w:rsid w:val="00A058C3"/>
    <w:rsid w:val="00A07C78"/>
    <w:rsid w:val="00A151BA"/>
    <w:rsid w:val="00A17C41"/>
    <w:rsid w:val="00A22106"/>
    <w:rsid w:val="00A235BA"/>
    <w:rsid w:val="00A277F2"/>
    <w:rsid w:val="00A323EC"/>
    <w:rsid w:val="00A35740"/>
    <w:rsid w:val="00A35E87"/>
    <w:rsid w:val="00A36E0A"/>
    <w:rsid w:val="00A44669"/>
    <w:rsid w:val="00A52486"/>
    <w:rsid w:val="00A52A92"/>
    <w:rsid w:val="00A54C1C"/>
    <w:rsid w:val="00A6154C"/>
    <w:rsid w:val="00A61E3F"/>
    <w:rsid w:val="00A624AC"/>
    <w:rsid w:val="00A62ECC"/>
    <w:rsid w:val="00A65E1F"/>
    <w:rsid w:val="00A65EF2"/>
    <w:rsid w:val="00A673A9"/>
    <w:rsid w:val="00A742FC"/>
    <w:rsid w:val="00A74904"/>
    <w:rsid w:val="00A74AA3"/>
    <w:rsid w:val="00A84B16"/>
    <w:rsid w:val="00A87979"/>
    <w:rsid w:val="00AA4DFF"/>
    <w:rsid w:val="00AA6267"/>
    <w:rsid w:val="00AA6C75"/>
    <w:rsid w:val="00AB0AD2"/>
    <w:rsid w:val="00AB24C6"/>
    <w:rsid w:val="00AB2E8C"/>
    <w:rsid w:val="00AB4120"/>
    <w:rsid w:val="00AB473D"/>
    <w:rsid w:val="00AB4AF0"/>
    <w:rsid w:val="00AC0D98"/>
    <w:rsid w:val="00AC6DF6"/>
    <w:rsid w:val="00AD3F3E"/>
    <w:rsid w:val="00AD4508"/>
    <w:rsid w:val="00AD524B"/>
    <w:rsid w:val="00AD7669"/>
    <w:rsid w:val="00AF16FB"/>
    <w:rsid w:val="00AF1BFA"/>
    <w:rsid w:val="00B018BC"/>
    <w:rsid w:val="00B030DA"/>
    <w:rsid w:val="00B0325D"/>
    <w:rsid w:val="00B10983"/>
    <w:rsid w:val="00B17D09"/>
    <w:rsid w:val="00B20548"/>
    <w:rsid w:val="00B237A4"/>
    <w:rsid w:val="00B330FD"/>
    <w:rsid w:val="00B36F14"/>
    <w:rsid w:val="00B41F5E"/>
    <w:rsid w:val="00B4209F"/>
    <w:rsid w:val="00B50094"/>
    <w:rsid w:val="00B55FA0"/>
    <w:rsid w:val="00B60E47"/>
    <w:rsid w:val="00B62C69"/>
    <w:rsid w:val="00B65278"/>
    <w:rsid w:val="00B65291"/>
    <w:rsid w:val="00B653EC"/>
    <w:rsid w:val="00B71833"/>
    <w:rsid w:val="00B731DD"/>
    <w:rsid w:val="00B73F55"/>
    <w:rsid w:val="00B774CC"/>
    <w:rsid w:val="00B80CED"/>
    <w:rsid w:val="00B820CD"/>
    <w:rsid w:val="00B92D36"/>
    <w:rsid w:val="00B96A5B"/>
    <w:rsid w:val="00BA04D4"/>
    <w:rsid w:val="00BA360F"/>
    <w:rsid w:val="00BA7B0B"/>
    <w:rsid w:val="00BB663A"/>
    <w:rsid w:val="00BB76CE"/>
    <w:rsid w:val="00BC1226"/>
    <w:rsid w:val="00BC183E"/>
    <w:rsid w:val="00BC217A"/>
    <w:rsid w:val="00BC2C81"/>
    <w:rsid w:val="00BC2D25"/>
    <w:rsid w:val="00BC2FB9"/>
    <w:rsid w:val="00BE03E7"/>
    <w:rsid w:val="00BF0CC9"/>
    <w:rsid w:val="00C0053C"/>
    <w:rsid w:val="00C03E0F"/>
    <w:rsid w:val="00C111AD"/>
    <w:rsid w:val="00C12A1B"/>
    <w:rsid w:val="00C156B9"/>
    <w:rsid w:val="00C166A8"/>
    <w:rsid w:val="00C24B94"/>
    <w:rsid w:val="00C2639D"/>
    <w:rsid w:val="00C364E3"/>
    <w:rsid w:val="00C375F1"/>
    <w:rsid w:val="00C41B21"/>
    <w:rsid w:val="00C50D19"/>
    <w:rsid w:val="00C52ABB"/>
    <w:rsid w:val="00C52E11"/>
    <w:rsid w:val="00C530CA"/>
    <w:rsid w:val="00C550E4"/>
    <w:rsid w:val="00C55CE5"/>
    <w:rsid w:val="00C56233"/>
    <w:rsid w:val="00C5682D"/>
    <w:rsid w:val="00C5796A"/>
    <w:rsid w:val="00C650BF"/>
    <w:rsid w:val="00C67DAB"/>
    <w:rsid w:val="00C721CB"/>
    <w:rsid w:val="00C74285"/>
    <w:rsid w:val="00C7616D"/>
    <w:rsid w:val="00C773C7"/>
    <w:rsid w:val="00C82AB8"/>
    <w:rsid w:val="00C8310D"/>
    <w:rsid w:val="00C84004"/>
    <w:rsid w:val="00C84811"/>
    <w:rsid w:val="00C8510A"/>
    <w:rsid w:val="00C853F8"/>
    <w:rsid w:val="00C85682"/>
    <w:rsid w:val="00C92602"/>
    <w:rsid w:val="00C92684"/>
    <w:rsid w:val="00C92BBE"/>
    <w:rsid w:val="00C97946"/>
    <w:rsid w:val="00CA1BF3"/>
    <w:rsid w:val="00CA6CDF"/>
    <w:rsid w:val="00CA76C0"/>
    <w:rsid w:val="00CB13F0"/>
    <w:rsid w:val="00CB17BD"/>
    <w:rsid w:val="00CB2250"/>
    <w:rsid w:val="00CB289D"/>
    <w:rsid w:val="00CB2C04"/>
    <w:rsid w:val="00CB6539"/>
    <w:rsid w:val="00CB6CCE"/>
    <w:rsid w:val="00CC23D3"/>
    <w:rsid w:val="00CD4081"/>
    <w:rsid w:val="00CD4AF9"/>
    <w:rsid w:val="00CD68DE"/>
    <w:rsid w:val="00CE25B2"/>
    <w:rsid w:val="00CE71C0"/>
    <w:rsid w:val="00CE7CEC"/>
    <w:rsid w:val="00CF1B76"/>
    <w:rsid w:val="00CF25EE"/>
    <w:rsid w:val="00CF70AD"/>
    <w:rsid w:val="00D033F8"/>
    <w:rsid w:val="00D10369"/>
    <w:rsid w:val="00D10C3E"/>
    <w:rsid w:val="00D15A15"/>
    <w:rsid w:val="00D22C2D"/>
    <w:rsid w:val="00D23544"/>
    <w:rsid w:val="00D26AED"/>
    <w:rsid w:val="00D318BF"/>
    <w:rsid w:val="00D33DA2"/>
    <w:rsid w:val="00D4345B"/>
    <w:rsid w:val="00D4472C"/>
    <w:rsid w:val="00D57EE4"/>
    <w:rsid w:val="00D64A84"/>
    <w:rsid w:val="00D73DA2"/>
    <w:rsid w:val="00D765E5"/>
    <w:rsid w:val="00D770BD"/>
    <w:rsid w:val="00D77A3F"/>
    <w:rsid w:val="00D8062D"/>
    <w:rsid w:val="00D80E1A"/>
    <w:rsid w:val="00D84323"/>
    <w:rsid w:val="00D85C5A"/>
    <w:rsid w:val="00D85CA5"/>
    <w:rsid w:val="00D91A53"/>
    <w:rsid w:val="00DA2A7D"/>
    <w:rsid w:val="00DA78C1"/>
    <w:rsid w:val="00DB05A7"/>
    <w:rsid w:val="00DB2181"/>
    <w:rsid w:val="00DB316C"/>
    <w:rsid w:val="00DC03FD"/>
    <w:rsid w:val="00DC38F0"/>
    <w:rsid w:val="00DC67ED"/>
    <w:rsid w:val="00DD0243"/>
    <w:rsid w:val="00DE4D63"/>
    <w:rsid w:val="00DE735A"/>
    <w:rsid w:val="00DF28E2"/>
    <w:rsid w:val="00DF65E1"/>
    <w:rsid w:val="00DF6C1A"/>
    <w:rsid w:val="00E02A24"/>
    <w:rsid w:val="00E07D4C"/>
    <w:rsid w:val="00E14ED9"/>
    <w:rsid w:val="00E24C6A"/>
    <w:rsid w:val="00E33BA4"/>
    <w:rsid w:val="00E36D77"/>
    <w:rsid w:val="00E408CC"/>
    <w:rsid w:val="00E41E3C"/>
    <w:rsid w:val="00E42C0C"/>
    <w:rsid w:val="00E42D1E"/>
    <w:rsid w:val="00E4308F"/>
    <w:rsid w:val="00E50891"/>
    <w:rsid w:val="00E600E8"/>
    <w:rsid w:val="00E60AE5"/>
    <w:rsid w:val="00E716B8"/>
    <w:rsid w:val="00E74187"/>
    <w:rsid w:val="00E74EAB"/>
    <w:rsid w:val="00E830FF"/>
    <w:rsid w:val="00E95B4F"/>
    <w:rsid w:val="00EB7675"/>
    <w:rsid w:val="00EC30F9"/>
    <w:rsid w:val="00EC326A"/>
    <w:rsid w:val="00EC3368"/>
    <w:rsid w:val="00ED3904"/>
    <w:rsid w:val="00ED3E5B"/>
    <w:rsid w:val="00ED4887"/>
    <w:rsid w:val="00ED49D2"/>
    <w:rsid w:val="00ED7657"/>
    <w:rsid w:val="00EE1C7D"/>
    <w:rsid w:val="00EE6570"/>
    <w:rsid w:val="00EF0EFB"/>
    <w:rsid w:val="00EF1CF8"/>
    <w:rsid w:val="00EF3301"/>
    <w:rsid w:val="00EF5BBA"/>
    <w:rsid w:val="00EF6642"/>
    <w:rsid w:val="00F00167"/>
    <w:rsid w:val="00F03703"/>
    <w:rsid w:val="00F1087A"/>
    <w:rsid w:val="00F12BB4"/>
    <w:rsid w:val="00F32B92"/>
    <w:rsid w:val="00F45F2B"/>
    <w:rsid w:val="00F5351E"/>
    <w:rsid w:val="00F53DAA"/>
    <w:rsid w:val="00F554D3"/>
    <w:rsid w:val="00F57C35"/>
    <w:rsid w:val="00F605CA"/>
    <w:rsid w:val="00F65996"/>
    <w:rsid w:val="00F66200"/>
    <w:rsid w:val="00F73E5C"/>
    <w:rsid w:val="00F742C4"/>
    <w:rsid w:val="00F74867"/>
    <w:rsid w:val="00F80EF3"/>
    <w:rsid w:val="00F92130"/>
    <w:rsid w:val="00F9288D"/>
    <w:rsid w:val="00F93121"/>
    <w:rsid w:val="00F93420"/>
    <w:rsid w:val="00F96ECE"/>
    <w:rsid w:val="00F97F61"/>
    <w:rsid w:val="00FA46B6"/>
    <w:rsid w:val="00FA62A8"/>
    <w:rsid w:val="00FA64BB"/>
    <w:rsid w:val="00FB0935"/>
    <w:rsid w:val="00FB1E52"/>
    <w:rsid w:val="00FB5A7D"/>
    <w:rsid w:val="00FC5BC1"/>
    <w:rsid w:val="00FD1765"/>
    <w:rsid w:val="00FD3BBE"/>
    <w:rsid w:val="00FD415E"/>
    <w:rsid w:val="00FE00C5"/>
    <w:rsid w:val="00FE2F27"/>
    <w:rsid w:val="00FE3533"/>
    <w:rsid w:val="00FE48B0"/>
    <w:rsid w:val="00FE4B22"/>
    <w:rsid w:val="00FE4C0C"/>
    <w:rsid w:val="00FE6716"/>
    <w:rsid w:val="00FE6EC0"/>
    <w:rsid w:val="00FE7748"/>
    <w:rsid w:val="00FF09D9"/>
    <w:rsid w:val="00FF0DC8"/>
    <w:rsid w:val="00FF19B0"/>
    <w:rsid w:val="00FF5DC9"/>
    <w:rsid w:val="00FF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33A62"/>
  <w15:chartTrackingRefBased/>
  <w15:docId w15:val="{D5CDA196-FC83-4AEF-B56F-BF2CDE67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69"/>
    <w:rPr>
      <w:sz w:val="22"/>
    </w:rPr>
  </w:style>
  <w:style w:type="paragraph" w:styleId="Heading1">
    <w:name w:val="heading 1"/>
    <w:basedOn w:val="Normal"/>
    <w:next w:val="Normal"/>
    <w:link w:val="Heading1Char"/>
    <w:uiPriority w:val="9"/>
    <w:qFormat/>
    <w:rsid w:val="00956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6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6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56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56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6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6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56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56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F1E"/>
    <w:rPr>
      <w:rFonts w:eastAsiaTheme="majorEastAsia" w:cstheme="majorBidi"/>
      <w:color w:val="272727" w:themeColor="text1" w:themeTint="D8"/>
    </w:rPr>
  </w:style>
  <w:style w:type="paragraph" w:styleId="Title">
    <w:name w:val="Title"/>
    <w:basedOn w:val="Normal"/>
    <w:next w:val="Normal"/>
    <w:link w:val="TitleChar"/>
    <w:uiPriority w:val="10"/>
    <w:qFormat/>
    <w:rsid w:val="00956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F1E"/>
    <w:pPr>
      <w:spacing w:before="160"/>
      <w:jc w:val="center"/>
    </w:pPr>
    <w:rPr>
      <w:i/>
      <w:iCs/>
      <w:color w:val="404040" w:themeColor="text1" w:themeTint="BF"/>
    </w:rPr>
  </w:style>
  <w:style w:type="character" w:customStyle="1" w:styleId="QuoteChar">
    <w:name w:val="Quote Char"/>
    <w:basedOn w:val="DefaultParagraphFont"/>
    <w:link w:val="Quote"/>
    <w:uiPriority w:val="29"/>
    <w:rsid w:val="00956F1E"/>
    <w:rPr>
      <w:i/>
      <w:iCs/>
      <w:color w:val="404040" w:themeColor="text1" w:themeTint="BF"/>
    </w:rPr>
  </w:style>
  <w:style w:type="paragraph" w:styleId="ListParagraph">
    <w:name w:val="List Paragraph"/>
    <w:basedOn w:val="Normal"/>
    <w:uiPriority w:val="34"/>
    <w:qFormat/>
    <w:rsid w:val="00956F1E"/>
    <w:pPr>
      <w:ind w:left="720"/>
      <w:contextualSpacing/>
    </w:pPr>
  </w:style>
  <w:style w:type="character" w:styleId="IntenseEmphasis">
    <w:name w:val="Intense Emphasis"/>
    <w:basedOn w:val="DefaultParagraphFont"/>
    <w:uiPriority w:val="21"/>
    <w:qFormat/>
    <w:rsid w:val="00956F1E"/>
    <w:rPr>
      <w:i/>
      <w:iCs/>
      <w:color w:val="0F4761" w:themeColor="accent1" w:themeShade="BF"/>
    </w:rPr>
  </w:style>
  <w:style w:type="paragraph" w:styleId="IntenseQuote">
    <w:name w:val="Intense Quote"/>
    <w:basedOn w:val="Normal"/>
    <w:next w:val="Normal"/>
    <w:link w:val="IntenseQuoteChar"/>
    <w:uiPriority w:val="30"/>
    <w:qFormat/>
    <w:rsid w:val="00956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F1E"/>
    <w:rPr>
      <w:i/>
      <w:iCs/>
      <w:color w:val="0F4761" w:themeColor="accent1" w:themeShade="BF"/>
    </w:rPr>
  </w:style>
  <w:style w:type="character" w:styleId="IntenseReference">
    <w:name w:val="Intense Reference"/>
    <w:basedOn w:val="DefaultParagraphFont"/>
    <w:uiPriority w:val="32"/>
    <w:qFormat/>
    <w:rsid w:val="00956F1E"/>
    <w:rPr>
      <w:b/>
      <w:bCs/>
      <w:smallCaps/>
      <w:color w:val="0F4761" w:themeColor="accent1" w:themeShade="BF"/>
      <w:spacing w:val="5"/>
    </w:rPr>
  </w:style>
  <w:style w:type="paragraph" w:styleId="Revision">
    <w:name w:val="Revision"/>
    <w:hidden/>
    <w:uiPriority w:val="99"/>
    <w:semiHidden/>
    <w:rsid w:val="00956F1E"/>
    <w:pPr>
      <w:spacing w:after="0" w:line="240" w:lineRule="auto"/>
    </w:pPr>
  </w:style>
  <w:style w:type="paragraph" w:styleId="FootnoteText">
    <w:name w:val="footnote text"/>
    <w:basedOn w:val="Normal"/>
    <w:link w:val="FootnoteTextChar"/>
    <w:uiPriority w:val="99"/>
    <w:semiHidden/>
    <w:unhideWhenUsed/>
    <w:rsid w:val="007853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333"/>
    <w:rPr>
      <w:sz w:val="20"/>
      <w:szCs w:val="20"/>
    </w:rPr>
  </w:style>
  <w:style w:type="character" w:styleId="FootnoteReference">
    <w:name w:val="footnote reference"/>
    <w:basedOn w:val="DefaultParagraphFont"/>
    <w:uiPriority w:val="99"/>
    <w:semiHidden/>
    <w:unhideWhenUsed/>
    <w:rsid w:val="00785333"/>
    <w:rPr>
      <w:vertAlign w:val="superscript"/>
    </w:rPr>
  </w:style>
  <w:style w:type="paragraph" w:styleId="Header">
    <w:name w:val="header"/>
    <w:basedOn w:val="Normal"/>
    <w:link w:val="HeaderChar"/>
    <w:uiPriority w:val="99"/>
    <w:unhideWhenUsed/>
    <w:rsid w:val="00B73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F55"/>
  </w:style>
  <w:style w:type="paragraph" w:styleId="Footer">
    <w:name w:val="footer"/>
    <w:basedOn w:val="Normal"/>
    <w:link w:val="FooterChar"/>
    <w:uiPriority w:val="99"/>
    <w:unhideWhenUsed/>
    <w:rsid w:val="00B73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F55"/>
  </w:style>
  <w:style w:type="character" w:styleId="Hyperlink">
    <w:name w:val="Hyperlink"/>
    <w:basedOn w:val="DefaultParagraphFont"/>
    <w:uiPriority w:val="99"/>
    <w:unhideWhenUsed/>
    <w:rsid w:val="005F6ED4"/>
    <w:rPr>
      <w:color w:val="467886" w:themeColor="hyperlink"/>
      <w:u w:val="single"/>
    </w:rPr>
  </w:style>
  <w:style w:type="character" w:styleId="UnresolvedMention">
    <w:name w:val="Unresolved Mention"/>
    <w:basedOn w:val="DefaultParagraphFont"/>
    <w:uiPriority w:val="99"/>
    <w:semiHidden/>
    <w:unhideWhenUsed/>
    <w:rsid w:val="001C606B"/>
    <w:rPr>
      <w:color w:val="605E5C"/>
      <w:shd w:val="clear" w:color="auto" w:fill="E1DFDD"/>
    </w:rPr>
  </w:style>
  <w:style w:type="character" w:styleId="FollowedHyperlink">
    <w:name w:val="FollowedHyperlink"/>
    <w:basedOn w:val="DefaultParagraphFont"/>
    <w:uiPriority w:val="99"/>
    <w:semiHidden/>
    <w:unhideWhenUsed/>
    <w:rsid w:val="00134D28"/>
    <w:rPr>
      <w:color w:val="96607D" w:themeColor="followedHyperlink"/>
      <w:u w:val="single"/>
    </w:rPr>
  </w:style>
  <w:style w:type="character" w:styleId="CommentReference">
    <w:name w:val="annotation reference"/>
    <w:basedOn w:val="DefaultParagraphFont"/>
    <w:uiPriority w:val="99"/>
    <w:semiHidden/>
    <w:unhideWhenUsed/>
    <w:rsid w:val="00C156B9"/>
    <w:rPr>
      <w:sz w:val="16"/>
      <w:szCs w:val="16"/>
    </w:rPr>
  </w:style>
  <w:style w:type="paragraph" w:styleId="CommentText">
    <w:name w:val="annotation text"/>
    <w:basedOn w:val="Normal"/>
    <w:link w:val="CommentTextChar"/>
    <w:uiPriority w:val="99"/>
    <w:unhideWhenUsed/>
    <w:rsid w:val="00C156B9"/>
    <w:pPr>
      <w:spacing w:line="240" w:lineRule="auto"/>
    </w:pPr>
    <w:rPr>
      <w:sz w:val="20"/>
      <w:szCs w:val="20"/>
    </w:rPr>
  </w:style>
  <w:style w:type="character" w:customStyle="1" w:styleId="CommentTextChar">
    <w:name w:val="Comment Text Char"/>
    <w:basedOn w:val="DefaultParagraphFont"/>
    <w:link w:val="CommentText"/>
    <w:uiPriority w:val="99"/>
    <w:rsid w:val="00C156B9"/>
    <w:rPr>
      <w:sz w:val="20"/>
      <w:szCs w:val="20"/>
    </w:rPr>
  </w:style>
  <w:style w:type="paragraph" w:styleId="CommentSubject">
    <w:name w:val="annotation subject"/>
    <w:basedOn w:val="CommentText"/>
    <w:next w:val="CommentText"/>
    <w:link w:val="CommentSubjectChar"/>
    <w:uiPriority w:val="99"/>
    <w:semiHidden/>
    <w:unhideWhenUsed/>
    <w:rsid w:val="00C156B9"/>
    <w:rPr>
      <w:b/>
      <w:bCs/>
    </w:rPr>
  </w:style>
  <w:style w:type="character" w:customStyle="1" w:styleId="CommentSubjectChar">
    <w:name w:val="Comment Subject Char"/>
    <w:basedOn w:val="CommentTextChar"/>
    <w:link w:val="CommentSubject"/>
    <w:uiPriority w:val="99"/>
    <w:semiHidden/>
    <w:rsid w:val="00C156B9"/>
    <w:rPr>
      <w:b/>
      <w:bCs/>
      <w:sz w:val="20"/>
      <w:szCs w:val="20"/>
    </w:rPr>
  </w:style>
  <w:style w:type="paragraph" w:styleId="TOCHeading">
    <w:name w:val="TOC Heading"/>
    <w:basedOn w:val="Heading1"/>
    <w:next w:val="Normal"/>
    <w:uiPriority w:val="39"/>
    <w:unhideWhenUsed/>
    <w:qFormat/>
    <w:rsid w:val="00357DE3"/>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57DE3"/>
    <w:pPr>
      <w:spacing w:after="100"/>
    </w:pPr>
  </w:style>
  <w:style w:type="paragraph" w:styleId="TOC2">
    <w:name w:val="toc 2"/>
    <w:basedOn w:val="Normal"/>
    <w:next w:val="Normal"/>
    <w:autoRedefine/>
    <w:uiPriority w:val="39"/>
    <w:unhideWhenUsed/>
    <w:rsid w:val="00357DE3"/>
    <w:pPr>
      <w:spacing w:after="100"/>
      <w:ind w:left="240"/>
    </w:pPr>
  </w:style>
  <w:style w:type="paragraph" w:styleId="TOC3">
    <w:name w:val="toc 3"/>
    <w:basedOn w:val="Normal"/>
    <w:next w:val="Normal"/>
    <w:autoRedefine/>
    <w:uiPriority w:val="39"/>
    <w:unhideWhenUsed/>
    <w:rsid w:val="00357DE3"/>
    <w:pPr>
      <w:spacing w:after="100"/>
      <w:ind w:left="480"/>
    </w:pPr>
  </w:style>
  <w:style w:type="paragraph" w:styleId="NormalWeb">
    <w:name w:val="Normal (Web)"/>
    <w:basedOn w:val="Normal"/>
    <w:uiPriority w:val="99"/>
    <w:semiHidden/>
    <w:unhideWhenUsed/>
    <w:rsid w:val="008744E1"/>
    <w:rPr>
      <w:rFonts w:ascii="Times New Roman" w:hAnsi="Times New Roman" w:cs="Times New Roman"/>
      <w:sz w:val="24"/>
    </w:rPr>
  </w:style>
  <w:style w:type="paragraph" w:styleId="NoSpacing">
    <w:name w:val="No Spacing"/>
    <w:link w:val="NoSpacingChar"/>
    <w:uiPriority w:val="1"/>
    <w:qFormat/>
    <w:rsid w:val="00CB225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B2250"/>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388">
      <w:bodyDiv w:val="1"/>
      <w:marLeft w:val="0"/>
      <w:marRight w:val="0"/>
      <w:marTop w:val="0"/>
      <w:marBottom w:val="0"/>
      <w:divBdr>
        <w:top w:val="none" w:sz="0" w:space="0" w:color="auto"/>
        <w:left w:val="none" w:sz="0" w:space="0" w:color="auto"/>
        <w:bottom w:val="none" w:sz="0" w:space="0" w:color="auto"/>
        <w:right w:val="none" w:sz="0" w:space="0" w:color="auto"/>
      </w:divBdr>
    </w:div>
    <w:div w:id="172378096">
      <w:bodyDiv w:val="1"/>
      <w:marLeft w:val="0"/>
      <w:marRight w:val="0"/>
      <w:marTop w:val="0"/>
      <w:marBottom w:val="0"/>
      <w:divBdr>
        <w:top w:val="none" w:sz="0" w:space="0" w:color="auto"/>
        <w:left w:val="none" w:sz="0" w:space="0" w:color="auto"/>
        <w:bottom w:val="none" w:sz="0" w:space="0" w:color="auto"/>
        <w:right w:val="none" w:sz="0" w:space="0" w:color="auto"/>
      </w:divBdr>
    </w:div>
    <w:div w:id="229269438">
      <w:bodyDiv w:val="1"/>
      <w:marLeft w:val="0"/>
      <w:marRight w:val="0"/>
      <w:marTop w:val="0"/>
      <w:marBottom w:val="0"/>
      <w:divBdr>
        <w:top w:val="none" w:sz="0" w:space="0" w:color="auto"/>
        <w:left w:val="none" w:sz="0" w:space="0" w:color="auto"/>
        <w:bottom w:val="none" w:sz="0" w:space="0" w:color="auto"/>
        <w:right w:val="none" w:sz="0" w:space="0" w:color="auto"/>
      </w:divBdr>
    </w:div>
    <w:div w:id="604382406">
      <w:bodyDiv w:val="1"/>
      <w:marLeft w:val="0"/>
      <w:marRight w:val="0"/>
      <w:marTop w:val="0"/>
      <w:marBottom w:val="0"/>
      <w:divBdr>
        <w:top w:val="none" w:sz="0" w:space="0" w:color="auto"/>
        <w:left w:val="none" w:sz="0" w:space="0" w:color="auto"/>
        <w:bottom w:val="none" w:sz="0" w:space="0" w:color="auto"/>
        <w:right w:val="none" w:sz="0" w:space="0" w:color="auto"/>
      </w:divBdr>
    </w:div>
    <w:div w:id="812213548">
      <w:bodyDiv w:val="1"/>
      <w:marLeft w:val="0"/>
      <w:marRight w:val="0"/>
      <w:marTop w:val="0"/>
      <w:marBottom w:val="0"/>
      <w:divBdr>
        <w:top w:val="none" w:sz="0" w:space="0" w:color="auto"/>
        <w:left w:val="none" w:sz="0" w:space="0" w:color="auto"/>
        <w:bottom w:val="none" w:sz="0" w:space="0" w:color="auto"/>
        <w:right w:val="none" w:sz="0" w:space="0" w:color="auto"/>
      </w:divBdr>
    </w:div>
    <w:div w:id="884757685">
      <w:bodyDiv w:val="1"/>
      <w:marLeft w:val="0"/>
      <w:marRight w:val="0"/>
      <w:marTop w:val="0"/>
      <w:marBottom w:val="0"/>
      <w:divBdr>
        <w:top w:val="none" w:sz="0" w:space="0" w:color="auto"/>
        <w:left w:val="none" w:sz="0" w:space="0" w:color="auto"/>
        <w:bottom w:val="none" w:sz="0" w:space="0" w:color="auto"/>
        <w:right w:val="none" w:sz="0" w:space="0" w:color="auto"/>
      </w:divBdr>
    </w:div>
    <w:div w:id="1355308428">
      <w:bodyDiv w:val="1"/>
      <w:marLeft w:val="0"/>
      <w:marRight w:val="0"/>
      <w:marTop w:val="0"/>
      <w:marBottom w:val="0"/>
      <w:divBdr>
        <w:top w:val="none" w:sz="0" w:space="0" w:color="auto"/>
        <w:left w:val="none" w:sz="0" w:space="0" w:color="auto"/>
        <w:bottom w:val="none" w:sz="0" w:space="0" w:color="auto"/>
        <w:right w:val="none" w:sz="0" w:space="0" w:color="auto"/>
      </w:divBdr>
    </w:div>
    <w:div w:id="1378316701">
      <w:bodyDiv w:val="1"/>
      <w:marLeft w:val="0"/>
      <w:marRight w:val="0"/>
      <w:marTop w:val="0"/>
      <w:marBottom w:val="0"/>
      <w:divBdr>
        <w:top w:val="none" w:sz="0" w:space="0" w:color="auto"/>
        <w:left w:val="none" w:sz="0" w:space="0" w:color="auto"/>
        <w:bottom w:val="none" w:sz="0" w:space="0" w:color="auto"/>
        <w:right w:val="none" w:sz="0" w:space="0" w:color="auto"/>
      </w:divBdr>
    </w:div>
    <w:div w:id="1427312234">
      <w:bodyDiv w:val="1"/>
      <w:marLeft w:val="0"/>
      <w:marRight w:val="0"/>
      <w:marTop w:val="0"/>
      <w:marBottom w:val="0"/>
      <w:divBdr>
        <w:top w:val="none" w:sz="0" w:space="0" w:color="auto"/>
        <w:left w:val="none" w:sz="0" w:space="0" w:color="auto"/>
        <w:bottom w:val="none" w:sz="0" w:space="0" w:color="auto"/>
        <w:right w:val="none" w:sz="0" w:space="0" w:color="auto"/>
      </w:divBdr>
    </w:div>
    <w:div w:id="1548374901">
      <w:bodyDiv w:val="1"/>
      <w:marLeft w:val="0"/>
      <w:marRight w:val="0"/>
      <w:marTop w:val="0"/>
      <w:marBottom w:val="0"/>
      <w:divBdr>
        <w:top w:val="none" w:sz="0" w:space="0" w:color="auto"/>
        <w:left w:val="none" w:sz="0" w:space="0" w:color="auto"/>
        <w:bottom w:val="none" w:sz="0" w:space="0" w:color="auto"/>
        <w:right w:val="none" w:sz="0" w:space="0" w:color="auto"/>
      </w:divBdr>
    </w:div>
    <w:div w:id="1642534504">
      <w:bodyDiv w:val="1"/>
      <w:marLeft w:val="0"/>
      <w:marRight w:val="0"/>
      <w:marTop w:val="0"/>
      <w:marBottom w:val="0"/>
      <w:divBdr>
        <w:top w:val="none" w:sz="0" w:space="0" w:color="auto"/>
        <w:left w:val="none" w:sz="0" w:space="0" w:color="auto"/>
        <w:bottom w:val="none" w:sz="0" w:space="0" w:color="auto"/>
        <w:right w:val="none" w:sz="0" w:space="0" w:color="auto"/>
      </w:divBdr>
    </w:div>
    <w:div w:id="18432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vbidhealth.com/low-value-care-task-force/" TargetMode="External"/><Relationship Id="rId13" Type="http://schemas.openxmlformats.org/officeDocument/2006/relationships/hyperlink" Target="https://texas-sos.appianportalsgov.com/rules-and-meetings?$locale=en_US&amp;interface=VIEW_TAC_SUMMARY&amp;recordId=209986" TargetMode="External"/><Relationship Id="rId18" Type="http://schemas.openxmlformats.org/officeDocument/2006/relationships/hyperlink" Target="https://lawfilesext.leg.wa.gov/biennium/2023-24/Pdf/Bills/Session%20Laws/House/1357-S2.SL.pdf?cite=2023%20c%20382%20s%201" TargetMode="External"/><Relationship Id="rId26" Type="http://schemas.openxmlformats.org/officeDocument/2006/relationships/hyperlink" Target="https://www.ahip.org/news/press-releases/health-plans-take-action-to-simplify-prior-authorization" TargetMode="External"/><Relationship Id="rId3" Type="http://schemas.openxmlformats.org/officeDocument/2006/relationships/hyperlink" Target="https://www.kff.org/affordable-care-act/issue-brief/consumer-problems-with-prior-authorization-evidence-from-kff-survey/" TargetMode="External"/><Relationship Id="rId21" Type="http://schemas.openxmlformats.org/officeDocument/2006/relationships/hyperlink" Target="https://www.oklegislature.gov/BillInfo.aspx?Bill=hb%203190&amp;Session=2400" TargetMode="External"/><Relationship Id="rId7" Type="http://schemas.openxmlformats.org/officeDocument/2006/relationships/hyperlink" Target="https://www.thelundreport.org/content/tenth-lawsuit-claims-oregon-labs-testing-caused-women-harm-unneeded-chemotherapy" TargetMode="External"/><Relationship Id="rId12" Type="http://schemas.openxmlformats.org/officeDocument/2006/relationships/hyperlink" Target="https://delbene.house.gov/news/documentsingle.aspx?DocumentID=3221" TargetMode="External"/><Relationship Id="rId17" Type="http://schemas.openxmlformats.org/officeDocument/2006/relationships/hyperlink" Target="https://app.leg.wa.gov/rcw/default.aspx?cite=48.43.830" TargetMode="External"/><Relationship Id="rId25" Type="http://schemas.openxmlformats.org/officeDocument/2006/relationships/hyperlink" Target="https://www.federalregister.gov/documents/2024/02/08/2024-00895/medicare-and-medicaid-programs-patient-protection-and-affordable-care-act-advancing-interoperability" TargetMode="External"/><Relationship Id="rId2" Type="http://schemas.openxmlformats.org/officeDocument/2006/relationships/hyperlink" Target="https://web.archive.org/web/20240819003745/https:/www.ama-assn.org/system/files/prior-authorization-survey.pdf" TargetMode="External"/><Relationship Id="rId16" Type="http://schemas.openxmlformats.org/officeDocument/2006/relationships/hyperlink" Target="https://www.oklegislature.gov/BillInfo.aspx?Bill=hb%203190&amp;Session=2400" TargetMode="External"/><Relationship Id="rId20" Type="http://schemas.openxmlformats.org/officeDocument/2006/relationships/hyperlink" Target="https://www.cms.gov/priorities/burden-reduction/overview/interoperability/policies-and-regulations/cms-interoperability-and-prior-authorization-final-rule-cms-0057-f/cms-interoperability-and-prior-authorization-final-rule-cms-0057-f" TargetMode="External"/><Relationship Id="rId1" Type="http://schemas.openxmlformats.org/officeDocument/2006/relationships/hyperlink" Target="https://www.health.harvard.edu/staying-healthy/prior-authorization-what-is-it-when-might-you-need-it-and-how-do-you-get-it" TargetMode="External"/><Relationship Id="rId6" Type="http://schemas.openxmlformats.org/officeDocument/2006/relationships/hyperlink" Target="https://www.propublica.org/article/anthony-olson-thomas-weiner-montana-st-peters-hospital-leukemia" TargetMode="External"/><Relationship Id="rId11" Type="http://schemas.openxmlformats.org/officeDocument/2006/relationships/hyperlink" Target="https://www.ama-assn.org/sites/ama-assn.org/files/corp/media-browser/public/arc-public/prior-authorization-consensus-statement.pdf" TargetMode="External"/><Relationship Id="rId24" Type="http://schemas.openxmlformats.org/officeDocument/2006/relationships/hyperlink" Target="https://votervoice.s3.amazonaws.com/groups/americanpsych/attachments/SAC/2022%20APA%20Prior%20Authorization%20Reform%20Model%20Legislation.pdf" TargetMode="External"/><Relationship Id="rId5" Type="http://schemas.openxmlformats.org/officeDocument/2006/relationships/hyperlink" Target="https://www.pa.gov/content/dam/copapwp-pagov/en/insurance/documents/posted-filings-reports-orders/posted-reports/aca-plan-transparency-reports/transparency-coverage-report-aca-health-plans-2024.pdf" TargetMode="External"/><Relationship Id="rId15" Type="http://schemas.openxmlformats.org/officeDocument/2006/relationships/hyperlink" Target="https://www.ama-assn.org/practice-management/prior-authorization/fixing-prior-auth-we-must-ensure-continuity-care" TargetMode="External"/><Relationship Id="rId23" Type="http://schemas.openxmlformats.org/officeDocument/2006/relationships/hyperlink" Target="https://www.ama-assn.org/system/files/model-bill-ensuring-transparency-in-prior-authorization.pdf" TargetMode="External"/><Relationship Id="rId10" Type="http://schemas.openxmlformats.org/officeDocument/2006/relationships/hyperlink" Target="https://www.ahip.org/resources/impact-of-federal-prior-authorization-requirements-on-states" TargetMode="External"/><Relationship Id="rId19" Type="http://schemas.openxmlformats.org/officeDocument/2006/relationships/hyperlink" Target="https://lawfilesext.leg.wa.gov/biennium/2025-26/Pdf/Bills/Session%20Laws/House/1706-S.SL.pdf" TargetMode="External"/><Relationship Id="rId4" Type="http://schemas.openxmlformats.org/officeDocument/2006/relationships/hyperlink" Target="https://www.kff.org/medicare/issue-brief/nearly-50-million-prior-authorization-requests-were-sent-to-medicare-advantage-insurers-in-2023/" TargetMode="External"/><Relationship Id="rId9" Type="http://schemas.openxmlformats.org/officeDocument/2006/relationships/hyperlink" Target="https://www.ahip.org/news/press-releases/ahip-statement-on-the-cms-interoperability-and-prior-authorization-final-rule" TargetMode="External"/><Relationship Id="rId14" Type="http://schemas.openxmlformats.org/officeDocument/2006/relationships/hyperlink" Target="https://statutes.capitol.texas.gov/Docs/IN/htm/IN.4201.htm" TargetMode="External"/><Relationship Id="rId22" Type="http://schemas.openxmlformats.org/officeDocument/2006/relationships/hyperlink" Target="https://app.leg.wa.gov/RCW/default.aspx?cite=48.43.0161" TargetMode="External"/><Relationship Id="rId27" Type="http://schemas.openxmlformats.org/officeDocument/2006/relationships/hyperlink" Target="https://ahiporg-production.s3.amazonaws.com/documents/202506_AHIP_Report_Prior_Authorization-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952C-7808-448A-A68A-027E22581313}">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211</TotalTime>
  <Pages>21</Pages>
  <Words>7919</Words>
  <Characters>45139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Jolie</dc:creator>
  <cp:keywords/>
  <dc:description/>
  <cp:lastModifiedBy>Matthews, Jolie</cp:lastModifiedBy>
  <cp:revision>71</cp:revision>
  <cp:lastPrinted>2025-05-20T12:15:00Z</cp:lastPrinted>
  <dcterms:created xsi:type="dcterms:W3CDTF">2025-07-17T15:39:00Z</dcterms:created>
  <dcterms:modified xsi:type="dcterms:W3CDTF">2025-07-18T14:37:00Z</dcterms:modified>
</cp:coreProperties>
</file>