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97AC" w14:textId="1996F779" w:rsidR="008C0F95" w:rsidRPr="008C0F95" w:rsidRDefault="008C0F95" w:rsidP="008C0F95">
      <w:r w:rsidRPr="008C0F95">
        <w:t>Draft: 1</w:t>
      </w:r>
      <w:r w:rsidR="0063473C">
        <w:t>0</w:t>
      </w:r>
      <w:r w:rsidRPr="008C0F95">
        <w:t>/6/2</w:t>
      </w:r>
      <w:r w:rsidR="0063473C">
        <w:t>1</w:t>
      </w:r>
      <w:r w:rsidRPr="008C0F95">
        <w:t xml:space="preserve"> </w:t>
      </w:r>
    </w:p>
    <w:p w14:paraId="16CB5F7B" w14:textId="643B245D" w:rsidR="008C0F95" w:rsidRPr="008C0F95" w:rsidRDefault="008C0F95" w:rsidP="008C0F95">
      <w:pPr>
        <w:jc w:val="both"/>
      </w:pPr>
      <w:r w:rsidRPr="008C0F95">
        <w:t>Comments are being requested on this draft</w:t>
      </w:r>
      <w:r w:rsidR="0063473C">
        <w:t xml:space="preserve"> document on or before </w:t>
      </w:r>
      <w:r w:rsidR="00CE094E">
        <w:t>Nov. 4, 2021</w:t>
      </w:r>
      <w:r w:rsidRPr="008C0F95">
        <w:t xml:space="preserve">. Comments should be sent by email only to Jolie Matthews at jmatthews@naic.org. </w:t>
      </w:r>
    </w:p>
    <w:p w14:paraId="6CB7C2FD" w14:textId="0D97C9B1" w:rsidR="00D97E2A" w:rsidRPr="0063473C" w:rsidRDefault="00D97E2A" w:rsidP="00D97E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3473C">
        <w:rPr>
          <w:rFonts w:ascii="Calibri" w:hAnsi="Calibri" w:cs="Calibri"/>
          <w:b/>
          <w:bCs/>
          <w:sz w:val="24"/>
          <w:szCs w:val="24"/>
        </w:rPr>
        <w:t>National Association of Insurance Commissioners (NAIC)</w:t>
      </w:r>
    </w:p>
    <w:p w14:paraId="60C0574C" w14:textId="77777777" w:rsidR="00D97E2A" w:rsidRPr="0063473C" w:rsidRDefault="00D97E2A" w:rsidP="00D97E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3473C">
        <w:rPr>
          <w:rFonts w:ascii="Calibri" w:hAnsi="Calibri" w:cs="Calibri"/>
          <w:b/>
          <w:bCs/>
          <w:sz w:val="24"/>
          <w:szCs w:val="24"/>
        </w:rPr>
        <w:t>Special Committee on Race and Insurance – Workstream 5 (Health)</w:t>
      </w:r>
    </w:p>
    <w:p w14:paraId="526FC3A0" w14:textId="2AB9596E" w:rsidR="002775CC" w:rsidRDefault="00D97E2A" w:rsidP="00A62B91">
      <w:pPr>
        <w:jc w:val="center"/>
      </w:pPr>
      <w:r w:rsidRPr="0063473C">
        <w:rPr>
          <w:rFonts w:ascii="Calibri" w:hAnsi="Calibri" w:cs="Calibri"/>
          <w:b/>
          <w:bCs/>
          <w:sz w:val="24"/>
          <w:szCs w:val="24"/>
        </w:rPr>
        <w:t>White Paper on Provider Networks</w:t>
      </w:r>
    </w:p>
    <w:p w14:paraId="3C7F40A9" w14:textId="26B46016" w:rsidR="002775CC" w:rsidRDefault="002775CC" w:rsidP="002775CC">
      <w:pPr>
        <w:pStyle w:val="ListParagraph"/>
        <w:numPr>
          <w:ilvl w:val="0"/>
          <w:numId w:val="1"/>
        </w:numPr>
      </w:pPr>
      <w:r>
        <w:t>The role of the insurance sector in increasing diversity and cultural competency in networks</w:t>
      </w:r>
    </w:p>
    <w:p w14:paraId="70D704B4" w14:textId="0ACCBCEB" w:rsidR="002775CC" w:rsidRDefault="002775CC" w:rsidP="002775CC">
      <w:pPr>
        <w:pStyle w:val="ListParagraph"/>
        <w:numPr>
          <w:ilvl w:val="1"/>
          <w:numId w:val="1"/>
        </w:numPr>
      </w:pPr>
      <w:r>
        <w:t>Discussion of the goal of more diverse and culturally competent networks</w:t>
      </w:r>
    </w:p>
    <w:p w14:paraId="6B7836B2" w14:textId="216A72F0" w:rsidR="002775CC" w:rsidRDefault="002775CC" w:rsidP="00BB178A">
      <w:pPr>
        <w:pStyle w:val="ListParagraph"/>
        <w:numPr>
          <w:ilvl w:val="2"/>
          <w:numId w:val="1"/>
        </w:numPr>
      </w:pPr>
      <w:r>
        <w:t xml:space="preserve">Discussion of key populations to consider </w:t>
      </w:r>
    </w:p>
    <w:p w14:paraId="60DEA044" w14:textId="357D2C28" w:rsidR="002775CC" w:rsidRDefault="002775CC" w:rsidP="002775CC">
      <w:pPr>
        <w:pStyle w:val="ListParagraph"/>
        <w:numPr>
          <w:ilvl w:val="2"/>
          <w:numId w:val="1"/>
        </w:numPr>
      </w:pPr>
      <w:r>
        <w:t>Discussion of research that shows connection between these factors and outcomes, maternal health as an example</w:t>
      </w:r>
    </w:p>
    <w:p w14:paraId="1E13C862" w14:textId="0267214C" w:rsidR="004B248F" w:rsidRDefault="004B248F" w:rsidP="004B248F">
      <w:pPr>
        <w:pStyle w:val="ListParagraph"/>
        <w:numPr>
          <w:ilvl w:val="2"/>
          <w:numId w:val="1"/>
        </w:numPr>
      </w:pPr>
      <w:r>
        <w:t>Define/explain cultural competency</w:t>
      </w:r>
    </w:p>
    <w:p w14:paraId="686666C5" w14:textId="77777777" w:rsidR="002775CC" w:rsidRDefault="002775CC" w:rsidP="002775CC">
      <w:pPr>
        <w:pStyle w:val="ListParagraph"/>
        <w:numPr>
          <w:ilvl w:val="1"/>
          <w:numId w:val="1"/>
        </w:numPr>
      </w:pPr>
      <w:r>
        <w:t>Recognition that others have key roles, but insurance sector can contribute significantly to this goal</w:t>
      </w:r>
    </w:p>
    <w:p w14:paraId="064E8066" w14:textId="09586F21" w:rsidR="002775CC" w:rsidRDefault="002775CC" w:rsidP="002775CC">
      <w:pPr>
        <w:pStyle w:val="ListParagraph"/>
        <w:numPr>
          <w:ilvl w:val="2"/>
          <w:numId w:val="1"/>
        </w:numPr>
      </w:pPr>
      <w:r>
        <w:t xml:space="preserve">Provider education, recruitment, </w:t>
      </w:r>
      <w:proofErr w:type="spellStart"/>
      <w:r>
        <w:t>etc</w:t>
      </w:r>
      <w:proofErr w:type="spellEnd"/>
    </w:p>
    <w:p w14:paraId="2A1A1400" w14:textId="20AC0701" w:rsidR="002775CC" w:rsidRDefault="002775CC" w:rsidP="002775CC">
      <w:pPr>
        <w:pStyle w:val="ListParagraph"/>
        <w:numPr>
          <w:ilvl w:val="2"/>
          <w:numId w:val="1"/>
        </w:numPr>
      </w:pPr>
      <w:r>
        <w:t xml:space="preserve">Role of state licensing boards </w:t>
      </w:r>
    </w:p>
    <w:p w14:paraId="029565D1" w14:textId="372FEE8F" w:rsidR="002775CC" w:rsidRDefault="002775CC" w:rsidP="002775CC">
      <w:pPr>
        <w:pStyle w:val="ListParagraph"/>
        <w:numPr>
          <w:ilvl w:val="1"/>
          <w:numId w:val="1"/>
        </w:numPr>
      </w:pPr>
      <w:r>
        <w:t>Role of insurance companies</w:t>
      </w:r>
    </w:p>
    <w:p w14:paraId="44DFC6A1" w14:textId="77E7C280" w:rsidR="006174F8" w:rsidRDefault="006174F8" w:rsidP="006174F8">
      <w:pPr>
        <w:pStyle w:val="ListParagraph"/>
        <w:numPr>
          <w:ilvl w:val="2"/>
          <w:numId w:val="1"/>
        </w:numPr>
      </w:pPr>
      <w:r>
        <w:t>Provider credentialing</w:t>
      </w:r>
    </w:p>
    <w:p w14:paraId="111D8EEE" w14:textId="3B9CC772" w:rsidR="006174F8" w:rsidRDefault="006174F8" w:rsidP="006174F8">
      <w:pPr>
        <w:pStyle w:val="ListParagraph"/>
        <w:numPr>
          <w:ilvl w:val="2"/>
          <w:numId w:val="1"/>
        </w:numPr>
      </w:pPr>
      <w:r>
        <w:t>Network construction</w:t>
      </w:r>
    </w:p>
    <w:p w14:paraId="089C244E" w14:textId="1E08A2B0" w:rsidR="006174F8" w:rsidRDefault="006174F8" w:rsidP="006174F8">
      <w:pPr>
        <w:pStyle w:val="ListParagraph"/>
        <w:numPr>
          <w:ilvl w:val="2"/>
          <w:numId w:val="1"/>
        </w:numPr>
      </w:pPr>
      <w:r>
        <w:t>Leveraging provider directories to connect policyholders to</w:t>
      </w:r>
      <w:r w:rsidR="004B248F">
        <w:t xml:space="preserve"> diverse and</w:t>
      </w:r>
      <w:r>
        <w:t xml:space="preserve"> culturally competent care</w:t>
      </w:r>
    </w:p>
    <w:p w14:paraId="168FABBD" w14:textId="39F30893" w:rsidR="002775CC" w:rsidRDefault="002775CC" w:rsidP="002775CC">
      <w:pPr>
        <w:pStyle w:val="ListParagraph"/>
        <w:numPr>
          <w:ilvl w:val="1"/>
          <w:numId w:val="1"/>
        </w:numPr>
      </w:pPr>
      <w:r>
        <w:t xml:space="preserve">Role of </w:t>
      </w:r>
      <w:r w:rsidR="006174F8">
        <w:t xml:space="preserve">insurance </w:t>
      </w:r>
      <w:r>
        <w:t>regulator</w:t>
      </w:r>
      <w:r w:rsidR="006174F8">
        <w:t>s</w:t>
      </w:r>
    </w:p>
    <w:p w14:paraId="7977519F" w14:textId="2955717C" w:rsidR="002775CC" w:rsidRDefault="002775CC" w:rsidP="002775CC">
      <w:pPr>
        <w:pStyle w:val="ListParagraph"/>
        <w:numPr>
          <w:ilvl w:val="2"/>
          <w:numId w:val="1"/>
        </w:numPr>
      </w:pPr>
      <w:r>
        <w:t>Network adequacy as a tool</w:t>
      </w:r>
    </w:p>
    <w:p w14:paraId="4DEF7704" w14:textId="5D07B091" w:rsidR="002775CC" w:rsidRDefault="002775CC" w:rsidP="002775CC">
      <w:pPr>
        <w:pStyle w:val="ListParagraph"/>
        <w:numPr>
          <w:ilvl w:val="2"/>
          <w:numId w:val="1"/>
        </w:numPr>
      </w:pPr>
      <w:r>
        <w:t xml:space="preserve">Provider directory </w:t>
      </w:r>
      <w:r w:rsidR="006174F8">
        <w:t>oversight</w:t>
      </w:r>
    </w:p>
    <w:p w14:paraId="050C2668" w14:textId="77777777" w:rsidR="002775CC" w:rsidRDefault="002775CC" w:rsidP="00BB178A">
      <w:pPr>
        <w:pStyle w:val="ListParagraph"/>
        <w:ind w:left="2160"/>
      </w:pPr>
    </w:p>
    <w:p w14:paraId="1975F6AE" w14:textId="6D5E8149" w:rsidR="004B248F" w:rsidRDefault="002775CC" w:rsidP="002775CC">
      <w:pPr>
        <w:pStyle w:val="ListParagraph"/>
        <w:numPr>
          <w:ilvl w:val="0"/>
          <w:numId w:val="1"/>
        </w:numPr>
      </w:pPr>
      <w:r>
        <w:t>Network Adequacy</w:t>
      </w:r>
    </w:p>
    <w:p w14:paraId="1751F2D1" w14:textId="4C55FA73" w:rsidR="002775CC" w:rsidRDefault="002775CC" w:rsidP="00BB178A">
      <w:pPr>
        <w:pStyle w:val="ListParagraph"/>
        <w:numPr>
          <w:ilvl w:val="1"/>
          <w:numId w:val="1"/>
        </w:numPr>
      </w:pPr>
      <w:r>
        <w:t>Background and Legal Landscape</w:t>
      </w:r>
    </w:p>
    <w:p w14:paraId="3DDCEA3B" w14:textId="3F73628E" w:rsidR="002775CC" w:rsidRDefault="002775CC" w:rsidP="00BB178A">
      <w:pPr>
        <w:pStyle w:val="ListParagraph"/>
        <w:numPr>
          <w:ilvl w:val="2"/>
          <w:numId w:val="1"/>
        </w:numPr>
      </w:pPr>
      <w:r>
        <w:t>Affordable Care Act require</w:t>
      </w:r>
      <w:r w:rsidR="000150D8">
        <w:t>s</w:t>
      </w:r>
      <w:r>
        <w:t xml:space="preserve"> adequate networks</w:t>
      </w:r>
    </w:p>
    <w:p w14:paraId="5F12BD03" w14:textId="37517918" w:rsidR="002775CC" w:rsidRDefault="002775CC" w:rsidP="00BB178A">
      <w:pPr>
        <w:pStyle w:val="ListParagraph"/>
        <w:numPr>
          <w:ilvl w:val="2"/>
          <w:numId w:val="1"/>
        </w:numPr>
      </w:pPr>
      <w:r>
        <w:t>NAIC network adequacy model – a brief description and history</w:t>
      </w:r>
    </w:p>
    <w:p w14:paraId="4B9F5068" w14:textId="0113F3F6" w:rsidR="006174F8" w:rsidRDefault="006174F8" w:rsidP="002775CC">
      <w:pPr>
        <w:pStyle w:val="ListParagraph"/>
        <w:numPr>
          <w:ilvl w:val="1"/>
          <w:numId w:val="1"/>
        </w:numPr>
      </w:pPr>
      <w:r>
        <w:t>Examples/potential strategies for network adequacy review to</w:t>
      </w:r>
      <w:r w:rsidR="004B248F">
        <w:t xml:space="preserve"> be a tool for states to increase patient access to diverse, culturally competent care</w:t>
      </w:r>
      <w:r>
        <w:t xml:space="preserve"> </w:t>
      </w:r>
    </w:p>
    <w:p w14:paraId="27A3C76A" w14:textId="77777777" w:rsidR="00471B18" w:rsidRDefault="00471B18" w:rsidP="00471B18">
      <w:pPr>
        <w:pStyle w:val="ListParagraph"/>
        <w:ind w:left="1440"/>
      </w:pPr>
    </w:p>
    <w:p w14:paraId="182901BA" w14:textId="4EA83C01" w:rsidR="00471B18" w:rsidRDefault="00471B18" w:rsidP="00471B18">
      <w:pPr>
        <w:pStyle w:val="ListParagraph"/>
        <w:numPr>
          <w:ilvl w:val="0"/>
          <w:numId w:val="1"/>
        </w:numPr>
      </w:pPr>
      <w:r>
        <w:t xml:space="preserve">Data collection and </w:t>
      </w:r>
      <w:r w:rsidR="002775CC">
        <w:t>provider directories</w:t>
      </w:r>
    </w:p>
    <w:p w14:paraId="5358D719" w14:textId="50269D6D" w:rsidR="006174F8" w:rsidRDefault="006174F8" w:rsidP="00471B18">
      <w:pPr>
        <w:pStyle w:val="ListParagraph"/>
        <w:numPr>
          <w:ilvl w:val="1"/>
          <w:numId w:val="1"/>
        </w:numPr>
      </w:pPr>
      <w:r>
        <w:t>Current state of regulatory oversight of provider directories</w:t>
      </w:r>
    </w:p>
    <w:p w14:paraId="74723C68" w14:textId="5D844B81" w:rsidR="006174F8" w:rsidRDefault="006174F8" w:rsidP="00BB178A">
      <w:pPr>
        <w:pStyle w:val="ListParagraph"/>
        <w:numPr>
          <w:ilvl w:val="2"/>
          <w:numId w:val="1"/>
        </w:numPr>
      </w:pPr>
      <w:r>
        <w:t>No Surprises Act – impact on provider directories</w:t>
      </w:r>
    </w:p>
    <w:p w14:paraId="6041E1D5" w14:textId="6E5397B5" w:rsidR="009322EF" w:rsidRDefault="006174F8" w:rsidP="009322EF">
      <w:pPr>
        <w:pStyle w:val="ListParagraph"/>
        <w:numPr>
          <w:ilvl w:val="1"/>
          <w:numId w:val="1"/>
        </w:numPr>
      </w:pPr>
      <w:r>
        <w:t xml:space="preserve">Should demographic data and/or information on cultural competency be collected and shared in provider directories? </w:t>
      </w:r>
      <w:r w:rsidR="009322EF">
        <w:t>National Plan &amp; Provider Enumeration System (NPPES)</w:t>
      </w:r>
    </w:p>
    <w:p w14:paraId="534D8B2A" w14:textId="57B0C078" w:rsidR="009322EF" w:rsidRDefault="009322EF" w:rsidP="009322EF">
      <w:pPr>
        <w:pStyle w:val="ListParagraph"/>
        <w:numPr>
          <w:ilvl w:val="2"/>
          <w:numId w:val="1"/>
        </w:numPr>
      </w:pPr>
      <w:r>
        <w:t>Background and historical resistance to including demographic data</w:t>
      </w:r>
    </w:p>
    <w:p w14:paraId="59C5E056" w14:textId="29C1895A" w:rsidR="009322EF" w:rsidRPr="009322EF" w:rsidRDefault="009322EF" w:rsidP="009322EF">
      <w:pPr>
        <w:pStyle w:val="ListParagraph"/>
        <w:numPr>
          <w:ilvl w:val="1"/>
          <w:numId w:val="1"/>
        </w:numPr>
      </w:pPr>
      <w:r>
        <w:t>Provider hesitancy to publicize widely certain demographic data</w:t>
      </w:r>
    </w:p>
    <w:p w14:paraId="3551A1B1" w14:textId="77777777" w:rsidR="009322EF" w:rsidRDefault="009322EF" w:rsidP="00471B18">
      <w:pPr>
        <w:pStyle w:val="ListParagraph"/>
        <w:ind w:left="1440"/>
      </w:pPr>
    </w:p>
    <w:p w14:paraId="6A08313E" w14:textId="77777777" w:rsidR="002318BC" w:rsidRDefault="002318BC" w:rsidP="002318BC">
      <w:pPr>
        <w:pStyle w:val="ListParagraph"/>
        <w:numPr>
          <w:ilvl w:val="0"/>
          <w:numId w:val="1"/>
        </w:numPr>
      </w:pPr>
      <w:r>
        <w:t>How can Telehealth opportunities improve provider access?</w:t>
      </w:r>
    </w:p>
    <w:p w14:paraId="245C8155" w14:textId="77777777" w:rsidR="002318BC" w:rsidRDefault="002318BC" w:rsidP="002318BC">
      <w:pPr>
        <w:pStyle w:val="ListParagraph"/>
        <w:numPr>
          <w:ilvl w:val="1"/>
          <w:numId w:val="1"/>
        </w:numPr>
      </w:pPr>
      <w:r>
        <w:t>Brief description of telehealth</w:t>
      </w:r>
    </w:p>
    <w:p w14:paraId="5D9D5A72" w14:textId="77777777" w:rsidR="002318BC" w:rsidRDefault="002318BC" w:rsidP="002318BC">
      <w:pPr>
        <w:pStyle w:val="ListParagraph"/>
        <w:numPr>
          <w:ilvl w:val="1"/>
          <w:numId w:val="1"/>
        </w:numPr>
      </w:pPr>
      <w:r>
        <w:t>Telehealth data</w:t>
      </w:r>
    </w:p>
    <w:p w14:paraId="65A6D4FA" w14:textId="77777777" w:rsidR="002318BC" w:rsidRDefault="002318BC" w:rsidP="002318BC">
      <w:pPr>
        <w:pStyle w:val="ListParagraph"/>
        <w:numPr>
          <w:ilvl w:val="2"/>
          <w:numId w:val="1"/>
        </w:numPr>
      </w:pPr>
      <w:r>
        <w:t>Discussion of federal and state telehealth flexibility initiatives during COVID</w:t>
      </w:r>
    </w:p>
    <w:p w14:paraId="7EB7A41C" w14:textId="77777777" w:rsidR="002318BC" w:rsidRDefault="002318BC" w:rsidP="002318BC">
      <w:pPr>
        <w:pStyle w:val="ListParagraph"/>
        <w:numPr>
          <w:ilvl w:val="2"/>
          <w:numId w:val="1"/>
        </w:numPr>
      </w:pPr>
      <w:r>
        <w:lastRenderedPageBreak/>
        <w:t>Literature review of telehealth usage during COVID; focus on race and demographic information</w:t>
      </w:r>
    </w:p>
    <w:p w14:paraId="19A665EC" w14:textId="75647350" w:rsidR="002318BC" w:rsidRDefault="002318BC" w:rsidP="002318BC">
      <w:pPr>
        <w:pStyle w:val="ListParagraph"/>
        <w:numPr>
          <w:ilvl w:val="2"/>
          <w:numId w:val="1"/>
        </w:numPr>
      </w:pPr>
      <w:r>
        <w:t>Potential industry data call for further information on insurer implementation of telehealth policies</w:t>
      </w:r>
    </w:p>
    <w:p w14:paraId="29A8AE16" w14:textId="4896D0E4" w:rsidR="009322EF" w:rsidRDefault="009322EF" w:rsidP="002318BC">
      <w:pPr>
        <w:pStyle w:val="ListParagraph"/>
        <w:numPr>
          <w:ilvl w:val="2"/>
          <w:numId w:val="1"/>
        </w:numPr>
      </w:pPr>
      <w:r>
        <w:rPr>
          <w:i/>
          <w:iCs/>
        </w:rPr>
        <w:t>(Note for consideration: perhaps CIPR could be helpful</w:t>
      </w:r>
      <w:r w:rsidR="006B476C">
        <w:rPr>
          <w:i/>
          <w:iCs/>
        </w:rPr>
        <w:t>)</w:t>
      </w:r>
      <w:r>
        <w:rPr>
          <w:i/>
          <w:iCs/>
        </w:rPr>
        <w:t xml:space="preserve"> </w:t>
      </w:r>
    </w:p>
    <w:p w14:paraId="1E76B550" w14:textId="506B89EB" w:rsidR="002318BC" w:rsidRDefault="002318BC" w:rsidP="002318BC">
      <w:pPr>
        <w:pStyle w:val="ListParagraph"/>
        <w:numPr>
          <w:ilvl w:val="1"/>
          <w:numId w:val="1"/>
        </w:numPr>
      </w:pPr>
      <w:r>
        <w:t>Public Policy considerations</w:t>
      </w:r>
    </w:p>
    <w:p w14:paraId="09D9854E" w14:textId="1AF572D2" w:rsidR="002318BC" w:rsidRDefault="002318BC" w:rsidP="002318BC">
      <w:pPr>
        <w:pStyle w:val="ListParagraph"/>
        <w:numPr>
          <w:ilvl w:val="2"/>
          <w:numId w:val="1"/>
        </w:numPr>
      </w:pPr>
      <w:r>
        <w:t>Reimbursement</w:t>
      </w:r>
    </w:p>
    <w:p w14:paraId="554299CF" w14:textId="436A4D76" w:rsidR="00471B18" w:rsidRDefault="00471B18" w:rsidP="002318BC">
      <w:pPr>
        <w:pStyle w:val="ListParagraph"/>
        <w:numPr>
          <w:ilvl w:val="2"/>
          <w:numId w:val="1"/>
        </w:numPr>
      </w:pPr>
      <w:r>
        <w:t>Audio-only versus Audio-Visual</w:t>
      </w:r>
    </w:p>
    <w:p w14:paraId="602A81EE" w14:textId="2633DEF3" w:rsidR="00F73CFB" w:rsidRDefault="00F73CFB" w:rsidP="002318BC">
      <w:pPr>
        <w:pStyle w:val="ListParagraph"/>
        <w:numPr>
          <w:ilvl w:val="2"/>
          <w:numId w:val="1"/>
        </w:numPr>
      </w:pPr>
      <w:r>
        <w:t>Telehealth-only or gatekeeper networks</w:t>
      </w:r>
    </w:p>
    <w:p w14:paraId="6B1B3514" w14:textId="52ADA137" w:rsidR="00471B18" w:rsidRDefault="00471B18" w:rsidP="002318BC">
      <w:pPr>
        <w:pStyle w:val="ListParagraph"/>
        <w:numPr>
          <w:ilvl w:val="2"/>
          <w:numId w:val="1"/>
        </w:numPr>
      </w:pPr>
      <w:r>
        <w:t xml:space="preserve">What role can insurers play in providing resources to members for telehealth accessibility, </w:t>
      </w:r>
      <w:proofErr w:type="gramStart"/>
      <w:r>
        <w:t>i.e.</w:t>
      </w:r>
      <w:proofErr w:type="gramEnd"/>
      <w:r>
        <w:t xml:space="preserve"> are providing phones risk-based or an inappropriate rebate?</w:t>
      </w:r>
    </w:p>
    <w:p w14:paraId="5C5852B8" w14:textId="77777777" w:rsidR="00F73CFB" w:rsidRDefault="00F73CFB" w:rsidP="00F73CFB">
      <w:pPr>
        <w:pStyle w:val="ListParagraph"/>
      </w:pPr>
    </w:p>
    <w:p w14:paraId="482F4A4A" w14:textId="4C0F52FB" w:rsidR="00F73CFB" w:rsidRDefault="00F73CFB" w:rsidP="00F73CFB">
      <w:pPr>
        <w:pStyle w:val="ListParagraph"/>
        <w:numPr>
          <w:ilvl w:val="0"/>
          <w:numId w:val="1"/>
        </w:numPr>
      </w:pPr>
      <w:r>
        <w:t>What role for FQHCs in an adequate network?</w:t>
      </w:r>
    </w:p>
    <w:p w14:paraId="5941C9A7" w14:textId="58BC930B" w:rsidR="00F73CFB" w:rsidRDefault="00F73CFB" w:rsidP="00F73CFB">
      <w:pPr>
        <w:pStyle w:val="ListParagraph"/>
        <w:numPr>
          <w:ilvl w:val="1"/>
          <w:numId w:val="1"/>
        </w:numPr>
      </w:pPr>
      <w:r>
        <w:t>Brief history of FQHCs, including legal parameters around their operation</w:t>
      </w:r>
    </w:p>
    <w:p w14:paraId="5561F632" w14:textId="1DF1B1E5" w:rsidR="00036CFA" w:rsidRDefault="00036CFA" w:rsidP="00F73CFB">
      <w:pPr>
        <w:pStyle w:val="ListParagraph"/>
        <w:numPr>
          <w:ilvl w:val="1"/>
          <w:numId w:val="1"/>
        </w:numPr>
      </w:pPr>
      <w:r>
        <w:t>Overview of ACA essential community provider (ECP) requirements, including discussion of scope and impact</w:t>
      </w:r>
    </w:p>
    <w:p w14:paraId="6807AD14" w14:textId="652C1EF7" w:rsidR="00F73CFB" w:rsidRPr="00F73CFB" w:rsidRDefault="00F73CFB" w:rsidP="00F73CFB">
      <w:pPr>
        <w:pStyle w:val="ListParagraph"/>
        <w:numPr>
          <w:ilvl w:val="1"/>
          <w:numId w:val="1"/>
        </w:numPr>
      </w:pPr>
      <w:r w:rsidRPr="00F73CFB">
        <w:t xml:space="preserve">Potential industry data call for further information on </w:t>
      </w:r>
      <w:r>
        <w:t>FQHCs in provider networks</w:t>
      </w:r>
    </w:p>
    <w:p w14:paraId="4BE20487" w14:textId="5120E1FC" w:rsidR="00F73CFB" w:rsidRDefault="00F73CFB" w:rsidP="00F73CFB">
      <w:pPr>
        <w:pStyle w:val="ListParagraph"/>
        <w:numPr>
          <w:ilvl w:val="1"/>
          <w:numId w:val="1"/>
        </w:numPr>
      </w:pPr>
      <w:r>
        <w:t>Public Policy considerations</w:t>
      </w:r>
    </w:p>
    <w:p w14:paraId="758A51FE" w14:textId="799DE55C" w:rsidR="00F73CFB" w:rsidRDefault="00F73CFB" w:rsidP="00F73CFB">
      <w:pPr>
        <w:pStyle w:val="ListParagraph"/>
        <w:numPr>
          <w:ilvl w:val="2"/>
          <w:numId w:val="1"/>
        </w:numPr>
      </w:pPr>
      <w:r>
        <w:t>Should networks be required to include FQHCs?</w:t>
      </w:r>
      <w:r w:rsidR="00036CFA">
        <w:t xml:space="preserve"> Are the current ECP requirements sufficient</w:t>
      </w:r>
      <w:r w:rsidR="004B248F">
        <w:t>?</w:t>
      </w:r>
    </w:p>
    <w:p w14:paraId="34ECF11E" w14:textId="7BE6F61E" w:rsidR="00F73CFB" w:rsidRDefault="00F73CFB" w:rsidP="002318BC">
      <w:pPr>
        <w:pStyle w:val="ListParagraph"/>
        <w:numPr>
          <w:ilvl w:val="3"/>
          <w:numId w:val="1"/>
        </w:numPr>
      </w:pPr>
      <w:r>
        <w:t>Reimbursement</w:t>
      </w:r>
    </w:p>
    <w:p w14:paraId="667CCEDD" w14:textId="268DD0B9" w:rsidR="00F73CFB" w:rsidRDefault="00F73CFB" w:rsidP="002318BC">
      <w:pPr>
        <w:pStyle w:val="ListParagraph"/>
        <w:numPr>
          <w:ilvl w:val="3"/>
          <w:numId w:val="1"/>
        </w:numPr>
      </w:pPr>
      <w:r>
        <w:t>Should NAIC further explore FQHC challenges with PBM actions relative to the 340B program?</w:t>
      </w:r>
    </w:p>
    <w:p w14:paraId="298D04C7" w14:textId="77777777" w:rsidR="00BB178A" w:rsidRDefault="00BB178A" w:rsidP="00BB178A">
      <w:pPr>
        <w:pStyle w:val="ListParagraph"/>
        <w:ind w:left="2880"/>
      </w:pPr>
    </w:p>
    <w:p w14:paraId="38E6FC66" w14:textId="39945D59" w:rsidR="004B248F" w:rsidRDefault="004B248F" w:rsidP="00BB178A">
      <w:pPr>
        <w:pStyle w:val="ListParagraph"/>
        <w:numPr>
          <w:ilvl w:val="0"/>
          <w:numId w:val="1"/>
        </w:numPr>
      </w:pPr>
      <w:r>
        <w:t>Conclusion and discussion of recommended next steps</w:t>
      </w:r>
    </w:p>
    <w:p w14:paraId="0BCDEB2A" w14:textId="75C356D6" w:rsidR="00606592" w:rsidRPr="00606592" w:rsidRDefault="00606592" w:rsidP="00606592"/>
    <w:p w14:paraId="61E752DD" w14:textId="0262E3B2" w:rsidR="00606592" w:rsidRPr="00606592" w:rsidRDefault="00606592" w:rsidP="00606592"/>
    <w:p w14:paraId="26C5DD5C" w14:textId="0FC9E706" w:rsidR="00606592" w:rsidRPr="00606592" w:rsidRDefault="00606592" w:rsidP="00606592"/>
    <w:p w14:paraId="4FB07811" w14:textId="3FFB086E" w:rsidR="00606592" w:rsidRPr="00606592" w:rsidRDefault="00606592" w:rsidP="00606592"/>
    <w:p w14:paraId="1C7F3F27" w14:textId="58A670D1" w:rsidR="00606592" w:rsidRPr="00606592" w:rsidRDefault="00606592" w:rsidP="00606592"/>
    <w:p w14:paraId="0442DDDE" w14:textId="14463C42" w:rsidR="00606592" w:rsidRPr="00606592" w:rsidRDefault="00606592" w:rsidP="00606592"/>
    <w:p w14:paraId="658262B3" w14:textId="56116C1B" w:rsidR="00606592" w:rsidRPr="00606592" w:rsidRDefault="00606592" w:rsidP="00606592"/>
    <w:p w14:paraId="756D240B" w14:textId="770CAAD6" w:rsidR="00606592" w:rsidRPr="00606592" w:rsidRDefault="00606592" w:rsidP="00606592"/>
    <w:p w14:paraId="3C02C2DD" w14:textId="50FA5A25" w:rsidR="00606592" w:rsidRPr="00606592" w:rsidRDefault="00606592" w:rsidP="00606592"/>
    <w:p w14:paraId="2F6130AF" w14:textId="3E956AFD" w:rsidR="00606592" w:rsidRPr="00606592" w:rsidRDefault="00606592" w:rsidP="00606592"/>
    <w:p w14:paraId="05363558" w14:textId="0BA924BF" w:rsidR="00606592" w:rsidRPr="00606592" w:rsidRDefault="00606592" w:rsidP="00606592"/>
    <w:p w14:paraId="72F37A91" w14:textId="01B1FBF3" w:rsidR="00606592" w:rsidRPr="00606592" w:rsidRDefault="00606592" w:rsidP="00606592"/>
    <w:p w14:paraId="241B42B7" w14:textId="77777777" w:rsidR="00606592" w:rsidRPr="00606592" w:rsidRDefault="00606592" w:rsidP="00606592">
      <w:pPr>
        <w:ind w:firstLine="720"/>
      </w:pPr>
    </w:p>
    <w:sectPr w:rsidR="00606592" w:rsidRPr="00606592" w:rsidSect="0063473C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E5BF" w14:textId="77777777" w:rsidR="00743A04" w:rsidRDefault="00743A04" w:rsidP="00BD38A7">
      <w:pPr>
        <w:spacing w:after="0" w:line="240" w:lineRule="auto"/>
      </w:pPr>
      <w:r>
        <w:separator/>
      </w:r>
    </w:p>
  </w:endnote>
  <w:endnote w:type="continuationSeparator" w:id="0">
    <w:p w14:paraId="53CC9DC6" w14:textId="77777777" w:rsidR="00743A04" w:rsidRDefault="00743A04" w:rsidP="00BD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6EF4" w14:textId="6E3BCC15" w:rsidR="00112A51" w:rsidRDefault="00112A51" w:rsidP="00112A51">
    <w:pPr>
      <w:pStyle w:val="Footer"/>
    </w:pPr>
    <w:sdt>
      <w:sdtPr>
        <w:id w:val="1036160142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>
          <w:rPr>
            <w:sz w:val="20"/>
          </w:rPr>
          <w:t>© 202</w:t>
        </w:r>
        <w:r w:rsidR="00606592">
          <w:rPr>
            <w:sz w:val="20"/>
          </w:rPr>
          <w:t>1</w:t>
        </w:r>
        <w:r>
          <w:rPr>
            <w:sz w:val="20"/>
          </w:rPr>
          <w:t xml:space="preserve"> National Association of Insurance Commissioners</w:t>
        </w:r>
      </w:sdtContent>
    </w:sdt>
    <w:r>
      <w:rPr>
        <w:noProof/>
        <w:sz w:val="20"/>
        <w:szCs w:val="20"/>
      </w:rPr>
      <w:ptab w:relativeTo="margin" w:alignment="center" w:leader="none"/>
    </w:r>
    <w:sdt>
      <w:sdtPr>
        <w:id w:val="-520860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37D6274" w14:textId="77777777" w:rsidR="00BD38A7" w:rsidRDefault="00BD3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CAEE" w14:textId="77777777" w:rsidR="00743A04" w:rsidRDefault="00743A04" w:rsidP="00BD38A7">
      <w:pPr>
        <w:spacing w:after="0" w:line="240" w:lineRule="auto"/>
      </w:pPr>
      <w:r>
        <w:separator/>
      </w:r>
    </w:p>
  </w:footnote>
  <w:footnote w:type="continuationSeparator" w:id="0">
    <w:p w14:paraId="76ACA970" w14:textId="77777777" w:rsidR="00743A04" w:rsidRDefault="00743A04" w:rsidP="00BD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7146626"/>
      <w:docPartObj>
        <w:docPartGallery w:val="Watermarks"/>
        <w:docPartUnique/>
      </w:docPartObj>
    </w:sdtPr>
    <w:sdtContent>
      <w:p w14:paraId="11AE1F9B" w14:textId="4D0E0A79" w:rsidR="00BD38A7" w:rsidRDefault="00BD38A7">
        <w:pPr>
          <w:pStyle w:val="Header"/>
        </w:pPr>
        <w:r>
          <w:rPr>
            <w:noProof/>
          </w:rPr>
          <w:pict w14:anchorId="0A8099E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7EC"/>
    <w:multiLevelType w:val="hybridMultilevel"/>
    <w:tmpl w:val="A330F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2A"/>
    <w:rsid w:val="000150D8"/>
    <w:rsid w:val="00036CFA"/>
    <w:rsid w:val="00092EB5"/>
    <w:rsid w:val="00112A51"/>
    <w:rsid w:val="00151B24"/>
    <w:rsid w:val="001C2B5F"/>
    <w:rsid w:val="002318BC"/>
    <w:rsid w:val="002775CC"/>
    <w:rsid w:val="00405B41"/>
    <w:rsid w:val="00471B18"/>
    <w:rsid w:val="00482A25"/>
    <w:rsid w:val="004B248F"/>
    <w:rsid w:val="00606592"/>
    <w:rsid w:val="006174F8"/>
    <w:rsid w:val="0063473C"/>
    <w:rsid w:val="006B476C"/>
    <w:rsid w:val="006E04F5"/>
    <w:rsid w:val="00743A04"/>
    <w:rsid w:val="00805AE9"/>
    <w:rsid w:val="008C0F95"/>
    <w:rsid w:val="009322EF"/>
    <w:rsid w:val="009A6895"/>
    <w:rsid w:val="00A62B91"/>
    <w:rsid w:val="00BB178A"/>
    <w:rsid w:val="00BC4B85"/>
    <w:rsid w:val="00BD38A7"/>
    <w:rsid w:val="00CE094E"/>
    <w:rsid w:val="00D97E2A"/>
    <w:rsid w:val="00E72807"/>
    <w:rsid w:val="00F7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8CF88"/>
  <w15:chartTrackingRefBased/>
  <w15:docId w15:val="{F2F358A5-2057-49B6-A59E-B67BE948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6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C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C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C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68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8A7"/>
  </w:style>
  <w:style w:type="paragraph" w:styleId="Footer">
    <w:name w:val="footer"/>
    <w:basedOn w:val="Normal"/>
    <w:link w:val="FooterChar"/>
    <w:uiPriority w:val="99"/>
    <w:unhideWhenUsed/>
    <w:rsid w:val="00BD3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Humphreys, Michael</dc:creator>
  <cp:keywords/>
  <dc:description/>
  <cp:lastModifiedBy>Matthews, Jolie H.</cp:lastModifiedBy>
  <cp:revision>14</cp:revision>
  <dcterms:created xsi:type="dcterms:W3CDTF">2021-10-14T18:01:00Z</dcterms:created>
  <dcterms:modified xsi:type="dcterms:W3CDTF">2021-10-14T18:22:00Z</dcterms:modified>
</cp:coreProperties>
</file>