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0C31" w14:textId="362BF214" w:rsidR="000A2E3B" w:rsidRPr="00597BAB" w:rsidRDefault="00D81741" w:rsidP="00597BAB">
      <w:pPr>
        <w:keepNext/>
        <w:pBdr>
          <w:bottom w:val="single" w:sz="4" w:space="1" w:color="auto"/>
        </w:pBdr>
        <w:spacing w:after="120"/>
        <w:jc w:val="both"/>
        <w:rPr>
          <w:rFonts w:asciiTheme="minorHAnsi" w:hAnsiTheme="minorHAnsi" w:cs="TimesNewRoman,Bold"/>
          <w:b/>
          <w:bCs/>
          <w:color w:val="000000" w:themeColor="text1"/>
          <w:sz w:val="28"/>
          <w:szCs w:val="28"/>
        </w:rPr>
      </w:pPr>
      <w:r>
        <w:rPr>
          <w:rFonts w:asciiTheme="minorHAnsi" w:hAnsiTheme="minorHAnsi" w:cs="TimesNewRoman,Bold"/>
          <w:b/>
          <w:bCs/>
          <w:color w:val="000000" w:themeColor="text1"/>
          <w:sz w:val="28"/>
          <w:szCs w:val="28"/>
        </w:rPr>
        <w:t>Review of the Group Capital Calculation</w:t>
      </w:r>
    </w:p>
    <w:p w14:paraId="218F07A4" w14:textId="496CA0DE" w:rsidR="000A2E3B" w:rsidRPr="001451B9" w:rsidRDefault="002175E7" w:rsidP="001451B9">
      <w:pPr>
        <w:keepNext/>
        <w:spacing w:after="120"/>
        <w:jc w:val="both"/>
        <w:rPr>
          <w:rFonts w:asciiTheme="minorHAnsi" w:hAnsiTheme="minorHAnsi" w:cs="TimesNewRoman,Bold"/>
          <w:bCs/>
          <w:color w:val="000000" w:themeColor="text1"/>
          <w:u w:val="single"/>
        </w:rPr>
      </w:pPr>
      <w:r>
        <w:rPr>
          <w:rFonts w:asciiTheme="minorHAnsi" w:hAnsiTheme="minorHAnsi" w:cs="TimesNewRoman,Bold"/>
          <w:bCs/>
          <w:color w:val="000000" w:themeColor="text1"/>
          <w:u w:val="single"/>
        </w:rPr>
        <w:t xml:space="preserve">Consideration of the </w:t>
      </w:r>
      <w:r w:rsidR="00F33694" w:rsidRPr="001451B9">
        <w:rPr>
          <w:rFonts w:asciiTheme="minorHAnsi" w:hAnsiTheme="minorHAnsi" w:cs="TimesNewRoman,Bold"/>
          <w:bCs/>
          <w:color w:val="000000" w:themeColor="text1"/>
          <w:u w:val="single"/>
        </w:rPr>
        <w:t xml:space="preserve">Insurance </w:t>
      </w:r>
      <w:r w:rsidR="000A2E3B" w:rsidRPr="001451B9">
        <w:rPr>
          <w:rFonts w:asciiTheme="minorHAnsi" w:hAnsiTheme="minorHAnsi" w:cs="TimesNewRoman,Bold"/>
          <w:bCs/>
          <w:color w:val="000000" w:themeColor="text1"/>
          <w:u w:val="single"/>
        </w:rPr>
        <w:t>Holding Company System</w:t>
      </w:r>
      <w:r w:rsidR="005C5F6D" w:rsidRPr="001451B9">
        <w:rPr>
          <w:rFonts w:asciiTheme="minorHAnsi" w:hAnsiTheme="minorHAnsi" w:cs="TimesNewRoman,Bold"/>
          <w:bCs/>
          <w:color w:val="000000" w:themeColor="text1"/>
          <w:u w:val="single"/>
        </w:rPr>
        <w:t xml:space="preserve"> Structure</w:t>
      </w:r>
    </w:p>
    <w:p w14:paraId="402AF92A" w14:textId="634F6808" w:rsidR="006C6958" w:rsidRDefault="002175E7" w:rsidP="00597BAB">
      <w:pPr>
        <w:pStyle w:val="BodyText"/>
        <w:spacing w:after="120"/>
        <w:rPr>
          <w:rFonts w:asciiTheme="minorHAnsi" w:hAnsiTheme="minorHAnsi"/>
          <w:color w:val="000000" w:themeColor="text1"/>
        </w:rPr>
      </w:pPr>
      <w:r>
        <w:rPr>
          <w:rFonts w:asciiTheme="minorHAnsi" w:hAnsiTheme="minorHAnsi"/>
          <w:color w:val="000000" w:themeColor="text1"/>
        </w:rPr>
        <w:t xml:space="preserve">As the lead state begins to review the annual Group Capital Calculation filing for a particular group, </w:t>
      </w:r>
      <w:proofErr w:type="gramStart"/>
      <w:r>
        <w:rPr>
          <w:rFonts w:asciiTheme="minorHAnsi" w:hAnsiTheme="minorHAnsi"/>
          <w:color w:val="000000" w:themeColor="text1"/>
        </w:rPr>
        <w:t>it</w:t>
      </w:r>
      <w:r w:rsidR="006C6958">
        <w:rPr>
          <w:rFonts w:asciiTheme="minorHAnsi" w:hAnsiTheme="minorHAnsi"/>
          <w:color w:val="000000" w:themeColor="text1"/>
        </w:rPr>
        <w:t>’</w:t>
      </w:r>
      <w:r>
        <w:rPr>
          <w:rFonts w:asciiTheme="minorHAnsi" w:hAnsiTheme="minorHAnsi"/>
          <w:color w:val="000000" w:themeColor="text1"/>
        </w:rPr>
        <w:t>s</w:t>
      </w:r>
      <w:proofErr w:type="gramEnd"/>
      <w:r>
        <w:rPr>
          <w:rFonts w:asciiTheme="minorHAnsi" w:hAnsiTheme="minorHAnsi"/>
          <w:color w:val="000000" w:themeColor="text1"/>
        </w:rPr>
        <w:t xml:space="preserve"> important for the lead state to do so with consideration of the existing knowledge of the </w:t>
      </w:r>
      <w:r w:rsidR="005C5F6D" w:rsidRPr="00597BAB">
        <w:rPr>
          <w:rFonts w:asciiTheme="minorHAnsi" w:hAnsiTheme="minorHAnsi"/>
          <w:color w:val="000000" w:themeColor="text1"/>
        </w:rPr>
        <w:t xml:space="preserve">organizational structure </w:t>
      </w:r>
      <w:r>
        <w:rPr>
          <w:rFonts w:asciiTheme="minorHAnsi" w:hAnsiTheme="minorHAnsi"/>
          <w:color w:val="000000" w:themeColor="text1"/>
        </w:rPr>
        <w:t>of the group</w:t>
      </w:r>
      <w:r w:rsidR="009A1314">
        <w:rPr>
          <w:rFonts w:asciiTheme="minorHAnsi" w:hAnsiTheme="minorHAnsi"/>
          <w:color w:val="000000" w:themeColor="text1"/>
        </w:rPr>
        <w:t>,</w:t>
      </w:r>
      <w:r>
        <w:rPr>
          <w:rFonts w:asciiTheme="minorHAnsi" w:hAnsiTheme="minorHAnsi"/>
          <w:color w:val="000000" w:themeColor="text1"/>
        </w:rPr>
        <w:t xml:space="preserve"> </w:t>
      </w:r>
      <w:r w:rsidR="00607880">
        <w:rPr>
          <w:rFonts w:asciiTheme="minorHAnsi" w:hAnsiTheme="minorHAnsi"/>
          <w:color w:val="000000" w:themeColor="text1"/>
        </w:rPr>
        <w:t>including changes in the structure from year to year</w:t>
      </w:r>
      <w:r w:rsidR="009A1314">
        <w:rPr>
          <w:rFonts w:asciiTheme="minorHAnsi" w:hAnsiTheme="minorHAnsi"/>
          <w:color w:val="000000" w:themeColor="text1"/>
        </w:rPr>
        <w:t>,</w:t>
      </w:r>
      <w:r w:rsidR="00607880">
        <w:rPr>
          <w:rFonts w:asciiTheme="minorHAnsi" w:hAnsiTheme="minorHAnsi"/>
          <w:color w:val="000000" w:themeColor="text1"/>
        </w:rPr>
        <w:t xml:space="preserve"> </w:t>
      </w:r>
      <w:r>
        <w:rPr>
          <w:rFonts w:asciiTheme="minorHAnsi" w:hAnsiTheme="minorHAnsi"/>
          <w:color w:val="000000" w:themeColor="text1"/>
        </w:rPr>
        <w:t>but more importantly the overall activities of each of the entities in the</w:t>
      </w:r>
      <w:r w:rsidR="00607880" w:rsidRPr="00607880">
        <w:rPr>
          <w:rFonts w:asciiTheme="minorHAnsi" w:hAnsiTheme="minorHAnsi"/>
          <w:color w:val="000000" w:themeColor="text1"/>
        </w:rPr>
        <w:t xml:space="preserve"> </w:t>
      </w:r>
      <w:r w:rsidR="00607880">
        <w:rPr>
          <w:rFonts w:asciiTheme="minorHAnsi" w:hAnsiTheme="minorHAnsi"/>
          <w:color w:val="000000" w:themeColor="text1"/>
        </w:rPr>
        <w:t>group which otherwise have the potential to transmit material risk to the insurers within the group</w:t>
      </w:r>
      <w:r>
        <w:rPr>
          <w:rFonts w:asciiTheme="minorHAnsi" w:hAnsiTheme="minorHAnsi"/>
          <w:color w:val="000000" w:themeColor="text1"/>
        </w:rPr>
        <w:t xml:space="preserve">. While the </w:t>
      </w:r>
      <w:r w:rsidR="00535C71">
        <w:rPr>
          <w:rFonts w:asciiTheme="minorHAnsi" w:hAnsiTheme="minorHAnsi"/>
          <w:color w:val="000000" w:themeColor="text1"/>
        </w:rPr>
        <w:t>GCC</w:t>
      </w:r>
      <w:r>
        <w:rPr>
          <w:rFonts w:asciiTheme="minorHAnsi" w:hAnsiTheme="minorHAnsi"/>
          <w:color w:val="000000" w:themeColor="text1"/>
        </w:rPr>
        <w:t xml:space="preserve"> will provide additional quantitative information on the entities in the group</w:t>
      </w:r>
      <w:r w:rsidR="00535C71">
        <w:rPr>
          <w:rFonts w:asciiTheme="minorHAnsi" w:hAnsiTheme="minorHAnsi"/>
          <w:color w:val="000000" w:themeColor="text1"/>
        </w:rPr>
        <w:t>;</w:t>
      </w:r>
      <w:r>
        <w:rPr>
          <w:rFonts w:asciiTheme="minorHAnsi" w:hAnsiTheme="minorHAnsi"/>
          <w:color w:val="000000" w:themeColor="text1"/>
        </w:rPr>
        <w:t xml:space="preserve"> the </w:t>
      </w:r>
      <w:r w:rsidR="00535C71">
        <w:rPr>
          <w:rFonts w:asciiTheme="minorHAnsi" w:hAnsiTheme="minorHAnsi"/>
          <w:color w:val="000000" w:themeColor="text1"/>
        </w:rPr>
        <w:t xml:space="preserve">actual </w:t>
      </w:r>
      <w:r>
        <w:rPr>
          <w:rFonts w:asciiTheme="minorHAnsi" w:hAnsiTheme="minorHAnsi"/>
          <w:color w:val="000000" w:themeColor="text1"/>
        </w:rPr>
        <w:t xml:space="preserve">activities of the entities </w:t>
      </w:r>
      <w:r w:rsidR="009D6BC3">
        <w:rPr>
          <w:rFonts w:asciiTheme="minorHAnsi" w:hAnsiTheme="minorHAnsi"/>
          <w:color w:val="000000" w:themeColor="text1"/>
        </w:rPr>
        <w:t>are</w:t>
      </w:r>
      <w:r w:rsidR="00535C71">
        <w:rPr>
          <w:rFonts w:asciiTheme="minorHAnsi" w:hAnsiTheme="minorHAnsi"/>
          <w:color w:val="000000" w:themeColor="text1"/>
        </w:rPr>
        <w:t xml:space="preserve"> also </w:t>
      </w:r>
      <w:r>
        <w:rPr>
          <w:rFonts w:asciiTheme="minorHAnsi" w:hAnsiTheme="minorHAnsi"/>
          <w:color w:val="000000" w:themeColor="text1"/>
        </w:rPr>
        <w:t xml:space="preserve">important in determining the scope of application of the </w:t>
      </w:r>
      <w:r w:rsidR="00535C71">
        <w:rPr>
          <w:rFonts w:asciiTheme="minorHAnsi" w:hAnsiTheme="minorHAnsi"/>
          <w:color w:val="000000" w:themeColor="text1"/>
        </w:rPr>
        <w:t>GCC</w:t>
      </w:r>
      <w:r>
        <w:rPr>
          <w:rFonts w:asciiTheme="minorHAnsi" w:hAnsiTheme="minorHAnsi"/>
          <w:color w:val="000000" w:themeColor="text1"/>
        </w:rPr>
        <w:t xml:space="preserve">. Specific to that point, the </w:t>
      </w:r>
      <w:r w:rsidR="00E531C5">
        <w:rPr>
          <w:rFonts w:asciiTheme="minorHAnsi" w:hAnsiTheme="minorHAnsi"/>
          <w:color w:val="000000" w:themeColor="text1"/>
        </w:rPr>
        <w:t>lead state is responsible for determining if any of the entities in the holding company structure should be excluded from the calculation</w:t>
      </w:r>
      <w:r w:rsidR="00607880">
        <w:rPr>
          <w:rFonts w:asciiTheme="minorHAnsi" w:hAnsiTheme="minorHAnsi"/>
          <w:color w:val="000000" w:themeColor="text1"/>
        </w:rPr>
        <w:t xml:space="preserve">. </w:t>
      </w:r>
      <w:r w:rsidR="00ED59BA">
        <w:rPr>
          <w:rFonts w:asciiTheme="minorHAnsi" w:hAnsiTheme="minorHAnsi"/>
          <w:color w:val="000000" w:themeColor="text1"/>
        </w:rPr>
        <w:t>The filing includes a column for the group to propose what should be excluded as well as an additional column for the final determination made by the lead state</w:t>
      </w:r>
      <w:r w:rsidR="00323B69">
        <w:rPr>
          <w:rFonts w:asciiTheme="minorHAnsi" w:hAnsiTheme="minorHAnsi"/>
          <w:color w:val="000000" w:themeColor="text1"/>
        </w:rPr>
        <w:t>.</w:t>
      </w:r>
      <w:r w:rsidR="00ED59BA">
        <w:rPr>
          <w:rFonts w:asciiTheme="minorHAnsi" w:hAnsiTheme="minorHAnsi"/>
          <w:color w:val="000000" w:themeColor="text1"/>
        </w:rPr>
        <w:t xml:space="preserve"> In general, </w:t>
      </w:r>
      <w:r w:rsidR="00616CD7">
        <w:rPr>
          <w:rFonts w:asciiTheme="minorHAnsi" w:hAnsiTheme="minorHAnsi"/>
          <w:color w:val="000000" w:themeColor="text1"/>
        </w:rPr>
        <w:t xml:space="preserve">the </w:t>
      </w:r>
      <w:r w:rsidR="00ED59BA">
        <w:rPr>
          <w:rFonts w:asciiTheme="minorHAnsi" w:hAnsiTheme="minorHAnsi"/>
          <w:color w:val="000000" w:themeColor="text1"/>
        </w:rPr>
        <w:t xml:space="preserve">determination </w:t>
      </w:r>
      <w:r w:rsidR="00323B69">
        <w:rPr>
          <w:rFonts w:asciiTheme="minorHAnsi" w:hAnsiTheme="minorHAnsi"/>
          <w:color w:val="000000" w:themeColor="text1"/>
        </w:rPr>
        <w:t>of</w:t>
      </w:r>
      <w:r w:rsidR="00ED59BA">
        <w:rPr>
          <w:rFonts w:asciiTheme="minorHAnsi" w:hAnsiTheme="minorHAnsi"/>
          <w:color w:val="000000" w:themeColor="text1"/>
        </w:rPr>
        <w:t xml:space="preserve"> </w:t>
      </w:r>
      <w:r w:rsidR="00616CD7">
        <w:rPr>
          <w:rFonts w:asciiTheme="minorHAnsi" w:hAnsiTheme="minorHAnsi"/>
          <w:color w:val="000000" w:themeColor="text1"/>
        </w:rPr>
        <w:t xml:space="preserve">scope of the application </w:t>
      </w:r>
      <w:r w:rsidR="00ED59BA">
        <w:rPr>
          <w:rFonts w:asciiTheme="minorHAnsi" w:hAnsiTheme="minorHAnsi"/>
          <w:color w:val="000000" w:themeColor="text1"/>
        </w:rPr>
        <w:t xml:space="preserve">is </w:t>
      </w:r>
      <w:r w:rsidR="00616CD7">
        <w:rPr>
          <w:rFonts w:asciiTheme="minorHAnsi" w:hAnsiTheme="minorHAnsi"/>
          <w:color w:val="000000" w:themeColor="text1"/>
        </w:rPr>
        <w:t xml:space="preserve">suggested by the group </w:t>
      </w:r>
      <w:r w:rsidR="00ED59BA">
        <w:rPr>
          <w:rFonts w:asciiTheme="minorHAnsi" w:hAnsiTheme="minorHAnsi"/>
          <w:color w:val="000000" w:themeColor="text1"/>
        </w:rPr>
        <w:t xml:space="preserve">but </w:t>
      </w:r>
      <w:r w:rsidR="00616CD7">
        <w:rPr>
          <w:rFonts w:asciiTheme="minorHAnsi" w:hAnsiTheme="minorHAnsi"/>
          <w:color w:val="000000" w:themeColor="text1"/>
        </w:rPr>
        <w:t xml:space="preserve">made in consultation and agreement with the lead state. </w:t>
      </w:r>
      <w:r w:rsidR="00607880">
        <w:rPr>
          <w:rFonts w:asciiTheme="minorHAnsi" w:hAnsiTheme="minorHAnsi"/>
          <w:color w:val="000000" w:themeColor="text1"/>
        </w:rPr>
        <w:t>This exercise should be undertaken in a manner that yields a clear</w:t>
      </w:r>
      <w:r w:rsidR="009A1314">
        <w:rPr>
          <w:rFonts w:asciiTheme="minorHAnsi" w:hAnsiTheme="minorHAnsi"/>
          <w:color w:val="000000" w:themeColor="text1"/>
        </w:rPr>
        <w:t>ly</w:t>
      </w:r>
      <w:r w:rsidR="00607880">
        <w:rPr>
          <w:rFonts w:asciiTheme="minorHAnsi" w:hAnsiTheme="minorHAnsi"/>
          <w:color w:val="000000" w:themeColor="text1"/>
        </w:rPr>
        <w:t xml:space="preserve"> documented rationale for excluding entities or </w:t>
      </w:r>
      <w:r w:rsidR="00323B69">
        <w:rPr>
          <w:rFonts w:asciiTheme="minorHAnsi" w:hAnsiTheme="minorHAnsi"/>
          <w:color w:val="000000" w:themeColor="text1"/>
        </w:rPr>
        <w:t>subgroups</w:t>
      </w:r>
      <w:r w:rsidR="00607880">
        <w:rPr>
          <w:rFonts w:asciiTheme="minorHAnsi" w:hAnsiTheme="minorHAnsi"/>
          <w:color w:val="000000" w:themeColor="text1"/>
        </w:rPr>
        <w:t xml:space="preserve"> of the larger group. </w:t>
      </w:r>
      <w:bookmarkStart w:id="0" w:name="_Hlk43746566"/>
      <w:r w:rsidR="006C6958">
        <w:rPr>
          <w:rFonts w:asciiTheme="minorHAnsi" w:hAnsiTheme="minorHAnsi"/>
          <w:color w:val="000000" w:themeColor="text1"/>
        </w:rPr>
        <w:t xml:space="preserve">The </w:t>
      </w:r>
      <w:r w:rsidR="006C6958" w:rsidRPr="009D6BC3">
        <w:rPr>
          <w:rFonts w:asciiTheme="minorHAnsi" w:hAnsiTheme="minorHAnsi"/>
          <w:i/>
          <w:iCs/>
          <w:color w:val="000000" w:themeColor="text1"/>
        </w:rPr>
        <w:t>Group Capital Calculation Instructions</w:t>
      </w:r>
      <w:r w:rsidR="006C6958">
        <w:rPr>
          <w:rFonts w:asciiTheme="minorHAnsi" w:hAnsiTheme="minorHAnsi"/>
          <w:color w:val="000000" w:themeColor="text1"/>
        </w:rPr>
        <w:t xml:space="preserve"> </w:t>
      </w:r>
      <w:bookmarkEnd w:id="0"/>
      <w:r w:rsidR="006C6958">
        <w:rPr>
          <w:rFonts w:asciiTheme="minorHAnsi" w:hAnsiTheme="minorHAnsi"/>
          <w:color w:val="000000" w:themeColor="text1"/>
        </w:rPr>
        <w:t xml:space="preserve">describes the basis for making this determination and the calculation itself is </w:t>
      </w:r>
      <w:r w:rsidR="009C705F">
        <w:rPr>
          <w:rFonts w:asciiTheme="minorHAnsi" w:hAnsiTheme="minorHAnsi"/>
          <w:color w:val="000000" w:themeColor="text1"/>
        </w:rPr>
        <w:t>structured</w:t>
      </w:r>
      <w:r w:rsidR="006C6958">
        <w:rPr>
          <w:rFonts w:asciiTheme="minorHAnsi" w:hAnsiTheme="minorHAnsi"/>
          <w:color w:val="000000" w:themeColor="text1"/>
        </w:rPr>
        <w:t xml:space="preserve"> to facilitate this determination, with the inclusion </w:t>
      </w:r>
      <w:r w:rsidR="00323B69">
        <w:rPr>
          <w:rFonts w:asciiTheme="minorHAnsi" w:hAnsiTheme="minorHAnsi"/>
          <w:color w:val="000000" w:themeColor="text1"/>
        </w:rPr>
        <w:t>in</w:t>
      </w:r>
      <w:r w:rsidR="006C6958">
        <w:rPr>
          <w:rFonts w:asciiTheme="minorHAnsi" w:hAnsiTheme="minorHAnsi"/>
          <w:color w:val="000000" w:themeColor="text1"/>
        </w:rPr>
        <w:t xml:space="preserve"> Schedule 1 of the calculation financial data </w:t>
      </w:r>
      <w:r w:rsidR="00323B69">
        <w:rPr>
          <w:rFonts w:asciiTheme="minorHAnsi" w:hAnsiTheme="minorHAnsi"/>
          <w:color w:val="000000" w:themeColor="text1"/>
        </w:rPr>
        <w:t>of</w:t>
      </w:r>
      <w:r w:rsidR="006C6958">
        <w:rPr>
          <w:rFonts w:asciiTheme="minorHAnsi" w:hAnsiTheme="minorHAnsi"/>
          <w:color w:val="000000" w:themeColor="text1"/>
        </w:rPr>
        <w:t xml:space="preserve"> all entities within the hold</w:t>
      </w:r>
      <w:r w:rsidR="00F21029">
        <w:rPr>
          <w:rFonts w:asciiTheme="minorHAnsi" w:hAnsiTheme="minorHAnsi"/>
          <w:color w:val="000000" w:themeColor="text1"/>
        </w:rPr>
        <w:t>ing company.</w:t>
      </w:r>
      <w:r w:rsidR="00F02A7C">
        <w:rPr>
          <w:rFonts w:asciiTheme="minorHAnsi" w:hAnsiTheme="minorHAnsi"/>
          <w:color w:val="000000" w:themeColor="text1"/>
        </w:rPr>
        <w:t xml:space="preserve"> Similar to exclusion from the calculation itself</w:t>
      </w:r>
      <w:r w:rsidR="009A1314">
        <w:rPr>
          <w:rFonts w:asciiTheme="minorHAnsi" w:hAnsiTheme="minorHAnsi"/>
          <w:color w:val="000000" w:themeColor="text1"/>
        </w:rPr>
        <w:t xml:space="preserve"> is</w:t>
      </w:r>
      <w:r w:rsidR="00F02A7C">
        <w:rPr>
          <w:rFonts w:asciiTheme="minorHAnsi" w:hAnsiTheme="minorHAnsi"/>
          <w:color w:val="000000" w:themeColor="text1"/>
        </w:rPr>
        <w:t xml:space="preserve"> data for cases </w:t>
      </w:r>
      <w:r w:rsidR="009A1314">
        <w:rPr>
          <w:rFonts w:asciiTheme="minorHAnsi" w:hAnsiTheme="minorHAnsi"/>
          <w:color w:val="000000" w:themeColor="text1"/>
        </w:rPr>
        <w:t>in which</w:t>
      </w:r>
      <w:r w:rsidR="00F02A7C">
        <w:rPr>
          <w:rFonts w:asciiTheme="minorHAnsi" w:hAnsiTheme="minorHAnsi"/>
          <w:color w:val="000000" w:themeColor="text1"/>
        </w:rPr>
        <w:t xml:space="preserve"> </w:t>
      </w:r>
      <w:r w:rsidR="00323B69">
        <w:rPr>
          <w:rFonts w:asciiTheme="minorHAnsi" w:hAnsiTheme="minorHAnsi"/>
          <w:color w:val="000000" w:themeColor="text1"/>
        </w:rPr>
        <w:t>subgroups</w:t>
      </w:r>
      <w:r w:rsidR="00F02A7C">
        <w:rPr>
          <w:rFonts w:asciiTheme="minorHAnsi" w:hAnsiTheme="minorHAnsi"/>
          <w:color w:val="000000" w:themeColor="text1"/>
        </w:rPr>
        <w:t xml:space="preserve"> of the larger group are completely excluded from the group</w:t>
      </w:r>
      <w:r w:rsidR="009A1314">
        <w:rPr>
          <w:rFonts w:asciiTheme="minorHAnsi" w:hAnsiTheme="minorHAnsi"/>
          <w:color w:val="000000" w:themeColor="text1"/>
        </w:rPr>
        <w:t>,</w:t>
      </w:r>
      <w:r w:rsidR="00F02A7C">
        <w:rPr>
          <w:rFonts w:asciiTheme="minorHAnsi" w:hAnsiTheme="minorHAnsi"/>
          <w:color w:val="000000" w:themeColor="text1"/>
        </w:rPr>
        <w:t xml:space="preserve"> particularly with regard to Schedule 1</w:t>
      </w:r>
      <w:r w:rsidR="009A1314">
        <w:rPr>
          <w:rFonts w:asciiTheme="minorHAnsi" w:hAnsiTheme="minorHAnsi"/>
          <w:color w:val="000000" w:themeColor="text1"/>
        </w:rPr>
        <w:t>;</w:t>
      </w:r>
      <w:r w:rsidR="00F02A7C">
        <w:rPr>
          <w:rFonts w:asciiTheme="minorHAnsi" w:hAnsiTheme="minorHAnsi"/>
          <w:color w:val="000000" w:themeColor="text1"/>
        </w:rPr>
        <w:t xml:space="preserve"> the rationale for the exclusion(s) should be provided in the GPS. </w:t>
      </w:r>
      <w:r w:rsidR="00F21029">
        <w:rPr>
          <w:rFonts w:asciiTheme="minorHAnsi" w:hAnsiTheme="minorHAnsi"/>
          <w:color w:val="000000" w:themeColor="text1"/>
        </w:rPr>
        <w:t xml:space="preserve">The concept is that this Schedule 1 data should be utilized by the lead state in conjunction with their existing knowledge of the </w:t>
      </w:r>
      <w:r w:rsidR="00C00EA5">
        <w:rPr>
          <w:rFonts w:asciiTheme="minorHAnsi" w:hAnsiTheme="minorHAnsi"/>
          <w:color w:val="000000" w:themeColor="text1"/>
        </w:rPr>
        <w:t>group</w:t>
      </w:r>
      <w:r w:rsidR="00F21029">
        <w:rPr>
          <w:rFonts w:asciiTheme="minorHAnsi" w:hAnsiTheme="minorHAnsi"/>
          <w:color w:val="000000" w:themeColor="text1"/>
        </w:rPr>
        <w:t xml:space="preserve"> and its activities</w:t>
      </w:r>
      <w:r w:rsidR="00A3473C">
        <w:rPr>
          <w:rFonts w:asciiTheme="minorHAnsi" w:hAnsiTheme="minorHAnsi"/>
          <w:color w:val="000000" w:themeColor="text1"/>
        </w:rPr>
        <w:t xml:space="preserve"> (</w:t>
      </w:r>
      <w:r w:rsidR="00323B69">
        <w:rPr>
          <w:rFonts w:asciiTheme="minorHAnsi" w:hAnsiTheme="minorHAnsi"/>
          <w:color w:val="000000" w:themeColor="text1"/>
        </w:rPr>
        <w:t>o</w:t>
      </w:r>
      <w:r w:rsidR="00A3473C">
        <w:rPr>
          <w:rFonts w:asciiTheme="minorHAnsi" w:hAnsiTheme="minorHAnsi"/>
          <w:color w:val="000000" w:themeColor="text1"/>
        </w:rPr>
        <w:t xml:space="preserve">btained from the Schedule Y, ORSA, </w:t>
      </w:r>
      <w:r w:rsidR="00A3473C" w:rsidRPr="00A3473C">
        <w:rPr>
          <w:rFonts w:asciiTheme="minorHAnsi" w:hAnsiTheme="minorHAnsi"/>
          <w:color w:val="000000" w:themeColor="text1"/>
        </w:rPr>
        <w:t>Form</w:t>
      </w:r>
      <w:r w:rsidR="00323B69">
        <w:rPr>
          <w:rFonts w:asciiTheme="minorHAnsi" w:hAnsiTheme="minorHAnsi"/>
          <w:color w:val="000000" w:themeColor="text1"/>
        </w:rPr>
        <w:t>s</w:t>
      </w:r>
      <w:r w:rsidR="00A3473C" w:rsidRPr="00A3473C">
        <w:rPr>
          <w:rFonts w:asciiTheme="minorHAnsi" w:hAnsiTheme="minorHAnsi"/>
          <w:color w:val="000000" w:themeColor="text1"/>
        </w:rPr>
        <w:t xml:space="preserve"> B/C, </w:t>
      </w:r>
      <w:r w:rsidR="00D77515">
        <w:rPr>
          <w:rFonts w:asciiTheme="minorHAnsi" w:hAnsiTheme="minorHAnsi"/>
          <w:color w:val="000000" w:themeColor="text1"/>
        </w:rPr>
        <w:t xml:space="preserve">Form F, </w:t>
      </w:r>
      <w:r w:rsidR="00A3473C" w:rsidRPr="00A3473C">
        <w:rPr>
          <w:rFonts w:asciiTheme="minorHAnsi" w:hAnsiTheme="minorHAnsi"/>
          <w:color w:val="000000" w:themeColor="text1"/>
        </w:rPr>
        <w:t>the non-insurance grid, etc</w:t>
      </w:r>
      <w:r w:rsidR="009D6BC3">
        <w:rPr>
          <w:rFonts w:asciiTheme="minorHAnsi" w:hAnsiTheme="minorHAnsi"/>
          <w:color w:val="000000" w:themeColor="text1"/>
        </w:rPr>
        <w:t>.</w:t>
      </w:r>
      <w:r w:rsidR="00A3473C" w:rsidRPr="00A3473C">
        <w:rPr>
          <w:rFonts w:asciiTheme="minorHAnsi" w:hAnsiTheme="minorHAnsi"/>
          <w:color w:val="000000" w:themeColor="text1"/>
        </w:rPr>
        <w:t>)</w:t>
      </w:r>
      <w:r w:rsidR="00F21029">
        <w:rPr>
          <w:rFonts w:asciiTheme="minorHAnsi" w:hAnsiTheme="minorHAnsi"/>
          <w:color w:val="000000" w:themeColor="text1"/>
        </w:rPr>
        <w:t>, and therefore likely material risks</w:t>
      </w:r>
      <w:r w:rsidR="00535C71">
        <w:rPr>
          <w:rFonts w:asciiTheme="minorHAnsi" w:hAnsiTheme="minorHAnsi"/>
          <w:color w:val="000000" w:themeColor="text1"/>
        </w:rPr>
        <w:t>, to make this determination</w:t>
      </w:r>
      <w:r w:rsidR="00F21029">
        <w:rPr>
          <w:rFonts w:asciiTheme="minorHAnsi" w:hAnsiTheme="minorHAnsi"/>
          <w:color w:val="000000" w:themeColor="text1"/>
        </w:rPr>
        <w:t>.</w:t>
      </w:r>
      <w:r w:rsidR="00323B69">
        <w:rPr>
          <w:rFonts w:asciiTheme="minorHAnsi" w:hAnsiTheme="minorHAnsi"/>
          <w:color w:val="000000" w:themeColor="text1"/>
        </w:rPr>
        <w:t xml:space="preserve"> To the extent the entities included in Schedule 1 differ from the analyst’s knowledge of the Group, further discussion and follow-up should be with the group. </w:t>
      </w:r>
    </w:p>
    <w:p w14:paraId="660B0B32" w14:textId="588EA43A" w:rsidR="008D6402" w:rsidRPr="00597BAB" w:rsidRDefault="00C5230D" w:rsidP="00597BAB">
      <w:pPr>
        <w:pStyle w:val="BodyText"/>
        <w:spacing w:after="120"/>
        <w:rPr>
          <w:rFonts w:asciiTheme="minorHAnsi" w:hAnsiTheme="minorHAnsi"/>
          <w:color w:val="000000" w:themeColor="text1"/>
          <w:szCs w:val="22"/>
        </w:rPr>
      </w:pPr>
      <w:r>
        <w:rPr>
          <w:rFonts w:asciiTheme="minorHAnsi" w:hAnsiTheme="minorHAnsi"/>
          <w:color w:val="000000" w:themeColor="text1"/>
          <w:szCs w:val="22"/>
        </w:rPr>
        <w:t>T</w:t>
      </w:r>
      <w:r w:rsidR="00BF5EA7">
        <w:rPr>
          <w:rFonts w:asciiTheme="minorHAnsi" w:hAnsiTheme="minorHAnsi"/>
          <w:color w:val="000000" w:themeColor="text1"/>
          <w:szCs w:val="22"/>
        </w:rPr>
        <w:t xml:space="preserve">he </w:t>
      </w:r>
      <w:r w:rsidR="00127CC3">
        <w:rPr>
          <w:rFonts w:asciiTheme="minorHAnsi" w:hAnsiTheme="minorHAnsi"/>
          <w:color w:val="000000" w:themeColor="text1"/>
          <w:szCs w:val="22"/>
        </w:rPr>
        <w:t xml:space="preserve">holding company </w:t>
      </w:r>
      <w:r w:rsidR="00BF5EA7">
        <w:rPr>
          <w:rFonts w:asciiTheme="minorHAnsi" w:hAnsiTheme="minorHAnsi"/>
          <w:color w:val="000000" w:themeColor="text1"/>
          <w:szCs w:val="22"/>
        </w:rPr>
        <w:t>structure and activities should also be utilized</w:t>
      </w:r>
      <w:r w:rsidR="00127CC3">
        <w:rPr>
          <w:rFonts w:asciiTheme="minorHAnsi" w:hAnsiTheme="minorHAnsi"/>
          <w:color w:val="000000" w:themeColor="text1"/>
          <w:szCs w:val="22"/>
        </w:rPr>
        <w:t xml:space="preserve"> by the lead state</w:t>
      </w:r>
      <w:r w:rsidR="00BF5EA7">
        <w:rPr>
          <w:rFonts w:asciiTheme="minorHAnsi" w:hAnsiTheme="minorHAnsi"/>
          <w:color w:val="000000" w:themeColor="text1"/>
          <w:szCs w:val="22"/>
        </w:rPr>
        <w:t xml:space="preserve"> </w:t>
      </w:r>
      <w:r w:rsidR="00127CC3">
        <w:rPr>
          <w:rFonts w:asciiTheme="minorHAnsi" w:hAnsiTheme="minorHAnsi"/>
          <w:color w:val="000000" w:themeColor="text1"/>
          <w:szCs w:val="22"/>
        </w:rPr>
        <w:t xml:space="preserve">in determining how to evaluate the </w:t>
      </w:r>
      <w:r w:rsidR="009D6BC3">
        <w:rPr>
          <w:rFonts w:asciiTheme="minorHAnsi" w:hAnsiTheme="minorHAnsi"/>
          <w:color w:val="000000" w:themeColor="text1"/>
          <w:szCs w:val="22"/>
        </w:rPr>
        <w:t>GCC</w:t>
      </w:r>
      <w:r w:rsidR="00127CC3">
        <w:rPr>
          <w:rFonts w:asciiTheme="minorHAnsi" w:hAnsiTheme="minorHAnsi"/>
          <w:color w:val="000000" w:themeColor="text1"/>
          <w:szCs w:val="22"/>
        </w:rPr>
        <w:t xml:space="preserve"> ratio. More specifically, information on structure can impact the flow of </w:t>
      </w:r>
      <w:r w:rsidR="00323B69">
        <w:rPr>
          <w:rFonts w:asciiTheme="minorHAnsi" w:hAnsiTheme="minorHAnsi"/>
          <w:color w:val="000000" w:themeColor="text1"/>
          <w:szCs w:val="22"/>
        </w:rPr>
        <w:t xml:space="preserve">capital and </w:t>
      </w:r>
      <w:r w:rsidR="00127CC3">
        <w:rPr>
          <w:rFonts w:asciiTheme="minorHAnsi" w:hAnsiTheme="minorHAnsi"/>
          <w:color w:val="000000" w:themeColor="text1"/>
          <w:szCs w:val="22"/>
        </w:rPr>
        <w:t>resources among entities within the holding company structure. Therefore, understanding the following can assist in evaluating the flow of resources</w:t>
      </w:r>
      <w:r w:rsidR="008D6402" w:rsidRPr="00597BAB">
        <w:rPr>
          <w:rFonts w:asciiTheme="minorHAnsi" w:hAnsiTheme="minorHAnsi"/>
          <w:color w:val="000000" w:themeColor="text1"/>
          <w:szCs w:val="22"/>
        </w:rPr>
        <w:t>:</w:t>
      </w:r>
    </w:p>
    <w:p w14:paraId="4677800E" w14:textId="1FAC3546" w:rsidR="00127CC3" w:rsidRDefault="00127CC3" w:rsidP="007C2BD3">
      <w:pPr>
        <w:pStyle w:val="BodyText"/>
        <w:numPr>
          <w:ilvl w:val="0"/>
          <w:numId w:val="5"/>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Domestic </w:t>
      </w:r>
      <w:r w:rsidR="009D6BC3">
        <w:rPr>
          <w:rFonts w:asciiTheme="minorHAnsi" w:hAnsiTheme="minorHAnsi"/>
          <w:color w:val="000000" w:themeColor="text1"/>
          <w:szCs w:val="22"/>
        </w:rPr>
        <w:t>i</w:t>
      </w:r>
      <w:r w:rsidR="008D6402" w:rsidRPr="00597BAB">
        <w:rPr>
          <w:rFonts w:asciiTheme="minorHAnsi" w:hAnsiTheme="minorHAnsi"/>
          <w:color w:val="000000" w:themeColor="text1"/>
          <w:szCs w:val="22"/>
        </w:rPr>
        <w:t>nsurance</w:t>
      </w:r>
      <w:r>
        <w:rPr>
          <w:rFonts w:asciiTheme="minorHAnsi" w:hAnsiTheme="minorHAnsi"/>
          <w:color w:val="000000" w:themeColor="text1"/>
          <w:szCs w:val="22"/>
        </w:rPr>
        <w:t xml:space="preserve"> </w:t>
      </w:r>
      <w:r w:rsidR="009A1314">
        <w:rPr>
          <w:rFonts w:asciiTheme="minorHAnsi" w:hAnsiTheme="minorHAnsi"/>
          <w:color w:val="000000" w:themeColor="text1"/>
          <w:szCs w:val="22"/>
        </w:rPr>
        <w:t>operations</w:t>
      </w:r>
    </w:p>
    <w:p w14:paraId="72FABFA2" w14:textId="2C847C06" w:rsidR="008D6402" w:rsidRDefault="008D6402" w:rsidP="007C2BD3">
      <w:pPr>
        <w:pStyle w:val="BodyText"/>
        <w:numPr>
          <w:ilvl w:val="0"/>
          <w:numId w:val="5"/>
        </w:numPr>
        <w:spacing w:after="120"/>
        <w:ind w:left="360"/>
        <w:rPr>
          <w:rFonts w:asciiTheme="minorHAnsi" w:hAnsiTheme="minorHAnsi"/>
          <w:color w:val="000000" w:themeColor="text1"/>
          <w:szCs w:val="22"/>
        </w:rPr>
      </w:pPr>
      <w:r w:rsidRPr="00597BAB">
        <w:rPr>
          <w:rFonts w:asciiTheme="minorHAnsi" w:hAnsiTheme="minorHAnsi"/>
          <w:color w:val="000000" w:themeColor="text1"/>
          <w:szCs w:val="22"/>
        </w:rPr>
        <w:t xml:space="preserve">International </w:t>
      </w:r>
      <w:r w:rsidR="00127CC3">
        <w:rPr>
          <w:rFonts w:asciiTheme="minorHAnsi" w:hAnsiTheme="minorHAnsi"/>
          <w:color w:val="000000" w:themeColor="text1"/>
          <w:szCs w:val="22"/>
        </w:rPr>
        <w:t xml:space="preserve">insurance </w:t>
      </w:r>
      <w:r w:rsidRPr="00597BAB">
        <w:rPr>
          <w:rFonts w:asciiTheme="minorHAnsi" w:hAnsiTheme="minorHAnsi"/>
          <w:color w:val="000000" w:themeColor="text1"/>
          <w:szCs w:val="22"/>
        </w:rPr>
        <w:t>operations</w:t>
      </w:r>
    </w:p>
    <w:p w14:paraId="472F5AC9" w14:textId="7196B17E" w:rsidR="00127CC3" w:rsidRPr="00597BAB" w:rsidRDefault="00127CC3" w:rsidP="007C2BD3">
      <w:pPr>
        <w:pStyle w:val="BodyText"/>
        <w:numPr>
          <w:ilvl w:val="0"/>
          <w:numId w:val="5"/>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Banking or other financial services </w:t>
      </w:r>
      <w:r w:rsidRPr="00597BAB">
        <w:rPr>
          <w:rFonts w:asciiTheme="minorHAnsi" w:hAnsiTheme="minorHAnsi"/>
          <w:color w:val="000000" w:themeColor="text1"/>
          <w:szCs w:val="22"/>
        </w:rPr>
        <w:t>operations</w:t>
      </w:r>
      <w:r w:rsidR="00F02A7C">
        <w:rPr>
          <w:rFonts w:asciiTheme="minorHAnsi" w:hAnsiTheme="minorHAnsi"/>
          <w:color w:val="000000" w:themeColor="text1"/>
          <w:szCs w:val="22"/>
        </w:rPr>
        <w:t xml:space="preserve"> subject to regulatory capital requirements</w:t>
      </w:r>
    </w:p>
    <w:p w14:paraId="2F50BB54" w14:textId="5B38C62E" w:rsidR="00127CC3" w:rsidRDefault="00F02A7C" w:rsidP="007C2BD3">
      <w:pPr>
        <w:pStyle w:val="BodyText"/>
        <w:numPr>
          <w:ilvl w:val="0"/>
          <w:numId w:val="5"/>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Financial and non-financial </w:t>
      </w:r>
      <w:r w:rsidR="00127CC3">
        <w:rPr>
          <w:rFonts w:asciiTheme="minorHAnsi" w:hAnsiTheme="minorHAnsi"/>
          <w:color w:val="000000" w:themeColor="text1"/>
          <w:szCs w:val="22"/>
        </w:rPr>
        <w:t>operations</w:t>
      </w:r>
      <w:r>
        <w:rPr>
          <w:rFonts w:asciiTheme="minorHAnsi" w:hAnsiTheme="minorHAnsi"/>
          <w:color w:val="000000" w:themeColor="text1"/>
          <w:szCs w:val="22"/>
        </w:rPr>
        <w:t xml:space="preserve"> not subject to regulatory capital requirements*</w:t>
      </w:r>
      <w:r w:rsidR="00D30328">
        <w:rPr>
          <w:rFonts w:asciiTheme="minorHAnsi" w:hAnsiTheme="minorHAnsi"/>
          <w:color w:val="000000" w:themeColor="text1"/>
          <w:szCs w:val="22"/>
        </w:rPr>
        <w:t xml:space="preserve"> </w:t>
      </w:r>
    </w:p>
    <w:p w14:paraId="4C7BA4BA" w14:textId="16E6F519" w:rsidR="00F02A7C" w:rsidRPr="00597BAB" w:rsidRDefault="00F02A7C" w:rsidP="000C2692">
      <w:pPr>
        <w:pStyle w:val="BodyText"/>
        <w:spacing w:after="120"/>
        <w:ind w:left="360"/>
        <w:rPr>
          <w:rFonts w:asciiTheme="minorHAnsi" w:hAnsiTheme="minorHAnsi"/>
          <w:color w:val="000000" w:themeColor="text1"/>
          <w:szCs w:val="22"/>
        </w:rPr>
      </w:pPr>
      <w:r>
        <w:rPr>
          <w:rFonts w:asciiTheme="minorHAnsi" w:hAnsiTheme="minorHAnsi"/>
          <w:color w:val="000000" w:themeColor="text1"/>
          <w:szCs w:val="22"/>
        </w:rPr>
        <w:t>*The GCC instructions provide examples of financial v</w:t>
      </w:r>
      <w:r w:rsidR="00AA79D7">
        <w:rPr>
          <w:rFonts w:asciiTheme="minorHAnsi" w:hAnsiTheme="minorHAnsi"/>
          <w:color w:val="000000" w:themeColor="text1"/>
          <w:szCs w:val="22"/>
        </w:rPr>
        <w:t>ersu</w:t>
      </w:r>
      <w:r>
        <w:rPr>
          <w:rFonts w:asciiTheme="minorHAnsi" w:hAnsiTheme="minorHAnsi"/>
          <w:color w:val="000000" w:themeColor="text1"/>
          <w:szCs w:val="22"/>
        </w:rPr>
        <w:t xml:space="preserve">s non-financial entities in this category. All financial entities should be included in the scope of application of the GCC. However, there can be a broad array of entities that could be considered financial. The lead-state should </w:t>
      </w:r>
      <w:r w:rsidR="00C22F6F">
        <w:rPr>
          <w:rFonts w:asciiTheme="minorHAnsi" w:hAnsiTheme="minorHAnsi"/>
          <w:color w:val="000000" w:themeColor="text1"/>
          <w:szCs w:val="22"/>
        </w:rPr>
        <w:t xml:space="preserve">document the </w:t>
      </w:r>
      <w:r>
        <w:rPr>
          <w:rFonts w:asciiTheme="minorHAnsi" w:hAnsiTheme="minorHAnsi"/>
          <w:color w:val="000000" w:themeColor="text1"/>
          <w:szCs w:val="22"/>
        </w:rPr>
        <w:t xml:space="preserve">rationale for cases </w:t>
      </w:r>
      <w:r w:rsidR="00AA79D7">
        <w:rPr>
          <w:rFonts w:asciiTheme="minorHAnsi" w:hAnsiTheme="minorHAnsi"/>
          <w:color w:val="000000" w:themeColor="text1"/>
          <w:szCs w:val="22"/>
        </w:rPr>
        <w:t>in which</w:t>
      </w:r>
      <w:r>
        <w:rPr>
          <w:rFonts w:asciiTheme="minorHAnsi" w:hAnsiTheme="minorHAnsi"/>
          <w:color w:val="000000" w:themeColor="text1"/>
          <w:szCs w:val="22"/>
        </w:rPr>
        <w:t xml:space="preserve"> it concludes that a “financial” entity should be excluded.</w:t>
      </w:r>
    </w:p>
    <w:p w14:paraId="41847368" w14:textId="29EABE52" w:rsidR="001C1DB8" w:rsidRDefault="00535C71" w:rsidP="00450FCC">
      <w:pPr>
        <w:pStyle w:val="BodyText"/>
        <w:rPr>
          <w:rFonts w:asciiTheme="minorHAnsi" w:hAnsiTheme="minorHAnsi"/>
          <w:color w:val="000000" w:themeColor="text1"/>
          <w:szCs w:val="22"/>
        </w:rPr>
      </w:pPr>
      <w:r>
        <w:rPr>
          <w:rFonts w:asciiTheme="minorHAnsi" w:hAnsiTheme="minorHAnsi"/>
          <w:color w:val="000000" w:themeColor="text1"/>
          <w:szCs w:val="22"/>
        </w:rPr>
        <w:t xml:space="preserve">While the GCC is intended to be used as an input into the GPS, </w:t>
      </w:r>
      <w:r w:rsidR="00450FCC">
        <w:rPr>
          <w:rFonts w:asciiTheme="minorHAnsi" w:hAnsiTheme="minorHAnsi"/>
          <w:color w:val="000000" w:themeColor="text1"/>
          <w:szCs w:val="22"/>
        </w:rPr>
        <w:t xml:space="preserve">where the expectation is that the GCC summary section is used to document a high-level summary of the analysts take away of the GCC, as well as the </w:t>
      </w:r>
      <w:r w:rsidR="00450FCC">
        <w:rPr>
          <w:rFonts w:asciiTheme="minorHAnsi" w:hAnsiTheme="minorHAnsi"/>
          <w:bCs/>
          <w:iCs/>
          <w:color w:val="000000" w:themeColor="text1"/>
        </w:rPr>
        <w:t>Strategic branded risk, since that is the area where capital measurement is reported. The</w:t>
      </w:r>
      <w:r>
        <w:rPr>
          <w:rFonts w:asciiTheme="minorHAnsi" w:hAnsiTheme="minorHAnsi"/>
          <w:color w:val="000000" w:themeColor="text1"/>
          <w:szCs w:val="22"/>
        </w:rPr>
        <w:t xml:space="preserve"> manner in which the analyst determines what </w:t>
      </w:r>
      <w:r w:rsidR="00450FCC">
        <w:rPr>
          <w:rFonts w:asciiTheme="minorHAnsi" w:hAnsiTheme="minorHAnsi"/>
          <w:color w:val="000000" w:themeColor="text1"/>
          <w:szCs w:val="22"/>
        </w:rPr>
        <w:t xml:space="preserve">else should be documented beyond the GCC Summary and the Strategic branded risk </w:t>
      </w:r>
      <w:r>
        <w:rPr>
          <w:rFonts w:asciiTheme="minorHAnsi" w:hAnsiTheme="minorHAnsi"/>
          <w:color w:val="000000" w:themeColor="text1"/>
          <w:szCs w:val="22"/>
        </w:rPr>
        <w:t xml:space="preserve">should be based upon the following steps, since these steps contemplate the previously mentioned concept that the existing evaluation of the financial condition should be used in evaluating the depth of review of the GCC. From a high level, the following steps suggest in </w:t>
      </w:r>
    </w:p>
    <w:p w14:paraId="5A685146" w14:textId="0DE8A60D" w:rsidR="001C1DB8" w:rsidRDefault="0044069B"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Procedure </w:t>
      </w:r>
      <w:r w:rsidR="00535C71">
        <w:rPr>
          <w:rFonts w:asciiTheme="minorHAnsi" w:hAnsiTheme="minorHAnsi"/>
          <w:color w:val="000000" w:themeColor="text1"/>
          <w:szCs w:val="22"/>
        </w:rPr>
        <w:t xml:space="preserve">Step </w:t>
      </w:r>
      <w:r>
        <w:rPr>
          <w:rFonts w:asciiTheme="minorHAnsi" w:hAnsiTheme="minorHAnsi"/>
          <w:color w:val="000000" w:themeColor="text1"/>
          <w:szCs w:val="22"/>
        </w:rPr>
        <w:t>1</w:t>
      </w:r>
      <w:r w:rsidR="001C1DB8">
        <w:rPr>
          <w:rFonts w:asciiTheme="minorHAnsi" w:hAnsiTheme="minorHAnsi"/>
          <w:color w:val="000000" w:themeColor="text1"/>
          <w:szCs w:val="22"/>
        </w:rPr>
        <w:t xml:space="preserve"> suggests</w:t>
      </w:r>
      <w:r w:rsidR="00535C71">
        <w:rPr>
          <w:rFonts w:asciiTheme="minorHAnsi" w:hAnsiTheme="minorHAnsi"/>
          <w:color w:val="000000" w:themeColor="text1"/>
          <w:szCs w:val="22"/>
        </w:rPr>
        <w:t xml:space="preserve"> that a review of the components of the GCC is appropriate when either the </w:t>
      </w:r>
      <w:r w:rsidR="00D70121">
        <w:rPr>
          <w:rFonts w:asciiTheme="minorHAnsi" w:hAnsiTheme="minorHAnsi"/>
          <w:color w:val="000000" w:themeColor="text1"/>
          <w:szCs w:val="22"/>
        </w:rPr>
        <w:t>GCC ratio</w:t>
      </w:r>
      <w:r w:rsidR="00535C71">
        <w:rPr>
          <w:rFonts w:asciiTheme="minorHAnsi" w:hAnsiTheme="minorHAnsi"/>
          <w:color w:val="000000" w:themeColor="text1"/>
          <w:szCs w:val="22"/>
        </w:rPr>
        <w:t xml:space="preserve"> is </w:t>
      </w:r>
      <w:r w:rsidR="002A723E">
        <w:rPr>
          <w:rFonts w:asciiTheme="minorHAnsi" w:hAnsiTheme="minorHAnsi"/>
          <w:color w:val="000000" w:themeColor="text1"/>
          <w:szCs w:val="22"/>
        </w:rPr>
        <w:t xml:space="preserve">trending downward or the </w:t>
      </w:r>
      <w:r w:rsidR="00D70121">
        <w:rPr>
          <w:rFonts w:asciiTheme="minorHAnsi" w:hAnsiTheme="minorHAnsi"/>
          <w:color w:val="000000" w:themeColor="text1"/>
          <w:szCs w:val="22"/>
        </w:rPr>
        <w:t>GCC ratio</w:t>
      </w:r>
      <w:r w:rsidR="002A723E">
        <w:rPr>
          <w:rFonts w:asciiTheme="minorHAnsi" w:hAnsiTheme="minorHAnsi"/>
          <w:color w:val="000000" w:themeColor="text1"/>
          <w:szCs w:val="22"/>
        </w:rPr>
        <w:t xml:space="preserve"> is </w:t>
      </w:r>
      <w:r w:rsidR="00535C71">
        <w:rPr>
          <w:rFonts w:asciiTheme="minorHAnsi" w:hAnsiTheme="minorHAnsi"/>
          <w:color w:val="000000" w:themeColor="text1"/>
          <w:szCs w:val="22"/>
        </w:rPr>
        <w:t xml:space="preserve">below </w:t>
      </w:r>
      <w:r w:rsidR="002A723E">
        <w:rPr>
          <w:rFonts w:asciiTheme="minorHAnsi" w:hAnsiTheme="minorHAnsi"/>
          <w:color w:val="000000" w:themeColor="text1"/>
          <w:szCs w:val="22"/>
        </w:rPr>
        <w:t>a predefined suggested threshold of 1</w:t>
      </w:r>
      <w:r w:rsidR="00152754">
        <w:rPr>
          <w:rFonts w:asciiTheme="minorHAnsi" w:hAnsiTheme="minorHAnsi"/>
          <w:color w:val="000000" w:themeColor="text1"/>
          <w:szCs w:val="22"/>
        </w:rPr>
        <w:t>50</w:t>
      </w:r>
      <w:r w:rsidR="002A723E">
        <w:rPr>
          <w:rFonts w:asciiTheme="minorHAnsi" w:hAnsiTheme="minorHAnsi"/>
          <w:color w:val="000000" w:themeColor="text1"/>
          <w:szCs w:val="22"/>
        </w:rPr>
        <w:t>% (equivalent to an RBC of 3</w:t>
      </w:r>
      <w:r w:rsidR="00152754">
        <w:rPr>
          <w:rFonts w:asciiTheme="minorHAnsi" w:hAnsiTheme="minorHAnsi"/>
          <w:color w:val="000000" w:themeColor="text1"/>
          <w:szCs w:val="22"/>
        </w:rPr>
        <w:t>0</w:t>
      </w:r>
      <w:r w:rsidR="002A723E">
        <w:rPr>
          <w:rFonts w:asciiTheme="minorHAnsi" w:hAnsiTheme="minorHAnsi"/>
          <w:color w:val="000000" w:themeColor="text1"/>
          <w:szCs w:val="22"/>
        </w:rPr>
        <w:t>0% since that is the same threshold use</w:t>
      </w:r>
      <w:r w:rsidR="00F40D27">
        <w:rPr>
          <w:rFonts w:asciiTheme="minorHAnsi" w:hAnsiTheme="minorHAnsi"/>
          <w:color w:val="000000" w:themeColor="text1"/>
          <w:szCs w:val="22"/>
        </w:rPr>
        <w:t>d</w:t>
      </w:r>
      <w:r w:rsidR="002A723E">
        <w:rPr>
          <w:rFonts w:asciiTheme="minorHAnsi" w:hAnsiTheme="minorHAnsi"/>
          <w:color w:val="000000" w:themeColor="text1"/>
          <w:szCs w:val="22"/>
        </w:rPr>
        <w:t xml:space="preserve"> in the </w:t>
      </w:r>
      <w:r w:rsidR="00837BFA">
        <w:rPr>
          <w:rFonts w:asciiTheme="minorHAnsi" w:hAnsiTheme="minorHAnsi"/>
          <w:color w:val="000000" w:themeColor="text1"/>
          <w:szCs w:val="22"/>
        </w:rPr>
        <w:t>sensitivity analysis in the GCC Template</w:t>
      </w:r>
      <w:r w:rsidR="002A723E">
        <w:rPr>
          <w:rFonts w:asciiTheme="minorHAnsi" w:hAnsiTheme="minorHAnsi"/>
          <w:color w:val="000000" w:themeColor="text1"/>
          <w:szCs w:val="22"/>
        </w:rPr>
        <w:t xml:space="preserve">. </w:t>
      </w:r>
    </w:p>
    <w:p w14:paraId="57DA6E08" w14:textId="181CA3B7" w:rsidR="001C1DB8" w:rsidRDefault="0044069B"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lastRenderedPageBreak/>
        <w:t xml:space="preserve">Procedure </w:t>
      </w:r>
      <w:r w:rsidR="002A723E">
        <w:rPr>
          <w:rFonts w:asciiTheme="minorHAnsi" w:hAnsiTheme="minorHAnsi"/>
          <w:color w:val="000000" w:themeColor="text1"/>
          <w:szCs w:val="22"/>
        </w:rPr>
        <w:t xml:space="preserve">Step </w:t>
      </w:r>
      <w:r>
        <w:rPr>
          <w:rFonts w:asciiTheme="minorHAnsi" w:hAnsiTheme="minorHAnsi"/>
          <w:color w:val="000000" w:themeColor="text1"/>
          <w:szCs w:val="22"/>
        </w:rPr>
        <w:t>2</w:t>
      </w:r>
      <w:r w:rsidR="002A723E">
        <w:rPr>
          <w:rFonts w:asciiTheme="minorHAnsi" w:hAnsiTheme="minorHAnsi"/>
          <w:color w:val="000000" w:themeColor="text1"/>
          <w:szCs w:val="22"/>
        </w:rPr>
        <w:t xml:space="preserve"> suggests </w:t>
      </w:r>
      <w:r w:rsidR="001B3335">
        <w:rPr>
          <w:rFonts w:asciiTheme="minorHAnsi" w:hAnsiTheme="minorHAnsi"/>
          <w:color w:val="000000" w:themeColor="text1"/>
          <w:szCs w:val="22"/>
        </w:rPr>
        <w:t xml:space="preserve">from a high level </w:t>
      </w:r>
      <w:r w:rsidR="002A723E">
        <w:rPr>
          <w:rFonts w:asciiTheme="minorHAnsi" w:hAnsiTheme="minorHAnsi"/>
          <w:color w:val="000000" w:themeColor="text1"/>
          <w:szCs w:val="22"/>
        </w:rPr>
        <w:t xml:space="preserve">determining the drivers of any decreases in the total available capital in the GCC. While there are numerous benefits of the GCC over consolidated approaches, </w:t>
      </w:r>
      <w:r w:rsidR="001E4BBC">
        <w:rPr>
          <w:rFonts w:asciiTheme="minorHAnsi" w:hAnsiTheme="minorHAnsi"/>
          <w:color w:val="000000" w:themeColor="text1"/>
          <w:szCs w:val="22"/>
        </w:rPr>
        <w:t>the ability to drill down on the drivers is one of the more significant and is consistent with the states approach to not just looking at capital, but to</w:t>
      </w:r>
      <w:r w:rsidR="001B3335">
        <w:rPr>
          <w:rFonts w:asciiTheme="minorHAnsi" w:hAnsiTheme="minorHAnsi"/>
          <w:color w:val="000000" w:themeColor="text1"/>
          <w:szCs w:val="22"/>
        </w:rPr>
        <w:t xml:space="preserve"> the</w:t>
      </w:r>
      <w:r w:rsidR="001E4BBC">
        <w:rPr>
          <w:rFonts w:asciiTheme="minorHAnsi" w:hAnsiTheme="minorHAnsi"/>
          <w:color w:val="000000" w:themeColor="text1"/>
          <w:szCs w:val="22"/>
        </w:rPr>
        <w:t xml:space="preserve"> drivers of capital issues. </w:t>
      </w:r>
    </w:p>
    <w:p w14:paraId="56269B05" w14:textId="1DC16CD6" w:rsidR="001C1DB8" w:rsidRDefault="0044069B"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Procedure </w:t>
      </w:r>
      <w:r w:rsidR="001E4BBC">
        <w:rPr>
          <w:rFonts w:asciiTheme="minorHAnsi" w:hAnsiTheme="minorHAnsi"/>
          <w:color w:val="000000" w:themeColor="text1"/>
          <w:szCs w:val="22"/>
        </w:rPr>
        <w:t xml:space="preserve">Step </w:t>
      </w:r>
      <w:r>
        <w:rPr>
          <w:rFonts w:asciiTheme="minorHAnsi" w:hAnsiTheme="minorHAnsi"/>
          <w:color w:val="000000" w:themeColor="text1"/>
          <w:szCs w:val="22"/>
        </w:rPr>
        <w:t>3</w:t>
      </w:r>
      <w:r w:rsidR="001E4BBC">
        <w:rPr>
          <w:rFonts w:asciiTheme="minorHAnsi" w:hAnsiTheme="minorHAnsi"/>
          <w:color w:val="000000" w:themeColor="text1"/>
          <w:szCs w:val="22"/>
        </w:rPr>
        <w:t xml:space="preserve"> suggests </w:t>
      </w:r>
      <w:r w:rsidR="001B3335">
        <w:rPr>
          <w:rFonts w:asciiTheme="minorHAnsi" w:hAnsiTheme="minorHAnsi"/>
          <w:color w:val="000000" w:themeColor="text1"/>
          <w:szCs w:val="22"/>
        </w:rPr>
        <w:t xml:space="preserve">from a high level </w:t>
      </w:r>
      <w:r w:rsidR="001E4BBC">
        <w:rPr>
          <w:rFonts w:asciiTheme="minorHAnsi" w:hAnsiTheme="minorHAnsi"/>
          <w:color w:val="000000" w:themeColor="text1"/>
          <w:szCs w:val="22"/>
        </w:rPr>
        <w:t>determining the driver of any increases in operating leverage, which is typically what drives insurance capital requirements up, be it asset risk/leverage or writings leverage.</w:t>
      </w:r>
      <w:r w:rsidR="00DB5B9D">
        <w:rPr>
          <w:rFonts w:asciiTheme="minorHAnsi" w:hAnsiTheme="minorHAnsi"/>
          <w:color w:val="000000" w:themeColor="text1"/>
          <w:szCs w:val="22"/>
        </w:rPr>
        <w:t xml:space="preserve"> Similar to drivers of capital decreases, the GCC has detailed information on financial figures and ratios that can be used to isolate the issues. </w:t>
      </w:r>
    </w:p>
    <w:p w14:paraId="41681A37" w14:textId="495FB280" w:rsidR="001C1DB8" w:rsidRDefault="0044069B"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Procedure </w:t>
      </w:r>
      <w:r w:rsidR="00DB5B9D">
        <w:rPr>
          <w:rFonts w:asciiTheme="minorHAnsi" w:hAnsiTheme="minorHAnsi"/>
          <w:color w:val="000000" w:themeColor="text1"/>
          <w:szCs w:val="22"/>
        </w:rPr>
        <w:t xml:space="preserve">Step </w:t>
      </w:r>
      <w:r>
        <w:rPr>
          <w:rFonts w:asciiTheme="minorHAnsi" w:hAnsiTheme="minorHAnsi"/>
          <w:color w:val="000000" w:themeColor="text1"/>
          <w:szCs w:val="22"/>
        </w:rPr>
        <w:t>4</w:t>
      </w:r>
      <w:r w:rsidR="00DB5B9D">
        <w:rPr>
          <w:rFonts w:asciiTheme="minorHAnsi" w:hAnsiTheme="minorHAnsi"/>
          <w:color w:val="000000" w:themeColor="text1"/>
          <w:szCs w:val="22"/>
        </w:rPr>
        <w:t xml:space="preserve"> is similar in that it too utilizes detailed information on capital allocation patterns that are necessary to understand if there are negative trends in the GCC since these can become important if there </w:t>
      </w:r>
      <w:r w:rsidR="001B3335">
        <w:rPr>
          <w:rFonts w:asciiTheme="minorHAnsi" w:hAnsiTheme="minorHAnsi"/>
          <w:color w:val="000000" w:themeColor="text1"/>
          <w:szCs w:val="22"/>
        </w:rPr>
        <w:t>are</w:t>
      </w:r>
      <w:r w:rsidR="00DB5B9D">
        <w:rPr>
          <w:rFonts w:asciiTheme="minorHAnsi" w:hAnsiTheme="minorHAnsi"/>
          <w:color w:val="000000" w:themeColor="text1"/>
          <w:szCs w:val="22"/>
        </w:rPr>
        <w:t xml:space="preserve"> any issues that might require further distribution of capital across the entities. </w:t>
      </w:r>
    </w:p>
    <w:p w14:paraId="7612620D" w14:textId="09E57D72" w:rsidR="0044069B" w:rsidRDefault="0044069B"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Procedure </w:t>
      </w:r>
      <w:r w:rsidR="003B2A4F">
        <w:rPr>
          <w:rFonts w:asciiTheme="minorHAnsi" w:hAnsiTheme="minorHAnsi"/>
          <w:color w:val="000000" w:themeColor="text1"/>
          <w:szCs w:val="22"/>
        </w:rPr>
        <w:t xml:space="preserve">Steps </w:t>
      </w:r>
      <w:r>
        <w:rPr>
          <w:rFonts w:asciiTheme="minorHAnsi" w:hAnsiTheme="minorHAnsi"/>
          <w:color w:val="000000" w:themeColor="text1"/>
          <w:szCs w:val="22"/>
        </w:rPr>
        <w:t>5:</w:t>
      </w:r>
      <w:r w:rsidR="003B2A4F">
        <w:rPr>
          <w:rFonts w:asciiTheme="minorHAnsi" w:hAnsiTheme="minorHAnsi"/>
          <w:color w:val="000000" w:themeColor="text1"/>
          <w:szCs w:val="22"/>
        </w:rPr>
        <w:t xml:space="preserve"> </w:t>
      </w:r>
      <w:r w:rsidR="001C1DB8">
        <w:rPr>
          <w:rFonts w:asciiTheme="minorHAnsi" w:hAnsiTheme="minorHAnsi"/>
          <w:color w:val="000000" w:themeColor="text1"/>
          <w:szCs w:val="22"/>
        </w:rPr>
        <w:t xml:space="preserve">Depending upon the analysis performed in Steps </w:t>
      </w:r>
      <w:r w:rsidR="001B3335">
        <w:rPr>
          <w:rFonts w:asciiTheme="minorHAnsi" w:hAnsiTheme="minorHAnsi"/>
          <w:color w:val="000000" w:themeColor="text1"/>
          <w:szCs w:val="22"/>
        </w:rPr>
        <w:t>1-4</w:t>
      </w:r>
      <w:r w:rsidR="001C1DB8">
        <w:rPr>
          <w:rFonts w:asciiTheme="minorHAnsi" w:hAnsiTheme="minorHAnsi"/>
          <w:color w:val="000000" w:themeColor="text1"/>
          <w:szCs w:val="22"/>
        </w:rPr>
        <w:t>, similar to legal entity analysis, there is likely a need to determine what steps the company is taking or plans to take to address the issues seen in the analysis of the GCC</w:t>
      </w:r>
      <w:r>
        <w:rPr>
          <w:rFonts w:asciiTheme="minorHAnsi" w:hAnsiTheme="minorHAnsi"/>
          <w:color w:val="000000" w:themeColor="text1"/>
          <w:szCs w:val="22"/>
        </w:rPr>
        <w:t>.</w:t>
      </w:r>
      <w:r w:rsidR="001C1DB8">
        <w:rPr>
          <w:rFonts w:asciiTheme="minorHAnsi" w:hAnsiTheme="minorHAnsi"/>
          <w:color w:val="000000" w:themeColor="text1"/>
          <w:szCs w:val="22"/>
        </w:rPr>
        <w:t xml:space="preserve"> </w:t>
      </w:r>
      <w:r w:rsidR="003B2A4F">
        <w:rPr>
          <w:rFonts w:asciiTheme="minorHAnsi" w:hAnsiTheme="minorHAnsi"/>
          <w:color w:val="000000" w:themeColor="text1"/>
          <w:szCs w:val="22"/>
        </w:rPr>
        <w:t xml:space="preserve">The guidance provided in </w:t>
      </w:r>
      <w:r w:rsidR="00B41F04">
        <w:rPr>
          <w:rFonts w:asciiTheme="minorHAnsi" w:hAnsiTheme="minorHAnsi"/>
          <w:color w:val="000000" w:themeColor="text1"/>
          <w:szCs w:val="22"/>
        </w:rPr>
        <w:t>these procedures</w:t>
      </w:r>
      <w:r w:rsidR="001B3335">
        <w:rPr>
          <w:rFonts w:asciiTheme="minorHAnsi" w:hAnsiTheme="minorHAnsi"/>
          <w:color w:val="000000" w:themeColor="text1"/>
          <w:szCs w:val="22"/>
        </w:rPr>
        <w:t xml:space="preserve"> </w:t>
      </w:r>
      <w:r w:rsidR="003B2A4F">
        <w:rPr>
          <w:rFonts w:asciiTheme="minorHAnsi" w:hAnsiTheme="minorHAnsi"/>
          <w:color w:val="000000" w:themeColor="text1"/>
          <w:szCs w:val="22"/>
        </w:rPr>
        <w:t xml:space="preserve">is not intended to be exhaustive, but rather should give the analyst a starting point in better evaluating the various issues. </w:t>
      </w:r>
    </w:p>
    <w:p w14:paraId="440A3E8E" w14:textId="1344DFAE" w:rsidR="00590173" w:rsidRDefault="00590173"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If the analyst determines after completing any of the above procedures (steps), that no further work is deemed necessary to fully document the material risks of the group observable from the GCC (as well as the required information to be included in all GPS from the GCC), this should be documented by the analyst in any workpapers deemed appropriate by the state and </w:t>
      </w:r>
      <w:r w:rsidR="00976AE9">
        <w:rPr>
          <w:rFonts w:asciiTheme="minorHAnsi" w:hAnsiTheme="minorHAnsi"/>
          <w:color w:val="000000" w:themeColor="text1"/>
          <w:szCs w:val="22"/>
        </w:rPr>
        <w:t xml:space="preserve">include </w:t>
      </w:r>
      <w:r>
        <w:rPr>
          <w:rFonts w:asciiTheme="minorHAnsi" w:hAnsiTheme="minorHAnsi"/>
          <w:color w:val="000000" w:themeColor="text1"/>
          <w:szCs w:val="22"/>
        </w:rPr>
        <w:t xml:space="preserve">the general </w:t>
      </w:r>
      <w:proofErr w:type="gramStart"/>
      <w:r>
        <w:rPr>
          <w:rFonts w:asciiTheme="minorHAnsi" w:hAnsiTheme="minorHAnsi"/>
          <w:color w:val="000000" w:themeColor="text1"/>
          <w:szCs w:val="22"/>
        </w:rPr>
        <w:t>reason</w:t>
      </w:r>
      <w:proofErr w:type="gramEnd"/>
      <w:r>
        <w:rPr>
          <w:rFonts w:asciiTheme="minorHAnsi" w:hAnsiTheme="minorHAnsi"/>
          <w:color w:val="000000" w:themeColor="text1"/>
          <w:szCs w:val="22"/>
        </w:rPr>
        <w:t xml:space="preserve"> therefore. In making this determination, it should be reiterated these procedures are not intended to be used </w:t>
      </w:r>
      <w:r w:rsidR="00DB3F36">
        <w:rPr>
          <w:rFonts w:asciiTheme="minorHAnsi" w:hAnsiTheme="minorHAnsi"/>
          <w:color w:val="000000" w:themeColor="text1"/>
          <w:szCs w:val="22"/>
        </w:rPr>
        <w:t xml:space="preserve">in a checklist manner and judgement based upon existing information on the group obtained from the Form F, ORSA, or any other source is certainly part of that judgement decision. </w:t>
      </w:r>
    </w:p>
    <w:p w14:paraId="4D61F381" w14:textId="3D806A2D" w:rsidR="0030520B" w:rsidRDefault="0030520B" w:rsidP="00670CFB">
      <w:pPr>
        <w:pStyle w:val="Heading2"/>
        <w:pBdr>
          <w:bottom w:val="single" w:sz="4" w:space="1" w:color="auto"/>
        </w:pBdr>
        <w:spacing w:after="120"/>
        <w:rPr>
          <w:rFonts w:asciiTheme="minorHAnsi" w:hAnsiTheme="minorHAnsi"/>
          <w:color w:val="000000" w:themeColor="text1"/>
          <w:sz w:val="28"/>
          <w:szCs w:val="28"/>
        </w:rPr>
      </w:pPr>
    </w:p>
    <w:p w14:paraId="027627E7" w14:textId="77777777" w:rsidR="00590173" w:rsidRPr="00590173" w:rsidRDefault="00590173" w:rsidP="00590173"/>
    <w:p w14:paraId="0965799A" w14:textId="24600750" w:rsidR="00670CFB" w:rsidRPr="00597BAB" w:rsidRDefault="0044069B" w:rsidP="00670CFB">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Procedure Step 1</w:t>
      </w:r>
      <w:r w:rsidR="00C34E61">
        <w:rPr>
          <w:rFonts w:asciiTheme="minorHAnsi" w:hAnsiTheme="minorHAnsi"/>
          <w:color w:val="000000" w:themeColor="text1"/>
          <w:sz w:val="28"/>
          <w:szCs w:val="28"/>
        </w:rPr>
        <w:t>-</w:t>
      </w:r>
      <w:r w:rsidR="00670CFB">
        <w:rPr>
          <w:rFonts w:asciiTheme="minorHAnsi" w:hAnsiTheme="minorHAnsi"/>
          <w:color w:val="000000" w:themeColor="text1"/>
          <w:sz w:val="28"/>
          <w:szCs w:val="28"/>
        </w:rPr>
        <w:t>Evaluate the Adequacy of Group Capital</w:t>
      </w:r>
      <w:r w:rsidR="00670CFB" w:rsidRPr="00597BAB">
        <w:rPr>
          <w:rFonts w:asciiTheme="minorHAnsi" w:hAnsiTheme="minorHAnsi"/>
          <w:color w:val="000000" w:themeColor="text1"/>
          <w:sz w:val="28"/>
          <w:szCs w:val="28"/>
        </w:rPr>
        <w:t xml:space="preserve"> </w:t>
      </w:r>
    </w:p>
    <w:p w14:paraId="3CCDFB07" w14:textId="313709B4" w:rsidR="008D4AE8" w:rsidRDefault="008401B5" w:rsidP="007C2BD3">
      <w:pPr>
        <w:pStyle w:val="BodyTextIndent3"/>
        <w:keepNext/>
        <w:numPr>
          <w:ilvl w:val="0"/>
          <w:numId w:val="13"/>
        </w:numPr>
        <w:spacing w:after="120"/>
        <w:jc w:val="both"/>
        <w:rPr>
          <w:rFonts w:ascii="Calibri" w:hAnsi="Calibri"/>
          <w:b/>
          <w:color w:val="000000" w:themeColor="text1"/>
        </w:rPr>
      </w:pPr>
      <w:r>
        <w:rPr>
          <w:rFonts w:ascii="Calibri" w:hAnsi="Calibri"/>
          <w:b/>
          <w:color w:val="000000" w:themeColor="text1"/>
        </w:rPr>
        <w:t xml:space="preserve">Determine if the group capital position presents a risk to the group and its insurance subsidiaries based upon its recent trends and/or current measures in the </w:t>
      </w:r>
      <w:r w:rsidR="00D70121">
        <w:rPr>
          <w:rFonts w:ascii="Calibri" w:hAnsi="Calibri"/>
          <w:b/>
          <w:color w:val="000000" w:themeColor="text1"/>
        </w:rPr>
        <w:t>GCC ratio</w:t>
      </w:r>
      <w:r>
        <w:rPr>
          <w:rFonts w:ascii="Calibri" w:hAnsi="Calibri"/>
          <w:b/>
          <w:color w:val="000000" w:themeColor="text1"/>
        </w:rPr>
        <w:t xml:space="preserve">. </w:t>
      </w:r>
    </w:p>
    <w:tbl>
      <w:tblPr>
        <w:tblStyle w:val="TableGrid"/>
        <w:tblW w:w="9067" w:type="dxa"/>
        <w:tblInd w:w="108" w:type="dxa"/>
        <w:tblLayout w:type="fixed"/>
        <w:tblLook w:val="04A0" w:firstRow="1" w:lastRow="0" w:firstColumn="1" w:lastColumn="0" w:noHBand="0" w:noVBand="1"/>
      </w:tblPr>
      <w:tblGrid>
        <w:gridCol w:w="6547"/>
        <w:gridCol w:w="1080"/>
        <w:gridCol w:w="1440"/>
      </w:tblGrid>
      <w:tr w:rsidR="001B3335" w:rsidRPr="008A4213" w14:paraId="433B69F7" w14:textId="77777777" w:rsidTr="001B3335">
        <w:tc>
          <w:tcPr>
            <w:tcW w:w="6547" w:type="dxa"/>
            <w:tcBorders>
              <w:top w:val="single" w:sz="4" w:space="0" w:color="auto"/>
              <w:left w:val="single" w:sz="4" w:space="0" w:color="auto"/>
            </w:tcBorders>
            <w:shd w:val="clear" w:color="auto" w:fill="D9D9D9" w:themeFill="background1" w:themeFillShade="D9"/>
          </w:tcPr>
          <w:p w14:paraId="45241B9A" w14:textId="77777777" w:rsidR="001B3335" w:rsidRPr="008A4213" w:rsidRDefault="001B3335" w:rsidP="00723BAC">
            <w:pPr>
              <w:spacing w:after="120"/>
              <w:jc w:val="both"/>
              <w:rPr>
                <w:rFonts w:ascii="Calibri" w:hAnsi="Calibri"/>
                <w:i/>
                <w:color w:val="000000" w:themeColor="text1"/>
                <w:sz w:val="22"/>
                <w:szCs w:val="22"/>
              </w:rPr>
            </w:pPr>
          </w:p>
        </w:tc>
        <w:tc>
          <w:tcPr>
            <w:tcW w:w="1080" w:type="dxa"/>
            <w:shd w:val="clear" w:color="auto" w:fill="D9D9D9" w:themeFill="background1" w:themeFillShade="D9"/>
          </w:tcPr>
          <w:p w14:paraId="3FA7A782" w14:textId="1305558B" w:rsidR="00F12B6A" w:rsidRDefault="00F12B6A" w:rsidP="00723BAC">
            <w:pPr>
              <w:spacing w:after="120"/>
              <w:jc w:val="center"/>
              <w:rPr>
                <w:rFonts w:ascii="Calibri" w:hAnsi="Calibri"/>
                <w:i/>
                <w:color w:val="000000" w:themeColor="text1"/>
                <w:sz w:val="22"/>
                <w:szCs w:val="22"/>
              </w:rPr>
            </w:pPr>
          </w:p>
          <w:p w14:paraId="2A1A3758" w14:textId="3FD09317" w:rsidR="001B3335" w:rsidRPr="008A4213" w:rsidRDefault="00F12B6A" w:rsidP="00723BAC">
            <w:pPr>
              <w:spacing w:after="120"/>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1440" w:type="dxa"/>
            <w:shd w:val="clear" w:color="auto" w:fill="D9D9D9" w:themeFill="background1" w:themeFillShade="D9"/>
          </w:tcPr>
          <w:p w14:paraId="4ACA0555" w14:textId="5415D79E" w:rsidR="001B3335" w:rsidRPr="008A4213" w:rsidRDefault="001B3335" w:rsidP="00723BAC">
            <w:pPr>
              <w:spacing w:after="120"/>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F12B6A" w:rsidRPr="008A4213" w14:paraId="2EDDB3D2" w14:textId="77777777" w:rsidTr="001B3335">
        <w:tc>
          <w:tcPr>
            <w:tcW w:w="6547" w:type="dxa"/>
            <w:tcBorders>
              <w:top w:val="single" w:sz="4" w:space="0" w:color="auto"/>
              <w:left w:val="single" w:sz="4" w:space="0" w:color="auto"/>
            </w:tcBorders>
            <w:shd w:val="clear" w:color="auto" w:fill="D9D9D9" w:themeFill="background1" w:themeFillShade="D9"/>
          </w:tcPr>
          <w:p w14:paraId="4FDAA14E" w14:textId="277C1516" w:rsidR="00F12B6A" w:rsidRPr="00F12B6A" w:rsidRDefault="00F12B6A" w:rsidP="007C2BD3">
            <w:pPr>
              <w:pStyle w:val="ListParagraph"/>
              <w:numPr>
                <w:ilvl w:val="0"/>
                <w:numId w:val="14"/>
              </w:numPr>
              <w:spacing w:after="120"/>
              <w:ind w:left="404"/>
              <w:jc w:val="both"/>
              <w:rPr>
                <w:i/>
                <w:color w:val="000000" w:themeColor="text1"/>
              </w:rPr>
            </w:pPr>
            <w:r w:rsidRPr="00F12B6A">
              <w:rPr>
                <w:color w:val="000000" w:themeColor="text1"/>
              </w:rPr>
              <w:t>Is the GCC &lt;15</w:t>
            </w:r>
            <w:r w:rsidR="000A6E66">
              <w:rPr>
                <w:color w:val="000000" w:themeColor="text1"/>
              </w:rPr>
              <w:t>0</w:t>
            </w:r>
            <w:r w:rsidRPr="00F12B6A">
              <w:rPr>
                <w:color w:val="000000" w:themeColor="text1"/>
              </w:rPr>
              <w:t>%?  If “yes”, determine the most significant risk factors causing the result.</w:t>
            </w:r>
          </w:p>
        </w:tc>
        <w:tc>
          <w:tcPr>
            <w:tcW w:w="1080" w:type="dxa"/>
            <w:shd w:val="clear" w:color="auto" w:fill="D9D9D9" w:themeFill="background1" w:themeFillShade="D9"/>
          </w:tcPr>
          <w:p w14:paraId="116B0E4C" w14:textId="1A90CA46" w:rsidR="00F12B6A" w:rsidRPr="008A4213" w:rsidDel="00F12B6A" w:rsidRDefault="00F12B6A" w:rsidP="00F12B6A">
            <w:pPr>
              <w:spacing w:after="120"/>
              <w:jc w:val="center"/>
              <w:rPr>
                <w:rFonts w:ascii="Calibri" w:hAnsi="Calibri"/>
                <w:i/>
                <w:color w:val="000000" w:themeColor="text1"/>
                <w:sz w:val="22"/>
                <w:szCs w:val="22"/>
              </w:rPr>
            </w:pPr>
            <w:r>
              <w:rPr>
                <w:rFonts w:ascii="Calibri" w:hAnsi="Calibri"/>
                <w:color w:val="000000" w:themeColor="text1"/>
                <w:sz w:val="22"/>
                <w:szCs w:val="22"/>
              </w:rPr>
              <w:t>ST</w:t>
            </w:r>
          </w:p>
        </w:tc>
        <w:tc>
          <w:tcPr>
            <w:tcW w:w="1440" w:type="dxa"/>
            <w:shd w:val="clear" w:color="auto" w:fill="D9D9D9" w:themeFill="background1" w:themeFillShade="D9"/>
          </w:tcPr>
          <w:p w14:paraId="53102EBC" w14:textId="5E41A689" w:rsidR="00F12B6A" w:rsidRPr="008A4213" w:rsidRDefault="00F12B6A" w:rsidP="00F12B6A">
            <w:pPr>
              <w:spacing w:after="120"/>
              <w:jc w:val="center"/>
              <w:rPr>
                <w:rFonts w:ascii="Calibri" w:hAnsi="Calibri"/>
                <w:i/>
                <w:color w:val="000000" w:themeColor="text1"/>
                <w:sz w:val="22"/>
                <w:szCs w:val="22"/>
              </w:rPr>
            </w:pPr>
            <w:r>
              <w:rPr>
                <w:rFonts w:ascii="Calibri" w:hAnsi="Calibri"/>
                <w:color w:val="000000" w:themeColor="text1"/>
                <w:sz w:val="22"/>
                <w:szCs w:val="22"/>
              </w:rPr>
              <w:t>&lt;1</w:t>
            </w:r>
            <w:r w:rsidR="000A6E66">
              <w:rPr>
                <w:rFonts w:ascii="Calibri" w:hAnsi="Calibri"/>
                <w:color w:val="000000" w:themeColor="text1"/>
                <w:sz w:val="22"/>
                <w:szCs w:val="22"/>
              </w:rPr>
              <w:t>50</w:t>
            </w:r>
            <w:r>
              <w:rPr>
                <w:rFonts w:ascii="Calibri" w:hAnsi="Calibri"/>
                <w:color w:val="000000" w:themeColor="text1"/>
                <w:sz w:val="22"/>
                <w:szCs w:val="22"/>
              </w:rPr>
              <w:t>%</w:t>
            </w:r>
          </w:p>
        </w:tc>
      </w:tr>
      <w:tr w:rsidR="00F12B6A" w:rsidRPr="008A4213" w14:paraId="68BB33CD" w14:textId="77777777" w:rsidTr="001B3335">
        <w:tc>
          <w:tcPr>
            <w:tcW w:w="6547" w:type="dxa"/>
            <w:shd w:val="clear" w:color="auto" w:fill="auto"/>
          </w:tcPr>
          <w:p w14:paraId="36EB03F6" w14:textId="179EC2CB" w:rsidR="00F12B6A" w:rsidRPr="003B6680" w:rsidRDefault="00F12B6A" w:rsidP="003B6680">
            <w:pPr>
              <w:pStyle w:val="ListParagraph"/>
              <w:numPr>
                <w:ilvl w:val="0"/>
                <w:numId w:val="14"/>
              </w:numPr>
              <w:spacing w:after="120"/>
              <w:jc w:val="both"/>
              <w:rPr>
                <w:color w:val="000000" w:themeColor="text1"/>
              </w:rPr>
            </w:pPr>
            <w:r w:rsidRPr="003B6680">
              <w:rPr>
                <w:color w:val="000000" w:themeColor="text1"/>
              </w:rPr>
              <w:t xml:space="preserve">Has there been </w:t>
            </w:r>
            <w:r w:rsidR="00B41F04" w:rsidRPr="003B6680">
              <w:rPr>
                <w:color w:val="000000" w:themeColor="text1"/>
              </w:rPr>
              <w:t>a decrease</w:t>
            </w:r>
            <w:r w:rsidRPr="003B6680">
              <w:rPr>
                <w:color w:val="000000" w:themeColor="text1"/>
              </w:rPr>
              <w:t xml:space="preserve"> in the GCC ratio over last two years? If “yes”, determine the cause(s) of the decline.</w:t>
            </w:r>
          </w:p>
        </w:tc>
        <w:tc>
          <w:tcPr>
            <w:tcW w:w="1080" w:type="dxa"/>
            <w:shd w:val="clear" w:color="auto" w:fill="auto"/>
          </w:tcPr>
          <w:p w14:paraId="3BBFCB05" w14:textId="4EF9EBA8" w:rsidR="00F12B6A" w:rsidRPr="008A4213" w:rsidRDefault="00F12B6A" w:rsidP="00F12B6A">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1440" w:type="dxa"/>
            <w:shd w:val="clear" w:color="auto" w:fill="auto"/>
          </w:tcPr>
          <w:p w14:paraId="47DC47CC" w14:textId="1CD125B9" w:rsidR="00F12B6A" w:rsidRDefault="00F12B6A" w:rsidP="00F12B6A">
            <w:pPr>
              <w:spacing w:after="120"/>
              <w:jc w:val="center"/>
              <w:rPr>
                <w:rFonts w:ascii="Calibri" w:hAnsi="Calibri"/>
                <w:color w:val="000000" w:themeColor="text1"/>
                <w:sz w:val="22"/>
                <w:szCs w:val="22"/>
              </w:rPr>
            </w:pPr>
            <w:r w:rsidRPr="008A4213">
              <w:rPr>
                <w:rFonts w:ascii="Calibri" w:hAnsi="Calibri"/>
                <w:color w:val="000000" w:themeColor="text1"/>
                <w:sz w:val="22"/>
                <w:szCs w:val="22"/>
              </w:rPr>
              <w:t>&lt;-10%</w:t>
            </w:r>
          </w:p>
        </w:tc>
      </w:tr>
      <w:tr w:rsidR="00F12B6A" w:rsidRPr="008A4213" w14:paraId="19A23ED4" w14:textId="77777777" w:rsidTr="001B3335">
        <w:tc>
          <w:tcPr>
            <w:tcW w:w="6547" w:type="dxa"/>
            <w:shd w:val="clear" w:color="auto" w:fill="auto"/>
          </w:tcPr>
          <w:p w14:paraId="732B09BB" w14:textId="73BC81F0" w:rsidR="00F12B6A" w:rsidRPr="003B6680" w:rsidRDefault="00F12B6A" w:rsidP="003B6680">
            <w:pPr>
              <w:pStyle w:val="ListParagraph"/>
              <w:numPr>
                <w:ilvl w:val="0"/>
                <w:numId w:val="14"/>
              </w:numPr>
              <w:spacing w:after="120"/>
              <w:jc w:val="both"/>
              <w:rPr>
                <w:color w:val="000000" w:themeColor="text1"/>
              </w:rPr>
            </w:pPr>
            <w:r w:rsidRPr="003B6680">
              <w:rPr>
                <w:color w:val="000000" w:themeColor="text1"/>
              </w:rPr>
              <w:t xml:space="preserve">Has there been </w:t>
            </w:r>
            <w:r w:rsidR="00B41F04" w:rsidRPr="003B6680">
              <w:rPr>
                <w:color w:val="000000" w:themeColor="text1"/>
              </w:rPr>
              <w:t>a decrease</w:t>
            </w:r>
            <w:r w:rsidRPr="003B6680">
              <w:rPr>
                <w:color w:val="000000" w:themeColor="text1"/>
              </w:rPr>
              <w:t xml:space="preserve"> in the GCC Total Available Capital from prior year? If “yes”, determine the cause(s) of the decline.</w:t>
            </w:r>
          </w:p>
        </w:tc>
        <w:tc>
          <w:tcPr>
            <w:tcW w:w="1080" w:type="dxa"/>
            <w:shd w:val="clear" w:color="auto" w:fill="auto"/>
          </w:tcPr>
          <w:p w14:paraId="0FE34892" w14:textId="03886E53" w:rsidR="00F12B6A" w:rsidRPr="008A4213" w:rsidRDefault="00F12B6A" w:rsidP="00F12B6A">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1440" w:type="dxa"/>
            <w:shd w:val="clear" w:color="auto" w:fill="auto"/>
          </w:tcPr>
          <w:p w14:paraId="1D63D2FF" w14:textId="39190744" w:rsidR="00F12B6A" w:rsidRDefault="00F12B6A" w:rsidP="00F12B6A">
            <w:pPr>
              <w:spacing w:after="120"/>
              <w:jc w:val="center"/>
              <w:rPr>
                <w:rFonts w:ascii="Calibri" w:hAnsi="Calibri"/>
                <w:color w:val="000000" w:themeColor="text1"/>
                <w:sz w:val="22"/>
                <w:szCs w:val="22"/>
              </w:rPr>
            </w:pPr>
            <w:r w:rsidRPr="008A4213">
              <w:rPr>
                <w:rFonts w:ascii="Calibri" w:hAnsi="Calibri"/>
                <w:color w:val="000000" w:themeColor="text1"/>
                <w:sz w:val="22"/>
                <w:szCs w:val="22"/>
              </w:rPr>
              <w:t>&lt;-10%</w:t>
            </w:r>
          </w:p>
        </w:tc>
      </w:tr>
      <w:tr w:rsidR="00F12B6A" w:rsidRPr="008A4213" w14:paraId="2A38B21E" w14:textId="77777777" w:rsidTr="001B3335">
        <w:tc>
          <w:tcPr>
            <w:tcW w:w="6547" w:type="dxa"/>
            <w:shd w:val="clear" w:color="auto" w:fill="auto"/>
          </w:tcPr>
          <w:p w14:paraId="52A7BB44" w14:textId="60E07E5E" w:rsidR="00F12B6A" w:rsidRPr="003B6680" w:rsidRDefault="00F12B6A" w:rsidP="003B6680">
            <w:pPr>
              <w:pStyle w:val="ListParagraph"/>
              <w:numPr>
                <w:ilvl w:val="0"/>
                <w:numId w:val="14"/>
              </w:numPr>
              <w:spacing w:after="120"/>
              <w:jc w:val="both"/>
              <w:rPr>
                <w:color w:val="000000" w:themeColor="text1"/>
              </w:rPr>
            </w:pPr>
            <w:r w:rsidRPr="003B6680">
              <w:rPr>
                <w:color w:val="000000" w:themeColor="text1"/>
              </w:rPr>
              <w:t>If the GCC &lt;1</w:t>
            </w:r>
            <w:r w:rsidR="000A6E66">
              <w:rPr>
                <w:color w:val="000000" w:themeColor="text1"/>
              </w:rPr>
              <w:t>50</w:t>
            </w:r>
            <w:r w:rsidRPr="003B6680">
              <w:rPr>
                <w:color w:val="000000" w:themeColor="text1"/>
              </w:rPr>
              <w:t xml:space="preserve">%, has there been </w:t>
            </w:r>
            <w:r w:rsidR="00B41F04" w:rsidRPr="003B6680">
              <w:rPr>
                <w:color w:val="000000" w:themeColor="text1"/>
              </w:rPr>
              <w:t>a change</w:t>
            </w:r>
            <w:r w:rsidRPr="003B6680">
              <w:rPr>
                <w:color w:val="000000" w:themeColor="text1"/>
              </w:rPr>
              <w:t xml:space="preserve"> from prior year? If so, determine the cause(s) of the change. If the GCC was &lt;1</w:t>
            </w:r>
            <w:r w:rsidR="000A6E66">
              <w:rPr>
                <w:color w:val="000000" w:themeColor="text1"/>
              </w:rPr>
              <w:t>50</w:t>
            </w:r>
            <w:r w:rsidRPr="003B6680">
              <w:rPr>
                <w:color w:val="000000" w:themeColor="text1"/>
              </w:rPr>
              <w:t xml:space="preserve">% in the prior years also, consider more carefully the causes. </w:t>
            </w:r>
          </w:p>
        </w:tc>
        <w:tc>
          <w:tcPr>
            <w:tcW w:w="1080" w:type="dxa"/>
            <w:shd w:val="clear" w:color="auto" w:fill="auto"/>
          </w:tcPr>
          <w:p w14:paraId="7A4BA594" w14:textId="3D77220F" w:rsidR="00F12B6A" w:rsidRPr="008A4213" w:rsidRDefault="00F12B6A" w:rsidP="00F12B6A">
            <w:pPr>
              <w:spacing w:after="120"/>
              <w:jc w:val="center"/>
              <w:rPr>
                <w:rFonts w:ascii="Calibri" w:hAnsi="Calibri"/>
                <w:color w:val="000000" w:themeColor="text1"/>
                <w:sz w:val="18"/>
                <w:szCs w:val="18"/>
              </w:rPr>
            </w:pPr>
            <w:r>
              <w:rPr>
                <w:rFonts w:ascii="Calibri" w:hAnsi="Calibri"/>
                <w:color w:val="000000" w:themeColor="text1"/>
                <w:sz w:val="22"/>
                <w:szCs w:val="22"/>
              </w:rPr>
              <w:t>ST</w:t>
            </w:r>
          </w:p>
        </w:tc>
        <w:tc>
          <w:tcPr>
            <w:tcW w:w="1440" w:type="dxa"/>
            <w:shd w:val="clear" w:color="auto" w:fill="auto"/>
          </w:tcPr>
          <w:p w14:paraId="431C2809" w14:textId="246735B1" w:rsidR="00F12B6A" w:rsidRPr="008A4213" w:rsidRDefault="00F12B6A" w:rsidP="00F12B6A">
            <w:pPr>
              <w:spacing w:after="120"/>
              <w:jc w:val="center"/>
              <w:rPr>
                <w:rFonts w:ascii="Calibri" w:hAnsi="Calibri"/>
                <w:color w:val="000000" w:themeColor="text1"/>
                <w:sz w:val="18"/>
                <w:szCs w:val="18"/>
              </w:rPr>
            </w:pPr>
            <w:r>
              <w:rPr>
                <w:rFonts w:ascii="Calibri" w:hAnsi="Calibri"/>
                <w:color w:val="000000" w:themeColor="text1"/>
                <w:sz w:val="22"/>
                <w:szCs w:val="22"/>
              </w:rPr>
              <w:t>&gt;10</w:t>
            </w:r>
            <w:r w:rsidRPr="008A4213">
              <w:rPr>
                <w:rFonts w:ascii="Calibri" w:hAnsi="Calibri"/>
                <w:color w:val="000000" w:themeColor="text1"/>
                <w:sz w:val="22"/>
                <w:szCs w:val="22"/>
              </w:rPr>
              <w:t xml:space="preserve"> pts or </w:t>
            </w:r>
            <w:r w:rsidRPr="008A4213">
              <w:rPr>
                <w:rFonts w:ascii="Calibri" w:hAnsi="Calibri"/>
                <w:color w:val="000000" w:themeColor="text1"/>
                <w:sz w:val="22"/>
                <w:szCs w:val="22"/>
              </w:rPr>
              <w:br/>
            </w:r>
            <w:r>
              <w:rPr>
                <w:rFonts w:ascii="Calibri" w:hAnsi="Calibri"/>
                <w:color w:val="000000" w:themeColor="text1"/>
                <w:sz w:val="22"/>
                <w:szCs w:val="22"/>
              </w:rPr>
              <w:t>&lt;</w:t>
            </w:r>
            <w:r w:rsidRPr="008A4213">
              <w:rPr>
                <w:rFonts w:ascii="Calibri" w:hAnsi="Calibri"/>
                <w:color w:val="000000" w:themeColor="text1"/>
                <w:sz w:val="22"/>
                <w:szCs w:val="22"/>
              </w:rPr>
              <w:t>-</w:t>
            </w:r>
            <w:r>
              <w:rPr>
                <w:rFonts w:ascii="Calibri" w:hAnsi="Calibri"/>
                <w:color w:val="000000" w:themeColor="text1"/>
                <w:sz w:val="22"/>
                <w:szCs w:val="22"/>
              </w:rPr>
              <w:t>10</w:t>
            </w:r>
            <w:r w:rsidRPr="008A4213">
              <w:rPr>
                <w:rFonts w:ascii="Calibri" w:hAnsi="Calibri"/>
                <w:color w:val="000000" w:themeColor="text1"/>
                <w:sz w:val="22"/>
                <w:szCs w:val="22"/>
              </w:rPr>
              <w:t xml:space="preserve"> pts</w:t>
            </w:r>
          </w:p>
        </w:tc>
      </w:tr>
      <w:tr w:rsidR="00F12B6A" w:rsidRPr="008A4213" w14:paraId="2DCCCB4E" w14:textId="77777777" w:rsidTr="001B3335">
        <w:tc>
          <w:tcPr>
            <w:tcW w:w="6547" w:type="dxa"/>
            <w:shd w:val="clear" w:color="auto" w:fill="auto"/>
          </w:tcPr>
          <w:p w14:paraId="728EF253" w14:textId="1F5CBD8F" w:rsidR="00F12B6A" w:rsidRPr="008A4213" w:rsidRDefault="00F12B6A" w:rsidP="003B6680">
            <w:pPr>
              <w:numPr>
                <w:ilvl w:val="0"/>
                <w:numId w:val="14"/>
              </w:numPr>
              <w:spacing w:after="120"/>
              <w:ind w:left="360"/>
              <w:jc w:val="both"/>
              <w:rPr>
                <w:rFonts w:ascii="Calibri" w:hAnsi="Calibri"/>
                <w:color w:val="000000" w:themeColor="text1"/>
                <w:sz w:val="22"/>
                <w:szCs w:val="22"/>
              </w:rPr>
            </w:pPr>
            <w:r>
              <w:rPr>
                <w:rFonts w:ascii="Calibri" w:hAnsi="Calibri"/>
                <w:color w:val="000000" w:themeColor="text1"/>
                <w:sz w:val="22"/>
                <w:szCs w:val="22"/>
              </w:rPr>
              <w:lastRenderedPageBreak/>
              <w:t>Has there been a negative trend in the GCC ratio over the past five years suggesting an overall pattern of declining capital?</w:t>
            </w:r>
          </w:p>
        </w:tc>
        <w:tc>
          <w:tcPr>
            <w:tcW w:w="1080" w:type="dxa"/>
            <w:shd w:val="clear" w:color="auto" w:fill="auto"/>
          </w:tcPr>
          <w:p w14:paraId="460F49CC" w14:textId="43D65992" w:rsidR="00F12B6A" w:rsidRPr="008A4213" w:rsidRDefault="00F12B6A" w:rsidP="00F12B6A">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1440" w:type="dxa"/>
            <w:shd w:val="clear" w:color="auto" w:fill="auto"/>
          </w:tcPr>
          <w:p w14:paraId="538EF152" w14:textId="730C0A5E" w:rsidR="00F12B6A" w:rsidRDefault="00F12B6A" w:rsidP="00F12B6A">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bl>
    <w:p w14:paraId="3B86C0BE" w14:textId="6F640D8F" w:rsidR="00E5685D" w:rsidRDefault="00E5685D" w:rsidP="00FC13CC"/>
    <w:p w14:paraId="6C691F0F" w14:textId="11370564" w:rsidR="00E5685D" w:rsidRPr="00FC13CC" w:rsidRDefault="00E5685D" w:rsidP="00FC13CC">
      <w:pPr>
        <w:tabs>
          <w:tab w:val="left" w:pos="360"/>
        </w:tabs>
        <w:jc w:val="both"/>
        <w:rPr>
          <w:rFonts w:asciiTheme="minorHAnsi" w:hAnsiTheme="minorHAnsi"/>
          <w:color w:val="000000" w:themeColor="text1"/>
          <w:sz w:val="22"/>
        </w:rPr>
      </w:pPr>
      <w:r w:rsidRPr="00FC13CC">
        <w:rPr>
          <w:rFonts w:asciiTheme="minorHAnsi" w:hAnsiTheme="minorHAnsi"/>
          <w:color w:val="000000" w:themeColor="text1"/>
          <w:sz w:val="22"/>
        </w:rPr>
        <w:t xml:space="preserve">If the answer to any of the above questions is </w:t>
      </w:r>
      <w:r w:rsidR="001B3335">
        <w:rPr>
          <w:rFonts w:asciiTheme="minorHAnsi" w:hAnsiTheme="minorHAnsi"/>
          <w:color w:val="000000" w:themeColor="text1"/>
          <w:sz w:val="22"/>
        </w:rPr>
        <w:t>“</w:t>
      </w:r>
      <w:r w:rsidRPr="00FC13CC">
        <w:rPr>
          <w:rFonts w:asciiTheme="minorHAnsi" w:hAnsiTheme="minorHAnsi"/>
          <w:color w:val="000000" w:themeColor="text1"/>
          <w:sz w:val="22"/>
        </w:rPr>
        <w:t>yes</w:t>
      </w:r>
      <w:r w:rsidR="001B3335">
        <w:rPr>
          <w:rFonts w:asciiTheme="minorHAnsi" w:hAnsiTheme="minorHAnsi"/>
          <w:color w:val="000000" w:themeColor="text1"/>
          <w:sz w:val="22"/>
        </w:rPr>
        <w:t>”</w:t>
      </w:r>
      <w:r w:rsidRPr="00FC13CC">
        <w:rPr>
          <w:rFonts w:asciiTheme="minorHAnsi" w:hAnsiTheme="minorHAnsi"/>
          <w:color w:val="000000" w:themeColor="text1"/>
          <w:sz w:val="22"/>
        </w:rPr>
        <w:t xml:space="preserve">, the analyst should proceed with </w:t>
      </w:r>
      <w:r w:rsidR="001B3335">
        <w:rPr>
          <w:rFonts w:asciiTheme="minorHAnsi" w:hAnsiTheme="minorHAnsi"/>
          <w:color w:val="000000" w:themeColor="text1"/>
          <w:sz w:val="22"/>
        </w:rPr>
        <w:t xml:space="preserve">procedure </w:t>
      </w:r>
      <w:r w:rsidRPr="00FC13CC">
        <w:rPr>
          <w:rFonts w:asciiTheme="minorHAnsi" w:hAnsiTheme="minorHAnsi"/>
          <w:color w:val="000000" w:themeColor="text1"/>
          <w:sz w:val="22"/>
        </w:rPr>
        <w:t xml:space="preserve">step </w:t>
      </w:r>
      <w:r w:rsidR="00F12B6A">
        <w:rPr>
          <w:rFonts w:asciiTheme="minorHAnsi" w:hAnsiTheme="minorHAnsi"/>
          <w:color w:val="000000" w:themeColor="text1"/>
          <w:sz w:val="22"/>
        </w:rPr>
        <w:t>2</w:t>
      </w:r>
      <w:r w:rsidRPr="00FC13CC">
        <w:rPr>
          <w:rFonts w:asciiTheme="minorHAnsi" w:hAnsiTheme="minorHAnsi"/>
          <w:color w:val="000000" w:themeColor="text1"/>
          <w:sz w:val="22"/>
        </w:rPr>
        <w:t xml:space="preserve">, evaluating decreases in total available capital and/or </w:t>
      </w:r>
      <w:r w:rsidR="002D25F2">
        <w:rPr>
          <w:rFonts w:asciiTheme="minorHAnsi" w:hAnsiTheme="minorHAnsi"/>
          <w:color w:val="000000" w:themeColor="text1"/>
          <w:sz w:val="22"/>
        </w:rPr>
        <w:t xml:space="preserve">procedure </w:t>
      </w:r>
      <w:r w:rsidRPr="00FC13CC">
        <w:rPr>
          <w:rFonts w:asciiTheme="minorHAnsi" w:hAnsiTheme="minorHAnsi"/>
          <w:color w:val="000000" w:themeColor="text1"/>
          <w:sz w:val="22"/>
        </w:rPr>
        <w:t>step C, evaluating increases in leverage to determine the cause(s) of the negative trends.</w:t>
      </w:r>
    </w:p>
    <w:p w14:paraId="12DE25FD" w14:textId="40B46E55" w:rsidR="00E5685D" w:rsidRDefault="00E5685D" w:rsidP="00FC13CC"/>
    <w:p w14:paraId="0612D11E" w14:textId="04B43793" w:rsidR="00ED59BA" w:rsidRDefault="00ED59BA">
      <w:r>
        <w:br w:type="page"/>
      </w:r>
    </w:p>
    <w:p w14:paraId="10C4B103" w14:textId="77777777" w:rsidR="0030520B" w:rsidRPr="00E5685D" w:rsidRDefault="0030520B" w:rsidP="00FC13CC"/>
    <w:p w14:paraId="7A87235B" w14:textId="5BA5DAFB" w:rsidR="00704BE3" w:rsidRPr="00597BAB" w:rsidRDefault="0044069B" w:rsidP="007C2BD3">
      <w:pPr>
        <w:pStyle w:val="Heading2"/>
        <w:pBdr>
          <w:bottom w:val="single" w:sz="4" w:space="0" w:color="auto"/>
        </w:pBdr>
        <w:rPr>
          <w:rFonts w:asciiTheme="minorHAnsi" w:hAnsiTheme="minorHAnsi"/>
          <w:color w:val="000000" w:themeColor="text1"/>
          <w:sz w:val="28"/>
          <w:szCs w:val="28"/>
        </w:rPr>
      </w:pPr>
      <w:r>
        <w:rPr>
          <w:rFonts w:asciiTheme="minorHAnsi" w:hAnsiTheme="minorHAnsi"/>
          <w:color w:val="000000" w:themeColor="text1"/>
          <w:sz w:val="28"/>
          <w:szCs w:val="28"/>
        </w:rPr>
        <w:t>Procedures Step 2</w:t>
      </w:r>
      <w:r w:rsidR="005C488E">
        <w:rPr>
          <w:rFonts w:asciiTheme="minorHAnsi" w:hAnsiTheme="minorHAnsi"/>
          <w:color w:val="000000" w:themeColor="text1"/>
          <w:sz w:val="28"/>
          <w:szCs w:val="28"/>
        </w:rPr>
        <w:t xml:space="preserve">-Evaluate </w:t>
      </w:r>
      <w:r w:rsidR="00704BE3">
        <w:rPr>
          <w:rFonts w:asciiTheme="minorHAnsi" w:hAnsiTheme="minorHAnsi"/>
          <w:color w:val="000000" w:themeColor="text1"/>
          <w:sz w:val="28"/>
          <w:szCs w:val="28"/>
        </w:rPr>
        <w:t>Decreases in Total Available Capital</w:t>
      </w:r>
      <w:r w:rsidR="00704BE3" w:rsidRPr="00597BAB">
        <w:rPr>
          <w:rFonts w:asciiTheme="minorHAnsi" w:hAnsiTheme="minorHAnsi"/>
          <w:color w:val="000000" w:themeColor="text1"/>
          <w:sz w:val="28"/>
          <w:szCs w:val="28"/>
        </w:rPr>
        <w:t xml:space="preserve"> </w:t>
      </w:r>
    </w:p>
    <w:p w14:paraId="22D9BF45" w14:textId="43E0CF85" w:rsidR="00670CFB" w:rsidRPr="00C5230D" w:rsidRDefault="00F5243D" w:rsidP="007C2BD3">
      <w:pPr>
        <w:pStyle w:val="ListParagraph"/>
        <w:numPr>
          <w:ilvl w:val="0"/>
          <w:numId w:val="13"/>
        </w:numPr>
        <w:rPr>
          <w:rFonts w:asciiTheme="minorHAnsi" w:hAnsiTheme="minorHAnsi"/>
          <w:color w:val="000000" w:themeColor="text1"/>
        </w:rPr>
      </w:pPr>
      <w:r w:rsidRPr="00C5230D">
        <w:rPr>
          <w:b/>
          <w:color w:val="000000" w:themeColor="text1"/>
        </w:rPr>
        <w:t xml:space="preserve">Determine the source(s) of decreases in the </w:t>
      </w:r>
      <w:r w:rsidR="00D70121" w:rsidRPr="00C5230D">
        <w:rPr>
          <w:b/>
          <w:color w:val="000000" w:themeColor="text1"/>
        </w:rPr>
        <w:t>GCC ratio</w:t>
      </w:r>
      <w:r w:rsidRPr="00C5230D">
        <w:rPr>
          <w:b/>
          <w:color w:val="000000" w:themeColor="text1"/>
        </w:rPr>
        <w:t xml:space="preserve"> or the GCC Total Available Capital</w:t>
      </w:r>
    </w:p>
    <w:p w14:paraId="08591151" w14:textId="39CCEB49" w:rsidR="007D61B1" w:rsidRPr="007D61B1" w:rsidRDefault="007D61B1" w:rsidP="007D61B1">
      <w:pPr>
        <w:tabs>
          <w:tab w:val="left" w:pos="360"/>
        </w:tabs>
        <w:jc w:val="both"/>
        <w:rPr>
          <w:rFonts w:asciiTheme="minorHAnsi" w:hAnsiTheme="minorHAnsi"/>
          <w:color w:val="000000" w:themeColor="text1"/>
          <w:sz w:val="22"/>
        </w:rPr>
      </w:pPr>
      <w:r w:rsidRPr="007D61B1">
        <w:rPr>
          <w:rFonts w:asciiTheme="minorHAnsi" w:hAnsiTheme="minorHAnsi"/>
          <w:color w:val="000000" w:themeColor="text1"/>
          <w:sz w:val="22"/>
        </w:rPr>
        <w:t xml:space="preserve">Unlike step </w:t>
      </w:r>
      <w:r w:rsidR="00C5230D">
        <w:rPr>
          <w:rFonts w:asciiTheme="minorHAnsi" w:hAnsiTheme="minorHAnsi"/>
          <w:color w:val="000000" w:themeColor="text1"/>
          <w:sz w:val="22"/>
        </w:rPr>
        <w:t>1</w:t>
      </w:r>
      <w:r w:rsidRPr="007D61B1">
        <w:rPr>
          <w:rFonts w:asciiTheme="minorHAnsi" w:hAnsiTheme="minorHAnsi"/>
          <w:color w:val="000000" w:themeColor="text1"/>
          <w:sz w:val="22"/>
        </w:rPr>
        <w:t xml:space="preserve">, the intent of the step </w:t>
      </w:r>
      <w:r w:rsidR="00C5230D">
        <w:rPr>
          <w:rFonts w:asciiTheme="minorHAnsi" w:hAnsiTheme="minorHAnsi"/>
          <w:color w:val="000000" w:themeColor="text1"/>
          <w:sz w:val="22"/>
        </w:rPr>
        <w:t>2</w:t>
      </w:r>
      <w:r w:rsidRPr="007D61B1">
        <w:rPr>
          <w:rFonts w:asciiTheme="minorHAnsi" w:hAnsiTheme="minorHAnsi"/>
          <w:color w:val="000000" w:themeColor="text1"/>
          <w:sz w:val="22"/>
        </w:rPr>
        <w:t xml:space="preserve"> (and </w:t>
      </w:r>
      <w:r w:rsidR="00C5230D">
        <w:rPr>
          <w:rFonts w:asciiTheme="minorHAnsi" w:hAnsiTheme="minorHAnsi"/>
          <w:color w:val="000000" w:themeColor="text1"/>
          <w:sz w:val="22"/>
        </w:rPr>
        <w:t>3</w:t>
      </w:r>
      <w:r w:rsidRPr="007D61B1">
        <w:rPr>
          <w:rFonts w:asciiTheme="minorHAnsi" w:hAnsiTheme="minorHAnsi"/>
          <w:color w:val="000000" w:themeColor="text1"/>
          <w:sz w:val="22"/>
        </w:rPr>
        <w:t xml:space="preserve">) is to determine the actual source of the negative issues. However, unless obvious from the information obtained in step </w:t>
      </w:r>
      <w:r w:rsidR="00C5230D">
        <w:rPr>
          <w:rFonts w:asciiTheme="minorHAnsi" w:hAnsiTheme="minorHAnsi"/>
          <w:color w:val="000000" w:themeColor="text1"/>
          <w:sz w:val="22"/>
        </w:rPr>
        <w:t>2</w:t>
      </w:r>
      <w:r w:rsidRPr="007D61B1">
        <w:rPr>
          <w:rFonts w:asciiTheme="minorHAnsi" w:hAnsiTheme="minorHAnsi"/>
          <w:color w:val="000000" w:themeColor="text1"/>
          <w:sz w:val="22"/>
        </w:rPr>
        <w:t xml:space="preserve">, the analyst should proceed to step </w:t>
      </w:r>
      <w:r w:rsidR="00C5230D">
        <w:rPr>
          <w:rFonts w:asciiTheme="minorHAnsi" w:hAnsiTheme="minorHAnsi"/>
          <w:color w:val="000000" w:themeColor="text1"/>
          <w:sz w:val="22"/>
        </w:rPr>
        <w:t>5</w:t>
      </w:r>
      <w:r w:rsidRPr="007D61B1">
        <w:rPr>
          <w:rFonts w:asciiTheme="minorHAnsi" w:hAnsiTheme="minorHAnsi"/>
          <w:color w:val="000000" w:themeColor="text1"/>
          <w:sz w:val="22"/>
        </w:rPr>
        <w:t xml:space="preserve"> to understand more fully the actions being taken by the group to address the issues identified in step </w:t>
      </w:r>
      <w:r w:rsidR="00C5230D">
        <w:rPr>
          <w:rFonts w:asciiTheme="minorHAnsi" w:hAnsiTheme="minorHAnsi"/>
          <w:color w:val="000000" w:themeColor="text1"/>
          <w:sz w:val="22"/>
        </w:rPr>
        <w:t>2</w:t>
      </w:r>
      <w:r w:rsidRPr="007D61B1">
        <w:rPr>
          <w:rFonts w:asciiTheme="minorHAnsi" w:hAnsiTheme="minorHAnsi"/>
          <w:color w:val="000000" w:themeColor="text1"/>
          <w:sz w:val="22"/>
        </w:rPr>
        <w:t xml:space="preserve">. </w:t>
      </w:r>
      <w:r w:rsidR="00F044BB">
        <w:rPr>
          <w:rFonts w:asciiTheme="minorHAnsi" w:hAnsiTheme="minorHAnsi"/>
          <w:color w:val="000000" w:themeColor="text1"/>
          <w:sz w:val="22"/>
        </w:rPr>
        <w:t>However, in some cases, it’s possible that no further follow</w:t>
      </w:r>
      <w:r w:rsidR="00C5230D">
        <w:rPr>
          <w:rFonts w:asciiTheme="minorHAnsi" w:hAnsiTheme="minorHAnsi"/>
          <w:color w:val="000000" w:themeColor="text1"/>
          <w:sz w:val="22"/>
        </w:rPr>
        <w:t>-</w:t>
      </w:r>
      <w:r w:rsidR="00F044BB">
        <w:rPr>
          <w:rFonts w:asciiTheme="minorHAnsi" w:hAnsiTheme="minorHAnsi"/>
          <w:color w:val="000000" w:themeColor="text1"/>
          <w:sz w:val="22"/>
        </w:rPr>
        <w:t xml:space="preserve">up with the </w:t>
      </w:r>
      <w:r w:rsidR="00107C5B">
        <w:rPr>
          <w:rFonts w:asciiTheme="minorHAnsi" w:hAnsiTheme="minorHAnsi"/>
          <w:color w:val="000000" w:themeColor="text1"/>
          <w:sz w:val="22"/>
        </w:rPr>
        <w:t xml:space="preserve">group </w:t>
      </w:r>
      <w:r w:rsidR="00F044BB">
        <w:rPr>
          <w:rFonts w:asciiTheme="minorHAnsi" w:hAnsiTheme="minorHAnsi"/>
          <w:color w:val="000000" w:themeColor="text1"/>
          <w:sz w:val="22"/>
        </w:rPr>
        <w:t xml:space="preserve">will be necessary and that the lead state should simply update the GPS to be certain the main understanding of the issues </w:t>
      </w:r>
      <w:proofErr w:type="gramStart"/>
      <w:r w:rsidR="00F044BB">
        <w:rPr>
          <w:rFonts w:asciiTheme="minorHAnsi" w:hAnsiTheme="minorHAnsi"/>
          <w:color w:val="000000" w:themeColor="text1"/>
          <w:sz w:val="22"/>
        </w:rPr>
        <w:t>are</w:t>
      </w:r>
      <w:proofErr w:type="gramEnd"/>
      <w:r w:rsidR="00F044BB">
        <w:rPr>
          <w:rFonts w:asciiTheme="minorHAnsi" w:hAnsiTheme="minorHAnsi"/>
          <w:color w:val="000000" w:themeColor="text1"/>
          <w:sz w:val="22"/>
        </w:rPr>
        <w:t xml:space="preserve"> known to all of the regulators utilizing the GPS.</w:t>
      </w:r>
    </w:p>
    <w:p w14:paraId="04AF4D4D" w14:textId="54352537" w:rsidR="007D61B1" w:rsidRPr="007D61B1" w:rsidRDefault="007D61B1" w:rsidP="007D61B1">
      <w:pPr>
        <w:tabs>
          <w:tab w:val="left" w:pos="360"/>
        </w:tabs>
        <w:jc w:val="both"/>
        <w:rPr>
          <w:rFonts w:asciiTheme="minorHAnsi" w:hAnsiTheme="minorHAnsi"/>
          <w:color w:val="000000" w:themeColor="text1"/>
          <w:sz w:val="22"/>
        </w:rPr>
      </w:pPr>
    </w:p>
    <w:tbl>
      <w:tblPr>
        <w:tblStyle w:val="TableGrid"/>
        <w:tblW w:w="10312" w:type="dxa"/>
        <w:tblInd w:w="108" w:type="dxa"/>
        <w:tblLayout w:type="fixed"/>
        <w:tblLook w:val="04A0" w:firstRow="1" w:lastRow="0" w:firstColumn="1" w:lastColumn="0" w:noHBand="0" w:noVBand="1"/>
      </w:tblPr>
      <w:tblGrid>
        <w:gridCol w:w="6305"/>
        <w:gridCol w:w="1862"/>
        <w:gridCol w:w="2145"/>
      </w:tblGrid>
      <w:tr w:rsidR="0019306B" w:rsidRPr="008A4213" w14:paraId="78BD297F" w14:textId="77777777" w:rsidTr="00D77515">
        <w:trPr>
          <w:trHeight w:val="366"/>
        </w:trPr>
        <w:tc>
          <w:tcPr>
            <w:tcW w:w="6305" w:type="dxa"/>
            <w:tcBorders>
              <w:top w:val="single" w:sz="4" w:space="0" w:color="auto"/>
              <w:left w:val="single" w:sz="4" w:space="0" w:color="auto"/>
            </w:tcBorders>
            <w:shd w:val="clear" w:color="auto" w:fill="D9D9D9" w:themeFill="background1" w:themeFillShade="D9"/>
          </w:tcPr>
          <w:p w14:paraId="534D8ADF" w14:textId="4DCA15EB" w:rsidR="0019306B" w:rsidRPr="008A4213" w:rsidRDefault="0019306B" w:rsidP="00670CFB">
            <w:pPr>
              <w:spacing w:after="120"/>
              <w:jc w:val="center"/>
              <w:rPr>
                <w:rFonts w:ascii="Calibri" w:hAnsi="Calibri"/>
                <w:i/>
                <w:color w:val="000000" w:themeColor="text1"/>
                <w:sz w:val="22"/>
                <w:szCs w:val="22"/>
              </w:rPr>
            </w:pPr>
          </w:p>
        </w:tc>
        <w:tc>
          <w:tcPr>
            <w:tcW w:w="1862" w:type="dxa"/>
            <w:shd w:val="clear" w:color="auto" w:fill="D9D9D9" w:themeFill="background1" w:themeFillShade="D9"/>
          </w:tcPr>
          <w:p w14:paraId="34764144" w14:textId="49305F86" w:rsidR="0019306B" w:rsidRPr="008A4213" w:rsidRDefault="0019306B" w:rsidP="00670CFB">
            <w:pPr>
              <w:spacing w:after="120"/>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2145" w:type="dxa"/>
            <w:shd w:val="clear" w:color="auto" w:fill="D9D9D9" w:themeFill="background1" w:themeFillShade="D9"/>
          </w:tcPr>
          <w:p w14:paraId="60D57A2E" w14:textId="6EDD2235" w:rsidR="0019306B" w:rsidRPr="008A4213" w:rsidRDefault="0019306B" w:rsidP="00670CFB">
            <w:pPr>
              <w:spacing w:after="120"/>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19306B" w:rsidRPr="008A4213" w14:paraId="6524033B" w14:textId="77777777" w:rsidTr="00D77515">
        <w:trPr>
          <w:trHeight w:val="863"/>
        </w:trPr>
        <w:tc>
          <w:tcPr>
            <w:tcW w:w="6305" w:type="dxa"/>
            <w:shd w:val="clear" w:color="auto" w:fill="auto"/>
          </w:tcPr>
          <w:p w14:paraId="0683F164" w14:textId="2286007A" w:rsidR="0019306B" w:rsidRPr="00F5243D" w:rsidRDefault="0019306B" w:rsidP="007C2BD3">
            <w:pPr>
              <w:pStyle w:val="BodyTextIndent"/>
              <w:numPr>
                <w:ilvl w:val="0"/>
                <w:numId w:val="8"/>
              </w:numPr>
              <w:spacing w:after="120"/>
              <w:rPr>
                <w:rFonts w:ascii="Calibri" w:hAnsi="Calibri"/>
                <w:color w:val="000000" w:themeColor="text1"/>
                <w:szCs w:val="22"/>
              </w:rPr>
            </w:pPr>
            <w:r w:rsidRPr="008A4213">
              <w:rPr>
                <w:rFonts w:ascii="Calibri" w:hAnsi="Calibri"/>
                <w:color w:val="000000" w:themeColor="text1"/>
                <w:szCs w:val="22"/>
              </w:rPr>
              <w:t xml:space="preserve">Review the </w:t>
            </w:r>
            <w:r>
              <w:rPr>
                <w:rFonts w:ascii="Calibri" w:hAnsi="Calibri"/>
                <w:color w:val="000000" w:themeColor="text1"/>
                <w:szCs w:val="22"/>
              </w:rPr>
              <w:t>GCC ratio from each of the reported entities and</w:t>
            </w:r>
            <w:r w:rsidRPr="008A4213">
              <w:rPr>
                <w:rFonts w:ascii="Calibri" w:hAnsi="Calibri"/>
                <w:color w:val="000000" w:themeColor="text1"/>
                <w:szCs w:val="22"/>
              </w:rPr>
              <w:t xml:space="preserve"> </w:t>
            </w:r>
            <w:r>
              <w:rPr>
                <w:rFonts w:ascii="Calibri" w:hAnsi="Calibri"/>
                <w:color w:val="000000" w:themeColor="text1"/>
                <w:szCs w:val="22"/>
              </w:rPr>
              <w:t xml:space="preserve">compare to the same </w:t>
            </w:r>
            <w:r w:rsidR="00C14440">
              <w:rPr>
                <w:rFonts w:ascii="Calibri" w:hAnsi="Calibri"/>
                <w:color w:val="000000" w:themeColor="text1"/>
                <w:szCs w:val="22"/>
              </w:rPr>
              <w:t xml:space="preserve">ratio </w:t>
            </w:r>
            <w:r>
              <w:rPr>
                <w:rFonts w:ascii="Calibri" w:hAnsi="Calibri"/>
                <w:color w:val="000000" w:themeColor="text1"/>
                <w:szCs w:val="22"/>
              </w:rPr>
              <w:t xml:space="preserve">from the prior year. Determine which entities may have led to the negative trends. </w:t>
            </w:r>
          </w:p>
        </w:tc>
        <w:tc>
          <w:tcPr>
            <w:tcW w:w="1862" w:type="dxa"/>
          </w:tcPr>
          <w:p w14:paraId="5C50CB7A" w14:textId="77777777" w:rsidR="0019306B" w:rsidRPr="008A4213" w:rsidRDefault="0019306B" w:rsidP="00670CFB">
            <w:pPr>
              <w:spacing w:after="120"/>
              <w:jc w:val="center"/>
              <w:rPr>
                <w:rFonts w:ascii="Calibri" w:hAnsi="Calibri"/>
                <w:color w:val="000000" w:themeColor="text1"/>
                <w:sz w:val="22"/>
                <w:szCs w:val="22"/>
              </w:rPr>
            </w:pPr>
          </w:p>
        </w:tc>
        <w:tc>
          <w:tcPr>
            <w:tcW w:w="2145" w:type="dxa"/>
          </w:tcPr>
          <w:p w14:paraId="0ED038E9" w14:textId="37B2AAD7" w:rsidR="0019306B" w:rsidRPr="008A4213" w:rsidRDefault="0019306B" w:rsidP="00670CFB">
            <w:pPr>
              <w:spacing w:after="120"/>
              <w:jc w:val="center"/>
              <w:rPr>
                <w:rFonts w:ascii="Calibri" w:hAnsi="Calibri"/>
                <w:color w:val="000000" w:themeColor="text1"/>
              </w:rPr>
            </w:pPr>
            <w:r w:rsidRPr="008A4213">
              <w:rPr>
                <w:rFonts w:ascii="Calibri" w:hAnsi="Calibri"/>
                <w:color w:val="000000" w:themeColor="text1"/>
                <w:sz w:val="22"/>
                <w:szCs w:val="22"/>
              </w:rPr>
              <w:t>&lt;-10%</w:t>
            </w:r>
          </w:p>
        </w:tc>
      </w:tr>
      <w:tr w:rsidR="0019306B" w:rsidRPr="008A4213" w14:paraId="05412FF1" w14:textId="77777777" w:rsidTr="00D77515">
        <w:trPr>
          <w:trHeight w:val="619"/>
        </w:trPr>
        <w:tc>
          <w:tcPr>
            <w:tcW w:w="6305" w:type="dxa"/>
            <w:shd w:val="clear" w:color="auto" w:fill="auto"/>
          </w:tcPr>
          <w:p w14:paraId="0D3C7675" w14:textId="3A07294C"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the change in the GCC is not driven from a legal entity, and instead the change in allowable debt, note as such. </w:t>
            </w:r>
          </w:p>
        </w:tc>
        <w:tc>
          <w:tcPr>
            <w:tcW w:w="1862" w:type="dxa"/>
          </w:tcPr>
          <w:p w14:paraId="2C3DE23D" w14:textId="6885C19B"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145" w:type="dxa"/>
          </w:tcPr>
          <w:p w14:paraId="63992584" w14:textId="229AEB34"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11E71557" w14:textId="77777777" w:rsidTr="00D77515">
        <w:trPr>
          <w:trHeight w:val="1370"/>
        </w:trPr>
        <w:tc>
          <w:tcPr>
            <w:tcW w:w="6305" w:type="dxa"/>
            <w:shd w:val="clear" w:color="auto" w:fill="auto"/>
          </w:tcPr>
          <w:p w14:paraId="3EC2D6B0" w14:textId="09CD1606" w:rsidR="0019306B" w:rsidRPr="00135C89"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Review the levels of profitability for each of the reported entities in the GCC in the current and prior years (as reported in the GCC) to determine if there are particular entities showing signs of decreasing profitability which may lead to future decreases in the GCC ratio or total available capital.</w:t>
            </w:r>
          </w:p>
        </w:tc>
        <w:tc>
          <w:tcPr>
            <w:tcW w:w="1862" w:type="dxa"/>
          </w:tcPr>
          <w:p w14:paraId="3DD8A492" w14:textId="1E4991E0"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OP, PR/UW</w:t>
            </w:r>
          </w:p>
        </w:tc>
        <w:tc>
          <w:tcPr>
            <w:tcW w:w="2145" w:type="dxa"/>
          </w:tcPr>
          <w:p w14:paraId="53B2EAD0" w14:textId="5D1D086A" w:rsidR="0019306B" w:rsidRPr="008A4213" w:rsidRDefault="0019306B" w:rsidP="00F5243D">
            <w:pPr>
              <w:spacing w:after="120"/>
              <w:jc w:val="center"/>
              <w:rPr>
                <w:rFonts w:ascii="Calibri" w:hAnsi="Calibri"/>
                <w:color w:val="000000" w:themeColor="text1"/>
                <w:sz w:val="22"/>
                <w:szCs w:val="22"/>
              </w:rPr>
            </w:pPr>
            <w:r w:rsidRPr="008A4213">
              <w:rPr>
                <w:rFonts w:ascii="Calibri" w:hAnsi="Calibri"/>
                <w:color w:val="000000" w:themeColor="text1"/>
                <w:sz w:val="22"/>
                <w:szCs w:val="22"/>
              </w:rPr>
              <w:t>&lt;-10%</w:t>
            </w:r>
          </w:p>
        </w:tc>
      </w:tr>
      <w:tr w:rsidR="0019306B" w:rsidRPr="008A4213" w14:paraId="000B61DB" w14:textId="77777777" w:rsidTr="00D77515">
        <w:trPr>
          <w:trHeight w:val="1379"/>
        </w:trPr>
        <w:tc>
          <w:tcPr>
            <w:tcW w:w="6305" w:type="dxa"/>
            <w:shd w:val="clear" w:color="auto" w:fill="auto"/>
          </w:tcPr>
          <w:p w14:paraId="24080B64" w14:textId="7CCDACB1"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For each of the reported entities showing either</w:t>
            </w:r>
            <w:r w:rsidR="00F54704">
              <w:rPr>
                <w:rFonts w:ascii="Calibri" w:hAnsi="Calibri"/>
                <w:color w:val="000000" w:themeColor="text1"/>
                <w:szCs w:val="22"/>
              </w:rPr>
              <w:t>,</w:t>
            </w:r>
            <w:r>
              <w:rPr>
                <w:rFonts w:ascii="Calibri" w:hAnsi="Calibri"/>
                <w:color w:val="000000" w:themeColor="text1"/>
                <w:szCs w:val="22"/>
              </w:rPr>
              <w:t xml:space="preserve"> 1) a meaningful decrease in the GCC due to a decrease in the total available capital</w:t>
            </w:r>
            <w:r w:rsidR="00EF1515">
              <w:rPr>
                <w:rFonts w:ascii="Calibri" w:hAnsi="Calibri"/>
                <w:color w:val="000000" w:themeColor="text1"/>
                <w:szCs w:val="22"/>
              </w:rPr>
              <w:t>,</w:t>
            </w:r>
            <w:r>
              <w:rPr>
                <w:rFonts w:ascii="Calibri" w:hAnsi="Calibri"/>
                <w:color w:val="000000" w:themeColor="text1"/>
                <w:szCs w:val="22"/>
              </w:rPr>
              <w:t xml:space="preserve"> </w:t>
            </w:r>
            <w:r w:rsidR="00EF1515">
              <w:rPr>
                <w:rFonts w:ascii="Calibri" w:hAnsi="Calibri"/>
                <w:color w:val="000000" w:themeColor="text1"/>
                <w:szCs w:val="22"/>
              </w:rPr>
              <w:t xml:space="preserve">or </w:t>
            </w:r>
            <w:r>
              <w:rPr>
                <w:rFonts w:ascii="Calibri" w:hAnsi="Calibri"/>
                <w:color w:val="000000" w:themeColor="text1"/>
                <w:szCs w:val="22"/>
              </w:rPr>
              <w:t>2) negative profitability trends</w:t>
            </w:r>
            <w:r w:rsidR="00EF1515">
              <w:rPr>
                <w:rFonts w:ascii="Calibri" w:hAnsi="Calibri"/>
                <w:color w:val="000000" w:themeColor="text1"/>
                <w:szCs w:val="22"/>
              </w:rPr>
              <w:t>;</w:t>
            </w:r>
            <w:r>
              <w:rPr>
                <w:rFonts w:ascii="Calibri" w:hAnsi="Calibri"/>
                <w:color w:val="000000" w:themeColor="text1"/>
                <w:szCs w:val="22"/>
              </w:rPr>
              <w:t xml:space="preserve"> request information that </w:t>
            </w:r>
            <w:r w:rsidR="00EE3B5E">
              <w:rPr>
                <w:rFonts w:ascii="Calibri" w:hAnsi="Calibri"/>
                <w:color w:val="000000" w:themeColor="text1"/>
                <w:szCs w:val="22"/>
              </w:rPr>
              <w:t>identifies</w:t>
            </w:r>
            <w:r>
              <w:rPr>
                <w:rFonts w:ascii="Calibri" w:hAnsi="Calibri"/>
                <w:color w:val="000000" w:themeColor="text1"/>
                <w:szCs w:val="22"/>
              </w:rPr>
              <w:t xml:space="preserve"> the issues by inquiring from the legal entity regulator first or the group itself (e.g., non-insurance company), if applicable.</w:t>
            </w:r>
          </w:p>
        </w:tc>
        <w:tc>
          <w:tcPr>
            <w:tcW w:w="1862" w:type="dxa"/>
          </w:tcPr>
          <w:p w14:paraId="7C7D896C" w14:textId="49BF856A"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OP, PR/UW, ST</w:t>
            </w:r>
          </w:p>
        </w:tc>
        <w:tc>
          <w:tcPr>
            <w:tcW w:w="2145" w:type="dxa"/>
          </w:tcPr>
          <w:p w14:paraId="63A9B180" w14:textId="3B2E5B9E"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7559A8E7" w14:textId="77777777" w:rsidTr="00D77515">
        <w:trPr>
          <w:trHeight w:val="1877"/>
        </w:trPr>
        <w:tc>
          <w:tcPr>
            <w:tcW w:w="6305" w:type="dxa"/>
            <w:shd w:val="clear" w:color="auto" w:fill="auto"/>
          </w:tcPr>
          <w:p w14:paraId="12840755" w14:textId="7966FDB4"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pricing or underwriting issues, understand if the issues are the result of known pricing policies that are currently being modified or </w:t>
            </w:r>
            <w:r w:rsidR="00C14440">
              <w:rPr>
                <w:rFonts w:ascii="Calibri" w:hAnsi="Calibri"/>
                <w:color w:val="000000" w:themeColor="text1"/>
                <w:szCs w:val="22"/>
              </w:rPr>
              <w:t xml:space="preserve">if the </w:t>
            </w:r>
            <w:r>
              <w:rPr>
                <w:rFonts w:ascii="Calibri" w:hAnsi="Calibri"/>
                <w:color w:val="000000" w:themeColor="text1"/>
                <w:szCs w:val="22"/>
              </w:rPr>
              <w:t xml:space="preserve">business is </w:t>
            </w:r>
            <w:r w:rsidR="00EE3B5E">
              <w:rPr>
                <w:rFonts w:ascii="Calibri" w:hAnsi="Calibri"/>
                <w:color w:val="000000" w:themeColor="text1"/>
                <w:szCs w:val="22"/>
              </w:rPr>
              <w:t xml:space="preserve">in </w:t>
            </w:r>
            <w:r>
              <w:rPr>
                <w:rFonts w:ascii="Calibri" w:hAnsi="Calibri"/>
                <w:color w:val="000000" w:themeColor="text1"/>
                <w:szCs w:val="22"/>
              </w:rPr>
              <w:t xml:space="preserve">runoff, recently identified products where metrics can quantify the issues </w:t>
            </w:r>
            <w:r w:rsidR="00C14440">
              <w:rPr>
                <w:rFonts w:ascii="Calibri" w:hAnsi="Calibri"/>
                <w:color w:val="000000" w:themeColor="text1"/>
                <w:szCs w:val="22"/>
              </w:rPr>
              <w:t>whether</w:t>
            </w:r>
            <w:r>
              <w:rPr>
                <w:rFonts w:ascii="Calibri" w:hAnsi="Calibri"/>
                <w:color w:val="000000" w:themeColor="text1"/>
                <w:szCs w:val="22"/>
              </w:rPr>
              <w:t xml:space="preserve"> new product lines</w:t>
            </w:r>
            <w:r w:rsidR="00C14440">
              <w:rPr>
                <w:rFonts w:ascii="Calibri" w:hAnsi="Calibri"/>
                <w:color w:val="000000" w:themeColor="text1"/>
                <w:szCs w:val="22"/>
              </w:rPr>
              <w:t>,</w:t>
            </w:r>
            <w:r>
              <w:rPr>
                <w:rFonts w:ascii="Calibri" w:hAnsi="Calibri"/>
                <w:color w:val="000000" w:themeColor="text1"/>
                <w:szCs w:val="22"/>
              </w:rPr>
              <w:t xml:space="preserve"> or geographic or other concentrations, volume/growth business strain, or other issues. When considering pricing </w:t>
            </w:r>
            <w:r w:rsidR="00EE3B5E">
              <w:rPr>
                <w:rFonts w:ascii="Calibri" w:hAnsi="Calibri"/>
                <w:color w:val="000000" w:themeColor="text1"/>
                <w:szCs w:val="22"/>
              </w:rPr>
              <w:t xml:space="preserve">that is </w:t>
            </w:r>
            <w:r>
              <w:rPr>
                <w:rFonts w:ascii="Calibri" w:hAnsi="Calibri"/>
                <w:color w:val="000000" w:themeColor="text1"/>
                <w:szCs w:val="22"/>
              </w:rPr>
              <w:t xml:space="preserve">being modified, include those products that the price is adjusted through crediting rates. </w:t>
            </w:r>
          </w:p>
        </w:tc>
        <w:tc>
          <w:tcPr>
            <w:tcW w:w="1862" w:type="dxa"/>
          </w:tcPr>
          <w:p w14:paraId="6BD4D08A" w14:textId="2B2E519F"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PR/UW</w:t>
            </w:r>
          </w:p>
        </w:tc>
        <w:tc>
          <w:tcPr>
            <w:tcW w:w="2145" w:type="dxa"/>
          </w:tcPr>
          <w:p w14:paraId="6E19F85B" w14:textId="770DE9F2"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782D7CF7" w14:textId="77777777" w:rsidTr="00D77515">
        <w:trPr>
          <w:trHeight w:val="863"/>
        </w:trPr>
        <w:tc>
          <w:tcPr>
            <w:tcW w:w="6305" w:type="dxa"/>
            <w:shd w:val="clear" w:color="auto" w:fill="auto"/>
          </w:tcPr>
          <w:p w14:paraId="6BFA2DE1" w14:textId="7F1FE8E2"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reserve issues, understand the reserve development trends, whether reserve and pricing adjustments have been made as well as changes in business strategy </w:t>
            </w:r>
            <w:r w:rsidR="00EE3B5E">
              <w:rPr>
                <w:rFonts w:ascii="Calibri" w:hAnsi="Calibri"/>
                <w:color w:val="000000" w:themeColor="text1"/>
                <w:szCs w:val="22"/>
              </w:rPr>
              <w:t>apart</w:t>
            </w:r>
            <w:r>
              <w:rPr>
                <w:rFonts w:ascii="Calibri" w:hAnsi="Calibri"/>
                <w:color w:val="000000" w:themeColor="text1"/>
                <w:szCs w:val="22"/>
              </w:rPr>
              <w:t xml:space="preserve"> from those products. </w:t>
            </w:r>
          </w:p>
        </w:tc>
        <w:tc>
          <w:tcPr>
            <w:tcW w:w="1862" w:type="dxa"/>
          </w:tcPr>
          <w:p w14:paraId="6947EF3C" w14:textId="79F0802E"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RV</w:t>
            </w:r>
            <w:r w:rsidR="00C14440">
              <w:rPr>
                <w:rFonts w:ascii="Calibri" w:hAnsi="Calibri"/>
                <w:color w:val="000000" w:themeColor="text1"/>
                <w:sz w:val="22"/>
                <w:szCs w:val="22"/>
              </w:rPr>
              <w:t>, ST</w:t>
            </w:r>
          </w:p>
        </w:tc>
        <w:tc>
          <w:tcPr>
            <w:tcW w:w="2145" w:type="dxa"/>
          </w:tcPr>
          <w:p w14:paraId="77BF1249" w14:textId="5E512010"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6E3D6D09" w14:textId="77777777" w:rsidTr="00D77515">
        <w:trPr>
          <w:trHeight w:val="1624"/>
        </w:trPr>
        <w:tc>
          <w:tcPr>
            <w:tcW w:w="6305" w:type="dxa"/>
            <w:shd w:val="clear" w:color="auto" w:fill="auto"/>
          </w:tcPr>
          <w:p w14:paraId="5AA6D90E" w14:textId="66AD4CFA"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If due to market risk issues</w:t>
            </w:r>
            <w:r w:rsidRPr="00206807">
              <w:rPr>
                <w:rFonts w:ascii="Calibri" w:hAnsi="Calibri"/>
                <w:color w:val="000000" w:themeColor="text1"/>
                <w:szCs w:val="22"/>
              </w:rPr>
              <w:t>—</w:t>
            </w:r>
            <w:r>
              <w:rPr>
                <w:rFonts w:ascii="Calibri" w:hAnsi="Calibri"/>
                <w:color w:val="000000" w:themeColor="text1"/>
                <w:szCs w:val="22"/>
              </w:rPr>
              <w:t>i.e., capital losses</w:t>
            </w:r>
            <w:r w:rsidRPr="00206807">
              <w:rPr>
                <w:rFonts w:ascii="Calibri" w:hAnsi="Calibri"/>
                <w:color w:val="000000" w:themeColor="text1"/>
                <w:szCs w:val="22"/>
              </w:rPr>
              <w:t>—</w:t>
            </w:r>
            <w:r>
              <w:rPr>
                <w:rFonts w:ascii="Calibri" w:hAnsi="Calibri"/>
                <w:color w:val="000000" w:themeColor="text1"/>
                <w:szCs w:val="22"/>
              </w:rPr>
              <w:t xml:space="preserve">understand not only why the </w:t>
            </w:r>
            <w:proofErr w:type="spellStart"/>
            <w:r>
              <w:rPr>
                <w:rFonts w:ascii="Calibri" w:hAnsi="Calibri"/>
                <w:color w:val="000000" w:themeColor="text1"/>
                <w:szCs w:val="22"/>
              </w:rPr>
              <w:t>losses</w:t>
            </w:r>
            <w:r w:rsidR="00EE3B5E">
              <w:rPr>
                <w:rFonts w:ascii="Calibri" w:hAnsi="Calibri"/>
                <w:color w:val="000000" w:themeColor="text1"/>
                <w:szCs w:val="22"/>
              </w:rPr>
              <w:t>occured</w:t>
            </w:r>
            <w:proofErr w:type="spellEnd"/>
            <w:r>
              <w:rPr>
                <w:rFonts w:ascii="Calibri" w:hAnsi="Calibri"/>
                <w:color w:val="000000" w:themeColor="text1"/>
                <w:szCs w:val="22"/>
              </w:rPr>
              <w:t xml:space="preserve">, but the likely near-term future impact given current </w:t>
            </w:r>
            <w:r w:rsidR="00C14440">
              <w:rPr>
                <w:rFonts w:ascii="Calibri" w:hAnsi="Calibri"/>
                <w:color w:val="000000" w:themeColor="text1"/>
                <w:szCs w:val="22"/>
              </w:rPr>
              <w:t>and like</w:t>
            </w:r>
            <w:r w:rsidR="00ED59BA">
              <w:rPr>
                <w:rFonts w:ascii="Calibri" w:hAnsi="Calibri"/>
                <w:color w:val="000000" w:themeColor="text1"/>
                <w:szCs w:val="22"/>
              </w:rPr>
              <w:t>ly</w:t>
            </w:r>
            <w:r w:rsidR="00C14440">
              <w:rPr>
                <w:rFonts w:ascii="Calibri" w:hAnsi="Calibri"/>
                <w:color w:val="000000" w:themeColor="text1"/>
                <w:szCs w:val="22"/>
              </w:rPr>
              <w:t xml:space="preserve"> prospective </w:t>
            </w:r>
            <w:r>
              <w:rPr>
                <w:rFonts w:ascii="Calibri" w:hAnsi="Calibri"/>
                <w:color w:val="000000" w:themeColor="text1"/>
                <w:szCs w:val="22"/>
              </w:rPr>
              <w:t xml:space="preserve">economic conditions. Market issues include not only </w:t>
            </w:r>
            <w:r w:rsidR="00EE3B5E">
              <w:rPr>
                <w:rFonts w:ascii="Calibri" w:hAnsi="Calibri"/>
                <w:color w:val="000000" w:themeColor="text1"/>
                <w:szCs w:val="22"/>
              </w:rPr>
              <w:t>changes in equity prices</w:t>
            </w:r>
            <w:r>
              <w:rPr>
                <w:rFonts w:ascii="Calibri" w:hAnsi="Calibri"/>
                <w:color w:val="000000" w:themeColor="text1"/>
                <w:szCs w:val="22"/>
              </w:rPr>
              <w:t>, but also impact/exposure to interest rates and other rates such as foreign currency exchange rates or rates on various hedg</w:t>
            </w:r>
            <w:r w:rsidR="00C14440">
              <w:rPr>
                <w:rFonts w:ascii="Calibri" w:hAnsi="Calibri"/>
                <w:color w:val="000000" w:themeColor="text1"/>
                <w:szCs w:val="22"/>
              </w:rPr>
              <w:t>ing</w:t>
            </w:r>
            <w:r>
              <w:rPr>
                <w:rFonts w:ascii="Calibri" w:hAnsi="Calibri"/>
                <w:color w:val="000000" w:themeColor="text1"/>
                <w:szCs w:val="22"/>
              </w:rPr>
              <w:t xml:space="preserve"> products used by the group. </w:t>
            </w:r>
          </w:p>
        </w:tc>
        <w:tc>
          <w:tcPr>
            <w:tcW w:w="1862" w:type="dxa"/>
          </w:tcPr>
          <w:p w14:paraId="49307B41" w14:textId="391FD345"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MK, CR</w:t>
            </w:r>
          </w:p>
        </w:tc>
        <w:tc>
          <w:tcPr>
            <w:tcW w:w="2145" w:type="dxa"/>
          </w:tcPr>
          <w:p w14:paraId="4DE1E5E5" w14:textId="07B1C072"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4729AC60" w14:textId="77777777" w:rsidTr="00D77515">
        <w:trPr>
          <w:trHeight w:val="619"/>
        </w:trPr>
        <w:tc>
          <w:tcPr>
            <w:tcW w:w="6305" w:type="dxa"/>
            <w:shd w:val="clear" w:color="auto" w:fill="auto"/>
          </w:tcPr>
          <w:p w14:paraId="148C45A8" w14:textId="1121036A"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lastRenderedPageBreak/>
              <w:t xml:space="preserve">If due to strategic issues such as planned growth, planned decline in writings or changes in the investment strategy, utilize the business plan from the </w:t>
            </w:r>
            <w:r w:rsidR="00ED59BA">
              <w:rPr>
                <w:rFonts w:ascii="Calibri" w:hAnsi="Calibri"/>
                <w:color w:val="000000" w:themeColor="text1"/>
                <w:szCs w:val="22"/>
              </w:rPr>
              <w:t>Form</w:t>
            </w:r>
            <w:r>
              <w:rPr>
                <w:rFonts w:ascii="Calibri" w:hAnsi="Calibri"/>
                <w:color w:val="000000" w:themeColor="text1"/>
                <w:szCs w:val="22"/>
              </w:rPr>
              <w:t xml:space="preserve"> F to better understand the anticipated changes and how the actual changes compare. Understanding the variance from the business plan is important in assessing the ongoing risk either in projected future profitability or in some cases the investments.</w:t>
            </w:r>
          </w:p>
        </w:tc>
        <w:tc>
          <w:tcPr>
            <w:tcW w:w="1862" w:type="dxa"/>
          </w:tcPr>
          <w:p w14:paraId="520D13CA" w14:textId="0D5A3FCD"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ST, PR/UW, OP</w:t>
            </w:r>
          </w:p>
        </w:tc>
        <w:tc>
          <w:tcPr>
            <w:tcW w:w="2145" w:type="dxa"/>
          </w:tcPr>
          <w:p w14:paraId="64590BE1" w14:textId="63F53C09"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09D1542F" w14:textId="77777777" w:rsidTr="00D77515">
        <w:trPr>
          <w:trHeight w:val="1379"/>
        </w:trPr>
        <w:tc>
          <w:tcPr>
            <w:tcW w:w="6305" w:type="dxa"/>
            <w:shd w:val="clear" w:color="auto" w:fill="auto"/>
          </w:tcPr>
          <w:p w14:paraId="1484E9B8" w14:textId="42A407E8"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negative reputational issues, understand the issues more closely, </w:t>
            </w:r>
            <w:r w:rsidR="00C14440">
              <w:rPr>
                <w:rFonts w:ascii="Calibri" w:hAnsi="Calibri"/>
                <w:color w:val="000000" w:themeColor="text1"/>
                <w:szCs w:val="22"/>
              </w:rPr>
              <w:t>whether</w:t>
            </w:r>
            <w:r>
              <w:rPr>
                <w:rFonts w:ascii="Calibri" w:hAnsi="Calibri"/>
                <w:color w:val="000000" w:themeColor="text1"/>
                <w:szCs w:val="22"/>
              </w:rPr>
              <w:t xml:space="preserve"> potential ongoing changes in stock prices or financial strength ratings that may further impact market perception</w:t>
            </w:r>
            <w:r w:rsidR="00C14440">
              <w:rPr>
                <w:rFonts w:ascii="Calibri" w:hAnsi="Calibri"/>
                <w:color w:val="000000" w:themeColor="text1"/>
                <w:szCs w:val="22"/>
              </w:rPr>
              <w:t>, or</w:t>
            </w:r>
            <w:r>
              <w:rPr>
                <w:rFonts w:ascii="Calibri" w:hAnsi="Calibri"/>
                <w:color w:val="000000" w:themeColor="text1"/>
                <w:szCs w:val="22"/>
              </w:rPr>
              <w:t xml:space="preserve"> what the group is doing to address the potential future impact be it sales projections or access to the capital markets. </w:t>
            </w:r>
          </w:p>
        </w:tc>
        <w:tc>
          <w:tcPr>
            <w:tcW w:w="1862" w:type="dxa"/>
          </w:tcPr>
          <w:p w14:paraId="202EAFAF" w14:textId="0CBE2958"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RP</w:t>
            </w:r>
          </w:p>
        </w:tc>
        <w:tc>
          <w:tcPr>
            <w:tcW w:w="2145" w:type="dxa"/>
          </w:tcPr>
          <w:p w14:paraId="4A07017F" w14:textId="5ABD0326"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6F4AD0F8" w14:textId="77777777" w:rsidTr="00D77515">
        <w:trPr>
          <w:trHeight w:val="610"/>
        </w:trPr>
        <w:tc>
          <w:tcPr>
            <w:tcW w:w="6305" w:type="dxa"/>
            <w:shd w:val="clear" w:color="auto" w:fill="auto"/>
          </w:tcPr>
          <w:p w14:paraId="45E16FDE" w14:textId="1CB7B245"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credit losses, understand the current and future concentration in </w:t>
            </w:r>
            <w:r w:rsidR="00EE3B5E">
              <w:rPr>
                <w:rFonts w:ascii="Calibri" w:hAnsi="Calibri"/>
                <w:color w:val="000000" w:themeColor="text1"/>
                <w:szCs w:val="22"/>
              </w:rPr>
              <w:t xml:space="preserve">credit </w:t>
            </w:r>
            <w:r>
              <w:rPr>
                <w:rFonts w:ascii="Calibri" w:hAnsi="Calibri"/>
                <w:color w:val="000000" w:themeColor="text1"/>
                <w:szCs w:val="22"/>
              </w:rPr>
              <w:t>risks, be it investments</w:t>
            </w:r>
            <w:r w:rsidR="00C14440">
              <w:rPr>
                <w:rFonts w:ascii="Calibri" w:hAnsi="Calibri"/>
                <w:color w:val="000000" w:themeColor="text1"/>
                <w:szCs w:val="22"/>
              </w:rPr>
              <w:t>,</w:t>
            </w:r>
            <w:r>
              <w:rPr>
                <w:rFonts w:ascii="Calibri" w:hAnsi="Calibri"/>
                <w:color w:val="000000" w:themeColor="text1"/>
                <w:szCs w:val="22"/>
              </w:rPr>
              <w:t xml:space="preserve"> </w:t>
            </w:r>
            <w:proofErr w:type="gramStart"/>
            <w:r>
              <w:rPr>
                <w:rFonts w:ascii="Calibri" w:hAnsi="Calibri"/>
                <w:color w:val="000000" w:themeColor="text1"/>
                <w:szCs w:val="22"/>
              </w:rPr>
              <w:t>reinsurance</w:t>
            </w:r>
            <w:proofErr w:type="gramEnd"/>
            <w:r>
              <w:rPr>
                <w:rFonts w:ascii="Calibri" w:hAnsi="Calibri"/>
                <w:color w:val="000000" w:themeColor="text1"/>
                <w:szCs w:val="22"/>
              </w:rPr>
              <w:t xml:space="preserve"> or other source of credit losses. </w:t>
            </w:r>
          </w:p>
        </w:tc>
        <w:tc>
          <w:tcPr>
            <w:tcW w:w="1862" w:type="dxa"/>
          </w:tcPr>
          <w:p w14:paraId="0E7D0A67" w14:textId="563257E2"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CR, MK</w:t>
            </w:r>
          </w:p>
        </w:tc>
        <w:tc>
          <w:tcPr>
            <w:tcW w:w="2145" w:type="dxa"/>
          </w:tcPr>
          <w:p w14:paraId="748D6439" w14:textId="3A168F1C"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2B7FAC1F" w14:textId="77777777" w:rsidTr="00D77515">
        <w:trPr>
          <w:trHeight w:val="873"/>
        </w:trPr>
        <w:tc>
          <w:tcPr>
            <w:tcW w:w="6305" w:type="dxa"/>
            <w:shd w:val="clear" w:color="auto" w:fill="auto"/>
          </w:tcPr>
          <w:p w14:paraId="5E3236C9" w14:textId="216F035D"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operational issues, such as extremely </w:t>
            </w:r>
            <w:r w:rsidR="00EE3B5E">
              <w:rPr>
                <w:rFonts w:ascii="Calibri" w:hAnsi="Calibri"/>
                <w:color w:val="000000" w:themeColor="text1"/>
                <w:szCs w:val="22"/>
              </w:rPr>
              <w:t xml:space="preserve">large </w:t>
            </w:r>
            <w:r>
              <w:rPr>
                <w:rFonts w:ascii="Calibri" w:hAnsi="Calibri"/>
                <w:color w:val="000000" w:themeColor="text1"/>
                <w:szCs w:val="22"/>
              </w:rPr>
              <w:t xml:space="preserve">catastrophe events, IT or cybersecurity events or relationships, understand the </w:t>
            </w:r>
            <w:r w:rsidR="00C14440">
              <w:rPr>
                <w:rFonts w:ascii="Calibri" w:hAnsi="Calibri"/>
                <w:color w:val="000000" w:themeColor="text1"/>
                <w:szCs w:val="22"/>
              </w:rPr>
              <w:t>current and prospective</w:t>
            </w:r>
            <w:r>
              <w:rPr>
                <w:rFonts w:ascii="Calibri" w:hAnsi="Calibri"/>
                <w:color w:val="000000" w:themeColor="text1"/>
                <w:szCs w:val="22"/>
              </w:rPr>
              <w:t xml:space="preserve"> impact.</w:t>
            </w:r>
          </w:p>
        </w:tc>
        <w:tc>
          <w:tcPr>
            <w:tcW w:w="1862" w:type="dxa"/>
          </w:tcPr>
          <w:p w14:paraId="4A49DC9C" w14:textId="01FE958C"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OP, ST</w:t>
            </w:r>
          </w:p>
        </w:tc>
        <w:tc>
          <w:tcPr>
            <w:tcW w:w="2145" w:type="dxa"/>
          </w:tcPr>
          <w:p w14:paraId="476C943C" w14:textId="6E04D41A"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7C5DF9AF" w14:textId="77777777" w:rsidTr="00D77515">
        <w:trPr>
          <w:trHeight w:val="619"/>
        </w:trPr>
        <w:tc>
          <w:tcPr>
            <w:tcW w:w="6305" w:type="dxa"/>
            <w:shd w:val="clear" w:color="auto" w:fill="auto"/>
          </w:tcPr>
          <w:p w14:paraId="2FABA233" w14:textId="6403FEB3"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If due to legal losses, understand the underlying issues and degree of potential future legal losses.</w:t>
            </w:r>
          </w:p>
        </w:tc>
        <w:tc>
          <w:tcPr>
            <w:tcW w:w="1862" w:type="dxa"/>
          </w:tcPr>
          <w:p w14:paraId="585D751B" w14:textId="6B61941C"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LG</w:t>
            </w:r>
          </w:p>
        </w:tc>
        <w:tc>
          <w:tcPr>
            <w:tcW w:w="2145" w:type="dxa"/>
          </w:tcPr>
          <w:p w14:paraId="667A4961" w14:textId="0EA12D8F"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C14440" w:rsidRPr="008A4213" w14:paraId="4526A8F4" w14:textId="77777777" w:rsidTr="00D77515">
        <w:trPr>
          <w:trHeight w:val="1117"/>
        </w:trPr>
        <w:tc>
          <w:tcPr>
            <w:tcW w:w="6305" w:type="dxa"/>
            <w:shd w:val="clear" w:color="auto" w:fill="auto"/>
          </w:tcPr>
          <w:p w14:paraId="23E97D21" w14:textId="477A0C46" w:rsidR="00C14440" w:rsidRDefault="00C14440"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non-insurance </w:t>
            </w:r>
            <w:r w:rsidR="00D46FDB">
              <w:rPr>
                <w:rFonts w:ascii="Calibri" w:hAnsi="Calibri"/>
                <w:color w:val="000000" w:themeColor="text1"/>
                <w:szCs w:val="22"/>
              </w:rPr>
              <w:t xml:space="preserve">reported </w:t>
            </w:r>
            <w:r>
              <w:rPr>
                <w:rFonts w:ascii="Calibri" w:hAnsi="Calibri"/>
                <w:color w:val="000000" w:themeColor="text1"/>
                <w:szCs w:val="22"/>
              </w:rPr>
              <w:t xml:space="preserve">entities in the group, understand the relationship of the non-insurance </w:t>
            </w:r>
            <w:r w:rsidR="00D46FDB">
              <w:rPr>
                <w:rFonts w:ascii="Calibri" w:hAnsi="Calibri"/>
                <w:color w:val="000000" w:themeColor="text1"/>
                <w:szCs w:val="22"/>
              </w:rPr>
              <w:t>operations</w:t>
            </w:r>
            <w:r>
              <w:rPr>
                <w:rFonts w:ascii="Calibri" w:hAnsi="Calibri"/>
                <w:color w:val="000000" w:themeColor="text1"/>
                <w:szCs w:val="22"/>
              </w:rPr>
              <w:t xml:space="preserve"> to the insurance entities and </w:t>
            </w:r>
            <w:r w:rsidR="00D46FDB">
              <w:rPr>
                <w:rFonts w:ascii="Calibri" w:hAnsi="Calibri"/>
                <w:color w:val="000000" w:themeColor="text1"/>
                <w:szCs w:val="22"/>
              </w:rPr>
              <w:t>the potential impact to the insurance operations (</w:t>
            </w:r>
            <w:proofErr w:type="gramStart"/>
            <w:r w:rsidR="00D46FDB">
              <w:rPr>
                <w:rFonts w:ascii="Calibri" w:hAnsi="Calibri"/>
                <w:color w:val="000000" w:themeColor="text1"/>
                <w:szCs w:val="22"/>
              </w:rPr>
              <w:t>i.e.</w:t>
            </w:r>
            <w:proofErr w:type="gramEnd"/>
            <w:r w:rsidR="00D46FDB">
              <w:rPr>
                <w:rFonts w:ascii="Calibri" w:hAnsi="Calibri"/>
                <w:color w:val="000000" w:themeColor="text1"/>
                <w:szCs w:val="22"/>
              </w:rPr>
              <w:t xml:space="preserve"> intercompany agreements, services, capital needs, etc.).</w:t>
            </w:r>
          </w:p>
        </w:tc>
        <w:tc>
          <w:tcPr>
            <w:tcW w:w="1862" w:type="dxa"/>
          </w:tcPr>
          <w:p w14:paraId="4F721882" w14:textId="6E0CA2E0" w:rsidR="00C14440" w:rsidRDefault="00D46FDB" w:rsidP="00F5243D">
            <w:pPr>
              <w:spacing w:after="120"/>
              <w:jc w:val="center"/>
              <w:rPr>
                <w:rFonts w:ascii="Calibri" w:hAnsi="Calibri"/>
                <w:color w:val="000000" w:themeColor="text1"/>
                <w:sz w:val="22"/>
                <w:szCs w:val="22"/>
              </w:rPr>
            </w:pPr>
            <w:r>
              <w:rPr>
                <w:rFonts w:ascii="Calibri" w:hAnsi="Calibri"/>
                <w:color w:val="000000" w:themeColor="text1"/>
                <w:sz w:val="22"/>
                <w:szCs w:val="22"/>
              </w:rPr>
              <w:t>ST, OP</w:t>
            </w:r>
          </w:p>
        </w:tc>
        <w:tc>
          <w:tcPr>
            <w:tcW w:w="2145" w:type="dxa"/>
          </w:tcPr>
          <w:p w14:paraId="67230293" w14:textId="138197C5" w:rsidR="00C14440" w:rsidRDefault="00D46FD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bl>
    <w:p w14:paraId="319CDE4E" w14:textId="20080DA2" w:rsidR="00670CFB" w:rsidRDefault="00670CFB" w:rsidP="007D61B1">
      <w:pPr>
        <w:tabs>
          <w:tab w:val="left" w:pos="360"/>
        </w:tabs>
        <w:jc w:val="both"/>
        <w:rPr>
          <w:rFonts w:asciiTheme="minorHAnsi" w:hAnsiTheme="minorHAnsi"/>
          <w:color w:val="000000" w:themeColor="text1"/>
          <w:sz w:val="22"/>
        </w:rPr>
      </w:pPr>
    </w:p>
    <w:p w14:paraId="7DE30561" w14:textId="77777777" w:rsidR="00773E66" w:rsidRPr="007D61B1" w:rsidRDefault="00773E66" w:rsidP="007D61B1">
      <w:pPr>
        <w:tabs>
          <w:tab w:val="left" w:pos="360"/>
        </w:tabs>
        <w:jc w:val="both"/>
        <w:rPr>
          <w:rFonts w:asciiTheme="minorHAnsi" w:hAnsiTheme="minorHAnsi"/>
          <w:color w:val="000000" w:themeColor="text1"/>
          <w:sz w:val="22"/>
        </w:rPr>
      </w:pPr>
    </w:p>
    <w:p w14:paraId="10722DD4" w14:textId="7434D059" w:rsidR="00A864E3" w:rsidRPr="00597BAB" w:rsidRDefault="000F750A" w:rsidP="00A864E3">
      <w:pPr>
        <w:pStyle w:val="Heading2"/>
        <w:pBdr>
          <w:bottom w:val="single" w:sz="4" w:space="1" w:color="auto"/>
        </w:pBdr>
        <w:spacing w:after="120"/>
        <w:rPr>
          <w:rFonts w:asciiTheme="minorHAnsi" w:hAnsiTheme="minorHAnsi"/>
          <w:color w:val="000000" w:themeColor="text1"/>
          <w:sz w:val="28"/>
          <w:szCs w:val="28"/>
        </w:rPr>
      </w:pPr>
      <w:bookmarkStart w:id="1" w:name="_Hlk43745315"/>
      <w:r>
        <w:rPr>
          <w:rFonts w:asciiTheme="minorHAnsi" w:hAnsiTheme="minorHAnsi"/>
          <w:color w:val="000000" w:themeColor="text1"/>
          <w:sz w:val="28"/>
          <w:szCs w:val="28"/>
        </w:rPr>
        <w:t>Procedure Step 3</w:t>
      </w:r>
      <w:r w:rsidR="00A864E3">
        <w:rPr>
          <w:rFonts w:asciiTheme="minorHAnsi" w:hAnsiTheme="minorHAnsi"/>
          <w:color w:val="000000" w:themeColor="text1"/>
          <w:sz w:val="28"/>
          <w:szCs w:val="28"/>
        </w:rPr>
        <w:t xml:space="preserve">-Evaluate Increases in </w:t>
      </w:r>
      <w:r w:rsidR="00E5685D">
        <w:rPr>
          <w:rFonts w:asciiTheme="minorHAnsi" w:hAnsiTheme="minorHAnsi"/>
          <w:color w:val="000000" w:themeColor="text1"/>
          <w:sz w:val="28"/>
          <w:szCs w:val="28"/>
        </w:rPr>
        <w:t xml:space="preserve">Operating </w:t>
      </w:r>
      <w:r w:rsidR="00A864E3">
        <w:rPr>
          <w:rFonts w:asciiTheme="minorHAnsi" w:hAnsiTheme="minorHAnsi"/>
          <w:color w:val="000000" w:themeColor="text1"/>
          <w:sz w:val="28"/>
          <w:szCs w:val="28"/>
        </w:rPr>
        <w:t>Leverage</w:t>
      </w:r>
      <w:r w:rsidR="00A864E3" w:rsidRPr="00597BAB">
        <w:rPr>
          <w:rFonts w:asciiTheme="minorHAnsi" w:hAnsiTheme="minorHAnsi"/>
          <w:color w:val="000000" w:themeColor="text1"/>
          <w:sz w:val="28"/>
          <w:szCs w:val="28"/>
        </w:rPr>
        <w:t xml:space="preserve"> </w:t>
      </w:r>
    </w:p>
    <w:bookmarkEnd w:id="1"/>
    <w:p w14:paraId="164F43A9" w14:textId="1BD2A585" w:rsidR="009C3FE4" w:rsidRPr="0019306B" w:rsidRDefault="009C3FE4" w:rsidP="007C2BD3">
      <w:pPr>
        <w:pStyle w:val="ListParagraph"/>
        <w:numPr>
          <w:ilvl w:val="0"/>
          <w:numId w:val="13"/>
        </w:numPr>
        <w:rPr>
          <w:rFonts w:asciiTheme="minorHAnsi" w:hAnsiTheme="minorHAnsi"/>
          <w:color w:val="000000" w:themeColor="text1"/>
        </w:rPr>
      </w:pPr>
      <w:r w:rsidRPr="0019306B">
        <w:rPr>
          <w:b/>
          <w:color w:val="000000" w:themeColor="text1"/>
        </w:rPr>
        <w:t xml:space="preserve">Determine the source(s) of any decreases in the </w:t>
      </w:r>
      <w:r w:rsidR="00D70121" w:rsidRPr="0019306B">
        <w:rPr>
          <w:b/>
          <w:color w:val="000000" w:themeColor="text1"/>
        </w:rPr>
        <w:t>GCC ratio</w:t>
      </w:r>
      <w:r w:rsidRPr="0019306B">
        <w:rPr>
          <w:b/>
          <w:color w:val="000000" w:themeColor="text1"/>
        </w:rPr>
        <w:t xml:space="preserve"> due to increases in </w:t>
      </w:r>
      <w:proofErr w:type="gramStart"/>
      <w:r w:rsidRPr="0019306B">
        <w:rPr>
          <w:b/>
          <w:color w:val="000000" w:themeColor="text1"/>
        </w:rPr>
        <w:t>leverage</w:t>
      </w:r>
      <w:proofErr w:type="gramEnd"/>
    </w:p>
    <w:p w14:paraId="777F879F" w14:textId="3AE0D9E2" w:rsidR="007D61B1" w:rsidRDefault="009C705F" w:rsidP="007D61B1">
      <w:pPr>
        <w:tabs>
          <w:tab w:val="left" w:pos="360"/>
        </w:tabs>
        <w:jc w:val="both"/>
        <w:rPr>
          <w:rFonts w:asciiTheme="minorHAnsi" w:hAnsiTheme="minorHAnsi"/>
          <w:color w:val="000000" w:themeColor="text1"/>
          <w:sz w:val="22"/>
        </w:rPr>
      </w:pPr>
      <w:r>
        <w:rPr>
          <w:rFonts w:asciiTheme="minorHAnsi" w:hAnsiTheme="minorHAnsi"/>
          <w:color w:val="000000" w:themeColor="text1"/>
          <w:sz w:val="22"/>
        </w:rPr>
        <w:t>Like</w:t>
      </w:r>
      <w:r w:rsidR="007D61B1">
        <w:rPr>
          <w:rFonts w:asciiTheme="minorHAnsi" w:hAnsiTheme="minorHAnsi"/>
          <w:color w:val="000000" w:themeColor="text1"/>
          <w:sz w:val="22"/>
        </w:rPr>
        <w:t xml:space="preserve"> step </w:t>
      </w:r>
      <w:r w:rsidR="0019306B">
        <w:rPr>
          <w:rFonts w:asciiTheme="minorHAnsi" w:hAnsiTheme="minorHAnsi"/>
          <w:color w:val="000000" w:themeColor="text1"/>
          <w:sz w:val="22"/>
        </w:rPr>
        <w:t>2</w:t>
      </w:r>
      <w:r w:rsidR="007D61B1">
        <w:rPr>
          <w:rFonts w:asciiTheme="minorHAnsi" w:hAnsiTheme="minorHAnsi"/>
          <w:color w:val="000000" w:themeColor="text1"/>
          <w:sz w:val="22"/>
        </w:rPr>
        <w:t xml:space="preserve">, </w:t>
      </w:r>
      <w:r w:rsidR="007D61B1" w:rsidRPr="007D61B1">
        <w:rPr>
          <w:rFonts w:asciiTheme="minorHAnsi" w:hAnsiTheme="minorHAnsi"/>
          <w:color w:val="000000" w:themeColor="text1"/>
          <w:sz w:val="22"/>
        </w:rPr>
        <w:t xml:space="preserve">the intent of the step </w:t>
      </w:r>
      <w:r w:rsidR="0019306B">
        <w:rPr>
          <w:rFonts w:asciiTheme="minorHAnsi" w:hAnsiTheme="minorHAnsi"/>
          <w:color w:val="000000" w:themeColor="text1"/>
          <w:sz w:val="22"/>
        </w:rPr>
        <w:t>3</w:t>
      </w:r>
      <w:r w:rsidR="007D61B1" w:rsidRPr="007D61B1">
        <w:rPr>
          <w:rFonts w:asciiTheme="minorHAnsi" w:hAnsiTheme="minorHAnsi"/>
          <w:color w:val="000000" w:themeColor="text1"/>
          <w:sz w:val="22"/>
        </w:rPr>
        <w:t xml:space="preserve"> is to determine the actual source of the negative issues. </w:t>
      </w:r>
      <w:r w:rsidR="007D61B1">
        <w:rPr>
          <w:rFonts w:asciiTheme="minorHAnsi" w:hAnsiTheme="minorHAnsi"/>
          <w:color w:val="000000" w:themeColor="text1"/>
          <w:sz w:val="22"/>
        </w:rPr>
        <w:t xml:space="preserve">The difference between step </w:t>
      </w:r>
      <w:r w:rsidR="0019306B">
        <w:rPr>
          <w:rFonts w:asciiTheme="minorHAnsi" w:hAnsiTheme="minorHAnsi"/>
          <w:color w:val="000000" w:themeColor="text1"/>
          <w:sz w:val="22"/>
        </w:rPr>
        <w:t>3</w:t>
      </w:r>
      <w:r w:rsidR="007D61B1">
        <w:rPr>
          <w:rFonts w:asciiTheme="minorHAnsi" w:hAnsiTheme="minorHAnsi"/>
          <w:color w:val="000000" w:themeColor="text1"/>
          <w:sz w:val="22"/>
        </w:rPr>
        <w:t xml:space="preserve"> and step </w:t>
      </w:r>
      <w:r w:rsidR="0019306B">
        <w:rPr>
          <w:rFonts w:asciiTheme="minorHAnsi" w:hAnsiTheme="minorHAnsi"/>
          <w:color w:val="000000" w:themeColor="text1"/>
          <w:sz w:val="22"/>
        </w:rPr>
        <w:t>2</w:t>
      </w:r>
      <w:r w:rsidR="007D61B1">
        <w:rPr>
          <w:rFonts w:asciiTheme="minorHAnsi" w:hAnsiTheme="minorHAnsi"/>
          <w:color w:val="000000" w:themeColor="text1"/>
          <w:sz w:val="22"/>
        </w:rPr>
        <w:t xml:space="preserve"> is simply the types of issues. Step </w:t>
      </w:r>
      <w:r w:rsidR="0019306B">
        <w:rPr>
          <w:rFonts w:asciiTheme="minorHAnsi" w:hAnsiTheme="minorHAnsi"/>
          <w:color w:val="000000" w:themeColor="text1"/>
          <w:sz w:val="22"/>
        </w:rPr>
        <w:t>2</w:t>
      </w:r>
      <w:r w:rsidR="007D61B1">
        <w:rPr>
          <w:rFonts w:asciiTheme="minorHAnsi" w:hAnsiTheme="minorHAnsi"/>
          <w:color w:val="000000" w:themeColor="text1"/>
          <w:sz w:val="22"/>
        </w:rPr>
        <w:t xml:space="preserve"> is focused on issues that have result</w:t>
      </w:r>
      <w:r w:rsidR="00EE3B5E">
        <w:rPr>
          <w:rFonts w:asciiTheme="minorHAnsi" w:hAnsiTheme="minorHAnsi"/>
          <w:color w:val="000000" w:themeColor="text1"/>
          <w:sz w:val="22"/>
        </w:rPr>
        <w:t>ed</w:t>
      </w:r>
      <w:r w:rsidR="007D61B1">
        <w:rPr>
          <w:rFonts w:asciiTheme="minorHAnsi" w:hAnsiTheme="minorHAnsi"/>
          <w:color w:val="000000" w:themeColor="text1"/>
          <w:sz w:val="22"/>
        </w:rPr>
        <w:t xml:space="preserve"> in negative capital trends. Step </w:t>
      </w:r>
      <w:r w:rsidR="0019306B">
        <w:rPr>
          <w:rFonts w:asciiTheme="minorHAnsi" w:hAnsiTheme="minorHAnsi"/>
          <w:color w:val="000000" w:themeColor="text1"/>
          <w:sz w:val="22"/>
        </w:rPr>
        <w:t>3;</w:t>
      </w:r>
      <w:r w:rsidR="007D61B1">
        <w:rPr>
          <w:rFonts w:asciiTheme="minorHAnsi" w:hAnsiTheme="minorHAnsi"/>
          <w:color w:val="000000" w:themeColor="text1"/>
          <w:sz w:val="22"/>
        </w:rPr>
        <w:t xml:space="preserve"> however</w:t>
      </w:r>
      <w:r w:rsidR="0019306B">
        <w:rPr>
          <w:rFonts w:asciiTheme="minorHAnsi" w:hAnsiTheme="minorHAnsi"/>
          <w:color w:val="000000" w:themeColor="text1"/>
          <w:sz w:val="22"/>
        </w:rPr>
        <w:t>,</w:t>
      </w:r>
      <w:r w:rsidR="007D61B1">
        <w:rPr>
          <w:rFonts w:asciiTheme="minorHAnsi" w:hAnsiTheme="minorHAnsi"/>
          <w:color w:val="000000" w:themeColor="text1"/>
          <w:sz w:val="22"/>
        </w:rPr>
        <w:t xml:space="preserve"> is focused on the issues that impact the risk being measured in the GCC. In most cases that risk is either from the asset side or from the liability side where in both cases there has been an increase in such risk that has not be</w:t>
      </w:r>
      <w:r w:rsidR="0019306B">
        <w:rPr>
          <w:rFonts w:asciiTheme="minorHAnsi" w:hAnsiTheme="minorHAnsi"/>
          <w:color w:val="000000" w:themeColor="text1"/>
          <w:sz w:val="22"/>
        </w:rPr>
        <w:t>en</w:t>
      </w:r>
      <w:r w:rsidR="007D61B1">
        <w:rPr>
          <w:rFonts w:asciiTheme="minorHAnsi" w:hAnsiTheme="minorHAnsi"/>
          <w:color w:val="000000" w:themeColor="text1"/>
          <w:sz w:val="22"/>
        </w:rPr>
        <w:t xml:space="preserve"> offset by a corresponding or equal increase in capital. In general, </w:t>
      </w:r>
      <w:r w:rsidR="0019306B">
        <w:rPr>
          <w:rFonts w:asciiTheme="minorHAnsi" w:hAnsiTheme="minorHAnsi"/>
          <w:color w:val="000000" w:themeColor="text1"/>
          <w:sz w:val="22"/>
        </w:rPr>
        <w:t>this is referred to</w:t>
      </w:r>
      <w:r w:rsidR="007D61B1">
        <w:rPr>
          <w:rFonts w:asciiTheme="minorHAnsi" w:hAnsiTheme="minorHAnsi"/>
          <w:color w:val="000000" w:themeColor="text1"/>
          <w:sz w:val="22"/>
        </w:rPr>
        <w:t xml:space="preserve"> as operating leverage, where this risk can manifest itself either through increased writings or exposure</w:t>
      </w:r>
      <w:r w:rsidR="002D4AE8">
        <w:rPr>
          <w:rFonts w:asciiTheme="minorHAnsi" w:hAnsiTheme="minorHAnsi"/>
          <w:color w:val="000000" w:themeColor="text1"/>
          <w:sz w:val="22"/>
        </w:rPr>
        <w:t xml:space="preserve"> (e.g.</w:t>
      </w:r>
      <w:r w:rsidR="00975E6D">
        <w:rPr>
          <w:rFonts w:asciiTheme="minorHAnsi" w:hAnsiTheme="minorHAnsi"/>
          <w:color w:val="000000" w:themeColor="text1"/>
          <w:sz w:val="22"/>
        </w:rPr>
        <w:t>,</w:t>
      </w:r>
      <w:r w:rsidR="002D4AE8">
        <w:rPr>
          <w:rFonts w:asciiTheme="minorHAnsi" w:hAnsiTheme="minorHAnsi"/>
          <w:color w:val="000000" w:themeColor="text1"/>
          <w:sz w:val="22"/>
        </w:rPr>
        <w:t xml:space="preserve"> </w:t>
      </w:r>
      <w:r w:rsidR="00975E6D">
        <w:rPr>
          <w:rFonts w:asciiTheme="minorHAnsi" w:hAnsiTheme="minorHAnsi"/>
          <w:color w:val="000000" w:themeColor="text1"/>
          <w:sz w:val="22"/>
        </w:rPr>
        <w:t xml:space="preserve">the </w:t>
      </w:r>
      <w:r w:rsidR="002D4AE8">
        <w:rPr>
          <w:rFonts w:asciiTheme="minorHAnsi" w:hAnsiTheme="minorHAnsi"/>
          <w:color w:val="000000" w:themeColor="text1"/>
          <w:sz w:val="22"/>
        </w:rPr>
        <w:t>ratio of premiums to capital or liabilities to capital)</w:t>
      </w:r>
      <w:r w:rsidR="007D61B1">
        <w:rPr>
          <w:rFonts w:asciiTheme="minorHAnsi" w:hAnsiTheme="minorHAnsi"/>
          <w:color w:val="000000" w:themeColor="text1"/>
          <w:sz w:val="22"/>
        </w:rPr>
        <w:t xml:space="preserve">, or through increased assets that also carry risk. The expectation is that </w:t>
      </w:r>
      <w:r w:rsidR="0019306B">
        <w:rPr>
          <w:rFonts w:asciiTheme="minorHAnsi" w:hAnsiTheme="minorHAnsi"/>
          <w:color w:val="000000" w:themeColor="text1"/>
          <w:sz w:val="22"/>
        </w:rPr>
        <w:t>other regulated entities also have capital requirements that increase as these different types of risks increase,</w:t>
      </w:r>
      <w:r w:rsidR="0019306B" w:rsidDel="0019306B">
        <w:rPr>
          <w:rFonts w:asciiTheme="minorHAnsi" w:hAnsiTheme="minorHAnsi"/>
          <w:color w:val="000000" w:themeColor="text1"/>
          <w:sz w:val="22"/>
        </w:rPr>
        <w:t xml:space="preserve"> </w:t>
      </w:r>
      <w:r w:rsidR="0019306B">
        <w:rPr>
          <w:rFonts w:asciiTheme="minorHAnsi" w:hAnsiTheme="minorHAnsi"/>
          <w:color w:val="000000" w:themeColor="text1"/>
          <w:sz w:val="22"/>
        </w:rPr>
        <w:t>similar to how the</w:t>
      </w:r>
      <w:r w:rsidR="007D61B1">
        <w:rPr>
          <w:rFonts w:asciiTheme="minorHAnsi" w:hAnsiTheme="minorHAnsi"/>
          <w:color w:val="000000" w:themeColor="text1"/>
          <w:sz w:val="22"/>
        </w:rPr>
        <w:t xml:space="preserve"> NAIC RBC considers different types of products and assets </w:t>
      </w:r>
      <w:r w:rsidR="0019306B">
        <w:rPr>
          <w:rFonts w:asciiTheme="minorHAnsi" w:hAnsiTheme="minorHAnsi"/>
          <w:color w:val="000000" w:themeColor="text1"/>
          <w:sz w:val="22"/>
        </w:rPr>
        <w:t xml:space="preserve">that </w:t>
      </w:r>
      <w:r w:rsidR="007D61B1">
        <w:rPr>
          <w:rFonts w:asciiTheme="minorHAnsi" w:hAnsiTheme="minorHAnsi"/>
          <w:color w:val="000000" w:themeColor="text1"/>
          <w:sz w:val="22"/>
        </w:rPr>
        <w:t xml:space="preserve">carry more risk. </w:t>
      </w:r>
    </w:p>
    <w:p w14:paraId="1BDC32BA" w14:textId="6992C057" w:rsidR="00D77515" w:rsidRDefault="00D77515" w:rsidP="007D61B1">
      <w:pPr>
        <w:tabs>
          <w:tab w:val="left" w:pos="360"/>
        </w:tabs>
        <w:jc w:val="both"/>
        <w:rPr>
          <w:rFonts w:asciiTheme="minorHAnsi" w:hAnsiTheme="minorHAnsi"/>
          <w:color w:val="000000" w:themeColor="text1"/>
          <w:sz w:val="22"/>
        </w:rPr>
      </w:pPr>
    </w:p>
    <w:tbl>
      <w:tblPr>
        <w:tblStyle w:val="TableGrid"/>
        <w:tblW w:w="10159" w:type="dxa"/>
        <w:tblInd w:w="108" w:type="dxa"/>
        <w:tblLayout w:type="fixed"/>
        <w:tblLook w:val="04A0" w:firstRow="1" w:lastRow="0" w:firstColumn="1" w:lastColumn="0" w:noHBand="0" w:noVBand="1"/>
      </w:tblPr>
      <w:tblGrid>
        <w:gridCol w:w="6277"/>
        <w:gridCol w:w="1890"/>
        <w:gridCol w:w="1992"/>
      </w:tblGrid>
      <w:tr w:rsidR="0019306B" w:rsidRPr="008A4213" w14:paraId="24E1D8D4" w14:textId="77777777" w:rsidTr="00D77515">
        <w:trPr>
          <w:trHeight w:val="263"/>
        </w:trPr>
        <w:tc>
          <w:tcPr>
            <w:tcW w:w="6277" w:type="dxa"/>
            <w:tcBorders>
              <w:top w:val="single" w:sz="4" w:space="0" w:color="auto"/>
              <w:left w:val="single" w:sz="4" w:space="0" w:color="auto"/>
            </w:tcBorders>
            <w:shd w:val="clear" w:color="auto" w:fill="D9D9D9" w:themeFill="background1" w:themeFillShade="D9"/>
          </w:tcPr>
          <w:p w14:paraId="72177BFA" w14:textId="77777777" w:rsidR="0019306B" w:rsidRPr="008A4213" w:rsidRDefault="0019306B" w:rsidP="00F044BB">
            <w:pPr>
              <w:jc w:val="center"/>
              <w:rPr>
                <w:rFonts w:ascii="Calibri" w:hAnsi="Calibri"/>
                <w:i/>
                <w:color w:val="000000" w:themeColor="text1"/>
                <w:sz w:val="22"/>
                <w:szCs w:val="22"/>
              </w:rPr>
            </w:pPr>
          </w:p>
        </w:tc>
        <w:tc>
          <w:tcPr>
            <w:tcW w:w="1890" w:type="dxa"/>
            <w:shd w:val="clear" w:color="auto" w:fill="D9D9D9" w:themeFill="background1" w:themeFillShade="D9"/>
          </w:tcPr>
          <w:p w14:paraId="03B1FA7B" w14:textId="748428D2" w:rsidR="0019306B" w:rsidRPr="008A4213" w:rsidRDefault="0019306B" w:rsidP="00F044BB">
            <w:pPr>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1992" w:type="dxa"/>
            <w:shd w:val="clear" w:color="auto" w:fill="D9D9D9" w:themeFill="background1" w:themeFillShade="D9"/>
          </w:tcPr>
          <w:p w14:paraId="09FC0894" w14:textId="3E454D44" w:rsidR="0019306B" w:rsidRPr="008A4213" w:rsidRDefault="0019306B" w:rsidP="00F044BB">
            <w:pPr>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19306B" w:rsidRPr="008A4213" w14:paraId="67E9C3FC" w14:textId="77777777" w:rsidTr="00D77515">
        <w:trPr>
          <w:trHeight w:val="792"/>
        </w:trPr>
        <w:tc>
          <w:tcPr>
            <w:tcW w:w="6277" w:type="dxa"/>
            <w:shd w:val="clear" w:color="auto" w:fill="auto"/>
          </w:tcPr>
          <w:p w14:paraId="0748064D" w14:textId="7B24A1C6" w:rsidR="0019306B" w:rsidRPr="00F5243D" w:rsidRDefault="0019306B" w:rsidP="007C2BD3">
            <w:pPr>
              <w:pStyle w:val="BodyTextIndent"/>
              <w:numPr>
                <w:ilvl w:val="0"/>
                <w:numId w:val="9"/>
              </w:numPr>
              <w:rPr>
                <w:rFonts w:ascii="Calibri" w:hAnsi="Calibri"/>
                <w:color w:val="000000" w:themeColor="text1"/>
                <w:szCs w:val="22"/>
              </w:rPr>
            </w:pPr>
            <w:r w:rsidRPr="008A4213">
              <w:rPr>
                <w:rFonts w:ascii="Calibri" w:hAnsi="Calibri"/>
                <w:color w:val="000000" w:themeColor="text1"/>
                <w:szCs w:val="22"/>
              </w:rPr>
              <w:t xml:space="preserve">Review the </w:t>
            </w:r>
            <w:r>
              <w:rPr>
                <w:rFonts w:ascii="Calibri" w:hAnsi="Calibri"/>
                <w:color w:val="000000" w:themeColor="text1"/>
                <w:szCs w:val="22"/>
              </w:rPr>
              <w:t>GCC ratio from each of the reported entities and</w:t>
            </w:r>
            <w:r w:rsidRPr="008A4213">
              <w:rPr>
                <w:rFonts w:ascii="Calibri" w:hAnsi="Calibri"/>
                <w:color w:val="000000" w:themeColor="text1"/>
                <w:szCs w:val="22"/>
              </w:rPr>
              <w:t xml:space="preserve"> </w:t>
            </w:r>
            <w:r>
              <w:rPr>
                <w:rFonts w:ascii="Calibri" w:hAnsi="Calibri"/>
                <w:color w:val="000000" w:themeColor="text1"/>
                <w:szCs w:val="22"/>
              </w:rPr>
              <w:t xml:space="preserve">compare to the same </w:t>
            </w:r>
            <w:r w:rsidR="00823F3F">
              <w:rPr>
                <w:rFonts w:ascii="Calibri" w:hAnsi="Calibri"/>
                <w:color w:val="000000" w:themeColor="text1"/>
                <w:szCs w:val="22"/>
              </w:rPr>
              <w:t xml:space="preserve">ratio </w:t>
            </w:r>
            <w:r>
              <w:rPr>
                <w:rFonts w:ascii="Calibri" w:hAnsi="Calibri"/>
                <w:color w:val="000000" w:themeColor="text1"/>
                <w:szCs w:val="22"/>
              </w:rPr>
              <w:t xml:space="preserve">from the prior year. Determine which entities may have led to the negative trends based upon corresponding increases in leverage. </w:t>
            </w:r>
          </w:p>
        </w:tc>
        <w:tc>
          <w:tcPr>
            <w:tcW w:w="1890" w:type="dxa"/>
          </w:tcPr>
          <w:p w14:paraId="65A3E73D" w14:textId="42C501B9" w:rsidR="0019306B" w:rsidRPr="008A4213" w:rsidRDefault="009A0EC3" w:rsidP="00F044BB">
            <w:pPr>
              <w:jc w:val="center"/>
              <w:rPr>
                <w:rFonts w:ascii="Calibri" w:hAnsi="Calibri"/>
                <w:color w:val="000000" w:themeColor="text1"/>
                <w:sz w:val="22"/>
                <w:szCs w:val="22"/>
              </w:rPr>
            </w:pPr>
            <w:r>
              <w:rPr>
                <w:rFonts w:ascii="Calibri" w:hAnsi="Calibri"/>
                <w:color w:val="000000" w:themeColor="text1"/>
                <w:sz w:val="22"/>
                <w:szCs w:val="22"/>
              </w:rPr>
              <w:t>MK, CR, RV, ST, OP, RP</w:t>
            </w:r>
          </w:p>
        </w:tc>
        <w:tc>
          <w:tcPr>
            <w:tcW w:w="1992" w:type="dxa"/>
          </w:tcPr>
          <w:p w14:paraId="71265DCF" w14:textId="5DE2ECD1" w:rsidR="0019306B" w:rsidRPr="008A4213" w:rsidRDefault="0019306B" w:rsidP="00F044BB">
            <w:pPr>
              <w:jc w:val="center"/>
              <w:rPr>
                <w:rFonts w:ascii="Calibri" w:hAnsi="Calibri"/>
                <w:color w:val="000000" w:themeColor="text1"/>
              </w:rPr>
            </w:pPr>
            <w:r w:rsidRPr="008A4213">
              <w:rPr>
                <w:rFonts w:ascii="Calibri" w:hAnsi="Calibri"/>
                <w:color w:val="000000" w:themeColor="text1"/>
                <w:sz w:val="22"/>
                <w:szCs w:val="22"/>
              </w:rPr>
              <w:t>&lt;-10%</w:t>
            </w:r>
          </w:p>
        </w:tc>
      </w:tr>
      <w:tr w:rsidR="0019306B" w:rsidRPr="008A4213" w14:paraId="2F742F6E" w14:textId="77777777" w:rsidTr="00D77515">
        <w:trPr>
          <w:trHeight w:val="1162"/>
        </w:trPr>
        <w:tc>
          <w:tcPr>
            <w:tcW w:w="6277" w:type="dxa"/>
            <w:shd w:val="clear" w:color="auto" w:fill="auto"/>
          </w:tcPr>
          <w:p w14:paraId="0E108912" w14:textId="475F2D8D" w:rsidR="0019306B" w:rsidRPr="00135C89"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lastRenderedPageBreak/>
              <w:t>Review the levels of operating leverage for each of the reported entities in the GCC as well as the same for the prior years as reported in the GCC to determine if there are particular entities showing signs of increasing operating leverage which may lead to future decreases in the GCC ratio or total available capital.</w:t>
            </w:r>
          </w:p>
        </w:tc>
        <w:tc>
          <w:tcPr>
            <w:tcW w:w="1890" w:type="dxa"/>
          </w:tcPr>
          <w:p w14:paraId="60F05487" w14:textId="15412765" w:rsidR="0019306B" w:rsidRPr="008A4213"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MK, CR, RV, ST, OP, RP</w:t>
            </w:r>
          </w:p>
        </w:tc>
        <w:tc>
          <w:tcPr>
            <w:tcW w:w="1992" w:type="dxa"/>
          </w:tcPr>
          <w:p w14:paraId="2B6727F2" w14:textId="5BEAFCC7" w:rsidR="0019306B" w:rsidRPr="008A4213" w:rsidRDefault="0019306B" w:rsidP="00E5685D">
            <w:pPr>
              <w:spacing w:after="120"/>
              <w:jc w:val="center"/>
              <w:rPr>
                <w:rFonts w:ascii="Calibri" w:hAnsi="Calibri"/>
                <w:color w:val="000000" w:themeColor="text1"/>
                <w:sz w:val="22"/>
                <w:szCs w:val="22"/>
              </w:rPr>
            </w:pPr>
            <w:r w:rsidRPr="008A4213">
              <w:rPr>
                <w:rFonts w:ascii="Calibri" w:hAnsi="Calibri"/>
                <w:color w:val="000000" w:themeColor="text1"/>
                <w:sz w:val="22"/>
                <w:szCs w:val="22"/>
              </w:rPr>
              <w:t>&lt;-10%</w:t>
            </w:r>
          </w:p>
        </w:tc>
      </w:tr>
      <w:tr w:rsidR="0019306B" w:rsidRPr="008A4213" w14:paraId="449A8AD6" w14:textId="77777777" w:rsidTr="00D77515">
        <w:trPr>
          <w:trHeight w:val="1162"/>
        </w:trPr>
        <w:tc>
          <w:tcPr>
            <w:tcW w:w="6277" w:type="dxa"/>
            <w:shd w:val="clear" w:color="auto" w:fill="auto"/>
          </w:tcPr>
          <w:p w14:paraId="174C5180" w14:textId="5F13776F" w:rsidR="0019306B"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 xml:space="preserve">For each of the reported entities showing a meaningful decrease in the GCC due to an increase in operating leverage, request information that </w:t>
            </w:r>
            <w:r w:rsidR="00EE3B5E">
              <w:rPr>
                <w:rFonts w:ascii="Calibri" w:hAnsi="Calibri"/>
                <w:color w:val="000000" w:themeColor="text1"/>
                <w:szCs w:val="22"/>
              </w:rPr>
              <w:t xml:space="preserve">identifies </w:t>
            </w:r>
            <w:r>
              <w:rPr>
                <w:rFonts w:ascii="Calibri" w:hAnsi="Calibri"/>
                <w:color w:val="000000" w:themeColor="text1"/>
                <w:szCs w:val="22"/>
              </w:rPr>
              <w:t>the issues by inquiring first from the legal entity regulator or the group itself (e.g., non-insurance company), if applicable.</w:t>
            </w:r>
          </w:p>
        </w:tc>
        <w:tc>
          <w:tcPr>
            <w:tcW w:w="1890" w:type="dxa"/>
          </w:tcPr>
          <w:p w14:paraId="197E7E22" w14:textId="7F90FC71" w:rsidR="0019306B"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MK, CR, RV, ST, OP, RP</w:t>
            </w:r>
          </w:p>
        </w:tc>
        <w:tc>
          <w:tcPr>
            <w:tcW w:w="1992" w:type="dxa"/>
          </w:tcPr>
          <w:p w14:paraId="65DF5A5D" w14:textId="7EE7B101" w:rsidR="0019306B" w:rsidRPr="008A4213" w:rsidRDefault="0019306B" w:rsidP="00E5685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602A3EE3" w14:textId="77777777" w:rsidTr="00D77515">
        <w:trPr>
          <w:trHeight w:val="1436"/>
        </w:trPr>
        <w:tc>
          <w:tcPr>
            <w:tcW w:w="6277" w:type="dxa"/>
            <w:shd w:val="clear" w:color="auto" w:fill="auto"/>
          </w:tcPr>
          <w:p w14:paraId="77CD008A" w14:textId="4A75219C" w:rsidR="0019306B"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 xml:space="preserve">If operating leverage has increased, consider if growth may have resulted from underpriced products or a change in underwriting. Specifically inquire to determine if pricing was reduced to increase sales, or whether the growth is in new product lines or new geographic focus where the group may not have expertise. When considering pricing being modified, include those products that the price is adjusted through crediting rates. </w:t>
            </w:r>
          </w:p>
        </w:tc>
        <w:tc>
          <w:tcPr>
            <w:tcW w:w="1890" w:type="dxa"/>
          </w:tcPr>
          <w:p w14:paraId="0066A94F" w14:textId="43E629D0" w:rsidR="0019306B"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PR/UW, OP, ST</w:t>
            </w:r>
          </w:p>
        </w:tc>
        <w:tc>
          <w:tcPr>
            <w:tcW w:w="1992" w:type="dxa"/>
          </w:tcPr>
          <w:p w14:paraId="0E9AB54F" w14:textId="24B9A11D" w:rsidR="0019306B" w:rsidRPr="008A4213" w:rsidRDefault="0019306B" w:rsidP="00E5685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36EF7A3A" w14:textId="77777777" w:rsidTr="00D77515">
        <w:trPr>
          <w:trHeight w:val="899"/>
        </w:trPr>
        <w:tc>
          <w:tcPr>
            <w:tcW w:w="6277" w:type="dxa"/>
            <w:shd w:val="clear" w:color="auto" w:fill="auto"/>
          </w:tcPr>
          <w:p w14:paraId="4FBB643A" w14:textId="46471E03" w:rsidR="0019306B"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 xml:space="preserve">If operating leverage has increased, consider if reserving risk has also increased, through potential underpricing that ultimately manifests itself into reserve adjustments. To do so, obtain current profitability information on the products leading to the increased leverage. </w:t>
            </w:r>
          </w:p>
        </w:tc>
        <w:tc>
          <w:tcPr>
            <w:tcW w:w="1890" w:type="dxa"/>
          </w:tcPr>
          <w:p w14:paraId="4A469E1B" w14:textId="544694F0" w:rsidR="0019306B"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RV</w:t>
            </w:r>
          </w:p>
        </w:tc>
        <w:tc>
          <w:tcPr>
            <w:tcW w:w="1992" w:type="dxa"/>
          </w:tcPr>
          <w:p w14:paraId="6300F623" w14:textId="7D79F205" w:rsidR="0019306B" w:rsidRPr="008A4213" w:rsidRDefault="0019306B" w:rsidP="00E5685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7E1ED64E" w14:textId="77777777" w:rsidTr="00D77515">
        <w:trPr>
          <w:trHeight w:val="909"/>
        </w:trPr>
        <w:tc>
          <w:tcPr>
            <w:tcW w:w="6277" w:type="dxa"/>
            <w:shd w:val="clear" w:color="auto" w:fill="auto"/>
          </w:tcPr>
          <w:p w14:paraId="1C30D0EC" w14:textId="7B681CC4" w:rsidR="0019306B"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 xml:space="preserve">If operating leverage has increased, obtain current information on the asset mix to be certain that there is a corresponding decrease in riskier assets to mitigate the otherwise likely increase in market and credit risk. </w:t>
            </w:r>
          </w:p>
        </w:tc>
        <w:tc>
          <w:tcPr>
            <w:tcW w:w="1890" w:type="dxa"/>
          </w:tcPr>
          <w:p w14:paraId="49FCDE5A" w14:textId="29F58EE2" w:rsidR="0019306B"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CR, MK</w:t>
            </w:r>
          </w:p>
        </w:tc>
        <w:tc>
          <w:tcPr>
            <w:tcW w:w="1992" w:type="dxa"/>
          </w:tcPr>
          <w:p w14:paraId="17CBBD03" w14:textId="122C5671" w:rsidR="0019306B" w:rsidRPr="008A4213" w:rsidRDefault="0019306B" w:rsidP="00E5685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bl>
    <w:p w14:paraId="73A8D065" w14:textId="0EA1D11A" w:rsidR="009C3FE4" w:rsidRPr="00D8104C" w:rsidRDefault="009C3FE4" w:rsidP="00D8104C">
      <w:pPr>
        <w:tabs>
          <w:tab w:val="left" w:pos="360"/>
        </w:tabs>
        <w:jc w:val="both"/>
        <w:rPr>
          <w:rFonts w:asciiTheme="minorHAnsi" w:hAnsiTheme="minorHAnsi"/>
          <w:color w:val="000000" w:themeColor="text1"/>
          <w:sz w:val="22"/>
        </w:rPr>
      </w:pPr>
    </w:p>
    <w:p w14:paraId="70DF9547" w14:textId="5175DB67" w:rsidR="007D61B1" w:rsidRPr="00D8104C" w:rsidRDefault="00D8104C" w:rsidP="00D8104C">
      <w:pPr>
        <w:tabs>
          <w:tab w:val="left" w:pos="360"/>
        </w:tabs>
        <w:jc w:val="both"/>
        <w:rPr>
          <w:rFonts w:asciiTheme="minorHAnsi" w:hAnsiTheme="minorHAnsi"/>
          <w:color w:val="000000" w:themeColor="text1"/>
          <w:sz w:val="22"/>
        </w:rPr>
      </w:pPr>
      <w:r>
        <w:rPr>
          <w:rFonts w:asciiTheme="minorHAnsi" w:hAnsiTheme="minorHAnsi"/>
          <w:color w:val="000000" w:themeColor="text1"/>
          <w:sz w:val="22"/>
        </w:rPr>
        <w:t>U</w:t>
      </w:r>
      <w:r w:rsidRPr="007D61B1">
        <w:rPr>
          <w:rFonts w:asciiTheme="minorHAnsi" w:hAnsiTheme="minorHAnsi"/>
          <w:color w:val="000000" w:themeColor="text1"/>
          <w:sz w:val="22"/>
        </w:rPr>
        <w:t xml:space="preserve">nless obvious from the information obtained in step </w:t>
      </w:r>
      <w:r w:rsidR="009A0EC3">
        <w:rPr>
          <w:rFonts w:asciiTheme="minorHAnsi" w:hAnsiTheme="minorHAnsi"/>
          <w:color w:val="000000" w:themeColor="text1"/>
          <w:sz w:val="22"/>
        </w:rPr>
        <w:t>3</w:t>
      </w:r>
      <w:r w:rsidRPr="007D61B1">
        <w:rPr>
          <w:rFonts w:asciiTheme="minorHAnsi" w:hAnsiTheme="minorHAnsi"/>
          <w:color w:val="000000" w:themeColor="text1"/>
          <w:sz w:val="22"/>
        </w:rPr>
        <w:t xml:space="preserve">, the analyst should proceed to step </w:t>
      </w:r>
      <w:r w:rsidR="009A0EC3">
        <w:rPr>
          <w:rFonts w:asciiTheme="minorHAnsi" w:hAnsiTheme="minorHAnsi"/>
          <w:color w:val="000000" w:themeColor="text1"/>
          <w:sz w:val="22"/>
        </w:rPr>
        <w:t>5</w:t>
      </w:r>
      <w:r w:rsidRPr="007D61B1">
        <w:rPr>
          <w:rFonts w:asciiTheme="minorHAnsi" w:hAnsiTheme="minorHAnsi"/>
          <w:color w:val="000000" w:themeColor="text1"/>
          <w:sz w:val="22"/>
        </w:rPr>
        <w:t xml:space="preserve"> to understand more fully the actions being taken by the group to address the issues identified in step </w:t>
      </w:r>
      <w:r w:rsidR="009A0EC3">
        <w:rPr>
          <w:rFonts w:asciiTheme="minorHAnsi" w:hAnsiTheme="minorHAnsi"/>
          <w:color w:val="000000" w:themeColor="text1"/>
          <w:sz w:val="22"/>
        </w:rPr>
        <w:t>3</w:t>
      </w:r>
      <w:r w:rsidRPr="007D61B1">
        <w:rPr>
          <w:rFonts w:asciiTheme="minorHAnsi" w:hAnsiTheme="minorHAnsi"/>
          <w:color w:val="000000" w:themeColor="text1"/>
          <w:sz w:val="22"/>
        </w:rPr>
        <w:t>.</w:t>
      </w:r>
      <w:r w:rsidR="00F044BB">
        <w:rPr>
          <w:rFonts w:asciiTheme="minorHAnsi" w:hAnsiTheme="minorHAnsi"/>
          <w:color w:val="000000" w:themeColor="text1"/>
          <w:sz w:val="22"/>
        </w:rPr>
        <w:t xml:space="preserve"> However, in some cases, </w:t>
      </w:r>
      <w:proofErr w:type="gramStart"/>
      <w:r w:rsidR="00F044BB">
        <w:rPr>
          <w:rFonts w:asciiTheme="minorHAnsi" w:hAnsiTheme="minorHAnsi"/>
          <w:color w:val="000000" w:themeColor="text1"/>
          <w:sz w:val="22"/>
        </w:rPr>
        <w:t>it</w:t>
      </w:r>
      <w:r w:rsidR="00207DA4">
        <w:rPr>
          <w:rFonts w:asciiTheme="minorHAnsi" w:hAnsiTheme="minorHAnsi"/>
          <w:color w:val="000000" w:themeColor="text1"/>
          <w:sz w:val="22"/>
        </w:rPr>
        <w:t>’</w:t>
      </w:r>
      <w:r w:rsidR="00F044BB">
        <w:rPr>
          <w:rFonts w:asciiTheme="minorHAnsi" w:hAnsiTheme="minorHAnsi"/>
          <w:color w:val="000000" w:themeColor="text1"/>
          <w:sz w:val="22"/>
        </w:rPr>
        <w:t>s</w:t>
      </w:r>
      <w:proofErr w:type="gramEnd"/>
      <w:r w:rsidR="00F044BB">
        <w:rPr>
          <w:rFonts w:asciiTheme="minorHAnsi" w:hAnsiTheme="minorHAnsi"/>
          <w:color w:val="000000" w:themeColor="text1"/>
          <w:sz w:val="22"/>
        </w:rPr>
        <w:t xml:space="preserve"> possible that no further follow up with the </w:t>
      </w:r>
      <w:r w:rsidR="00C00EA5">
        <w:rPr>
          <w:rFonts w:asciiTheme="minorHAnsi" w:hAnsiTheme="minorHAnsi"/>
          <w:color w:val="000000" w:themeColor="text1"/>
          <w:sz w:val="22"/>
        </w:rPr>
        <w:t>group</w:t>
      </w:r>
      <w:r w:rsidR="00F044BB">
        <w:rPr>
          <w:rFonts w:asciiTheme="minorHAnsi" w:hAnsiTheme="minorHAnsi"/>
          <w:color w:val="000000" w:themeColor="text1"/>
          <w:sz w:val="22"/>
        </w:rPr>
        <w:t xml:space="preserve"> will be necessary, and that the lead state should simply update the GPS to be certain the main understanding of the issues are known to all of the regulators utilizing the GPS. </w:t>
      </w:r>
    </w:p>
    <w:p w14:paraId="6235D5BC" w14:textId="1C2F330C" w:rsidR="000D4C69" w:rsidRDefault="000D4C69" w:rsidP="000D4C69"/>
    <w:p w14:paraId="5A0E42C7" w14:textId="77777777" w:rsidR="009E0073" w:rsidRPr="00E5685D" w:rsidRDefault="009E0073" w:rsidP="000D4C69"/>
    <w:p w14:paraId="4655688F" w14:textId="48845760" w:rsidR="000D4C69" w:rsidRPr="00597BAB" w:rsidRDefault="009A0EC3" w:rsidP="000D4C69">
      <w:pPr>
        <w:pStyle w:val="Heading2"/>
        <w:pBdr>
          <w:bottom w:val="single" w:sz="4" w:space="1" w:color="auto"/>
        </w:pBdr>
        <w:rPr>
          <w:rFonts w:asciiTheme="minorHAnsi" w:hAnsiTheme="minorHAnsi"/>
          <w:color w:val="000000" w:themeColor="text1"/>
          <w:sz w:val="28"/>
          <w:szCs w:val="28"/>
        </w:rPr>
      </w:pPr>
      <w:r>
        <w:rPr>
          <w:rFonts w:asciiTheme="minorHAnsi" w:hAnsiTheme="minorHAnsi"/>
          <w:color w:val="000000" w:themeColor="text1"/>
          <w:sz w:val="28"/>
          <w:szCs w:val="28"/>
        </w:rPr>
        <w:t>Procedure Step 4</w:t>
      </w:r>
      <w:r w:rsidR="000D4C69">
        <w:rPr>
          <w:rFonts w:asciiTheme="minorHAnsi" w:hAnsiTheme="minorHAnsi"/>
          <w:color w:val="000000" w:themeColor="text1"/>
          <w:sz w:val="28"/>
          <w:szCs w:val="28"/>
        </w:rPr>
        <w:t>-Evaluate the Capital Allocation Patterns</w:t>
      </w:r>
      <w:r w:rsidR="000D4C69" w:rsidRPr="00597BAB">
        <w:rPr>
          <w:rFonts w:asciiTheme="minorHAnsi" w:hAnsiTheme="minorHAnsi"/>
          <w:color w:val="000000" w:themeColor="text1"/>
          <w:sz w:val="28"/>
          <w:szCs w:val="28"/>
        </w:rPr>
        <w:t xml:space="preserve"> </w:t>
      </w:r>
    </w:p>
    <w:p w14:paraId="559918EE" w14:textId="31860A1E" w:rsidR="000D4C69" w:rsidRPr="009A0EC3" w:rsidRDefault="000D4C69" w:rsidP="007C2BD3">
      <w:pPr>
        <w:pStyle w:val="ListParagraph"/>
        <w:numPr>
          <w:ilvl w:val="0"/>
          <w:numId w:val="13"/>
        </w:numPr>
        <w:rPr>
          <w:rFonts w:asciiTheme="minorHAnsi" w:hAnsiTheme="minorHAnsi"/>
          <w:color w:val="000000" w:themeColor="text1"/>
        </w:rPr>
      </w:pPr>
      <w:r w:rsidRPr="009A0EC3">
        <w:rPr>
          <w:b/>
          <w:color w:val="000000" w:themeColor="text1"/>
        </w:rPr>
        <w:t xml:space="preserve">Determine the capital allocation patterns to determine if some entities may put pressure on other legal entities. </w:t>
      </w:r>
    </w:p>
    <w:p w14:paraId="52EE8B23" w14:textId="271A6C7A" w:rsidR="000D4C69" w:rsidRPr="007D61B1" w:rsidRDefault="000D4C69" w:rsidP="000D4C69">
      <w:pPr>
        <w:tabs>
          <w:tab w:val="left" w:pos="360"/>
        </w:tabs>
        <w:jc w:val="both"/>
        <w:rPr>
          <w:rFonts w:asciiTheme="minorHAnsi" w:hAnsiTheme="minorHAnsi"/>
          <w:color w:val="000000" w:themeColor="text1"/>
          <w:sz w:val="22"/>
        </w:rPr>
      </w:pPr>
      <w:r>
        <w:rPr>
          <w:rFonts w:asciiTheme="minorHAnsi" w:hAnsiTheme="minorHAnsi"/>
          <w:color w:val="000000" w:themeColor="text1"/>
          <w:sz w:val="22"/>
        </w:rPr>
        <w:t xml:space="preserve">Steps </w:t>
      </w:r>
      <w:r w:rsidR="009A0EC3">
        <w:rPr>
          <w:rFonts w:asciiTheme="minorHAnsi" w:hAnsiTheme="minorHAnsi"/>
          <w:color w:val="000000" w:themeColor="text1"/>
          <w:sz w:val="22"/>
        </w:rPr>
        <w:t>2</w:t>
      </w:r>
      <w:r>
        <w:rPr>
          <w:rFonts w:asciiTheme="minorHAnsi" w:hAnsiTheme="minorHAnsi"/>
          <w:color w:val="000000" w:themeColor="text1"/>
          <w:sz w:val="22"/>
        </w:rPr>
        <w:t xml:space="preserve"> and </w:t>
      </w:r>
      <w:r w:rsidR="009A0EC3">
        <w:rPr>
          <w:rFonts w:asciiTheme="minorHAnsi" w:hAnsiTheme="minorHAnsi"/>
          <w:color w:val="000000" w:themeColor="text1"/>
          <w:sz w:val="22"/>
        </w:rPr>
        <w:t>3</w:t>
      </w:r>
      <w:r>
        <w:rPr>
          <w:rFonts w:asciiTheme="minorHAnsi" w:hAnsiTheme="minorHAnsi"/>
          <w:color w:val="000000" w:themeColor="text1"/>
          <w:sz w:val="22"/>
        </w:rPr>
        <w:t xml:space="preserve"> are critical in understanding the issues faced by the group and in </w:t>
      </w:r>
      <w:r w:rsidR="00EE3B5E">
        <w:rPr>
          <w:rFonts w:asciiTheme="minorHAnsi" w:hAnsiTheme="minorHAnsi"/>
          <w:color w:val="000000" w:themeColor="text1"/>
          <w:sz w:val="22"/>
        </w:rPr>
        <w:t>identifying</w:t>
      </w:r>
      <w:r w:rsidR="00B41AE8">
        <w:rPr>
          <w:rFonts w:asciiTheme="minorHAnsi" w:hAnsiTheme="minorHAnsi"/>
          <w:color w:val="000000" w:themeColor="text1"/>
          <w:sz w:val="22"/>
        </w:rPr>
        <w:t xml:space="preserve"> the source of negative trends</w:t>
      </w:r>
      <w:r w:rsidR="009E1895">
        <w:rPr>
          <w:rFonts w:asciiTheme="minorHAnsi" w:hAnsiTheme="minorHAnsi"/>
          <w:color w:val="000000" w:themeColor="text1"/>
          <w:sz w:val="22"/>
        </w:rPr>
        <w:t>;</w:t>
      </w:r>
      <w:r w:rsidR="00B41AE8">
        <w:rPr>
          <w:rFonts w:asciiTheme="minorHAnsi" w:hAnsiTheme="minorHAnsi"/>
          <w:color w:val="000000" w:themeColor="text1"/>
          <w:sz w:val="22"/>
        </w:rPr>
        <w:t xml:space="preserve"> and while </w:t>
      </w:r>
      <w:r>
        <w:rPr>
          <w:rFonts w:asciiTheme="minorHAnsi" w:hAnsiTheme="minorHAnsi"/>
          <w:color w:val="000000" w:themeColor="text1"/>
          <w:sz w:val="22"/>
        </w:rPr>
        <w:t xml:space="preserve">additional follow up with the </w:t>
      </w:r>
      <w:r w:rsidR="00C00EA5">
        <w:rPr>
          <w:rFonts w:asciiTheme="minorHAnsi" w:hAnsiTheme="minorHAnsi"/>
          <w:color w:val="000000" w:themeColor="text1"/>
          <w:sz w:val="22"/>
        </w:rPr>
        <w:t xml:space="preserve">group </w:t>
      </w:r>
      <w:r>
        <w:rPr>
          <w:rFonts w:asciiTheme="minorHAnsi" w:hAnsiTheme="minorHAnsi"/>
          <w:color w:val="000000" w:themeColor="text1"/>
          <w:sz w:val="22"/>
        </w:rPr>
        <w:t>is expected</w:t>
      </w:r>
      <w:r w:rsidR="00B41AE8">
        <w:rPr>
          <w:rFonts w:asciiTheme="minorHAnsi" w:hAnsiTheme="minorHAnsi"/>
          <w:color w:val="000000" w:themeColor="text1"/>
          <w:sz w:val="22"/>
        </w:rPr>
        <w:t xml:space="preserve">, </w:t>
      </w:r>
      <w:r>
        <w:rPr>
          <w:rFonts w:asciiTheme="minorHAnsi" w:hAnsiTheme="minorHAnsi"/>
          <w:color w:val="000000" w:themeColor="text1"/>
          <w:sz w:val="22"/>
        </w:rPr>
        <w:t>before proceeding</w:t>
      </w:r>
      <w:r w:rsidR="00B41AE8">
        <w:rPr>
          <w:rFonts w:asciiTheme="minorHAnsi" w:hAnsiTheme="minorHAnsi"/>
          <w:color w:val="000000" w:themeColor="text1"/>
          <w:sz w:val="22"/>
        </w:rPr>
        <w:t xml:space="preserve"> to </w:t>
      </w:r>
      <w:r w:rsidR="00207DA4">
        <w:rPr>
          <w:rFonts w:asciiTheme="minorHAnsi" w:hAnsiTheme="minorHAnsi"/>
          <w:color w:val="000000" w:themeColor="text1"/>
          <w:sz w:val="22"/>
        </w:rPr>
        <w:t>S</w:t>
      </w:r>
      <w:r w:rsidR="00B41AE8">
        <w:rPr>
          <w:rFonts w:asciiTheme="minorHAnsi" w:hAnsiTheme="minorHAnsi"/>
          <w:color w:val="000000" w:themeColor="text1"/>
          <w:sz w:val="22"/>
        </w:rPr>
        <w:t xml:space="preserve">tep </w:t>
      </w:r>
      <w:r w:rsidR="009A0EC3">
        <w:rPr>
          <w:rFonts w:asciiTheme="minorHAnsi" w:hAnsiTheme="minorHAnsi"/>
          <w:color w:val="000000" w:themeColor="text1"/>
          <w:sz w:val="22"/>
        </w:rPr>
        <w:t>5</w:t>
      </w:r>
      <w:r>
        <w:rPr>
          <w:rFonts w:asciiTheme="minorHAnsi" w:hAnsiTheme="minorHAnsi"/>
          <w:color w:val="000000" w:themeColor="text1"/>
          <w:sz w:val="22"/>
        </w:rPr>
        <w:t xml:space="preserve">, the lead state should understand the </w:t>
      </w:r>
      <w:r w:rsidR="00B41AE8">
        <w:rPr>
          <w:rFonts w:asciiTheme="minorHAnsi" w:hAnsiTheme="minorHAnsi"/>
          <w:color w:val="000000" w:themeColor="text1"/>
          <w:sz w:val="22"/>
        </w:rPr>
        <w:t xml:space="preserve">historical </w:t>
      </w:r>
      <w:r>
        <w:rPr>
          <w:rFonts w:asciiTheme="minorHAnsi" w:hAnsiTheme="minorHAnsi"/>
          <w:color w:val="000000" w:themeColor="text1"/>
          <w:sz w:val="22"/>
        </w:rPr>
        <w:t xml:space="preserve">capital allocation patterns or </w:t>
      </w:r>
      <w:r w:rsidR="009E1895">
        <w:rPr>
          <w:rFonts w:asciiTheme="minorHAnsi" w:hAnsiTheme="minorHAnsi"/>
          <w:color w:val="000000" w:themeColor="text1"/>
          <w:sz w:val="22"/>
        </w:rPr>
        <w:t xml:space="preserve">the </w:t>
      </w:r>
      <w:r>
        <w:rPr>
          <w:rFonts w:asciiTheme="minorHAnsi" w:hAnsiTheme="minorHAnsi"/>
          <w:color w:val="000000" w:themeColor="text1"/>
          <w:sz w:val="22"/>
        </w:rPr>
        <w:t xml:space="preserve">likely </w:t>
      </w:r>
      <w:r w:rsidR="00B41AE8">
        <w:rPr>
          <w:rFonts w:asciiTheme="minorHAnsi" w:hAnsiTheme="minorHAnsi"/>
          <w:color w:val="000000" w:themeColor="text1"/>
          <w:sz w:val="22"/>
        </w:rPr>
        <w:t xml:space="preserve">future </w:t>
      </w:r>
      <w:r>
        <w:rPr>
          <w:rFonts w:asciiTheme="minorHAnsi" w:hAnsiTheme="minorHAnsi"/>
          <w:color w:val="000000" w:themeColor="text1"/>
          <w:sz w:val="22"/>
        </w:rPr>
        <w:t xml:space="preserve">needed capital allocation patterns. </w:t>
      </w:r>
      <w:r w:rsidR="002D4AE8">
        <w:rPr>
          <w:rFonts w:asciiTheme="minorHAnsi" w:hAnsiTheme="minorHAnsi"/>
          <w:color w:val="000000" w:themeColor="text1"/>
          <w:sz w:val="22"/>
        </w:rPr>
        <w:t>The GCC includes data on historical capital allocation patterns (e.g.</w:t>
      </w:r>
      <w:r w:rsidR="009E1895">
        <w:rPr>
          <w:rFonts w:asciiTheme="minorHAnsi" w:hAnsiTheme="minorHAnsi"/>
          <w:color w:val="000000" w:themeColor="text1"/>
          <w:sz w:val="22"/>
        </w:rPr>
        <w:t>,</w:t>
      </w:r>
      <w:r w:rsidR="002D4AE8">
        <w:rPr>
          <w:rFonts w:asciiTheme="minorHAnsi" w:hAnsiTheme="minorHAnsi"/>
          <w:color w:val="000000" w:themeColor="text1"/>
          <w:sz w:val="22"/>
        </w:rPr>
        <w:t xml:space="preserve"> contributed capital received/paid or dividends received/paid)</w:t>
      </w:r>
      <w:r w:rsidR="009E1895">
        <w:rPr>
          <w:rFonts w:asciiTheme="minorHAnsi" w:hAnsiTheme="minorHAnsi"/>
          <w:color w:val="000000" w:themeColor="text1"/>
          <w:sz w:val="22"/>
        </w:rPr>
        <w:t>,</w:t>
      </w:r>
      <w:r w:rsidR="002D4AE8">
        <w:rPr>
          <w:rFonts w:asciiTheme="minorHAnsi" w:hAnsiTheme="minorHAnsi"/>
          <w:color w:val="000000" w:themeColor="text1"/>
          <w:sz w:val="22"/>
        </w:rPr>
        <w:t xml:space="preserve"> which help to illustrate which entities need capital and which entities have capital that can be provided. While these patterns do not necessarily repeat themselves from one period to the next, there is</w:t>
      </w:r>
      <w:r w:rsidR="009E1895">
        <w:rPr>
          <w:rFonts w:asciiTheme="minorHAnsi" w:hAnsiTheme="minorHAnsi"/>
          <w:color w:val="000000" w:themeColor="text1"/>
          <w:sz w:val="22"/>
        </w:rPr>
        <w:t xml:space="preserve"> often</w:t>
      </w:r>
      <w:r w:rsidR="002D4AE8">
        <w:rPr>
          <w:rFonts w:asciiTheme="minorHAnsi" w:hAnsiTheme="minorHAnsi"/>
          <w:color w:val="000000" w:themeColor="text1"/>
          <w:sz w:val="22"/>
        </w:rPr>
        <w:t xml:space="preserve"> consistency in terms of entities that need capital or have excess capital</w:t>
      </w:r>
      <w:r w:rsidR="002C1FFF">
        <w:rPr>
          <w:rFonts w:asciiTheme="minorHAnsi" w:hAnsiTheme="minorHAnsi"/>
          <w:color w:val="000000" w:themeColor="text1"/>
          <w:sz w:val="22"/>
        </w:rPr>
        <w:t>, which may or may not be driven by losses</w:t>
      </w:r>
      <w:r w:rsidR="009E1895">
        <w:rPr>
          <w:rFonts w:asciiTheme="minorHAnsi" w:hAnsiTheme="minorHAnsi"/>
          <w:color w:val="000000" w:themeColor="text1"/>
          <w:sz w:val="22"/>
        </w:rPr>
        <w:t>,</w:t>
      </w:r>
      <w:r w:rsidR="002C1FFF">
        <w:rPr>
          <w:rFonts w:asciiTheme="minorHAnsi" w:hAnsiTheme="minorHAnsi"/>
          <w:color w:val="000000" w:themeColor="text1"/>
          <w:sz w:val="22"/>
        </w:rPr>
        <w:t xml:space="preserve"> but rather </w:t>
      </w:r>
      <w:r w:rsidR="009E1895">
        <w:rPr>
          <w:rFonts w:asciiTheme="minorHAnsi" w:hAnsiTheme="minorHAnsi"/>
          <w:color w:val="000000" w:themeColor="text1"/>
          <w:sz w:val="22"/>
        </w:rPr>
        <w:t xml:space="preserve">a </w:t>
      </w:r>
      <w:r w:rsidR="002C1FFF">
        <w:rPr>
          <w:rFonts w:asciiTheme="minorHAnsi" w:hAnsiTheme="minorHAnsi"/>
          <w:color w:val="000000" w:themeColor="text1"/>
          <w:sz w:val="22"/>
        </w:rPr>
        <w:t>change in strategy (e.g.</w:t>
      </w:r>
      <w:r w:rsidR="009E1895">
        <w:rPr>
          <w:rFonts w:asciiTheme="minorHAnsi" w:hAnsiTheme="minorHAnsi"/>
          <w:color w:val="000000" w:themeColor="text1"/>
          <w:sz w:val="22"/>
        </w:rPr>
        <w:t>,</w:t>
      </w:r>
      <w:r w:rsidR="002C1FFF">
        <w:rPr>
          <w:rFonts w:asciiTheme="minorHAnsi" w:hAnsiTheme="minorHAnsi"/>
          <w:color w:val="000000" w:themeColor="text1"/>
          <w:sz w:val="22"/>
        </w:rPr>
        <w:t xml:space="preserve"> increased writings at one company over another). Th</w:t>
      </w:r>
      <w:r w:rsidR="00207DA4">
        <w:rPr>
          <w:rFonts w:asciiTheme="minorHAnsi" w:hAnsiTheme="minorHAnsi"/>
          <w:color w:val="000000" w:themeColor="text1"/>
          <w:sz w:val="22"/>
        </w:rPr>
        <w:t>e</w:t>
      </w:r>
      <w:r w:rsidR="002C1FFF">
        <w:rPr>
          <w:rFonts w:asciiTheme="minorHAnsi" w:hAnsiTheme="minorHAnsi"/>
          <w:color w:val="000000" w:themeColor="text1"/>
          <w:sz w:val="22"/>
        </w:rPr>
        <w:t>s</w:t>
      </w:r>
      <w:r w:rsidR="00207DA4">
        <w:rPr>
          <w:rFonts w:asciiTheme="minorHAnsi" w:hAnsiTheme="minorHAnsi"/>
          <w:color w:val="000000" w:themeColor="text1"/>
          <w:sz w:val="22"/>
        </w:rPr>
        <w:t>e</w:t>
      </w:r>
      <w:r w:rsidR="002C1FFF">
        <w:rPr>
          <w:rFonts w:asciiTheme="minorHAnsi" w:hAnsiTheme="minorHAnsi"/>
          <w:color w:val="000000" w:themeColor="text1"/>
          <w:sz w:val="22"/>
        </w:rPr>
        <w:t xml:space="preserve"> trends can also assist in discussions with the group on where capital may come from as a result of a future unexpected material event.</w:t>
      </w:r>
      <w:r w:rsidR="00D77515">
        <w:rPr>
          <w:rFonts w:asciiTheme="minorHAnsi" w:hAnsiTheme="minorHAnsi"/>
          <w:color w:val="000000" w:themeColor="text1"/>
          <w:sz w:val="22"/>
        </w:rPr>
        <w:t xml:space="preserve"> </w:t>
      </w:r>
      <w:r w:rsidR="00D77515">
        <w:rPr>
          <w:rFonts w:asciiTheme="minorHAnsi" w:hAnsiTheme="minorHAnsi"/>
          <w:color w:val="000000" w:themeColor="text1"/>
          <w:sz w:val="22"/>
        </w:rPr>
        <w:lastRenderedPageBreak/>
        <w:t xml:space="preserve">Where similar information is also disclosed </w:t>
      </w:r>
      <w:r w:rsidR="00EE3B5E">
        <w:rPr>
          <w:rFonts w:asciiTheme="minorHAnsi" w:hAnsiTheme="minorHAnsi"/>
          <w:color w:val="000000" w:themeColor="text1"/>
          <w:sz w:val="22"/>
        </w:rPr>
        <w:t xml:space="preserve">in </w:t>
      </w:r>
      <w:r w:rsidR="00D77515">
        <w:rPr>
          <w:rFonts w:asciiTheme="minorHAnsi" w:hAnsiTheme="minorHAnsi"/>
          <w:color w:val="000000" w:themeColor="text1"/>
          <w:sz w:val="22"/>
        </w:rPr>
        <w:t xml:space="preserve">Form F, the detail in the GCC may confirm what is already known in this area and in some cases may provide greater detail. </w:t>
      </w:r>
    </w:p>
    <w:p w14:paraId="23DC3DD1" w14:textId="77777777" w:rsidR="000D4C69" w:rsidRPr="007D61B1" w:rsidRDefault="000D4C69" w:rsidP="000D4C69">
      <w:pPr>
        <w:tabs>
          <w:tab w:val="left" w:pos="360"/>
        </w:tabs>
        <w:jc w:val="both"/>
        <w:rPr>
          <w:rFonts w:asciiTheme="minorHAnsi" w:hAnsiTheme="minorHAnsi"/>
          <w:color w:val="000000" w:themeColor="text1"/>
          <w:sz w:val="22"/>
        </w:rPr>
      </w:pPr>
    </w:p>
    <w:tbl>
      <w:tblPr>
        <w:tblStyle w:val="TableGrid"/>
        <w:tblW w:w="10052" w:type="dxa"/>
        <w:tblInd w:w="108" w:type="dxa"/>
        <w:tblLayout w:type="fixed"/>
        <w:tblLook w:val="04A0" w:firstRow="1" w:lastRow="0" w:firstColumn="1" w:lastColumn="0" w:noHBand="0" w:noVBand="1"/>
      </w:tblPr>
      <w:tblGrid>
        <w:gridCol w:w="6221"/>
        <w:gridCol w:w="1873"/>
        <w:gridCol w:w="1958"/>
      </w:tblGrid>
      <w:tr w:rsidR="009A0EC3" w:rsidRPr="008A4213" w14:paraId="3B87E297" w14:textId="77777777" w:rsidTr="004C2DF8">
        <w:trPr>
          <w:trHeight w:val="368"/>
        </w:trPr>
        <w:tc>
          <w:tcPr>
            <w:tcW w:w="6221" w:type="dxa"/>
            <w:tcBorders>
              <w:top w:val="single" w:sz="4" w:space="0" w:color="auto"/>
              <w:left w:val="single" w:sz="4" w:space="0" w:color="auto"/>
            </w:tcBorders>
            <w:shd w:val="clear" w:color="auto" w:fill="D9D9D9" w:themeFill="background1" w:themeFillShade="D9"/>
          </w:tcPr>
          <w:p w14:paraId="35B395F4" w14:textId="77777777" w:rsidR="009A0EC3" w:rsidRPr="008A4213" w:rsidRDefault="009A0EC3" w:rsidP="000D4C69">
            <w:pPr>
              <w:spacing w:after="120"/>
              <w:jc w:val="center"/>
              <w:rPr>
                <w:rFonts w:ascii="Calibri" w:hAnsi="Calibri"/>
                <w:i/>
                <w:color w:val="000000" w:themeColor="text1"/>
                <w:sz w:val="22"/>
                <w:szCs w:val="22"/>
              </w:rPr>
            </w:pPr>
          </w:p>
        </w:tc>
        <w:tc>
          <w:tcPr>
            <w:tcW w:w="1873" w:type="dxa"/>
            <w:shd w:val="clear" w:color="auto" w:fill="D9D9D9" w:themeFill="background1" w:themeFillShade="D9"/>
          </w:tcPr>
          <w:p w14:paraId="03D40E53" w14:textId="7C4A67DE" w:rsidR="009A0EC3" w:rsidRPr="008A4213" w:rsidRDefault="009A0EC3" w:rsidP="000D4C69">
            <w:pPr>
              <w:spacing w:after="120"/>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1958" w:type="dxa"/>
            <w:shd w:val="clear" w:color="auto" w:fill="D9D9D9" w:themeFill="background1" w:themeFillShade="D9"/>
          </w:tcPr>
          <w:p w14:paraId="458C899B" w14:textId="64935941" w:rsidR="009A0EC3" w:rsidRPr="008A4213" w:rsidRDefault="009A0EC3" w:rsidP="000D4C69">
            <w:pPr>
              <w:spacing w:after="120"/>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9A0EC3" w:rsidRPr="008A4213" w14:paraId="035BA2E5" w14:textId="77777777" w:rsidTr="004C2DF8">
        <w:trPr>
          <w:trHeight w:val="623"/>
        </w:trPr>
        <w:tc>
          <w:tcPr>
            <w:tcW w:w="6221" w:type="dxa"/>
            <w:shd w:val="clear" w:color="auto" w:fill="auto"/>
          </w:tcPr>
          <w:p w14:paraId="670C882E" w14:textId="0076A907" w:rsidR="009A0EC3" w:rsidRPr="00F5243D" w:rsidRDefault="009A0EC3" w:rsidP="007C2BD3">
            <w:pPr>
              <w:pStyle w:val="BodyTextIndent"/>
              <w:numPr>
                <w:ilvl w:val="0"/>
                <w:numId w:val="11"/>
              </w:numPr>
              <w:spacing w:after="120"/>
              <w:rPr>
                <w:rFonts w:ascii="Calibri" w:hAnsi="Calibri"/>
                <w:color w:val="000000" w:themeColor="text1"/>
                <w:szCs w:val="22"/>
              </w:rPr>
            </w:pPr>
            <w:r w:rsidRPr="008A4213">
              <w:rPr>
                <w:rFonts w:ascii="Calibri" w:hAnsi="Calibri"/>
                <w:color w:val="000000" w:themeColor="text1"/>
                <w:szCs w:val="22"/>
              </w:rPr>
              <w:t xml:space="preserve">Review </w:t>
            </w:r>
            <w:r>
              <w:rPr>
                <w:rFonts w:ascii="Calibri" w:hAnsi="Calibri"/>
                <w:color w:val="000000" w:themeColor="text1"/>
                <w:szCs w:val="22"/>
              </w:rPr>
              <w:t xml:space="preserve">the data from the GCC to determine the historical capital allocation patterns within the group and summarize the result of this analysis. </w:t>
            </w:r>
          </w:p>
        </w:tc>
        <w:tc>
          <w:tcPr>
            <w:tcW w:w="1873" w:type="dxa"/>
          </w:tcPr>
          <w:p w14:paraId="2FA9CE88" w14:textId="3602F5F2" w:rsidR="009A0EC3" w:rsidRDefault="009A0EC3" w:rsidP="000D4C69">
            <w:pPr>
              <w:spacing w:after="120"/>
              <w:jc w:val="center"/>
              <w:rPr>
                <w:rFonts w:ascii="Calibri" w:hAnsi="Calibri"/>
                <w:color w:val="000000" w:themeColor="text1"/>
              </w:rPr>
            </w:pPr>
            <w:r>
              <w:rPr>
                <w:rFonts w:ascii="Calibri" w:hAnsi="Calibri"/>
                <w:color w:val="000000" w:themeColor="text1"/>
              </w:rPr>
              <w:t>ST</w:t>
            </w:r>
          </w:p>
        </w:tc>
        <w:tc>
          <w:tcPr>
            <w:tcW w:w="1958" w:type="dxa"/>
          </w:tcPr>
          <w:p w14:paraId="66D137EE" w14:textId="7936355B" w:rsidR="009A0EC3" w:rsidRPr="008A4213" w:rsidRDefault="009A0EC3" w:rsidP="000D4C69">
            <w:pPr>
              <w:spacing w:after="120"/>
              <w:jc w:val="center"/>
              <w:rPr>
                <w:rFonts w:ascii="Calibri" w:hAnsi="Calibri"/>
                <w:color w:val="000000" w:themeColor="text1"/>
              </w:rPr>
            </w:pPr>
            <w:r>
              <w:rPr>
                <w:rFonts w:ascii="Calibri" w:hAnsi="Calibri"/>
                <w:color w:val="000000" w:themeColor="text1"/>
              </w:rPr>
              <w:t>N/A</w:t>
            </w:r>
          </w:p>
        </w:tc>
      </w:tr>
      <w:tr w:rsidR="009A0EC3" w:rsidRPr="008A4213" w14:paraId="097AB06C" w14:textId="77777777" w:rsidTr="004C2DF8">
        <w:trPr>
          <w:trHeight w:val="1124"/>
        </w:trPr>
        <w:tc>
          <w:tcPr>
            <w:tcW w:w="6221" w:type="dxa"/>
            <w:shd w:val="clear" w:color="auto" w:fill="auto"/>
          </w:tcPr>
          <w:p w14:paraId="6D84E136" w14:textId="633F264A" w:rsidR="009A0EC3" w:rsidRPr="00135C89" w:rsidRDefault="009A0EC3" w:rsidP="007C2BD3">
            <w:pPr>
              <w:pStyle w:val="BodyTextIndent"/>
              <w:numPr>
                <w:ilvl w:val="0"/>
                <w:numId w:val="11"/>
              </w:numPr>
              <w:spacing w:after="120"/>
              <w:rPr>
                <w:rFonts w:ascii="Calibri" w:hAnsi="Calibri"/>
                <w:color w:val="000000" w:themeColor="text1"/>
                <w:szCs w:val="22"/>
              </w:rPr>
            </w:pPr>
            <w:r>
              <w:rPr>
                <w:rFonts w:ascii="Calibri" w:hAnsi="Calibri"/>
                <w:color w:val="000000" w:themeColor="text1"/>
                <w:szCs w:val="22"/>
              </w:rPr>
              <w:t xml:space="preserve">Using this data, as well as any recent information on net losses, or likely expected funding, determine if </w:t>
            </w:r>
            <w:proofErr w:type="gramStart"/>
            <w:r>
              <w:rPr>
                <w:rFonts w:ascii="Calibri" w:hAnsi="Calibri"/>
                <w:color w:val="000000" w:themeColor="text1"/>
                <w:szCs w:val="22"/>
              </w:rPr>
              <w:t>it’s</w:t>
            </w:r>
            <w:proofErr w:type="gramEnd"/>
            <w:r>
              <w:rPr>
                <w:rFonts w:ascii="Calibri" w:hAnsi="Calibri"/>
                <w:color w:val="000000" w:themeColor="text1"/>
                <w:szCs w:val="22"/>
              </w:rPr>
              <w:t xml:space="preserve"> possible any of the insurance companies will be required to fund future possible losses from other entities in the group and potentially become troubled themselves, regardless of the current capital in excess of RBC requirements.</w:t>
            </w:r>
          </w:p>
        </w:tc>
        <w:tc>
          <w:tcPr>
            <w:tcW w:w="1873" w:type="dxa"/>
          </w:tcPr>
          <w:p w14:paraId="60FA280E" w14:textId="18F3CB6E" w:rsidR="009A0EC3" w:rsidRDefault="009A0EC3" w:rsidP="000D4C69">
            <w:pPr>
              <w:spacing w:after="120"/>
              <w:jc w:val="center"/>
              <w:rPr>
                <w:rFonts w:ascii="Calibri" w:hAnsi="Calibri"/>
                <w:color w:val="000000" w:themeColor="text1"/>
              </w:rPr>
            </w:pPr>
            <w:r>
              <w:rPr>
                <w:rFonts w:ascii="Calibri" w:hAnsi="Calibri"/>
                <w:color w:val="000000" w:themeColor="text1"/>
              </w:rPr>
              <w:t>OP, ST</w:t>
            </w:r>
          </w:p>
        </w:tc>
        <w:tc>
          <w:tcPr>
            <w:tcW w:w="1958" w:type="dxa"/>
          </w:tcPr>
          <w:p w14:paraId="1DC0D366" w14:textId="20651598" w:rsidR="009A0EC3" w:rsidRPr="008A4213" w:rsidRDefault="009A0EC3" w:rsidP="000D4C69">
            <w:pPr>
              <w:spacing w:after="120"/>
              <w:jc w:val="center"/>
              <w:rPr>
                <w:rFonts w:ascii="Calibri" w:hAnsi="Calibri"/>
                <w:color w:val="000000" w:themeColor="text1"/>
                <w:sz w:val="22"/>
                <w:szCs w:val="22"/>
              </w:rPr>
            </w:pPr>
            <w:r>
              <w:rPr>
                <w:rFonts w:ascii="Calibri" w:hAnsi="Calibri"/>
                <w:color w:val="000000" w:themeColor="text1"/>
              </w:rPr>
              <w:t>N/A</w:t>
            </w:r>
          </w:p>
        </w:tc>
      </w:tr>
    </w:tbl>
    <w:p w14:paraId="7B855632" w14:textId="77777777" w:rsidR="00823F3F" w:rsidRDefault="00823F3F" w:rsidP="00D8104C">
      <w:pPr>
        <w:tabs>
          <w:tab w:val="left" w:pos="360"/>
        </w:tabs>
        <w:jc w:val="both"/>
        <w:rPr>
          <w:rFonts w:asciiTheme="minorHAnsi" w:hAnsiTheme="minorHAnsi"/>
          <w:color w:val="000000" w:themeColor="text1"/>
          <w:sz w:val="22"/>
        </w:rPr>
      </w:pPr>
    </w:p>
    <w:p w14:paraId="260E893D" w14:textId="6C8761A6" w:rsidR="009C3FE4" w:rsidRPr="00597BAB" w:rsidRDefault="009A0EC3" w:rsidP="009C3FE4">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Procedure Step 5</w:t>
      </w:r>
      <w:r w:rsidR="009C3FE4">
        <w:rPr>
          <w:rFonts w:asciiTheme="minorHAnsi" w:hAnsiTheme="minorHAnsi"/>
          <w:color w:val="000000" w:themeColor="text1"/>
          <w:sz w:val="28"/>
          <w:szCs w:val="28"/>
        </w:rPr>
        <w:t xml:space="preserve">-Consider the Need for Reductions in </w:t>
      </w:r>
      <w:r w:rsidR="00971430">
        <w:rPr>
          <w:rFonts w:asciiTheme="minorHAnsi" w:hAnsiTheme="minorHAnsi"/>
          <w:color w:val="000000" w:themeColor="text1"/>
          <w:sz w:val="28"/>
          <w:szCs w:val="28"/>
        </w:rPr>
        <w:t>Risk</w:t>
      </w:r>
      <w:r w:rsidR="009C3FE4" w:rsidRPr="00597BAB">
        <w:rPr>
          <w:rFonts w:asciiTheme="minorHAnsi" w:hAnsiTheme="minorHAnsi"/>
          <w:color w:val="000000" w:themeColor="text1"/>
          <w:sz w:val="28"/>
          <w:szCs w:val="28"/>
        </w:rPr>
        <w:t xml:space="preserve"> </w:t>
      </w:r>
    </w:p>
    <w:p w14:paraId="0404025A" w14:textId="2963678B" w:rsidR="00661DF8" w:rsidRPr="009A0EC3" w:rsidRDefault="00661DF8" w:rsidP="007C2BD3">
      <w:pPr>
        <w:pStyle w:val="ListParagraph"/>
        <w:numPr>
          <w:ilvl w:val="0"/>
          <w:numId w:val="13"/>
        </w:numPr>
        <w:jc w:val="both"/>
        <w:rPr>
          <w:rFonts w:asciiTheme="minorHAnsi" w:hAnsiTheme="minorHAnsi"/>
          <w:color w:val="000000" w:themeColor="text1"/>
        </w:rPr>
      </w:pPr>
      <w:r w:rsidRPr="009A0EC3">
        <w:rPr>
          <w:b/>
          <w:color w:val="000000" w:themeColor="text1"/>
        </w:rPr>
        <w:t xml:space="preserve">Determine the </w:t>
      </w:r>
      <w:r w:rsidR="00C00EA5" w:rsidRPr="009A0EC3">
        <w:rPr>
          <w:b/>
          <w:color w:val="000000" w:themeColor="text1"/>
        </w:rPr>
        <w:t>group</w:t>
      </w:r>
      <w:r w:rsidR="00E03CEA" w:rsidRPr="009A0EC3">
        <w:rPr>
          <w:b/>
          <w:color w:val="000000" w:themeColor="text1"/>
        </w:rPr>
        <w:t xml:space="preserve">’s plans for addressing </w:t>
      </w:r>
      <w:r w:rsidRPr="009A0EC3">
        <w:rPr>
          <w:b/>
          <w:color w:val="000000" w:themeColor="text1"/>
        </w:rPr>
        <w:t xml:space="preserve">source(s) of any meaningful decreases in the </w:t>
      </w:r>
      <w:r w:rsidR="00D70121" w:rsidRPr="009A0EC3">
        <w:rPr>
          <w:b/>
          <w:color w:val="000000" w:themeColor="text1"/>
        </w:rPr>
        <w:t>GCC ratio</w:t>
      </w:r>
      <w:r w:rsidRPr="009A0EC3">
        <w:rPr>
          <w:b/>
          <w:color w:val="000000" w:themeColor="text1"/>
        </w:rPr>
        <w:t xml:space="preserve"> </w:t>
      </w:r>
      <w:r w:rsidR="00E03CEA" w:rsidRPr="009A0EC3">
        <w:rPr>
          <w:b/>
          <w:color w:val="000000" w:themeColor="text1"/>
        </w:rPr>
        <w:t>or total available capital</w:t>
      </w:r>
      <w:r w:rsidR="004110CA" w:rsidRPr="009A0EC3">
        <w:rPr>
          <w:b/>
          <w:color w:val="000000" w:themeColor="text1"/>
        </w:rPr>
        <w:t>. Please note, in some cases</w:t>
      </w:r>
      <w:r w:rsidR="004C0A5E" w:rsidRPr="009A0EC3">
        <w:rPr>
          <w:b/>
          <w:color w:val="000000" w:themeColor="text1"/>
        </w:rPr>
        <w:t>,</w:t>
      </w:r>
      <w:r w:rsidR="004110CA" w:rsidRPr="009A0EC3">
        <w:rPr>
          <w:b/>
          <w:color w:val="000000" w:themeColor="text1"/>
        </w:rPr>
        <w:t xml:space="preserve"> the plan may be as simple as actions designed to reverse a single negative trend. </w:t>
      </w:r>
    </w:p>
    <w:p w14:paraId="02EC01CF" w14:textId="3BC05A1D" w:rsidR="00D77515" w:rsidRPr="007D61B1" w:rsidRDefault="00395A8B" w:rsidP="00D77515">
      <w:pPr>
        <w:tabs>
          <w:tab w:val="left" w:pos="360"/>
        </w:tabs>
        <w:jc w:val="both"/>
        <w:rPr>
          <w:rFonts w:asciiTheme="minorHAnsi" w:hAnsiTheme="minorHAnsi"/>
          <w:color w:val="000000" w:themeColor="text1"/>
          <w:sz w:val="22"/>
        </w:rPr>
      </w:pPr>
      <w:r>
        <w:rPr>
          <w:rFonts w:asciiTheme="minorHAnsi" w:hAnsiTheme="minorHAnsi"/>
          <w:color w:val="000000" w:themeColor="text1"/>
          <w:sz w:val="22"/>
        </w:rPr>
        <w:t xml:space="preserve">Steps </w:t>
      </w:r>
      <w:r w:rsidR="009A0EC3">
        <w:rPr>
          <w:rFonts w:asciiTheme="minorHAnsi" w:hAnsiTheme="minorHAnsi"/>
          <w:color w:val="000000" w:themeColor="text1"/>
          <w:sz w:val="22"/>
        </w:rPr>
        <w:t>5</w:t>
      </w:r>
      <w:r>
        <w:rPr>
          <w:rFonts w:asciiTheme="minorHAnsi" w:hAnsiTheme="minorHAnsi"/>
          <w:color w:val="000000" w:themeColor="text1"/>
          <w:sz w:val="22"/>
        </w:rPr>
        <w:t xml:space="preserve"> is designed to </w:t>
      </w:r>
      <w:r w:rsidR="004110CA">
        <w:rPr>
          <w:rFonts w:asciiTheme="minorHAnsi" w:hAnsiTheme="minorHAnsi"/>
          <w:color w:val="000000" w:themeColor="text1"/>
          <w:sz w:val="22"/>
        </w:rPr>
        <w:t xml:space="preserve">assist </w:t>
      </w:r>
      <w:r>
        <w:rPr>
          <w:rFonts w:asciiTheme="minorHAnsi" w:hAnsiTheme="minorHAnsi"/>
          <w:color w:val="000000" w:themeColor="text1"/>
          <w:sz w:val="22"/>
        </w:rPr>
        <w:t xml:space="preserve">a review of the insurance company’s plans for addressing any meaningful decreases in the </w:t>
      </w:r>
      <w:r w:rsidR="00D70121">
        <w:rPr>
          <w:rFonts w:asciiTheme="minorHAnsi" w:hAnsiTheme="minorHAnsi"/>
          <w:color w:val="000000" w:themeColor="text1"/>
          <w:sz w:val="22"/>
        </w:rPr>
        <w:t>GCC ratio</w:t>
      </w:r>
      <w:r>
        <w:rPr>
          <w:rFonts w:asciiTheme="minorHAnsi" w:hAnsiTheme="minorHAnsi"/>
          <w:color w:val="000000" w:themeColor="text1"/>
          <w:sz w:val="22"/>
        </w:rPr>
        <w:t xml:space="preserve"> or total available capital. The specific plans of the </w:t>
      </w:r>
      <w:r w:rsidR="00C00EA5">
        <w:rPr>
          <w:rFonts w:asciiTheme="minorHAnsi" w:hAnsiTheme="minorHAnsi"/>
          <w:color w:val="000000" w:themeColor="text1"/>
          <w:sz w:val="22"/>
        </w:rPr>
        <w:t>group</w:t>
      </w:r>
      <w:r>
        <w:rPr>
          <w:rFonts w:asciiTheme="minorHAnsi" w:hAnsiTheme="minorHAnsi"/>
          <w:color w:val="000000" w:themeColor="text1"/>
          <w:sz w:val="22"/>
        </w:rPr>
        <w:t xml:space="preserve"> may or may not fully address </w:t>
      </w:r>
      <w:r w:rsidR="009C705F">
        <w:rPr>
          <w:rFonts w:asciiTheme="minorHAnsi" w:hAnsiTheme="minorHAnsi"/>
          <w:color w:val="000000" w:themeColor="text1"/>
          <w:sz w:val="22"/>
        </w:rPr>
        <w:t>all</w:t>
      </w:r>
      <w:r>
        <w:rPr>
          <w:rFonts w:asciiTheme="minorHAnsi" w:hAnsiTheme="minorHAnsi"/>
          <w:color w:val="000000" w:themeColor="text1"/>
          <w:sz w:val="22"/>
        </w:rPr>
        <w:t xml:space="preserve"> the issues but ultimately what is most important is that such information and the regulators </w:t>
      </w:r>
      <w:r w:rsidR="009C705F">
        <w:rPr>
          <w:rFonts w:asciiTheme="minorHAnsi" w:hAnsiTheme="minorHAnsi"/>
          <w:color w:val="000000" w:themeColor="text1"/>
          <w:sz w:val="22"/>
        </w:rPr>
        <w:t>plan</w:t>
      </w:r>
      <w:r>
        <w:rPr>
          <w:rFonts w:asciiTheme="minorHAnsi" w:hAnsiTheme="minorHAnsi"/>
          <w:color w:val="000000" w:themeColor="text1"/>
          <w:sz w:val="22"/>
        </w:rPr>
        <w:t xml:space="preserve"> for evaluating and monitoring the situation is known to the other regulators. There is a multitude of </w:t>
      </w:r>
      <w:r w:rsidR="009C705F">
        <w:rPr>
          <w:rFonts w:asciiTheme="minorHAnsi" w:hAnsiTheme="minorHAnsi"/>
          <w:color w:val="000000" w:themeColor="text1"/>
          <w:sz w:val="22"/>
        </w:rPr>
        <w:t>possibilities</w:t>
      </w:r>
      <w:r>
        <w:rPr>
          <w:rFonts w:asciiTheme="minorHAnsi" w:hAnsiTheme="minorHAnsi"/>
          <w:color w:val="000000" w:themeColor="text1"/>
          <w:sz w:val="22"/>
        </w:rPr>
        <w:t xml:space="preserve"> and this guidance is not intended to address all of those, including the fact that in some cases some regulators may choose to put their legal entity into some type of supervision, </w:t>
      </w:r>
      <w:proofErr w:type="gramStart"/>
      <w:r>
        <w:rPr>
          <w:rFonts w:asciiTheme="minorHAnsi" w:hAnsiTheme="minorHAnsi"/>
          <w:color w:val="000000" w:themeColor="text1"/>
          <w:sz w:val="22"/>
        </w:rPr>
        <w:t>conservation</w:t>
      </w:r>
      <w:proofErr w:type="gramEnd"/>
      <w:r>
        <w:rPr>
          <w:rFonts w:asciiTheme="minorHAnsi" w:hAnsiTheme="minorHAnsi"/>
          <w:color w:val="000000" w:themeColor="text1"/>
          <w:sz w:val="22"/>
        </w:rPr>
        <w:t xml:space="preserve"> or some other form of receivership. </w:t>
      </w:r>
      <w:r w:rsidR="00D77515">
        <w:rPr>
          <w:rFonts w:asciiTheme="minorHAnsi" w:hAnsiTheme="minorHAnsi"/>
          <w:color w:val="000000" w:themeColor="text1"/>
          <w:sz w:val="22"/>
        </w:rPr>
        <w:t xml:space="preserve">Similar to other areas, where similar information is also disclosed </w:t>
      </w:r>
      <w:r w:rsidR="00EE3B5E">
        <w:rPr>
          <w:rFonts w:asciiTheme="minorHAnsi" w:hAnsiTheme="minorHAnsi"/>
          <w:color w:val="000000" w:themeColor="text1"/>
          <w:sz w:val="22"/>
        </w:rPr>
        <w:t>in</w:t>
      </w:r>
      <w:r w:rsidR="00D77515">
        <w:rPr>
          <w:rFonts w:asciiTheme="minorHAnsi" w:hAnsiTheme="minorHAnsi"/>
          <w:color w:val="000000" w:themeColor="text1"/>
          <w:sz w:val="22"/>
        </w:rPr>
        <w:t xml:space="preserve"> Form F, further information may already </w:t>
      </w:r>
      <w:r w:rsidR="00B41F04">
        <w:rPr>
          <w:rFonts w:asciiTheme="minorHAnsi" w:hAnsiTheme="minorHAnsi"/>
          <w:color w:val="000000" w:themeColor="text1"/>
          <w:sz w:val="22"/>
        </w:rPr>
        <w:t xml:space="preserve">be </w:t>
      </w:r>
      <w:r w:rsidR="00D77515">
        <w:rPr>
          <w:rFonts w:asciiTheme="minorHAnsi" w:hAnsiTheme="minorHAnsi"/>
          <w:color w:val="000000" w:themeColor="text1"/>
          <w:sz w:val="22"/>
        </w:rPr>
        <w:t>known in this area</w:t>
      </w:r>
      <w:r w:rsidR="004C2DF8">
        <w:rPr>
          <w:rFonts w:asciiTheme="minorHAnsi" w:hAnsiTheme="minorHAnsi"/>
          <w:color w:val="000000" w:themeColor="text1"/>
          <w:sz w:val="22"/>
        </w:rPr>
        <w:t>.</w:t>
      </w:r>
      <w:r w:rsidR="00D77515">
        <w:rPr>
          <w:rFonts w:asciiTheme="minorHAnsi" w:hAnsiTheme="minorHAnsi"/>
          <w:color w:val="000000" w:themeColor="text1"/>
          <w:sz w:val="22"/>
        </w:rPr>
        <w:t xml:space="preserve"> </w:t>
      </w:r>
    </w:p>
    <w:p w14:paraId="4C0F49F6" w14:textId="77777777" w:rsidR="00395A8B" w:rsidRPr="007D61B1" w:rsidRDefault="00395A8B" w:rsidP="00395A8B">
      <w:pPr>
        <w:tabs>
          <w:tab w:val="left" w:pos="360"/>
        </w:tabs>
        <w:jc w:val="both"/>
        <w:rPr>
          <w:rFonts w:asciiTheme="minorHAnsi" w:hAnsiTheme="minorHAnsi"/>
          <w:color w:val="000000" w:themeColor="text1"/>
          <w:sz w:val="22"/>
        </w:rPr>
      </w:pPr>
    </w:p>
    <w:tbl>
      <w:tblPr>
        <w:tblStyle w:val="TableGrid"/>
        <w:tblpPr w:leftFromText="180" w:rightFromText="180" w:vertAnchor="text" w:horzAnchor="margin" w:tblpXSpec="center" w:tblpY="-18"/>
        <w:tblW w:w="9971" w:type="dxa"/>
        <w:tblLayout w:type="fixed"/>
        <w:tblLook w:val="04A0" w:firstRow="1" w:lastRow="0" w:firstColumn="1" w:lastColumn="0" w:noHBand="0" w:noVBand="1"/>
      </w:tblPr>
      <w:tblGrid>
        <w:gridCol w:w="5864"/>
        <w:gridCol w:w="1548"/>
        <w:gridCol w:w="2559"/>
      </w:tblGrid>
      <w:tr w:rsidR="004C2DF8" w:rsidRPr="008A4213" w14:paraId="1AEED1DD" w14:textId="77777777" w:rsidTr="004C2DF8">
        <w:trPr>
          <w:trHeight w:val="381"/>
        </w:trPr>
        <w:tc>
          <w:tcPr>
            <w:tcW w:w="5864" w:type="dxa"/>
            <w:tcBorders>
              <w:top w:val="single" w:sz="4" w:space="0" w:color="auto"/>
              <w:left w:val="single" w:sz="4" w:space="0" w:color="auto"/>
            </w:tcBorders>
            <w:shd w:val="clear" w:color="auto" w:fill="D9D9D9" w:themeFill="background1" w:themeFillShade="D9"/>
          </w:tcPr>
          <w:p w14:paraId="7550774B" w14:textId="77777777" w:rsidR="004C2DF8" w:rsidRPr="008A4213" w:rsidRDefault="004C2DF8" w:rsidP="004C2DF8">
            <w:pPr>
              <w:spacing w:after="120"/>
              <w:jc w:val="center"/>
              <w:rPr>
                <w:rFonts w:ascii="Calibri" w:hAnsi="Calibri"/>
                <w:i/>
                <w:color w:val="000000" w:themeColor="text1"/>
                <w:sz w:val="22"/>
                <w:szCs w:val="22"/>
              </w:rPr>
            </w:pPr>
          </w:p>
        </w:tc>
        <w:tc>
          <w:tcPr>
            <w:tcW w:w="1548" w:type="dxa"/>
            <w:shd w:val="clear" w:color="auto" w:fill="D9D9D9" w:themeFill="background1" w:themeFillShade="D9"/>
          </w:tcPr>
          <w:p w14:paraId="2AFD66D8" w14:textId="77777777" w:rsidR="004C2DF8" w:rsidRPr="008A4213" w:rsidRDefault="004C2DF8" w:rsidP="004C2DF8">
            <w:pPr>
              <w:spacing w:after="120"/>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2559" w:type="dxa"/>
            <w:shd w:val="clear" w:color="auto" w:fill="D9D9D9" w:themeFill="background1" w:themeFillShade="D9"/>
          </w:tcPr>
          <w:p w14:paraId="565F23D7" w14:textId="77777777" w:rsidR="004C2DF8" w:rsidRPr="008A4213" w:rsidRDefault="004C2DF8" w:rsidP="004C2DF8">
            <w:pPr>
              <w:spacing w:after="120"/>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4C2DF8" w:rsidRPr="008A4213" w14:paraId="0C23D72F" w14:textId="77777777" w:rsidTr="004C2DF8">
        <w:trPr>
          <w:trHeight w:val="900"/>
        </w:trPr>
        <w:tc>
          <w:tcPr>
            <w:tcW w:w="5864" w:type="dxa"/>
            <w:shd w:val="clear" w:color="auto" w:fill="auto"/>
          </w:tcPr>
          <w:p w14:paraId="56F5CE32" w14:textId="2F0815D3" w:rsidR="004C2DF8" w:rsidRPr="00F5243D" w:rsidRDefault="004C2DF8" w:rsidP="004C2DF8">
            <w:pPr>
              <w:pStyle w:val="BodyTextIndent"/>
              <w:numPr>
                <w:ilvl w:val="0"/>
                <w:numId w:val="15"/>
              </w:numPr>
              <w:spacing w:after="120"/>
              <w:rPr>
                <w:rFonts w:ascii="Calibri" w:hAnsi="Calibri"/>
                <w:color w:val="000000" w:themeColor="text1"/>
                <w:szCs w:val="22"/>
              </w:rPr>
            </w:pPr>
            <w:r>
              <w:rPr>
                <w:rFonts w:ascii="Calibri" w:hAnsi="Calibri"/>
                <w:color w:val="000000" w:themeColor="text1"/>
                <w:szCs w:val="22"/>
              </w:rPr>
              <w:t xml:space="preserve">Obtain a copy of the group’s most recent business plan and compare </w:t>
            </w:r>
            <w:r w:rsidR="00EE3B5E">
              <w:rPr>
                <w:rFonts w:ascii="Calibri" w:hAnsi="Calibri"/>
                <w:color w:val="000000" w:themeColor="text1"/>
                <w:szCs w:val="22"/>
              </w:rPr>
              <w:t xml:space="preserve">it </w:t>
            </w:r>
            <w:r>
              <w:rPr>
                <w:rFonts w:ascii="Calibri" w:hAnsi="Calibri"/>
                <w:color w:val="000000" w:themeColor="text1"/>
                <w:szCs w:val="22"/>
              </w:rPr>
              <w:t>to the prior year plan for variances.  (see Additional Procedures below for additional follow-up analysis)</w:t>
            </w:r>
          </w:p>
        </w:tc>
        <w:tc>
          <w:tcPr>
            <w:tcW w:w="1548" w:type="dxa"/>
          </w:tcPr>
          <w:p w14:paraId="2EF435DF"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559" w:type="dxa"/>
          </w:tcPr>
          <w:p w14:paraId="69C38074" w14:textId="77777777" w:rsidR="004C2DF8" w:rsidRPr="008A4213" w:rsidRDefault="004C2DF8" w:rsidP="004C2DF8">
            <w:pPr>
              <w:spacing w:after="120"/>
              <w:jc w:val="center"/>
              <w:rPr>
                <w:rFonts w:ascii="Calibri" w:hAnsi="Calibri"/>
                <w:color w:val="000000" w:themeColor="text1"/>
              </w:rPr>
            </w:pPr>
            <w:r>
              <w:rPr>
                <w:rFonts w:ascii="Calibri" w:hAnsi="Calibri"/>
                <w:color w:val="000000" w:themeColor="text1"/>
                <w:sz w:val="22"/>
                <w:szCs w:val="22"/>
              </w:rPr>
              <w:t>N/A</w:t>
            </w:r>
          </w:p>
        </w:tc>
      </w:tr>
      <w:tr w:rsidR="004C2DF8" w:rsidRPr="008A4213" w14:paraId="5514268F" w14:textId="77777777" w:rsidTr="004C2DF8">
        <w:trPr>
          <w:trHeight w:val="909"/>
        </w:trPr>
        <w:tc>
          <w:tcPr>
            <w:tcW w:w="5864" w:type="dxa"/>
            <w:shd w:val="clear" w:color="auto" w:fill="auto"/>
          </w:tcPr>
          <w:p w14:paraId="5602CEE9" w14:textId="77777777" w:rsidR="004C2DF8" w:rsidRPr="00135C89" w:rsidRDefault="004C2DF8" w:rsidP="004C2DF8">
            <w:pPr>
              <w:pStyle w:val="BodyTextIndent"/>
              <w:numPr>
                <w:ilvl w:val="0"/>
                <w:numId w:val="15"/>
              </w:numPr>
              <w:spacing w:after="120"/>
              <w:rPr>
                <w:rFonts w:ascii="Calibri" w:hAnsi="Calibri"/>
                <w:color w:val="000000" w:themeColor="text1"/>
                <w:szCs w:val="22"/>
              </w:rPr>
            </w:pPr>
            <w:r>
              <w:rPr>
                <w:rFonts w:ascii="Calibri" w:hAnsi="Calibri"/>
                <w:color w:val="000000" w:themeColor="text1"/>
                <w:szCs w:val="22"/>
              </w:rPr>
              <w:t xml:space="preserve">Request information from the group on how it intends to address the issues or trends identified in Steps 1-3. More specifically, determine how the group intends to decrease risk, and by what means. </w:t>
            </w:r>
          </w:p>
        </w:tc>
        <w:tc>
          <w:tcPr>
            <w:tcW w:w="1548" w:type="dxa"/>
          </w:tcPr>
          <w:p w14:paraId="44C89A42"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559" w:type="dxa"/>
          </w:tcPr>
          <w:p w14:paraId="5ED2B91B" w14:textId="77777777" w:rsidR="004C2DF8" w:rsidRPr="008A4213"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021CA966" w14:textId="77777777" w:rsidTr="004C2DF8">
        <w:trPr>
          <w:trHeight w:val="645"/>
        </w:trPr>
        <w:tc>
          <w:tcPr>
            <w:tcW w:w="5864" w:type="dxa"/>
            <w:shd w:val="clear" w:color="auto" w:fill="auto"/>
          </w:tcPr>
          <w:p w14:paraId="01182F6B" w14:textId="77777777" w:rsidR="004C2DF8" w:rsidRDefault="004C2DF8" w:rsidP="004C2DF8">
            <w:pPr>
              <w:pStyle w:val="BodyTextIndent"/>
              <w:numPr>
                <w:ilvl w:val="0"/>
                <w:numId w:val="15"/>
              </w:numPr>
              <w:spacing w:after="120"/>
              <w:rPr>
                <w:rFonts w:ascii="Calibri" w:hAnsi="Calibri"/>
                <w:color w:val="000000" w:themeColor="text1"/>
                <w:szCs w:val="22"/>
              </w:rPr>
            </w:pPr>
            <w:r>
              <w:rPr>
                <w:rFonts w:ascii="Calibri" w:hAnsi="Calibri"/>
                <w:color w:val="000000" w:themeColor="text1"/>
                <w:szCs w:val="22"/>
              </w:rPr>
              <w:t>Based on information received in 5.b., determine the group’s capacity to reduce risks or raise additional capital.</w:t>
            </w:r>
          </w:p>
        </w:tc>
        <w:tc>
          <w:tcPr>
            <w:tcW w:w="1548" w:type="dxa"/>
          </w:tcPr>
          <w:p w14:paraId="17DFCBD4"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559" w:type="dxa"/>
          </w:tcPr>
          <w:p w14:paraId="7F9B4114"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241E1439" w14:textId="77777777" w:rsidTr="004C2DF8">
        <w:trPr>
          <w:trHeight w:val="1164"/>
        </w:trPr>
        <w:tc>
          <w:tcPr>
            <w:tcW w:w="5864" w:type="dxa"/>
            <w:shd w:val="clear" w:color="auto" w:fill="auto"/>
          </w:tcPr>
          <w:p w14:paraId="209B52FF" w14:textId="1BAB0C35" w:rsidR="004C2DF8" w:rsidRPr="007528C8" w:rsidRDefault="004C2DF8" w:rsidP="004C2DF8">
            <w:pPr>
              <w:pStyle w:val="BodyTextIndent"/>
              <w:numPr>
                <w:ilvl w:val="0"/>
                <w:numId w:val="15"/>
              </w:numPr>
              <w:spacing w:after="120"/>
              <w:rPr>
                <w:rFonts w:ascii="Calibri" w:hAnsi="Calibri"/>
                <w:color w:val="000000" w:themeColor="text1"/>
                <w:szCs w:val="22"/>
              </w:rPr>
            </w:pPr>
            <w:r w:rsidRPr="007528C8">
              <w:rPr>
                <w:rFonts w:ascii="Calibri" w:hAnsi="Calibri"/>
                <w:color w:val="000000" w:themeColor="text1"/>
                <w:szCs w:val="22"/>
              </w:rPr>
              <w:t xml:space="preserve">Where </w:t>
            </w:r>
            <w:r>
              <w:rPr>
                <w:rFonts w:ascii="Calibri" w:hAnsi="Calibri"/>
                <w:color w:val="000000" w:themeColor="text1"/>
                <w:szCs w:val="22"/>
              </w:rPr>
              <w:t xml:space="preserve">the remaining capital is adequate, document the findings into the GPS (or another document) and make available to </w:t>
            </w:r>
            <w:r w:rsidR="00EE3B5E">
              <w:rPr>
                <w:rFonts w:ascii="Calibri" w:hAnsi="Calibri"/>
                <w:color w:val="000000" w:themeColor="text1"/>
                <w:szCs w:val="22"/>
              </w:rPr>
              <w:t xml:space="preserve">the </w:t>
            </w:r>
            <w:r>
              <w:rPr>
                <w:rFonts w:ascii="Calibri" w:hAnsi="Calibri"/>
                <w:color w:val="000000" w:themeColor="text1"/>
                <w:szCs w:val="22"/>
              </w:rPr>
              <w:t xml:space="preserve">supervisory college and or domestic states with the presumption no further action is deemed necessary. </w:t>
            </w:r>
          </w:p>
        </w:tc>
        <w:tc>
          <w:tcPr>
            <w:tcW w:w="1548" w:type="dxa"/>
          </w:tcPr>
          <w:p w14:paraId="01CBC92C"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559" w:type="dxa"/>
          </w:tcPr>
          <w:p w14:paraId="01F160E0" w14:textId="77777777" w:rsidR="004C2DF8" w:rsidRPr="00AD00CD" w:rsidRDefault="004C2DF8" w:rsidP="004C2DF8">
            <w:pPr>
              <w:spacing w:after="120"/>
              <w:jc w:val="center"/>
              <w:rPr>
                <w:rFonts w:ascii="Calibri" w:hAnsi="Calibri"/>
                <w:color w:val="000000" w:themeColor="text1"/>
                <w:sz w:val="22"/>
                <w:szCs w:val="22"/>
                <w:highlight w:val="yellow"/>
              </w:rPr>
            </w:pPr>
            <w:r>
              <w:rPr>
                <w:rFonts w:ascii="Calibri" w:hAnsi="Calibri"/>
                <w:color w:val="000000" w:themeColor="text1"/>
                <w:sz w:val="22"/>
                <w:szCs w:val="22"/>
              </w:rPr>
              <w:t>N/A</w:t>
            </w:r>
          </w:p>
        </w:tc>
      </w:tr>
      <w:tr w:rsidR="004C2DF8" w:rsidRPr="008A4213" w14:paraId="6E2B8C23" w14:textId="77777777" w:rsidTr="004C2DF8">
        <w:trPr>
          <w:trHeight w:val="1174"/>
        </w:trPr>
        <w:tc>
          <w:tcPr>
            <w:tcW w:w="5864" w:type="dxa"/>
            <w:shd w:val="clear" w:color="auto" w:fill="auto"/>
          </w:tcPr>
          <w:p w14:paraId="30FA8494" w14:textId="20312F74" w:rsidR="004C2DF8" w:rsidRPr="007528C8" w:rsidRDefault="004C2DF8" w:rsidP="004C2DF8">
            <w:pPr>
              <w:pStyle w:val="BodyTextIndent"/>
              <w:numPr>
                <w:ilvl w:val="0"/>
                <w:numId w:val="15"/>
              </w:numPr>
              <w:spacing w:after="120"/>
              <w:rPr>
                <w:rFonts w:ascii="Calibri" w:hAnsi="Calibri"/>
                <w:color w:val="000000" w:themeColor="text1"/>
                <w:szCs w:val="22"/>
              </w:rPr>
            </w:pPr>
            <w:r w:rsidRPr="00F044BB">
              <w:rPr>
                <w:rFonts w:ascii="Calibri" w:hAnsi="Calibri"/>
                <w:color w:val="000000" w:themeColor="text1"/>
                <w:szCs w:val="22"/>
              </w:rPr>
              <w:t xml:space="preserve">Consider whether the collective information suggests </w:t>
            </w:r>
            <w:r>
              <w:rPr>
                <w:rFonts w:ascii="Calibri" w:hAnsi="Calibri"/>
                <w:color w:val="000000" w:themeColor="text1"/>
                <w:szCs w:val="22"/>
              </w:rPr>
              <w:t xml:space="preserve"> </w:t>
            </w:r>
            <w:r w:rsidR="00EE3B5E">
              <w:rPr>
                <w:rFonts w:ascii="Calibri" w:hAnsi="Calibri"/>
                <w:color w:val="000000" w:themeColor="text1"/>
                <w:szCs w:val="22"/>
              </w:rPr>
              <w:t xml:space="preserve">that </w:t>
            </w:r>
            <w:r w:rsidR="005C5C3E">
              <w:rPr>
                <w:rFonts w:ascii="Calibri" w:hAnsi="Calibri"/>
                <w:color w:val="000000" w:themeColor="text1"/>
                <w:szCs w:val="22"/>
              </w:rPr>
              <w:t xml:space="preserve">any of the U.S. </w:t>
            </w:r>
            <w:r>
              <w:rPr>
                <w:rFonts w:ascii="Calibri" w:hAnsi="Calibri"/>
                <w:color w:val="000000" w:themeColor="text1"/>
                <w:szCs w:val="22"/>
              </w:rPr>
              <w:t>legal entity regulator</w:t>
            </w:r>
            <w:r w:rsidR="005C5C3E">
              <w:rPr>
                <w:rFonts w:ascii="Calibri" w:hAnsi="Calibri"/>
                <w:color w:val="000000" w:themeColor="text1"/>
                <w:szCs w:val="22"/>
              </w:rPr>
              <w:t xml:space="preserve">s </w:t>
            </w:r>
            <w:r w:rsidR="00EE3B5E">
              <w:rPr>
                <w:rFonts w:ascii="Calibri" w:hAnsi="Calibri"/>
                <w:color w:val="000000" w:themeColor="text1"/>
                <w:szCs w:val="22"/>
              </w:rPr>
              <w:t xml:space="preserve">should </w:t>
            </w:r>
            <w:r w:rsidR="005C5C3E">
              <w:rPr>
                <w:rFonts w:ascii="Calibri" w:hAnsi="Calibri"/>
                <w:color w:val="000000" w:themeColor="text1"/>
                <w:szCs w:val="22"/>
              </w:rPr>
              <w:t xml:space="preserve"> </w:t>
            </w:r>
            <w:r>
              <w:rPr>
                <w:rFonts w:ascii="Calibri" w:hAnsi="Calibri"/>
                <w:color w:val="000000" w:themeColor="text1"/>
                <w:szCs w:val="22"/>
              </w:rPr>
              <w:t xml:space="preserve">deem the legal entity to be </w:t>
            </w:r>
            <w:r w:rsidR="005C5C3E">
              <w:rPr>
                <w:rFonts w:ascii="Calibri" w:hAnsi="Calibri"/>
                <w:color w:val="000000" w:themeColor="text1"/>
                <w:szCs w:val="22"/>
              </w:rPr>
              <w:t xml:space="preserve">in a </w:t>
            </w:r>
            <w:r>
              <w:rPr>
                <w:rFonts w:ascii="Calibri" w:hAnsi="Calibri"/>
                <w:color w:val="000000" w:themeColor="text1"/>
                <w:szCs w:val="22"/>
              </w:rPr>
              <w:t xml:space="preserve">“Hazardous Financial Condition” </w:t>
            </w:r>
            <w:r w:rsidR="005C5C3E">
              <w:rPr>
                <w:rFonts w:ascii="Calibri" w:hAnsi="Calibri"/>
                <w:color w:val="000000" w:themeColor="text1"/>
                <w:szCs w:val="22"/>
              </w:rPr>
              <w:t xml:space="preserve">and takes appropriate action to address </w:t>
            </w:r>
            <w:r>
              <w:rPr>
                <w:rFonts w:ascii="Calibri" w:hAnsi="Calibri"/>
                <w:color w:val="000000" w:themeColor="text1"/>
                <w:szCs w:val="22"/>
              </w:rPr>
              <w:t xml:space="preserve">based upon the facts and circumstances and the provisions of the state’s law </w:t>
            </w:r>
            <w:r w:rsidR="00EE3B5E">
              <w:rPr>
                <w:rFonts w:ascii="Calibri" w:hAnsi="Calibri"/>
                <w:color w:val="000000" w:themeColor="text1"/>
                <w:szCs w:val="22"/>
              </w:rPr>
              <w:t>(similar to</w:t>
            </w:r>
            <w:r>
              <w:rPr>
                <w:rFonts w:ascii="Calibri" w:hAnsi="Calibri"/>
                <w:color w:val="000000" w:themeColor="text1"/>
                <w:szCs w:val="22"/>
              </w:rPr>
              <w:t xml:space="preserve"> NAIC Model 385</w:t>
            </w:r>
            <w:r w:rsidR="00EE3B5E">
              <w:rPr>
                <w:rFonts w:ascii="Calibri" w:hAnsi="Calibri"/>
                <w:color w:val="000000" w:themeColor="text1"/>
                <w:szCs w:val="22"/>
              </w:rPr>
              <w:t>)</w:t>
            </w:r>
            <w:r>
              <w:rPr>
                <w:rFonts w:ascii="Calibri" w:hAnsi="Calibri"/>
                <w:color w:val="000000" w:themeColor="text1"/>
                <w:szCs w:val="22"/>
              </w:rPr>
              <w:t>.</w:t>
            </w:r>
          </w:p>
        </w:tc>
        <w:tc>
          <w:tcPr>
            <w:tcW w:w="1548" w:type="dxa"/>
          </w:tcPr>
          <w:p w14:paraId="15BCE49B"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c>
          <w:tcPr>
            <w:tcW w:w="2559" w:type="dxa"/>
          </w:tcPr>
          <w:p w14:paraId="0A9AC2B0"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67A084DA" w14:textId="77777777" w:rsidTr="004C2DF8">
        <w:trPr>
          <w:trHeight w:val="1164"/>
        </w:trPr>
        <w:tc>
          <w:tcPr>
            <w:tcW w:w="5864" w:type="dxa"/>
            <w:shd w:val="clear" w:color="auto" w:fill="auto"/>
          </w:tcPr>
          <w:p w14:paraId="17AC0F62" w14:textId="77777777" w:rsidR="004C2DF8" w:rsidRPr="00F044BB" w:rsidRDefault="004C2DF8" w:rsidP="004C2DF8">
            <w:pPr>
              <w:pStyle w:val="BodyTextIndent"/>
              <w:numPr>
                <w:ilvl w:val="0"/>
                <w:numId w:val="15"/>
              </w:numPr>
              <w:spacing w:after="120"/>
              <w:rPr>
                <w:rFonts w:ascii="Calibri" w:hAnsi="Calibri"/>
                <w:color w:val="000000" w:themeColor="text1"/>
                <w:szCs w:val="22"/>
              </w:rPr>
            </w:pPr>
            <w:r w:rsidRPr="007528C8">
              <w:rPr>
                <w:rFonts w:ascii="Calibri" w:hAnsi="Calibri"/>
                <w:color w:val="000000" w:themeColor="text1"/>
                <w:szCs w:val="22"/>
              </w:rPr>
              <w:t xml:space="preserve">Where appropriate, consider holding a meeting of the supervisory college or of all the domestic states to fully understand the </w:t>
            </w:r>
            <w:r>
              <w:rPr>
                <w:rFonts w:ascii="Calibri" w:hAnsi="Calibri"/>
                <w:color w:val="000000" w:themeColor="text1"/>
                <w:szCs w:val="22"/>
              </w:rPr>
              <w:t>group</w:t>
            </w:r>
            <w:r w:rsidRPr="007528C8">
              <w:rPr>
                <w:rFonts w:ascii="Calibri" w:hAnsi="Calibri"/>
                <w:color w:val="000000" w:themeColor="text1"/>
                <w:szCs w:val="22"/>
              </w:rPr>
              <w:t xml:space="preserve">’s plans. Where appropriate, require the </w:t>
            </w:r>
            <w:r>
              <w:rPr>
                <w:rFonts w:ascii="Calibri" w:hAnsi="Calibri"/>
                <w:color w:val="000000" w:themeColor="text1"/>
                <w:szCs w:val="22"/>
              </w:rPr>
              <w:t>group</w:t>
            </w:r>
            <w:r w:rsidRPr="007528C8">
              <w:rPr>
                <w:rFonts w:ascii="Calibri" w:hAnsi="Calibri"/>
                <w:color w:val="000000" w:themeColor="text1"/>
                <w:szCs w:val="22"/>
              </w:rPr>
              <w:t xml:space="preserve"> to present its plans to the supervisory college or all the domestic states.</w:t>
            </w:r>
          </w:p>
        </w:tc>
        <w:tc>
          <w:tcPr>
            <w:tcW w:w="1548" w:type="dxa"/>
          </w:tcPr>
          <w:p w14:paraId="3ED6CF09"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c>
          <w:tcPr>
            <w:tcW w:w="2559" w:type="dxa"/>
          </w:tcPr>
          <w:p w14:paraId="51D15B18"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5383A1AE" w14:textId="77777777" w:rsidTr="004C2DF8">
        <w:trPr>
          <w:trHeight w:val="1428"/>
        </w:trPr>
        <w:tc>
          <w:tcPr>
            <w:tcW w:w="5864" w:type="dxa"/>
            <w:shd w:val="clear" w:color="auto" w:fill="auto"/>
          </w:tcPr>
          <w:p w14:paraId="141596EF" w14:textId="19F63F3F" w:rsidR="004C2DF8" w:rsidRPr="00F044BB" w:rsidRDefault="004C2DF8" w:rsidP="004C2DF8">
            <w:pPr>
              <w:pStyle w:val="BodyTextIndent"/>
              <w:numPr>
                <w:ilvl w:val="0"/>
                <w:numId w:val="15"/>
              </w:numPr>
              <w:spacing w:after="120"/>
              <w:rPr>
                <w:rFonts w:ascii="Calibri" w:hAnsi="Calibri"/>
                <w:color w:val="000000" w:themeColor="text1"/>
                <w:szCs w:val="22"/>
              </w:rPr>
            </w:pPr>
            <w:r w:rsidRPr="00F044BB">
              <w:rPr>
                <w:rFonts w:ascii="Calibri" w:hAnsi="Calibri"/>
                <w:color w:val="000000" w:themeColor="text1"/>
                <w:szCs w:val="22"/>
              </w:rPr>
              <w:t xml:space="preserve">Where appropriate, determine if the plans proposed by the </w:t>
            </w:r>
            <w:r>
              <w:rPr>
                <w:rFonts w:ascii="Calibri" w:hAnsi="Calibri"/>
                <w:color w:val="000000" w:themeColor="text1"/>
                <w:szCs w:val="22"/>
              </w:rPr>
              <w:t>group</w:t>
            </w:r>
            <w:r w:rsidRPr="00F044BB">
              <w:rPr>
                <w:rFonts w:ascii="Calibri" w:hAnsi="Calibri"/>
                <w:color w:val="000000" w:themeColor="text1"/>
                <w:szCs w:val="22"/>
              </w:rPr>
              <w:t xml:space="preserve"> are inadequate to any of the legal entity regulators, and more specifically if any are considering </w:t>
            </w:r>
            <w:proofErr w:type="gramStart"/>
            <w:r w:rsidR="00EE3B5E">
              <w:rPr>
                <w:rFonts w:ascii="Calibri" w:hAnsi="Calibri"/>
                <w:color w:val="000000" w:themeColor="text1"/>
                <w:szCs w:val="22"/>
              </w:rPr>
              <w:t>taking action</w:t>
            </w:r>
            <w:proofErr w:type="gramEnd"/>
            <w:r w:rsidR="00EE3B5E">
              <w:rPr>
                <w:rFonts w:ascii="Calibri" w:hAnsi="Calibri"/>
                <w:color w:val="000000" w:themeColor="text1"/>
                <w:szCs w:val="22"/>
              </w:rPr>
              <w:t xml:space="preserve"> </w:t>
            </w:r>
            <w:r w:rsidRPr="00F044BB">
              <w:rPr>
                <w:rFonts w:ascii="Calibri" w:hAnsi="Calibri"/>
                <w:color w:val="000000" w:themeColor="text1"/>
                <w:szCs w:val="22"/>
              </w:rPr>
              <w:t>over their applicable legal entity. If this is the case, hold a meeting of the supervisory college or of all the domestic states to provide this information.</w:t>
            </w:r>
          </w:p>
        </w:tc>
        <w:tc>
          <w:tcPr>
            <w:tcW w:w="1548" w:type="dxa"/>
          </w:tcPr>
          <w:p w14:paraId="1B4C0C58"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c>
          <w:tcPr>
            <w:tcW w:w="2559" w:type="dxa"/>
          </w:tcPr>
          <w:p w14:paraId="4F824450"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12FE4656" w14:textId="77777777" w:rsidTr="004C2DF8">
        <w:trPr>
          <w:trHeight w:val="1174"/>
        </w:trPr>
        <w:tc>
          <w:tcPr>
            <w:tcW w:w="5864" w:type="dxa"/>
            <w:shd w:val="clear" w:color="auto" w:fill="auto"/>
          </w:tcPr>
          <w:p w14:paraId="7BDE6A45" w14:textId="3CBFA950" w:rsidR="004C2DF8" w:rsidRPr="007528C8" w:rsidRDefault="004C2DF8" w:rsidP="004C2DF8">
            <w:pPr>
              <w:pStyle w:val="BodyTextIndent"/>
              <w:numPr>
                <w:ilvl w:val="0"/>
                <w:numId w:val="15"/>
              </w:numPr>
              <w:spacing w:after="120"/>
              <w:rPr>
                <w:rFonts w:ascii="Calibri" w:hAnsi="Calibri"/>
                <w:color w:val="000000" w:themeColor="text1"/>
                <w:szCs w:val="22"/>
              </w:rPr>
            </w:pPr>
            <w:r w:rsidRPr="007528C8">
              <w:rPr>
                <w:rFonts w:ascii="Calibri" w:hAnsi="Calibri"/>
                <w:color w:val="000000" w:themeColor="text1"/>
                <w:szCs w:val="22"/>
              </w:rPr>
              <w:t xml:space="preserve">Where appropriate, consider holding a broader meeting of all impacted jurisdictions </w:t>
            </w:r>
            <w:r w:rsidR="00EE3B5E">
              <w:rPr>
                <w:rFonts w:ascii="Calibri" w:hAnsi="Calibri"/>
                <w:color w:val="000000" w:themeColor="text1"/>
                <w:szCs w:val="22"/>
              </w:rPr>
              <w:t xml:space="preserve">in which </w:t>
            </w:r>
            <w:r w:rsidRPr="007528C8">
              <w:rPr>
                <w:rFonts w:ascii="Calibri" w:hAnsi="Calibri"/>
                <w:color w:val="000000" w:themeColor="text1"/>
                <w:szCs w:val="22"/>
              </w:rPr>
              <w:t xml:space="preserve">the </w:t>
            </w:r>
            <w:r>
              <w:rPr>
                <w:rFonts w:ascii="Calibri" w:hAnsi="Calibri"/>
                <w:color w:val="000000" w:themeColor="text1"/>
                <w:szCs w:val="22"/>
              </w:rPr>
              <w:t>group</w:t>
            </w:r>
            <w:r w:rsidRPr="007528C8">
              <w:rPr>
                <w:rFonts w:ascii="Calibri" w:hAnsi="Calibri"/>
                <w:color w:val="000000" w:themeColor="text1"/>
                <w:szCs w:val="22"/>
              </w:rPr>
              <w:t xml:space="preserve"> is selling insurance. Where appropriate, require the </w:t>
            </w:r>
            <w:r>
              <w:rPr>
                <w:rFonts w:ascii="Calibri" w:hAnsi="Calibri"/>
                <w:color w:val="000000" w:themeColor="text1"/>
                <w:szCs w:val="22"/>
              </w:rPr>
              <w:t>group</w:t>
            </w:r>
            <w:r w:rsidRPr="007528C8">
              <w:rPr>
                <w:rFonts w:ascii="Calibri" w:hAnsi="Calibri"/>
                <w:color w:val="000000" w:themeColor="text1"/>
                <w:szCs w:val="22"/>
              </w:rPr>
              <w:t xml:space="preserve"> to present its plans to all such regulators</w:t>
            </w:r>
            <w:r>
              <w:rPr>
                <w:rFonts w:ascii="Calibri" w:hAnsi="Calibri"/>
                <w:color w:val="000000" w:themeColor="text1"/>
                <w:szCs w:val="22"/>
              </w:rPr>
              <w:t xml:space="preserve"> and for the regulators to announce their plans</w:t>
            </w:r>
            <w:r w:rsidRPr="007528C8">
              <w:rPr>
                <w:rFonts w:ascii="Calibri" w:hAnsi="Calibri"/>
                <w:color w:val="000000" w:themeColor="text1"/>
                <w:szCs w:val="22"/>
              </w:rPr>
              <w:t xml:space="preserve">. </w:t>
            </w:r>
          </w:p>
        </w:tc>
        <w:tc>
          <w:tcPr>
            <w:tcW w:w="1548" w:type="dxa"/>
          </w:tcPr>
          <w:p w14:paraId="1E9FE602"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c>
          <w:tcPr>
            <w:tcW w:w="2559" w:type="dxa"/>
          </w:tcPr>
          <w:p w14:paraId="7747A7D3" w14:textId="77777777" w:rsidR="004C2DF8" w:rsidRPr="00AD00CD" w:rsidRDefault="004C2DF8" w:rsidP="004C2DF8">
            <w:pPr>
              <w:spacing w:after="120"/>
              <w:jc w:val="center"/>
              <w:rPr>
                <w:rFonts w:ascii="Calibri" w:hAnsi="Calibri"/>
                <w:color w:val="000000" w:themeColor="text1"/>
                <w:sz w:val="22"/>
                <w:szCs w:val="22"/>
                <w:highlight w:val="yellow"/>
              </w:rPr>
            </w:pPr>
            <w:r>
              <w:rPr>
                <w:rFonts w:ascii="Calibri" w:hAnsi="Calibri"/>
                <w:color w:val="000000" w:themeColor="text1"/>
                <w:sz w:val="22"/>
                <w:szCs w:val="22"/>
              </w:rPr>
              <w:t>N/A</w:t>
            </w:r>
          </w:p>
        </w:tc>
      </w:tr>
    </w:tbl>
    <w:p w14:paraId="01000B40" w14:textId="77777777" w:rsidR="00A33EB2" w:rsidRDefault="00A33EB2" w:rsidP="00A33EB2">
      <w:pPr>
        <w:pStyle w:val="BodyText"/>
        <w:rPr>
          <w:rFonts w:asciiTheme="minorHAnsi" w:hAnsiTheme="minorHAnsi"/>
          <w:color w:val="000000" w:themeColor="text1"/>
        </w:rPr>
      </w:pPr>
    </w:p>
    <w:sectPr w:rsidR="00A33EB2" w:rsidSect="007D69B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581" w14:textId="77777777" w:rsidR="001B5C02" w:rsidRDefault="001B5C02">
      <w:r>
        <w:separator/>
      </w:r>
    </w:p>
  </w:endnote>
  <w:endnote w:type="continuationSeparator" w:id="0">
    <w:p w14:paraId="5FADC95E" w14:textId="77777777" w:rsidR="001B5C02" w:rsidRDefault="001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0B3B" w14:textId="77777777" w:rsidR="00F8456F" w:rsidRDefault="00F84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92213"/>
      <w:docPartObj>
        <w:docPartGallery w:val="Page Numbers (Bottom of Page)"/>
        <w:docPartUnique/>
      </w:docPartObj>
    </w:sdtPr>
    <w:sdtEndPr>
      <w:rPr>
        <w:noProof/>
      </w:rPr>
    </w:sdtEndPr>
    <w:sdtContent>
      <w:p w14:paraId="64C4F4C8" w14:textId="68AFEBA6" w:rsidR="004C2DF8" w:rsidRDefault="004C2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FCD03" w14:textId="77777777" w:rsidR="004C2DF8" w:rsidRDefault="004C2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0172" w14:textId="77777777" w:rsidR="00F8456F" w:rsidRDefault="00F8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A7A3" w14:textId="77777777" w:rsidR="001B5C02" w:rsidRDefault="001B5C02">
      <w:r>
        <w:separator/>
      </w:r>
    </w:p>
  </w:footnote>
  <w:footnote w:type="continuationSeparator" w:id="0">
    <w:p w14:paraId="7E11722F" w14:textId="77777777" w:rsidR="001B5C02" w:rsidRDefault="001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146B" w14:textId="77777777" w:rsidR="00F8456F" w:rsidRDefault="00F84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025"/>
    </w:tblGrid>
    <w:tr w:rsidR="004C2DF8" w14:paraId="6E45AEC2" w14:textId="77777777" w:rsidTr="007D69B0">
      <w:trPr>
        <w:trHeight w:val="270"/>
      </w:trPr>
      <w:tc>
        <w:tcPr>
          <w:tcW w:w="7401" w:type="dxa"/>
        </w:tcPr>
        <w:p w14:paraId="0993D687" w14:textId="77777777" w:rsidR="004C2DF8" w:rsidRDefault="004C2DF8" w:rsidP="006F4DC0">
          <w:pPr>
            <w:keepNext/>
            <w:outlineLvl w:val="0"/>
            <w:rPr>
              <w:rFonts w:ascii="Calibri" w:hAnsi="Calibri"/>
            </w:rPr>
          </w:pPr>
        </w:p>
      </w:tc>
      <w:tc>
        <w:tcPr>
          <w:tcW w:w="3147" w:type="dxa"/>
          <w:hideMark/>
        </w:tcPr>
        <w:p w14:paraId="0799BB49" w14:textId="13D19E15" w:rsidR="004C2DF8" w:rsidRDefault="004C2DF8" w:rsidP="006F4DC0">
          <w:pPr>
            <w:jc w:val="right"/>
            <w:rPr>
              <w:rFonts w:asciiTheme="minorHAnsi" w:hAnsiTheme="minorHAnsi"/>
              <w:b/>
              <w:sz w:val="16"/>
              <w:szCs w:val="16"/>
            </w:rPr>
          </w:pPr>
          <w:r>
            <w:rPr>
              <w:rFonts w:asciiTheme="minorHAnsi" w:hAnsiTheme="minorHAnsi"/>
              <w:b/>
              <w:sz w:val="16"/>
              <w:szCs w:val="16"/>
            </w:rPr>
            <w:t>Financial Analysis Handbook</w:t>
          </w:r>
        </w:p>
        <w:p w14:paraId="2FB28283" w14:textId="6F0A01E8" w:rsidR="004C2DF8" w:rsidRDefault="004C2DF8" w:rsidP="006F4DC0">
          <w:pPr>
            <w:ind w:left="360"/>
            <w:jc w:val="right"/>
            <w:rPr>
              <w:b/>
            </w:rPr>
          </w:pPr>
          <w:r>
            <w:rPr>
              <w:rFonts w:asciiTheme="minorHAnsi" w:hAnsiTheme="minorHAnsi"/>
              <w:b/>
              <w:sz w:val="16"/>
              <w:szCs w:val="16"/>
            </w:rPr>
            <w:t>202</w:t>
          </w:r>
          <w:r w:rsidR="00F8456F">
            <w:rPr>
              <w:rFonts w:asciiTheme="minorHAnsi" w:hAnsiTheme="minorHAnsi"/>
              <w:b/>
              <w:sz w:val="16"/>
              <w:szCs w:val="16"/>
            </w:rPr>
            <w:t>2</w:t>
          </w:r>
          <w:r>
            <w:rPr>
              <w:rFonts w:asciiTheme="minorHAnsi" w:hAnsiTheme="minorHAnsi"/>
              <w:b/>
              <w:sz w:val="16"/>
              <w:szCs w:val="16"/>
            </w:rPr>
            <w:t xml:space="preserve"> Annual / 202</w:t>
          </w:r>
          <w:r w:rsidR="00F8456F">
            <w:rPr>
              <w:rFonts w:asciiTheme="minorHAnsi" w:hAnsiTheme="minorHAnsi"/>
              <w:b/>
              <w:sz w:val="16"/>
              <w:szCs w:val="16"/>
            </w:rPr>
            <w:t>3</w:t>
          </w:r>
          <w:r>
            <w:rPr>
              <w:rFonts w:asciiTheme="minorHAnsi" w:hAnsiTheme="minorHAnsi"/>
              <w:b/>
              <w:sz w:val="16"/>
              <w:szCs w:val="16"/>
            </w:rPr>
            <w:t xml:space="preserve"> Quarterly</w:t>
          </w:r>
        </w:p>
      </w:tc>
    </w:tr>
    <w:tr w:rsidR="004C2DF8" w14:paraId="0E19660D" w14:textId="77777777" w:rsidTr="006F4DC0">
      <w:trPr>
        <w:trHeight w:val="272"/>
      </w:trPr>
      <w:tc>
        <w:tcPr>
          <w:tcW w:w="10548" w:type="dxa"/>
          <w:gridSpan w:val="2"/>
          <w:tcBorders>
            <w:top w:val="nil"/>
            <w:left w:val="nil"/>
            <w:bottom w:val="single" w:sz="4" w:space="0" w:color="auto"/>
            <w:right w:val="nil"/>
          </w:tcBorders>
          <w:hideMark/>
        </w:tcPr>
        <w:p w14:paraId="024E3A26" w14:textId="59A5E4E2" w:rsidR="004C2DF8" w:rsidRPr="006F4DC0" w:rsidRDefault="004C2DF8" w:rsidP="00903058">
          <w:pPr>
            <w:keepNext/>
            <w:ind w:left="-18"/>
            <w:outlineLvl w:val="0"/>
            <w:rPr>
              <w:rFonts w:ascii="Calibri" w:hAnsi="Calibri"/>
              <w:sz w:val="20"/>
              <w:szCs w:val="20"/>
            </w:rPr>
          </w:pPr>
          <w:r w:rsidRPr="006F4DC0">
            <w:rPr>
              <w:rFonts w:ascii="Calibri" w:hAnsi="Calibri"/>
              <w:b/>
              <w:sz w:val="20"/>
              <w:szCs w:val="20"/>
            </w:rPr>
            <w:t>VI.</w:t>
          </w:r>
          <w:r>
            <w:rPr>
              <w:rFonts w:ascii="Calibri" w:hAnsi="Calibri"/>
              <w:b/>
              <w:sz w:val="20"/>
              <w:szCs w:val="20"/>
            </w:rPr>
            <w:t>H.</w:t>
          </w:r>
          <w:r w:rsidRPr="006F4DC0">
            <w:rPr>
              <w:rFonts w:ascii="Calibri" w:hAnsi="Calibri"/>
              <w:b/>
              <w:sz w:val="20"/>
              <w:szCs w:val="20"/>
            </w:rPr>
            <w:t xml:space="preserve"> Group-Wide Supervision </w:t>
          </w:r>
          <w:r w:rsidRPr="006F4DC0">
            <w:rPr>
              <w:rFonts w:ascii="Calibri" w:hAnsi="Calibri"/>
              <w:b/>
              <w:bCs/>
              <w:sz w:val="20"/>
              <w:szCs w:val="20"/>
            </w:rPr>
            <w:t>–</w:t>
          </w:r>
          <w:r w:rsidRPr="006F4DC0">
            <w:rPr>
              <w:rFonts w:ascii="Calibri" w:hAnsi="Calibri"/>
              <w:b/>
              <w:sz w:val="20"/>
              <w:szCs w:val="20"/>
            </w:rPr>
            <w:t xml:space="preserve"> </w:t>
          </w:r>
          <w:r>
            <w:rPr>
              <w:rFonts w:ascii="Calibri" w:hAnsi="Calibri"/>
              <w:b/>
              <w:sz w:val="20"/>
              <w:szCs w:val="20"/>
            </w:rPr>
            <w:t>Group Capital Calculation</w:t>
          </w:r>
          <w:r w:rsidRPr="006F4DC0">
            <w:rPr>
              <w:rFonts w:ascii="Calibri" w:hAnsi="Calibri"/>
              <w:b/>
              <w:bCs/>
              <w:sz w:val="20"/>
              <w:szCs w:val="20"/>
            </w:rPr>
            <w:t xml:space="preserve"> (Lead State)</w:t>
          </w:r>
          <w:r>
            <w:rPr>
              <w:rFonts w:ascii="Calibri" w:hAnsi="Calibri"/>
              <w:b/>
              <w:bCs/>
              <w:sz w:val="20"/>
              <w:szCs w:val="20"/>
            </w:rPr>
            <w:t xml:space="preserve"> Procedures</w:t>
          </w:r>
        </w:p>
      </w:tc>
    </w:tr>
  </w:tbl>
  <w:p w14:paraId="7F6CB492" w14:textId="77777777" w:rsidR="004C2DF8" w:rsidRPr="006F4DC0" w:rsidRDefault="004C2DF8" w:rsidP="006F4DC0">
    <w:pPr>
      <w:pStyle w:val="Header"/>
      <w:tabs>
        <w:tab w:val="clear" w:pos="4320"/>
        <w:tab w:val="clear" w:pos="8640"/>
        <w:tab w:val="left" w:pos="72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920A" w14:textId="77777777" w:rsidR="00F8456F" w:rsidRDefault="00F84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2EB"/>
    <w:multiLevelType w:val="hybridMultilevel"/>
    <w:tmpl w:val="9C2850F6"/>
    <w:lvl w:ilvl="0" w:tplc="504617B6">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1AB9"/>
    <w:multiLevelType w:val="hybridMultilevel"/>
    <w:tmpl w:val="D5B4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30D5"/>
    <w:multiLevelType w:val="hybridMultilevel"/>
    <w:tmpl w:val="31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6F32"/>
    <w:multiLevelType w:val="hybridMultilevel"/>
    <w:tmpl w:val="E9226C8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C2856"/>
    <w:multiLevelType w:val="hybridMultilevel"/>
    <w:tmpl w:val="52F8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F405A"/>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A0CD3"/>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473FD"/>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F558F"/>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2E2250"/>
    <w:multiLevelType w:val="hybridMultilevel"/>
    <w:tmpl w:val="3A64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F6649"/>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8"/>
  </w:num>
  <w:num w:numId="4">
    <w:abstractNumId w:val="10"/>
  </w:num>
  <w:num w:numId="5">
    <w:abstractNumId w:val="6"/>
  </w:num>
  <w:num w:numId="6">
    <w:abstractNumId w:val="0"/>
  </w:num>
  <w:num w:numId="7">
    <w:abstractNumId w:val="1"/>
  </w:num>
  <w:num w:numId="8">
    <w:abstractNumId w:val="14"/>
  </w:num>
  <w:num w:numId="9">
    <w:abstractNumId w:val="7"/>
  </w:num>
  <w:num w:numId="10">
    <w:abstractNumId w:val="12"/>
  </w:num>
  <w:num w:numId="11">
    <w:abstractNumId w:val="11"/>
  </w:num>
  <w:num w:numId="12">
    <w:abstractNumId w:val="3"/>
  </w:num>
  <w:num w:numId="13">
    <w:abstractNumId w:val="13"/>
  </w:num>
  <w:num w:numId="14">
    <w:abstractNumId w:val="4"/>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1"/>
    <w:rsid w:val="00002FAA"/>
    <w:rsid w:val="000039CE"/>
    <w:rsid w:val="000055FA"/>
    <w:rsid w:val="00013134"/>
    <w:rsid w:val="000176E0"/>
    <w:rsid w:val="00022E3E"/>
    <w:rsid w:val="00024429"/>
    <w:rsid w:val="0002482B"/>
    <w:rsid w:val="00030B31"/>
    <w:rsid w:val="00031410"/>
    <w:rsid w:val="000345CC"/>
    <w:rsid w:val="000449B3"/>
    <w:rsid w:val="00050C43"/>
    <w:rsid w:val="00052EE0"/>
    <w:rsid w:val="00053C4B"/>
    <w:rsid w:val="00054C79"/>
    <w:rsid w:val="00056511"/>
    <w:rsid w:val="000570DE"/>
    <w:rsid w:val="00070D48"/>
    <w:rsid w:val="00072DD5"/>
    <w:rsid w:val="00072EAF"/>
    <w:rsid w:val="000766C0"/>
    <w:rsid w:val="00085C2B"/>
    <w:rsid w:val="00085DF7"/>
    <w:rsid w:val="00090207"/>
    <w:rsid w:val="0009284E"/>
    <w:rsid w:val="000A2E3B"/>
    <w:rsid w:val="000A2F61"/>
    <w:rsid w:val="000A6E66"/>
    <w:rsid w:val="000B0B62"/>
    <w:rsid w:val="000C24AF"/>
    <w:rsid w:val="000C2692"/>
    <w:rsid w:val="000C5A08"/>
    <w:rsid w:val="000D09F7"/>
    <w:rsid w:val="000D468C"/>
    <w:rsid w:val="000D4C69"/>
    <w:rsid w:val="000F6A3C"/>
    <w:rsid w:val="000F750A"/>
    <w:rsid w:val="00107C5B"/>
    <w:rsid w:val="00111059"/>
    <w:rsid w:val="001138BB"/>
    <w:rsid w:val="001221D8"/>
    <w:rsid w:val="00124203"/>
    <w:rsid w:val="0012662A"/>
    <w:rsid w:val="00127CC3"/>
    <w:rsid w:val="00135C89"/>
    <w:rsid w:val="00137E70"/>
    <w:rsid w:val="0014063A"/>
    <w:rsid w:val="001451B9"/>
    <w:rsid w:val="00146889"/>
    <w:rsid w:val="001508C4"/>
    <w:rsid w:val="00152754"/>
    <w:rsid w:val="00152C7B"/>
    <w:rsid w:val="00152E18"/>
    <w:rsid w:val="00153CBF"/>
    <w:rsid w:val="00154297"/>
    <w:rsid w:val="00154718"/>
    <w:rsid w:val="001554A5"/>
    <w:rsid w:val="001624C3"/>
    <w:rsid w:val="00165190"/>
    <w:rsid w:val="001706D3"/>
    <w:rsid w:val="00170F32"/>
    <w:rsid w:val="0017254C"/>
    <w:rsid w:val="0017379A"/>
    <w:rsid w:val="0017648F"/>
    <w:rsid w:val="001802AF"/>
    <w:rsid w:val="00181197"/>
    <w:rsid w:val="00182818"/>
    <w:rsid w:val="001838CB"/>
    <w:rsid w:val="00190120"/>
    <w:rsid w:val="0019102B"/>
    <w:rsid w:val="00191D3D"/>
    <w:rsid w:val="0019234E"/>
    <w:rsid w:val="0019306B"/>
    <w:rsid w:val="00195B2B"/>
    <w:rsid w:val="001A2910"/>
    <w:rsid w:val="001A4D5B"/>
    <w:rsid w:val="001A74FD"/>
    <w:rsid w:val="001B070A"/>
    <w:rsid w:val="001B3335"/>
    <w:rsid w:val="001B50CF"/>
    <w:rsid w:val="001B5C02"/>
    <w:rsid w:val="001B6AE4"/>
    <w:rsid w:val="001B7BEB"/>
    <w:rsid w:val="001C1DB8"/>
    <w:rsid w:val="001C460F"/>
    <w:rsid w:val="001C4C8F"/>
    <w:rsid w:val="001C6C7D"/>
    <w:rsid w:val="001D2F8E"/>
    <w:rsid w:val="001D7D32"/>
    <w:rsid w:val="001E2CB9"/>
    <w:rsid w:val="001E330D"/>
    <w:rsid w:val="001E4731"/>
    <w:rsid w:val="001E4BBC"/>
    <w:rsid w:val="00203F25"/>
    <w:rsid w:val="00204F6E"/>
    <w:rsid w:val="00206807"/>
    <w:rsid w:val="00207DA4"/>
    <w:rsid w:val="002175E7"/>
    <w:rsid w:val="00221BFD"/>
    <w:rsid w:val="002259DC"/>
    <w:rsid w:val="00226CA8"/>
    <w:rsid w:val="00227331"/>
    <w:rsid w:val="00230FBF"/>
    <w:rsid w:val="00252CF9"/>
    <w:rsid w:val="00264DDD"/>
    <w:rsid w:val="00272D93"/>
    <w:rsid w:val="00274AC5"/>
    <w:rsid w:val="00275220"/>
    <w:rsid w:val="0028228B"/>
    <w:rsid w:val="00291497"/>
    <w:rsid w:val="00291B04"/>
    <w:rsid w:val="002A38B3"/>
    <w:rsid w:val="002A723E"/>
    <w:rsid w:val="002A7F76"/>
    <w:rsid w:val="002C1FFF"/>
    <w:rsid w:val="002C63F1"/>
    <w:rsid w:val="002D0516"/>
    <w:rsid w:val="002D059D"/>
    <w:rsid w:val="002D25F2"/>
    <w:rsid w:val="002D4AE8"/>
    <w:rsid w:val="002D4D1A"/>
    <w:rsid w:val="002D5EE5"/>
    <w:rsid w:val="002D6FD4"/>
    <w:rsid w:val="002E03EB"/>
    <w:rsid w:val="002E0EB1"/>
    <w:rsid w:val="002F19C8"/>
    <w:rsid w:val="0030111F"/>
    <w:rsid w:val="00302176"/>
    <w:rsid w:val="00302421"/>
    <w:rsid w:val="00302F61"/>
    <w:rsid w:val="0030520B"/>
    <w:rsid w:val="00305934"/>
    <w:rsid w:val="00305C91"/>
    <w:rsid w:val="00307008"/>
    <w:rsid w:val="0030781E"/>
    <w:rsid w:val="00310128"/>
    <w:rsid w:val="0031083F"/>
    <w:rsid w:val="00311A4D"/>
    <w:rsid w:val="00311EF5"/>
    <w:rsid w:val="003159AB"/>
    <w:rsid w:val="00323B69"/>
    <w:rsid w:val="0032529C"/>
    <w:rsid w:val="00325648"/>
    <w:rsid w:val="00326E05"/>
    <w:rsid w:val="003275DB"/>
    <w:rsid w:val="00330CE9"/>
    <w:rsid w:val="003450AF"/>
    <w:rsid w:val="003504CB"/>
    <w:rsid w:val="00351F9B"/>
    <w:rsid w:val="003521BE"/>
    <w:rsid w:val="00355594"/>
    <w:rsid w:val="00365A12"/>
    <w:rsid w:val="003702DC"/>
    <w:rsid w:val="00372F10"/>
    <w:rsid w:val="00377A48"/>
    <w:rsid w:val="003863D9"/>
    <w:rsid w:val="0038669D"/>
    <w:rsid w:val="00387E2E"/>
    <w:rsid w:val="00392560"/>
    <w:rsid w:val="00395A8B"/>
    <w:rsid w:val="003A152D"/>
    <w:rsid w:val="003A7433"/>
    <w:rsid w:val="003B2A4F"/>
    <w:rsid w:val="003B2F6C"/>
    <w:rsid w:val="003B4F29"/>
    <w:rsid w:val="003B52FC"/>
    <w:rsid w:val="003B6348"/>
    <w:rsid w:val="003B6680"/>
    <w:rsid w:val="003C206B"/>
    <w:rsid w:val="003C219B"/>
    <w:rsid w:val="003C42AF"/>
    <w:rsid w:val="003C68C9"/>
    <w:rsid w:val="003D0795"/>
    <w:rsid w:val="003E082E"/>
    <w:rsid w:val="003E62C1"/>
    <w:rsid w:val="003F01F5"/>
    <w:rsid w:val="003F4932"/>
    <w:rsid w:val="004016F2"/>
    <w:rsid w:val="004110CA"/>
    <w:rsid w:val="00417842"/>
    <w:rsid w:val="00421279"/>
    <w:rsid w:val="0043063B"/>
    <w:rsid w:val="0043075C"/>
    <w:rsid w:val="00430C32"/>
    <w:rsid w:val="004345D8"/>
    <w:rsid w:val="0044069B"/>
    <w:rsid w:val="00444C71"/>
    <w:rsid w:val="00444D8D"/>
    <w:rsid w:val="00450FCC"/>
    <w:rsid w:val="004535C6"/>
    <w:rsid w:val="004553B0"/>
    <w:rsid w:val="00465673"/>
    <w:rsid w:val="0046793D"/>
    <w:rsid w:val="00473D79"/>
    <w:rsid w:val="0047757E"/>
    <w:rsid w:val="00487819"/>
    <w:rsid w:val="004966DB"/>
    <w:rsid w:val="004A63BE"/>
    <w:rsid w:val="004C0A5E"/>
    <w:rsid w:val="004C2939"/>
    <w:rsid w:val="004C2DF8"/>
    <w:rsid w:val="004C65B5"/>
    <w:rsid w:val="004C6CDD"/>
    <w:rsid w:val="004C7B0A"/>
    <w:rsid w:val="004D2DCF"/>
    <w:rsid w:val="004D5B15"/>
    <w:rsid w:val="004F20CB"/>
    <w:rsid w:val="004F509D"/>
    <w:rsid w:val="004F574C"/>
    <w:rsid w:val="004F7DBD"/>
    <w:rsid w:val="0052159D"/>
    <w:rsid w:val="005336B1"/>
    <w:rsid w:val="00535B94"/>
    <w:rsid w:val="00535C71"/>
    <w:rsid w:val="00541348"/>
    <w:rsid w:val="00546130"/>
    <w:rsid w:val="00551F4B"/>
    <w:rsid w:val="005607A6"/>
    <w:rsid w:val="00561E4E"/>
    <w:rsid w:val="0056288F"/>
    <w:rsid w:val="00564935"/>
    <w:rsid w:val="00567D09"/>
    <w:rsid w:val="00570675"/>
    <w:rsid w:val="005801B0"/>
    <w:rsid w:val="00582AB1"/>
    <w:rsid w:val="00590173"/>
    <w:rsid w:val="00590D75"/>
    <w:rsid w:val="005915A3"/>
    <w:rsid w:val="0059305C"/>
    <w:rsid w:val="00597BAB"/>
    <w:rsid w:val="005A5259"/>
    <w:rsid w:val="005A53DE"/>
    <w:rsid w:val="005A7561"/>
    <w:rsid w:val="005C2772"/>
    <w:rsid w:val="005C488E"/>
    <w:rsid w:val="005C5C3E"/>
    <w:rsid w:val="005C5F6D"/>
    <w:rsid w:val="005C7E93"/>
    <w:rsid w:val="005D45A3"/>
    <w:rsid w:val="005E1A15"/>
    <w:rsid w:val="005E502F"/>
    <w:rsid w:val="005F0457"/>
    <w:rsid w:val="005F6145"/>
    <w:rsid w:val="005F75E4"/>
    <w:rsid w:val="0060449A"/>
    <w:rsid w:val="00605593"/>
    <w:rsid w:val="00607880"/>
    <w:rsid w:val="006135E7"/>
    <w:rsid w:val="006135FF"/>
    <w:rsid w:val="00614734"/>
    <w:rsid w:val="00616CD7"/>
    <w:rsid w:val="0062226F"/>
    <w:rsid w:val="0062477F"/>
    <w:rsid w:val="00626293"/>
    <w:rsid w:val="006303B2"/>
    <w:rsid w:val="0063261B"/>
    <w:rsid w:val="0064039C"/>
    <w:rsid w:val="006411E9"/>
    <w:rsid w:val="00644CC9"/>
    <w:rsid w:val="0064767D"/>
    <w:rsid w:val="00652FB9"/>
    <w:rsid w:val="00661AAF"/>
    <w:rsid w:val="00661DF8"/>
    <w:rsid w:val="00665B4F"/>
    <w:rsid w:val="00667598"/>
    <w:rsid w:val="00670CFB"/>
    <w:rsid w:val="006827D2"/>
    <w:rsid w:val="00683817"/>
    <w:rsid w:val="00685CB3"/>
    <w:rsid w:val="00686103"/>
    <w:rsid w:val="006A0631"/>
    <w:rsid w:val="006A11E7"/>
    <w:rsid w:val="006B256A"/>
    <w:rsid w:val="006C3349"/>
    <w:rsid w:val="006C498A"/>
    <w:rsid w:val="006C5416"/>
    <w:rsid w:val="006C6958"/>
    <w:rsid w:val="006E4215"/>
    <w:rsid w:val="006E671F"/>
    <w:rsid w:val="006F3764"/>
    <w:rsid w:val="006F4DC0"/>
    <w:rsid w:val="00704BE3"/>
    <w:rsid w:val="00706066"/>
    <w:rsid w:val="00706153"/>
    <w:rsid w:val="00707AA2"/>
    <w:rsid w:val="00710C65"/>
    <w:rsid w:val="0071351D"/>
    <w:rsid w:val="00714366"/>
    <w:rsid w:val="007166C5"/>
    <w:rsid w:val="00721FE2"/>
    <w:rsid w:val="00723BAC"/>
    <w:rsid w:val="00726486"/>
    <w:rsid w:val="00730E9F"/>
    <w:rsid w:val="007310D6"/>
    <w:rsid w:val="00734450"/>
    <w:rsid w:val="0073682F"/>
    <w:rsid w:val="00743AAF"/>
    <w:rsid w:val="00746866"/>
    <w:rsid w:val="007528C8"/>
    <w:rsid w:val="00752A8D"/>
    <w:rsid w:val="00752BFA"/>
    <w:rsid w:val="0075492E"/>
    <w:rsid w:val="00757991"/>
    <w:rsid w:val="00757A38"/>
    <w:rsid w:val="00760BE2"/>
    <w:rsid w:val="007643E6"/>
    <w:rsid w:val="00771316"/>
    <w:rsid w:val="00772A69"/>
    <w:rsid w:val="00773E66"/>
    <w:rsid w:val="007955DD"/>
    <w:rsid w:val="007B125D"/>
    <w:rsid w:val="007B1F6B"/>
    <w:rsid w:val="007B485C"/>
    <w:rsid w:val="007B66D4"/>
    <w:rsid w:val="007C19A4"/>
    <w:rsid w:val="007C2BD3"/>
    <w:rsid w:val="007C35C9"/>
    <w:rsid w:val="007C56D7"/>
    <w:rsid w:val="007C63C8"/>
    <w:rsid w:val="007C68C6"/>
    <w:rsid w:val="007D0809"/>
    <w:rsid w:val="007D1269"/>
    <w:rsid w:val="007D3FB6"/>
    <w:rsid w:val="007D61B1"/>
    <w:rsid w:val="007D64A7"/>
    <w:rsid w:val="007D69B0"/>
    <w:rsid w:val="007E27AE"/>
    <w:rsid w:val="007E3915"/>
    <w:rsid w:val="007E5E58"/>
    <w:rsid w:val="007E782C"/>
    <w:rsid w:val="007F0045"/>
    <w:rsid w:val="007F566F"/>
    <w:rsid w:val="00803A3D"/>
    <w:rsid w:val="00806714"/>
    <w:rsid w:val="0081033C"/>
    <w:rsid w:val="00810492"/>
    <w:rsid w:val="00823F3F"/>
    <w:rsid w:val="008306FD"/>
    <w:rsid w:val="0083383D"/>
    <w:rsid w:val="00837BFA"/>
    <w:rsid w:val="008401B5"/>
    <w:rsid w:val="008403DA"/>
    <w:rsid w:val="00840656"/>
    <w:rsid w:val="00843F8C"/>
    <w:rsid w:val="00845622"/>
    <w:rsid w:val="008553CD"/>
    <w:rsid w:val="0085681C"/>
    <w:rsid w:val="00863697"/>
    <w:rsid w:val="00863A39"/>
    <w:rsid w:val="00867B62"/>
    <w:rsid w:val="00881BE8"/>
    <w:rsid w:val="00886699"/>
    <w:rsid w:val="00891196"/>
    <w:rsid w:val="008A1048"/>
    <w:rsid w:val="008A4FD6"/>
    <w:rsid w:val="008A67E4"/>
    <w:rsid w:val="008B0562"/>
    <w:rsid w:val="008B20E7"/>
    <w:rsid w:val="008B2D72"/>
    <w:rsid w:val="008B4906"/>
    <w:rsid w:val="008B6567"/>
    <w:rsid w:val="008B786B"/>
    <w:rsid w:val="008C08DE"/>
    <w:rsid w:val="008C6774"/>
    <w:rsid w:val="008C78AB"/>
    <w:rsid w:val="008D1141"/>
    <w:rsid w:val="008D4AE8"/>
    <w:rsid w:val="008D569A"/>
    <w:rsid w:val="008D56CD"/>
    <w:rsid w:val="008D6402"/>
    <w:rsid w:val="008E5587"/>
    <w:rsid w:val="008E6CBD"/>
    <w:rsid w:val="008E6D94"/>
    <w:rsid w:val="008E7258"/>
    <w:rsid w:val="008F5E7F"/>
    <w:rsid w:val="00900898"/>
    <w:rsid w:val="00903058"/>
    <w:rsid w:val="009063DD"/>
    <w:rsid w:val="00906651"/>
    <w:rsid w:val="009108EB"/>
    <w:rsid w:val="00910D8D"/>
    <w:rsid w:val="00910F2D"/>
    <w:rsid w:val="00915747"/>
    <w:rsid w:val="009167E1"/>
    <w:rsid w:val="009222B4"/>
    <w:rsid w:val="009252E7"/>
    <w:rsid w:val="00925C30"/>
    <w:rsid w:val="00930D79"/>
    <w:rsid w:val="00934A20"/>
    <w:rsid w:val="00934BD9"/>
    <w:rsid w:val="00935690"/>
    <w:rsid w:val="0094168C"/>
    <w:rsid w:val="009425D4"/>
    <w:rsid w:val="009432EA"/>
    <w:rsid w:val="009449CE"/>
    <w:rsid w:val="009508F8"/>
    <w:rsid w:val="009509A7"/>
    <w:rsid w:val="0095244B"/>
    <w:rsid w:val="009552A8"/>
    <w:rsid w:val="009558BE"/>
    <w:rsid w:val="0096083D"/>
    <w:rsid w:val="00962AB2"/>
    <w:rsid w:val="00963CF7"/>
    <w:rsid w:val="009651EF"/>
    <w:rsid w:val="00966BF1"/>
    <w:rsid w:val="00967286"/>
    <w:rsid w:val="00967994"/>
    <w:rsid w:val="009713BC"/>
    <w:rsid w:val="00971430"/>
    <w:rsid w:val="00971CFD"/>
    <w:rsid w:val="009743BF"/>
    <w:rsid w:val="00975E6D"/>
    <w:rsid w:val="00975FF4"/>
    <w:rsid w:val="00976AE9"/>
    <w:rsid w:val="00990768"/>
    <w:rsid w:val="00995280"/>
    <w:rsid w:val="009A0EC3"/>
    <w:rsid w:val="009A1314"/>
    <w:rsid w:val="009A188B"/>
    <w:rsid w:val="009B11BF"/>
    <w:rsid w:val="009B1B86"/>
    <w:rsid w:val="009B47C4"/>
    <w:rsid w:val="009C1448"/>
    <w:rsid w:val="009C23C2"/>
    <w:rsid w:val="009C3FE4"/>
    <w:rsid w:val="009C44D3"/>
    <w:rsid w:val="009C5CBB"/>
    <w:rsid w:val="009C5F32"/>
    <w:rsid w:val="009C656A"/>
    <w:rsid w:val="009C705F"/>
    <w:rsid w:val="009C7499"/>
    <w:rsid w:val="009D6BC3"/>
    <w:rsid w:val="009E0073"/>
    <w:rsid w:val="009E08C0"/>
    <w:rsid w:val="009E1895"/>
    <w:rsid w:val="009E2789"/>
    <w:rsid w:val="009E2A45"/>
    <w:rsid w:val="009E7CB3"/>
    <w:rsid w:val="009F7656"/>
    <w:rsid w:val="00A00D67"/>
    <w:rsid w:val="00A0130B"/>
    <w:rsid w:val="00A02084"/>
    <w:rsid w:val="00A07D9B"/>
    <w:rsid w:val="00A10C1E"/>
    <w:rsid w:val="00A301F3"/>
    <w:rsid w:val="00A307AE"/>
    <w:rsid w:val="00A33EB2"/>
    <w:rsid w:val="00A3473C"/>
    <w:rsid w:val="00A4005D"/>
    <w:rsid w:val="00A40953"/>
    <w:rsid w:val="00A41220"/>
    <w:rsid w:val="00A513FB"/>
    <w:rsid w:val="00A51AB9"/>
    <w:rsid w:val="00A547E4"/>
    <w:rsid w:val="00A5482F"/>
    <w:rsid w:val="00A625EA"/>
    <w:rsid w:val="00A7364C"/>
    <w:rsid w:val="00A7727F"/>
    <w:rsid w:val="00A81880"/>
    <w:rsid w:val="00A81E53"/>
    <w:rsid w:val="00A864E3"/>
    <w:rsid w:val="00A87570"/>
    <w:rsid w:val="00AA4174"/>
    <w:rsid w:val="00AA711D"/>
    <w:rsid w:val="00AA79D7"/>
    <w:rsid w:val="00AB4D26"/>
    <w:rsid w:val="00AC0684"/>
    <w:rsid w:val="00AC1296"/>
    <w:rsid w:val="00AC73CE"/>
    <w:rsid w:val="00AD00CD"/>
    <w:rsid w:val="00AD06D5"/>
    <w:rsid w:val="00AD7233"/>
    <w:rsid w:val="00AD7F7B"/>
    <w:rsid w:val="00AE00A4"/>
    <w:rsid w:val="00AE0314"/>
    <w:rsid w:val="00AE0DA6"/>
    <w:rsid w:val="00AE425B"/>
    <w:rsid w:val="00AF15E3"/>
    <w:rsid w:val="00AF22FB"/>
    <w:rsid w:val="00AF2542"/>
    <w:rsid w:val="00AF3523"/>
    <w:rsid w:val="00B01A4C"/>
    <w:rsid w:val="00B04BDA"/>
    <w:rsid w:val="00B04D52"/>
    <w:rsid w:val="00B10345"/>
    <w:rsid w:val="00B12ECE"/>
    <w:rsid w:val="00B17162"/>
    <w:rsid w:val="00B202A8"/>
    <w:rsid w:val="00B20C7B"/>
    <w:rsid w:val="00B26390"/>
    <w:rsid w:val="00B27FCF"/>
    <w:rsid w:val="00B30C2E"/>
    <w:rsid w:val="00B319D9"/>
    <w:rsid w:val="00B33DFD"/>
    <w:rsid w:val="00B37BA2"/>
    <w:rsid w:val="00B41AE8"/>
    <w:rsid w:val="00B41F04"/>
    <w:rsid w:val="00B42F1F"/>
    <w:rsid w:val="00B52DDB"/>
    <w:rsid w:val="00B53014"/>
    <w:rsid w:val="00B56655"/>
    <w:rsid w:val="00B574A6"/>
    <w:rsid w:val="00B60BE7"/>
    <w:rsid w:val="00B65E81"/>
    <w:rsid w:val="00B67A40"/>
    <w:rsid w:val="00B701A9"/>
    <w:rsid w:val="00B727F3"/>
    <w:rsid w:val="00B75D68"/>
    <w:rsid w:val="00B821BE"/>
    <w:rsid w:val="00B82C56"/>
    <w:rsid w:val="00B8469F"/>
    <w:rsid w:val="00B85D21"/>
    <w:rsid w:val="00B87B7F"/>
    <w:rsid w:val="00B9312B"/>
    <w:rsid w:val="00B94688"/>
    <w:rsid w:val="00BA3C44"/>
    <w:rsid w:val="00BB4C49"/>
    <w:rsid w:val="00BB7AEB"/>
    <w:rsid w:val="00BC3CFF"/>
    <w:rsid w:val="00BC6A00"/>
    <w:rsid w:val="00BD18BF"/>
    <w:rsid w:val="00BD2C9A"/>
    <w:rsid w:val="00BD5438"/>
    <w:rsid w:val="00BE10BE"/>
    <w:rsid w:val="00BE1225"/>
    <w:rsid w:val="00BE2B26"/>
    <w:rsid w:val="00BE7D36"/>
    <w:rsid w:val="00BE7E37"/>
    <w:rsid w:val="00BF3A97"/>
    <w:rsid w:val="00BF5349"/>
    <w:rsid w:val="00BF5EA7"/>
    <w:rsid w:val="00BF641C"/>
    <w:rsid w:val="00C00EA5"/>
    <w:rsid w:val="00C06D35"/>
    <w:rsid w:val="00C10191"/>
    <w:rsid w:val="00C10C2C"/>
    <w:rsid w:val="00C11012"/>
    <w:rsid w:val="00C1145C"/>
    <w:rsid w:val="00C138E5"/>
    <w:rsid w:val="00C13943"/>
    <w:rsid w:val="00C14440"/>
    <w:rsid w:val="00C15744"/>
    <w:rsid w:val="00C22F6F"/>
    <w:rsid w:val="00C241DF"/>
    <w:rsid w:val="00C31BB8"/>
    <w:rsid w:val="00C32462"/>
    <w:rsid w:val="00C34E61"/>
    <w:rsid w:val="00C5090A"/>
    <w:rsid w:val="00C5230D"/>
    <w:rsid w:val="00C5336E"/>
    <w:rsid w:val="00C53E92"/>
    <w:rsid w:val="00C559B5"/>
    <w:rsid w:val="00C55CB3"/>
    <w:rsid w:val="00C614EE"/>
    <w:rsid w:val="00C74F09"/>
    <w:rsid w:val="00C75350"/>
    <w:rsid w:val="00C81D2F"/>
    <w:rsid w:val="00C84898"/>
    <w:rsid w:val="00C85F93"/>
    <w:rsid w:val="00C903F8"/>
    <w:rsid w:val="00C91103"/>
    <w:rsid w:val="00C914FF"/>
    <w:rsid w:val="00CA3C1D"/>
    <w:rsid w:val="00CA6299"/>
    <w:rsid w:val="00CB0C25"/>
    <w:rsid w:val="00CB45CE"/>
    <w:rsid w:val="00CB7C33"/>
    <w:rsid w:val="00CC4ACB"/>
    <w:rsid w:val="00CC7013"/>
    <w:rsid w:val="00CC75A8"/>
    <w:rsid w:val="00CE0040"/>
    <w:rsid w:val="00CE5860"/>
    <w:rsid w:val="00CF0402"/>
    <w:rsid w:val="00CF3C14"/>
    <w:rsid w:val="00CF4729"/>
    <w:rsid w:val="00D01844"/>
    <w:rsid w:val="00D041C9"/>
    <w:rsid w:val="00D0568A"/>
    <w:rsid w:val="00D071A9"/>
    <w:rsid w:val="00D073E9"/>
    <w:rsid w:val="00D07894"/>
    <w:rsid w:val="00D11CE4"/>
    <w:rsid w:val="00D30328"/>
    <w:rsid w:val="00D3048C"/>
    <w:rsid w:val="00D32EBD"/>
    <w:rsid w:val="00D34D11"/>
    <w:rsid w:val="00D363C1"/>
    <w:rsid w:val="00D43147"/>
    <w:rsid w:val="00D46FDB"/>
    <w:rsid w:val="00D504D0"/>
    <w:rsid w:val="00D54136"/>
    <w:rsid w:val="00D54710"/>
    <w:rsid w:val="00D620A3"/>
    <w:rsid w:val="00D6767E"/>
    <w:rsid w:val="00D70121"/>
    <w:rsid w:val="00D70846"/>
    <w:rsid w:val="00D75128"/>
    <w:rsid w:val="00D77515"/>
    <w:rsid w:val="00D8104C"/>
    <w:rsid w:val="00D81741"/>
    <w:rsid w:val="00D912D5"/>
    <w:rsid w:val="00D96A0D"/>
    <w:rsid w:val="00DA23BF"/>
    <w:rsid w:val="00DA736D"/>
    <w:rsid w:val="00DB3F36"/>
    <w:rsid w:val="00DB5B9D"/>
    <w:rsid w:val="00DB5F4C"/>
    <w:rsid w:val="00DD024C"/>
    <w:rsid w:val="00DD19D4"/>
    <w:rsid w:val="00DD38AB"/>
    <w:rsid w:val="00DD52C2"/>
    <w:rsid w:val="00DE1912"/>
    <w:rsid w:val="00DE5728"/>
    <w:rsid w:val="00DF55BA"/>
    <w:rsid w:val="00DF6D64"/>
    <w:rsid w:val="00E03CEA"/>
    <w:rsid w:val="00E07C35"/>
    <w:rsid w:val="00E07F72"/>
    <w:rsid w:val="00E11E11"/>
    <w:rsid w:val="00E15C68"/>
    <w:rsid w:val="00E20EE9"/>
    <w:rsid w:val="00E22F26"/>
    <w:rsid w:val="00E23177"/>
    <w:rsid w:val="00E24398"/>
    <w:rsid w:val="00E25C4B"/>
    <w:rsid w:val="00E2652A"/>
    <w:rsid w:val="00E30346"/>
    <w:rsid w:val="00E31BCC"/>
    <w:rsid w:val="00E4293A"/>
    <w:rsid w:val="00E50F7D"/>
    <w:rsid w:val="00E531C5"/>
    <w:rsid w:val="00E54888"/>
    <w:rsid w:val="00E55401"/>
    <w:rsid w:val="00E5685D"/>
    <w:rsid w:val="00E61BE3"/>
    <w:rsid w:val="00E6273E"/>
    <w:rsid w:val="00E64095"/>
    <w:rsid w:val="00E642B5"/>
    <w:rsid w:val="00E64453"/>
    <w:rsid w:val="00E64CD4"/>
    <w:rsid w:val="00E6535B"/>
    <w:rsid w:val="00E728FE"/>
    <w:rsid w:val="00E744CB"/>
    <w:rsid w:val="00E749B6"/>
    <w:rsid w:val="00EA6260"/>
    <w:rsid w:val="00EB1005"/>
    <w:rsid w:val="00EB590E"/>
    <w:rsid w:val="00EB64C4"/>
    <w:rsid w:val="00ED59BA"/>
    <w:rsid w:val="00EE39AD"/>
    <w:rsid w:val="00EE3B5E"/>
    <w:rsid w:val="00EE48E5"/>
    <w:rsid w:val="00EE57A9"/>
    <w:rsid w:val="00EE6E19"/>
    <w:rsid w:val="00EF0775"/>
    <w:rsid w:val="00EF1515"/>
    <w:rsid w:val="00EF21EC"/>
    <w:rsid w:val="00F02A7C"/>
    <w:rsid w:val="00F044BB"/>
    <w:rsid w:val="00F078F5"/>
    <w:rsid w:val="00F12B6A"/>
    <w:rsid w:val="00F14175"/>
    <w:rsid w:val="00F14E49"/>
    <w:rsid w:val="00F21029"/>
    <w:rsid w:val="00F27C4A"/>
    <w:rsid w:val="00F319A0"/>
    <w:rsid w:val="00F33694"/>
    <w:rsid w:val="00F40CFE"/>
    <w:rsid w:val="00F40D27"/>
    <w:rsid w:val="00F42F28"/>
    <w:rsid w:val="00F4542E"/>
    <w:rsid w:val="00F47F22"/>
    <w:rsid w:val="00F51875"/>
    <w:rsid w:val="00F5243D"/>
    <w:rsid w:val="00F53D1A"/>
    <w:rsid w:val="00F54704"/>
    <w:rsid w:val="00F7103E"/>
    <w:rsid w:val="00F71A16"/>
    <w:rsid w:val="00F73CD2"/>
    <w:rsid w:val="00F744C3"/>
    <w:rsid w:val="00F80EFF"/>
    <w:rsid w:val="00F84075"/>
    <w:rsid w:val="00F8456F"/>
    <w:rsid w:val="00F85520"/>
    <w:rsid w:val="00FA1FBD"/>
    <w:rsid w:val="00FA32AF"/>
    <w:rsid w:val="00FA4BC3"/>
    <w:rsid w:val="00FB06A5"/>
    <w:rsid w:val="00FC13CC"/>
    <w:rsid w:val="00FC2ECB"/>
    <w:rsid w:val="00FD0A46"/>
    <w:rsid w:val="00FD13A0"/>
    <w:rsid w:val="00FE3236"/>
    <w:rsid w:val="00FF02A6"/>
    <w:rsid w:val="00FF3AEC"/>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F07C85"/>
  <w15:docId w15:val="{5B58D0A8-8F9D-4B3F-BB24-B222ED8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paragraph" w:styleId="Heading7">
    <w:name w:val="heading 7"/>
    <w:basedOn w:val="Normal"/>
    <w:next w:val="Normal"/>
    <w:link w:val="Heading7Char"/>
    <w:semiHidden/>
    <w:unhideWhenUsed/>
    <w:qFormat/>
    <w:rsid w:val="000A2E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1"/>
      </w:numPr>
    </w:pPr>
  </w:style>
  <w:style w:type="numbering" w:customStyle="1" w:styleId="Style4">
    <w:name w:val="Style4"/>
    <w:rsid w:val="00E50F7D"/>
    <w:pPr>
      <w:numPr>
        <w:numId w:val="2"/>
      </w:numPr>
    </w:pPr>
  </w:style>
  <w:style w:type="numbering" w:customStyle="1" w:styleId="Style5">
    <w:name w:val="Style5"/>
    <w:rsid w:val="00E50F7D"/>
    <w:pPr>
      <w:numPr>
        <w:numId w:val="3"/>
      </w:numPr>
    </w:pPr>
  </w:style>
  <w:style w:type="numbering" w:customStyle="1" w:styleId="Style6">
    <w:name w:val="Style6"/>
    <w:rsid w:val="00E50F7D"/>
    <w:pPr>
      <w:numPr>
        <w:numId w:val="4"/>
      </w:numPr>
    </w:pPr>
  </w:style>
  <w:style w:type="character" w:customStyle="1" w:styleId="Heading7Char">
    <w:name w:val="Heading 7 Char"/>
    <w:basedOn w:val="DefaultParagraphFont"/>
    <w:link w:val="Heading7"/>
    <w:semiHidden/>
    <w:rsid w:val="000A2E3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0A2E3B"/>
    <w:pPr>
      <w:spacing w:after="120"/>
    </w:pPr>
    <w:rPr>
      <w:sz w:val="16"/>
      <w:szCs w:val="16"/>
    </w:rPr>
  </w:style>
  <w:style w:type="character" w:customStyle="1" w:styleId="BodyText3Char">
    <w:name w:val="Body Text 3 Char"/>
    <w:basedOn w:val="DefaultParagraphFont"/>
    <w:link w:val="BodyText3"/>
    <w:rsid w:val="000A2E3B"/>
    <w:rPr>
      <w:sz w:val="16"/>
      <w:szCs w:val="16"/>
    </w:rPr>
  </w:style>
  <w:style w:type="character" w:customStyle="1" w:styleId="HeaderChar">
    <w:name w:val="Header Char"/>
    <w:basedOn w:val="DefaultParagraphFont"/>
    <w:link w:val="Header"/>
    <w:rsid w:val="000A2E3B"/>
    <w:rPr>
      <w:sz w:val="24"/>
      <w:szCs w:val="24"/>
    </w:rPr>
  </w:style>
  <w:style w:type="character" w:customStyle="1" w:styleId="BodyTextChar">
    <w:name w:val="Body Text Char"/>
    <w:basedOn w:val="DefaultParagraphFont"/>
    <w:link w:val="BodyText"/>
    <w:rsid w:val="00355594"/>
    <w:rPr>
      <w:sz w:val="22"/>
      <w:szCs w:val="24"/>
    </w:rPr>
  </w:style>
  <w:style w:type="character" w:customStyle="1" w:styleId="BodyTextIndentChar">
    <w:name w:val="Body Text Indent Char"/>
    <w:basedOn w:val="DefaultParagraphFont"/>
    <w:link w:val="BodyTextIndent"/>
    <w:rsid w:val="00355594"/>
    <w:rPr>
      <w:sz w:val="22"/>
      <w:szCs w:val="24"/>
    </w:rPr>
  </w:style>
  <w:style w:type="paragraph" w:styleId="FootnoteText">
    <w:name w:val="footnote text"/>
    <w:basedOn w:val="Normal"/>
    <w:link w:val="FootnoteTextChar"/>
    <w:rsid w:val="00355594"/>
    <w:rPr>
      <w:sz w:val="20"/>
      <w:szCs w:val="20"/>
    </w:rPr>
  </w:style>
  <w:style w:type="character" w:customStyle="1" w:styleId="FootnoteTextChar">
    <w:name w:val="Footnote Text Char"/>
    <w:basedOn w:val="DefaultParagraphFont"/>
    <w:link w:val="FootnoteText"/>
    <w:rsid w:val="00355594"/>
  </w:style>
  <w:style w:type="character" w:styleId="FootnoteReference">
    <w:name w:val="footnote reference"/>
    <w:basedOn w:val="DefaultParagraphFont"/>
    <w:rsid w:val="00355594"/>
    <w:rPr>
      <w:vertAlign w:val="superscript"/>
    </w:rPr>
  </w:style>
  <w:style w:type="table" w:styleId="TableGrid">
    <w:name w:val="Table Grid"/>
    <w:basedOn w:val="TableNormal"/>
    <w:rsid w:val="0073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96A0D"/>
    <w:rPr>
      <w:b/>
      <w:bCs/>
    </w:rPr>
  </w:style>
  <w:style w:type="character" w:customStyle="1" w:styleId="CommentSubjectChar">
    <w:name w:val="Comment Subject Char"/>
    <w:basedOn w:val="CommentTextChar"/>
    <w:link w:val="CommentSubject"/>
    <w:rsid w:val="00D96A0D"/>
    <w:rPr>
      <w:b/>
      <w:bCs/>
    </w:rPr>
  </w:style>
  <w:style w:type="table" w:customStyle="1" w:styleId="TableGrid1">
    <w:name w:val="Table Grid1"/>
    <w:basedOn w:val="TableNormal"/>
    <w:rsid w:val="006F4D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Indent3BodyCalibriBoldText1After61">
    <w:name w:val="Style Body Text Indent 3 + +Body (Calibri) Bold Text 1 After:  6...1"/>
    <w:basedOn w:val="BodyTextIndent3"/>
    <w:rsid w:val="008D4AE8"/>
    <w:pPr>
      <w:shd w:val="clear" w:color="auto" w:fill="D9D9D9" w:themeFill="background1" w:themeFillShade="D9"/>
      <w:spacing w:after="120"/>
      <w:ind w:left="720" w:hanging="720"/>
      <w:jc w:val="both"/>
    </w:pPr>
    <w:rPr>
      <w:rFonts w:asciiTheme="minorHAnsi" w:hAnsiTheme="minorHAnsi"/>
      <w:b/>
      <w:bCs/>
      <w:color w:val="000000" w:themeColor="text1"/>
      <w:sz w:val="22"/>
      <w:szCs w:val="20"/>
    </w:rPr>
  </w:style>
  <w:style w:type="character" w:customStyle="1" w:styleId="FooterChar">
    <w:name w:val="Footer Char"/>
    <w:basedOn w:val="DefaultParagraphFont"/>
    <w:link w:val="Footer"/>
    <w:uiPriority w:val="99"/>
    <w:rsid w:val="00204F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47">
      <w:bodyDiv w:val="1"/>
      <w:marLeft w:val="0"/>
      <w:marRight w:val="0"/>
      <w:marTop w:val="0"/>
      <w:marBottom w:val="0"/>
      <w:divBdr>
        <w:top w:val="none" w:sz="0" w:space="0" w:color="auto"/>
        <w:left w:val="none" w:sz="0" w:space="0" w:color="auto"/>
        <w:bottom w:val="none" w:sz="0" w:space="0" w:color="auto"/>
        <w:right w:val="none" w:sz="0" w:space="0" w:color="auto"/>
      </w:divBdr>
    </w:div>
    <w:div w:id="423575410">
      <w:bodyDiv w:val="1"/>
      <w:marLeft w:val="0"/>
      <w:marRight w:val="0"/>
      <w:marTop w:val="0"/>
      <w:marBottom w:val="0"/>
      <w:divBdr>
        <w:top w:val="none" w:sz="0" w:space="0" w:color="auto"/>
        <w:left w:val="none" w:sz="0" w:space="0" w:color="auto"/>
        <w:bottom w:val="none" w:sz="0" w:space="0" w:color="auto"/>
        <w:right w:val="none" w:sz="0" w:space="0" w:color="auto"/>
      </w:divBdr>
    </w:div>
    <w:div w:id="517891226">
      <w:bodyDiv w:val="1"/>
      <w:marLeft w:val="0"/>
      <w:marRight w:val="0"/>
      <w:marTop w:val="0"/>
      <w:marBottom w:val="0"/>
      <w:divBdr>
        <w:top w:val="none" w:sz="0" w:space="0" w:color="auto"/>
        <w:left w:val="none" w:sz="0" w:space="0" w:color="auto"/>
        <w:bottom w:val="none" w:sz="0" w:space="0" w:color="auto"/>
        <w:right w:val="none" w:sz="0" w:space="0" w:color="auto"/>
      </w:divBdr>
    </w:div>
    <w:div w:id="829910706">
      <w:bodyDiv w:val="1"/>
      <w:marLeft w:val="0"/>
      <w:marRight w:val="0"/>
      <w:marTop w:val="0"/>
      <w:marBottom w:val="0"/>
      <w:divBdr>
        <w:top w:val="none" w:sz="0" w:space="0" w:color="auto"/>
        <w:left w:val="none" w:sz="0" w:space="0" w:color="auto"/>
        <w:bottom w:val="none" w:sz="0" w:space="0" w:color="auto"/>
        <w:right w:val="none" w:sz="0" w:space="0" w:color="auto"/>
      </w:divBdr>
    </w:div>
    <w:div w:id="914049842">
      <w:bodyDiv w:val="1"/>
      <w:marLeft w:val="0"/>
      <w:marRight w:val="0"/>
      <w:marTop w:val="0"/>
      <w:marBottom w:val="0"/>
      <w:divBdr>
        <w:top w:val="none" w:sz="0" w:space="0" w:color="auto"/>
        <w:left w:val="none" w:sz="0" w:space="0" w:color="auto"/>
        <w:bottom w:val="none" w:sz="0" w:space="0" w:color="auto"/>
        <w:right w:val="none" w:sz="0" w:space="0" w:color="auto"/>
      </w:divBdr>
    </w:div>
    <w:div w:id="1232541418">
      <w:bodyDiv w:val="1"/>
      <w:marLeft w:val="0"/>
      <w:marRight w:val="0"/>
      <w:marTop w:val="0"/>
      <w:marBottom w:val="0"/>
      <w:divBdr>
        <w:top w:val="none" w:sz="0" w:space="0" w:color="auto"/>
        <w:left w:val="none" w:sz="0" w:space="0" w:color="auto"/>
        <w:bottom w:val="none" w:sz="0" w:space="0" w:color="auto"/>
        <w:right w:val="none" w:sz="0" w:space="0" w:color="auto"/>
      </w:divBdr>
    </w:div>
    <w:div w:id="1785347831">
      <w:bodyDiv w:val="1"/>
      <w:marLeft w:val="0"/>
      <w:marRight w:val="0"/>
      <w:marTop w:val="0"/>
      <w:marBottom w:val="0"/>
      <w:divBdr>
        <w:top w:val="none" w:sz="0" w:space="0" w:color="auto"/>
        <w:left w:val="none" w:sz="0" w:space="0" w:color="auto"/>
        <w:bottom w:val="none" w:sz="0" w:space="0" w:color="auto"/>
        <w:right w:val="none" w:sz="0" w:space="0" w:color="auto"/>
      </w:divBdr>
    </w:div>
    <w:div w:id="2009020377">
      <w:bodyDiv w:val="1"/>
      <w:marLeft w:val="0"/>
      <w:marRight w:val="0"/>
      <w:marTop w:val="0"/>
      <w:marBottom w:val="0"/>
      <w:divBdr>
        <w:top w:val="none" w:sz="0" w:space="0" w:color="auto"/>
        <w:left w:val="none" w:sz="0" w:space="0" w:color="auto"/>
        <w:bottom w:val="none" w:sz="0" w:space="0" w:color="auto"/>
        <w:right w:val="none" w:sz="0" w:space="0" w:color="auto"/>
      </w:divBdr>
    </w:div>
    <w:div w:id="2076664111">
      <w:bodyDiv w:val="1"/>
      <w:marLeft w:val="0"/>
      <w:marRight w:val="0"/>
      <w:marTop w:val="0"/>
      <w:marBottom w:val="0"/>
      <w:divBdr>
        <w:top w:val="none" w:sz="0" w:space="0" w:color="auto"/>
        <w:left w:val="none" w:sz="0" w:space="0" w:color="auto"/>
        <w:bottom w:val="none" w:sz="0" w:space="0" w:color="auto"/>
        <w:right w:val="none" w:sz="0" w:space="0" w:color="auto"/>
      </w:divBdr>
    </w:div>
    <w:div w:id="20775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7817-D923-47B6-A162-C085B9DA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3393</Words>
  <Characters>17267</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Daveline, Dan</cp:lastModifiedBy>
  <cp:revision>8</cp:revision>
  <cp:lastPrinted>2021-03-25T19:05:00Z</cp:lastPrinted>
  <dcterms:created xsi:type="dcterms:W3CDTF">2021-02-08T12:59:00Z</dcterms:created>
  <dcterms:modified xsi:type="dcterms:W3CDTF">2021-05-03T15:41:00Z</dcterms:modified>
</cp:coreProperties>
</file>