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95065582" w:displacedByCustomXml="next"/>
    <w:bookmarkStart w:id="1" w:name="_Toc28590807" w:displacedByCustomXml="next"/>
    <w:bookmarkStart w:id="2" w:name="_Toc35510696" w:displacedByCustomXml="next"/>
    <w:sdt>
      <w:sdtPr>
        <w:rPr>
          <w:rFonts w:asciiTheme="minorHAnsi" w:eastAsiaTheme="minorHAnsi" w:hAnsiTheme="minorHAnsi" w:cs="Arial"/>
          <w:color w:val="auto"/>
          <w:sz w:val="24"/>
          <w:szCs w:val="22"/>
        </w:rPr>
        <w:id w:val="-561717977"/>
        <w:docPartObj>
          <w:docPartGallery w:val="Table of Contents"/>
          <w:docPartUnique/>
        </w:docPartObj>
      </w:sdtPr>
      <w:sdtEndPr>
        <w:rPr>
          <w:b/>
          <w:bCs/>
          <w:noProof/>
        </w:rPr>
      </w:sdtEndPr>
      <w:sdtContent>
        <w:p w14:paraId="596F669E" w14:textId="77777777" w:rsidR="00BE721D" w:rsidRDefault="00BE721D">
          <w:pPr>
            <w:pStyle w:val="TOCHeading"/>
          </w:pPr>
        </w:p>
        <w:p w14:paraId="3A864E56" w14:textId="03511A6D" w:rsidR="00880640" w:rsidRDefault="00880640">
          <w:pPr>
            <w:pStyle w:val="TOCHeading"/>
          </w:pPr>
          <w:r>
            <w:t>Contents</w:t>
          </w:r>
        </w:p>
        <w:p w14:paraId="0EBE8A93" w14:textId="77777777" w:rsidR="00BE721D" w:rsidRPr="0055754B" w:rsidRDefault="00BE721D" w:rsidP="00471F3E"/>
        <w:p w14:paraId="40A8F815" w14:textId="730C2164" w:rsidR="00880640" w:rsidRDefault="00880640">
          <w:pPr>
            <w:pStyle w:val="TOC1"/>
            <w:tabs>
              <w:tab w:val="right" w:leader="dot" w:pos="9350"/>
            </w:tabs>
            <w:rPr>
              <w:rFonts w:eastAsiaTheme="minorEastAsia" w:cstheme="minorBidi"/>
              <w:noProof/>
              <w:color w:val="auto"/>
              <w:sz w:val="22"/>
            </w:rPr>
          </w:pPr>
          <w:r>
            <w:fldChar w:fldCharType="begin"/>
          </w:r>
          <w:r>
            <w:instrText xml:space="preserve"> TOC \o "1-3" \h \z \u </w:instrText>
          </w:r>
          <w:r>
            <w:fldChar w:fldCharType="separate"/>
          </w:r>
          <w:hyperlink w:anchor="_Toc35511017" w:history="1">
            <w:r w:rsidRPr="0061468A">
              <w:rPr>
                <w:rStyle w:val="Hyperlink"/>
                <w:noProof/>
              </w:rPr>
              <w:t>Designation Maintenance (“Renewal”) Requirements</w:t>
            </w:r>
            <w:r>
              <w:rPr>
                <w:noProof/>
                <w:webHidden/>
              </w:rPr>
              <w:tab/>
            </w:r>
            <w:r>
              <w:rPr>
                <w:noProof/>
                <w:webHidden/>
              </w:rPr>
              <w:fldChar w:fldCharType="begin"/>
            </w:r>
            <w:r>
              <w:rPr>
                <w:noProof/>
                <w:webHidden/>
              </w:rPr>
              <w:instrText xml:space="preserve"> PAGEREF _Toc35511017 \h </w:instrText>
            </w:r>
            <w:r>
              <w:rPr>
                <w:noProof/>
                <w:webHidden/>
              </w:rPr>
            </w:r>
            <w:r>
              <w:rPr>
                <w:noProof/>
                <w:webHidden/>
              </w:rPr>
              <w:fldChar w:fldCharType="separate"/>
            </w:r>
            <w:r w:rsidR="009952EA">
              <w:rPr>
                <w:noProof/>
                <w:webHidden/>
              </w:rPr>
              <w:t>2</w:t>
            </w:r>
            <w:r>
              <w:rPr>
                <w:noProof/>
                <w:webHidden/>
              </w:rPr>
              <w:fldChar w:fldCharType="end"/>
            </w:r>
          </w:hyperlink>
        </w:p>
        <w:p w14:paraId="2D421B71" w14:textId="6543C88E" w:rsidR="00880640" w:rsidRDefault="00430360">
          <w:pPr>
            <w:pStyle w:val="TOC1"/>
            <w:tabs>
              <w:tab w:val="right" w:leader="dot" w:pos="9350"/>
            </w:tabs>
            <w:rPr>
              <w:rFonts w:eastAsiaTheme="minorEastAsia" w:cstheme="minorBidi"/>
              <w:noProof/>
              <w:color w:val="auto"/>
              <w:sz w:val="22"/>
            </w:rPr>
          </w:pPr>
          <w:hyperlink w:anchor="_Toc35511018" w:history="1">
            <w:r w:rsidR="00880640" w:rsidRPr="0061468A">
              <w:rPr>
                <w:rStyle w:val="Hyperlink"/>
                <w:noProof/>
              </w:rPr>
              <w:t>Designation Renewal Credits (DRCs)</w:t>
            </w:r>
            <w:r w:rsidR="00880640">
              <w:rPr>
                <w:noProof/>
                <w:webHidden/>
              </w:rPr>
              <w:tab/>
            </w:r>
            <w:r w:rsidR="00880640">
              <w:rPr>
                <w:noProof/>
                <w:webHidden/>
              </w:rPr>
              <w:fldChar w:fldCharType="begin"/>
            </w:r>
            <w:r w:rsidR="00880640">
              <w:rPr>
                <w:noProof/>
                <w:webHidden/>
              </w:rPr>
              <w:instrText xml:space="preserve"> PAGEREF _Toc35511018 \h </w:instrText>
            </w:r>
            <w:r w:rsidR="00880640">
              <w:rPr>
                <w:noProof/>
                <w:webHidden/>
              </w:rPr>
            </w:r>
            <w:r w:rsidR="00880640">
              <w:rPr>
                <w:noProof/>
                <w:webHidden/>
              </w:rPr>
              <w:fldChar w:fldCharType="separate"/>
            </w:r>
            <w:r w:rsidR="009952EA">
              <w:rPr>
                <w:noProof/>
                <w:webHidden/>
              </w:rPr>
              <w:t>2</w:t>
            </w:r>
            <w:r w:rsidR="00880640">
              <w:rPr>
                <w:noProof/>
                <w:webHidden/>
              </w:rPr>
              <w:fldChar w:fldCharType="end"/>
            </w:r>
          </w:hyperlink>
        </w:p>
        <w:p w14:paraId="5C238169" w14:textId="508A9B41" w:rsidR="00880640" w:rsidRDefault="00430360">
          <w:pPr>
            <w:pStyle w:val="TOC1"/>
            <w:tabs>
              <w:tab w:val="right" w:leader="dot" w:pos="9350"/>
            </w:tabs>
            <w:rPr>
              <w:rFonts w:eastAsiaTheme="minorEastAsia" w:cstheme="minorBidi"/>
              <w:noProof/>
              <w:color w:val="auto"/>
              <w:sz w:val="22"/>
            </w:rPr>
          </w:pPr>
          <w:hyperlink w:anchor="_Toc35511019" w:history="1">
            <w:r w:rsidR="00880640" w:rsidRPr="0061468A">
              <w:rPr>
                <w:rStyle w:val="Hyperlink"/>
                <w:noProof/>
              </w:rPr>
              <w:t>Reporting Periods</w:t>
            </w:r>
            <w:r w:rsidR="00880640">
              <w:rPr>
                <w:noProof/>
                <w:webHidden/>
              </w:rPr>
              <w:tab/>
            </w:r>
            <w:r w:rsidR="00880640">
              <w:rPr>
                <w:noProof/>
                <w:webHidden/>
              </w:rPr>
              <w:fldChar w:fldCharType="begin"/>
            </w:r>
            <w:r w:rsidR="00880640">
              <w:rPr>
                <w:noProof/>
                <w:webHidden/>
              </w:rPr>
              <w:instrText xml:space="preserve"> PAGEREF _Toc35511019 \h </w:instrText>
            </w:r>
            <w:r w:rsidR="00880640">
              <w:rPr>
                <w:noProof/>
                <w:webHidden/>
              </w:rPr>
            </w:r>
            <w:r w:rsidR="00880640">
              <w:rPr>
                <w:noProof/>
                <w:webHidden/>
              </w:rPr>
              <w:fldChar w:fldCharType="separate"/>
            </w:r>
            <w:r w:rsidR="009952EA">
              <w:rPr>
                <w:noProof/>
                <w:webHidden/>
              </w:rPr>
              <w:t>4</w:t>
            </w:r>
            <w:r w:rsidR="00880640">
              <w:rPr>
                <w:noProof/>
                <w:webHidden/>
              </w:rPr>
              <w:fldChar w:fldCharType="end"/>
            </w:r>
          </w:hyperlink>
        </w:p>
        <w:p w14:paraId="59287E4C" w14:textId="0497EF74" w:rsidR="00880640" w:rsidRDefault="00430360">
          <w:pPr>
            <w:pStyle w:val="TOC1"/>
            <w:tabs>
              <w:tab w:val="right" w:leader="dot" w:pos="9350"/>
            </w:tabs>
            <w:rPr>
              <w:rFonts w:eastAsiaTheme="minorEastAsia" w:cstheme="minorBidi"/>
              <w:noProof/>
              <w:color w:val="auto"/>
              <w:sz w:val="22"/>
            </w:rPr>
          </w:pPr>
          <w:hyperlink w:anchor="_Toc35511020" w:history="1">
            <w:r w:rsidR="00880640" w:rsidRPr="0061468A">
              <w:rPr>
                <w:rStyle w:val="Hyperlink"/>
                <w:noProof/>
              </w:rPr>
              <w:t>Reporting Requirements</w:t>
            </w:r>
            <w:r w:rsidR="00880640">
              <w:rPr>
                <w:noProof/>
                <w:webHidden/>
              </w:rPr>
              <w:tab/>
            </w:r>
            <w:r w:rsidR="00880640">
              <w:rPr>
                <w:noProof/>
                <w:webHidden/>
              </w:rPr>
              <w:fldChar w:fldCharType="begin"/>
            </w:r>
            <w:r w:rsidR="00880640">
              <w:rPr>
                <w:noProof/>
                <w:webHidden/>
              </w:rPr>
              <w:instrText xml:space="preserve"> PAGEREF _Toc35511020 \h </w:instrText>
            </w:r>
            <w:r w:rsidR="00880640">
              <w:rPr>
                <w:noProof/>
                <w:webHidden/>
              </w:rPr>
            </w:r>
            <w:r w:rsidR="00880640">
              <w:rPr>
                <w:noProof/>
                <w:webHidden/>
              </w:rPr>
              <w:fldChar w:fldCharType="separate"/>
            </w:r>
            <w:r w:rsidR="009952EA">
              <w:rPr>
                <w:noProof/>
                <w:webHidden/>
              </w:rPr>
              <w:t>4</w:t>
            </w:r>
            <w:r w:rsidR="00880640">
              <w:rPr>
                <w:noProof/>
                <w:webHidden/>
              </w:rPr>
              <w:fldChar w:fldCharType="end"/>
            </w:r>
          </w:hyperlink>
        </w:p>
        <w:p w14:paraId="01820BB2" w14:textId="0266D8AA" w:rsidR="00880640" w:rsidRDefault="00430360">
          <w:pPr>
            <w:pStyle w:val="TOC1"/>
            <w:tabs>
              <w:tab w:val="right" w:leader="dot" w:pos="9350"/>
            </w:tabs>
            <w:rPr>
              <w:rFonts w:eastAsiaTheme="minorEastAsia" w:cstheme="minorBidi"/>
              <w:noProof/>
              <w:color w:val="auto"/>
              <w:sz w:val="22"/>
            </w:rPr>
          </w:pPr>
          <w:hyperlink w:anchor="_Toc35511021" w:history="1">
            <w:r w:rsidR="00880640" w:rsidRPr="0061468A">
              <w:rPr>
                <w:rStyle w:val="Hyperlink"/>
                <w:noProof/>
              </w:rPr>
              <w:t>NAIC’s Minimum Education Standards:</w:t>
            </w:r>
            <w:r w:rsidR="00880640">
              <w:rPr>
                <w:noProof/>
                <w:webHidden/>
              </w:rPr>
              <w:tab/>
            </w:r>
            <w:r w:rsidR="00880640">
              <w:rPr>
                <w:noProof/>
                <w:webHidden/>
              </w:rPr>
              <w:fldChar w:fldCharType="begin"/>
            </w:r>
            <w:r w:rsidR="00880640">
              <w:rPr>
                <w:noProof/>
                <w:webHidden/>
              </w:rPr>
              <w:instrText xml:space="preserve"> PAGEREF _Toc35511021 \h </w:instrText>
            </w:r>
            <w:r w:rsidR="00880640">
              <w:rPr>
                <w:noProof/>
                <w:webHidden/>
              </w:rPr>
            </w:r>
            <w:r w:rsidR="00880640">
              <w:rPr>
                <w:noProof/>
                <w:webHidden/>
              </w:rPr>
              <w:fldChar w:fldCharType="separate"/>
            </w:r>
            <w:r w:rsidR="009952EA">
              <w:rPr>
                <w:noProof/>
                <w:webHidden/>
              </w:rPr>
              <w:t>5</w:t>
            </w:r>
            <w:r w:rsidR="00880640">
              <w:rPr>
                <w:noProof/>
                <w:webHidden/>
              </w:rPr>
              <w:fldChar w:fldCharType="end"/>
            </w:r>
          </w:hyperlink>
        </w:p>
        <w:p w14:paraId="75075638" w14:textId="18899B1D" w:rsidR="00880640" w:rsidRDefault="00430360">
          <w:pPr>
            <w:pStyle w:val="TOC1"/>
            <w:tabs>
              <w:tab w:val="right" w:leader="dot" w:pos="9350"/>
            </w:tabs>
            <w:rPr>
              <w:rFonts w:eastAsiaTheme="minorEastAsia" w:cstheme="minorBidi"/>
              <w:noProof/>
              <w:color w:val="auto"/>
              <w:sz w:val="22"/>
            </w:rPr>
          </w:pPr>
          <w:hyperlink w:anchor="_Toc35511022" w:history="1">
            <w:r w:rsidR="00880640" w:rsidRPr="0061468A">
              <w:rPr>
                <w:rStyle w:val="Hyperlink"/>
                <w:noProof/>
              </w:rPr>
              <w:t>Non-Renewals</w:t>
            </w:r>
            <w:r w:rsidR="00880640">
              <w:rPr>
                <w:noProof/>
                <w:webHidden/>
              </w:rPr>
              <w:tab/>
            </w:r>
            <w:r w:rsidR="00880640">
              <w:rPr>
                <w:noProof/>
                <w:webHidden/>
              </w:rPr>
              <w:fldChar w:fldCharType="begin"/>
            </w:r>
            <w:r w:rsidR="00880640">
              <w:rPr>
                <w:noProof/>
                <w:webHidden/>
              </w:rPr>
              <w:instrText xml:space="preserve"> PAGEREF _Toc35511022 \h </w:instrText>
            </w:r>
            <w:r w:rsidR="00880640">
              <w:rPr>
                <w:noProof/>
                <w:webHidden/>
              </w:rPr>
            </w:r>
            <w:r w:rsidR="00880640">
              <w:rPr>
                <w:noProof/>
                <w:webHidden/>
              </w:rPr>
              <w:fldChar w:fldCharType="separate"/>
            </w:r>
            <w:r w:rsidR="009952EA">
              <w:rPr>
                <w:noProof/>
                <w:webHidden/>
              </w:rPr>
              <w:t>8</w:t>
            </w:r>
            <w:r w:rsidR="00880640">
              <w:rPr>
                <w:noProof/>
                <w:webHidden/>
              </w:rPr>
              <w:fldChar w:fldCharType="end"/>
            </w:r>
          </w:hyperlink>
        </w:p>
        <w:p w14:paraId="4D77F99B" w14:textId="10795377" w:rsidR="00880640" w:rsidRDefault="00880640">
          <w:r>
            <w:rPr>
              <w:b/>
              <w:bCs/>
              <w:noProof/>
            </w:rPr>
            <w:fldChar w:fldCharType="end"/>
          </w:r>
        </w:p>
      </w:sdtContent>
    </w:sdt>
    <w:p w14:paraId="7930EE88" w14:textId="77777777" w:rsidR="008E532A" w:rsidRDefault="008E532A">
      <w:pPr>
        <w:rPr>
          <w:rFonts w:asciiTheme="majorHAnsi" w:eastAsiaTheme="majorEastAsia" w:hAnsiTheme="majorHAnsi" w:cstheme="majorBidi"/>
          <w:b/>
          <w:bCs/>
          <w:color w:val="4F81BD" w:themeColor="accent1"/>
          <w:sz w:val="26"/>
          <w:szCs w:val="26"/>
        </w:rPr>
      </w:pPr>
      <w:r>
        <w:br w:type="page"/>
      </w:r>
    </w:p>
    <w:p w14:paraId="582625EB" w14:textId="18185992" w:rsidR="00267697" w:rsidRPr="00B40858" w:rsidRDefault="00267697">
      <w:pPr>
        <w:pStyle w:val="Heading1"/>
      </w:pPr>
      <w:bookmarkStart w:id="3" w:name="_Toc35511017"/>
      <w:r>
        <w:lastRenderedPageBreak/>
        <w:t xml:space="preserve">Designation Maintenance (“Renewal”) </w:t>
      </w:r>
      <w:r w:rsidRPr="00543EFB">
        <w:t>Requirements</w:t>
      </w:r>
      <w:bookmarkEnd w:id="3"/>
      <w:bookmarkEnd w:id="2"/>
      <w:bookmarkEnd w:id="1"/>
      <w:bookmarkEnd w:id="0"/>
    </w:p>
    <w:p w14:paraId="182A053B" w14:textId="7F497652" w:rsidR="00267697" w:rsidRDefault="00267697" w:rsidP="00267697">
      <w:r>
        <w:t xml:space="preserve">The </w:t>
      </w:r>
      <w:r w:rsidRPr="004C44E1">
        <w:t xml:space="preserve">NAIC’s Designation Program is intended to promote, foster and recognize career-long learning among </w:t>
      </w:r>
      <w:r>
        <w:t xml:space="preserve">state insurance </w:t>
      </w:r>
      <w:r w:rsidRPr="004C44E1">
        <w:t>regulators, and in doing so, elevate the profession of insurance regulation. To that</w:t>
      </w:r>
      <w:r>
        <w:t xml:space="preserve"> end</w:t>
      </w:r>
      <w:r w:rsidRPr="004C44E1">
        <w:t xml:space="preserve">, the NAIC has established a system for quantifying and recording the learning activities of its </w:t>
      </w:r>
      <w:r>
        <w:t>designees</w:t>
      </w:r>
      <w:r w:rsidRPr="004C44E1">
        <w:t xml:space="preserve">. This system has established </w:t>
      </w:r>
      <w:r w:rsidRPr="004C44E1">
        <w:rPr>
          <w:i/>
        </w:rPr>
        <w:t>contact hours</w:t>
      </w:r>
      <w:r w:rsidRPr="004C44E1">
        <w:t xml:space="preserve"> </w:t>
      </w:r>
      <w:r w:rsidR="008423AC">
        <w:t>as</w:t>
      </w:r>
      <w:r w:rsidR="008423AC" w:rsidRPr="004C44E1">
        <w:t xml:space="preserve"> </w:t>
      </w:r>
      <w:r w:rsidRPr="004C44E1">
        <w:rPr>
          <w:i/>
        </w:rPr>
        <w:t xml:space="preserve">credits </w:t>
      </w:r>
      <w:r w:rsidR="008423AC">
        <w:t>for the</w:t>
      </w:r>
      <w:r w:rsidRPr="004C44E1">
        <w:t xml:space="preserve"> basis of measurement. </w:t>
      </w:r>
    </w:p>
    <w:p w14:paraId="1F1772EA" w14:textId="3E74D5DB" w:rsidR="00267697" w:rsidRPr="004C44E1" w:rsidRDefault="00267697" w:rsidP="00471F3E">
      <w:pPr>
        <w:pStyle w:val="Heading1"/>
      </w:pPr>
      <w:bookmarkStart w:id="4" w:name="_Toc28590808"/>
      <w:bookmarkStart w:id="5" w:name="_Toc35510521"/>
      <w:bookmarkStart w:id="6" w:name="_Toc35510697"/>
      <w:bookmarkStart w:id="7" w:name="_Toc35510777"/>
      <w:bookmarkStart w:id="8" w:name="_Toc35510893"/>
      <w:bookmarkStart w:id="9" w:name="_Toc35511018"/>
      <w:r w:rsidRPr="004C44E1">
        <w:t xml:space="preserve">Designation Renewal </w:t>
      </w:r>
      <w:r>
        <w:t>Credits (DRCs)</w:t>
      </w:r>
      <w:bookmarkEnd w:id="4"/>
      <w:bookmarkEnd w:id="5"/>
      <w:bookmarkEnd w:id="6"/>
      <w:bookmarkEnd w:id="7"/>
      <w:bookmarkEnd w:id="8"/>
      <w:bookmarkEnd w:id="9"/>
    </w:p>
    <w:p w14:paraId="61A0439D" w14:textId="50FCE96F" w:rsidR="00267697" w:rsidRDefault="00193DFF" w:rsidP="00267697">
      <w:r>
        <w:t>APIR</w:t>
      </w:r>
      <w:r w:rsidRPr="004C44E1">
        <w:t xml:space="preserve">, </w:t>
      </w:r>
      <w:r>
        <w:t>PIR,</w:t>
      </w:r>
      <w:r w:rsidRPr="004C44E1">
        <w:t xml:space="preserve"> </w:t>
      </w:r>
      <w:r>
        <w:t xml:space="preserve">SPIR and/or IPIR </w:t>
      </w:r>
      <w:r w:rsidR="00267697" w:rsidRPr="004C44E1">
        <w:t xml:space="preserve">designations are valid for three years. </w:t>
      </w:r>
      <w:r w:rsidR="00267697">
        <w:t>Designees</w:t>
      </w:r>
      <w:r w:rsidR="00267697" w:rsidRPr="004C44E1">
        <w:t xml:space="preserve"> </w:t>
      </w:r>
      <w:r>
        <w:t>may</w:t>
      </w:r>
      <w:r w:rsidR="00267697" w:rsidRPr="004C44E1">
        <w:t xml:space="preserve"> renew their designations </w:t>
      </w:r>
      <w:r w:rsidR="00267697" w:rsidRPr="002718D0">
        <w:t>indefinitely</w:t>
      </w:r>
      <w:r w:rsidR="00267697" w:rsidRPr="004C44E1">
        <w:t>.</w:t>
      </w:r>
      <w:r w:rsidR="00267697">
        <w:t xml:space="preserve"> Designees who have earned the SPIR and the IPIR may renew to keep both designations active and current. Courses taken during any renewal overlap period for the two designations will count toward both renewals. Renewal is only allowed for designees who are currently employed by a state DOI.</w:t>
      </w:r>
    </w:p>
    <w:tbl>
      <w:tblPr>
        <w:tblStyle w:val="TableGrid"/>
        <w:tblW w:w="0" w:type="auto"/>
        <w:tblLook w:val="04A0" w:firstRow="1" w:lastRow="0" w:firstColumn="1" w:lastColumn="0" w:noHBand="0" w:noVBand="1"/>
      </w:tblPr>
      <w:tblGrid>
        <w:gridCol w:w="1367"/>
        <w:gridCol w:w="2506"/>
        <w:gridCol w:w="1947"/>
        <w:gridCol w:w="3530"/>
      </w:tblGrid>
      <w:tr w:rsidR="00267697" w:rsidRPr="004C44E1" w14:paraId="35B7C16B" w14:textId="77777777" w:rsidTr="00B37FE1">
        <w:tc>
          <w:tcPr>
            <w:tcW w:w="1376" w:type="dxa"/>
            <w:tcBorders>
              <w:top w:val="single" w:sz="4" w:space="0" w:color="auto"/>
              <w:left w:val="single" w:sz="4" w:space="0" w:color="auto"/>
              <w:bottom w:val="single" w:sz="4" w:space="0" w:color="auto"/>
              <w:right w:val="single" w:sz="4" w:space="0" w:color="auto"/>
            </w:tcBorders>
            <w:hideMark/>
          </w:tcPr>
          <w:p w14:paraId="5C4EB83F" w14:textId="77777777" w:rsidR="00267697" w:rsidRPr="00F6247D" w:rsidRDefault="00267697" w:rsidP="00B37FE1">
            <w:pPr>
              <w:rPr>
                <w:b/>
              </w:rPr>
            </w:pPr>
            <w:r w:rsidRPr="00F6247D">
              <w:rPr>
                <w:b/>
              </w:rPr>
              <w:t>Designation Level</w:t>
            </w:r>
          </w:p>
        </w:tc>
        <w:tc>
          <w:tcPr>
            <w:tcW w:w="2578" w:type="dxa"/>
            <w:tcBorders>
              <w:top w:val="single" w:sz="4" w:space="0" w:color="auto"/>
              <w:left w:val="single" w:sz="4" w:space="0" w:color="auto"/>
              <w:bottom w:val="single" w:sz="4" w:space="0" w:color="auto"/>
              <w:right w:val="single" w:sz="4" w:space="0" w:color="auto"/>
            </w:tcBorders>
            <w:hideMark/>
          </w:tcPr>
          <w:p w14:paraId="52FF3D66" w14:textId="77777777" w:rsidR="00267697" w:rsidRPr="00F6247D" w:rsidRDefault="00267697" w:rsidP="00B37FE1">
            <w:pPr>
              <w:rPr>
                <w:b/>
              </w:rPr>
            </w:pPr>
            <w:r w:rsidRPr="00F6247D">
              <w:rPr>
                <w:b/>
              </w:rPr>
              <w:t>Required DRCs per</w:t>
            </w:r>
            <w:r w:rsidRPr="00F6247D">
              <w:rPr>
                <w:b/>
              </w:rPr>
              <w:br/>
              <w:t>Three</w:t>
            </w:r>
            <w:r>
              <w:rPr>
                <w:b/>
              </w:rPr>
              <w:t>-</w:t>
            </w:r>
            <w:r w:rsidRPr="00F6247D">
              <w:rPr>
                <w:b/>
              </w:rPr>
              <w:t>Year Reporting Period</w:t>
            </w:r>
          </w:p>
        </w:tc>
        <w:tc>
          <w:tcPr>
            <w:tcW w:w="1970" w:type="dxa"/>
            <w:tcBorders>
              <w:top w:val="single" w:sz="4" w:space="0" w:color="auto"/>
              <w:left w:val="single" w:sz="4" w:space="0" w:color="auto"/>
              <w:bottom w:val="single" w:sz="4" w:space="0" w:color="auto"/>
              <w:right w:val="single" w:sz="4" w:space="0" w:color="auto"/>
            </w:tcBorders>
            <w:hideMark/>
          </w:tcPr>
          <w:p w14:paraId="24E35D34" w14:textId="77777777" w:rsidR="00267697" w:rsidRPr="004C44E1" w:rsidRDefault="00267697" w:rsidP="00B37FE1">
            <w:r>
              <w:rPr>
                <w:b/>
              </w:rPr>
              <w:t xml:space="preserve">Recommended </w:t>
            </w:r>
            <w:r w:rsidRPr="00F6247D">
              <w:rPr>
                <w:b/>
              </w:rPr>
              <w:t>Minimum DRCs per</w:t>
            </w:r>
            <w:r>
              <w:rPr>
                <w:b/>
              </w:rPr>
              <w:t xml:space="preserve"> Y</w:t>
            </w:r>
            <w:r w:rsidRPr="00F6247D">
              <w:rPr>
                <w:b/>
              </w:rPr>
              <w:t>ear</w:t>
            </w:r>
          </w:p>
        </w:tc>
        <w:tc>
          <w:tcPr>
            <w:tcW w:w="3652" w:type="dxa"/>
            <w:tcBorders>
              <w:top w:val="single" w:sz="4" w:space="0" w:color="auto"/>
              <w:left w:val="single" w:sz="4" w:space="0" w:color="auto"/>
              <w:bottom w:val="single" w:sz="4" w:space="0" w:color="auto"/>
              <w:right w:val="single" w:sz="4" w:space="0" w:color="auto"/>
            </w:tcBorders>
            <w:hideMark/>
          </w:tcPr>
          <w:p w14:paraId="417B63FD" w14:textId="76805560" w:rsidR="00267697" w:rsidRPr="00F6247D" w:rsidRDefault="00267697" w:rsidP="00B37FE1">
            <w:pPr>
              <w:rPr>
                <w:b/>
              </w:rPr>
            </w:pPr>
            <w:r w:rsidRPr="00F6247D">
              <w:rPr>
                <w:b/>
              </w:rPr>
              <w:t xml:space="preserve">Minimum DRCs </w:t>
            </w:r>
            <w:r w:rsidR="00A837A1">
              <w:rPr>
                <w:b/>
              </w:rPr>
              <w:t>required from</w:t>
            </w:r>
            <w:r>
              <w:rPr>
                <w:b/>
              </w:rPr>
              <w:t xml:space="preserve"> </w:t>
            </w:r>
            <w:r w:rsidRPr="00F6247D">
              <w:rPr>
                <w:b/>
              </w:rPr>
              <w:t>NAIC Education &amp; Training Courses per Three</w:t>
            </w:r>
            <w:r>
              <w:rPr>
                <w:b/>
              </w:rPr>
              <w:t>-</w:t>
            </w:r>
            <w:r w:rsidRPr="00F6247D">
              <w:rPr>
                <w:b/>
              </w:rPr>
              <w:t>Year Reporting Period</w:t>
            </w:r>
          </w:p>
        </w:tc>
      </w:tr>
      <w:tr w:rsidR="00267697" w:rsidRPr="004C44E1" w14:paraId="5FA61B6D" w14:textId="77777777" w:rsidTr="00B37FE1">
        <w:trPr>
          <w:trHeight w:val="260"/>
        </w:trPr>
        <w:tc>
          <w:tcPr>
            <w:tcW w:w="1376" w:type="dxa"/>
            <w:tcBorders>
              <w:top w:val="single" w:sz="4" w:space="0" w:color="auto"/>
              <w:left w:val="single" w:sz="4" w:space="0" w:color="auto"/>
              <w:bottom w:val="single" w:sz="4" w:space="0" w:color="auto"/>
              <w:right w:val="single" w:sz="4" w:space="0" w:color="auto"/>
            </w:tcBorders>
            <w:hideMark/>
          </w:tcPr>
          <w:p w14:paraId="6583FDE9" w14:textId="77777777" w:rsidR="00267697" w:rsidRPr="004C44E1" w:rsidRDefault="00267697" w:rsidP="00B37FE1">
            <w:r w:rsidRPr="004C44E1">
              <w:t>APIR</w:t>
            </w:r>
          </w:p>
        </w:tc>
        <w:tc>
          <w:tcPr>
            <w:tcW w:w="2578" w:type="dxa"/>
            <w:tcBorders>
              <w:top w:val="single" w:sz="4" w:space="0" w:color="auto"/>
              <w:left w:val="single" w:sz="4" w:space="0" w:color="auto"/>
              <w:bottom w:val="single" w:sz="4" w:space="0" w:color="auto"/>
              <w:right w:val="single" w:sz="4" w:space="0" w:color="auto"/>
            </w:tcBorders>
            <w:hideMark/>
          </w:tcPr>
          <w:p w14:paraId="13B0BDE5" w14:textId="77777777" w:rsidR="00267697" w:rsidRPr="004C44E1" w:rsidRDefault="00267697" w:rsidP="00B37FE1">
            <w:r w:rsidRPr="004C44E1">
              <w:t>65*</w:t>
            </w:r>
          </w:p>
        </w:tc>
        <w:tc>
          <w:tcPr>
            <w:tcW w:w="1970" w:type="dxa"/>
            <w:tcBorders>
              <w:top w:val="single" w:sz="4" w:space="0" w:color="auto"/>
              <w:left w:val="single" w:sz="4" w:space="0" w:color="auto"/>
              <w:bottom w:val="single" w:sz="4" w:space="0" w:color="auto"/>
              <w:right w:val="single" w:sz="4" w:space="0" w:color="auto"/>
            </w:tcBorders>
            <w:hideMark/>
          </w:tcPr>
          <w:p w14:paraId="7E71C365" w14:textId="77777777" w:rsidR="00267697" w:rsidRPr="004C44E1" w:rsidRDefault="00267697" w:rsidP="00B37FE1">
            <w:r w:rsidRPr="004C44E1">
              <w:t>20</w:t>
            </w:r>
          </w:p>
        </w:tc>
        <w:tc>
          <w:tcPr>
            <w:tcW w:w="3652" w:type="dxa"/>
            <w:tcBorders>
              <w:top w:val="single" w:sz="4" w:space="0" w:color="auto"/>
              <w:left w:val="single" w:sz="4" w:space="0" w:color="auto"/>
              <w:bottom w:val="single" w:sz="4" w:space="0" w:color="auto"/>
              <w:right w:val="single" w:sz="4" w:space="0" w:color="auto"/>
            </w:tcBorders>
            <w:hideMark/>
          </w:tcPr>
          <w:p w14:paraId="6D61E549" w14:textId="77777777" w:rsidR="00267697" w:rsidRPr="004C44E1" w:rsidRDefault="00267697" w:rsidP="00B37FE1">
            <w:r w:rsidRPr="004C44E1">
              <w:t>16</w:t>
            </w:r>
          </w:p>
        </w:tc>
      </w:tr>
      <w:tr w:rsidR="00267697" w:rsidRPr="004C44E1" w14:paraId="183064CD" w14:textId="77777777" w:rsidTr="00B37FE1">
        <w:tc>
          <w:tcPr>
            <w:tcW w:w="1376" w:type="dxa"/>
            <w:tcBorders>
              <w:top w:val="single" w:sz="4" w:space="0" w:color="auto"/>
              <w:left w:val="single" w:sz="4" w:space="0" w:color="auto"/>
              <w:bottom w:val="single" w:sz="4" w:space="0" w:color="auto"/>
              <w:right w:val="single" w:sz="4" w:space="0" w:color="auto"/>
            </w:tcBorders>
            <w:hideMark/>
          </w:tcPr>
          <w:p w14:paraId="027712D2" w14:textId="77777777" w:rsidR="00267697" w:rsidRPr="004C44E1" w:rsidRDefault="00267697" w:rsidP="00B37FE1">
            <w:r w:rsidRPr="004C44E1">
              <w:t>PIR</w:t>
            </w:r>
          </w:p>
        </w:tc>
        <w:tc>
          <w:tcPr>
            <w:tcW w:w="2578" w:type="dxa"/>
            <w:tcBorders>
              <w:top w:val="single" w:sz="4" w:space="0" w:color="auto"/>
              <w:left w:val="single" w:sz="4" w:space="0" w:color="auto"/>
              <w:bottom w:val="single" w:sz="4" w:space="0" w:color="auto"/>
              <w:right w:val="single" w:sz="4" w:space="0" w:color="auto"/>
            </w:tcBorders>
            <w:hideMark/>
          </w:tcPr>
          <w:p w14:paraId="2D19BD2F" w14:textId="77777777" w:rsidR="00267697" w:rsidRPr="004C44E1" w:rsidRDefault="00267697" w:rsidP="00B37FE1">
            <w:r w:rsidRPr="004C44E1">
              <w:t>65*</w:t>
            </w:r>
          </w:p>
        </w:tc>
        <w:tc>
          <w:tcPr>
            <w:tcW w:w="1970" w:type="dxa"/>
            <w:tcBorders>
              <w:top w:val="single" w:sz="4" w:space="0" w:color="auto"/>
              <w:left w:val="single" w:sz="4" w:space="0" w:color="auto"/>
              <w:bottom w:val="single" w:sz="4" w:space="0" w:color="auto"/>
              <w:right w:val="single" w:sz="4" w:space="0" w:color="auto"/>
            </w:tcBorders>
            <w:hideMark/>
          </w:tcPr>
          <w:p w14:paraId="4F7B8513" w14:textId="77777777" w:rsidR="00267697" w:rsidRPr="004C44E1" w:rsidRDefault="00267697" w:rsidP="00B37FE1">
            <w:r w:rsidRPr="004C44E1">
              <w:t>20</w:t>
            </w:r>
          </w:p>
        </w:tc>
        <w:tc>
          <w:tcPr>
            <w:tcW w:w="3652" w:type="dxa"/>
            <w:tcBorders>
              <w:top w:val="single" w:sz="4" w:space="0" w:color="auto"/>
              <w:left w:val="single" w:sz="4" w:space="0" w:color="auto"/>
              <w:bottom w:val="single" w:sz="4" w:space="0" w:color="auto"/>
              <w:right w:val="single" w:sz="4" w:space="0" w:color="auto"/>
            </w:tcBorders>
            <w:hideMark/>
          </w:tcPr>
          <w:p w14:paraId="50AD01F1" w14:textId="77777777" w:rsidR="00267697" w:rsidRPr="004C44E1" w:rsidRDefault="00267697" w:rsidP="00B37FE1">
            <w:r w:rsidRPr="004C44E1">
              <w:t>16</w:t>
            </w:r>
          </w:p>
        </w:tc>
      </w:tr>
      <w:tr w:rsidR="00267697" w:rsidRPr="004C44E1" w14:paraId="6F86C217" w14:textId="77777777" w:rsidTr="00B37FE1">
        <w:tc>
          <w:tcPr>
            <w:tcW w:w="1376" w:type="dxa"/>
            <w:tcBorders>
              <w:top w:val="single" w:sz="4" w:space="0" w:color="auto"/>
              <w:left w:val="single" w:sz="4" w:space="0" w:color="auto"/>
              <w:bottom w:val="single" w:sz="4" w:space="0" w:color="auto"/>
              <w:right w:val="single" w:sz="4" w:space="0" w:color="auto"/>
            </w:tcBorders>
            <w:hideMark/>
          </w:tcPr>
          <w:p w14:paraId="1397D5AE" w14:textId="77777777" w:rsidR="00267697" w:rsidRPr="004C44E1" w:rsidRDefault="00267697" w:rsidP="00B37FE1">
            <w:r w:rsidRPr="004C44E1">
              <w:t>SPIR</w:t>
            </w:r>
          </w:p>
        </w:tc>
        <w:tc>
          <w:tcPr>
            <w:tcW w:w="2578" w:type="dxa"/>
            <w:tcBorders>
              <w:top w:val="single" w:sz="4" w:space="0" w:color="auto"/>
              <w:left w:val="single" w:sz="4" w:space="0" w:color="auto"/>
              <w:bottom w:val="single" w:sz="4" w:space="0" w:color="auto"/>
              <w:right w:val="single" w:sz="4" w:space="0" w:color="auto"/>
            </w:tcBorders>
            <w:hideMark/>
          </w:tcPr>
          <w:p w14:paraId="42ED3972" w14:textId="77777777" w:rsidR="00267697" w:rsidRPr="004C44E1" w:rsidRDefault="00267697" w:rsidP="00B37FE1">
            <w:r w:rsidRPr="004C44E1">
              <w:t>65*</w:t>
            </w:r>
          </w:p>
        </w:tc>
        <w:tc>
          <w:tcPr>
            <w:tcW w:w="1970" w:type="dxa"/>
            <w:tcBorders>
              <w:top w:val="single" w:sz="4" w:space="0" w:color="auto"/>
              <w:left w:val="single" w:sz="4" w:space="0" w:color="auto"/>
              <w:bottom w:val="single" w:sz="4" w:space="0" w:color="auto"/>
              <w:right w:val="single" w:sz="4" w:space="0" w:color="auto"/>
            </w:tcBorders>
            <w:hideMark/>
          </w:tcPr>
          <w:p w14:paraId="21C19DF6" w14:textId="77777777" w:rsidR="00267697" w:rsidRPr="004C44E1" w:rsidRDefault="00267697" w:rsidP="00B37FE1">
            <w:r w:rsidRPr="004C44E1">
              <w:t>20</w:t>
            </w:r>
          </w:p>
        </w:tc>
        <w:tc>
          <w:tcPr>
            <w:tcW w:w="3652" w:type="dxa"/>
            <w:tcBorders>
              <w:top w:val="single" w:sz="4" w:space="0" w:color="auto"/>
              <w:left w:val="single" w:sz="4" w:space="0" w:color="auto"/>
              <w:bottom w:val="single" w:sz="4" w:space="0" w:color="auto"/>
              <w:right w:val="single" w:sz="4" w:space="0" w:color="auto"/>
            </w:tcBorders>
            <w:hideMark/>
          </w:tcPr>
          <w:p w14:paraId="1BD5AE27" w14:textId="77777777" w:rsidR="00267697" w:rsidRPr="004C44E1" w:rsidRDefault="00267697" w:rsidP="00B37FE1">
            <w:r w:rsidRPr="004C44E1">
              <w:t>16</w:t>
            </w:r>
          </w:p>
        </w:tc>
      </w:tr>
      <w:tr w:rsidR="00267697" w:rsidRPr="004C44E1" w14:paraId="48DDF832" w14:textId="77777777" w:rsidTr="00B37FE1">
        <w:tc>
          <w:tcPr>
            <w:tcW w:w="1376" w:type="dxa"/>
            <w:tcBorders>
              <w:top w:val="single" w:sz="4" w:space="0" w:color="auto"/>
              <w:left w:val="single" w:sz="4" w:space="0" w:color="auto"/>
              <w:bottom w:val="single" w:sz="4" w:space="0" w:color="auto"/>
              <w:right w:val="single" w:sz="4" w:space="0" w:color="auto"/>
            </w:tcBorders>
          </w:tcPr>
          <w:p w14:paraId="1FD0E7D7" w14:textId="77777777" w:rsidR="00267697" w:rsidRPr="004C44E1" w:rsidRDefault="00267697" w:rsidP="00B37FE1">
            <w:r>
              <w:t>I</w:t>
            </w:r>
            <w:r w:rsidRPr="004C44E1">
              <w:t>PIR</w:t>
            </w:r>
          </w:p>
        </w:tc>
        <w:tc>
          <w:tcPr>
            <w:tcW w:w="2578" w:type="dxa"/>
            <w:tcBorders>
              <w:top w:val="single" w:sz="4" w:space="0" w:color="auto"/>
              <w:left w:val="single" w:sz="4" w:space="0" w:color="auto"/>
              <w:bottom w:val="single" w:sz="4" w:space="0" w:color="auto"/>
              <w:right w:val="single" w:sz="4" w:space="0" w:color="auto"/>
            </w:tcBorders>
          </w:tcPr>
          <w:p w14:paraId="2C5AE3C5" w14:textId="77777777" w:rsidR="00267697" w:rsidRPr="004C44E1" w:rsidRDefault="00267697" w:rsidP="00B37FE1">
            <w:r w:rsidRPr="004C44E1">
              <w:t>65*</w:t>
            </w:r>
          </w:p>
        </w:tc>
        <w:tc>
          <w:tcPr>
            <w:tcW w:w="1970" w:type="dxa"/>
            <w:tcBorders>
              <w:top w:val="single" w:sz="4" w:space="0" w:color="auto"/>
              <w:left w:val="single" w:sz="4" w:space="0" w:color="auto"/>
              <w:bottom w:val="single" w:sz="4" w:space="0" w:color="auto"/>
              <w:right w:val="single" w:sz="4" w:space="0" w:color="auto"/>
            </w:tcBorders>
          </w:tcPr>
          <w:p w14:paraId="35E0CD0A" w14:textId="77777777" w:rsidR="00267697" w:rsidRPr="004C44E1" w:rsidRDefault="00267697" w:rsidP="00B37FE1">
            <w:r w:rsidRPr="004C44E1">
              <w:t>20</w:t>
            </w:r>
          </w:p>
        </w:tc>
        <w:tc>
          <w:tcPr>
            <w:tcW w:w="3652" w:type="dxa"/>
            <w:tcBorders>
              <w:top w:val="single" w:sz="4" w:space="0" w:color="auto"/>
              <w:left w:val="single" w:sz="4" w:space="0" w:color="auto"/>
              <w:bottom w:val="single" w:sz="4" w:space="0" w:color="auto"/>
              <w:right w:val="single" w:sz="4" w:space="0" w:color="auto"/>
            </w:tcBorders>
          </w:tcPr>
          <w:p w14:paraId="0C26D59F" w14:textId="77777777" w:rsidR="00267697" w:rsidRPr="004C44E1" w:rsidRDefault="00267697" w:rsidP="00B37FE1">
            <w:r w:rsidRPr="004C44E1">
              <w:t>16</w:t>
            </w:r>
          </w:p>
        </w:tc>
      </w:tr>
      <w:tr w:rsidR="00267697" w:rsidRPr="004C44E1" w14:paraId="47E2A518" w14:textId="77777777" w:rsidTr="00B37FE1">
        <w:tc>
          <w:tcPr>
            <w:tcW w:w="9576" w:type="dxa"/>
            <w:gridSpan w:val="4"/>
            <w:tcBorders>
              <w:top w:val="single" w:sz="4" w:space="0" w:color="auto"/>
              <w:left w:val="single" w:sz="4" w:space="0" w:color="auto"/>
              <w:bottom w:val="single" w:sz="4" w:space="0" w:color="auto"/>
              <w:right w:val="single" w:sz="4" w:space="0" w:color="auto"/>
            </w:tcBorders>
          </w:tcPr>
          <w:p w14:paraId="0687824A" w14:textId="77777777" w:rsidR="00267697" w:rsidRPr="004C44E1" w:rsidRDefault="00267697" w:rsidP="00B37FE1"/>
          <w:p w14:paraId="179E087B" w14:textId="424489C0" w:rsidR="00267697" w:rsidRPr="00D47FF5" w:rsidRDefault="00267697" w:rsidP="00B37FE1">
            <w:pPr>
              <w:rPr>
                <w:szCs w:val="20"/>
              </w:rPr>
            </w:pPr>
            <w:r w:rsidRPr="004C44E1">
              <w:t>*65 DRCs is the equivalent of approximately three days of training or</w:t>
            </w:r>
            <w:r>
              <w:t xml:space="preserve"> </w:t>
            </w:r>
            <w:r w:rsidRPr="00D47FF5">
              <w:rPr>
                <w:szCs w:val="20"/>
              </w:rPr>
              <w:t>coursework each year.</w:t>
            </w:r>
            <w:r w:rsidR="00D47FF5" w:rsidRPr="00D47FF5">
              <w:rPr>
                <w:szCs w:val="20"/>
              </w:rPr>
              <w:t xml:space="preserve"> </w:t>
            </w:r>
            <w:r w:rsidR="00D47FF5" w:rsidRPr="00773E2D">
              <w:rPr>
                <w:szCs w:val="20"/>
              </w:rPr>
              <w:t>Note that a minimum of 16 of the required 65 DRCs in a reporting period must be earned by satisfactorily completing one or more courses within the NAIC’s curriculum.</w:t>
            </w:r>
          </w:p>
          <w:p w14:paraId="24B827FC" w14:textId="223A960E" w:rsidR="00267697" w:rsidRPr="004C44E1" w:rsidRDefault="00267697" w:rsidP="00B37FE1"/>
        </w:tc>
      </w:tr>
    </w:tbl>
    <w:p w14:paraId="5CE46C8C" w14:textId="35C02290" w:rsidR="00267697" w:rsidRDefault="00267697" w:rsidP="00267697">
      <w:pPr>
        <w:spacing w:after="120"/>
        <w:rPr>
          <w:b/>
          <w:szCs w:val="24"/>
        </w:rPr>
      </w:pPr>
    </w:p>
    <w:p w14:paraId="000A812B" w14:textId="77777777" w:rsidR="00267697" w:rsidRPr="008A25BA" w:rsidRDefault="00267697" w:rsidP="00267697">
      <w:pPr>
        <w:spacing w:after="120"/>
        <w:rPr>
          <w:b/>
          <w:szCs w:val="24"/>
        </w:rPr>
      </w:pPr>
      <w:r w:rsidRPr="008A25BA">
        <w:rPr>
          <w:b/>
          <w:szCs w:val="24"/>
        </w:rPr>
        <w:t>Credits for in-person and online course activities</w:t>
      </w:r>
    </w:p>
    <w:p w14:paraId="2E0A03BF" w14:textId="77777777" w:rsidR="00267697" w:rsidRPr="008A25BA" w:rsidRDefault="00267697" w:rsidP="00267697">
      <w:pPr>
        <w:spacing w:after="120"/>
        <w:rPr>
          <w:szCs w:val="24"/>
        </w:rPr>
      </w:pPr>
      <w:r w:rsidRPr="008A25BA">
        <w:rPr>
          <w:szCs w:val="24"/>
        </w:rPr>
        <w:t xml:space="preserve">One 50-minute contact hour is equal to one </w:t>
      </w:r>
      <w:r>
        <w:rPr>
          <w:szCs w:val="24"/>
        </w:rPr>
        <w:t>d</w:t>
      </w:r>
      <w:r w:rsidRPr="008A25BA">
        <w:rPr>
          <w:szCs w:val="24"/>
        </w:rPr>
        <w:t xml:space="preserve">esignation </w:t>
      </w:r>
      <w:r>
        <w:rPr>
          <w:szCs w:val="24"/>
        </w:rPr>
        <w:t>r</w:t>
      </w:r>
      <w:r w:rsidRPr="008A25BA">
        <w:rPr>
          <w:szCs w:val="24"/>
        </w:rPr>
        <w:t xml:space="preserve">enewal </w:t>
      </w:r>
      <w:r>
        <w:rPr>
          <w:szCs w:val="24"/>
        </w:rPr>
        <w:t>c</w:t>
      </w:r>
      <w:r w:rsidRPr="008A25BA">
        <w:rPr>
          <w:szCs w:val="24"/>
        </w:rPr>
        <w:t>redit. Half</w:t>
      </w:r>
      <w:r>
        <w:rPr>
          <w:szCs w:val="24"/>
        </w:rPr>
        <w:t>-</w:t>
      </w:r>
      <w:r w:rsidRPr="008A25BA">
        <w:rPr>
          <w:szCs w:val="24"/>
        </w:rPr>
        <w:t>credit increments (equal to 25 minutes) are permitted after the first credit has been earned.</w:t>
      </w:r>
    </w:p>
    <w:p w14:paraId="513E87E9" w14:textId="6578B86C" w:rsidR="00267697" w:rsidRPr="008A25BA" w:rsidRDefault="00267697" w:rsidP="00267697">
      <w:pPr>
        <w:spacing w:after="120"/>
        <w:ind w:left="720"/>
        <w:rPr>
          <w:i/>
          <w:szCs w:val="24"/>
        </w:rPr>
      </w:pPr>
      <w:r w:rsidRPr="008A25BA">
        <w:rPr>
          <w:i/>
          <w:szCs w:val="24"/>
        </w:rPr>
        <w:t xml:space="preserve">Example: </w:t>
      </w:r>
      <w:r w:rsidR="000E6CF1">
        <w:rPr>
          <w:i/>
          <w:szCs w:val="24"/>
        </w:rPr>
        <w:t>A</w:t>
      </w:r>
      <w:r w:rsidRPr="008A25BA">
        <w:rPr>
          <w:i/>
          <w:szCs w:val="24"/>
        </w:rPr>
        <w:t xml:space="preserve"> </w:t>
      </w:r>
      <w:r w:rsidR="00A4086B">
        <w:rPr>
          <w:i/>
          <w:szCs w:val="24"/>
        </w:rPr>
        <w:t>6 ½ hour course,</w:t>
      </w:r>
      <w:r w:rsidRPr="008A25BA">
        <w:rPr>
          <w:i/>
          <w:szCs w:val="24"/>
        </w:rPr>
        <w:t xml:space="preserve"> or 390 clock minutes, not including lunches, breaks, introductions or wrap</w:t>
      </w:r>
      <w:r>
        <w:rPr>
          <w:i/>
          <w:szCs w:val="24"/>
        </w:rPr>
        <w:t>-</w:t>
      </w:r>
      <w:r w:rsidRPr="008A25BA">
        <w:rPr>
          <w:i/>
          <w:szCs w:val="24"/>
        </w:rPr>
        <w:t xml:space="preserve">ups. DRCs </w:t>
      </w:r>
      <w:r w:rsidR="00A4086B">
        <w:rPr>
          <w:i/>
          <w:szCs w:val="24"/>
        </w:rPr>
        <w:t>is</w:t>
      </w:r>
      <w:r w:rsidRPr="008A25BA">
        <w:rPr>
          <w:i/>
          <w:szCs w:val="24"/>
        </w:rPr>
        <w:t xml:space="preserve"> calculated as follows:</w:t>
      </w:r>
    </w:p>
    <w:p w14:paraId="66F0CEBB" w14:textId="77777777" w:rsidR="00267697" w:rsidRPr="008A25BA" w:rsidRDefault="00267697" w:rsidP="00267697">
      <w:pPr>
        <w:spacing w:after="120"/>
        <w:ind w:left="720"/>
        <w:rPr>
          <w:i/>
          <w:szCs w:val="24"/>
        </w:rPr>
      </w:pPr>
      <w:r w:rsidRPr="008A25BA">
        <w:rPr>
          <w:i/>
          <w:szCs w:val="24"/>
        </w:rPr>
        <w:t xml:space="preserve">390 </w:t>
      </w:r>
      <w:r w:rsidRPr="008A25BA">
        <w:rPr>
          <w:rFonts w:eastAsia="Arial Unicode MS"/>
          <w:i/>
          <w:szCs w:val="24"/>
        </w:rPr>
        <w:t>÷</w:t>
      </w:r>
      <w:r w:rsidRPr="008A25BA">
        <w:rPr>
          <w:i/>
          <w:szCs w:val="24"/>
        </w:rPr>
        <w:t xml:space="preserve"> 50 = 7.5 (Credits are rounded down to the nearest half</w:t>
      </w:r>
      <w:r>
        <w:rPr>
          <w:i/>
          <w:szCs w:val="24"/>
        </w:rPr>
        <w:t>.</w:t>
      </w:r>
      <w:r w:rsidRPr="008A25BA">
        <w:rPr>
          <w:i/>
          <w:szCs w:val="24"/>
        </w:rPr>
        <w:t>)</w:t>
      </w:r>
    </w:p>
    <w:p w14:paraId="3F37DB03" w14:textId="045612F7" w:rsidR="00267697" w:rsidRPr="008A25BA" w:rsidRDefault="00267697" w:rsidP="00267697">
      <w:pPr>
        <w:spacing w:after="120"/>
        <w:rPr>
          <w:szCs w:val="24"/>
        </w:rPr>
      </w:pPr>
      <w:r w:rsidRPr="008A25BA">
        <w:rPr>
          <w:szCs w:val="24"/>
        </w:rPr>
        <w:t xml:space="preserve">For individual segments less than 50 minutes, the sum of the segments should be considered one complete program. Three sessions with 30 contact minutes </w:t>
      </w:r>
      <w:r w:rsidR="005A5FC1">
        <w:rPr>
          <w:szCs w:val="24"/>
        </w:rPr>
        <w:t xml:space="preserve">each </w:t>
      </w:r>
      <w:r w:rsidRPr="008A25BA">
        <w:rPr>
          <w:szCs w:val="24"/>
        </w:rPr>
        <w:t>equal 90 minutes, divided by 50 (</w:t>
      </w:r>
      <w:r>
        <w:rPr>
          <w:szCs w:val="24"/>
        </w:rPr>
        <w:t>number</w:t>
      </w:r>
      <w:r w:rsidRPr="008A25BA">
        <w:rPr>
          <w:szCs w:val="24"/>
        </w:rPr>
        <w:t xml:space="preserve"> of minutes in a contact hour), equating to 1.5 DRC</w:t>
      </w:r>
      <w:r>
        <w:rPr>
          <w:szCs w:val="24"/>
        </w:rPr>
        <w:t>s</w:t>
      </w:r>
      <w:r w:rsidRPr="008A25BA">
        <w:rPr>
          <w:szCs w:val="24"/>
        </w:rPr>
        <w:t>.</w:t>
      </w:r>
    </w:p>
    <w:p w14:paraId="27ECDC9D" w14:textId="1825E47E" w:rsidR="00430360" w:rsidRDefault="00430360">
      <w:pPr>
        <w:rPr>
          <w:b/>
          <w:szCs w:val="24"/>
        </w:rPr>
      </w:pPr>
      <w:r>
        <w:rPr>
          <w:b/>
          <w:szCs w:val="24"/>
        </w:rPr>
        <w:br w:type="page"/>
      </w:r>
    </w:p>
    <w:p w14:paraId="00BB7624" w14:textId="77777777" w:rsidR="00A837A1" w:rsidRDefault="00A837A1" w:rsidP="00267697">
      <w:pPr>
        <w:spacing w:after="120"/>
        <w:rPr>
          <w:b/>
          <w:szCs w:val="24"/>
        </w:rPr>
      </w:pPr>
    </w:p>
    <w:p w14:paraId="5CD9DE53" w14:textId="0D94FE4F" w:rsidR="00267697" w:rsidRPr="008A25BA" w:rsidRDefault="00267697" w:rsidP="00267697">
      <w:pPr>
        <w:spacing w:after="120"/>
        <w:rPr>
          <w:b/>
          <w:szCs w:val="24"/>
        </w:rPr>
      </w:pPr>
      <w:r w:rsidRPr="008A25BA">
        <w:rPr>
          <w:b/>
          <w:szCs w:val="24"/>
        </w:rPr>
        <w:t>Credits for text readings</w:t>
      </w:r>
    </w:p>
    <w:p w14:paraId="2D3306FF" w14:textId="5FBFC136" w:rsidR="00267697" w:rsidRPr="008A25BA" w:rsidRDefault="00267697" w:rsidP="00267697">
      <w:pPr>
        <w:spacing w:after="120"/>
        <w:rPr>
          <w:szCs w:val="24"/>
        </w:rPr>
      </w:pPr>
      <w:r w:rsidRPr="008A25BA">
        <w:rPr>
          <w:szCs w:val="24"/>
        </w:rPr>
        <w:t>Some courses that fully meet DRC qualification requirements include reading assignments for which students may earn credit. Reading assignments must include review questions</w:t>
      </w:r>
      <w:r w:rsidR="005951CA">
        <w:rPr>
          <w:szCs w:val="24"/>
        </w:rPr>
        <w:t xml:space="preserve">. </w:t>
      </w:r>
      <w:r w:rsidRPr="008A25BA">
        <w:rPr>
          <w:szCs w:val="24"/>
        </w:rPr>
        <w:t>The calculation of credit for reading assignments is based on word count divided by 180</w:t>
      </w:r>
      <w:r>
        <w:rPr>
          <w:szCs w:val="24"/>
        </w:rPr>
        <w:t>.</w:t>
      </w:r>
      <w:r w:rsidRPr="008A25BA">
        <w:rPr>
          <w:szCs w:val="24"/>
        </w:rPr>
        <w:t xml:space="preserve"> The total number of review questions is multiplied by 1.85</w:t>
      </w:r>
      <w:r>
        <w:rPr>
          <w:szCs w:val="24"/>
        </w:rPr>
        <w:t>.</w:t>
      </w:r>
      <w:r w:rsidRPr="008A25BA">
        <w:rPr>
          <w:szCs w:val="24"/>
        </w:rPr>
        <w:t xml:space="preserve"> These two numbers are added together and then divided by 50.</w:t>
      </w:r>
    </w:p>
    <w:p w14:paraId="19A02D3F" w14:textId="77777777" w:rsidR="00267697" w:rsidRPr="008A25BA" w:rsidRDefault="00267697" w:rsidP="00267697">
      <w:pPr>
        <w:spacing w:after="120"/>
        <w:rPr>
          <w:szCs w:val="24"/>
        </w:rPr>
      </w:pPr>
      <w:r w:rsidRPr="008A25BA">
        <w:rPr>
          <w:szCs w:val="24"/>
        </w:rPr>
        <w:t xml:space="preserve">(# of words </w:t>
      </w:r>
      <w:r w:rsidRPr="008A25BA">
        <w:rPr>
          <w:rFonts w:eastAsia="Arial Unicode MS"/>
          <w:szCs w:val="24"/>
        </w:rPr>
        <w:t>÷ 180) + (# of questions x 1.85) ÷ 50 = DRC</w:t>
      </w:r>
      <w:r>
        <w:rPr>
          <w:rFonts w:eastAsia="Arial Unicode MS"/>
          <w:szCs w:val="24"/>
        </w:rPr>
        <w:t>s</w:t>
      </w:r>
    </w:p>
    <w:p w14:paraId="30F47DBD" w14:textId="1BE81B85" w:rsidR="00267697" w:rsidRPr="008A25BA" w:rsidRDefault="00267697" w:rsidP="00267697">
      <w:pPr>
        <w:spacing w:after="120"/>
        <w:ind w:left="720"/>
        <w:rPr>
          <w:i/>
          <w:szCs w:val="24"/>
        </w:rPr>
      </w:pPr>
      <w:r w:rsidRPr="008A25BA">
        <w:rPr>
          <w:i/>
          <w:szCs w:val="24"/>
        </w:rPr>
        <w:t xml:space="preserve">Example: </w:t>
      </w:r>
      <w:r w:rsidR="000E6CF1">
        <w:rPr>
          <w:i/>
          <w:szCs w:val="24"/>
        </w:rPr>
        <w:t>A</w:t>
      </w:r>
      <w:r w:rsidRPr="008A25BA">
        <w:rPr>
          <w:i/>
          <w:szCs w:val="24"/>
        </w:rPr>
        <w:t xml:space="preserve"> course that requires students to read a 10,500-word text </w:t>
      </w:r>
      <w:r>
        <w:rPr>
          <w:i/>
          <w:szCs w:val="24"/>
        </w:rPr>
        <w:t>that</w:t>
      </w:r>
      <w:r w:rsidRPr="008A25BA">
        <w:rPr>
          <w:i/>
          <w:szCs w:val="24"/>
        </w:rPr>
        <w:t xml:space="preserve"> includes 10 review questions, followed by 390 clock minutes of in-person instruction. DRCs would be calculated as follows:</w:t>
      </w:r>
    </w:p>
    <w:p w14:paraId="2E8889D0" w14:textId="77777777" w:rsidR="00267697" w:rsidRPr="008A25BA" w:rsidRDefault="00267697" w:rsidP="00267697">
      <w:pPr>
        <w:spacing w:after="120"/>
        <w:ind w:left="720"/>
        <w:rPr>
          <w:rFonts w:eastAsia="Arial Unicode MS"/>
          <w:i/>
          <w:szCs w:val="24"/>
        </w:rPr>
      </w:pPr>
      <w:r w:rsidRPr="008A25BA">
        <w:rPr>
          <w:i/>
          <w:szCs w:val="24"/>
        </w:rPr>
        <w:t xml:space="preserve">Text credit: (10,500 </w:t>
      </w:r>
      <w:r w:rsidRPr="008A25BA">
        <w:rPr>
          <w:rFonts w:eastAsia="Arial Unicode MS"/>
          <w:i/>
          <w:szCs w:val="24"/>
        </w:rPr>
        <w:t>÷ 180 = 58)</w:t>
      </w:r>
      <w:r w:rsidRPr="008A25BA">
        <w:rPr>
          <w:i/>
          <w:szCs w:val="24"/>
        </w:rPr>
        <w:t xml:space="preserve"> + (10 x 1.85 = 18.5) </w:t>
      </w:r>
      <w:r w:rsidRPr="008A25BA">
        <w:rPr>
          <w:rFonts w:eastAsia="Arial Unicode MS"/>
          <w:i/>
          <w:szCs w:val="24"/>
        </w:rPr>
        <w:t>÷ 50 = 1.5</w:t>
      </w:r>
    </w:p>
    <w:p w14:paraId="471BB559" w14:textId="77777777" w:rsidR="00267697" w:rsidRPr="008A25BA" w:rsidRDefault="00267697" w:rsidP="00267697">
      <w:pPr>
        <w:spacing w:after="120"/>
        <w:ind w:left="720"/>
        <w:rPr>
          <w:rFonts w:eastAsia="Arial Unicode MS"/>
          <w:i/>
          <w:szCs w:val="24"/>
        </w:rPr>
      </w:pPr>
      <w:r w:rsidRPr="008A25BA">
        <w:rPr>
          <w:i/>
          <w:szCs w:val="24"/>
        </w:rPr>
        <w:t xml:space="preserve">In-person instruction credit: 390 </w:t>
      </w:r>
      <w:r w:rsidRPr="008A25BA">
        <w:rPr>
          <w:rFonts w:eastAsia="Arial Unicode MS"/>
          <w:i/>
          <w:szCs w:val="24"/>
        </w:rPr>
        <w:t>÷ 50 = 7.5</w:t>
      </w:r>
    </w:p>
    <w:p w14:paraId="0D08E76F" w14:textId="77777777" w:rsidR="00267697" w:rsidRPr="008A25BA" w:rsidRDefault="00267697" w:rsidP="00267697">
      <w:pPr>
        <w:spacing w:after="120"/>
        <w:ind w:left="720"/>
        <w:rPr>
          <w:i/>
          <w:szCs w:val="24"/>
        </w:rPr>
      </w:pPr>
      <w:r w:rsidRPr="008A25BA">
        <w:rPr>
          <w:i/>
          <w:szCs w:val="24"/>
        </w:rPr>
        <w:t xml:space="preserve">Total DRCs: </w:t>
      </w:r>
      <w:r>
        <w:rPr>
          <w:i/>
          <w:szCs w:val="24"/>
        </w:rPr>
        <w:t>1.5 + 7.5 =</w:t>
      </w:r>
      <w:r w:rsidRPr="008A25BA">
        <w:rPr>
          <w:i/>
          <w:szCs w:val="24"/>
        </w:rPr>
        <w:t xml:space="preserve"> 9</w:t>
      </w:r>
    </w:p>
    <w:p w14:paraId="59AEC05A" w14:textId="77777777" w:rsidR="005951CA" w:rsidRDefault="005951CA" w:rsidP="00A837A1">
      <w:pPr>
        <w:pStyle w:val="Heading2"/>
      </w:pPr>
    </w:p>
    <w:p w14:paraId="1148E2B8" w14:textId="77777777" w:rsidR="00502348" w:rsidRDefault="00502348">
      <w:pPr>
        <w:rPr>
          <w:rFonts w:asciiTheme="majorHAnsi" w:eastAsiaTheme="majorEastAsia" w:hAnsiTheme="majorHAnsi" w:cstheme="majorBidi"/>
          <w:b/>
          <w:bCs/>
          <w:color w:val="4F81BD" w:themeColor="accent1"/>
          <w:sz w:val="26"/>
          <w:szCs w:val="26"/>
        </w:rPr>
      </w:pPr>
      <w:r>
        <w:br w:type="page"/>
      </w:r>
    </w:p>
    <w:p w14:paraId="1C138F7E" w14:textId="3929BD1D" w:rsidR="00A837A1" w:rsidRPr="004C44E1" w:rsidRDefault="00A837A1" w:rsidP="00471F3E">
      <w:pPr>
        <w:pStyle w:val="Heading1"/>
      </w:pPr>
      <w:bookmarkStart w:id="10" w:name="_Toc35510522"/>
      <w:bookmarkStart w:id="11" w:name="_Toc35510698"/>
      <w:bookmarkStart w:id="12" w:name="_Toc35510778"/>
      <w:bookmarkStart w:id="13" w:name="_Toc35510894"/>
      <w:bookmarkStart w:id="14" w:name="_Toc35511019"/>
      <w:r w:rsidRPr="004C44E1">
        <w:lastRenderedPageBreak/>
        <w:t>Reporting Periods</w:t>
      </w:r>
      <w:bookmarkEnd w:id="10"/>
      <w:bookmarkEnd w:id="11"/>
      <w:bookmarkEnd w:id="12"/>
      <w:bookmarkEnd w:id="13"/>
      <w:bookmarkEnd w:id="14"/>
    </w:p>
    <w:p w14:paraId="6C18C234" w14:textId="383682F0" w:rsidR="00A837A1" w:rsidRDefault="00A837A1">
      <w:r w:rsidRPr="004C44E1">
        <w:t xml:space="preserve">NAIC Designations are valid for three years </w:t>
      </w:r>
      <w:r>
        <w:t>and</w:t>
      </w:r>
      <w:r w:rsidRPr="004C44E1">
        <w:t xml:space="preserve"> </w:t>
      </w:r>
      <w:r>
        <w:t xml:space="preserve">are </w:t>
      </w:r>
      <w:r w:rsidRPr="004C44E1">
        <w:t xml:space="preserve">eligible for renewal if the </w:t>
      </w:r>
      <w:r>
        <w:t>designee</w:t>
      </w:r>
      <w:r w:rsidRPr="004C44E1">
        <w:t xml:space="preserve"> meets the </w:t>
      </w:r>
      <w:r>
        <w:t xml:space="preserve">renewal </w:t>
      </w:r>
      <w:r w:rsidRPr="004C44E1">
        <w:t xml:space="preserve">requirements within the reporting period. The reporting period </w:t>
      </w:r>
      <w:r w:rsidR="00773E2D" w:rsidRPr="004C44E1">
        <w:t xml:space="preserve">concludes </w:t>
      </w:r>
      <w:r w:rsidR="00773E2D">
        <w:rPr>
          <w:i/>
        </w:rPr>
        <w:t>three</w:t>
      </w:r>
      <w:r w:rsidR="00DC1F8E">
        <w:t xml:space="preserve"> years</w:t>
      </w:r>
      <w:r w:rsidRPr="004C44E1">
        <w:t xml:space="preserve"> after a </w:t>
      </w:r>
      <w:r>
        <w:t>d</w:t>
      </w:r>
      <w:r w:rsidRPr="004C44E1">
        <w:t>esignation is awarded</w:t>
      </w:r>
      <w:r w:rsidR="00BF4F6D">
        <w:t xml:space="preserve"> and every three years thereafter. </w:t>
      </w:r>
    </w:p>
    <w:p w14:paraId="0E72D747" w14:textId="77777777" w:rsidR="00A837A1" w:rsidRDefault="00A837A1" w:rsidP="00A837A1">
      <w:pPr>
        <w:pStyle w:val="Heading2"/>
      </w:pPr>
    </w:p>
    <w:p w14:paraId="0CDF43E6" w14:textId="7E474018" w:rsidR="00A837A1" w:rsidRPr="004C44E1" w:rsidRDefault="00A837A1" w:rsidP="00471F3E">
      <w:pPr>
        <w:pStyle w:val="Heading1"/>
      </w:pPr>
      <w:bookmarkStart w:id="15" w:name="_Toc35510523"/>
      <w:bookmarkStart w:id="16" w:name="_Toc35510699"/>
      <w:bookmarkStart w:id="17" w:name="_Toc35510779"/>
      <w:bookmarkStart w:id="18" w:name="_Toc35510895"/>
      <w:bookmarkStart w:id="19" w:name="_Toc35511020"/>
      <w:r w:rsidRPr="004C44E1">
        <w:t>Reporting Requirements</w:t>
      </w:r>
      <w:bookmarkEnd w:id="15"/>
      <w:bookmarkEnd w:id="16"/>
      <w:bookmarkEnd w:id="17"/>
      <w:bookmarkEnd w:id="18"/>
      <w:bookmarkEnd w:id="19"/>
    </w:p>
    <w:p w14:paraId="6C3C7D88" w14:textId="77777777" w:rsidR="00A837A1" w:rsidRPr="00773E2D" w:rsidRDefault="00A837A1" w:rsidP="00A837A1">
      <w:pPr>
        <w:pStyle w:val="ListParagraph"/>
        <w:numPr>
          <w:ilvl w:val="0"/>
          <w:numId w:val="5"/>
        </w:numPr>
        <w:rPr>
          <w:color w:val="000000" w:themeColor="text1"/>
        </w:rPr>
      </w:pPr>
      <w:r w:rsidRPr="00773E2D">
        <w:t xml:space="preserve">Designees must maintain course completion documentation in personal files for at least six years, or two full reporting periods. Designees may be asked to produce their files for </w:t>
      </w:r>
      <w:r w:rsidRPr="00773E2D">
        <w:rPr>
          <w:color w:val="000000" w:themeColor="text1"/>
        </w:rPr>
        <w:t xml:space="preserve">review in the event of an audit. </w:t>
      </w:r>
    </w:p>
    <w:p w14:paraId="67A8C656" w14:textId="1E49F8BF" w:rsidR="00A837A1" w:rsidRPr="00773E2D" w:rsidRDefault="00A837A1" w:rsidP="00A837A1">
      <w:pPr>
        <w:pStyle w:val="ListParagraph"/>
        <w:numPr>
          <w:ilvl w:val="0"/>
          <w:numId w:val="5"/>
        </w:numPr>
      </w:pPr>
      <w:r w:rsidRPr="00773E2D">
        <w:t xml:space="preserve">Designees must complete and upload the NAIC Insurance Regulator Professional Designation Program Renewal Application by </w:t>
      </w:r>
      <w:r w:rsidR="00773E2D" w:rsidRPr="00773E2D">
        <w:t>the renewal due date</w:t>
      </w:r>
      <w:r w:rsidRPr="00773E2D">
        <w:t xml:space="preserve">. </w:t>
      </w:r>
    </w:p>
    <w:p w14:paraId="50CDBBDD" w14:textId="77777777" w:rsidR="00A837A1" w:rsidRDefault="00A837A1" w:rsidP="00A837A1">
      <w:pPr>
        <w:pStyle w:val="ListParagraph"/>
        <w:numPr>
          <w:ilvl w:val="0"/>
          <w:numId w:val="5"/>
        </w:numPr>
      </w:pPr>
      <w:r w:rsidRPr="00783F48">
        <w:t>The NAIC conduct</w:t>
      </w:r>
      <w:r>
        <w:t>s</w:t>
      </w:r>
      <w:r w:rsidRPr="00783F48">
        <w:t xml:space="preserve"> periodic audits of </w:t>
      </w:r>
      <w:r>
        <w:t>d</w:t>
      </w:r>
      <w:r w:rsidRPr="00783F48">
        <w:t xml:space="preserve">esignee files ensure that activities submitted on the Renewal Application meet </w:t>
      </w:r>
      <w:r>
        <w:t>renewal requirements</w:t>
      </w:r>
      <w:r w:rsidRPr="00783F48">
        <w:t>. If a candidate did not meet the requirements</w:t>
      </w:r>
      <w:r>
        <w:t>,</w:t>
      </w:r>
      <w:r w:rsidRPr="00783F48">
        <w:t xml:space="preserve"> there will be a six</w:t>
      </w:r>
      <w:r>
        <w:t>-</w:t>
      </w:r>
      <w:r w:rsidRPr="00783F48">
        <w:t xml:space="preserve">month grace period from the date of notification to make up DRCs that are not qualified. </w:t>
      </w:r>
    </w:p>
    <w:p w14:paraId="7FACF954" w14:textId="6AB23C47" w:rsidR="00A837A1" w:rsidRPr="000C4A1B" w:rsidRDefault="00A837A1" w:rsidP="00A837A1">
      <w:pPr>
        <w:pStyle w:val="ListParagraph"/>
        <w:numPr>
          <w:ilvl w:val="0"/>
          <w:numId w:val="5"/>
        </w:numPr>
        <w:rPr>
          <w:sz w:val="18"/>
          <w:szCs w:val="18"/>
        </w:rPr>
      </w:pPr>
      <w:r w:rsidRPr="00783F48">
        <w:t xml:space="preserve">Candidates may apply for </w:t>
      </w:r>
      <w:r>
        <w:t>an</w:t>
      </w:r>
      <w:r w:rsidRPr="00783F48">
        <w:t xml:space="preserve"> extension </w:t>
      </w:r>
      <w:r>
        <w:t>60</w:t>
      </w:r>
      <w:r w:rsidRPr="00783F48">
        <w:t xml:space="preserve"> days prior to their renewal date. The application </w:t>
      </w:r>
      <w:r>
        <w:t>must</w:t>
      </w:r>
      <w:r w:rsidRPr="00783F48">
        <w:t xml:space="preserve"> include </w:t>
      </w:r>
      <w:r>
        <w:t>the reason(s)</w:t>
      </w:r>
      <w:r w:rsidRPr="00783F48">
        <w:t xml:space="preserve"> for </w:t>
      </w:r>
      <w:r>
        <w:t xml:space="preserve">the </w:t>
      </w:r>
      <w:r w:rsidRPr="00783F48">
        <w:t xml:space="preserve">request, DRCs earned to date and a proposed plan to meet the full requirements. </w:t>
      </w:r>
      <w:r w:rsidR="00EA6C38">
        <w:t>The Advisory Board reviews extension applications</w:t>
      </w:r>
      <w:r>
        <w:t xml:space="preserve"> to approve and determine </w:t>
      </w:r>
      <w:r w:rsidRPr="00783F48">
        <w:t>the length of extension</w:t>
      </w:r>
      <w:r>
        <w:t>s.</w:t>
      </w:r>
      <w:r w:rsidRPr="00783F48">
        <w:t xml:space="preserve"> </w:t>
      </w:r>
    </w:p>
    <w:p w14:paraId="77F99EA2" w14:textId="77777777" w:rsidR="00267697" w:rsidRPr="004C44E1" w:rsidRDefault="00267697" w:rsidP="00267697">
      <w:pPr>
        <w:spacing w:after="0" w:line="360" w:lineRule="auto"/>
        <w:rPr>
          <w:sz w:val="18"/>
          <w:szCs w:val="18"/>
        </w:rPr>
      </w:pPr>
    </w:p>
    <w:p w14:paraId="75933488" w14:textId="77777777" w:rsidR="00502348" w:rsidRDefault="00502348">
      <w:pPr>
        <w:rPr>
          <w:rFonts w:asciiTheme="majorHAnsi" w:eastAsiaTheme="majorEastAsia" w:hAnsiTheme="majorHAnsi" w:cstheme="majorBidi"/>
          <w:b/>
          <w:bCs/>
          <w:color w:val="4F81BD" w:themeColor="accent1"/>
          <w:sz w:val="26"/>
          <w:szCs w:val="26"/>
        </w:rPr>
      </w:pPr>
      <w:bookmarkStart w:id="20" w:name="_Toc495065584"/>
      <w:bookmarkStart w:id="21" w:name="_Toc28590809"/>
      <w:r>
        <w:br w:type="page"/>
      </w:r>
    </w:p>
    <w:p w14:paraId="6D85953E" w14:textId="77777777" w:rsidR="00267697" w:rsidRPr="004C44E1" w:rsidRDefault="00267697" w:rsidP="00471F3E">
      <w:pPr>
        <w:pStyle w:val="Heading1"/>
      </w:pPr>
      <w:bookmarkStart w:id="22" w:name="_NAIC’s_Minimum_Education"/>
      <w:bookmarkStart w:id="23" w:name="_Toc495065585"/>
      <w:bookmarkStart w:id="24" w:name="_Toc28590810"/>
      <w:bookmarkStart w:id="25" w:name="_Toc35510524"/>
      <w:bookmarkStart w:id="26" w:name="_Toc35510700"/>
      <w:bookmarkStart w:id="27" w:name="_Toc35510780"/>
      <w:bookmarkStart w:id="28" w:name="_Toc35510896"/>
      <w:bookmarkStart w:id="29" w:name="_Toc35511021"/>
      <w:bookmarkEnd w:id="20"/>
      <w:bookmarkEnd w:id="21"/>
      <w:bookmarkEnd w:id="22"/>
      <w:r w:rsidRPr="004C44E1">
        <w:lastRenderedPageBreak/>
        <w:t>NAIC’s Minimum Education Standards:</w:t>
      </w:r>
      <w:bookmarkEnd w:id="23"/>
      <w:bookmarkEnd w:id="24"/>
      <w:bookmarkEnd w:id="25"/>
      <w:bookmarkEnd w:id="26"/>
      <w:bookmarkEnd w:id="27"/>
      <w:bookmarkEnd w:id="28"/>
      <w:bookmarkEnd w:id="29"/>
      <w:r w:rsidRPr="004C44E1">
        <w:t xml:space="preserve"> </w:t>
      </w:r>
    </w:p>
    <w:p w14:paraId="38BB5A6B" w14:textId="77777777" w:rsidR="00267697" w:rsidRPr="004C44E1" w:rsidRDefault="00267697" w:rsidP="00267697">
      <w:pPr>
        <w:spacing w:after="0" w:line="240" w:lineRule="auto"/>
        <w:rPr>
          <w:b/>
          <w:sz w:val="18"/>
          <w:szCs w:val="18"/>
        </w:rPr>
      </w:pPr>
    </w:p>
    <w:p w14:paraId="06888E1F" w14:textId="77777777" w:rsidR="00267697" w:rsidRPr="00733B94" w:rsidRDefault="00267697" w:rsidP="00267697">
      <w:pPr>
        <w:pStyle w:val="ListParagraph"/>
        <w:numPr>
          <w:ilvl w:val="0"/>
          <w:numId w:val="1"/>
        </w:numPr>
        <w:spacing w:after="0"/>
        <w:rPr>
          <w:b/>
        </w:rPr>
      </w:pPr>
      <w:r w:rsidRPr="00733B94">
        <w:rPr>
          <w:b/>
        </w:rPr>
        <w:t>Learning Events (trainings, courses and other learning activities)</w:t>
      </w:r>
    </w:p>
    <w:p w14:paraId="3FC0E72C" w14:textId="0971D25A" w:rsidR="00267697" w:rsidRPr="004C44E1" w:rsidRDefault="005A5FC1" w:rsidP="00267697">
      <w:pPr>
        <w:ind w:left="418"/>
      </w:pPr>
      <w:r>
        <w:t>L</w:t>
      </w:r>
      <w:r w:rsidR="00267697" w:rsidRPr="004C44E1">
        <w:t xml:space="preserve">earning events </w:t>
      </w:r>
      <w:r>
        <w:t xml:space="preserve">must meet the following standards </w:t>
      </w:r>
      <w:r w:rsidR="00267697" w:rsidRPr="004C44E1">
        <w:t xml:space="preserve">to be eligible for DRCs: </w:t>
      </w:r>
    </w:p>
    <w:p w14:paraId="66714764" w14:textId="77777777" w:rsidR="00267697" w:rsidRDefault="00267697" w:rsidP="00267697">
      <w:pPr>
        <w:pStyle w:val="ListParagraph"/>
        <w:numPr>
          <w:ilvl w:val="1"/>
          <w:numId w:val="1"/>
        </w:numPr>
      </w:pPr>
      <w:r w:rsidRPr="004E4F3C">
        <w:rPr>
          <w:u w:val="single"/>
        </w:rPr>
        <w:t>Presence of learning objectives</w:t>
      </w:r>
      <w:r w:rsidRPr="004C44E1">
        <w:t>. Qualified learning activities must be based on learning objectives, and those objectives must be provided to students in written form.</w:t>
      </w:r>
    </w:p>
    <w:p w14:paraId="22CCC150" w14:textId="77777777" w:rsidR="00267697" w:rsidRDefault="00267697" w:rsidP="00267697">
      <w:pPr>
        <w:pStyle w:val="ListParagraph"/>
        <w:numPr>
          <w:ilvl w:val="1"/>
          <w:numId w:val="1"/>
        </w:numPr>
      </w:pPr>
      <w:r w:rsidRPr="00C42C75">
        <w:rPr>
          <w:u w:val="single"/>
        </w:rPr>
        <w:t>Evidence of instructional intent</w:t>
      </w:r>
      <w:r w:rsidRPr="00C42C75">
        <w:t>.</w:t>
      </w:r>
      <w:r>
        <w:t xml:space="preserve"> </w:t>
      </w:r>
      <w:r w:rsidRPr="004C44E1">
        <w:t xml:space="preserve">Qualified activities must be designed with the facilitation of learning as its primary goal. If an event’s </w:t>
      </w:r>
      <w:r w:rsidRPr="00C42C75">
        <w:rPr>
          <w:i/>
        </w:rPr>
        <w:t>primary</w:t>
      </w:r>
      <w:r w:rsidRPr="004C44E1">
        <w:t xml:space="preserve"> goal is to elicit sales, obtain market data (</w:t>
      </w:r>
      <w:r>
        <w:t xml:space="preserve">e.g., </w:t>
      </w:r>
      <w:r w:rsidRPr="004C44E1">
        <w:t>through focus groups) or promote networking, it is not eligible for DRC</w:t>
      </w:r>
      <w:r>
        <w:t>s</w:t>
      </w:r>
      <w:r w:rsidRPr="004C44E1">
        <w:t>. Evidence of instructional intent includes text materials or job aids provided to guide the learner in meeting stated learning objectives.</w:t>
      </w:r>
    </w:p>
    <w:p w14:paraId="2420E8D0" w14:textId="77777777" w:rsidR="00267697" w:rsidRDefault="00267697" w:rsidP="00267697">
      <w:pPr>
        <w:pStyle w:val="ListParagraph"/>
        <w:numPr>
          <w:ilvl w:val="1"/>
          <w:numId w:val="1"/>
        </w:numPr>
      </w:pPr>
      <w:r w:rsidRPr="00C42C75">
        <w:rPr>
          <w:u w:val="single"/>
        </w:rPr>
        <w:t>Interactivity</w:t>
      </w:r>
      <w:r w:rsidRPr="004C44E1">
        <w:t>. Qualified activities must contain interactive elements that enable students to engage with the material, the instructor, and/or other students or attendees. These elements may include quizzes, case studies, practice assignments, small or large group discussions, and question/answer segments, among others.</w:t>
      </w:r>
    </w:p>
    <w:p w14:paraId="1D9049BC" w14:textId="77777777" w:rsidR="00267697" w:rsidRDefault="00267697" w:rsidP="00267697">
      <w:pPr>
        <w:pStyle w:val="ListParagraph"/>
        <w:numPr>
          <w:ilvl w:val="1"/>
          <w:numId w:val="1"/>
        </w:numPr>
      </w:pPr>
      <w:r w:rsidRPr="00C42C75">
        <w:rPr>
          <w:u w:val="single"/>
        </w:rPr>
        <w:t>Presence of qualified instructors</w:t>
      </w:r>
      <w:r w:rsidRPr="004C44E1">
        <w:t xml:space="preserve">. Students at qualified learning events must have access to instructors who are subject matter experts </w:t>
      </w:r>
      <w:r>
        <w:t xml:space="preserve">(SMEs) </w:t>
      </w:r>
      <w:r w:rsidRPr="004C44E1">
        <w:t xml:space="preserve">throughout the duration of those events. </w:t>
      </w:r>
    </w:p>
    <w:p w14:paraId="4369606D" w14:textId="77777777" w:rsidR="00267697" w:rsidRDefault="00267697" w:rsidP="00267697">
      <w:pPr>
        <w:pStyle w:val="ListParagraph"/>
        <w:numPr>
          <w:ilvl w:val="1"/>
          <w:numId w:val="1"/>
        </w:numPr>
      </w:pPr>
      <w:r>
        <w:t>NAIC s</w:t>
      </w:r>
      <w:r w:rsidRPr="004C44E1">
        <w:t>elf-study courses are eligible for DRCs</w:t>
      </w:r>
      <w:r>
        <w:t>.</w:t>
      </w:r>
    </w:p>
    <w:p w14:paraId="3CA5191A" w14:textId="77777777" w:rsidR="00267697" w:rsidRDefault="00267697" w:rsidP="00267697">
      <w:pPr>
        <w:pStyle w:val="ListParagraph"/>
        <w:numPr>
          <w:ilvl w:val="1"/>
          <w:numId w:val="1"/>
        </w:numPr>
      </w:pPr>
      <w:r w:rsidRPr="00C42C75">
        <w:rPr>
          <w:u w:val="single"/>
        </w:rPr>
        <w:t xml:space="preserve">Awarding of </w:t>
      </w:r>
      <w:r>
        <w:rPr>
          <w:u w:val="single"/>
        </w:rPr>
        <w:t>c</w:t>
      </w:r>
      <w:r w:rsidRPr="00C42C75">
        <w:rPr>
          <w:u w:val="single"/>
        </w:rPr>
        <w:t xml:space="preserve">ertificates of </w:t>
      </w:r>
      <w:r>
        <w:rPr>
          <w:u w:val="single"/>
        </w:rPr>
        <w:t>c</w:t>
      </w:r>
      <w:r w:rsidRPr="00C42C75">
        <w:rPr>
          <w:u w:val="single"/>
        </w:rPr>
        <w:t>ompletion</w:t>
      </w:r>
      <w:r w:rsidRPr="004C44E1">
        <w:t>. Qualified learning events must supply students with certificates of satisfactory completion. Students are responsible for obtaining certificates from learning event sponsors.</w:t>
      </w:r>
    </w:p>
    <w:p w14:paraId="24C0DCAE" w14:textId="77777777" w:rsidR="00267697" w:rsidRDefault="00267697" w:rsidP="00267697">
      <w:pPr>
        <w:pStyle w:val="ListParagraph"/>
        <w:numPr>
          <w:ilvl w:val="1"/>
          <w:numId w:val="1"/>
        </w:numPr>
      </w:pPr>
      <w:r w:rsidRPr="00C42C75">
        <w:rPr>
          <w:u w:val="single"/>
        </w:rPr>
        <w:t>Uniqueness of the experience</w:t>
      </w:r>
      <w:r w:rsidRPr="004C44E1">
        <w:t xml:space="preserve">. </w:t>
      </w:r>
      <w:r>
        <w:t>Designees</w:t>
      </w:r>
      <w:r w:rsidRPr="004C44E1">
        <w:t xml:space="preserve"> may only earn DRCs for completing specific courses they have not taken or taught before.</w:t>
      </w:r>
    </w:p>
    <w:p w14:paraId="15DEB7B6" w14:textId="77777777" w:rsidR="00267697" w:rsidRPr="004C44E1" w:rsidRDefault="00267697" w:rsidP="00267697">
      <w:pPr>
        <w:pStyle w:val="ListParagraph"/>
        <w:numPr>
          <w:ilvl w:val="1"/>
          <w:numId w:val="1"/>
        </w:numPr>
      </w:pPr>
      <w:r w:rsidRPr="00C42C75">
        <w:rPr>
          <w:u w:val="single"/>
        </w:rPr>
        <w:t>Investment-oriented subject matter</w:t>
      </w:r>
      <w:r>
        <w:t xml:space="preserve">. </w:t>
      </w:r>
      <w:r w:rsidRPr="00F6247D">
        <w:rPr>
          <w:i/>
        </w:rPr>
        <w:t xml:space="preserve">(Required of IPIR </w:t>
      </w:r>
      <w:r>
        <w:rPr>
          <w:i/>
        </w:rPr>
        <w:t>d</w:t>
      </w:r>
      <w:r w:rsidRPr="00F6247D">
        <w:rPr>
          <w:i/>
        </w:rPr>
        <w:t>esignees only)</w:t>
      </w:r>
      <w:r>
        <w:t xml:space="preserve"> Qualifying courses must contain subject matter pertaining to capital markets, portfolio analysis, or other investment-oriented subject matter.</w:t>
      </w:r>
      <w:r w:rsidRPr="004C44E1">
        <w:t xml:space="preserve"> </w:t>
      </w:r>
      <w:r>
        <w:br/>
      </w:r>
      <w:r w:rsidRPr="004C44E1">
        <w:t xml:space="preserve"> </w:t>
      </w:r>
    </w:p>
    <w:p w14:paraId="1C3A72F2" w14:textId="77777777" w:rsidR="00267697" w:rsidRPr="00733B94" w:rsidRDefault="00267697" w:rsidP="00267697">
      <w:pPr>
        <w:pStyle w:val="ListParagraph"/>
        <w:numPr>
          <w:ilvl w:val="0"/>
          <w:numId w:val="1"/>
        </w:numPr>
        <w:spacing w:after="0"/>
        <w:rPr>
          <w:b/>
        </w:rPr>
      </w:pPr>
      <w:r w:rsidRPr="00733B94">
        <w:rPr>
          <w:b/>
        </w:rPr>
        <w:t>NAIC Meeting Participation</w:t>
      </w:r>
    </w:p>
    <w:p w14:paraId="09587FBD" w14:textId="6E9F7706" w:rsidR="00267697" w:rsidRPr="004C44E1" w:rsidRDefault="00267697" w:rsidP="00267697">
      <w:pPr>
        <w:ind w:left="418"/>
      </w:pPr>
      <w:r>
        <w:t>Designees</w:t>
      </w:r>
      <w:r w:rsidRPr="004C44E1">
        <w:t xml:space="preserve"> may earn DRCs for </w:t>
      </w:r>
      <w:r>
        <w:t xml:space="preserve">verifiable participation in meetings and conference calls in support of NAIC letter committee task forces and working groups. </w:t>
      </w:r>
      <w:r w:rsidRPr="004C44E1">
        <w:t>Credits for those meetings are calculated just as they would be for trainings or courses (i.e.</w:t>
      </w:r>
      <w:r>
        <w:t>,</w:t>
      </w:r>
      <w:r w:rsidRPr="004C44E1">
        <w:t xml:space="preserve"> 50 minutes of meeting time = </w:t>
      </w:r>
      <w:r>
        <w:t>one</w:t>
      </w:r>
      <w:r w:rsidRPr="004C44E1">
        <w:t xml:space="preserve"> DRC). </w:t>
      </w:r>
      <w:r w:rsidR="005A5FC1">
        <w:t>M</w:t>
      </w:r>
      <w:r w:rsidRPr="004C44E1">
        <w:t>eeting participation must meet the following standards</w:t>
      </w:r>
      <w:r w:rsidR="005A5FC1">
        <w:t xml:space="preserve"> to be eligible for DRCs</w:t>
      </w:r>
      <w:r w:rsidRPr="004C44E1">
        <w:t>:</w:t>
      </w:r>
    </w:p>
    <w:p w14:paraId="232936A0" w14:textId="77777777" w:rsidR="00267697" w:rsidRDefault="00267697" w:rsidP="00267697">
      <w:pPr>
        <w:pStyle w:val="ListParagraph"/>
        <w:numPr>
          <w:ilvl w:val="1"/>
          <w:numId w:val="1"/>
        </w:numPr>
      </w:pPr>
      <w:r w:rsidRPr="00C42C75">
        <w:rPr>
          <w:u w:val="single"/>
        </w:rPr>
        <w:t>Defined participation role</w:t>
      </w:r>
      <w:r w:rsidRPr="004C44E1">
        <w:t xml:space="preserve">. </w:t>
      </w:r>
      <w:r>
        <w:t>Designees</w:t>
      </w:r>
      <w:r w:rsidRPr="004C44E1">
        <w:t xml:space="preserve"> must serve in an active, defined role within the meeting. That role may be official in nature, such as chair, or it may be unofficial, yet integral to the objective of the meeting, such as policy reviewer, contributor or </w:t>
      </w:r>
      <w:r w:rsidRPr="004C44E1">
        <w:lastRenderedPageBreak/>
        <w:t>spokesperson.</w:t>
      </w:r>
      <w:r>
        <w:t xml:space="preserve"> Such participation must be verifiable through meeting minutes or other documentation.</w:t>
      </w:r>
    </w:p>
    <w:p w14:paraId="7F215E1B" w14:textId="77777777" w:rsidR="00267697" w:rsidRDefault="00267697" w:rsidP="00267697">
      <w:pPr>
        <w:pStyle w:val="ListParagraph"/>
        <w:numPr>
          <w:ilvl w:val="1"/>
          <w:numId w:val="1"/>
        </w:numPr>
      </w:pPr>
      <w:r w:rsidRPr="00E23096">
        <w:rPr>
          <w:u w:val="single"/>
        </w:rPr>
        <w:t>Presence of clear meeting goals</w:t>
      </w:r>
      <w:r w:rsidRPr="00C42C75">
        <w:t>.</w:t>
      </w:r>
      <w:r>
        <w:t xml:space="preserve"> </w:t>
      </w:r>
      <w:r w:rsidRPr="004C44E1">
        <w:t>Qualified meetings must be structured to achieve a clearly defined, measurable end</w:t>
      </w:r>
      <w:r>
        <w:t xml:space="preserve"> </w:t>
      </w:r>
      <w:r w:rsidRPr="004C44E1">
        <w:t>goal. This goal may or may not be provided to attendees in written form, but the goal must be definable, and all attendees must share a common understanding of what it is. Examples of end</w:t>
      </w:r>
      <w:r>
        <w:t xml:space="preserve"> </w:t>
      </w:r>
      <w:r w:rsidRPr="004C44E1">
        <w:t>goals include arriving at a decision associated with a larger project, drafting revisions to an existing policy, presenting conclusions of a research project and so on. End</w:t>
      </w:r>
      <w:r>
        <w:t xml:space="preserve"> </w:t>
      </w:r>
      <w:r w:rsidRPr="004C44E1">
        <w:t>goals should be specific to a single meeting, even if that meeting is part of a larger project.</w:t>
      </w:r>
    </w:p>
    <w:p w14:paraId="3E2424AD" w14:textId="77777777" w:rsidR="00267697" w:rsidRDefault="00267697" w:rsidP="00267697">
      <w:pPr>
        <w:pStyle w:val="ListParagraph"/>
        <w:numPr>
          <w:ilvl w:val="1"/>
          <w:numId w:val="1"/>
        </w:numPr>
      </w:pPr>
      <w:r w:rsidRPr="00E23096">
        <w:rPr>
          <w:u w:val="single"/>
        </w:rPr>
        <w:t>Project orientation</w:t>
      </w:r>
      <w:r w:rsidRPr="004C44E1">
        <w:t>. Qualified meetings are those that are reflective of a larger project plan. For example, a meeting to discuss and outline the content of a chapter in a new regulatory handbook would qualify for DRC because the meeting</w:t>
      </w:r>
      <w:r>
        <w:t>,</w:t>
      </w:r>
      <w:r w:rsidRPr="004C44E1">
        <w:t xml:space="preserve"> to discuss content</w:t>
      </w:r>
      <w:r>
        <w:t>,</w:t>
      </w:r>
      <w:r w:rsidRPr="004C44E1">
        <w:t xml:space="preserve"> is part of a larger project plan</w:t>
      </w:r>
      <w:r>
        <w:t>,</w:t>
      </w:r>
      <w:r w:rsidRPr="004C44E1">
        <w:t xml:space="preserve"> the development of a new handbook.</w:t>
      </w:r>
    </w:p>
    <w:p w14:paraId="0B9FC5DC" w14:textId="77777777" w:rsidR="00267697" w:rsidRDefault="00267697" w:rsidP="00267697">
      <w:pPr>
        <w:pStyle w:val="ListParagraph"/>
        <w:numPr>
          <w:ilvl w:val="1"/>
          <w:numId w:val="1"/>
        </w:numPr>
      </w:pPr>
      <w:r w:rsidRPr="00E23096">
        <w:rPr>
          <w:u w:val="single"/>
        </w:rPr>
        <w:t>Presence of an action learning component</w:t>
      </w:r>
      <w:r w:rsidRPr="004C44E1">
        <w:t xml:space="preserve">. Qualified meetings must be those that require attendees to stretch their prior understanding of a concept through research, analysis of information, experimentation, problem-solving and/or facilitated discussion. </w:t>
      </w:r>
    </w:p>
    <w:p w14:paraId="0B764791" w14:textId="77777777" w:rsidR="00267697" w:rsidRDefault="00267697" w:rsidP="00267697">
      <w:pPr>
        <w:pStyle w:val="ListParagraph"/>
        <w:numPr>
          <w:ilvl w:val="1"/>
          <w:numId w:val="1"/>
        </w:numPr>
      </w:pPr>
      <w:r w:rsidRPr="00E23096">
        <w:rPr>
          <w:u w:val="single"/>
        </w:rPr>
        <w:t>(E) or (F) Committee contributions</w:t>
      </w:r>
      <w:r>
        <w:t>. (Required of IPIR candidates only) The purpose or topic of the meeting must be relevant to initiatives or projects currently underway involving the NAIC’s Financial Condition (E) Committee or the NAIC’s Financial Regulation Standards and Accreditation (F) Committee.</w:t>
      </w:r>
    </w:p>
    <w:p w14:paraId="6A28C7CD" w14:textId="77777777" w:rsidR="00267697" w:rsidRPr="00733B94" w:rsidRDefault="00267697" w:rsidP="00267697">
      <w:pPr>
        <w:pStyle w:val="ListParagraph"/>
        <w:numPr>
          <w:ilvl w:val="0"/>
          <w:numId w:val="1"/>
        </w:numPr>
        <w:spacing w:after="0"/>
        <w:rPr>
          <w:b/>
        </w:rPr>
      </w:pPr>
      <w:r w:rsidRPr="00733B94">
        <w:rPr>
          <w:b/>
        </w:rPr>
        <w:t>Teaching NAIC Courses and/or Serving on NAIC Course or Exam Development Teams</w:t>
      </w:r>
    </w:p>
    <w:p w14:paraId="398601F4" w14:textId="3290926F" w:rsidR="00267697" w:rsidRPr="004C44E1" w:rsidRDefault="00267697" w:rsidP="00267697">
      <w:pPr>
        <w:ind w:left="418"/>
      </w:pPr>
      <w:r w:rsidRPr="004C44E1">
        <w:t xml:space="preserve">It is important for </w:t>
      </w:r>
      <w:r>
        <w:t xml:space="preserve">state insurance </w:t>
      </w:r>
      <w:r w:rsidRPr="004C44E1">
        <w:t xml:space="preserve">regulators to play an active role in building and delivering courses in </w:t>
      </w:r>
      <w:r>
        <w:t xml:space="preserve">the </w:t>
      </w:r>
      <w:r w:rsidRPr="004C44E1">
        <w:t xml:space="preserve">NAIC’s curriculum—not only as students, but </w:t>
      </w:r>
      <w:r>
        <w:t xml:space="preserve">also </w:t>
      </w:r>
      <w:r w:rsidRPr="004C44E1">
        <w:t xml:space="preserve">as mentors, models, </w:t>
      </w:r>
      <w:r>
        <w:t>SMEs</w:t>
      </w:r>
      <w:r w:rsidRPr="004C44E1">
        <w:t xml:space="preserve"> and teachers. DRCs are awarded to instructors and course developers when the following standards are met:</w:t>
      </w:r>
    </w:p>
    <w:p w14:paraId="6505B87E" w14:textId="77777777" w:rsidR="00267697" w:rsidRDefault="00267697" w:rsidP="00267697">
      <w:pPr>
        <w:pStyle w:val="ListParagraph"/>
        <w:numPr>
          <w:ilvl w:val="1"/>
          <w:numId w:val="1"/>
        </w:numPr>
      </w:pPr>
      <w:r w:rsidRPr="00E23096">
        <w:rPr>
          <w:u w:val="single"/>
        </w:rPr>
        <w:t>Active role in the course development process</w:t>
      </w:r>
      <w:r w:rsidRPr="004C44E1">
        <w:t xml:space="preserve">. </w:t>
      </w:r>
      <w:r>
        <w:t>Designees</w:t>
      </w:r>
      <w:r w:rsidRPr="004C44E1">
        <w:t xml:space="preserve"> wishing to earn DRCs through work on a course development team must play an active role in the entire course development process, which may include assisting in the writing of learning outcomes</w:t>
      </w:r>
      <w:r>
        <w:t>;</w:t>
      </w:r>
      <w:r w:rsidRPr="004C44E1">
        <w:t xml:space="preserve"> the compilation, organization and review of content</w:t>
      </w:r>
      <w:r>
        <w:t>;</w:t>
      </w:r>
      <w:r w:rsidRPr="004C44E1">
        <w:t xml:space="preserve"> the production of course materials</w:t>
      </w:r>
      <w:r>
        <w:t>;</w:t>
      </w:r>
      <w:r w:rsidRPr="004C44E1">
        <w:t xml:space="preserve"> </w:t>
      </w:r>
      <w:r>
        <w:t xml:space="preserve">and/or </w:t>
      </w:r>
      <w:r w:rsidRPr="004C44E1">
        <w:t xml:space="preserve">the development and review of test </w:t>
      </w:r>
      <w:r>
        <w:t>questions.</w:t>
      </w:r>
    </w:p>
    <w:p w14:paraId="2783A539" w14:textId="77777777" w:rsidR="00267697" w:rsidRDefault="00267697" w:rsidP="00267697">
      <w:pPr>
        <w:pStyle w:val="ListParagraph"/>
        <w:numPr>
          <w:ilvl w:val="1"/>
          <w:numId w:val="1"/>
        </w:numPr>
      </w:pPr>
      <w:r w:rsidRPr="00E23096">
        <w:rPr>
          <w:u w:val="single"/>
        </w:rPr>
        <w:t>Evidence of applied adult learning theory</w:t>
      </w:r>
      <w:r w:rsidRPr="00E23096">
        <w:t>.</w:t>
      </w:r>
      <w:r>
        <w:t xml:space="preserve"> Designees</w:t>
      </w:r>
      <w:r w:rsidRPr="004C44E1">
        <w:t xml:space="preserve"> must demonstrate, through organizing and planning for instruction, a genuine interest in catering to the needs of adult learners. This requires at least minimal familiarity with adult learning theory, which may be acquired either through formal train-the-trainer classes offered by </w:t>
      </w:r>
      <w:r>
        <w:t xml:space="preserve">the </w:t>
      </w:r>
      <w:r w:rsidRPr="004C44E1">
        <w:t>NAIC’s Education &amp; Training Department or through collaborative work with Education &amp; Training Department instructional designers.</w:t>
      </w:r>
    </w:p>
    <w:p w14:paraId="00664152" w14:textId="77777777" w:rsidR="00267697" w:rsidRDefault="00267697" w:rsidP="00267697">
      <w:pPr>
        <w:pStyle w:val="ListParagraph"/>
        <w:numPr>
          <w:ilvl w:val="1"/>
          <w:numId w:val="1"/>
        </w:numPr>
      </w:pPr>
      <w:r w:rsidRPr="00E23096">
        <w:rPr>
          <w:u w:val="single"/>
        </w:rPr>
        <w:t xml:space="preserve">Teaching or facilitation of courses offered through </w:t>
      </w:r>
      <w:r>
        <w:rPr>
          <w:u w:val="single"/>
        </w:rPr>
        <w:t xml:space="preserve">the </w:t>
      </w:r>
      <w:r w:rsidRPr="00E23096">
        <w:rPr>
          <w:u w:val="single"/>
        </w:rPr>
        <w:t>NAIC’s Education &amp; Training Department</w:t>
      </w:r>
      <w:r w:rsidRPr="004C44E1">
        <w:t xml:space="preserve">. To earn DRCs, </w:t>
      </w:r>
      <w:r>
        <w:t>designees</w:t>
      </w:r>
      <w:r w:rsidRPr="004C44E1">
        <w:t xml:space="preserve"> must do one of the following: teach at least one </w:t>
      </w:r>
      <w:r w:rsidRPr="004C44E1">
        <w:lastRenderedPageBreak/>
        <w:t>unit or segment of a live, in-person class or webinar</w:t>
      </w:r>
      <w:r>
        <w:t>;</w:t>
      </w:r>
      <w:r w:rsidRPr="004C44E1">
        <w:t xml:space="preserve"> record at least one lecture for use in NAIC tutorials or online courses</w:t>
      </w:r>
      <w:r>
        <w:t>;</w:t>
      </w:r>
      <w:r w:rsidRPr="004C44E1">
        <w:t xml:space="preserve"> </w:t>
      </w:r>
      <w:r w:rsidRPr="00E23096">
        <w:rPr>
          <w:u w:val="single"/>
        </w:rPr>
        <w:t>or</w:t>
      </w:r>
      <w:r w:rsidRPr="004C44E1">
        <w:t xml:space="preserve"> facilitate at least one online threaded discussion within an online course.</w:t>
      </w:r>
    </w:p>
    <w:p w14:paraId="6DE49072" w14:textId="77777777" w:rsidR="00267697" w:rsidRDefault="00267697" w:rsidP="00267697">
      <w:pPr>
        <w:pStyle w:val="ListParagraph"/>
        <w:numPr>
          <w:ilvl w:val="1"/>
          <w:numId w:val="1"/>
        </w:numPr>
      </w:pPr>
      <w:r w:rsidRPr="00E23096">
        <w:rPr>
          <w:u w:val="single"/>
        </w:rPr>
        <w:t>Uniqueness of the experience</w:t>
      </w:r>
      <w:r w:rsidRPr="004C44E1">
        <w:t xml:space="preserve">. </w:t>
      </w:r>
      <w:r>
        <w:t>Designees</w:t>
      </w:r>
      <w:r w:rsidRPr="004C44E1">
        <w:t xml:space="preserve"> may only earn DRCs for teaching/developing specific courses one time </w:t>
      </w:r>
      <w:r w:rsidRPr="00E23096">
        <w:rPr>
          <w:i/>
        </w:rPr>
        <w:t>unless</w:t>
      </w:r>
      <w:r w:rsidRPr="004C44E1">
        <w:t xml:space="preserve"> substantial changes to the content, exercises, materials, lectures or exams are made.</w:t>
      </w:r>
    </w:p>
    <w:p w14:paraId="74866551" w14:textId="77777777" w:rsidR="00267697" w:rsidRDefault="00267697" w:rsidP="00267697">
      <w:pPr>
        <w:pStyle w:val="ListParagraph"/>
        <w:numPr>
          <w:ilvl w:val="1"/>
          <w:numId w:val="1"/>
        </w:numPr>
      </w:pPr>
      <w:r w:rsidRPr="00E23096">
        <w:rPr>
          <w:u w:val="single"/>
        </w:rPr>
        <w:t>Investment-oriented subject matter</w:t>
      </w:r>
      <w:r>
        <w:t xml:space="preserve">. </w:t>
      </w:r>
      <w:r w:rsidRPr="00F6247D">
        <w:rPr>
          <w:i/>
        </w:rPr>
        <w:t>(Required of IPIR Designees only)</w:t>
      </w:r>
      <w:r>
        <w:t xml:space="preserve"> Qualifying courses taught by IPIR designees must contain subject matter pertaining to capital markets, portfolio analysis or other investment-oriented subject matter.</w:t>
      </w:r>
    </w:p>
    <w:p w14:paraId="62E9BF0C" w14:textId="77777777" w:rsidR="00267697" w:rsidRPr="004C44E1" w:rsidRDefault="00267697" w:rsidP="00267697">
      <w:pPr>
        <w:pStyle w:val="ListParagraph"/>
        <w:ind w:left="778"/>
      </w:pPr>
    </w:p>
    <w:p w14:paraId="3C531B7B" w14:textId="77777777" w:rsidR="00267697" w:rsidRPr="00733B94" w:rsidRDefault="00267697" w:rsidP="00267697">
      <w:pPr>
        <w:pStyle w:val="ListParagraph"/>
        <w:numPr>
          <w:ilvl w:val="0"/>
          <w:numId w:val="1"/>
        </w:numPr>
        <w:spacing w:after="0"/>
        <w:rPr>
          <w:b/>
        </w:rPr>
      </w:pPr>
      <w:r w:rsidRPr="00733B94">
        <w:rPr>
          <w:b/>
        </w:rPr>
        <w:t>Special Projects</w:t>
      </w:r>
    </w:p>
    <w:p w14:paraId="5B521BA4" w14:textId="77777777" w:rsidR="00267697" w:rsidRPr="004C44E1" w:rsidRDefault="00267697" w:rsidP="00267697">
      <w:pPr>
        <w:ind w:left="418"/>
      </w:pPr>
      <w:r w:rsidRPr="004C44E1">
        <w:t xml:space="preserve">Requests for DRCs for special projects such as authoring articles in professional journals, mentoring novice regulators, representing the NAIC on official international business, and other activities must be submitted to the NAIC Education &amp; Training Department for consideration and approval. </w:t>
      </w:r>
      <w:r>
        <w:t xml:space="preserve">The Education &amp; Training Department may consult the NAIC Capital Markets &amp; Investment Analysis Office when considering projects submitted for DRCs toward the IPIR. </w:t>
      </w:r>
      <w:r w:rsidRPr="004C44E1">
        <w:t>Approval</w:t>
      </w:r>
      <w:r>
        <w:t xml:space="preserve"> for projects submitted toward any designation</w:t>
      </w:r>
      <w:r w:rsidRPr="004C44E1">
        <w:t xml:space="preserve"> may be escalated to the Board in some instances.</w:t>
      </w:r>
    </w:p>
    <w:p w14:paraId="0D50F614" w14:textId="77777777" w:rsidR="005951CA" w:rsidRDefault="005951CA">
      <w:pPr>
        <w:rPr>
          <w:rFonts w:asciiTheme="majorHAnsi" w:eastAsiaTheme="majorEastAsia" w:hAnsiTheme="majorHAnsi" w:cstheme="majorBidi"/>
          <w:b/>
          <w:bCs/>
          <w:color w:val="4F81BD" w:themeColor="accent1"/>
          <w:sz w:val="26"/>
          <w:szCs w:val="26"/>
        </w:rPr>
      </w:pPr>
      <w:bookmarkStart w:id="30" w:name="_Toc495065586"/>
      <w:bookmarkStart w:id="31" w:name="_Toc28590811"/>
      <w:r>
        <w:br w:type="page"/>
      </w:r>
    </w:p>
    <w:p w14:paraId="08919E83" w14:textId="68AC3F8C" w:rsidR="005106B4" w:rsidRDefault="005106B4" w:rsidP="00471F3E">
      <w:pPr>
        <w:pStyle w:val="Heading1"/>
      </w:pPr>
      <w:bookmarkStart w:id="32" w:name="_Toc35510525"/>
      <w:bookmarkStart w:id="33" w:name="_Toc35510701"/>
      <w:bookmarkStart w:id="34" w:name="_Toc35510781"/>
      <w:bookmarkStart w:id="35" w:name="_Toc35510897"/>
      <w:bookmarkStart w:id="36" w:name="_Toc35511022"/>
      <w:bookmarkEnd w:id="30"/>
      <w:bookmarkEnd w:id="31"/>
      <w:r>
        <w:lastRenderedPageBreak/>
        <w:t>Non-Renewals</w:t>
      </w:r>
      <w:bookmarkEnd w:id="32"/>
      <w:bookmarkEnd w:id="33"/>
      <w:bookmarkEnd w:id="34"/>
      <w:bookmarkEnd w:id="35"/>
      <w:bookmarkEnd w:id="36"/>
    </w:p>
    <w:p w14:paraId="11A4C279" w14:textId="05B098B0" w:rsidR="00876D1D" w:rsidRDefault="005106B4">
      <w:pPr>
        <w:spacing w:after="0"/>
      </w:pPr>
      <w:r w:rsidRPr="00783F48">
        <w:t xml:space="preserve">Designees who do not apply for </w:t>
      </w:r>
      <w:r>
        <w:t>d</w:t>
      </w:r>
      <w:r w:rsidRPr="00783F48">
        <w:t xml:space="preserve">esignation renewal by the end of their reporting period </w:t>
      </w:r>
      <w:r w:rsidR="00876D1D">
        <w:t xml:space="preserve">are </w:t>
      </w:r>
      <w:r w:rsidRPr="00783F48">
        <w:t>deemed “inactive” and no longer hold the APIR, PIR</w:t>
      </w:r>
      <w:r w:rsidR="00876D1D">
        <w:t xml:space="preserve">, </w:t>
      </w:r>
      <w:r w:rsidRPr="00783F48">
        <w:t>SPIR</w:t>
      </w:r>
      <w:r>
        <w:t xml:space="preserve"> or IPI</w:t>
      </w:r>
      <w:r w:rsidR="00876D1D">
        <w:t>R</w:t>
      </w:r>
      <w:r w:rsidRPr="00783F48">
        <w:t>.</w:t>
      </w:r>
    </w:p>
    <w:p w14:paraId="06103420" w14:textId="77777777" w:rsidR="00876D1D" w:rsidRDefault="00876D1D">
      <w:pPr>
        <w:spacing w:after="0"/>
      </w:pPr>
    </w:p>
    <w:p w14:paraId="0FAD3F3F" w14:textId="79147C67" w:rsidR="00876D1D" w:rsidRDefault="005106B4">
      <w:pPr>
        <w:spacing w:after="0"/>
      </w:pPr>
      <w:r w:rsidRPr="00783F48">
        <w:t xml:space="preserve">Candidates may apply for reinstatement within three years of </w:t>
      </w:r>
      <w:r w:rsidR="00876D1D">
        <w:t>their inactive</w:t>
      </w:r>
      <w:r w:rsidRPr="00783F48">
        <w:t xml:space="preserve"> date with an </w:t>
      </w:r>
      <w:r w:rsidRPr="005F6A06">
        <w:t xml:space="preserve">applicable </w:t>
      </w:r>
      <w:r w:rsidRPr="00471F3E">
        <w:rPr>
          <w:rStyle w:val="Hyperlink"/>
          <w:color w:val="auto"/>
          <w:u w:val="none"/>
        </w:rPr>
        <w:t>reinstatement filing fee</w:t>
      </w:r>
      <w:r w:rsidR="00876D1D" w:rsidRPr="005951CA">
        <w:t xml:space="preserve"> </w:t>
      </w:r>
      <w:r w:rsidR="00876D1D">
        <w:t>and p</w:t>
      </w:r>
      <w:r w:rsidRPr="00783F48">
        <w:t>roof of required DRC</w:t>
      </w:r>
      <w:r>
        <w:t>s</w:t>
      </w:r>
      <w:r w:rsidR="00876D1D">
        <w:t>.</w:t>
      </w:r>
      <w:r w:rsidRPr="00783F48">
        <w:t xml:space="preserve"> </w:t>
      </w:r>
    </w:p>
    <w:p w14:paraId="76AD826C" w14:textId="77777777" w:rsidR="00876D1D" w:rsidRDefault="00876D1D">
      <w:pPr>
        <w:spacing w:after="0"/>
      </w:pPr>
    </w:p>
    <w:p w14:paraId="0F56DA78" w14:textId="62DE56CD" w:rsidR="00876D1D" w:rsidRDefault="005106B4">
      <w:pPr>
        <w:spacing w:after="0"/>
      </w:pPr>
      <w:r w:rsidRPr="00783F48">
        <w:t xml:space="preserve">If a candidate leaves regulation with </w:t>
      </w:r>
      <w:r w:rsidR="00876D1D">
        <w:t>an active</w:t>
      </w:r>
      <w:r w:rsidRPr="00783F48">
        <w:t xml:space="preserve"> designation </w:t>
      </w:r>
      <w:r w:rsidR="00876D1D">
        <w:t xml:space="preserve">and </w:t>
      </w:r>
      <w:r w:rsidRPr="00783F48">
        <w:t xml:space="preserve">returns, the </w:t>
      </w:r>
      <w:r>
        <w:t>reinstatement filing fee</w:t>
      </w:r>
      <w:r w:rsidRPr="00783F48">
        <w:t xml:space="preserve"> </w:t>
      </w:r>
      <w:r w:rsidR="00876D1D">
        <w:t>is</w:t>
      </w:r>
      <w:r w:rsidRPr="00783F48">
        <w:t xml:space="preserve"> waived</w:t>
      </w:r>
      <w:r w:rsidR="00876D1D">
        <w:t>. Their</w:t>
      </w:r>
      <w:r w:rsidRPr="00783F48">
        <w:t xml:space="preserve"> renewal date for DRC</w:t>
      </w:r>
      <w:r>
        <w:t>s</w:t>
      </w:r>
      <w:r w:rsidRPr="00783F48">
        <w:t xml:space="preserve"> will three years from the date </w:t>
      </w:r>
      <w:r w:rsidR="00876D1D" w:rsidRPr="00430360">
        <w:t xml:space="preserve">of </w:t>
      </w:r>
      <w:r w:rsidRPr="00430360">
        <w:t>the reinstatement application.</w:t>
      </w:r>
      <w:r w:rsidRPr="00783F48">
        <w:t xml:space="preserve"> </w:t>
      </w:r>
    </w:p>
    <w:p w14:paraId="5443B659" w14:textId="77777777" w:rsidR="00876D1D" w:rsidRDefault="00876D1D">
      <w:pPr>
        <w:spacing w:after="0"/>
      </w:pPr>
    </w:p>
    <w:p w14:paraId="13E4AB25" w14:textId="2E2B53A9" w:rsidR="005106B4" w:rsidRPr="005106B4" w:rsidRDefault="00876D1D" w:rsidP="00471F3E">
      <w:pPr>
        <w:spacing w:after="0"/>
        <w:rPr>
          <w:sz w:val="18"/>
          <w:szCs w:val="18"/>
        </w:rPr>
      </w:pPr>
      <w:r>
        <w:t>Candidates who</w:t>
      </w:r>
      <w:r w:rsidRPr="00783F48">
        <w:t xml:space="preserve"> leave regulation with </w:t>
      </w:r>
      <w:r>
        <w:t>an inactive</w:t>
      </w:r>
      <w:r w:rsidRPr="00783F48">
        <w:t xml:space="preserve"> designation</w:t>
      </w:r>
      <w:r>
        <w:t>s and return</w:t>
      </w:r>
      <w:r w:rsidRPr="00783F48">
        <w:t xml:space="preserve"> </w:t>
      </w:r>
      <w:r w:rsidR="005106B4" w:rsidRPr="00783F48">
        <w:t xml:space="preserve">will be required to re-enroll in the program and take the courses/requirements to earn the designation held </w:t>
      </w:r>
      <w:r w:rsidR="005106B4">
        <w:t>prior to leaving regulation</w:t>
      </w:r>
      <w:r w:rsidR="005106B4" w:rsidRPr="00783F48">
        <w:t>.</w:t>
      </w:r>
    </w:p>
    <w:p w14:paraId="0C01B749" w14:textId="1E29D2E9" w:rsidR="005106B4" w:rsidRDefault="005106B4" w:rsidP="00471F3E">
      <w:pPr>
        <w:ind w:left="360"/>
      </w:pPr>
    </w:p>
    <w:sectPr w:rsidR="005106B4" w:rsidSect="00471F3E">
      <w:headerReference w:type="default" r:id="rId8"/>
      <w:footerReference w:type="default" r:id="rId9"/>
      <w:headerReference w:type="first" r:id="rId10"/>
      <w:footnotePr>
        <w:numFmt w:val="chicago"/>
        <w:numRestart w:val="eachPage"/>
      </w:footnotePr>
      <w:pgSz w:w="12240" w:h="15840"/>
      <w:pgMar w:top="1440" w:right="1440" w:bottom="1440" w:left="1440" w:header="576"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74AA" w14:textId="77777777" w:rsidR="00D47FF5" w:rsidRDefault="00D47FF5" w:rsidP="00193DFF">
      <w:pPr>
        <w:spacing w:after="0" w:line="240" w:lineRule="auto"/>
      </w:pPr>
      <w:r>
        <w:separator/>
      </w:r>
    </w:p>
  </w:endnote>
  <w:endnote w:type="continuationSeparator" w:id="0">
    <w:p w14:paraId="2341A275" w14:textId="77777777" w:rsidR="00D47FF5" w:rsidRDefault="00D47FF5" w:rsidP="0019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668780"/>
      <w:docPartObj>
        <w:docPartGallery w:val="Page Numbers (Bottom of Page)"/>
        <w:docPartUnique/>
      </w:docPartObj>
    </w:sdtPr>
    <w:sdtEndPr>
      <w:rPr>
        <w:noProof/>
      </w:rPr>
    </w:sdtEndPr>
    <w:sdtContent>
      <w:p w14:paraId="5CD0055E" w14:textId="254BCF9D" w:rsidR="00D47FF5" w:rsidRDefault="00D47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EA7024" w14:textId="77777777" w:rsidR="00D47FF5" w:rsidRDefault="00D47FF5" w:rsidP="00B37FE1">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335F" w14:textId="77777777" w:rsidR="00D47FF5" w:rsidRDefault="00D47FF5" w:rsidP="00193DFF">
      <w:pPr>
        <w:spacing w:after="0" w:line="240" w:lineRule="auto"/>
      </w:pPr>
      <w:r>
        <w:separator/>
      </w:r>
    </w:p>
  </w:footnote>
  <w:footnote w:type="continuationSeparator" w:id="0">
    <w:p w14:paraId="3A3F5E02" w14:textId="77777777" w:rsidR="00D47FF5" w:rsidRDefault="00D47FF5" w:rsidP="0019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29CA" w14:textId="0E69226A" w:rsidR="00D47FF5" w:rsidRDefault="00430360" w:rsidP="00B37FE1">
    <w:pPr>
      <w:pStyle w:val="Header"/>
      <w:jc w:val="center"/>
      <w:rPr>
        <w:sz w:val="14"/>
        <w:szCs w:val="14"/>
      </w:rPr>
    </w:pPr>
    <w:r>
      <w:rPr>
        <w:sz w:val="14"/>
        <w:szCs w:val="14"/>
      </w:rPr>
      <w:t>January</w:t>
    </w:r>
    <w:r w:rsidR="00D47FF5">
      <w:rPr>
        <w:sz w:val="14"/>
        <w:szCs w:val="14"/>
      </w:rPr>
      <w:t xml:space="preserve"> 202</w:t>
    </w:r>
    <w:r>
      <w:rPr>
        <w:sz w:val="14"/>
        <w:szCs w:val="14"/>
      </w:rPr>
      <w:t>1</w:t>
    </w:r>
  </w:p>
  <w:p w14:paraId="5BECEF51" w14:textId="77777777" w:rsidR="00D47FF5" w:rsidRPr="00697DF9" w:rsidRDefault="00D47FF5" w:rsidP="00B37FE1">
    <w:pPr>
      <w:pStyle w:val="Header"/>
      <w:jc w:val="cent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AAF6" w14:textId="79697C2F" w:rsidR="00D47FF5" w:rsidRPr="00471F3E" w:rsidRDefault="00D47FF5" w:rsidP="00471F3E">
    <w:pPr>
      <w:pStyle w:val="Header"/>
      <w:jc w:val="center"/>
      <w:rPr>
        <w:rFonts w:asciiTheme="majorHAnsi" w:hAnsiTheme="majorHAnsi"/>
        <w:b/>
        <w:bCs/>
        <w:sz w:val="28"/>
        <w:szCs w:val="28"/>
      </w:rPr>
    </w:pPr>
    <w:r w:rsidRPr="00471F3E">
      <w:rPr>
        <w:rFonts w:asciiTheme="majorHAnsi" w:hAnsiTheme="majorHAnsi"/>
        <w:b/>
        <w:bCs/>
        <w:sz w:val="28"/>
        <w:szCs w:val="28"/>
      </w:rPr>
      <w:t>NAIC Insurance Regulator Professional Designation Program</w:t>
    </w:r>
  </w:p>
  <w:p w14:paraId="5ECE1600" w14:textId="44B0617F" w:rsidR="00D47FF5" w:rsidRPr="00471F3E" w:rsidRDefault="00D47FF5" w:rsidP="00471F3E">
    <w:pPr>
      <w:pStyle w:val="Header"/>
      <w:jc w:val="center"/>
      <w:rPr>
        <w:rFonts w:asciiTheme="majorHAnsi" w:hAnsiTheme="majorHAnsi"/>
        <w:b/>
        <w:bCs/>
        <w:sz w:val="28"/>
        <w:szCs w:val="28"/>
      </w:rPr>
    </w:pPr>
    <w:r w:rsidRPr="00471F3E">
      <w:rPr>
        <w:rFonts w:asciiTheme="majorHAnsi" w:hAnsiTheme="majorHAnsi"/>
        <w:b/>
        <w:bCs/>
        <w:sz w:val="28"/>
        <w:szCs w:val="28"/>
      </w:rPr>
      <w:t>Renewal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F6E"/>
    <w:multiLevelType w:val="hybridMultilevel"/>
    <w:tmpl w:val="53565B0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1D2CF8"/>
    <w:multiLevelType w:val="hybridMultilevel"/>
    <w:tmpl w:val="ED54598C"/>
    <w:lvl w:ilvl="0" w:tplc="2CF038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C19"/>
    <w:multiLevelType w:val="hybridMultilevel"/>
    <w:tmpl w:val="7780D55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36E458E"/>
    <w:multiLevelType w:val="hybridMultilevel"/>
    <w:tmpl w:val="59EA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20577"/>
    <w:multiLevelType w:val="multilevel"/>
    <w:tmpl w:val="632E3D10"/>
    <w:lvl w:ilvl="0">
      <w:start w:val="1"/>
      <w:numFmt w:val="decimal"/>
      <w:lvlText w:val="%1."/>
      <w:lvlJc w:val="left"/>
      <w:pPr>
        <w:ind w:left="778" w:hanging="360"/>
      </w:pPr>
    </w:lvl>
    <w:lvl w:ilvl="1">
      <w:start w:val="1"/>
      <w:numFmt w:val="decimal"/>
      <w:isLgl/>
      <w:lvlText w:val="%1.%2"/>
      <w:lvlJc w:val="left"/>
      <w:pPr>
        <w:ind w:left="778" w:hanging="360"/>
      </w:pPr>
      <w:rPr>
        <w:rFonts w:hint="default"/>
        <w:u w:val="single"/>
      </w:rPr>
    </w:lvl>
    <w:lvl w:ilvl="2">
      <w:start w:val="1"/>
      <w:numFmt w:val="decimal"/>
      <w:isLgl/>
      <w:lvlText w:val="%1.%2.%3"/>
      <w:lvlJc w:val="left"/>
      <w:pPr>
        <w:ind w:left="1138" w:hanging="720"/>
      </w:pPr>
      <w:rPr>
        <w:rFonts w:hint="default"/>
        <w:u w:val="single"/>
      </w:rPr>
    </w:lvl>
    <w:lvl w:ilvl="3">
      <w:start w:val="1"/>
      <w:numFmt w:val="decimal"/>
      <w:isLgl/>
      <w:lvlText w:val="%1.%2.%3.%4"/>
      <w:lvlJc w:val="left"/>
      <w:pPr>
        <w:ind w:left="1138" w:hanging="720"/>
      </w:pPr>
      <w:rPr>
        <w:rFonts w:hint="default"/>
        <w:u w:val="single"/>
      </w:rPr>
    </w:lvl>
    <w:lvl w:ilvl="4">
      <w:start w:val="1"/>
      <w:numFmt w:val="decimal"/>
      <w:isLgl/>
      <w:lvlText w:val="%1.%2.%3.%4.%5"/>
      <w:lvlJc w:val="left"/>
      <w:pPr>
        <w:ind w:left="1498" w:hanging="1080"/>
      </w:pPr>
      <w:rPr>
        <w:rFonts w:hint="default"/>
        <w:u w:val="single"/>
      </w:rPr>
    </w:lvl>
    <w:lvl w:ilvl="5">
      <w:start w:val="1"/>
      <w:numFmt w:val="decimal"/>
      <w:isLgl/>
      <w:lvlText w:val="%1.%2.%3.%4.%5.%6"/>
      <w:lvlJc w:val="left"/>
      <w:pPr>
        <w:ind w:left="1498" w:hanging="1080"/>
      </w:pPr>
      <w:rPr>
        <w:rFonts w:hint="default"/>
        <w:u w:val="single"/>
      </w:rPr>
    </w:lvl>
    <w:lvl w:ilvl="6">
      <w:start w:val="1"/>
      <w:numFmt w:val="decimal"/>
      <w:isLgl/>
      <w:lvlText w:val="%1.%2.%3.%4.%5.%6.%7"/>
      <w:lvlJc w:val="left"/>
      <w:pPr>
        <w:ind w:left="1858" w:hanging="1440"/>
      </w:pPr>
      <w:rPr>
        <w:rFonts w:hint="default"/>
        <w:u w:val="single"/>
      </w:rPr>
    </w:lvl>
    <w:lvl w:ilvl="7">
      <w:start w:val="1"/>
      <w:numFmt w:val="decimal"/>
      <w:isLgl/>
      <w:lvlText w:val="%1.%2.%3.%4.%5.%6.%7.%8"/>
      <w:lvlJc w:val="left"/>
      <w:pPr>
        <w:ind w:left="1858" w:hanging="1440"/>
      </w:pPr>
      <w:rPr>
        <w:rFonts w:hint="default"/>
        <w:u w:val="single"/>
      </w:rPr>
    </w:lvl>
    <w:lvl w:ilvl="8">
      <w:start w:val="1"/>
      <w:numFmt w:val="decimal"/>
      <w:isLgl/>
      <w:lvlText w:val="%1.%2.%3.%4.%5.%6.%7.%8.%9"/>
      <w:lvlJc w:val="left"/>
      <w:pPr>
        <w:ind w:left="2218" w:hanging="1800"/>
      </w:pPr>
      <w:rPr>
        <w:rFonts w:hint="default"/>
        <w:u w:val="single"/>
      </w:rPr>
    </w:lvl>
  </w:abstractNum>
  <w:abstractNum w:abstractNumId="5" w15:restartNumberingAfterBreak="0">
    <w:nsid w:val="3A0E6185"/>
    <w:multiLevelType w:val="multilevel"/>
    <w:tmpl w:val="632E3D10"/>
    <w:lvl w:ilvl="0">
      <w:start w:val="1"/>
      <w:numFmt w:val="decimal"/>
      <w:lvlText w:val="%1."/>
      <w:lvlJc w:val="left"/>
      <w:pPr>
        <w:ind w:left="778" w:hanging="360"/>
      </w:pPr>
    </w:lvl>
    <w:lvl w:ilvl="1">
      <w:start w:val="1"/>
      <w:numFmt w:val="decimal"/>
      <w:isLgl/>
      <w:lvlText w:val="%1.%2"/>
      <w:lvlJc w:val="left"/>
      <w:pPr>
        <w:ind w:left="778" w:hanging="360"/>
      </w:pPr>
      <w:rPr>
        <w:rFonts w:hint="default"/>
        <w:u w:val="single"/>
      </w:rPr>
    </w:lvl>
    <w:lvl w:ilvl="2">
      <w:start w:val="1"/>
      <w:numFmt w:val="decimal"/>
      <w:isLgl/>
      <w:lvlText w:val="%1.%2.%3"/>
      <w:lvlJc w:val="left"/>
      <w:pPr>
        <w:ind w:left="1138" w:hanging="720"/>
      </w:pPr>
      <w:rPr>
        <w:rFonts w:hint="default"/>
        <w:u w:val="single"/>
      </w:rPr>
    </w:lvl>
    <w:lvl w:ilvl="3">
      <w:start w:val="1"/>
      <w:numFmt w:val="decimal"/>
      <w:isLgl/>
      <w:lvlText w:val="%1.%2.%3.%4"/>
      <w:lvlJc w:val="left"/>
      <w:pPr>
        <w:ind w:left="1138" w:hanging="720"/>
      </w:pPr>
      <w:rPr>
        <w:rFonts w:hint="default"/>
        <w:u w:val="single"/>
      </w:rPr>
    </w:lvl>
    <w:lvl w:ilvl="4">
      <w:start w:val="1"/>
      <w:numFmt w:val="decimal"/>
      <w:isLgl/>
      <w:lvlText w:val="%1.%2.%3.%4.%5"/>
      <w:lvlJc w:val="left"/>
      <w:pPr>
        <w:ind w:left="1498" w:hanging="1080"/>
      </w:pPr>
      <w:rPr>
        <w:rFonts w:hint="default"/>
        <w:u w:val="single"/>
      </w:rPr>
    </w:lvl>
    <w:lvl w:ilvl="5">
      <w:start w:val="1"/>
      <w:numFmt w:val="decimal"/>
      <w:isLgl/>
      <w:lvlText w:val="%1.%2.%3.%4.%5.%6"/>
      <w:lvlJc w:val="left"/>
      <w:pPr>
        <w:ind w:left="1498" w:hanging="1080"/>
      </w:pPr>
      <w:rPr>
        <w:rFonts w:hint="default"/>
        <w:u w:val="single"/>
      </w:rPr>
    </w:lvl>
    <w:lvl w:ilvl="6">
      <w:start w:val="1"/>
      <w:numFmt w:val="decimal"/>
      <w:isLgl/>
      <w:lvlText w:val="%1.%2.%3.%4.%5.%6.%7"/>
      <w:lvlJc w:val="left"/>
      <w:pPr>
        <w:ind w:left="1858" w:hanging="1440"/>
      </w:pPr>
      <w:rPr>
        <w:rFonts w:hint="default"/>
        <w:u w:val="single"/>
      </w:rPr>
    </w:lvl>
    <w:lvl w:ilvl="7">
      <w:start w:val="1"/>
      <w:numFmt w:val="decimal"/>
      <w:isLgl/>
      <w:lvlText w:val="%1.%2.%3.%4.%5.%6.%7.%8"/>
      <w:lvlJc w:val="left"/>
      <w:pPr>
        <w:ind w:left="1858" w:hanging="1440"/>
      </w:pPr>
      <w:rPr>
        <w:rFonts w:hint="default"/>
        <w:u w:val="single"/>
      </w:rPr>
    </w:lvl>
    <w:lvl w:ilvl="8">
      <w:start w:val="1"/>
      <w:numFmt w:val="decimal"/>
      <w:isLgl/>
      <w:lvlText w:val="%1.%2.%3.%4.%5.%6.%7.%8.%9"/>
      <w:lvlJc w:val="left"/>
      <w:pPr>
        <w:ind w:left="2218" w:hanging="1800"/>
      </w:pPr>
      <w:rPr>
        <w:rFonts w:hint="default"/>
        <w:u w:val="single"/>
      </w:rPr>
    </w:lvl>
  </w:abstractNum>
  <w:abstractNum w:abstractNumId="6" w15:restartNumberingAfterBreak="0">
    <w:nsid w:val="3B3D5353"/>
    <w:multiLevelType w:val="hybridMultilevel"/>
    <w:tmpl w:val="827A1B68"/>
    <w:lvl w:ilvl="0" w:tplc="0352D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D2D36"/>
    <w:multiLevelType w:val="hybridMultilevel"/>
    <w:tmpl w:val="CFA6A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9E06F9"/>
    <w:multiLevelType w:val="multilevel"/>
    <w:tmpl w:val="F0848DBE"/>
    <w:lvl w:ilvl="0">
      <w:start w:val="1"/>
      <w:numFmt w:val="decimal"/>
      <w:lvlText w:val="%1."/>
      <w:lvlJc w:val="left"/>
      <w:pPr>
        <w:ind w:left="360" w:hanging="360"/>
      </w:pPr>
      <w:rPr>
        <w:b/>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15:restartNumberingAfterBreak="0">
    <w:nsid w:val="4F8563C6"/>
    <w:multiLevelType w:val="hybridMultilevel"/>
    <w:tmpl w:val="F836E0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4341DDA"/>
    <w:multiLevelType w:val="multilevel"/>
    <w:tmpl w:val="632E3D10"/>
    <w:lvl w:ilvl="0">
      <w:start w:val="1"/>
      <w:numFmt w:val="decimal"/>
      <w:lvlText w:val="%1."/>
      <w:lvlJc w:val="left"/>
      <w:pPr>
        <w:ind w:left="778" w:hanging="360"/>
      </w:pPr>
    </w:lvl>
    <w:lvl w:ilvl="1">
      <w:start w:val="1"/>
      <w:numFmt w:val="decimal"/>
      <w:isLgl/>
      <w:lvlText w:val="%1.%2"/>
      <w:lvlJc w:val="left"/>
      <w:pPr>
        <w:ind w:left="778" w:hanging="360"/>
      </w:pPr>
      <w:rPr>
        <w:rFonts w:hint="default"/>
        <w:u w:val="single"/>
      </w:rPr>
    </w:lvl>
    <w:lvl w:ilvl="2">
      <w:start w:val="1"/>
      <w:numFmt w:val="decimal"/>
      <w:isLgl/>
      <w:lvlText w:val="%1.%2.%3"/>
      <w:lvlJc w:val="left"/>
      <w:pPr>
        <w:ind w:left="1138" w:hanging="720"/>
      </w:pPr>
      <w:rPr>
        <w:rFonts w:hint="default"/>
        <w:u w:val="single"/>
      </w:rPr>
    </w:lvl>
    <w:lvl w:ilvl="3">
      <w:start w:val="1"/>
      <w:numFmt w:val="decimal"/>
      <w:isLgl/>
      <w:lvlText w:val="%1.%2.%3.%4"/>
      <w:lvlJc w:val="left"/>
      <w:pPr>
        <w:ind w:left="1138" w:hanging="720"/>
      </w:pPr>
      <w:rPr>
        <w:rFonts w:hint="default"/>
        <w:u w:val="single"/>
      </w:rPr>
    </w:lvl>
    <w:lvl w:ilvl="4">
      <w:start w:val="1"/>
      <w:numFmt w:val="decimal"/>
      <w:isLgl/>
      <w:lvlText w:val="%1.%2.%3.%4.%5"/>
      <w:lvlJc w:val="left"/>
      <w:pPr>
        <w:ind w:left="1498" w:hanging="1080"/>
      </w:pPr>
      <w:rPr>
        <w:rFonts w:hint="default"/>
        <w:u w:val="single"/>
      </w:rPr>
    </w:lvl>
    <w:lvl w:ilvl="5">
      <w:start w:val="1"/>
      <w:numFmt w:val="decimal"/>
      <w:isLgl/>
      <w:lvlText w:val="%1.%2.%3.%4.%5.%6"/>
      <w:lvlJc w:val="left"/>
      <w:pPr>
        <w:ind w:left="1498" w:hanging="1080"/>
      </w:pPr>
      <w:rPr>
        <w:rFonts w:hint="default"/>
        <w:u w:val="single"/>
      </w:rPr>
    </w:lvl>
    <w:lvl w:ilvl="6">
      <w:start w:val="1"/>
      <w:numFmt w:val="decimal"/>
      <w:isLgl/>
      <w:lvlText w:val="%1.%2.%3.%4.%5.%6.%7"/>
      <w:lvlJc w:val="left"/>
      <w:pPr>
        <w:ind w:left="1858" w:hanging="1440"/>
      </w:pPr>
      <w:rPr>
        <w:rFonts w:hint="default"/>
        <w:u w:val="single"/>
      </w:rPr>
    </w:lvl>
    <w:lvl w:ilvl="7">
      <w:start w:val="1"/>
      <w:numFmt w:val="decimal"/>
      <w:isLgl/>
      <w:lvlText w:val="%1.%2.%3.%4.%5.%6.%7.%8"/>
      <w:lvlJc w:val="left"/>
      <w:pPr>
        <w:ind w:left="1858" w:hanging="1440"/>
      </w:pPr>
      <w:rPr>
        <w:rFonts w:hint="default"/>
        <w:u w:val="single"/>
      </w:rPr>
    </w:lvl>
    <w:lvl w:ilvl="8">
      <w:start w:val="1"/>
      <w:numFmt w:val="decimal"/>
      <w:isLgl/>
      <w:lvlText w:val="%1.%2.%3.%4.%5.%6.%7.%8.%9"/>
      <w:lvlJc w:val="left"/>
      <w:pPr>
        <w:ind w:left="2218" w:hanging="1800"/>
      </w:pPr>
      <w:rPr>
        <w:rFonts w:hint="default"/>
        <w:u w:val="single"/>
      </w:rPr>
    </w:lvl>
  </w:abstractNum>
  <w:abstractNum w:abstractNumId="11" w15:restartNumberingAfterBreak="0">
    <w:nsid w:val="56DA2635"/>
    <w:multiLevelType w:val="hybridMultilevel"/>
    <w:tmpl w:val="2F5E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3"/>
  </w:num>
  <w:num w:numId="5">
    <w:abstractNumId w:val="11"/>
  </w:num>
  <w:num w:numId="6">
    <w:abstractNumId w:val="0"/>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16385"/>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97"/>
    <w:rsid w:val="00041A93"/>
    <w:rsid w:val="00094A84"/>
    <w:rsid w:val="000E6CF1"/>
    <w:rsid w:val="000F5434"/>
    <w:rsid w:val="00130C3B"/>
    <w:rsid w:val="00176CAE"/>
    <w:rsid w:val="00193DFF"/>
    <w:rsid w:val="00267697"/>
    <w:rsid w:val="0034276A"/>
    <w:rsid w:val="00385304"/>
    <w:rsid w:val="0038680C"/>
    <w:rsid w:val="00430360"/>
    <w:rsid w:val="00471F3E"/>
    <w:rsid w:val="0049783C"/>
    <w:rsid w:val="00502348"/>
    <w:rsid w:val="005106B4"/>
    <w:rsid w:val="0055754B"/>
    <w:rsid w:val="005951CA"/>
    <w:rsid w:val="0059573F"/>
    <w:rsid w:val="005A5FC1"/>
    <w:rsid w:val="005C4CB7"/>
    <w:rsid w:val="007050ED"/>
    <w:rsid w:val="00713DD2"/>
    <w:rsid w:val="00743D1F"/>
    <w:rsid w:val="00773E2D"/>
    <w:rsid w:val="007B7A8F"/>
    <w:rsid w:val="00813766"/>
    <w:rsid w:val="008423AC"/>
    <w:rsid w:val="00876D1D"/>
    <w:rsid w:val="00880640"/>
    <w:rsid w:val="008E532A"/>
    <w:rsid w:val="009952EA"/>
    <w:rsid w:val="009C26C2"/>
    <w:rsid w:val="00A325B9"/>
    <w:rsid w:val="00A4086B"/>
    <w:rsid w:val="00A515CC"/>
    <w:rsid w:val="00A837A1"/>
    <w:rsid w:val="00AE2A6D"/>
    <w:rsid w:val="00AF68AD"/>
    <w:rsid w:val="00B37FE1"/>
    <w:rsid w:val="00BE721D"/>
    <w:rsid w:val="00BF4F6D"/>
    <w:rsid w:val="00C42E7F"/>
    <w:rsid w:val="00C7200F"/>
    <w:rsid w:val="00D47FF5"/>
    <w:rsid w:val="00DC1F8E"/>
    <w:rsid w:val="00EA6C38"/>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BBA8A0"/>
  <w15:chartTrackingRefBased/>
  <w15:docId w15:val="{872D2827-B625-4B89-8D65-9449928D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97"/>
    <w:rPr>
      <w:rFonts w:asciiTheme="minorHAnsi" w:hAnsiTheme="minorHAnsi" w:cs="Arial"/>
      <w:szCs w:val="22"/>
    </w:rPr>
  </w:style>
  <w:style w:type="paragraph" w:styleId="Heading1">
    <w:name w:val="heading 1"/>
    <w:basedOn w:val="Normal"/>
    <w:next w:val="Normal"/>
    <w:link w:val="Heading1Char"/>
    <w:qFormat/>
    <w:rsid w:val="005C4CB7"/>
    <w:pPr>
      <w:keepNext/>
      <w:keepLines/>
      <w:spacing w:before="200" w:after="0"/>
      <w:outlineLvl w:val="0"/>
    </w:pPr>
    <w:rPr>
      <w:rFonts w:asciiTheme="majorHAnsi" w:eastAsiaTheme="majorEastAsia" w:hAnsiTheme="majorHAnsi" w:cstheme="majorBidi"/>
      <w:b/>
      <w:bCs/>
      <w:color w:val="4F81BD" w:themeColor="accent1"/>
      <w:sz w:val="26"/>
      <w:szCs w:val="28"/>
    </w:rPr>
  </w:style>
  <w:style w:type="paragraph" w:styleId="Heading2">
    <w:name w:val="heading 2"/>
    <w:basedOn w:val="Normal"/>
    <w:next w:val="Normal"/>
    <w:link w:val="Heading2Char"/>
    <w:unhideWhenUsed/>
    <w:qFormat/>
    <w:rsid w:val="00267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CB7"/>
    <w:rPr>
      <w:rFonts w:asciiTheme="majorHAnsi" w:eastAsiaTheme="majorEastAsia" w:hAnsiTheme="majorHAnsi" w:cstheme="majorBidi"/>
      <w:b/>
      <w:bCs/>
      <w:color w:val="4F81BD" w:themeColor="accent1"/>
      <w:sz w:val="26"/>
      <w:szCs w:val="28"/>
    </w:rPr>
  </w:style>
  <w:style w:type="character" w:customStyle="1" w:styleId="Heading2Char">
    <w:name w:val="Heading 2 Char"/>
    <w:basedOn w:val="DefaultParagraphFont"/>
    <w:link w:val="Heading2"/>
    <w:uiPriority w:val="9"/>
    <w:rsid w:val="0026769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267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97"/>
    <w:rPr>
      <w:rFonts w:asciiTheme="minorHAnsi" w:hAnsiTheme="minorHAnsi" w:cs="Arial"/>
      <w:szCs w:val="22"/>
    </w:rPr>
  </w:style>
  <w:style w:type="paragraph" w:styleId="Footer">
    <w:name w:val="footer"/>
    <w:basedOn w:val="Normal"/>
    <w:link w:val="FooterChar"/>
    <w:uiPriority w:val="99"/>
    <w:unhideWhenUsed/>
    <w:rsid w:val="00267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97"/>
    <w:rPr>
      <w:rFonts w:asciiTheme="minorHAnsi" w:hAnsiTheme="minorHAnsi" w:cs="Arial"/>
      <w:szCs w:val="22"/>
    </w:rPr>
  </w:style>
  <w:style w:type="paragraph" w:styleId="ListParagraph">
    <w:name w:val="List Paragraph"/>
    <w:basedOn w:val="Normal"/>
    <w:uiPriority w:val="34"/>
    <w:qFormat/>
    <w:rsid w:val="00267697"/>
    <w:pPr>
      <w:ind w:left="720"/>
      <w:contextualSpacing/>
    </w:pPr>
  </w:style>
  <w:style w:type="table" w:styleId="TableGrid">
    <w:name w:val="Table Grid"/>
    <w:basedOn w:val="TableNormal"/>
    <w:uiPriority w:val="59"/>
    <w:rsid w:val="00267697"/>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697"/>
    <w:rPr>
      <w:color w:val="0000FF" w:themeColor="hyperlink"/>
      <w:u w:val="single"/>
    </w:rPr>
  </w:style>
  <w:style w:type="character" w:styleId="CommentReference">
    <w:name w:val="annotation reference"/>
    <w:basedOn w:val="DefaultParagraphFont"/>
    <w:uiPriority w:val="99"/>
    <w:semiHidden/>
    <w:unhideWhenUsed/>
    <w:rsid w:val="009C26C2"/>
    <w:rPr>
      <w:sz w:val="16"/>
      <w:szCs w:val="16"/>
    </w:rPr>
  </w:style>
  <w:style w:type="paragraph" w:styleId="CommentText">
    <w:name w:val="annotation text"/>
    <w:basedOn w:val="Normal"/>
    <w:link w:val="CommentTextChar"/>
    <w:uiPriority w:val="99"/>
    <w:semiHidden/>
    <w:unhideWhenUsed/>
    <w:rsid w:val="009C26C2"/>
    <w:pPr>
      <w:spacing w:line="240" w:lineRule="auto"/>
    </w:pPr>
    <w:rPr>
      <w:sz w:val="20"/>
      <w:szCs w:val="20"/>
    </w:rPr>
  </w:style>
  <w:style w:type="character" w:customStyle="1" w:styleId="CommentTextChar">
    <w:name w:val="Comment Text Char"/>
    <w:basedOn w:val="DefaultParagraphFont"/>
    <w:link w:val="CommentText"/>
    <w:uiPriority w:val="99"/>
    <w:semiHidden/>
    <w:rsid w:val="009C26C2"/>
    <w:rPr>
      <w:rFonts w:asciiTheme="minorHAnsi" w:hAnsiTheme="minorHAnsi" w:cs="Arial"/>
      <w:sz w:val="20"/>
      <w:szCs w:val="20"/>
    </w:rPr>
  </w:style>
  <w:style w:type="paragraph" w:styleId="CommentSubject">
    <w:name w:val="annotation subject"/>
    <w:basedOn w:val="CommentText"/>
    <w:next w:val="CommentText"/>
    <w:link w:val="CommentSubjectChar"/>
    <w:uiPriority w:val="99"/>
    <w:semiHidden/>
    <w:unhideWhenUsed/>
    <w:rsid w:val="009C26C2"/>
    <w:rPr>
      <w:b/>
      <w:bCs/>
    </w:rPr>
  </w:style>
  <w:style w:type="character" w:customStyle="1" w:styleId="CommentSubjectChar">
    <w:name w:val="Comment Subject Char"/>
    <w:basedOn w:val="CommentTextChar"/>
    <w:link w:val="CommentSubject"/>
    <w:uiPriority w:val="99"/>
    <w:semiHidden/>
    <w:rsid w:val="009C26C2"/>
    <w:rPr>
      <w:rFonts w:asciiTheme="minorHAnsi" w:hAnsiTheme="minorHAnsi" w:cs="Arial"/>
      <w:b/>
      <w:bCs/>
      <w:sz w:val="20"/>
      <w:szCs w:val="20"/>
    </w:rPr>
  </w:style>
  <w:style w:type="paragraph" w:styleId="Revision">
    <w:name w:val="Revision"/>
    <w:hidden/>
    <w:uiPriority w:val="99"/>
    <w:semiHidden/>
    <w:rsid w:val="009C26C2"/>
    <w:pPr>
      <w:spacing w:after="0" w:line="240" w:lineRule="auto"/>
    </w:pPr>
    <w:rPr>
      <w:rFonts w:asciiTheme="minorHAnsi" w:hAnsiTheme="minorHAnsi" w:cs="Arial"/>
      <w:szCs w:val="22"/>
    </w:rPr>
  </w:style>
  <w:style w:type="paragraph" w:styleId="BalloonText">
    <w:name w:val="Balloon Text"/>
    <w:basedOn w:val="Normal"/>
    <w:link w:val="BalloonTextChar"/>
    <w:unhideWhenUsed/>
    <w:rsid w:val="009C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C26C2"/>
    <w:rPr>
      <w:rFonts w:ascii="Segoe UI" w:hAnsi="Segoe UI" w:cs="Segoe UI"/>
      <w:sz w:val="18"/>
      <w:szCs w:val="18"/>
    </w:rPr>
  </w:style>
  <w:style w:type="paragraph" w:styleId="TOCHeading">
    <w:name w:val="TOC Heading"/>
    <w:basedOn w:val="Heading1"/>
    <w:next w:val="Normal"/>
    <w:uiPriority w:val="39"/>
    <w:unhideWhenUsed/>
    <w:qFormat/>
    <w:rsid w:val="007B7A8F"/>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7B7A8F"/>
    <w:pPr>
      <w:spacing w:after="100"/>
    </w:pPr>
    <w:rPr>
      <w:color w:val="1F497D" w:themeColor="text2"/>
    </w:rPr>
  </w:style>
  <w:style w:type="paragraph" w:styleId="TOC2">
    <w:name w:val="toc 2"/>
    <w:basedOn w:val="Normal"/>
    <w:next w:val="Normal"/>
    <w:autoRedefine/>
    <w:uiPriority w:val="39"/>
    <w:unhideWhenUsed/>
    <w:rsid w:val="007B7A8F"/>
    <w:pPr>
      <w:spacing w:after="100"/>
      <w:ind w:left="240"/>
    </w:pPr>
  </w:style>
  <w:style w:type="numbering" w:customStyle="1" w:styleId="NoList1">
    <w:name w:val="No List1"/>
    <w:next w:val="NoList"/>
    <w:uiPriority w:val="99"/>
    <w:semiHidden/>
    <w:unhideWhenUsed/>
    <w:rsid w:val="00094A84"/>
  </w:style>
  <w:style w:type="table" w:customStyle="1" w:styleId="TableGrid1">
    <w:name w:val="Table Grid1"/>
    <w:basedOn w:val="TableNormal"/>
    <w:next w:val="TableGrid"/>
    <w:uiPriority w:val="59"/>
    <w:rsid w:val="00094A84"/>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4A84"/>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60E7-5D39-4716-9D08-094F6D76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Melissa</dc:creator>
  <cp:keywords/>
  <dc:description/>
  <cp:lastModifiedBy>Taylor, Lesa</cp:lastModifiedBy>
  <cp:revision>2</cp:revision>
  <cp:lastPrinted>2020-07-27T19:15:00Z</cp:lastPrinted>
  <dcterms:created xsi:type="dcterms:W3CDTF">2021-02-10T18:25:00Z</dcterms:created>
  <dcterms:modified xsi:type="dcterms:W3CDTF">2021-02-10T18:25:00Z</dcterms:modified>
</cp:coreProperties>
</file>