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28B2F" w14:textId="77777777" w:rsidR="00DC1A8D" w:rsidRDefault="00DC1A8D" w:rsidP="00DC1A8D">
      <w:pPr>
        <w:pStyle w:val="Heading5"/>
        <w:spacing w:before="79"/>
        <w:ind w:left="100"/>
      </w:pPr>
      <w:r>
        <w:t>Part III - Section III – Appendix C</w:t>
      </w:r>
    </w:p>
    <w:p w14:paraId="10B23B01" w14:textId="77777777" w:rsidR="00DC1A8D" w:rsidRDefault="00DC1A8D" w:rsidP="00DC1A8D">
      <w:pPr>
        <w:pStyle w:val="BodyText"/>
        <w:spacing w:before="3"/>
        <w:rPr>
          <w:b/>
          <w:sz w:val="24"/>
        </w:rPr>
      </w:pPr>
    </w:p>
    <w:p w14:paraId="208E604C" w14:textId="77777777" w:rsidR="00DC1A8D" w:rsidRDefault="00DC1A8D" w:rsidP="00DC1A8D">
      <w:pPr>
        <w:ind w:left="100"/>
        <w:jc w:val="both"/>
        <w:rPr>
          <w:b/>
          <w:sz w:val="20"/>
        </w:rPr>
      </w:pPr>
      <w:r>
        <w:rPr>
          <w:b/>
          <w:sz w:val="20"/>
        </w:rPr>
        <w:t>Sample State Licensing Department Internal Training Manual</w:t>
      </w:r>
    </w:p>
    <w:p w14:paraId="1111004E" w14:textId="77777777" w:rsidR="00DC1A8D" w:rsidRDefault="00DC1A8D" w:rsidP="00DC1A8D">
      <w:pPr>
        <w:pStyle w:val="BodyText"/>
        <w:rPr>
          <w:b/>
          <w:sz w:val="24"/>
        </w:rPr>
      </w:pPr>
    </w:p>
    <w:p w14:paraId="544568C2" w14:textId="77777777" w:rsidR="00DC1A8D" w:rsidRDefault="00DC1A8D" w:rsidP="00DC1A8D">
      <w:pPr>
        <w:pStyle w:val="BodyText"/>
        <w:spacing w:before="1"/>
        <w:ind w:left="100"/>
      </w:pPr>
      <w:r>
        <w:t>This Appendix contains a sample outline and some suggested text for a state insurance department to use to create an internal training manual for licensing staff. This document has not been formally adopted by the PLWG or NAIC.</w:t>
      </w:r>
    </w:p>
    <w:p w14:paraId="05D0ABB4" w14:textId="77777777" w:rsidR="00DC1A8D" w:rsidRDefault="00DC1A8D" w:rsidP="00DC1A8D">
      <w:pPr>
        <w:pStyle w:val="BodyText"/>
        <w:spacing w:before="4"/>
        <w:rPr>
          <w:sz w:val="24"/>
        </w:rPr>
      </w:pPr>
    </w:p>
    <w:p w14:paraId="3157C7F9" w14:textId="77777777" w:rsidR="00DC1A8D" w:rsidRDefault="00DC1A8D" w:rsidP="00DC1A8D">
      <w:pPr>
        <w:pStyle w:val="BodyText"/>
        <w:ind w:left="100"/>
        <w:jc w:val="both"/>
      </w:pPr>
      <w:r>
        <w:t>Introduction</w:t>
      </w:r>
    </w:p>
    <w:p w14:paraId="0F9F5C0C" w14:textId="77777777" w:rsidR="00DC1A8D" w:rsidRDefault="00DC1A8D" w:rsidP="00DC1A8D">
      <w:pPr>
        <w:pStyle w:val="BodyText"/>
        <w:spacing w:before="3"/>
        <w:rPr>
          <w:sz w:val="24"/>
        </w:rPr>
      </w:pPr>
    </w:p>
    <w:p w14:paraId="6F9B01DD" w14:textId="77777777" w:rsidR="00DC1A8D" w:rsidRDefault="00DC1A8D" w:rsidP="00DC1A8D">
      <w:pPr>
        <w:pStyle w:val="BodyText"/>
        <w:tabs>
          <w:tab w:val="left" w:pos="1333"/>
          <w:tab w:val="left" w:pos="1806"/>
          <w:tab w:val="left" w:pos="6527"/>
        </w:tabs>
        <w:spacing w:before="1"/>
        <w:ind w:left="100" w:right="117"/>
      </w:pPr>
      <w:r>
        <w:t>The</w:t>
      </w:r>
      <w:r>
        <w:rPr>
          <w:spacing w:val="5"/>
        </w:rPr>
        <w:t xml:space="preserve"> </w:t>
      </w:r>
      <w:r>
        <w:t>State</w:t>
      </w:r>
      <w:r>
        <w:rPr>
          <w:spacing w:val="5"/>
        </w:rPr>
        <w:t xml:space="preserve"> </w:t>
      </w:r>
      <w:r>
        <w:t>of</w:t>
      </w:r>
      <w:r>
        <w:rPr>
          <w:u w:val="single"/>
        </w:rPr>
        <w:tab/>
      </w:r>
      <w:r>
        <w:rPr>
          <w:u w:val="single"/>
        </w:rPr>
        <w:tab/>
      </w:r>
      <w:r>
        <w:t>Insurance Department is required by the</w:t>
      </w:r>
      <w:r>
        <w:rPr>
          <w:spacing w:val="30"/>
        </w:rPr>
        <w:t xml:space="preserve"> </w:t>
      </w:r>
      <w:r>
        <w:t>Code</w:t>
      </w:r>
      <w:r>
        <w:rPr>
          <w:spacing w:val="4"/>
        </w:rPr>
        <w:t xml:space="preserve"> </w:t>
      </w:r>
      <w:r>
        <w:t>of</w:t>
      </w:r>
      <w:r>
        <w:rPr>
          <w:u w:val="single"/>
        </w:rPr>
        <w:tab/>
      </w:r>
      <w:r>
        <w:t>to license individuals to sell insurance</w:t>
      </w:r>
      <w:r>
        <w:rPr>
          <w:spacing w:val="33"/>
        </w:rPr>
        <w:t xml:space="preserve"> </w:t>
      </w:r>
      <w:r>
        <w:t>in</w:t>
      </w:r>
      <w:r>
        <w:rPr>
          <w:spacing w:val="6"/>
        </w:rPr>
        <w:t xml:space="preserve"> </w:t>
      </w:r>
      <w:r>
        <w:t>the state</w:t>
      </w:r>
      <w:r>
        <w:rPr>
          <w:spacing w:val="-1"/>
        </w:rPr>
        <w:t xml:space="preserve"> </w:t>
      </w:r>
      <w:r>
        <w:t>of</w:t>
      </w:r>
      <w:r>
        <w:rPr>
          <w:u w:val="single"/>
        </w:rPr>
        <w:t xml:space="preserve"> </w:t>
      </w:r>
      <w:r>
        <w:rPr>
          <w:u w:val="single"/>
        </w:rPr>
        <w:tab/>
      </w:r>
      <w:r>
        <w:t>.</w:t>
      </w:r>
      <w:r>
        <w:rPr>
          <w:spacing w:val="-5"/>
        </w:rPr>
        <w:t xml:space="preserve"> </w:t>
      </w:r>
      <w:r>
        <w:t>The</w:t>
      </w:r>
      <w:r>
        <w:rPr>
          <w:spacing w:val="-3"/>
        </w:rPr>
        <w:t xml:space="preserve"> </w:t>
      </w:r>
      <w:r>
        <w:t>Producer</w:t>
      </w:r>
      <w:r>
        <w:rPr>
          <w:spacing w:val="-3"/>
        </w:rPr>
        <w:t xml:space="preserve"> </w:t>
      </w:r>
      <w:r>
        <w:t>Licensing</w:t>
      </w:r>
      <w:r>
        <w:rPr>
          <w:spacing w:val="-4"/>
        </w:rPr>
        <w:t xml:space="preserve"> </w:t>
      </w:r>
      <w:r>
        <w:t>Division’s</w:t>
      </w:r>
      <w:r>
        <w:rPr>
          <w:spacing w:val="-3"/>
        </w:rPr>
        <w:t xml:space="preserve"> </w:t>
      </w:r>
      <w:r>
        <w:t>responsibility</w:t>
      </w:r>
      <w:r>
        <w:rPr>
          <w:spacing w:val="-3"/>
        </w:rPr>
        <w:t xml:space="preserve"> </w:t>
      </w:r>
      <w:r>
        <w:t>is</w:t>
      </w:r>
      <w:r>
        <w:rPr>
          <w:spacing w:val="-3"/>
        </w:rPr>
        <w:t xml:space="preserve"> </w:t>
      </w:r>
      <w:r>
        <w:t>to</w:t>
      </w:r>
      <w:r>
        <w:rPr>
          <w:spacing w:val="-2"/>
        </w:rPr>
        <w:t xml:space="preserve"> </w:t>
      </w:r>
      <w:r>
        <w:t>make</w:t>
      </w:r>
      <w:r>
        <w:rPr>
          <w:spacing w:val="-3"/>
        </w:rPr>
        <w:t xml:space="preserve"> </w:t>
      </w:r>
      <w:r>
        <w:t>sure</w:t>
      </w:r>
      <w:r>
        <w:rPr>
          <w:spacing w:val="-3"/>
        </w:rPr>
        <w:t xml:space="preserve"> </w:t>
      </w:r>
      <w:r>
        <w:t>this</w:t>
      </w:r>
      <w:r>
        <w:rPr>
          <w:spacing w:val="-3"/>
        </w:rPr>
        <w:t xml:space="preserve"> </w:t>
      </w:r>
      <w:r>
        <w:t>is</w:t>
      </w:r>
      <w:r>
        <w:rPr>
          <w:spacing w:val="-3"/>
        </w:rPr>
        <w:t xml:space="preserve"> </w:t>
      </w:r>
      <w:r>
        <w:t>carried</w:t>
      </w:r>
      <w:r>
        <w:rPr>
          <w:spacing w:val="-4"/>
        </w:rPr>
        <w:t xml:space="preserve"> </w:t>
      </w:r>
      <w:r>
        <w:t>out</w:t>
      </w:r>
      <w:r>
        <w:rPr>
          <w:spacing w:val="-5"/>
        </w:rPr>
        <w:t xml:space="preserve"> </w:t>
      </w:r>
      <w:r>
        <w:t>as</w:t>
      </w:r>
      <w:r>
        <w:rPr>
          <w:spacing w:val="-5"/>
        </w:rPr>
        <w:t xml:space="preserve"> </w:t>
      </w:r>
      <w:r>
        <w:t>written.</w:t>
      </w:r>
    </w:p>
    <w:p w14:paraId="28A35C65" w14:textId="77777777" w:rsidR="00DC1A8D" w:rsidRDefault="00DC1A8D" w:rsidP="00DC1A8D">
      <w:pPr>
        <w:pStyle w:val="BodyText"/>
        <w:spacing w:before="4"/>
        <w:rPr>
          <w:sz w:val="24"/>
        </w:rPr>
      </w:pPr>
    </w:p>
    <w:p w14:paraId="1E1C51C1" w14:textId="77777777" w:rsidR="00DC1A8D" w:rsidRDefault="00DC1A8D" w:rsidP="00DC1A8D">
      <w:pPr>
        <w:pStyle w:val="BodyText"/>
        <w:tabs>
          <w:tab w:val="left" w:pos="1045"/>
        </w:tabs>
        <w:ind w:left="100" w:right="115"/>
        <w:jc w:val="both"/>
      </w:pPr>
      <w:r>
        <w:t>The Producer Licensing Division is governed by laws and regulations adopted by the commissioner to provide the basic details necessary to implement statutory requirements. Regulations most likely to be of interest to employees in this division are</w:t>
      </w:r>
      <w:r>
        <w:rPr>
          <w:u w:val="single"/>
        </w:rPr>
        <w:t xml:space="preserve"> </w:t>
      </w:r>
      <w:r>
        <w:rPr>
          <w:u w:val="single"/>
        </w:rPr>
        <w:tab/>
      </w:r>
      <w:r>
        <w:t>. A brief description of each is found in the</w:t>
      </w:r>
      <w:r>
        <w:rPr>
          <w:spacing w:val="-24"/>
        </w:rPr>
        <w:t xml:space="preserve"> </w:t>
      </w:r>
      <w:r>
        <w:t>glossary.</w:t>
      </w:r>
    </w:p>
    <w:p w14:paraId="3F792265" w14:textId="77777777" w:rsidR="00DC1A8D" w:rsidRDefault="00DC1A8D" w:rsidP="00DC1A8D">
      <w:pPr>
        <w:pStyle w:val="BodyText"/>
        <w:spacing w:before="3"/>
        <w:rPr>
          <w:sz w:val="24"/>
        </w:rPr>
      </w:pPr>
    </w:p>
    <w:p w14:paraId="252948E5" w14:textId="77777777" w:rsidR="00DC1A8D" w:rsidRDefault="00DC1A8D" w:rsidP="00DC1A8D">
      <w:pPr>
        <w:pStyle w:val="BodyText"/>
        <w:spacing w:before="1"/>
        <w:ind w:left="100" w:right="111"/>
        <w:jc w:val="both"/>
      </w:pPr>
      <w:r>
        <w:t xml:space="preserve">The Continuing Education Program was established to provide producers with information to keep them informed of new laws, rules and regulations governing the insurance industry. It also serves the consumer by providing licensed continuing education providers to industry personnel so that they may provide a more informative means of communication. Many other states require continuing education hours. In an effort to aid the process, the department, like most states, participates in a reciprocal program where we accept hours from other </w:t>
      </w:r>
      <w:proofErr w:type="gramStart"/>
      <w:r>
        <w:t>states</w:t>
      </w:r>
      <w:proofErr w:type="gramEnd"/>
      <w:r>
        <w:t xml:space="preserve"> and they do the same for our resident producers.</w:t>
      </w:r>
    </w:p>
    <w:p w14:paraId="3BDE489E" w14:textId="77777777" w:rsidR="00DC1A8D" w:rsidRDefault="00DC1A8D" w:rsidP="00DC1A8D">
      <w:pPr>
        <w:pStyle w:val="BodyText"/>
        <w:spacing w:before="4"/>
        <w:rPr>
          <w:sz w:val="24"/>
        </w:rPr>
      </w:pPr>
    </w:p>
    <w:p w14:paraId="59949D8E" w14:textId="77777777" w:rsidR="00DC1A8D" w:rsidRDefault="00DC1A8D" w:rsidP="00DC1A8D">
      <w:pPr>
        <w:pStyle w:val="BodyText"/>
        <w:ind w:left="100" w:right="115"/>
        <w:jc w:val="both"/>
      </w:pPr>
      <w:r>
        <w:t xml:space="preserve">This resource manual is compiled to serve as a guide to employees in the insurance department who work directly and/or indirectly with the Producer Licensing Division. It contains pertinent regulatory information that is applicable to the </w:t>
      </w:r>
      <w:proofErr w:type="spellStart"/>
      <w:r>
        <w:t>prelicensing</w:t>
      </w:r>
      <w:proofErr w:type="spellEnd"/>
      <w:r>
        <w:t xml:space="preserve"> education, testing, licensing, license renewal and continuing education requirements. This manual will be </w:t>
      </w:r>
      <w:proofErr w:type="gramStart"/>
      <w:r>
        <w:t>used  as</w:t>
      </w:r>
      <w:proofErr w:type="gramEnd"/>
      <w:r>
        <w:t xml:space="preserve"> a training guide for new employees and as a reference guide for other</w:t>
      </w:r>
      <w:r>
        <w:rPr>
          <w:spacing w:val="-26"/>
        </w:rPr>
        <w:t xml:space="preserve"> </w:t>
      </w:r>
      <w:r>
        <w:t>employees.</w:t>
      </w:r>
    </w:p>
    <w:p w14:paraId="356D275B" w14:textId="77777777" w:rsidR="00DC1A8D" w:rsidRDefault="00DC1A8D" w:rsidP="00DC1A8D">
      <w:pPr>
        <w:pStyle w:val="BodyText"/>
        <w:spacing w:before="3"/>
        <w:rPr>
          <w:sz w:val="24"/>
        </w:rPr>
      </w:pPr>
    </w:p>
    <w:p w14:paraId="378B8E93" w14:textId="77777777" w:rsidR="00DC1A8D" w:rsidRDefault="00DC1A8D" w:rsidP="00DC1A8D">
      <w:pPr>
        <w:pStyle w:val="BodyText"/>
        <w:spacing w:before="1"/>
        <w:ind w:left="100"/>
        <w:jc w:val="both"/>
      </w:pPr>
      <w:r>
        <w:t>Contents</w:t>
      </w:r>
    </w:p>
    <w:p w14:paraId="7FE95FEF" w14:textId="77777777" w:rsidR="00DC1A8D" w:rsidRDefault="00DC1A8D" w:rsidP="00DC1A8D">
      <w:pPr>
        <w:pStyle w:val="BodyText"/>
        <w:spacing w:before="4"/>
        <w:rPr>
          <w:sz w:val="24"/>
        </w:rPr>
      </w:pPr>
    </w:p>
    <w:p w14:paraId="37125F6B" w14:textId="77777777" w:rsidR="00DC1A8D" w:rsidRDefault="00DC1A8D" w:rsidP="00DC1A8D">
      <w:pPr>
        <w:pStyle w:val="BodyText"/>
        <w:ind w:left="100" w:right="7902"/>
      </w:pPr>
      <w:r>
        <w:t xml:space="preserve">Division Organization Chart </w:t>
      </w:r>
      <w:proofErr w:type="spellStart"/>
      <w:r>
        <w:t>Prelicensing</w:t>
      </w:r>
      <w:proofErr w:type="spellEnd"/>
      <w:r>
        <w:t xml:space="preserve"> Information Testing Information Licensing Information Renewal Information</w:t>
      </w:r>
    </w:p>
    <w:p w14:paraId="56E34EA2" w14:textId="77777777" w:rsidR="00DC1A8D" w:rsidRDefault="00DC1A8D" w:rsidP="00DC1A8D">
      <w:pPr>
        <w:pStyle w:val="BodyText"/>
        <w:ind w:left="100" w:right="7413"/>
      </w:pPr>
      <w:r>
        <w:t>Continuing Education Information Miscellaneous Forms</w:t>
      </w:r>
    </w:p>
    <w:p w14:paraId="694C709F" w14:textId="77777777" w:rsidR="00DC1A8D" w:rsidRDefault="00DC1A8D" w:rsidP="00DC1A8D">
      <w:pPr>
        <w:pStyle w:val="BodyText"/>
        <w:spacing w:before="1"/>
        <w:ind w:left="100" w:right="8842"/>
      </w:pPr>
      <w:r>
        <w:t>Exhibits Glossary</w:t>
      </w:r>
    </w:p>
    <w:p w14:paraId="34896073" w14:textId="77777777" w:rsidR="00DC1A8D" w:rsidRDefault="00DC1A8D" w:rsidP="00DC1A8D">
      <w:pPr>
        <w:pStyle w:val="BodyText"/>
        <w:spacing w:before="4"/>
        <w:rPr>
          <w:sz w:val="24"/>
        </w:rPr>
      </w:pPr>
    </w:p>
    <w:p w14:paraId="1545E9B5" w14:textId="77777777" w:rsidR="00DC1A8D" w:rsidRDefault="00DC1A8D" w:rsidP="00DC1A8D">
      <w:pPr>
        <w:pStyle w:val="BodyText"/>
        <w:spacing w:before="1"/>
        <w:ind w:left="100"/>
        <w:jc w:val="both"/>
      </w:pPr>
      <w:r>
        <w:t>Answering Calls</w:t>
      </w:r>
    </w:p>
    <w:p w14:paraId="362374A2" w14:textId="77777777" w:rsidR="00DC1A8D" w:rsidRDefault="00DC1A8D" w:rsidP="00DC1A8D">
      <w:pPr>
        <w:pStyle w:val="BodyText"/>
        <w:spacing w:before="2"/>
        <w:rPr>
          <w:sz w:val="24"/>
        </w:rPr>
      </w:pPr>
    </w:p>
    <w:p w14:paraId="093E4751" w14:textId="77777777" w:rsidR="00DC1A8D" w:rsidRDefault="00DC1A8D" w:rsidP="00DC1A8D">
      <w:pPr>
        <w:pStyle w:val="ListParagraph"/>
        <w:numPr>
          <w:ilvl w:val="1"/>
          <w:numId w:val="3"/>
        </w:numPr>
        <w:tabs>
          <w:tab w:val="left" w:pos="819"/>
          <w:tab w:val="left" w:pos="820"/>
        </w:tabs>
        <w:spacing w:before="1"/>
        <w:rPr>
          <w:sz w:val="20"/>
        </w:rPr>
      </w:pPr>
      <w:r>
        <w:rPr>
          <w:sz w:val="20"/>
        </w:rPr>
        <w:t>Answer promptly (before the third ring if</w:t>
      </w:r>
      <w:r>
        <w:rPr>
          <w:spacing w:val="-19"/>
          <w:sz w:val="20"/>
        </w:rPr>
        <w:t xml:space="preserve"> </w:t>
      </w:r>
      <w:r>
        <w:rPr>
          <w:sz w:val="20"/>
        </w:rPr>
        <w:t>possible).</w:t>
      </w:r>
    </w:p>
    <w:p w14:paraId="3542A772" w14:textId="77777777" w:rsidR="00DC1A8D" w:rsidRDefault="00DC1A8D" w:rsidP="00DC1A8D">
      <w:pPr>
        <w:pStyle w:val="ListParagraph"/>
        <w:numPr>
          <w:ilvl w:val="1"/>
          <w:numId w:val="3"/>
        </w:numPr>
        <w:tabs>
          <w:tab w:val="left" w:pos="820"/>
        </w:tabs>
        <w:ind w:right="115"/>
        <w:jc w:val="both"/>
        <w:rPr>
          <w:sz w:val="20"/>
        </w:rPr>
      </w:pPr>
      <w:r>
        <w:rPr>
          <w:sz w:val="20"/>
        </w:rPr>
        <w:t>Before picking up the receiver, discontinue any other conversation or activity such as eating, typing, etc., that can be heard by the</w:t>
      </w:r>
      <w:r>
        <w:rPr>
          <w:spacing w:val="-8"/>
          <w:sz w:val="20"/>
        </w:rPr>
        <w:t xml:space="preserve"> </w:t>
      </w:r>
      <w:r>
        <w:rPr>
          <w:sz w:val="20"/>
        </w:rPr>
        <w:t>caller.</w:t>
      </w:r>
    </w:p>
    <w:p w14:paraId="591EA305" w14:textId="77777777" w:rsidR="00DC1A8D" w:rsidRDefault="00DC1A8D" w:rsidP="00DC1A8D">
      <w:pPr>
        <w:pStyle w:val="ListParagraph"/>
        <w:numPr>
          <w:ilvl w:val="1"/>
          <w:numId w:val="3"/>
        </w:numPr>
        <w:tabs>
          <w:tab w:val="left" w:pos="819"/>
          <w:tab w:val="left" w:pos="820"/>
        </w:tabs>
        <w:rPr>
          <w:sz w:val="20"/>
        </w:rPr>
      </w:pPr>
      <w:r>
        <w:rPr>
          <w:sz w:val="20"/>
        </w:rPr>
        <w:t>Speak clearly and distinctly in a pleasant tone of</w:t>
      </w:r>
      <w:r>
        <w:rPr>
          <w:spacing w:val="-34"/>
          <w:sz w:val="20"/>
        </w:rPr>
        <w:t xml:space="preserve"> </w:t>
      </w:r>
      <w:r>
        <w:rPr>
          <w:sz w:val="20"/>
        </w:rPr>
        <w:t>voice.</w:t>
      </w:r>
    </w:p>
    <w:p w14:paraId="0760D228" w14:textId="77777777" w:rsidR="00DC1A8D" w:rsidRDefault="00DC1A8D" w:rsidP="00DC1A8D">
      <w:pPr>
        <w:pStyle w:val="ListParagraph"/>
        <w:numPr>
          <w:ilvl w:val="1"/>
          <w:numId w:val="3"/>
        </w:numPr>
        <w:tabs>
          <w:tab w:val="left" w:pos="820"/>
        </w:tabs>
        <w:ind w:right="116"/>
        <w:jc w:val="both"/>
        <w:rPr>
          <w:sz w:val="20"/>
        </w:rPr>
      </w:pPr>
      <w:r>
        <w:rPr>
          <w:sz w:val="20"/>
        </w:rPr>
        <w:t>Use “hold” button when leaving the line so that the caller does not accidentally hear conversations being held nearby.</w:t>
      </w:r>
    </w:p>
    <w:p w14:paraId="286B0C1E" w14:textId="77777777" w:rsidR="00DC1A8D" w:rsidRDefault="00DC1A8D" w:rsidP="00DC1A8D">
      <w:pPr>
        <w:pStyle w:val="ListParagraph"/>
        <w:numPr>
          <w:ilvl w:val="1"/>
          <w:numId w:val="3"/>
        </w:numPr>
        <w:tabs>
          <w:tab w:val="left" w:pos="819"/>
          <w:tab w:val="left" w:pos="820"/>
        </w:tabs>
        <w:rPr>
          <w:sz w:val="20"/>
        </w:rPr>
      </w:pPr>
      <w:r>
        <w:rPr>
          <w:sz w:val="20"/>
        </w:rPr>
        <w:t>When</w:t>
      </w:r>
      <w:r>
        <w:rPr>
          <w:spacing w:val="-1"/>
          <w:sz w:val="20"/>
        </w:rPr>
        <w:t xml:space="preserve"> </w:t>
      </w:r>
      <w:r>
        <w:rPr>
          <w:sz w:val="20"/>
        </w:rPr>
        <w:t>transferring</w:t>
      </w:r>
      <w:r>
        <w:rPr>
          <w:spacing w:val="-1"/>
          <w:sz w:val="20"/>
        </w:rPr>
        <w:t xml:space="preserve"> </w:t>
      </w:r>
      <w:r>
        <w:rPr>
          <w:sz w:val="20"/>
        </w:rPr>
        <w:t>a</w:t>
      </w:r>
      <w:r>
        <w:rPr>
          <w:spacing w:val="-2"/>
          <w:sz w:val="20"/>
        </w:rPr>
        <w:t xml:space="preserve"> </w:t>
      </w:r>
      <w:r>
        <w:rPr>
          <w:sz w:val="20"/>
        </w:rPr>
        <w:t>call,</w:t>
      </w:r>
      <w:r>
        <w:rPr>
          <w:spacing w:val="-4"/>
          <w:sz w:val="20"/>
        </w:rPr>
        <w:t xml:space="preserve"> </w:t>
      </w:r>
      <w:r>
        <w:rPr>
          <w:sz w:val="20"/>
        </w:rPr>
        <w:t>be</w:t>
      </w:r>
      <w:r>
        <w:rPr>
          <w:spacing w:val="-2"/>
          <w:sz w:val="20"/>
        </w:rPr>
        <w:t xml:space="preserve"> </w:t>
      </w:r>
      <w:r>
        <w:rPr>
          <w:sz w:val="20"/>
        </w:rPr>
        <w:t>sure</w:t>
      </w:r>
      <w:r>
        <w:rPr>
          <w:spacing w:val="-2"/>
          <w:sz w:val="20"/>
        </w:rPr>
        <w:t xml:space="preserve"> </w:t>
      </w:r>
      <w:r>
        <w:rPr>
          <w:sz w:val="20"/>
        </w:rPr>
        <w:t>to</w:t>
      </w:r>
      <w:r>
        <w:rPr>
          <w:spacing w:val="-1"/>
          <w:sz w:val="20"/>
        </w:rPr>
        <w:t xml:space="preserve"> </w:t>
      </w:r>
      <w:r>
        <w:rPr>
          <w:sz w:val="20"/>
        </w:rPr>
        <w:t>explain</w:t>
      </w:r>
      <w:r>
        <w:rPr>
          <w:spacing w:val="-1"/>
          <w:sz w:val="20"/>
        </w:rPr>
        <w:t xml:space="preserve"> </w:t>
      </w:r>
      <w:r>
        <w:rPr>
          <w:sz w:val="20"/>
        </w:rPr>
        <w:t>to</w:t>
      </w:r>
      <w:r>
        <w:rPr>
          <w:spacing w:val="-1"/>
          <w:sz w:val="20"/>
        </w:rPr>
        <w:t xml:space="preserve"> </w:t>
      </w:r>
      <w:r>
        <w:rPr>
          <w:sz w:val="20"/>
        </w:rPr>
        <w:t>the</w:t>
      </w:r>
      <w:r>
        <w:rPr>
          <w:spacing w:val="-2"/>
          <w:sz w:val="20"/>
        </w:rPr>
        <w:t xml:space="preserve"> </w:t>
      </w:r>
      <w:r>
        <w:rPr>
          <w:sz w:val="20"/>
        </w:rPr>
        <w:t>caller</w:t>
      </w:r>
      <w:r>
        <w:rPr>
          <w:spacing w:val="-5"/>
          <w:sz w:val="20"/>
        </w:rPr>
        <w:t xml:space="preserve"> </w:t>
      </w:r>
      <w:r>
        <w:rPr>
          <w:sz w:val="20"/>
        </w:rPr>
        <w:t>that</w:t>
      </w:r>
      <w:r>
        <w:rPr>
          <w:spacing w:val="-3"/>
          <w:sz w:val="20"/>
        </w:rPr>
        <w:t xml:space="preserve"> </w:t>
      </w:r>
      <w:r>
        <w:rPr>
          <w:sz w:val="20"/>
        </w:rPr>
        <w:t>you</w:t>
      </w:r>
      <w:r>
        <w:rPr>
          <w:spacing w:val="-2"/>
          <w:sz w:val="20"/>
        </w:rPr>
        <w:t xml:space="preserve"> </w:t>
      </w:r>
      <w:r>
        <w:rPr>
          <w:sz w:val="20"/>
        </w:rPr>
        <w:t>are</w:t>
      </w:r>
      <w:r>
        <w:rPr>
          <w:spacing w:val="-3"/>
          <w:sz w:val="20"/>
        </w:rPr>
        <w:t xml:space="preserve"> </w:t>
      </w:r>
      <w:r>
        <w:rPr>
          <w:sz w:val="20"/>
        </w:rPr>
        <w:t>doing</w:t>
      </w:r>
      <w:r>
        <w:rPr>
          <w:spacing w:val="-2"/>
          <w:sz w:val="20"/>
        </w:rPr>
        <w:t xml:space="preserve"> </w:t>
      </w:r>
      <w:r>
        <w:rPr>
          <w:sz w:val="20"/>
        </w:rPr>
        <w:t>so</w:t>
      </w:r>
      <w:r>
        <w:rPr>
          <w:spacing w:val="-3"/>
          <w:sz w:val="20"/>
        </w:rPr>
        <w:t xml:space="preserve"> </w:t>
      </w:r>
      <w:r>
        <w:rPr>
          <w:sz w:val="20"/>
        </w:rPr>
        <w:t>and</w:t>
      </w:r>
      <w:r>
        <w:rPr>
          <w:spacing w:val="-3"/>
          <w:sz w:val="20"/>
        </w:rPr>
        <w:t xml:space="preserve"> </w:t>
      </w:r>
      <w:r>
        <w:rPr>
          <w:sz w:val="20"/>
        </w:rPr>
        <w:t>where</w:t>
      </w:r>
      <w:r>
        <w:rPr>
          <w:spacing w:val="-3"/>
          <w:sz w:val="20"/>
        </w:rPr>
        <w:t xml:space="preserve"> </w:t>
      </w:r>
      <w:r>
        <w:rPr>
          <w:sz w:val="20"/>
        </w:rPr>
        <w:t>you</w:t>
      </w:r>
      <w:r>
        <w:rPr>
          <w:spacing w:val="-2"/>
          <w:sz w:val="20"/>
        </w:rPr>
        <w:t xml:space="preserve"> </w:t>
      </w:r>
      <w:r>
        <w:rPr>
          <w:sz w:val="20"/>
        </w:rPr>
        <w:t>are</w:t>
      </w:r>
      <w:r>
        <w:rPr>
          <w:spacing w:val="-2"/>
          <w:sz w:val="20"/>
        </w:rPr>
        <w:t xml:space="preserve"> </w:t>
      </w:r>
      <w:r>
        <w:rPr>
          <w:sz w:val="20"/>
        </w:rPr>
        <w:t>transferring</w:t>
      </w:r>
      <w:r>
        <w:rPr>
          <w:spacing w:val="-2"/>
          <w:sz w:val="20"/>
        </w:rPr>
        <w:t xml:space="preserve"> </w:t>
      </w:r>
      <w:r>
        <w:rPr>
          <w:sz w:val="20"/>
        </w:rPr>
        <w:t>them.</w:t>
      </w:r>
    </w:p>
    <w:p w14:paraId="2DBCAE98" w14:textId="77777777" w:rsidR="00DC1A8D" w:rsidRDefault="00DC1A8D" w:rsidP="00DC1A8D">
      <w:pPr>
        <w:pStyle w:val="ListParagraph"/>
        <w:numPr>
          <w:ilvl w:val="1"/>
          <w:numId w:val="3"/>
        </w:numPr>
        <w:tabs>
          <w:tab w:val="left" w:pos="820"/>
        </w:tabs>
        <w:ind w:right="115"/>
        <w:jc w:val="both"/>
        <w:rPr>
          <w:sz w:val="20"/>
        </w:rPr>
      </w:pPr>
      <w:r>
        <w:rPr>
          <w:sz w:val="20"/>
        </w:rPr>
        <w:t>Remember that you may be the first and only contact a person may have with your department, and that first impressions will stay with the caller long after the call is</w:t>
      </w:r>
      <w:r>
        <w:rPr>
          <w:spacing w:val="-35"/>
          <w:sz w:val="20"/>
        </w:rPr>
        <w:t xml:space="preserve"> </w:t>
      </w:r>
      <w:r>
        <w:rPr>
          <w:sz w:val="20"/>
        </w:rPr>
        <w:t>completed.</w:t>
      </w:r>
    </w:p>
    <w:p w14:paraId="3A82D2F0" w14:textId="77777777" w:rsidR="00DC1A8D" w:rsidRDefault="00DC1A8D" w:rsidP="00DC1A8D">
      <w:pPr>
        <w:pStyle w:val="ListParagraph"/>
        <w:numPr>
          <w:ilvl w:val="1"/>
          <w:numId w:val="3"/>
        </w:numPr>
        <w:tabs>
          <w:tab w:val="left" w:pos="820"/>
        </w:tabs>
        <w:ind w:right="117"/>
        <w:jc w:val="both"/>
        <w:rPr>
          <w:sz w:val="20"/>
        </w:rPr>
      </w:pPr>
      <w:r>
        <w:rPr>
          <w:sz w:val="20"/>
        </w:rPr>
        <w:t>If the caller has reached the wrong division, be courteous. Sometimes they have been transferred all over the department with a simple question. If possible, attempt to find out where they should call/to whom they should speak. They will greatly appreciate</w:t>
      </w:r>
      <w:r>
        <w:rPr>
          <w:spacing w:val="-19"/>
          <w:sz w:val="20"/>
        </w:rPr>
        <w:t xml:space="preserve"> </w:t>
      </w:r>
      <w:r>
        <w:rPr>
          <w:sz w:val="20"/>
        </w:rPr>
        <w:t>it.</w:t>
      </w:r>
    </w:p>
    <w:p w14:paraId="47E3133C" w14:textId="77777777" w:rsidR="00DC1A8D" w:rsidRDefault="00DC1A8D" w:rsidP="00DC1A8D">
      <w:pPr>
        <w:pStyle w:val="ListParagraph"/>
        <w:numPr>
          <w:ilvl w:val="1"/>
          <w:numId w:val="3"/>
        </w:numPr>
        <w:tabs>
          <w:tab w:val="left" w:pos="819"/>
          <w:tab w:val="left" w:pos="820"/>
        </w:tabs>
        <w:rPr>
          <w:sz w:val="20"/>
        </w:rPr>
      </w:pPr>
      <w:r>
        <w:rPr>
          <w:sz w:val="20"/>
        </w:rPr>
        <w:t>When</w:t>
      </w:r>
      <w:r>
        <w:rPr>
          <w:spacing w:val="-2"/>
          <w:sz w:val="20"/>
        </w:rPr>
        <w:t xml:space="preserve"> </w:t>
      </w:r>
      <w:r>
        <w:rPr>
          <w:sz w:val="20"/>
        </w:rPr>
        <w:t>the</w:t>
      </w:r>
      <w:r>
        <w:rPr>
          <w:spacing w:val="-2"/>
          <w:sz w:val="20"/>
        </w:rPr>
        <w:t xml:space="preserve"> </w:t>
      </w:r>
      <w:r>
        <w:rPr>
          <w:sz w:val="20"/>
        </w:rPr>
        <w:t>called</w:t>
      </w:r>
      <w:r>
        <w:rPr>
          <w:spacing w:val="-3"/>
          <w:sz w:val="20"/>
        </w:rPr>
        <w:t xml:space="preserve"> </w:t>
      </w:r>
      <w:r>
        <w:rPr>
          <w:sz w:val="20"/>
        </w:rPr>
        <w:t>party</w:t>
      </w:r>
      <w:r>
        <w:rPr>
          <w:spacing w:val="-3"/>
          <w:sz w:val="20"/>
        </w:rPr>
        <w:t xml:space="preserve"> </w:t>
      </w:r>
      <w:r>
        <w:rPr>
          <w:sz w:val="20"/>
        </w:rPr>
        <w:t>is</w:t>
      </w:r>
      <w:r>
        <w:rPr>
          <w:spacing w:val="-3"/>
          <w:sz w:val="20"/>
        </w:rPr>
        <w:t xml:space="preserve"> </w:t>
      </w:r>
      <w:r>
        <w:rPr>
          <w:sz w:val="20"/>
        </w:rPr>
        <w:t>not</w:t>
      </w:r>
      <w:r>
        <w:rPr>
          <w:spacing w:val="-3"/>
          <w:sz w:val="20"/>
        </w:rPr>
        <w:t xml:space="preserve"> </w:t>
      </w:r>
      <w:r>
        <w:rPr>
          <w:sz w:val="20"/>
        </w:rPr>
        <w:t>in,</w:t>
      </w:r>
      <w:r>
        <w:rPr>
          <w:spacing w:val="-3"/>
          <w:sz w:val="20"/>
        </w:rPr>
        <w:t xml:space="preserve"> </w:t>
      </w:r>
      <w:r>
        <w:rPr>
          <w:sz w:val="20"/>
        </w:rPr>
        <w:t>use</w:t>
      </w:r>
      <w:r>
        <w:rPr>
          <w:spacing w:val="-3"/>
          <w:sz w:val="20"/>
        </w:rPr>
        <w:t xml:space="preserve"> </w:t>
      </w:r>
      <w:r>
        <w:rPr>
          <w:sz w:val="20"/>
        </w:rPr>
        <w:t>a</w:t>
      </w:r>
      <w:r>
        <w:rPr>
          <w:spacing w:val="-2"/>
          <w:sz w:val="20"/>
        </w:rPr>
        <w:t xml:space="preserve"> </w:t>
      </w:r>
      <w:r>
        <w:rPr>
          <w:sz w:val="20"/>
        </w:rPr>
        <w:t>tactful</w:t>
      </w:r>
      <w:r>
        <w:rPr>
          <w:spacing w:val="-5"/>
          <w:sz w:val="20"/>
        </w:rPr>
        <w:t xml:space="preserve"> </w:t>
      </w:r>
      <w:r>
        <w:rPr>
          <w:sz w:val="20"/>
        </w:rPr>
        <w:t>response</w:t>
      </w:r>
      <w:r>
        <w:rPr>
          <w:spacing w:val="-2"/>
          <w:sz w:val="20"/>
        </w:rPr>
        <w:t xml:space="preserve"> </w:t>
      </w:r>
      <w:r>
        <w:rPr>
          <w:sz w:val="20"/>
        </w:rPr>
        <w:t>to</w:t>
      </w:r>
      <w:r>
        <w:rPr>
          <w:spacing w:val="-3"/>
          <w:sz w:val="20"/>
        </w:rPr>
        <w:t xml:space="preserve"> </w:t>
      </w:r>
      <w:r>
        <w:rPr>
          <w:sz w:val="20"/>
        </w:rPr>
        <w:t>protect</w:t>
      </w:r>
      <w:r>
        <w:rPr>
          <w:spacing w:val="-2"/>
          <w:sz w:val="20"/>
        </w:rPr>
        <w:t xml:space="preserve"> </w:t>
      </w:r>
      <w:r>
        <w:rPr>
          <w:sz w:val="20"/>
        </w:rPr>
        <w:t>the</w:t>
      </w:r>
      <w:r>
        <w:rPr>
          <w:spacing w:val="-2"/>
          <w:sz w:val="20"/>
        </w:rPr>
        <w:t xml:space="preserve"> </w:t>
      </w:r>
      <w:r>
        <w:rPr>
          <w:sz w:val="20"/>
        </w:rPr>
        <w:t>privacy</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office</w:t>
      </w:r>
      <w:r>
        <w:rPr>
          <w:spacing w:val="-3"/>
          <w:sz w:val="20"/>
        </w:rPr>
        <w:t xml:space="preserve"> </w:t>
      </w:r>
      <w:r>
        <w:rPr>
          <w:sz w:val="20"/>
        </w:rPr>
        <w:t>staff.</w:t>
      </w:r>
    </w:p>
    <w:p w14:paraId="6D65BAAA" w14:textId="77777777" w:rsidR="00DC1A8D" w:rsidRDefault="00DC1A8D" w:rsidP="00DC1A8D">
      <w:pPr>
        <w:pStyle w:val="ListParagraph"/>
        <w:numPr>
          <w:ilvl w:val="1"/>
          <w:numId w:val="3"/>
        </w:numPr>
        <w:tabs>
          <w:tab w:val="left" w:pos="820"/>
        </w:tabs>
        <w:ind w:right="113"/>
        <w:jc w:val="both"/>
        <w:rPr>
          <w:sz w:val="20"/>
        </w:rPr>
      </w:pPr>
      <w:r>
        <w:rPr>
          <w:sz w:val="20"/>
        </w:rPr>
        <w:t>At the end of the day, spend a few moments reflecting on what you have accomplished. Tally up the good experiences against the bad. You might be surprised to find that on any given day, there were many more “pluses” than</w:t>
      </w:r>
      <w:r>
        <w:rPr>
          <w:spacing w:val="-1"/>
          <w:sz w:val="20"/>
        </w:rPr>
        <w:t xml:space="preserve"> </w:t>
      </w:r>
      <w:r>
        <w:rPr>
          <w:sz w:val="20"/>
        </w:rPr>
        <w:t>“minuses.”</w:t>
      </w:r>
    </w:p>
    <w:p w14:paraId="72B6EBBD" w14:textId="77777777" w:rsidR="00DC1A8D" w:rsidRDefault="00DC1A8D" w:rsidP="00DC1A8D">
      <w:pPr>
        <w:jc w:val="both"/>
        <w:rPr>
          <w:sz w:val="20"/>
        </w:rPr>
        <w:sectPr w:rsidR="00DC1A8D">
          <w:pgSz w:w="12240" w:h="15840"/>
          <w:pgMar w:top="1000" w:right="960" w:bottom="280" w:left="980" w:header="720" w:footer="720" w:gutter="0"/>
          <w:cols w:space="720"/>
        </w:sectPr>
      </w:pPr>
    </w:p>
    <w:p w14:paraId="6E7EA5B9" w14:textId="77777777" w:rsidR="00DC1A8D" w:rsidRDefault="00DC1A8D" w:rsidP="00DC1A8D">
      <w:pPr>
        <w:pStyle w:val="ListParagraph"/>
        <w:numPr>
          <w:ilvl w:val="1"/>
          <w:numId w:val="3"/>
        </w:numPr>
        <w:tabs>
          <w:tab w:val="left" w:pos="840"/>
        </w:tabs>
        <w:spacing w:before="77"/>
        <w:ind w:left="840" w:right="117"/>
        <w:rPr>
          <w:sz w:val="20"/>
        </w:rPr>
      </w:pPr>
      <w:r>
        <w:rPr>
          <w:sz w:val="20"/>
        </w:rPr>
        <w:lastRenderedPageBreak/>
        <w:t>Because you are a professional, it’s natural to remember and be concerned about the negative contacts you experience.</w:t>
      </w:r>
      <w:r>
        <w:rPr>
          <w:spacing w:val="-4"/>
          <w:sz w:val="20"/>
        </w:rPr>
        <w:t xml:space="preserve"> </w:t>
      </w:r>
      <w:r>
        <w:rPr>
          <w:sz w:val="20"/>
        </w:rPr>
        <w:t>But</w:t>
      </w:r>
      <w:r>
        <w:rPr>
          <w:spacing w:val="-4"/>
          <w:sz w:val="20"/>
        </w:rPr>
        <w:t xml:space="preserve"> </w:t>
      </w:r>
      <w:r>
        <w:rPr>
          <w:sz w:val="20"/>
        </w:rPr>
        <w:t>don’t</w:t>
      </w:r>
      <w:r>
        <w:rPr>
          <w:spacing w:val="-4"/>
          <w:sz w:val="20"/>
        </w:rPr>
        <w:t xml:space="preserve"> </w:t>
      </w:r>
      <w:r>
        <w:rPr>
          <w:sz w:val="20"/>
        </w:rPr>
        <w:t>let</w:t>
      </w:r>
      <w:r>
        <w:rPr>
          <w:spacing w:val="-4"/>
          <w:sz w:val="20"/>
        </w:rPr>
        <w:t xml:space="preserve"> </w:t>
      </w:r>
      <w:r>
        <w:rPr>
          <w:sz w:val="20"/>
        </w:rPr>
        <w:t>the</w:t>
      </w:r>
      <w:r>
        <w:rPr>
          <w:spacing w:val="-5"/>
          <w:sz w:val="20"/>
        </w:rPr>
        <w:t xml:space="preserve"> </w:t>
      </w:r>
      <w:r>
        <w:rPr>
          <w:sz w:val="20"/>
        </w:rPr>
        <w:t>negatives</w:t>
      </w:r>
      <w:r>
        <w:rPr>
          <w:spacing w:val="-5"/>
          <w:sz w:val="20"/>
        </w:rPr>
        <w:t xml:space="preserve"> </w:t>
      </w:r>
      <w:r>
        <w:rPr>
          <w:sz w:val="20"/>
        </w:rPr>
        <w:t>overwhelm</w:t>
      </w:r>
      <w:r>
        <w:rPr>
          <w:spacing w:val="-6"/>
          <w:sz w:val="20"/>
        </w:rPr>
        <w:t xml:space="preserve"> </w:t>
      </w:r>
      <w:r>
        <w:rPr>
          <w:sz w:val="20"/>
        </w:rPr>
        <w:t>you;</w:t>
      </w:r>
      <w:r>
        <w:rPr>
          <w:spacing w:val="-4"/>
          <w:sz w:val="20"/>
        </w:rPr>
        <w:t xml:space="preserve"> </w:t>
      </w:r>
      <w:r>
        <w:rPr>
          <w:sz w:val="20"/>
        </w:rPr>
        <w:t>take</w:t>
      </w:r>
      <w:r>
        <w:rPr>
          <w:spacing w:val="-5"/>
          <w:sz w:val="20"/>
        </w:rPr>
        <w:t xml:space="preserve"> </w:t>
      </w:r>
      <w:r>
        <w:rPr>
          <w:sz w:val="20"/>
        </w:rPr>
        <w:t>those</w:t>
      </w:r>
      <w:r>
        <w:rPr>
          <w:spacing w:val="-4"/>
          <w:sz w:val="20"/>
        </w:rPr>
        <w:t xml:space="preserve"> </w:t>
      </w:r>
      <w:r>
        <w:rPr>
          <w:sz w:val="20"/>
        </w:rPr>
        <w:t>few</w:t>
      </w:r>
      <w:r>
        <w:rPr>
          <w:spacing w:val="-4"/>
          <w:sz w:val="20"/>
        </w:rPr>
        <w:t xml:space="preserve"> </w:t>
      </w:r>
      <w:r>
        <w:rPr>
          <w:sz w:val="20"/>
        </w:rPr>
        <w:t>minutes</w:t>
      </w:r>
      <w:r>
        <w:rPr>
          <w:spacing w:val="-4"/>
          <w:sz w:val="20"/>
        </w:rPr>
        <w:t xml:space="preserve"> </w:t>
      </w:r>
      <w:r>
        <w:rPr>
          <w:sz w:val="20"/>
        </w:rPr>
        <w:t>to</w:t>
      </w:r>
      <w:r>
        <w:rPr>
          <w:spacing w:val="-4"/>
          <w:sz w:val="20"/>
        </w:rPr>
        <w:t xml:space="preserve"> </w:t>
      </w:r>
      <w:r>
        <w:rPr>
          <w:sz w:val="20"/>
        </w:rPr>
        <w:t>tally</w:t>
      </w:r>
      <w:r>
        <w:rPr>
          <w:spacing w:val="-4"/>
          <w:sz w:val="20"/>
        </w:rPr>
        <w:t xml:space="preserve"> </w:t>
      </w:r>
      <w:r>
        <w:rPr>
          <w:sz w:val="20"/>
        </w:rPr>
        <w:t>the</w:t>
      </w:r>
      <w:r>
        <w:rPr>
          <w:spacing w:val="-4"/>
          <w:sz w:val="20"/>
        </w:rPr>
        <w:t xml:space="preserve"> </w:t>
      </w:r>
      <w:r>
        <w:rPr>
          <w:sz w:val="20"/>
        </w:rPr>
        <w:t>successes.</w:t>
      </w:r>
    </w:p>
    <w:p w14:paraId="0BA891FC" w14:textId="77777777" w:rsidR="00DC1A8D" w:rsidRDefault="00DC1A8D" w:rsidP="00DC1A8D">
      <w:pPr>
        <w:pStyle w:val="BodyText"/>
        <w:spacing w:before="4"/>
        <w:rPr>
          <w:sz w:val="24"/>
        </w:rPr>
      </w:pPr>
    </w:p>
    <w:p w14:paraId="5CF53A0D" w14:textId="77777777" w:rsidR="00DC1A8D" w:rsidRDefault="00DC1A8D" w:rsidP="00DC1A8D">
      <w:pPr>
        <w:pStyle w:val="BodyText"/>
        <w:spacing w:line="532" w:lineRule="auto"/>
        <w:ind w:left="119" w:right="7920"/>
      </w:pPr>
      <w:r>
        <w:t>Mail/Fax Procedures Address and Name Changes</w:t>
      </w:r>
    </w:p>
    <w:p w14:paraId="46C0E5D4" w14:textId="77777777" w:rsidR="00DC1A8D" w:rsidRDefault="00DC1A8D" w:rsidP="00DC1A8D">
      <w:pPr>
        <w:pStyle w:val="ListParagraph"/>
        <w:numPr>
          <w:ilvl w:val="0"/>
          <w:numId w:val="2"/>
        </w:numPr>
        <w:tabs>
          <w:tab w:val="left" w:pos="839"/>
          <w:tab w:val="left" w:pos="840"/>
          <w:tab w:val="left" w:pos="4833"/>
        </w:tabs>
        <w:spacing w:before="9" w:line="230" w:lineRule="exact"/>
        <w:rPr>
          <w:sz w:val="20"/>
        </w:rPr>
      </w:pPr>
      <w:r>
        <w:rPr>
          <w:sz w:val="20"/>
        </w:rPr>
        <w:t>Name and address changes</w:t>
      </w:r>
      <w:r>
        <w:rPr>
          <w:spacing w:val="-11"/>
          <w:sz w:val="20"/>
        </w:rPr>
        <w:t xml:space="preserve"> </w:t>
      </w:r>
      <w:r>
        <w:rPr>
          <w:sz w:val="20"/>
        </w:rPr>
        <w:t>are</w:t>
      </w:r>
      <w:r>
        <w:rPr>
          <w:spacing w:val="-4"/>
          <w:sz w:val="20"/>
        </w:rPr>
        <w:t xml:space="preserve"> </w:t>
      </w:r>
      <w:r>
        <w:rPr>
          <w:sz w:val="20"/>
        </w:rPr>
        <w:t>processed</w:t>
      </w:r>
      <w:r>
        <w:rPr>
          <w:sz w:val="20"/>
          <w:u w:val="single"/>
        </w:rPr>
        <w:t xml:space="preserve"> </w:t>
      </w:r>
      <w:r>
        <w:rPr>
          <w:sz w:val="20"/>
          <w:u w:val="single"/>
        </w:rPr>
        <w:tab/>
      </w:r>
      <w:r>
        <w:rPr>
          <w:sz w:val="20"/>
        </w:rPr>
        <w:t>.</w:t>
      </w:r>
    </w:p>
    <w:p w14:paraId="713DDF70" w14:textId="77777777" w:rsidR="00DC1A8D" w:rsidRDefault="00DC1A8D" w:rsidP="00DC1A8D">
      <w:pPr>
        <w:pStyle w:val="ListParagraph"/>
        <w:numPr>
          <w:ilvl w:val="0"/>
          <w:numId w:val="2"/>
        </w:numPr>
        <w:tabs>
          <w:tab w:val="left" w:pos="839"/>
          <w:tab w:val="left" w:pos="840"/>
        </w:tabs>
        <w:spacing w:line="230" w:lineRule="exact"/>
        <w:rPr>
          <w:sz w:val="20"/>
        </w:rPr>
      </w:pPr>
      <w:r>
        <w:rPr>
          <w:sz w:val="20"/>
        </w:rPr>
        <w:t>Name change requests must be accompanied by a marriage certificate, divorce decree, or other court</w:t>
      </w:r>
      <w:r>
        <w:rPr>
          <w:spacing w:val="-22"/>
          <w:sz w:val="20"/>
        </w:rPr>
        <w:t xml:space="preserve"> </w:t>
      </w:r>
      <w:r>
        <w:rPr>
          <w:sz w:val="20"/>
        </w:rPr>
        <w:t>document.</w:t>
      </w:r>
    </w:p>
    <w:p w14:paraId="6DB1BB54" w14:textId="77777777" w:rsidR="00DC1A8D" w:rsidRDefault="00DC1A8D" w:rsidP="00DC1A8D">
      <w:pPr>
        <w:pStyle w:val="ListParagraph"/>
        <w:numPr>
          <w:ilvl w:val="0"/>
          <w:numId w:val="2"/>
        </w:numPr>
        <w:tabs>
          <w:tab w:val="left" w:pos="839"/>
          <w:tab w:val="left" w:pos="840"/>
        </w:tabs>
        <w:spacing w:before="1"/>
        <w:rPr>
          <w:sz w:val="20"/>
        </w:rPr>
      </w:pPr>
      <w:r>
        <w:rPr>
          <w:sz w:val="20"/>
        </w:rPr>
        <w:t>Address change forms do not have to be</w:t>
      </w:r>
      <w:r>
        <w:rPr>
          <w:spacing w:val="-16"/>
          <w:sz w:val="20"/>
        </w:rPr>
        <w:t xml:space="preserve"> </w:t>
      </w:r>
      <w:r>
        <w:rPr>
          <w:sz w:val="20"/>
        </w:rPr>
        <w:t>verified.</w:t>
      </w:r>
    </w:p>
    <w:p w14:paraId="566C783B" w14:textId="77777777" w:rsidR="00DC1A8D" w:rsidRDefault="00DC1A8D" w:rsidP="00DC1A8D">
      <w:pPr>
        <w:pStyle w:val="ListParagraph"/>
        <w:numPr>
          <w:ilvl w:val="0"/>
          <w:numId w:val="2"/>
        </w:numPr>
        <w:tabs>
          <w:tab w:val="left" w:pos="839"/>
          <w:tab w:val="left" w:pos="840"/>
        </w:tabs>
        <w:spacing w:line="230" w:lineRule="exact"/>
        <w:rPr>
          <w:sz w:val="20"/>
        </w:rPr>
      </w:pPr>
      <w:r>
        <w:rPr>
          <w:sz w:val="20"/>
        </w:rPr>
        <w:t>Make sure all names are spelled correctly, whether in the address or</w:t>
      </w:r>
      <w:r>
        <w:rPr>
          <w:spacing w:val="-30"/>
          <w:sz w:val="20"/>
        </w:rPr>
        <w:t xml:space="preserve"> </w:t>
      </w:r>
      <w:r>
        <w:rPr>
          <w:sz w:val="20"/>
        </w:rPr>
        <w:t>name.</w:t>
      </w:r>
    </w:p>
    <w:p w14:paraId="1A4D4CDF" w14:textId="77777777" w:rsidR="00DC1A8D" w:rsidRDefault="00DC1A8D" w:rsidP="00DC1A8D">
      <w:pPr>
        <w:pStyle w:val="ListParagraph"/>
        <w:numPr>
          <w:ilvl w:val="0"/>
          <w:numId w:val="2"/>
        </w:numPr>
        <w:tabs>
          <w:tab w:val="left" w:pos="839"/>
          <w:tab w:val="left" w:pos="840"/>
        </w:tabs>
        <w:spacing w:line="230" w:lineRule="exact"/>
        <w:ind w:left="839"/>
        <w:rPr>
          <w:sz w:val="20"/>
        </w:rPr>
      </w:pPr>
      <w:r>
        <w:rPr>
          <w:sz w:val="20"/>
        </w:rPr>
        <w:t>Name changes can now be done</w:t>
      </w:r>
      <w:r>
        <w:rPr>
          <w:spacing w:val="-12"/>
          <w:sz w:val="20"/>
        </w:rPr>
        <w:t xml:space="preserve"> </w:t>
      </w:r>
      <w:r>
        <w:rPr>
          <w:sz w:val="20"/>
        </w:rPr>
        <w:t>online.</w:t>
      </w:r>
    </w:p>
    <w:p w14:paraId="228ACDE5" w14:textId="77777777" w:rsidR="00DC1A8D" w:rsidRDefault="00DC1A8D" w:rsidP="00DC1A8D">
      <w:pPr>
        <w:pStyle w:val="BodyText"/>
        <w:spacing w:before="120" w:line="532" w:lineRule="auto"/>
        <w:ind w:left="119" w:right="1868" w:firstLine="720"/>
      </w:pPr>
      <w:r>
        <w:t xml:space="preserve">(Address changes can easily be made online through NIPR’s Address Change Request – ACR) </w:t>
      </w:r>
      <w:proofErr w:type="spellStart"/>
      <w:r>
        <w:t>Prelicensing</w:t>
      </w:r>
      <w:proofErr w:type="spellEnd"/>
      <w:r>
        <w:t xml:space="preserve"> Education Information (optional)</w:t>
      </w:r>
    </w:p>
    <w:p w14:paraId="42099D96" w14:textId="77777777" w:rsidR="00DC1A8D" w:rsidRDefault="00DC1A8D" w:rsidP="00DC1A8D">
      <w:pPr>
        <w:pStyle w:val="BodyText"/>
        <w:spacing w:before="8"/>
        <w:ind w:left="119" w:right="117"/>
        <w:jc w:val="both"/>
      </w:pPr>
      <w:r>
        <w:t xml:space="preserve">Individuals must complete a </w:t>
      </w:r>
      <w:proofErr w:type="spellStart"/>
      <w:r>
        <w:t>prelicensing</w:t>
      </w:r>
      <w:proofErr w:type="spellEnd"/>
      <w:r>
        <w:t xml:space="preserve"> course of study for the lines of authority desired before taking most of the insurance producer license examinations. The </w:t>
      </w:r>
      <w:proofErr w:type="spellStart"/>
      <w:r>
        <w:t>prelicensing</w:t>
      </w:r>
      <w:proofErr w:type="spellEnd"/>
      <w:r>
        <w:t xml:space="preserve"> course must consist of 20 credit hours per line of authority, or equivalent individual instruction, on the general principles of insurance for that line of authority. The lines of authority requiring a </w:t>
      </w:r>
      <w:proofErr w:type="spellStart"/>
      <w:r>
        <w:t>prelicensing</w:t>
      </w:r>
      <w:proofErr w:type="spellEnd"/>
      <w:r>
        <w:t xml:space="preserve"> course are as follows:</w:t>
      </w:r>
    </w:p>
    <w:p w14:paraId="05EF63B4" w14:textId="77777777" w:rsidR="00DC1A8D" w:rsidRDefault="00DC1A8D" w:rsidP="00DC1A8D">
      <w:pPr>
        <w:pStyle w:val="BodyText"/>
        <w:spacing w:before="4"/>
        <w:rPr>
          <w:sz w:val="24"/>
        </w:rPr>
      </w:pPr>
    </w:p>
    <w:p w14:paraId="4BD0AC8F" w14:textId="77777777" w:rsidR="00DC1A8D" w:rsidRDefault="00DC1A8D" w:rsidP="00DC1A8D">
      <w:pPr>
        <w:pStyle w:val="ListParagraph"/>
        <w:numPr>
          <w:ilvl w:val="0"/>
          <w:numId w:val="1"/>
        </w:numPr>
        <w:tabs>
          <w:tab w:val="left" w:pos="839"/>
          <w:tab w:val="left" w:pos="840"/>
        </w:tabs>
        <w:spacing w:line="244" w:lineRule="exact"/>
        <w:rPr>
          <w:sz w:val="20"/>
        </w:rPr>
      </w:pPr>
      <w:r>
        <w:rPr>
          <w:sz w:val="20"/>
        </w:rPr>
        <w:t>Life</w:t>
      </w:r>
    </w:p>
    <w:p w14:paraId="1F78BE52" w14:textId="77777777" w:rsidR="00DC1A8D" w:rsidRDefault="00DC1A8D" w:rsidP="00DC1A8D">
      <w:pPr>
        <w:pStyle w:val="ListParagraph"/>
        <w:numPr>
          <w:ilvl w:val="0"/>
          <w:numId w:val="1"/>
        </w:numPr>
        <w:tabs>
          <w:tab w:val="left" w:pos="839"/>
          <w:tab w:val="left" w:pos="840"/>
        </w:tabs>
        <w:spacing w:line="244" w:lineRule="exact"/>
        <w:rPr>
          <w:sz w:val="20"/>
        </w:rPr>
      </w:pPr>
      <w:r>
        <w:rPr>
          <w:sz w:val="20"/>
        </w:rPr>
        <w:t>Accident &amp; Health or</w:t>
      </w:r>
      <w:r>
        <w:rPr>
          <w:spacing w:val="-10"/>
          <w:sz w:val="20"/>
        </w:rPr>
        <w:t xml:space="preserve"> </w:t>
      </w:r>
      <w:r>
        <w:rPr>
          <w:sz w:val="20"/>
        </w:rPr>
        <w:t>Sickness</w:t>
      </w:r>
    </w:p>
    <w:p w14:paraId="762A177E" w14:textId="77777777" w:rsidR="00DC1A8D" w:rsidRDefault="00DC1A8D" w:rsidP="00DC1A8D">
      <w:pPr>
        <w:pStyle w:val="ListParagraph"/>
        <w:numPr>
          <w:ilvl w:val="0"/>
          <w:numId w:val="1"/>
        </w:numPr>
        <w:tabs>
          <w:tab w:val="left" w:pos="839"/>
          <w:tab w:val="left" w:pos="840"/>
        </w:tabs>
        <w:spacing w:line="245" w:lineRule="exact"/>
        <w:rPr>
          <w:sz w:val="20"/>
        </w:rPr>
      </w:pPr>
      <w:r>
        <w:rPr>
          <w:sz w:val="20"/>
        </w:rPr>
        <w:t>Variable Life &amp; Variable</w:t>
      </w:r>
      <w:r>
        <w:rPr>
          <w:spacing w:val="-19"/>
          <w:sz w:val="20"/>
        </w:rPr>
        <w:t xml:space="preserve"> </w:t>
      </w:r>
      <w:r>
        <w:rPr>
          <w:sz w:val="20"/>
        </w:rPr>
        <w:t>Annuity</w:t>
      </w:r>
    </w:p>
    <w:p w14:paraId="47D43675" w14:textId="77777777" w:rsidR="00DC1A8D" w:rsidRDefault="00DC1A8D" w:rsidP="00DC1A8D">
      <w:pPr>
        <w:pStyle w:val="ListParagraph"/>
        <w:numPr>
          <w:ilvl w:val="0"/>
          <w:numId w:val="1"/>
        </w:numPr>
        <w:tabs>
          <w:tab w:val="left" w:pos="839"/>
          <w:tab w:val="left" w:pos="840"/>
        </w:tabs>
        <w:spacing w:line="244" w:lineRule="exact"/>
        <w:rPr>
          <w:sz w:val="20"/>
        </w:rPr>
      </w:pPr>
      <w:r>
        <w:rPr>
          <w:sz w:val="20"/>
        </w:rPr>
        <w:t>Property and/or</w:t>
      </w:r>
      <w:r>
        <w:rPr>
          <w:spacing w:val="-14"/>
          <w:sz w:val="20"/>
        </w:rPr>
        <w:t xml:space="preserve"> </w:t>
      </w:r>
      <w:r>
        <w:rPr>
          <w:sz w:val="20"/>
        </w:rPr>
        <w:t>Casualty</w:t>
      </w:r>
    </w:p>
    <w:p w14:paraId="3339FFBF" w14:textId="77777777" w:rsidR="00DC1A8D" w:rsidRDefault="00DC1A8D" w:rsidP="00DC1A8D">
      <w:pPr>
        <w:pStyle w:val="ListParagraph"/>
        <w:numPr>
          <w:ilvl w:val="0"/>
          <w:numId w:val="1"/>
        </w:numPr>
        <w:tabs>
          <w:tab w:val="left" w:pos="839"/>
          <w:tab w:val="left" w:pos="840"/>
        </w:tabs>
        <w:spacing w:line="244" w:lineRule="exact"/>
        <w:rPr>
          <w:sz w:val="20"/>
        </w:rPr>
      </w:pPr>
      <w:r>
        <w:rPr>
          <w:sz w:val="20"/>
        </w:rPr>
        <w:t>Personal</w:t>
      </w:r>
      <w:r>
        <w:rPr>
          <w:spacing w:val="-3"/>
          <w:sz w:val="20"/>
        </w:rPr>
        <w:t xml:space="preserve"> </w:t>
      </w:r>
      <w:r>
        <w:rPr>
          <w:sz w:val="20"/>
        </w:rPr>
        <w:t>Lines</w:t>
      </w:r>
    </w:p>
    <w:p w14:paraId="531502AD" w14:textId="77777777" w:rsidR="00DC1A8D" w:rsidRDefault="00DC1A8D" w:rsidP="00DC1A8D">
      <w:pPr>
        <w:pStyle w:val="BodyText"/>
        <w:spacing w:before="3"/>
        <w:rPr>
          <w:sz w:val="24"/>
        </w:rPr>
      </w:pPr>
    </w:p>
    <w:p w14:paraId="68147AD7" w14:textId="77777777" w:rsidR="00DC1A8D" w:rsidRDefault="00DC1A8D" w:rsidP="00DC1A8D">
      <w:pPr>
        <w:pStyle w:val="BodyText"/>
        <w:ind w:left="119" w:right="116"/>
        <w:jc w:val="both"/>
      </w:pPr>
      <w:r>
        <w:t xml:space="preserve">Once the </w:t>
      </w:r>
      <w:proofErr w:type="spellStart"/>
      <w:r>
        <w:t>prelicensing</w:t>
      </w:r>
      <w:proofErr w:type="spellEnd"/>
      <w:r>
        <w:t xml:space="preserve"> course is completed and a certificate is awarded, the insurance licensing examination can be taken within          from the date of the certificate. If the examination is not taken, the certificate will expire, and the course must   be retaken to qualify for the</w:t>
      </w:r>
      <w:r>
        <w:rPr>
          <w:spacing w:val="-20"/>
        </w:rPr>
        <w:t xml:space="preserve"> </w:t>
      </w:r>
      <w:r>
        <w:t>examination.</w:t>
      </w:r>
    </w:p>
    <w:p w14:paraId="74B97BB2" w14:textId="77777777" w:rsidR="00DC1A8D" w:rsidRDefault="00DC1A8D" w:rsidP="00DC1A8D">
      <w:pPr>
        <w:pStyle w:val="BodyText"/>
        <w:spacing w:before="3"/>
        <w:rPr>
          <w:sz w:val="24"/>
        </w:rPr>
      </w:pPr>
    </w:p>
    <w:p w14:paraId="0ACB4398" w14:textId="77777777" w:rsidR="00DC1A8D" w:rsidRDefault="00DC1A8D" w:rsidP="00DC1A8D">
      <w:pPr>
        <w:pStyle w:val="BodyText"/>
        <w:spacing w:before="1"/>
        <w:ind w:left="119"/>
        <w:jc w:val="both"/>
      </w:pPr>
      <w:proofErr w:type="spellStart"/>
      <w:r>
        <w:t>Prelicensing</w:t>
      </w:r>
      <w:proofErr w:type="spellEnd"/>
      <w:r>
        <w:t xml:space="preserve"> Course Exemptions</w:t>
      </w:r>
    </w:p>
    <w:p w14:paraId="32ECCF4C" w14:textId="77777777" w:rsidR="00DC1A8D" w:rsidRDefault="00DC1A8D" w:rsidP="00DC1A8D">
      <w:pPr>
        <w:pStyle w:val="BodyText"/>
        <w:spacing w:before="4"/>
        <w:rPr>
          <w:sz w:val="24"/>
        </w:rPr>
      </w:pPr>
    </w:p>
    <w:p w14:paraId="41D96F79" w14:textId="77777777" w:rsidR="00DC1A8D" w:rsidRDefault="00DC1A8D" w:rsidP="00DC1A8D">
      <w:pPr>
        <w:pStyle w:val="ListParagraph"/>
        <w:numPr>
          <w:ilvl w:val="0"/>
          <w:numId w:val="1"/>
        </w:numPr>
        <w:tabs>
          <w:tab w:val="left" w:pos="839"/>
          <w:tab w:val="left" w:pos="840"/>
          <w:tab w:val="left" w:pos="3000"/>
        </w:tabs>
        <w:spacing w:line="513" w:lineRule="auto"/>
        <w:ind w:right="2689"/>
        <w:rPr>
          <w:sz w:val="20"/>
        </w:rPr>
      </w:pPr>
      <w:r>
        <w:rPr>
          <w:sz w:val="20"/>
        </w:rPr>
        <w:t xml:space="preserve">Holders of the following designations are exempt from the </w:t>
      </w:r>
      <w:proofErr w:type="spellStart"/>
      <w:r>
        <w:rPr>
          <w:sz w:val="20"/>
        </w:rPr>
        <w:t>prelicensing</w:t>
      </w:r>
      <w:proofErr w:type="spellEnd"/>
      <w:r>
        <w:rPr>
          <w:sz w:val="20"/>
        </w:rPr>
        <w:t xml:space="preserve"> requirement: Life:</w:t>
      </w:r>
      <w:r>
        <w:rPr>
          <w:sz w:val="20"/>
        </w:rPr>
        <w:tab/>
        <w:t xml:space="preserve">CEBS, </w:t>
      </w:r>
      <w:proofErr w:type="spellStart"/>
      <w:r>
        <w:rPr>
          <w:sz w:val="20"/>
        </w:rPr>
        <w:t>ChFC</w:t>
      </w:r>
      <w:proofErr w:type="spellEnd"/>
      <w:r>
        <w:rPr>
          <w:sz w:val="20"/>
        </w:rPr>
        <w:t>, CIC, CFP, CLU, FLMI,</w:t>
      </w:r>
      <w:r>
        <w:rPr>
          <w:spacing w:val="-24"/>
          <w:sz w:val="20"/>
        </w:rPr>
        <w:t xml:space="preserve"> </w:t>
      </w:r>
      <w:r>
        <w:rPr>
          <w:sz w:val="20"/>
        </w:rPr>
        <w:t>LUTCF</w:t>
      </w:r>
    </w:p>
    <w:p w14:paraId="4D965F21" w14:textId="77777777" w:rsidR="00DC1A8D" w:rsidRDefault="00DC1A8D" w:rsidP="00DC1A8D">
      <w:pPr>
        <w:pStyle w:val="BodyText"/>
        <w:tabs>
          <w:tab w:val="left" w:pos="2999"/>
        </w:tabs>
        <w:spacing w:before="27"/>
        <w:ind w:left="839"/>
      </w:pPr>
      <w:r>
        <w:t>Health:</w:t>
      </w:r>
      <w:r>
        <w:tab/>
        <w:t>RHU, CEBS, REBC,</w:t>
      </w:r>
      <w:r>
        <w:rPr>
          <w:spacing w:val="-13"/>
        </w:rPr>
        <w:t xml:space="preserve"> </w:t>
      </w:r>
      <w:r>
        <w:t>HIA</w:t>
      </w:r>
    </w:p>
    <w:p w14:paraId="1CCC5D97" w14:textId="77777777" w:rsidR="00DC1A8D" w:rsidRDefault="00DC1A8D" w:rsidP="00DC1A8D">
      <w:pPr>
        <w:pStyle w:val="BodyText"/>
        <w:spacing w:before="3"/>
        <w:rPr>
          <w:sz w:val="24"/>
        </w:rPr>
      </w:pPr>
    </w:p>
    <w:p w14:paraId="672F3335" w14:textId="77777777" w:rsidR="00DC1A8D" w:rsidRDefault="00DC1A8D" w:rsidP="00DC1A8D">
      <w:pPr>
        <w:pStyle w:val="BodyText"/>
        <w:tabs>
          <w:tab w:val="left" w:pos="3001"/>
        </w:tabs>
        <w:ind w:left="839"/>
      </w:pPr>
      <w:r>
        <w:t>Property/Casualty:</w:t>
      </w:r>
      <w:r>
        <w:tab/>
        <w:t>AAI, ARM, CIC,</w:t>
      </w:r>
      <w:r>
        <w:rPr>
          <w:spacing w:val="-13"/>
        </w:rPr>
        <w:t xml:space="preserve"> </w:t>
      </w:r>
      <w:r>
        <w:t>CPCU</w:t>
      </w:r>
    </w:p>
    <w:p w14:paraId="18CC71CA" w14:textId="77777777" w:rsidR="00DC1A8D" w:rsidRDefault="00DC1A8D" w:rsidP="00DC1A8D">
      <w:pPr>
        <w:pStyle w:val="ListParagraph"/>
        <w:numPr>
          <w:ilvl w:val="0"/>
          <w:numId w:val="1"/>
        </w:numPr>
        <w:tabs>
          <w:tab w:val="left" w:pos="839"/>
          <w:tab w:val="left" w:pos="840"/>
        </w:tabs>
        <w:spacing w:line="510" w:lineRule="atLeast"/>
        <w:ind w:right="1069"/>
        <w:rPr>
          <w:sz w:val="20"/>
        </w:rPr>
      </w:pPr>
      <w:r>
        <w:rPr>
          <w:sz w:val="20"/>
        </w:rPr>
        <w:t xml:space="preserve">Applicants for the following limited lines of authority may be exempt from the </w:t>
      </w:r>
      <w:proofErr w:type="spellStart"/>
      <w:r>
        <w:rPr>
          <w:sz w:val="20"/>
        </w:rPr>
        <w:t>prelicensing</w:t>
      </w:r>
      <w:proofErr w:type="spellEnd"/>
      <w:r>
        <w:rPr>
          <w:sz w:val="20"/>
        </w:rPr>
        <w:t xml:space="preserve"> requirement: Crop</w:t>
      </w:r>
      <w:r>
        <w:rPr>
          <w:spacing w:val="-7"/>
          <w:sz w:val="20"/>
        </w:rPr>
        <w:t xml:space="preserve"> </w:t>
      </w:r>
      <w:r>
        <w:rPr>
          <w:sz w:val="20"/>
        </w:rPr>
        <w:t>Insurance</w:t>
      </w:r>
    </w:p>
    <w:p w14:paraId="76361DAF" w14:textId="77777777" w:rsidR="00DC1A8D" w:rsidRDefault="00DC1A8D" w:rsidP="00DC1A8D">
      <w:pPr>
        <w:pStyle w:val="BodyText"/>
        <w:ind w:left="839" w:right="8111"/>
      </w:pPr>
      <w:r>
        <w:lastRenderedPageBreak/>
        <w:t>Cred</w:t>
      </w:r>
      <w:proofErr w:type="gramStart"/>
      <w:r>
        <w:t>it</w:t>
      </w:r>
      <w:proofErr w:type="gramEnd"/>
      <w:r>
        <w:t xml:space="preserve"> Insurance Travel Insurance</w:t>
      </w:r>
    </w:p>
    <w:p w14:paraId="151DB179" w14:textId="77777777" w:rsidR="00DC1A8D" w:rsidRDefault="00DC1A8D" w:rsidP="00DC1A8D">
      <w:pPr>
        <w:pStyle w:val="BodyText"/>
        <w:ind w:left="839" w:right="7772"/>
      </w:pPr>
      <w:r>
        <w:t>Car Rental Insurance Surety</w:t>
      </w:r>
    </w:p>
    <w:p w14:paraId="2F2E1BD7" w14:textId="77777777" w:rsidR="00DC1A8D" w:rsidRDefault="00DC1A8D" w:rsidP="00DC1A8D">
      <w:pPr>
        <w:pStyle w:val="BodyText"/>
        <w:spacing w:before="5"/>
        <w:rPr>
          <w:sz w:val="24"/>
        </w:rPr>
      </w:pPr>
    </w:p>
    <w:p w14:paraId="16EED961" w14:textId="77777777" w:rsidR="00DC1A8D" w:rsidRDefault="00DC1A8D" w:rsidP="00DC1A8D">
      <w:pPr>
        <w:pStyle w:val="BodyText"/>
        <w:spacing w:before="5"/>
        <w:rPr>
          <w:sz w:val="24"/>
        </w:rPr>
      </w:pPr>
    </w:p>
    <w:p w14:paraId="641622A5" w14:textId="77777777" w:rsidR="00DC1A8D" w:rsidRDefault="00DC1A8D" w:rsidP="00DC1A8D">
      <w:pPr>
        <w:pStyle w:val="BodyText"/>
        <w:spacing w:before="5"/>
        <w:rPr>
          <w:sz w:val="24"/>
        </w:rPr>
      </w:pPr>
    </w:p>
    <w:p w14:paraId="403C0DED" w14:textId="77777777" w:rsidR="00DC1A8D" w:rsidRDefault="00DC1A8D" w:rsidP="00DC1A8D">
      <w:pPr>
        <w:pStyle w:val="BodyText"/>
        <w:spacing w:before="5"/>
        <w:rPr>
          <w:sz w:val="24"/>
        </w:rPr>
      </w:pPr>
    </w:p>
    <w:p w14:paraId="5AEF0BD9" w14:textId="77777777" w:rsidR="00DC1A8D" w:rsidRDefault="00DC1A8D" w:rsidP="00DC1A8D">
      <w:pPr>
        <w:pStyle w:val="BodyText"/>
        <w:spacing w:before="5"/>
        <w:rPr>
          <w:sz w:val="24"/>
        </w:rPr>
      </w:pPr>
    </w:p>
    <w:p w14:paraId="1FA65A00" w14:textId="77777777" w:rsidR="00DC1A8D" w:rsidRDefault="00DC1A8D" w:rsidP="00DC1A8D">
      <w:pPr>
        <w:pStyle w:val="BodyText"/>
        <w:spacing w:before="5"/>
        <w:rPr>
          <w:sz w:val="24"/>
        </w:rPr>
      </w:pPr>
    </w:p>
    <w:p w14:paraId="4BD7877E" w14:textId="77777777" w:rsidR="00DC1A8D" w:rsidRDefault="00DC1A8D" w:rsidP="00DC1A8D">
      <w:pPr>
        <w:pStyle w:val="BodyText"/>
        <w:spacing w:before="5"/>
        <w:rPr>
          <w:sz w:val="24"/>
        </w:rPr>
      </w:pPr>
    </w:p>
    <w:p w14:paraId="2675D048" w14:textId="77777777" w:rsidR="00DC1A8D" w:rsidRDefault="00DC1A8D" w:rsidP="00DC1A8D">
      <w:pPr>
        <w:pStyle w:val="BodyText"/>
        <w:spacing w:before="5"/>
        <w:rPr>
          <w:sz w:val="24"/>
        </w:rPr>
      </w:pPr>
    </w:p>
    <w:p w14:paraId="10C41607" w14:textId="77777777" w:rsidR="00DC1A8D" w:rsidRDefault="00DC1A8D" w:rsidP="00DC1A8D">
      <w:pPr>
        <w:pStyle w:val="BodyText"/>
        <w:ind w:left="119"/>
        <w:jc w:val="both"/>
      </w:pPr>
      <w:r>
        <w:t>Examinations</w:t>
      </w:r>
    </w:p>
    <w:p w14:paraId="4D8DC30A" w14:textId="77777777" w:rsidR="00DC1A8D" w:rsidRDefault="00DC1A8D" w:rsidP="00DC1A8D">
      <w:pPr>
        <w:pStyle w:val="BodyText"/>
        <w:spacing w:before="77"/>
        <w:ind w:left="119" w:right="115"/>
        <w:jc w:val="both"/>
      </w:pPr>
    </w:p>
    <w:p w14:paraId="52802ED3" w14:textId="77777777" w:rsidR="00DC1A8D" w:rsidRDefault="00DC1A8D" w:rsidP="00DC1A8D">
      <w:pPr>
        <w:pStyle w:val="BodyText"/>
        <w:spacing w:before="77"/>
        <w:ind w:left="119" w:right="115"/>
        <w:jc w:val="both"/>
      </w:pPr>
      <w:r>
        <w:t xml:space="preserve">Once the appropriate </w:t>
      </w:r>
      <w:proofErr w:type="spellStart"/>
      <w:r>
        <w:t>prelicensing</w:t>
      </w:r>
      <w:proofErr w:type="spellEnd"/>
      <w:r>
        <w:t xml:space="preserve"> course is completed, an individual is eligible to sit for the insurance producer examination. If not reported electronically, test candidates must present an original certificate of completion from an approved </w:t>
      </w:r>
      <w:proofErr w:type="spellStart"/>
      <w:r>
        <w:t>prelicensing</w:t>
      </w:r>
      <w:proofErr w:type="spellEnd"/>
      <w:r>
        <w:t xml:space="preserve"> provider at the time </w:t>
      </w:r>
      <w:proofErr w:type="gramStart"/>
      <w:r>
        <w:t>of  the</w:t>
      </w:r>
      <w:proofErr w:type="gramEnd"/>
      <w:r>
        <w:t xml:space="preserve"> examination. A </w:t>
      </w:r>
      <w:proofErr w:type="spellStart"/>
      <w:proofErr w:type="gramStart"/>
      <w:r>
        <w:t>prelicensing</w:t>
      </w:r>
      <w:proofErr w:type="spellEnd"/>
      <w:r>
        <w:t xml:space="preserve">  course</w:t>
      </w:r>
      <w:proofErr w:type="gramEnd"/>
      <w:r>
        <w:t xml:space="preserve"> certificate is valid for  from date of completion. </w:t>
      </w:r>
      <w:proofErr w:type="gramStart"/>
      <w:r>
        <w:t>The  insurance</w:t>
      </w:r>
      <w:proofErr w:type="gramEnd"/>
      <w:r>
        <w:t xml:space="preserve"> producer examination is available in locations around the state. Information about testing locations is on the department Web site. This Web site also contains information on insurance licensing, the application process, registration for examinations and the issuance of licenses. The examination fee is $   </w:t>
      </w:r>
      <w:proofErr w:type="gramStart"/>
      <w:r>
        <w:t xml:space="preserve"> </w:t>
      </w:r>
      <w:r>
        <w:rPr>
          <w:spacing w:val="7"/>
        </w:rPr>
        <w:t xml:space="preserve"> </w:t>
      </w:r>
      <w:r>
        <w:t>.</w:t>
      </w:r>
      <w:proofErr w:type="gramEnd"/>
    </w:p>
    <w:p w14:paraId="1A91267A" w14:textId="77777777" w:rsidR="00DC1A8D" w:rsidRDefault="00DC1A8D" w:rsidP="00DC1A8D">
      <w:pPr>
        <w:pStyle w:val="BodyText"/>
        <w:spacing w:before="4"/>
        <w:rPr>
          <w:sz w:val="24"/>
        </w:rPr>
      </w:pPr>
    </w:p>
    <w:p w14:paraId="4D7DD748" w14:textId="77777777" w:rsidR="00DC1A8D" w:rsidRDefault="00DC1A8D" w:rsidP="00DC1A8D">
      <w:pPr>
        <w:pStyle w:val="BodyText"/>
        <w:ind w:left="119"/>
        <w:jc w:val="both"/>
      </w:pPr>
      <w:r>
        <w:t>Initial Licensing Qualifications</w:t>
      </w:r>
    </w:p>
    <w:p w14:paraId="6FB8D180" w14:textId="77777777" w:rsidR="00DC1A8D" w:rsidRDefault="00DC1A8D" w:rsidP="00DC1A8D">
      <w:pPr>
        <w:pStyle w:val="BodyText"/>
        <w:spacing w:before="3"/>
        <w:rPr>
          <w:sz w:val="24"/>
        </w:rPr>
      </w:pPr>
    </w:p>
    <w:p w14:paraId="204A0E5E" w14:textId="77777777" w:rsidR="00DC1A8D" w:rsidRDefault="00DC1A8D" w:rsidP="00DC1A8D">
      <w:pPr>
        <w:pStyle w:val="BodyText"/>
        <w:spacing w:before="1"/>
        <w:ind w:left="119"/>
        <w:jc w:val="both"/>
      </w:pPr>
      <w:r>
        <w:t>The qualifications necessary to become an insurance producer include, but are not limited to, the following:</w:t>
      </w:r>
    </w:p>
    <w:p w14:paraId="5415F128" w14:textId="77777777" w:rsidR="00DC1A8D" w:rsidRDefault="00DC1A8D" w:rsidP="00DC1A8D">
      <w:pPr>
        <w:pStyle w:val="BodyText"/>
        <w:spacing w:before="4"/>
        <w:rPr>
          <w:sz w:val="24"/>
        </w:rPr>
      </w:pPr>
    </w:p>
    <w:p w14:paraId="68D17088" w14:textId="77777777" w:rsidR="00DC1A8D" w:rsidRDefault="00DC1A8D" w:rsidP="00DC1A8D">
      <w:pPr>
        <w:pStyle w:val="ListParagraph"/>
        <w:numPr>
          <w:ilvl w:val="0"/>
          <w:numId w:val="1"/>
        </w:numPr>
        <w:tabs>
          <w:tab w:val="left" w:pos="839"/>
          <w:tab w:val="left" w:pos="840"/>
        </w:tabs>
        <w:spacing w:line="245" w:lineRule="exact"/>
        <w:ind w:left="840"/>
        <w:rPr>
          <w:sz w:val="20"/>
        </w:rPr>
      </w:pPr>
      <w:r>
        <w:rPr>
          <w:sz w:val="20"/>
        </w:rPr>
        <w:t>Must be at least 18 years of</w:t>
      </w:r>
      <w:r>
        <w:rPr>
          <w:spacing w:val="-18"/>
          <w:sz w:val="20"/>
        </w:rPr>
        <w:t xml:space="preserve"> </w:t>
      </w:r>
      <w:r>
        <w:rPr>
          <w:sz w:val="20"/>
        </w:rPr>
        <w:t>age.</w:t>
      </w:r>
    </w:p>
    <w:p w14:paraId="45D70BEA" w14:textId="77777777" w:rsidR="00DC1A8D" w:rsidRDefault="00DC1A8D" w:rsidP="00DC1A8D">
      <w:pPr>
        <w:pStyle w:val="ListParagraph"/>
        <w:numPr>
          <w:ilvl w:val="0"/>
          <w:numId w:val="1"/>
        </w:numPr>
        <w:tabs>
          <w:tab w:val="left" w:pos="839"/>
          <w:tab w:val="left" w:pos="840"/>
        </w:tabs>
        <w:ind w:left="840" w:right="117"/>
        <w:rPr>
          <w:sz w:val="20"/>
        </w:rPr>
      </w:pPr>
      <w:r>
        <w:rPr>
          <w:sz w:val="20"/>
        </w:rPr>
        <w:t>Must not have committed any act that is a ground for denial, suspension or revocation of license (See PLMA section 12).</w:t>
      </w:r>
    </w:p>
    <w:p w14:paraId="65F0E92C" w14:textId="77777777" w:rsidR="00DC1A8D" w:rsidRDefault="00DC1A8D" w:rsidP="00DC1A8D">
      <w:pPr>
        <w:pStyle w:val="ListParagraph"/>
        <w:numPr>
          <w:ilvl w:val="0"/>
          <w:numId w:val="1"/>
        </w:numPr>
        <w:tabs>
          <w:tab w:val="left" w:pos="839"/>
          <w:tab w:val="left" w:pos="840"/>
        </w:tabs>
        <w:ind w:left="840" w:right="120"/>
        <w:rPr>
          <w:sz w:val="20"/>
        </w:rPr>
      </w:pPr>
      <w:r>
        <w:rPr>
          <w:sz w:val="20"/>
        </w:rPr>
        <w:t xml:space="preserve">Must complete a </w:t>
      </w:r>
      <w:proofErr w:type="spellStart"/>
      <w:r>
        <w:rPr>
          <w:sz w:val="20"/>
        </w:rPr>
        <w:t>prelicensing</w:t>
      </w:r>
      <w:proofErr w:type="spellEnd"/>
      <w:r>
        <w:rPr>
          <w:sz w:val="20"/>
        </w:rPr>
        <w:t xml:space="preserve"> course of study, if required, for the major lines of authority for which the person is applying.</w:t>
      </w:r>
    </w:p>
    <w:p w14:paraId="662E1CAA" w14:textId="77777777" w:rsidR="00DC1A8D" w:rsidRDefault="00DC1A8D" w:rsidP="00DC1A8D">
      <w:pPr>
        <w:pStyle w:val="ListParagraph"/>
        <w:numPr>
          <w:ilvl w:val="0"/>
          <w:numId w:val="1"/>
        </w:numPr>
        <w:tabs>
          <w:tab w:val="left" w:pos="839"/>
          <w:tab w:val="left" w:pos="840"/>
        </w:tabs>
        <w:spacing w:line="244" w:lineRule="exact"/>
        <w:ind w:left="840"/>
        <w:rPr>
          <w:sz w:val="20"/>
        </w:rPr>
      </w:pPr>
      <w:r>
        <w:rPr>
          <w:sz w:val="20"/>
        </w:rPr>
        <w:t>Must</w:t>
      </w:r>
      <w:r>
        <w:rPr>
          <w:spacing w:val="-3"/>
          <w:sz w:val="20"/>
        </w:rPr>
        <w:t xml:space="preserve"> </w:t>
      </w:r>
      <w:r>
        <w:rPr>
          <w:sz w:val="20"/>
        </w:rPr>
        <w:t>successfully</w:t>
      </w:r>
      <w:r>
        <w:rPr>
          <w:spacing w:val="-4"/>
          <w:sz w:val="20"/>
        </w:rPr>
        <w:t xml:space="preserve"> </w:t>
      </w:r>
      <w:r>
        <w:rPr>
          <w:sz w:val="20"/>
        </w:rPr>
        <w:t>complete</w:t>
      </w:r>
      <w:r>
        <w:rPr>
          <w:spacing w:val="-3"/>
          <w:sz w:val="20"/>
        </w:rPr>
        <w:t xml:space="preserve"> </w:t>
      </w:r>
      <w:r>
        <w:rPr>
          <w:sz w:val="20"/>
        </w:rPr>
        <w:t>the</w:t>
      </w:r>
      <w:r>
        <w:rPr>
          <w:spacing w:val="-3"/>
          <w:sz w:val="20"/>
        </w:rPr>
        <w:t xml:space="preserve"> </w:t>
      </w:r>
      <w:r>
        <w:rPr>
          <w:sz w:val="20"/>
        </w:rPr>
        <w:t>examination</w:t>
      </w:r>
      <w:r>
        <w:rPr>
          <w:spacing w:val="-4"/>
          <w:sz w:val="20"/>
        </w:rPr>
        <w:t xml:space="preserve"> </w:t>
      </w:r>
      <w:r>
        <w:rPr>
          <w:sz w:val="20"/>
        </w:rPr>
        <w:t>for</w:t>
      </w:r>
      <w:r>
        <w:rPr>
          <w:spacing w:val="-3"/>
          <w:sz w:val="20"/>
        </w:rPr>
        <w:t xml:space="preserve"> </w:t>
      </w:r>
      <w:r>
        <w:rPr>
          <w:sz w:val="20"/>
        </w:rPr>
        <w:t>the</w:t>
      </w:r>
      <w:r>
        <w:rPr>
          <w:spacing w:val="-3"/>
          <w:sz w:val="20"/>
        </w:rPr>
        <w:t xml:space="preserve"> </w:t>
      </w:r>
      <w:r>
        <w:rPr>
          <w:sz w:val="20"/>
        </w:rPr>
        <w:t>lines</w:t>
      </w:r>
      <w:r>
        <w:rPr>
          <w:spacing w:val="-5"/>
          <w:sz w:val="20"/>
        </w:rPr>
        <w:t xml:space="preserve"> </w:t>
      </w:r>
      <w:r>
        <w:rPr>
          <w:sz w:val="20"/>
        </w:rPr>
        <w:t>of</w:t>
      </w:r>
      <w:r>
        <w:rPr>
          <w:spacing w:val="-5"/>
          <w:sz w:val="20"/>
        </w:rPr>
        <w:t xml:space="preserve"> </w:t>
      </w:r>
      <w:r>
        <w:rPr>
          <w:sz w:val="20"/>
        </w:rPr>
        <w:t>authority</w:t>
      </w:r>
      <w:r>
        <w:rPr>
          <w:spacing w:val="-3"/>
          <w:sz w:val="20"/>
        </w:rPr>
        <w:t xml:space="preserve"> </w:t>
      </w:r>
      <w:r>
        <w:rPr>
          <w:sz w:val="20"/>
        </w:rPr>
        <w:t>for</w:t>
      </w:r>
      <w:r>
        <w:rPr>
          <w:spacing w:val="-3"/>
          <w:sz w:val="20"/>
        </w:rPr>
        <w:t xml:space="preserve"> </w:t>
      </w:r>
      <w:r>
        <w:rPr>
          <w:sz w:val="20"/>
        </w:rPr>
        <w:t>which</w:t>
      </w:r>
      <w:r>
        <w:rPr>
          <w:spacing w:val="-2"/>
          <w:sz w:val="20"/>
        </w:rPr>
        <w:t xml:space="preserve"> </w:t>
      </w:r>
      <w:r>
        <w:rPr>
          <w:sz w:val="20"/>
        </w:rPr>
        <w:t>the</w:t>
      </w:r>
      <w:r>
        <w:rPr>
          <w:spacing w:val="-3"/>
          <w:sz w:val="20"/>
        </w:rPr>
        <w:t xml:space="preserve"> </w:t>
      </w:r>
      <w:r>
        <w:rPr>
          <w:sz w:val="20"/>
        </w:rPr>
        <w:t>individual</w:t>
      </w:r>
      <w:r>
        <w:rPr>
          <w:spacing w:val="-5"/>
          <w:sz w:val="20"/>
        </w:rPr>
        <w:t xml:space="preserve"> </w:t>
      </w:r>
      <w:r>
        <w:rPr>
          <w:sz w:val="20"/>
        </w:rPr>
        <w:t>has</w:t>
      </w:r>
      <w:r>
        <w:rPr>
          <w:spacing w:val="-3"/>
          <w:sz w:val="20"/>
        </w:rPr>
        <w:t xml:space="preserve"> </w:t>
      </w:r>
      <w:r>
        <w:rPr>
          <w:sz w:val="20"/>
        </w:rPr>
        <w:t>applied.</w:t>
      </w:r>
    </w:p>
    <w:p w14:paraId="120EA43D" w14:textId="77777777" w:rsidR="00DC1A8D" w:rsidRDefault="00DC1A8D" w:rsidP="00DC1A8D">
      <w:pPr>
        <w:pStyle w:val="BodyText"/>
        <w:spacing w:before="4"/>
        <w:rPr>
          <w:sz w:val="24"/>
        </w:rPr>
      </w:pPr>
    </w:p>
    <w:p w14:paraId="56BF8303" w14:textId="77777777" w:rsidR="00DC1A8D" w:rsidRDefault="00DC1A8D" w:rsidP="00DC1A8D">
      <w:pPr>
        <w:pStyle w:val="BodyText"/>
        <w:spacing w:line="532" w:lineRule="auto"/>
        <w:ind w:left="119" w:right="8203"/>
      </w:pPr>
      <w:r>
        <w:t>Initial Licensing Process Residents</w:t>
      </w:r>
    </w:p>
    <w:p w14:paraId="0C11F58A" w14:textId="77777777" w:rsidR="00DC1A8D" w:rsidRDefault="00DC1A8D" w:rsidP="00DC1A8D">
      <w:pPr>
        <w:pStyle w:val="BodyText"/>
        <w:spacing w:before="9"/>
        <w:ind w:left="119"/>
        <w:jc w:val="both"/>
      </w:pPr>
      <w:r>
        <w:lastRenderedPageBreak/>
        <w:t>There are two options available to obtain a resident license:</w:t>
      </w:r>
    </w:p>
    <w:p w14:paraId="280574BE" w14:textId="77777777" w:rsidR="00DC1A8D" w:rsidRDefault="00DC1A8D" w:rsidP="00DC1A8D">
      <w:pPr>
        <w:pStyle w:val="BodyText"/>
        <w:spacing w:before="3"/>
        <w:rPr>
          <w:sz w:val="24"/>
        </w:rPr>
      </w:pPr>
    </w:p>
    <w:p w14:paraId="745C6D0B" w14:textId="77777777" w:rsidR="00DC1A8D" w:rsidRDefault="00DC1A8D" w:rsidP="00DC1A8D">
      <w:pPr>
        <w:pStyle w:val="BodyText"/>
        <w:ind w:left="1319" w:right="273" w:hanging="840"/>
      </w:pPr>
      <w:r>
        <w:t xml:space="preserve">Option 1: Test results are reported electronically to the insurance department. Applications can be submitted online </w:t>
      </w:r>
      <w:proofErr w:type="gramStart"/>
      <w:r>
        <w:t>at  the</w:t>
      </w:r>
      <w:proofErr w:type="gramEnd"/>
      <w:r>
        <w:t xml:space="preserve"> department Web site.</w:t>
      </w:r>
      <w:r>
        <w:rPr>
          <w:spacing w:val="-13"/>
        </w:rPr>
        <w:t xml:space="preserve"> </w:t>
      </w:r>
      <w:r>
        <w:t>(or)</w:t>
      </w:r>
    </w:p>
    <w:p w14:paraId="18D03EE7" w14:textId="77777777" w:rsidR="00DC1A8D" w:rsidRDefault="00DC1A8D" w:rsidP="00DC1A8D">
      <w:pPr>
        <w:pStyle w:val="BodyText"/>
        <w:spacing w:before="3"/>
        <w:rPr>
          <w:sz w:val="24"/>
        </w:rPr>
      </w:pPr>
    </w:p>
    <w:p w14:paraId="0809D9CC" w14:textId="77777777" w:rsidR="00DC1A8D" w:rsidRDefault="00DC1A8D" w:rsidP="00DC1A8D">
      <w:pPr>
        <w:pStyle w:val="BodyText"/>
        <w:tabs>
          <w:tab w:val="left" w:pos="9822"/>
        </w:tabs>
        <w:ind w:left="1319" w:right="273" w:hanging="840"/>
      </w:pPr>
      <w:r>
        <w:t>Option 2: After successfully completing the examination, applicants must attach both the original examination results certificate and a $     fee to the uniform application form for Individual Producer License and</w:t>
      </w:r>
      <w:r>
        <w:rPr>
          <w:spacing w:val="-21"/>
        </w:rPr>
        <w:t xml:space="preserve"> </w:t>
      </w:r>
      <w:r>
        <w:t>send to</w:t>
      </w:r>
      <w:r>
        <w:rPr>
          <w:u w:val="single"/>
        </w:rPr>
        <w:t xml:space="preserve"> </w:t>
      </w:r>
      <w:r>
        <w:rPr>
          <w:u w:val="single"/>
        </w:rPr>
        <w:tab/>
      </w:r>
      <w:r>
        <w:t>.</w:t>
      </w:r>
    </w:p>
    <w:p w14:paraId="7CF50B39" w14:textId="77777777" w:rsidR="00DC1A8D" w:rsidRDefault="00DC1A8D" w:rsidP="00DC1A8D">
      <w:pPr>
        <w:pStyle w:val="BodyText"/>
        <w:spacing w:before="3"/>
        <w:rPr>
          <w:sz w:val="24"/>
        </w:rPr>
      </w:pPr>
    </w:p>
    <w:p w14:paraId="5FBC78AD" w14:textId="77777777" w:rsidR="00DC1A8D" w:rsidRDefault="00DC1A8D" w:rsidP="00DC1A8D">
      <w:pPr>
        <w:pStyle w:val="BodyText"/>
        <w:ind w:left="119"/>
        <w:jc w:val="both"/>
      </w:pPr>
      <w:r>
        <w:t>Nonresidents</w:t>
      </w:r>
    </w:p>
    <w:p w14:paraId="5C6E5F23" w14:textId="77777777" w:rsidR="00DC1A8D" w:rsidRDefault="00DC1A8D" w:rsidP="00DC1A8D">
      <w:pPr>
        <w:pStyle w:val="BodyText"/>
        <w:spacing w:before="2"/>
        <w:rPr>
          <w:sz w:val="24"/>
        </w:rPr>
      </w:pPr>
    </w:p>
    <w:p w14:paraId="114496D6" w14:textId="77777777" w:rsidR="00DC1A8D" w:rsidRDefault="00DC1A8D" w:rsidP="00DC1A8D">
      <w:pPr>
        <w:pStyle w:val="ListParagraph"/>
        <w:numPr>
          <w:ilvl w:val="0"/>
          <w:numId w:val="1"/>
        </w:numPr>
        <w:tabs>
          <w:tab w:val="left" w:pos="839"/>
          <w:tab w:val="left" w:pos="840"/>
        </w:tabs>
        <w:ind w:left="840" w:right="116"/>
        <w:rPr>
          <w:sz w:val="20"/>
        </w:rPr>
      </w:pPr>
      <w:r>
        <w:rPr>
          <w:sz w:val="20"/>
        </w:rPr>
        <w:t>Applicants must be in good standing and hold an active license in their resident state for the same lines of authority for which they are</w:t>
      </w:r>
      <w:r>
        <w:rPr>
          <w:spacing w:val="-20"/>
          <w:sz w:val="20"/>
        </w:rPr>
        <w:t xml:space="preserve"> </w:t>
      </w:r>
      <w:r>
        <w:rPr>
          <w:sz w:val="20"/>
        </w:rPr>
        <w:t>applying.</w:t>
      </w:r>
    </w:p>
    <w:p w14:paraId="0F5B5069" w14:textId="77777777" w:rsidR="00DC1A8D" w:rsidRDefault="00DC1A8D" w:rsidP="00DC1A8D">
      <w:pPr>
        <w:pStyle w:val="ListParagraph"/>
        <w:numPr>
          <w:ilvl w:val="0"/>
          <w:numId w:val="1"/>
        </w:numPr>
        <w:tabs>
          <w:tab w:val="left" w:pos="839"/>
          <w:tab w:val="left" w:pos="840"/>
        </w:tabs>
        <w:spacing w:line="244" w:lineRule="exact"/>
        <w:ind w:left="840"/>
        <w:rPr>
          <w:sz w:val="20"/>
        </w:rPr>
      </w:pPr>
      <w:r>
        <w:rPr>
          <w:sz w:val="20"/>
        </w:rPr>
        <w:t>Applicants</w:t>
      </w:r>
      <w:r>
        <w:rPr>
          <w:spacing w:val="-5"/>
          <w:sz w:val="20"/>
        </w:rPr>
        <w:t xml:space="preserve"> </w:t>
      </w:r>
      <w:r>
        <w:rPr>
          <w:sz w:val="20"/>
        </w:rPr>
        <w:t>must</w:t>
      </w:r>
      <w:r>
        <w:rPr>
          <w:spacing w:val="-5"/>
          <w:sz w:val="20"/>
        </w:rPr>
        <w:t xml:space="preserve"> </w:t>
      </w:r>
      <w:r>
        <w:rPr>
          <w:sz w:val="20"/>
        </w:rPr>
        <w:t>complete</w:t>
      </w:r>
      <w:r>
        <w:rPr>
          <w:spacing w:val="-5"/>
          <w:sz w:val="20"/>
        </w:rPr>
        <w:t xml:space="preserve"> </w:t>
      </w:r>
      <w:r>
        <w:rPr>
          <w:sz w:val="20"/>
        </w:rPr>
        <w:t>the</w:t>
      </w:r>
      <w:r>
        <w:rPr>
          <w:spacing w:val="-5"/>
          <w:sz w:val="20"/>
        </w:rPr>
        <w:t xml:space="preserve"> </w:t>
      </w:r>
      <w:r>
        <w:rPr>
          <w:sz w:val="20"/>
        </w:rPr>
        <w:t>NAIC</w:t>
      </w:r>
      <w:r>
        <w:rPr>
          <w:spacing w:val="-6"/>
          <w:sz w:val="20"/>
        </w:rPr>
        <w:t xml:space="preserve"> </w:t>
      </w:r>
      <w:r>
        <w:rPr>
          <w:sz w:val="20"/>
        </w:rPr>
        <w:t>Uniform</w:t>
      </w:r>
      <w:r>
        <w:rPr>
          <w:spacing w:val="-6"/>
          <w:sz w:val="20"/>
        </w:rPr>
        <w:t xml:space="preserve"> </w:t>
      </w:r>
      <w:r>
        <w:rPr>
          <w:sz w:val="20"/>
        </w:rPr>
        <w:t>Application</w:t>
      </w:r>
      <w:r>
        <w:rPr>
          <w:spacing w:val="-6"/>
          <w:sz w:val="20"/>
        </w:rPr>
        <w:t xml:space="preserve"> </w:t>
      </w:r>
      <w:r>
        <w:rPr>
          <w:sz w:val="20"/>
        </w:rPr>
        <w:t>for</w:t>
      </w:r>
      <w:r>
        <w:rPr>
          <w:spacing w:val="-6"/>
          <w:sz w:val="20"/>
        </w:rPr>
        <w:t xml:space="preserve"> </w:t>
      </w:r>
      <w:r>
        <w:rPr>
          <w:sz w:val="20"/>
        </w:rPr>
        <w:t>Individual</w:t>
      </w:r>
      <w:r>
        <w:rPr>
          <w:spacing w:val="-6"/>
          <w:sz w:val="20"/>
        </w:rPr>
        <w:t xml:space="preserve"> </w:t>
      </w:r>
      <w:r>
        <w:rPr>
          <w:sz w:val="20"/>
        </w:rPr>
        <w:t>License.</w:t>
      </w:r>
    </w:p>
    <w:p w14:paraId="3D287641" w14:textId="77777777" w:rsidR="00DC1A8D" w:rsidRDefault="00DC1A8D" w:rsidP="00DC1A8D">
      <w:pPr>
        <w:pStyle w:val="ListParagraph"/>
        <w:numPr>
          <w:ilvl w:val="0"/>
          <w:numId w:val="1"/>
        </w:numPr>
        <w:tabs>
          <w:tab w:val="left" w:pos="839"/>
          <w:tab w:val="left" w:pos="840"/>
        </w:tabs>
        <w:spacing w:line="244" w:lineRule="exact"/>
        <w:ind w:left="840"/>
        <w:rPr>
          <w:sz w:val="20"/>
        </w:rPr>
      </w:pPr>
      <w:r>
        <w:rPr>
          <w:sz w:val="20"/>
        </w:rPr>
        <w:t>No letter of certification is required with</w:t>
      </w:r>
      <w:r>
        <w:rPr>
          <w:spacing w:val="-31"/>
          <w:sz w:val="20"/>
        </w:rPr>
        <w:t xml:space="preserve"> </w:t>
      </w:r>
      <w:r>
        <w:rPr>
          <w:sz w:val="20"/>
        </w:rPr>
        <w:t>application.</w:t>
      </w:r>
    </w:p>
    <w:p w14:paraId="544D7899" w14:textId="77777777" w:rsidR="00DC1A8D" w:rsidRDefault="00DC1A8D" w:rsidP="00DC1A8D">
      <w:pPr>
        <w:pStyle w:val="BodyText"/>
        <w:spacing w:before="3"/>
        <w:rPr>
          <w:sz w:val="24"/>
        </w:rPr>
      </w:pPr>
    </w:p>
    <w:p w14:paraId="3B186F62" w14:textId="77777777" w:rsidR="00DC1A8D" w:rsidRDefault="00DC1A8D" w:rsidP="00DC1A8D">
      <w:pPr>
        <w:pStyle w:val="BodyText"/>
        <w:ind w:left="119"/>
        <w:jc w:val="both"/>
      </w:pPr>
      <w:r>
        <w:t>Appointments (Optional)</w:t>
      </w:r>
    </w:p>
    <w:p w14:paraId="3375C85C" w14:textId="77777777" w:rsidR="00DC1A8D" w:rsidRDefault="00DC1A8D" w:rsidP="00DC1A8D">
      <w:pPr>
        <w:pStyle w:val="BodyText"/>
        <w:spacing w:before="3"/>
        <w:rPr>
          <w:sz w:val="24"/>
        </w:rPr>
      </w:pPr>
    </w:p>
    <w:p w14:paraId="48944F62" w14:textId="77777777" w:rsidR="00DC1A8D" w:rsidRDefault="00DC1A8D" w:rsidP="00DC1A8D">
      <w:pPr>
        <w:pStyle w:val="BodyText"/>
        <w:spacing w:line="532" w:lineRule="auto"/>
        <w:ind w:left="119" w:right="2422"/>
      </w:pPr>
      <w:r>
        <w:t>Once licensed, a producer can then be appointed by one or more insurers to act as their producer. Renewal Process</w:t>
      </w:r>
    </w:p>
    <w:p w14:paraId="7CB633E5" w14:textId="77777777" w:rsidR="00DC1A8D" w:rsidRDefault="00DC1A8D" w:rsidP="00DC1A8D">
      <w:pPr>
        <w:pStyle w:val="BodyText"/>
        <w:spacing w:before="9"/>
        <w:ind w:left="119" w:right="273"/>
      </w:pPr>
      <w:r>
        <w:t xml:space="preserve">Upon license expiration, producers are eligible to reinstate their license for a period of 12 months from the last day of their birth month without the necessity of completing the </w:t>
      </w:r>
      <w:proofErr w:type="spellStart"/>
      <w:r>
        <w:t>prelicensing</w:t>
      </w:r>
      <w:proofErr w:type="spellEnd"/>
      <w:r>
        <w:t xml:space="preserve"> course or passing a written examination.</w:t>
      </w:r>
    </w:p>
    <w:p w14:paraId="5439F2A4" w14:textId="77777777" w:rsidR="005C4C4C" w:rsidRDefault="005C4C4C">
      <w:bookmarkStart w:id="0" w:name="_GoBack"/>
      <w:bookmarkEnd w:id="0"/>
    </w:p>
    <w:sectPr w:rsidR="005C4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C3A30"/>
    <w:multiLevelType w:val="hybridMultilevel"/>
    <w:tmpl w:val="1D5A7866"/>
    <w:lvl w:ilvl="0" w:tplc="46D25F20">
      <w:start w:val="1"/>
      <w:numFmt w:val="upperLetter"/>
      <w:lvlText w:val="%1."/>
      <w:lvlJc w:val="left"/>
      <w:pPr>
        <w:ind w:left="363" w:hanging="244"/>
      </w:pPr>
      <w:rPr>
        <w:rFonts w:ascii="Times New Roman" w:eastAsia="Times New Roman" w:hAnsi="Times New Roman" w:cs="Times New Roman" w:hint="default"/>
        <w:spacing w:val="-1"/>
        <w:w w:val="100"/>
        <w:sz w:val="20"/>
        <w:szCs w:val="20"/>
      </w:rPr>
    </w:lvl>
    <w:lvl w:ilvl="1" w:tplc="C32E5BC0">
      <w:start w:val="1"/>
      <w:numFmt w:val="decimal"/>
      <w:lvlText w:val="%2."/>
      <w:lvlJc w:val="left"/>
      <w:pPr>
        <w:ind w:left="820" w:hanging="360"/>
      </w:pPr>
      <w:rPr>
        <w:rFonts w:ascii="Times New Roman" w:eastAsia="Times New Roman" w:hAnsi="Times New Roman" w:cs="Times New Roman" w:hint="default"/>
        <w:w w:val="100"/>
        <w:sz w:val="20"/>
        <w:szCs w:val="20"/>
      </w:rPr>
    </w:lvl>
    <w:lvl w:ilvl="2" w:tplc="277AEA6C">
      <w:numFmt w:val="bullet"/>
      <w:lvlText w:val="•"/>
      <w:lvlJc w:val="left"/>
      <w:pPr>
        <w:ind w:left="1873" w:hanging="360"/>
      </w:pPr>
      <w:rPr>
        <w:rFonts w:hint="default"/>
      </w:rPr>
    </w:lvl>
    <w:lvl w:ilvl="3" w:tplc="E25C9B1E">
      <w:numFmt w:val="bullet"/>
      <w:lvlText w:val="•"/>
      <w:lvlJc w:val="left"/>
      <w:pPr>
        <w:ind w:left="2926" w:hanging="360"/>
      </w:pPr>
      <w:rPr>
        <w:rFonts w:hint="default"/>
      </w:rPr>
    </w:lvl>
    <w:lvl w:ilvl="4" w:tplc="39ACCC14">
      <w:numFmt w:val="bullet"/>
      <w:lvlText w:val="•"/>
      <w:lvlJc w:val="left"/>
      <w:pPr>
        <w:ind w:left="3980" w:hanging="360"/>
      </w:pPr>
      <w:rPr>
        <w:rFonts w:hint="default"/>
      </w:rPr>
    </w:lvl>
    <w:lvl w:ilvl="5" w:tplc="D22A50DE">
      <w:numFmt w:val="bullet"/>
      <w:lvlText w:val="•"/>
      <w:lvlJc w:val="left"/>
      <w:pPr>
        <w:ind w:left="5033" w:hanging="360"/>
      </w:pPr>
      <w:rPr>
        <w:rFonts w:hint="default"/>
      </w:rPr>
    </w:lvl>
    <w:lvl w:ilvl="6" w:tplc="CC02FDA2">
      <w:numFmt w:val="bullet"/>
      <w:lvlText w:val="•"/>
      <w:lvlJc w:val="left"/>
      <w:pPr>
        <w:ind w:left="6086" w:hanging="360"/>
      </w:pPr>
      <w:rPr>
        <w:rFonts w:hint="default"/>
      </w:rPr>
    </w:lvl>
    <w:lvl w:ilvl="7" w:tplc="B1FEF8F2">
      <w:numFmt w:val="bullet"/>
      <w:lvlText w:val="•"/>
      <w:lvlJc w:val="left"/>
      <w:pPr>
        <w:ind w:left="7140" w:hanging="360"/>
      </w:pPr>
      <w:rPr>
        <w:rFonts w:hint="default"/>
      </w:rPr>
    </w:lvl>
    <w:lvl w:ilvl="8" w:tplc="15A4B660">
      <w:numFmt w:val="bullet"/>
      <w:lvlText w:val="•"/>
      <w:lvlJc w:val="left"/>
      <w:pPr>
        <w:ind w:left="8193" w:hanging="360"/>
      </w:pPr>
      <w:rPr>
        <w:rFonts w:hint="default"/>
      </w:rPr>
    </w:lvl>
  </w:abstractNum>
  <w:abstractNum w:abstractNumId="1" w15:restartNumberingAfterBreak="0">
    <w:nsid w:val="1CB45D4F"/>
    <w:multiLevelType w:val="hybridMultilevel"/>
    <w:tmpl w:val="CE0419DE"/>
    <w:lvl w:ilvl="0" w:tplc="E3B2E828">
      <w:numFmt w:val="bullet"/>
      <w:lvlText w:val=""/>
      <w:lvlJc w:val="left"/>
      <w:pPr>
        <w:ind w:left="839" w:hanging="360"/>
      </w:pPr>
      <w:rPr>
        <w:rFonts w:ascii="Symbol" w:eastAsia="Symbol" w:hAnsi="Symbol" w:cs="Symbol" w:hint="default"/>
        <w:w w:val="100"/>
        <w:sz w:val="20"/>
        <w:szCs w:val="20"/>
      </w:rPr>
    </w:lvl>
    <w:lvl w:ilvl="1" w:tplc="C6A8C0EC">
      <w:numFmt w:val="bullet"/>
      <w:lvlText w:val="•"/>
      <w:lvlJc w:val="left"/>
      <w:pPr>
        <w:ind w:left="1788" w:hanging="360"/>
      </w:pPr>
      <w:rPr>
        <w:rFonts w:hint="default"/>
      </w:rPr>
    </w:lvl>
    <w:lvl w:ilvl="2" w:tplc="B7002D00">
      <w:numFmt w:val="bullet"/>
      <w:lvlText w:val="•"/>
      <w:lvlJc w:val="left"/>
      <w:pPr>
        <w:ind w:left="2736" w:hanging="360"/>
      </w:pPr>
      <w:rPr>
        <w:rFonts w:hint="default"/>
      </w:rPr>
    </w:lvl>
    <w:lvl w:ilvl="3" w:tplc="D388C5CE">
      <w:numFmt w:val="bullet"/>
      <w:lvlText w:val="•"/>
      <w:lvlJc w:val="left"/>
      <w:pPr>
        <w:ind w:left="3684" w:hanging="360"/>
      </w:pPr>
      <w:rPr>
        <w:rFonts w:hint="default"/>
      </w:rPr>
    </w:lvl>
    <w:lvl w:ilvl="4" w:tplc="15466D30">
      <w:numFmt w:val="bullet"/>
      <w:lvlText w:val="•"/>
      <w:lvlJc w:val="left"/>
      <w:pPr>
        <w:ind w:left="4632" w:hanging="360"/>
      </w:pPr>
      <w:rPr>
        <w:rFonts w:hint="default"/>
      </w:rPr>
    </w:lvl>
    <w:lvl w:ilvl="5" w:tplc="28BCFB12">
      <w:numFmt w:val="bullet"/>
      <w:lvlText w:val="•"/>
      <w:lvlJc w:val="left"/>
      <w:pPr>
        <w:ind w:left="5580" w:hanging="360"/>
      </w:pPr>
      <w:rPr>
        <w:rFonts w:hint="default"/>
      </w:rPr>
    </w:lvl>
    <w:lvl w:ilvl="6" w:tplc="807E096C">
      <w:numFmt w:val="bullet"/>
      <w:lvlText w:val="•"/>
      <w:lvlJc w:val="left"/>
      <w:pPr>
        <w:ind w:left="6528" w:hanging="360"/>
      </w:pPr>
      <w:rPr>
        <w:rFonts w:hint="default"/>
      </w:rPr>
    </w:lvl>
    <w:lvl w:ilvl="7" w:tplc="D870C06A">
      <w:numFmt w:val="bullet"/>
      <w:lvlText w:val="•"/>
      <w:lvlJc w:val="left"/>
      <w:pPr>
        <w:ind w:left="7476" w:hanging="360"/>
      </w:pPr>
      <w:rPr>
        <w:rFonts w:hint="default"/>
      </w:rPr>
    </w:lvl>
    <w:lvl w:ilvl="8" w:tplc="4A6462F6">
      <w:numFmt w:val="bullet"/>
      <w:lvlText w:val="•"/>
      <w:lvlJc w:val="left"/>
      <w:pPr>
        <w:ind w:left="8424" w:hanging="360"/>
      </w:pPr>
      <w:rPr>
        <w:rFonts w:hint="default"/>
      </w:rPr>
    </w:lvl>
  </w:abstractNum>
  <w:abstractNum w:abstractNumId="2" w15:restartNumberingAfterBreak="0">
    <w:nsid w:val="71995204"/>
    <w:multiLevelType w:val="hybridMultilevel"/>
    <w:tmpl w:val="5B16C5C0"/>
    <w:lvl w:ilvl="0" w:tplc="FF5AEBAA">
      <w:start w:val="1"/>
      <w:numFmt w:val="decimal"/>
      <w:lvlText w:val="%1."/>
      <w:lvlJc w:val="left"/>
      <w:pPr>
        <w:ind w:left="840" w:hanging="360"/>
      </w:pPr>
      <w:rPr>
        <w:rFonts w:ascii="Times New Roman" w:eastAsia="Times New Roman" w:hAnsi="Times New Roman" w:cs="Times New Roman" w:hint="default"/>
        <w:w w:val="100"/>
        <w:sz w:val="20"/>
        <w:szCs w:val="20"/>
      </w:rPr>
    </w:lvl>
    <w:lvl w:ilvl="1" w:tplc="72E8885E">
      <w:numFmt w:val="bullet"/>
      <w:lvlText w:val="•"/>
      <w:lvlJc w:val="left"/>
      <w:pPr>
        <w:ind w:left="1788" w:hanging="360"/>
      </w:pPr>
      <w:rPr>
        <w:rFonts w:hint="default"/>
      </w:rPr>
    </w:lvl>
    <w:lvl w:ilvl="2" w:tplc="EA88E2F0">
      <w:numFmt w:val="bullet"/>
      <w:lvlText w:val="•"/>
      <w:lvlJc w:val="left"/>
      <w:pPr>
        <w:ind w:left="2736" w:hanging="360"/>
      </w:pPr>
      <w:rPr>
        <w:rFonts w:hint="default"/>
      </w:rPr>
    </w:lvl>
    <w:lvl w:ilvl="3" w:tplc="D6C839E0">
      <w:numFmt w:val="bullet"/>
      <w:lvlText w:val="•"/>
      <w:lvlJc w:val="left"/>
      <w:pPr>
        <w:ind w:left="3684" w:hanging="360"/>
      </w:pPr>
      <w:rPr>
        <w:rFonts w:hint="default"/>
      </w:rPr>
    </w:lvl>
    <w:lvl w:ilvl="4" w:tplc="915E4D20">
      <w:numFmt w:val="bullet"/>
      <w:lvlText w:val="•"/>
      <w:lvlJc w:val="left"/>
      <w:pPr>
        <w:ind w:left="4632" w:hanging="360"/>
      </w:pPr>
      <w:rPr>
        <w:rFonts w:hint="default"/>
      </w:rPr>
    </w:lvl>
    <w:lvl w:ilvl="5" w:tplc="54105508">
      <w:numFmt w:val="bullet"/>
      <w:lvlText w:val="•"/>
      <w:lvlJc w:val="left"/>
      <w:pPr>
        <w:ind w:left="5580" w:hanging="360"/>
      </w:pPr>
      <w:rPr>
        <w:rFonts w:hint="default"/>
      </w:rPr>
    </w:lvl>
    <w:lvl w:ilvl="6" w:tplc="A31CD44C">
      <w:numFmt w:val="bullet"/>
      <w:lvlText w:val="•"/>
      <w:lvlJc w:val="left"/>
      <w:pPr>
        <w:ind w:left="6528" w:hanging="360"/>
      </w:pPr>
      <w:rPr>
        <w:rFonts w:hint="default"/>
      </w:rPr>
    </w:lvl>
    <w:lvl w:ilvl="7" w:tplc="1FA08544">
      <w:numFmt w:val="bullet"/>
      <w:lvlText w:val="•"/>
      <w:lvlJc w:val="left"/>
      <w:pPr>
        <w:ind w:left="7476" w:hanging="360"/>
      </w:pPr>
      <w:rPr>
        <w:rFonts w:hint="default"/>
      </w:rPr>
    </w:lvl>
    <w:lvl w:ilvl="8" w:tplc="E8328858">
      <w:numFmt w:val="bullet"/>
      <w:lvlText w:val="•"/>
      <w:lvlJc w:val="left"/>
      <w:pPr>
        <w:ind w:left="8424"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C1A8D"/>
    <w:rsid w:val="005C4C4C"/>
    <w:rsid w:val="00DC1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A6D54"/>
  <w15:chartTrackingRefBased/>
  <w15:docId w15:val="{07561D51-D25F-4E19-8DE8-792D4D99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C1A8D"/>
    <w:pPr>
      <w:widowControl w:val="0"/>
      <w:autoSpaceDE w:val="0"/>
      <w:autoSpaceDN w:val="0"/>
      <w:spacing w:after="0" w:line="240" w:lineRule="auto"/>
    </w:pPr>
    <w:rPr>
      <w:rFonts w:ascii="Times New Roman" w:eastAsia="Times New Roman" w:hAnsi="Times New Roman" w:cs="Times New Roman"/>
    </w:rPr>
  </w:style>
  <w:style w:type="paragraph" w:styleId="Heading5">
    <w:name w:val="heading 5"/>
    <w:basedOn w:val="Normal"/>
    <w:link w:val="Heading5Char"/>
    <w:uiPriority w:val="1"/>
    <w:qFormat/>
    <w:rsid w:val="00DC1A8D"/>
    <w:pPr>
      <w:ind w:left="119"/>
      <w:jc w:val="both"/>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DC1A8D"/>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DC1A8D"/>
    <w:rPr>
      <w:sz w:val="20"/>
      <w:szCs w:val="20"/>
    </w:rPr>
  </w:style>
  <w:style w:type="character" w:customStyle="1" w:styleId="BodyTextChar">
    <w:name w:val="Body Text Char"/>
    <w:basedOn w:val="DefaultParagraphFont"/>
    <w:link w:val="BodyText"/>
    <w:uiPriority w:val="1"/>
    <w:rsid w:val="00DC1A8D"/>
    <w:rPr>
      <w:rFonts w:ascii="Times New Roman" w:eastAsia="Times New Roman" w:hAnsi="Times New Roman" w:cs="Times New Roman"/>
      <w:sz w:val="20"/>
      <w:szCs w:val="20"/>
    </w:rPr>
  </w:style>
  <w:style w:type="paragraph" w:styleId="ListParagraph">
    <w:name w:val="List Paragraph"/>
    <w:basedOn w:val="Normal"/>
    <w:uiPriority w:val="99"/>
    <w:qFormat/>
    <w:rsid w:val="00DC1A8D"/>
    <w:pPr>
      <w:ind w:left="8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3A282F1F</Template>
  <TotalTime>0</TotalTime>
  <Pages>4</Pages>
  <Words>1153</Words>
  <Characters>6576</Characters>
  <Application>Microsoft Office Word</Application>
  <DocSecurity>0</DocSecurity>
  <Lines>54</Lines>
  <Paragraphs>15</Paragraphs>
  <ScaleCrop>false</ScaleCrop>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Seemann, Lacey</dc:creator>
  <cp:keywords/>
  <dc:description/>
  <cp:lastModifiedBy>Seemann, Lacey</cp:lastModifiedBy>
  <cp:revision>1</cp:revision>
  <dcterms:created xsi:type="dcterms:W3CDTF">2020-06-16T14:25:00Z</dcterms:created>
  <dcterms:modified xsi:type="dcterms:W3CDTF">2020-06-16T14:25:00Z</dcterms:modified>
</cp:coreProperties>
</file>