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908EE" w14:textId="77777777" w:rsidR="00A51CC4" w:rsidRPr="00A51CC4" w:rsidRDefault="00A51CC4" w:rsidP="00A51CC4">
      <w:r w:rsidRPr="00A51CC4">
        <w:rPr>
          <w:b/>
          <w:bCs/>
        </w:rPr>
        <w:t>EXECUTIVE SUMMARY</w:t>
      </w:r>
      <w:r w:rsidRPr="00A51CC4">
        <w:t> </w:t>
      </w:r>
    </w:p>
    <w:p w14:paraId="1A287E5C" w14:textId="77777777" w:rsidR="00A51CC4" w:rsidRPr="00A51CC4" w:rsidRDefault="00A51CC4" w:rsidP="00A51CC4">
      <w:pPr>
        <w:jc w:val="both"/>
      </w:pPr>
      <w:r w:rsidRPr="00A51CC4">
        <w:t>This draft outlines a risk-based regulatory framework for third-party data and model vendors engaged with insurers in functions with direct consumer impact such as pricing, underwriting, claims, utilization reviews, marketing, and fraud detection. The framework aims to enhance regulatory oversight, transparency, and accountability while safeguarding intellectual property and promoting proportionality in compliance requirements. </w:t>
      </w:r>
    </w:p>
    <w:p w14:paraId="1E84587B" w14:textId="675D1B10" w:rsidR="00A51CC4" w:rsidRPr="00A51CC4" w:rsidRDefault="00A51CC4" w:rsidP="00A51CC4">
      <w:pPr>
        <w:jc w:val="both"/>
      </w:pPr>
      <w:r w:rsidRPr="00A51CC4">
        <w:t>The purpose of the regulatory framework is to provide regulators with access to third-party data and models used in insurance functions with direct consumer impact and to establish governance standards for model and data integrity, consumer protection, and ongoing monitoring</w:t>
      </w:r>
      <w:r w:rsidR="003076FD" w:rsidRPr="00A51CC4">
        <w:t xml:space="preserve">. </w:t>
      </w:r>
    </w:p>
    <w:p w14:paraId="56431DFB" w14:textId="77777777" w:rsidR="00A51CC4" w:rsidRPr="00A51CC4" w:rsidRDefault="00A51CC4" w:rsidP="00A51CC4">
      <w:r w:rsidRPr="00A51CC4">
        <w:rPr>
          <w:b/>
          <w:bCs/>
        </w:rPr>
        <w:t>Proposed Structure:</w:t>
      </w:r>
      <w:r w:rsidRPr="00A51CC4">
        <w:t> </w:t>
      </w:r>
    </w:p>
    <w:p w14:paraId="67E201F8" w14:textId="77777777" w:rsidR="00A51CC4" w:rsidRPr="00A51CC4" w:rsidRDefault="00A51CC4" w:rsidP="00A51CC4">
      <w:pPr>
        <w:jc w:val="both"/>
      </w:pPr>
      <w:r w:rsidRPr="00A51CC4">
        <w:t>Third-party data and model vendors must register with the [state insurance departments] before their models or data may be used by insurers. </w:t>
      </w:r>
      <w:r w:rsidRPr="00A51CC4">
        <w:rPr>
          <w:i/>
          <w:iCs/>
        </w:rPr>
        <w:t>(Sufficient time will be provided for the registration process to be completed)</w:t>
      </w:r>
      <w:r w:rsidRPr="00A51CC4">
        <w:t> </w:t>
      </w:r>
    </w:p>
    <w:p w14:paraId="6472747D" w14:textId="77777777" w:rsidR="00A51CC4" w:rsidRPr="00A51CC4" w:rsidRDefault="00A51CC4" w:rsidP="00A51CC4">
      <w:pPr>
        <w:jc w:val="both"/>
      </w:pPr>
      <w:r w:rsidRPr="00A51CC4">
        <w:t>Registration status will be: </w:t>
      </w:r>
    </w:p>
    <w:p w14:paraId="15EBC0BF" w14:textId="3D5ACB1B" w:rsidR="00A51CC4" w:rsidRPr="00A51CC4" w:rsidRDefault="00A51CC4" w:rsidP="00A51CC4">
      <w:pPr>
        <w:numPr>
          <w:ilvl w:val="0"/>
          <w:numId w:val="1"/>
        </w:numPr>
        <w:jc w:val="both"/>
      </w:pPr>
      <w:r w:rsidRPr="00A51CC4">
        <w:t>“Applied” at initial filing of registration, contingent on regulatory review of the materials submitted in support of registration including documentation of a governance program</w:t>
      </w:r>
      <w:r w:rsidR="003076FD" w:rsidRPr="00A51CC4">
        <w:t xml:space="preserve">. </w:t>
      </w:r>
    </w:p>
    <w:p w14:paraId="104E10FE" w14:textId="49C4E827" w:rsidR="00A51CC4" w:rsidRPr="00A51CC4" w:rsidRDefault="00A51CC4" w:rsidP="00A51CC4">
      <w:pPr>
        <w:numPr>
          <w:ilvl w:val="0"/>
          <w:numId w:val="2"/>
        </w:numPr>
        <w:jc w:val="both"/>
      </w:pPr>
      <w:r w:rsidRPr="00A51CC4">
        <w:t>“Applied with governance approval” upon positive assessment of the governance program by the _____ </w:t>
      </w:r>
      <w:r w:rsidRPr="00A51CC4">
        <w:rPr>
          <w:i/>
          <w:iCs/>
        </w:rPr>
        <w:t>(state, lead regulator, regulator committee, other)</w:t>
      </w:r>
      <w:r w:rsidR="003076FD" w:rsidRPr="00A51CC4">
        <w:rPr>
          <w:i/>
          <w:iCs/>
        </w:rPr>
        <w:t>.</w:t>
      </w:r>
      <w:r w:rsidR="003076FD" w:rsidRPr="00A51CC4">
        <w:t xml:space="preserve"> </w:t>
      </w:r>
    </w:p>
    <w:p w14:paraId="1DEE9D31" w14:textId="77777777" w:rsidR="00A51CC4" w:rsidRDefault="00A51CC4" w:rsidP="00A51CC4">
      <w:pPr>
        <w:numPr>
          <w:ilvl w:val="0"/>
          <w:numId w:val="3"/>
        </w:numPr>
        <w:jc w:val="both"/>
      </w:pPr>
      <w:r w:rsidRPr="00A51CC4">
        <w:t>“Registered” upon the state’s acceptance of the registration and governance approval. </w:t>
      </w:r>
    </w:p>
    <w:p w14:paraId="34204907" w14:textId="605DE962" w:rsidR="003076FD" w:rsidRPr="00A51CC4" w:rsidRDefault="003076FD" w:rsidP="003076FD">
      <w:pPr>
        <w:jc w:val="both"/>
      </w:pPr>
      <w:r w:rsidRPr="003076FD">
        <w:t>Regulators retain authority to disapprove individual models or data that fail to meet standards. An optional filing process is included.</w:t>
      </w:r>
    </w:p>
    <w:p w14:paraId="361397E6" w14:textId="77777777" w:rsidR="00A51CC4" w:rsidRPr="00A51CC4" w:rsidRDefault="00A51CC4" w:rsidP="00A51CC4">
      <w:r w:rsidRPr="00A51CC4">
        <w:rPr>
          <w:b/>
          <w:bCs/>
        </w:rPr>
        <w:t>Governance Standards:</w:t>
      </w:r>
      <w:r w:rsidRPr="00A51CC4">
        <w:t> </w:t>
      </w:r>
    </w:p>
    <w:p w14:paraId="5DD4D879" w14:textId="175EF2B0" w:rsidR="00A51CC4" w:rsidRPr="00A51CC4" w:rsidRDefault="00A51CC4" w:rsidP="00A51CC4">
      <w:pPr>
        <w:jc w:val="both"/>
      </w:pPr>
      <w:r w:rsidRPr="00A51CC4">
        <w:t>Governance requirements are outlined in the framework. For models, required documentation will consist of the purpose, assumptions, inputs, limitations, performance metrics, and validation processes. For data, required documentation will consist of accuracy, completeness, timeliness, representativeness, auditable data lineage, and quality controls.</w:t>
      </w:r>
    </w:p>
    <w:p w14:paraId="1690ABF8" w14:textId="44C53D7E" w:rsidR="00A51CC4" w:rsidRPr="00A51CC4" w:rsidRDefault="00A51CC4" w:rsidP="00A51CC4">
      <w:r w:rsidRPr="00A51CC4">
        <w:rPr>
          <w:b/>
          <w:bCs/>
        </w:rPr>
        <w:lastRenderedPageBreak/>
        <w:t>Consumer Protection:</w:t>
      </w:r>
      <w:r w:rsidRPr="00A51CC4">
        <w:t> </w:t>
      </w:r>
    </w:p>
    <w:p w14:paraId="47220975" w14:textId="77777777" w:rsidR="00A51CC4" w:rsidRPr="00A51CC4" w:rsidRDefault="00A51CC4" w:rsidP="00A51CC4">
      <w:pPr>
        <w:pBdr>
          <w:bottom w:val="single" w:sz="6" w:space="1" w:color="auto"/>
        </w:pBdr>
        <w:jc w:val="both"/>
      </w:pPr>
      <w:r w:rsidRPr="00A51CC4">
        <w:t>Vendors should disclose data usage, allow consumers to access and correct records, and define any limitations of corrections. </w:t>
      </w:r>
    </w:p>
    <w:p w14:paraId="31D36A9F" w14:textId="77777777" w:rsidR="00A51CC4" w:rsidRDefault="00A51CC4" w:rsidP="00A51CC4">
      <w:pPr>
        <w:rPr>
          <w:b/>
          <w:bCs/>
        </w:rPr>
      </w:pPr>
    </w:p>
    <w:p w14:paraId="7FD1A877" w14:textId="2A76FCF7" w:rsidR="00A51CC4" w:rsidRPr="00A51CC4" w:rsidRDefault="00A51CC4" w:rsidP="00A51CC4">
      <w:r w:rsidRPr="00A51CC4">
        <w:rPr>
          <w:b/>
          <w:bCs/>
        </w:rPr>
        <w:t>REGULATORY FRAMEWORK</w:t>
      </w:r>
      <w:r w:rsidRPr="00A51CC4">
        <w:t> </w:t>
      </w:r>
    </w:p>
    <w:p w14:paraId="2938CAB4" w14:textId="77777777" w:rsidR="00A51CC4" w:rsidRPr="00A51CC4" w:rsidRDefault="00A51CC4" w:rsidP="00A51CC4">
      <w:pPr>
        <w:numPr>
          <w:ilvl w:val="0"/>
          <w:numId w:val="4"/>
        </w:numPr>
        <w:tabs>
          <w:tab w:val="clear" w:pos="720"/>
          <w:tab w:val="num" w:pos="360"/>
        </w:tabs>
        <w:ind w:left="360"/>
      </w:pPr>
      <w:r w:rsidRPr="00A51CC4">
        <w:rPr>
          <w:b/>
          <w:bCs/>
        </w:rPr>
        <w:t>Purpose and Scope</w:t>
      </w:r>
      <w:r w:rsidRPr="00A51CC4">
        <w:t> </w:t>
      </w:r>
    </w:p>
    <w:p w14:paraId="5F05D33B" w14:textId="137EEBD3" w:rsidR="00A51CC4" w:rsidRPr="00A51CC4" w:rsidRDefault="00A51CC4" w:rsidP="00A51CC4">
      <w:pPr>
        <w:jc w:val="both"/>
      </w:pPr>
      <w:r w:rsidRPr="00A51CC4">
        <w:t xml:space="preserve">This framework establishes regulatory oversight </w:t>
      </w:r>
      <w:r w:rsidR="003076FD" w:rsidRPr="00A51CC4">
        <w:t>of</w:t>
      </w:r>
      <w:r w:rsidRPr="00A51CC4">
        <w:t xml:space="preserve"> third-party data and model vendors whose models or data are used by insurers in insurance functions with direct consumer impact. The framework acknowledges that while third-party vendors will be subject to limited regulatory jurisdiction, regulators expect sufficient visibility into their models, data, and governance practices to ensure insurers using these models and data comply with state insurance laws. </w:t>
      </w:r>
    </w:p>
    <w:p w14:paraId="7D855DF7" w14:textId="1B6AC1CA" w:rsidR="00A51CC4" w:rsidRDefault="00A51CC4" w:rsidP="00A51CC4">
      <w:pPr>
        <w:jc w:val="both"/>
      </w:pPr>
      <w:r w:rsidRPr="00A51CC4">
        <w:t>Oversight is achieved through vendor registration, regulatory access requirements, and a state-specific, discretionary model filing process</w:t>
      </w:r>
      <w:r w:rsidR="003076FD" w:rsidRPr="00A51CC4">
        <w:t xml:space="preserve">. </w:t>
      </w:r>
    </w:p>
    <w:p w14:paraId="0072D448" w14:textId="77777777" w:rsidR="00A51CC4" w:rsidRPr="00A51CC4" w:rsidRDefault="00A51CC4" w:rsidP="00A51CC4">
      <w:pPr>
        <w:numPr>
          <w:ilvl w:val="0"/>
          <w:numId w:val="5"/>
        </w:numPr>
        <w:tabs>
          <w:tab w:val="clear" w:pos="720"/>
          <w:tab w:val="num" w:pos="360"/>
        </w:tabs>
        <w:ind w:left="360"/>
      </w:pPr>
      <w:r w:rsidRPr="00A51CC4">
        <w:rPr>
          <w:b/>
          <w:bCs/>
        </w:rPr>
        <w:t>Third-Party Data and Model Vendor Definitions</w:t>
      </w:r>
      <w:r w:rsidRPr="00A51CC4">
        <w:t> </w:t>
      </w:r>
    </w:p>
    <w:p w14:paraId="398C50AF" w14:textId="7374083C" w:rsidR="00A51CC4" w:rsidRPr="00A51CC4" w:rsidRDefault="00A51CC4" w:rsidP="00A51CC4">
      <w:pPr>
        <w:jc w:val="both"/>
      </w:pPr>
      <w:r w:rsidRPr="00A51CC4">
        <w:t>The following are the current working definitions adopted Sept. 26, 2025</w:t>
      </w:r>
      <w:r>
        <w:t>:</w:t>
      </w:r>
      <w:r w:rsidRPr="00A51CC4">
        <w:t>  </w:t>
      </w:r>
    </w:p>
    <w:p w14:paraId="239F6652" w14:textId="77777777" w:rsidR="00A51CC4" w:rsidRDefault="00A51CC4" w:rsidP="00A51CC4">
      <w:pPr>
        <w:numPr>
          <w:ilvl w:val="0"/>
          <w:numId w:val="6"/>
        </w:numPr>
        <w:jc w:val="both"/>
      </w:pPr>
      <w:r w:rsidRPr="00A51CC4">
        <w:rPr>
          <w:b/>
          <w:bCs/>
        </w:rPr>
        <w:t>“Third-Party” </w:t>
      </w:r>
      <w:r w:rsidRPr="00A51CC4">
        <w:t>means any organization, operating independently of any government entity and not otherwise defined as a Licensee, that engages with an insurer to provide data, models, and/or model outputs to the insurer for pricing, underwriting, claims, marketing, and/or fraud detection functions. </w:t>
      </w:r>
    </w:p>
    <w:p w14:paraId="48A9FCA7" w14:textId="35512949" w:rsidR="00A51CC4" w:rsidRPr="00A51CC4" w:rsidRDefault="00A51CC4" w:rsidP="00A51CC4">
      <w:pPr>
        <w:numPr>
          <w:ilvl w:val="0"/>
          <w:numId w:val="6"/>
        </w:numPr>
        <w:jc w:val="both"/>
      </w:pPr>
      <w:r w:rsidRPr="00A51CC4">
        <w:rPr>
          <w:b/>
          <w:bCs/>
        </w:rPr>
        <w:t>“Licensee” </w:t>
      </w:r>
      <w:r w:rsidRPr="00A51CC4">
        <w:t>means any insurer, producer, advisory or rating organization, third-party administrator, or other similar organization engaged in the business of insurance that is required to be licensed or otherwise authorized to perform insurance-related functions under applicable state law and is subject to examination by the [department of insurance]. </w:t>
      </w:r>
    </w:p>
    <w:p w14:paraId="3C4E6816" w14:textId="77777777" w:rsidR="00A51CC4" w:rsidRPr="00A51CC4" w:rsidRDefault="00A51CC4" w:rsidP="00A51CC4">
      <w:pPr>
        <w:numPr>
          <w:ilvl w:val="0"/>
          <w:numId w:val="7"/>
        </w:numPr>
        <w:tabs>
          <w:tab w:val="clear" w:pos="720"/>
          <w:tab w:val="num" w:pos="450"/>
        </w:tabs>
        <w:ind w:left="360"/>
      </w:pPr>
      <w:r w:rsidRPr="00A51CC4">
        <w:rPr>
          <w:b/>
          <w:bCs/>
        </w:rPr>
        <w:t>Principles</w:t>
      </w:r>
      <w:r w:rsidRPr="00A51CC4">
        <w:t> </w:t>
      </w:r>
    </w:p>
    <w:p w14:paraId="2A475166" w14:textId="2979DB65" w:rsidR="00A51CC4" w:rsidRPr="00A51CC4" w:rsidRDefault="00A51CC4" w:rsidP="00A51CC4">
      <w:pPr>
        <w:pStyle w:val="ListParagraph"/>
        <w:numPr>
          <w:ilvl w:val="0"/>
          <w:numId w:val="66"/>
        </w:numPr>
        <w:tabs>
          <w:tab w:val="num" w:pos="360"/>
        </w:tabs>
        <w:ind w:left="360"/>
      </w:pPr>
      <w:r w:rsidRPr="00A51CC4">
        <w:rPr>
          <w:b/>
          <w:bCs/>
        </w:rPr>
        <w:t>Regulation with Safeguards</w:t>
      </w:r>
      <w:r w:rsidRPr="00A51CC4">
        <w:t> </w:t>
      </w:r>
    </w:p>
    <w:p w14:paraId="0D0A6E2E" w14:textId="77777777" w:rsidR="00A51CC4" w:rsidRPr="00A51CC4" w:rsidRDefault="00A51CC4" w:rsidP="00A51CC4">
      <w:pPr>
        <w:jc w:val="both"/>
      </w:pPr>
      <w:r w:rsidRPr="00A51CC4">
        <w:t xml:space="preserve">Regulators must determine whether third-party data and models produce outcomes across insurance functions with direct consumer impact such as pricing, underwriting, claims, </w:t>
      </w:r>
      <w:r w:rsidRPr="00A51CC4">
        <w:lastRenderedPageBreak/>
        <w:t>anti-fraud measures, and utilization review, that comply with regulatory standards, including those pertaining to unfair trade practices as well as those ensuring that rates are not excessive, inadequate, or unfairly discriminatory. </w:t>
      </w:r>
    </w:p>
    <w:p w14:paraId="6431900F" w14:textId="77777777" w:rsidR="00A51CC4" w:rsidRPr="00A51CC4" w:rsidRDefault="00A51CC4" w:rsidP="00A51CC4">
      <w:pPr>
        <w:jc w:val="both"/>
      </w:pPr>
      <w:r w:rsidRPr="00A51CC4">
        <w:t>For regulators to perform necessary analysis to make such determinations, third-party data and model vendors must provide sufficient information on data sources, maintenance, model design, training data, and assumptions, with confidentiality protections equivalent to those provided to insurers. These confidentiality safeguards facilitate transparency, enabling regulators to assess model purpose, logic, and outputs and identify potential consumer harm or compliance concerns. </w:t>
      </w:r>
    </w:p>
    <w:p w14:paraId="5C7075E0" w14:textId="77777777" w:rsidR="00A51CC4" w:rsidRPr="00A51CC4" w:rsidRDefault="00A51CC4" w:rsidP="00A51CC4">
      <w:pPr>
        <w:numPr>
          <w:ilvl w:val="0"/>
          <w:numId w:val="8"/>
        </w:numPr>
        <w:tabs>
          <w:tab w:val="clear" w:pos="360"/>
          <w:tab w:val="num" w:pos="720"/>
        </w:tabs>
      </w:pPr>
      <w:r w:rsidRPr="00A51CC4">
        <w:t> </w:t>
      </w:r>
      <w:r w:rsidRPr="00A51CC4">
        <w:rPr>
          <w:b/>
          <w:bCs/>
        </w:rPr>
        <w:t>Regulatory Proportionality</w:t>
      </w:r>
      <w:r w:rsidRPr="00A51CC4">
        <w:t> </w:t>
      </w:r>
    </w:p>
    <w:p w14:paraId="6166F7D4" w14:textId="77777777" w:rsidR="00A51CC4" w:rsidRPr="00A51CC4" w:rsidRDefault="00A51CC4" w:rsidP="00A51CC4">
      <w:pPr>
        <w:jc w:val="both"/>
      </w:pPr>
      <w:r w:rsidRPr="00A51CC4">
        <w:t>Oversight scales with the materiality, complexity, and consumer impact of the third party’s role. Insurance functions with direct consumer impact that use third-party data and models—such as pricing, underwriting, claims, utilization reviews, marketing, and fraud detection—may require more extensive review and documentation. Proportionality directs regulatory focus to areas with the greatest potential for consumer harm or compliance risk. </w:t>
      </w:r>
    </w:p>
    <w:p w14:paraId="463E579B" w14:textId="77777777" w:rsidR="00A51CC4" w:rsidRPr="00A51CC4" w:rsidRDefault="00A51CC4" w:rsidP="00A51CC4">
      <w:pPr>
        <w:numPr>
          <w:ilvl w:val="0"/>
          <w:numId w:val="9"/>
        </w:numPr>
        <w:tabs>
          <w:tab w:val="clear" w:pos="360"/>
          <w:tab w:val="num" w:pos="720"/>
        </w:tabs>
      </w:pPr>
      <w:r w:rsidRPr="00A51CC4">
        <w:t> </w:t>
      </w:r>
      <w:r w:rsidRPr="00A51CC4">
        <w:rPr>
          <w:b/>
          <w:bCs/>
        </w:rPr>
        <w:t>Accountability</w:t>
      </w:r>
      <w:r w:rsidRPr="00A51CC4">
        <w:t> </w:t>
      </w:r>
    </w:p>
    <w:p w14:paraId="60B3BC1C" w14:textId="77777777" w:rsidR="00A51CC4" w:rsidRDefault="00A51CC4" w:rsidP="00A51CC4">
      <w:pPr>
        <w:jc w:val="both"/>
      </w:pPr>
      <w:r w:rsidRPr="00A51CC4">
        <w:t>Third-party data and model vendors are responsible for data integrity as well as the accuracy and reliability of model outputs. Insurers remain ultimately accountable for all outcomes derived from the use of third-party data and models and for verifying that activities with direct consumer impact or compliance risk meet regulatory requirements. Accountability requires insurers to maintain governance, controls, and monitoring across all functions, supported by third-party data and model vendors providing transparent documentation and cooperation with regulatory oversight. </w:t>
      </w:r>
    </w:p>
    <w:p w14:paraId="1337BD80" w14:textId="77777777" w:rsidR="00A51CC4" w:rsidRPr="00A51CC4" w:rsidRDefault="00A51CC4" w:rsidP="00A51CC4">
      <w:pPr>
        <w:jc w:val="both"/>
      </w:pPr>
    </w:p>
    <w:p w14:paraId="6A44601A" w14:textId="77777777" w:rsidR="00A51CC4" w:rsidRPr="00A51CC4" w:rsidRDefault="00A51CC4" w:rsidP="00A51CC4">
      <w:pPr>
        <w:numPr>
          <w:ilvl w:val="0"/>
          <w:numId w:val="10"/>
        </w:numPr>
        <w:tabs>
          <w:tab w:val="clear" w:pos="720"/>
          <w:tab w:val="num" w:pos="360"/>
        </w:tabs>
        <w:ind w:left="360"/>
      </w:pPr>
      <w:r w:rsidRPr="00A51CC4">
        <w:rPr>
          <w:b/>
          <w:bCs/>
        </w:rPr>
        <w:t>Third-Party Model Vendor Registration </w:t>
      </w:r>
      <w:r w:rsidRPr="00A51CC4">
        <w:t> </w:t>
      </w:r>
    </w:p>
    <w:p w14:paraId="79698A6B" w14:textId="4CB88F9D" w:rsidR="00A51CC4" w:rsidRPr="00A51CC4" w:rsidRDefault="00A51CC4" w:rsidP="00A51CC4">
      <w:pPr>
        <w:jc w:val="both"/>
      </w:pPr>
      <w:r w:rsidRPr="00A51CC4">
        <w:t>Third-party model vendors must register with the [state insurance department or a national registration database] before their model(s) may be used by licensed insurers in insurance functions with direct consumer impact. Registration creates a standardized framework and ensures vendors maintain robust governance standards and controls. </w:t>
      </w:r>
    </w:p>
    <w:p w14:paraId="60F0218E" w14:textId="77777777" w:rsidR="00A51CC4" w:rsidRPr="00A51CC4" w:rsidRDefault="00A51CC4" w:rsidP="00A51CC4">
      <w:pPr>
        <w:numPr>
          <w:ilvl w:val="0"/>
          <w:numId w:val="11"/>
        </w:numPr>
        <w:tabs>
          <w:tab w:val="clear" w:pos="900"/>
        </w:tabs>
        <w:ind w:left="360"/>
        <w:rPr>
          <w:b/>
          <w:bCs/>
        </w:rPr>
      </w:pPr>
      <w:r w:rsidRPr="00A51CC4">
        <w:rPr>
          <w:b/>
          <w:bCs/>
        </w:rPr>
        <w:t>Information Provided at Registration </w:t>
      </w:r>
    </w:p>
    <w:p w14:paraId="0F71DDAE" w14:textId="77777777" w:rsidR="00A51CC4" w:rsidRPr="00A51CC4" w:rsidRDefault="00A51CC4" w:rsidP="00A51CC4">
      <w:pPr>
        <w:numPr>
          <w:ilvl w:val="0"/>
          <w:numId w:val="12"/>
        </w:numPr>
      </w:pPr>
      <w:r w:rsidRPr="00A51CC4">
        <w:t>Corporate and Contact Information </w:t>
      </w:r>
    </w:p>
    <w:p w14:paraId="1E52215F" w14:textId="77777777" w:rsidR="00A51CC4" w:rsidRPr="00A51CC4" w:rsidRDefault="00A51CC4" w:rsidP="00A51CC4">
      <w:pPr>
        <w:numPr>
          <w:ilvl w:val="0"/>
          <w:numId w:val="13"/>
        </w:numPr>
        <w:tabs>
          <w:tab w:val="num" w:pos="720"/>
        </w:tabs>
      </w:pPr>
      <w:r w:rsidRPr="00A51CC4">
        <w:lastRenderedPageBreak/>
        <w:t>Legal entity, ownership structure, responsible officers, and states where model(s) are deployed or currently under review for deployment. </w:t>
      </w:r>
    </w:p>
    <w:p w14:paraId="4FD70616" w14:textId="77777777" w:rsidR="00A51CC4" w:rsidRPr="00A51CC4" w:rsidRDefault="00A51CC4" w:rsidP="00A51CC4">
      <w:pPr>
        <w:numPr>
          <w:ilvl w:val="0"/>
          <w:numId w:val="14"/>
        </w:numPr>
      </w:pPr>
      <w:r w:rsidRPr="00A51CC4">
        <w:t>Model Governance Program Documentation  </w:t>
      </w:r>
    </w:p>
    <w:p w14:paraId="07116C43" w14:textId="77777777" w:rsidR="00A51CC4" w:rsidRPr="00A51CC4" w:rsidRDefault="00A51CC4" w:rsidP="00A51CC4">
      <w:pPr>
        <w:numPr>
          <w:ilvl w:val="0"/>
          <w:numId w:val="15"/>
        </w:numPr>
        <w:tabs>
          <w:tab w:val="num" w:pos="720"/>
        </w:tabs>
      </w:pPr>
      <w:r w:rsidRPr="00A51CC4">
        <w:t>Documentation demonstrating a comprehensive governance program that includes: </w:t>
      </w:r>
    </w:p>
    <w:p w14:paraId="4272F9E4" w14:textId="77777777" w:rsidR="00A51CC4" w:rsidRPr="00A51CC4" w:rsidRDefault="00A51CC4" w:rsidP="00A51CC4">
      <w:pPr>
        <w:numPr>
          <w:ilvl w:val="0"/>
          <w:numId w:val="71"/>
        </w:numPr>
      </w:pPr>
      <w:r w:rsidRPr="00A51CC4">
        <w:t>Model development standards and testing protocols </w:t>
      </w:r>
    </w:p>
    <w:p w14:paraId="4FE97878" w14:textId="77777777" w:rsidR="00A51CC4" w:rsidRPr="00A51CC4" w:rsidRDefault="00A51CC4" w:rsidP="00A51CC4">
      <w:pPr>
        <w:numPr>
          <w:ilvl w:val="0"/>
          <w:numId w:val="71"/>
        </w:numPr>
      </w:pPr>
      <w:r w:rsidRPr="00A51CC4">
        <w:t>Data governance and provenance controls </w:t>
      </w:r>
    </w:p>
    <w:p w14:paraId="4ABF68DD" w14:textId="77777777" w:rsidR="00A51CC4" w:rsidRPr="00A51CC4" w:rsidRDefault="00A51CC4" w:rsidP="00A51CC4">
      <w:pPr>
        <w:numPr>
          <w:ilvl w:val="0"/>
          <w:numId w:val="71"/>
        </w:numPr>
      </w:pPr>
      <w:r w:rsidRPr="00A51CC4">
        <w:t>Validation and monitoring </w:t>
      </w:r>
    </w:p>
    <w:p w14:paraId="2C26B4E3" w14:textId="77777777" w:rsidR="00A51CC4" w:rsidRPr="00A51CC4" w:rsidRDefault="00A51CC4" w:rsidP="00A51CC4">
      <w:pPr>
        <w:numPr>
          <w:ilvl w:val="0"/>
          <w:numId w:val="71"/>
        </w:numPr>
      </w:pPr>
      <w:r w:rsidRPr="00A51CC4">
        <w:t>Change-management procedures and processes including version control, updates, and approvals </w:t>
      </w:r>
    </w:p>
    <w:p w14:paraId="63F630B2" w14:textId="77777777" w:rsidR="00A51CC4" w:rsidRPr="00A51CC4" w:rsidRDefault="00A51CC4" w:rsidP="00A51CC4">
      <w:pPr>
        <w:numPr>
          <w:ilvl w:val="0"/>
          <w:numId w:val="71"/>
        </w:numPr>
      </w:pPr>
      <w:r w:rsidRPr="00A51CC4">
        <w:t>Roles, responsibilities, and internal oversight  </w:t>
      </w:r>
    </w:p>
    <w:p w14:paraId="76B6FA65" w14:textId="77777777" w:rsidR="00A51CC4" w:rsidRPr="00A51CC4" w:rsidRDefault="00A51CC4" w:rsidP="00A51CC4">
      <w:pPr>
        <w:numPr>
          <w:ilvl w:val="0"/>
          <w:numId w:val="71"/>
        </w:numPr>
      </w:pPr>
      <w:r w:rsidRPr="00A51CC4">
        <w:t>Defect reporting and remediation processes </w:t>
      </w:r>
    </w:p>
    <w:p w14:paraId="64B0FDCF" w14:textId="77777777" w:rsidR="00A51CC4" w:rsidRPr="00A51CC4" w:rsidRDefault="00A51CC4" w:rsidP="00A51CC4">
      <w:pPr>
        <w:numPr>
          <w:ilvl w:val="0"/>
          <w:numId w:val="16"/>
        </w:numPr>
      </w:pPr>
      <w:r w:rsidRPr="00A51CC4">
        <w:t>Agreement to Regulatory Access </w:t>
      </w:r>
    </w:p>
    <w:p w14:paraId="7505D79F" w14:textId="77777777" w:rsidR="00A51CC4" w:rsidRPr="00A51CC4" w:rsidRDefault="00A51CC4" w:rsidP="00A51CC4">
      <w:pPr>
        <w:numPr>
          <w:ilvl w:val="0"/>
          <w:numId w:val="17"/>
        </w:numPr>
        <w:tabs>
          <w:tab w:val="num" w:pos="720"/>
        </w:tabs>
      </w:pPr>
      <w:r w:rsidRPr="00A51CC4">
        <w:t>Vendors must agree to provide regulators with access, upon request, to information such as that described in the </w:t>
      </w:r>
      <w:r w:rsidRPr="00A51CC4">
        <w:rPr>
          <w:i/>
          <w:iCs/>
        </w:rPr>
        <w:t>NAIC Model Review Manual and the Catastrophe Modeling Primer</w:t>
      </w:r>
      <w:r w:rsidRPr="00A51CC4">
        <w:t>, including the following: </w:t>
      </w:r>
    </w:p>
    <w:p w14:paraId="7C2DDE67" w14:textId="77777777" w:rsidR="00A51CC4" w:rsidRPr="00A51CC4" w:rsidRDefault="00A51CC4" w:rsidP="00A51CC4">
      <w:pPr>
        <w:numPr>
          <w:ilvl w:val="0"/>
          <w:numId w:val="72"/>
        </w:numPr>
      </w:pPr>
      <w:r w:rsidRPr="00A51CC4">
        <w:t>Model documentation </w:t>
      </w:r>
    </w:p>
    <w:p w14:paraId="06BA0823" w14:textId="77777777" w:rsidR="00A51CC4" w:rsidRPr="00A51CC4" w:rsidRDefault="00A51CC4" w:rsidP="00A51CC4">
      <w:pPr>
        <w:numPr>
          <w:ilvl w:val="0"/>
          <w:numId w:val="72"/>
        </w:numPr>
      </w:pPr>
      <w:r w:rsidRPr="00A51CC4">
        <w:t>Input and output specifications </w:t>
      </w:r>
    </w:p>
    <w:p w14:paraId="29D6DDCA" w14:textId="77777777" w:rsidR="00A51CC4" w:rsidRPr="00A51CC4" w:rsidRDefault="00A51CC4" w:rsidP="00A51CC4">
      <w:pPr>
        <w:numPr>
          <w:ilvl w:val="0"/>
          <w:numId w:val="72"/>
        </w:numPr>
      </w:pPr>
      <w:r w:rsidRPr="00A51CC4">
        <w:t>Validation, performance, and any fairness/bias testing results </w:t>
      </w:r>
    </w:p>
    <w:p w14:paraId="33075544" w14:textId="77777777" w:rsidR="00A51CC4" w:rsidRPr="00A51CC4" w:rsidRDefault="00A51CC4" w:rsidP="00A51CC4">
      <w:pPr>
        <w:numPr>
          <w:ilvl w:val="0"/>
          <w:numId w:val="72"/>
        </w:numPr>
      </w:pPr>
      <w:r w:rsidRPr="00A51CC4">
        <w:t>Change logs and audit trails </w:t>
      </w:r>
    </w:p>
    <w:p w14:paraId="3B5EE519" w14:textId="77777777" w:rsidR="00A51CC4" w:rsidRPr="00A51CC4" w:rsidRDefault="00A51CC4" w:rsidP="00A51CC4">
      <w:pPr>
        <w:numPr>
          <w:ilvl w:val="0"/>
          <w:numId w:val="72"/>
        </w:numPr>
      </w:pPr>
      <w:r w:rsidRPr="00A51CC4">
        <w:t>Other information reasonably necessary for regulatory evaluation </w:t>
      </w:r>
    </w:p>
    <w:p w14:paraId="6F4E8969" w14:textId="77777777" w:rsidR="00A51CC4" w:rsidRPr="00A51CC4" w:rsidRDefault="00A51CC4" w:rsidP="00A51CC4">
      <w:pPr>
        <w:numPr>
          <w:ilvl w:val="0"/>
          <w:numId w:val="18"/>
        </w:numPr>
        <w:tabs>
          <w:tab w:val="clear" w:pos="720"/>
          <w:tab w:val="num" w:pos="360"/>
        </w:tabs>
        <w:ind w:left="360"/>
        <w:rPr>
          <w:b/>
          <w:bCs/>
        </w:rPr>
      </w:pPr>
      <w:r w:rsidRPr="00A51CC4">
        <w:rPr>
          <w:b/>
          <w:bCs/>
        </w:rPr>
        <w:t>Annual Attestation </w:t>
      </w:r>
    </w:p>
    <w:p w14:paraId="4E6F2E98" w14:textId="132EE4B3" w:rsidR="00A51CC4" w:rsidRPr="00A51CC4" w:rsidRDefault="00A51CC4" w:rsidP="00A51CC4">
      <w:pPr>
        <w:jc w:val="both"/>
      </w:pPr>
      <w:r w:rsidRPr="00A51CC4">
        <w:t>A senior officer must attest that the governance program is implemented, effective, and applied to all models with direct consumer impact used by licensed insurers, complies with applicable insurance laws and regulations in [state], and adheres to third-party model vendor governance program requirements (</w:t>
      </w:r>
      <w:r w:rsidRPr="00A51CC4">
        <w:rPr>
          <w:i/>
          <w:iCs/>
        </w:rPr>
        <w:t>to be developed</w:t>
      </w:r>
      <w:r w:rsidRPr="00A51CC4">
        <w:t>). The attestation should be provided to each [state insurance department]</w:t>
      </w:r>
      <w:r>
        <w:t>.</w:t>
      </w:r>
      <w:r w:rsidRPr="00A51CC4">
        <w:t> </w:t>
      </w:r>
    </w:p>
    <w:p w14:paraId="3E443F51" w14:textId="77777777" w:rsidR="00A51CC4" w:rsidRDefault="00A51CC4" w:rsidP="00A51CC4">
      <w:pPr>
        <w:jc w:val="both"/>
      </w:pPr>
      <w:r w:rsidRPr="00A51CC4">
        <w:lastRenderedPageBreak/>
        <w:t>Failure to provide access may result in the model(s) being disallowed for insurer use in the state. </w:t>
      </w:r>
    </w:p>
    <w:p w14:paraId="5A2F8DCD" w14:textId="77777777" w:rsidR="00A51CC4" w:rsidRPr="00A51CC4" w:rsidRDefault="00A51CC4" w:rsidP="00A51CC4">
      <w:pPr>
        <w:jc w:val="both"/>
      </w:pPr>
    </w:p>
    <w:p w14:paraId="71D9AAF7" w14:textId="77777777" w:rsidR="00A51CC4" w:rsidRPr="00A51CC4" w:rsidRDefault="00A51CC4" w:rsidP="00A51CC4">
      <w:pPr>
        <w:numPr>
          <w:ilvl w:val="0"/>
          <w:numId w:val="19"/>
        </w:numPr>
        <w:tabs>
          <w:tab w:val="clear" w:pos="360"/>
          <w:tab w:val="num" w:pos="720"/>
        </w:tabs>
      </w:pPr>
      <w:r w:rsidRPr="00A51CC4">
        <w:rPr>
          <w:b/>
          <w:bCs/>
        </w:rPr>
        <w:t>Discretionary Third-Party Model Vendor Filing Process</w:t>
      </w:r>
      <w:r w:rsidRPr="00A51CC4">
        <w:t> </w:t>
      </w:r>
    </w:p>
    <w:p w14:paraId="701D2385" w14:textId="49F18C65" w:rsidR="00A51CC4" w:rsidRDefault="00A51CC4" w:rsidP="00A51CC4">
      <w:pPr>
        <w:jc w:val="both"/>
      </w:pPr>
      <w:r w:rsidRPr="00A51CC4">
        <w:t xml:space="preserve">States retain discretion to require direct filing of a third-party model when regulatory evaluation is necessary to ensure compliance and consumer protection. Filing is </w:t>
      </w:r>
      <w:r w:rsidRPr="00A51CC4">
        <w:rPr>
          <w:b/>
          <w:bCs/>
        </w:rPr>
        <w:t>not automatically assumed</w:t>
      </w:r>
      <w:r w:rsidRPr="00A51CC4">
        <w:t xml:space="preserve"> and is rather triggered by risk, consumer impact, and specific regulatory needs. States may modify the documentation required to be submitted depending on specific needs and level of risk.</w:t>
      </w:r>
    </w:p>
    <w:p w14:paraId="3D51C7BE" w14:textId="77777777" w:rsidR="00A51CC4" w:rsidRPr="00A51CC4" w:rsidRDefault="00A51CC4" w:rsidP="00A51CC4">
      <w:pPr>
        <w:numPr>
          <w:ilvl w:val="0"/>
          <w:numId w:val="20"/>
        </w:numPr>
        <w:tabs>
          <w:tab w:val="clear" w:pos="360"/>
          <w:tab w:val="num" w:pos="720"/>
        </w:tabs>
        <w:rPr>
          <w:b/>
          <w:bCs/>
        </w:rPr>
      </w:pPr>
      <w:r w:rsidRPr="00A51CC4">
        <w:rPr>
          <w:b/>
          <w:bCs/>
        </w:rPr>
        <w:t>Considerations for Filing a Model </w:t>
      </w:r>
    </w:p>
    <w:p w14:paraId="1AADAB40" w14:textId="619FBFA4" w:rsidR="00A51CC4" w:rsidRPr="00A51CC4" w:rsidRDefault="00A51CC4" w:rsidP="00A51CC4">
      <w:pPr>
        <w:pStyle w:val="ListParagraph"/>
        <w:numPr>
          <w:ilvl w:val="0"/>
          <w:numId w:val="67"/>
        </w:numPr>
        <w:tabs>
          <w:tab w:val="num" w:pos="720"/>
        </w:tabs>
        <w:ind w:left="720"/>
      </w:pPr>
      <w:r w:rsidRPr="00A51CC4">
        <w:t>A state may request a model to be filed for review based on any of the following: </w:t>
      </w:r>
    </w:p>
    <w:p w14:paraId="138F80CF" w14:textId="77777777" w:rsidR="00A51CC4" w:rsidRPr="00A51CC4" w:rsidRDefault="00A51CC4" w:rsidP="00A51CC4">
      <w:pPr>
        <w:numPr>
          <w:ilvl w:val="0"/>
          <w:numId w:val="21"/>
        </w:numPr>
        <w:tabs>
          <w:tab w:val="clear" w:pos="720"/>
          <w:tab w:val="num" w:pos="1080"/>
        </w:tabs>
        <w:ind w:left="1080"/>
      </w:pPr>
      <w:r w:rsidRPr="00A51CC4">
        <w:t>Level of consumer impact or potential harm </w:t>
      </w:r>
    </w:p>
    <w:p w14:paraId="034D2E6A" w14:textId="77777777" w:rsidR="00A51CC4" w:rsidRPr="00A51CC4" w:rsidRDefault="00A51CC4" w:rsidP="00A51CC4">
      <w:pPr>
        <w:numPr>
          <w:ilvl w:val="0"/>
          <w:numId w:val="22"/>
        </w:numPr>
        <w:tabs>
          <w:tab w:val="clear" w:pos="720"/>
          <w:tab w:val="num" w:pos="1080"/>
        </w:tabs>
        <w:ind w:left="1080"/>
      </w:pPr>
      <w:r w:rsidRPr="00A51CC4">
        <w:t>Novel or opaque model methods </w:t>
      </w:r>
    </w:p>
    <w:p w14:paraId="42FA483D" w14:textId="77777777" w:rsidR="00A51CC4" w:rsidRPr="00A51CC4" w:rsidRDefault="00A51CC4" w:rsidP="00A51CC4">
      <w:pPr>
        <w:numPr>
          <w:ilvl w:val="0"/>
          <w:numId w:val="23"/>
        </w:numPr>
        <w:tabs>
          <w:tab w:val="clear" w:pos="720"/>
          <w:tab w:val="num" w:pos="1080"/>
        </w:tabs>
        <w:ind w:left="1080"/>
      </w:pPr>
      <w:r w:rsidRPr="00A51CC4">
        <w:t>Limitations of a vendor’s model governance program </w:t>
      </w:r>
    </w:p>
    <w:p w14:paraId="16B21AB1" w14:textId="77777777" w:rsidR="00A51CC4" w:rsidRPr="00A51CC4" w:rsidRDefault="00A51CC4" w:rsidP="00A51CC4">
      <w:pPr>
        <w:numPr>
          <w:ilvl w:val="0"/>
          <w:numId w:val="24"/>
        </w:numPr>
        <w:tabs>
          <w:tab w:val="clear" w:pos="720"/>
          <w:tab w:val="num" w:pos="1080"/>
        </w:tabs>
        <w:ind w:left="1080"/>
      </w:pPr>
      <w:r w:rsidRPr="00A51CC4">
        <w:t>Complaint or market conduct indicators </w:t>
      </w:r>
    </w:p>
    <w:p w14:paraId="49B6AA34" w14:textId="77777777" w:rsidR="00A51CC4" w:rsidRPr="00A51CC4" w:rsidRDefault="00A51CC4" w:rsidP="00A51CC4">
      <w:pPr>
        <w:numPr>
          <w:ilvl w:val="0"/>
          <w:numId w:val="25"/>
        </w:numPr>
        <w:tabs>
          <w:tab w:val="clear" w:pos="720"/>
          <w:tab w:val="num" w:pos="1080"/>
        </w:tabs>
        <w:ind w:left="1080"/>
      </w:pPr>
      <w:r w:rsidRPr="00A51CC4">
        <w:t>Emerging risks, external risks, or supervisory priorities </w:t>
      </w:r>
    </w:p>
    <w:p w14:paraId="2EB35CEC" w14:textId="77777777" w:rsidR="00A51CC4" w:rsidRDefault="00A51CC4" w:rsidP="00A51CC4">
      <w:pPr>
        <w:numPr>
          <w:ilvl w:val="0"/>
          <w:numId w:val="26"/>
        </w:numPr>
        <w:tabs>
          <w:tab w:val="clear" w:pos="720"/>
          <w:tab w:val="num" w:pos="1080"/>
        </w:tabs>
        <w:ind w:left="1080"/>
      </w:pPr>
      <w:r w:rsidRPr="00A51CC4">
        <w:t>Transparency to assess compliance with rating or unfair trade practices statute(s). </w:t>
      </w:r>
    </w:p>
    <w:p w14:paraId="20B47A3B" w14:textId="1D90E838" w:rsidR="00A51CC4" w:rsidRPr="00A51CC4" w:rsidRDefault="00A51CC4" w:rsidP="00A51CC4">
      <w:pPr>
        <w:pStyle w:val="ListParagraph"/>
        <w:numPr>
          <w:ilvl w:val="0"/>
          <w:numId w:val="20"/>
        </w:numPr>
        <w:rPr>
          <w:b/>
          <w:bCs/>
        </w:rPr>
      </w:pPr>
      <w:r w:rsidRPr="00A51CC4">
        <w:rPr>
          <w:b/>
          <w:bCs/>
        </w:rPr>
        <w:t>Filing Requirements </w:t>
      </w:r>
    </w:p>
    <w:p w14:paraId="197DA334" w14:textId="77777777" w:rsidR="00A51CC4" w:rsidRPr="00A51CC4" w:rsidRDefault="00A51CC4" w:rsidP="00A51CC4">
      <w:pPr>
        <w:numPr>
          <w:ilvl w:val="0"/>
          <w:numId w:val="27"/>
        </w:numPr>
      </w:pPr>
      <w:r w:rsidRPr="00A51CC4">
        <w:t>Model summary and intended use </w:t>
      </w:r>
    </w:p>
    <w:p w14:paraId="03EABB71" w14:textId="77777777" w:rsidR="00A51CC4" w:rsidRPr="00A51CC4" w:rsidRDefault="00A51CC4" w:rsidP="00A51CC4">
      <w:pPr>
        <w:numPr>
          <w:ilvl w:val="0"/>
          <w:numId w:val="28"/>
        </w:numPr>
        <w:tabs>
          <w:tab w:val="num" w:pos="720"/>
        </w:tabs>
      </w:pPr>
      <w:r w:rsidRPr="00A51CC4">
        <w:t>Business purpose, functions, and consumer-impact </w:t>
      </w:r>
    </w:p>
    <w:p w14:paraId="5F257E58" w14:textId="77777777" w:rsidR="00A51CC4" w:rsidRPr="00A51CC4" w:rsidRDefault="00A51CC4" w:rsidP="00A51CC4">
      <w:pPr>
        <w:numPr>
          <w:ilvl w:val="0"/>
          <w:numId w:val="29"/>
        </w:numPr>
      </w:pPr>
      <w:r w:rsidRPr="00A51CC4">
        <w:t>High-level methodology description </w:t>
      </w:r>
    </w:p>
    <w:p w14:paraId="3C6CDAD3" w14:textId="4EB13CF2" w:rsidR="00A51CC4" w:rsidRPr="00A51CC4" w:rsidRDefault="00A51CC4" w:rsidP="00A51CC4">
      <w:pPr>
        <w:pStyle w:val="ListParagraph"/>
        <w:numPr>
          <w:ilvl w:val="1"/>
          <w:numId w:val="29"/>
        </w:numPr>
        <w:ind w:left="1080"/>
      </w:pPr>
      <w:r w:rsidRPr="00A51CC4">
        <w:t>Key factors, relationships, modeling approach, and version </w:t>
      </w:r>
    </w:p>
    <w:p w14:paraId="371396DC" w14:textId="77777777" w:rsidR="00A51CC4" w:rsidRPr="00A51CC4" w:rsidRDefault="00A51CC4" w:rsidP="00A51CC4">
      <w:pPr>
        <w:numPr>
          <w:ilvl w:val="0"/>
          <w:numId w:val="30"/>
        </w:numPr>
      </w:pPr>
      <w:r w:rsidRPr="00A51CC4">
        <w:t>Inputs and outputs </w:t>
      </w:r>
    </w:p>
    <w:p w14:paraId="058F5755" w14:textId="7D362FA2" w:rsidR="00A51CC4" w:rsidRPr="00A51CC4" w:rsidRDefault="00A51CC4" w:rsidP="00A51CC4">
      <w:pPr>
        <w:pStyle w:val="ListParagraph"/>
        <w:numPr>
          <w:ilvl w:val="1"/>
          <w:numId w:val="30"/>
        </w:numPr>
        <w:ind w:left="1080"/>
      </w:pPr>
      <w:r w:rsidRPr="00A51CC4">
        <w:t>Required data elements, use of sensitive attributes or potential proxies, and outputs provided to insurers </w:t>
      </w:r>
    </w:p>
    <w:p w14:paraId="67161073" w14:textId="77777777" w:rsidR="00A51CC4" w:rsidRPr="00A51CC4" w:rsidRDefault="00A51CC4" w:rsidP="00A51CC4">
      <w:pPr>
        <w:numPr>
          <w:ilvl w:val="0"/>
          <w:numId w:val="31"/>
        </w:numPr>
      </w:pPr>
      <w:r w:rsidRPr="00A51CC4">
        <w:t>Validation and performance documentation </w:t>
      </w:r>
    </w:p>
    <w:p w14:paraId="5481EAEF" w14:textId="77777777" w:rsidR="00A51CC4" w:rsidRPr="00A51CC4" w:rsidRDefault="00A51CC4" w:rsidP="00A51CC4">
      <w:pPr>
        <w:numPr>
          <w:ilvl w:val="0"/>
          <w:numId w:val="32"/>
        </w:numPr>
        <w:tabs>
          <w:tab w:val="clear" w:pos="720"/>
          <w:tab w:val="num" w:pos="1080"/>
        </w:tabs>
        <w:ind w:left="1080"/>
      </w:pPr>
      <w:r w:rsidRPr="00A51CC4">
        <w:lastRenderedPageBreak/>
        <w:t>Accuracy, calibration, and any fairness/bias testing results </w:t>
      </w:r>
    </w:p>
    <w:p w14:paraId="171EC6E4" w14:textId="77777777" w:rsidR="00A51CC4" w:rsidRPr="00A51CC4" w:rsidRDefault="00A51CC4" w:rsidP="00A51CC4">
      <w:pPr>
        <w:numPr>
          <w:ilvl w:val="0"/>
          <w:numId w:val="33"/>
        </w:numPr>
        <w:tabs>
          <w:tab w:val="clear" w:pos="720"/>
          <w:tab w:val="num" w:pos="1080"/>
        </w:tabs>
        <w:ind w:left="1080"/>
      </w:pPr>
      <w:r w:rsidRPr="00A51CC4">
        <w:t>Monitoring and performance degradation controls </w:t>
      </w:r>
    </w:p>
    <w:p w14:paraId="12C0DA2B" w14:textId="77777777" w:rsidR="00A51CC4" w:rsidRPr="00A51CC4" w:rsidRDefault="00A51CC4" w:rsidP="00A51CC4">
      <w:pPr>
        <w:numPr>
          <w:ilvl w:val="0"/>
          <w:numId w:val="34"/>
        </w:numPr>
      </w:pPr>
      <w:r w:rsidRPr="00A51CC4">
        <w:t>Explainability documentation </w:t>
      </w:r>
    </w:p>
    <w:p w14:paraId="0B7E6616" w14:textId="77777777" w:rsidR="00A51CC4" w:rsidRPr="00A51CC4" w:rsidRDefault="00A51CC4" w:rsidP="00A51CC4">
      <w:pPr>
        <w:numPr>
          <w:ilvl w:val="0"/>
          <w:numId w:val="35"/>
        </w:numPr>
        <w:tabs>
          <w:tab w:val="num" w:pos="720"/>
        </w:tabs>
      </w:pPr>
      <w:r w:rsidRPr="00A51CC4">
        <w:t>How insurers can interpret model outputs </w:t>
      </w:r>
    </w:p>
    <w:p w14:paraId="0B1F11E4" w14:textId="77777777" w:rsidR="00A51CC4" w:rsidRPr="00A51CC4" w:rsidRDefault="00A51CC4" w:rsidP="00A51CC4">
      <w:pPr>
        <w:numPr>
          <w:ilvl w:val="0"/>
          <w:numId w:val="36"/>
        </w:numPr>
        <w:tabs>
          <w:tab w:val="num" w:pos="720"/>
        </w:tabs>
      </w:pPr>
      <w:r w:rsidRPr="00A51CC4">
        <w:t>Primary drivers of predictions or classifications </w:t>
      </w:r>
    </w:p>
    <w:p w14:paraId="41FE1EA3" w14:textId="77777777" w:rsidR="00A51CC4" w:rsidRPr="00A51CC4" w:rsidRDefault="00A51CC4" w:rsidP="00A51CC4">
      <w:pPr>
        <w:numPr>
          <w:ilvl w:val="0"/>
          <w:numId w:val="37"/>
        </w:numPr>
      </w:pPr>
      <w:r w:rsidRPr="00A51CC4">
        <w:t>Change-management summary </w:t>
      </w:r>
    </w:p>
    <w:p w14:paraId="4CEA1FA4" w14:textId="77777777" w:rsidR="00A51CC4" w:rsidRPr="00A51CC4" w:rsidRDefault="00A51CC4" w:rsidP="00A51CC4">
      <w:pPr>
        <w:numPr>
          <w:ilvl w:val="0"/>
          <w:numId w:val="38"/>
        </w:numPr>
        <w:tabs>
          <w:tab w:val="num" w:pos="720"/>
        </w:tabs>
      </w:pPr>
      <w:r w:rsidRPr="00A51CC4">
        <w:t>Version history, material changes since last version, anticipated updates </w:t>
      </w:r>
    </w:p>
    <w:p w14:paraId="652B386F" w14:textId="75FE3545" w:rsidR="00A51CC4" w:rsidRPr="00A51CC4" w:rsidRDefault="00A51CC4" w:rsidP="00A51CC4">
      <w:pPr>
        <w:pStyle w:val="ListParagraph"/>
        <w:numPr>
          <w:ilvl w:val="0"/>
          <w:numId w:val="20"/>
        </w:numPr>
        <w:tabs>
          <w:tab w:val="num" w:pos="720"/>
        </w:tabs>
        <w:rPr>
          <w:b/>
          <w:bCs/>
        </w:rPr>
      </w:pPr>
      <w:r w:rsidRPr="00A51CC4">
        <w:rPr>
          <w:b/>
          <w:bCs/>
        </w:rPr>
        <w:t>Confidentiality Protections </w:t>
      </w:r>
    </w:p>
    <w:p w14:paraId="0633DC29" w14:textId="0E91B5B0" w:rsidR="00A51CC4" w:rsidRPr="00A51CC4" w:rsidRDefault="00A51CC4" w:rsidP="00A51CC4">
      <w:pPr>
        <w:jc w:val="both"/>
      </w:pPr>
      <w:r w:rsidRPr="00A51CC4">
        <w:t>All third-party model filings are subject to the same protections afforded to insurers for confidential, proprietary, and trade-secret information. </w:t>
      </w:r>
    </w:p>
    <w:p w14:paraId="2A4E6E48" w14:textId="222629AB" w:rsidR="00A51CC4" w:rsidRPr="00A51CC4" w:rsidRDefault="00A51CC4" w:rsidP="00A51CC4">
      <w:pPr>
        <w:pStyle w:val="ListParagraph"/>
        <w:numPr>
          <w:ilvl w:val="0"/>
          <w:numId w:val="20"/>
        </w:numPr>
        <w:rPr>
          <w:b/>
          <w:bCs/>
        </w:rPr>
      </w:pPr>
      <w:r w:rsidRPr="00A51CC4">
        <w:rPr>
          <w:b/>
          <w:bCs/>
        </w:rPr>
        <w:t>Filing Review</w:t>
      </w:r>
    </w:p>
    <w:p w14:paraId="74107309" w14:textId="7CCB9CE1" w:rsidR="00A51CC4" w:rsidRPr="00A51CC4" w:rsidRDefault="00A51CC4" w:rsidP="00A51CC4">
      <w:pPr>
        <w:jc w:val="both"/>
      </w:pPr>
      <w:r w:rsidRPr="00A51CC4">
        <w:t>When a model is submitted, the [state insurance department] may perform the following: </w:t>
      </w:r>
    </w:p>
    <w:p w14:paraId="2484A676" w14:textId="27A7637A" w:rsidR="00A51CC4" w:rsidRPr="00A51CC4" w:rsidRDefault="00A51CC4" w:rsidP="00A51CC4">
      <w:pPr>
        <w:pStyle w:val="ListParagraph"/>
        <w:numPr>
          <w:ilvl w:val="0"/>
          <w:numId w:val="39"/>
        </w:numPr>
      </w:pPr>
      <w:r w:rsidRPr="00A51CC4">
        <w:t>Completeness Review </w:t>
      </w:r>
    </w:p>
    <w:p w14:paraId="0FF2BB5C" w14:textId="77777777" w:rsidR="00A51CC4" w:rsidRPr="00A51CC4" w:rsidRDefault="00A51CC4" w:rsidP="00A51CC4">
      <w:pPr>
        <w:numPr>
          <w:ilvl w:val="0"/>
          <w:numId w:val="39"/>
        </w:numPr>
      </w:pPr>
      <w:r w:rsidRPr="00A51CC4">
        <w:t>Technical, actuarial, and compliance review assessment </w:t>
      </w:r>
    </w:p>
    <w:p w14:paraId="6E0A7EA1" w14:textId="77777777" w:rsidR="00A51CC4" w:rsidRPr="00A51CC4" w:rsidRDefault="00A51CC4" w:rsidP="00A51CC4">
      <w:pPr>
        <w:numPr>
          <w:ilvl w:val="0"/>
          <w:numId w:val="40"/>
        </w:numPr>
        <w:tabs>
          <w:tab w:val="clear" w:pos="720"/>
          <w:tab w:val="num" w:pos="1080"/>
        </w:tabs>
        <w:ind w:left="1080"/>
      </w:pPr>
      <w:r w:rsidRPr="00A51CC4">
        <w:t>Fitness for intended use </w:t>
      </w:r>
    </w:p>
    <w:p w14:paraId="23A8C7E6" w14:textId="77777777" w:rsidR="00A51CC4" w:rsidRPr="00A51CC4" w:rsidRDefault="00A51CC4" w:rsidP="00A51CC4">
      <w:pPr>
        <w:numPr>
          <w:ilvl w:val="0"/>
          <w:numId w:val="41"/>
        </w:numPr>
        <w:tabs>
          <w:tab w:val="clear" w:pos="720"/>
          <w:tab w:val="num" w:pos="1080"/>
        </w:tabs>
        <w:ind w:left="1080"/>
      </w:pPr>
      <w:r w:rsidRPr="00A51CC4">
        <w:t>Accuracy and reliability </w:t>
      </w:r>
    </w:p>
    <w:p w14:paraId="1D097B21" w14:textId="77777777" w:rsidR="00A51CC4" w:rsidRPr="00A51CC4" w:rsidRDefault="00A51CC4" w:rsidP="00A51CC4">
      <w:pPr>
        <w:numPr>
          <w:ilvl w:val="0"/>
          <w:numId w:val="42"/>
        </w:numPr>
        <w:tabs>
          <w:tab w:val="clear" w:pos="720"/>
          <w:tab w:val="num" w:pos="1080"/>
        </w:tabs>
        <w:ind w:left="1080"/>
      </w:pPr>
      <w:r w:rsidRPr="00A51CC4">
        <w:t>Fairness </w:t>
      </w:r>
    </w:p>
    <w:p w14:paraId="0FC559CA" w14:textId="77777777" w:rsidR="00A51CC4" w:rsidRPr="00A51CC4" w:rsidRDefault="00A51CC4" w:rsidP="00A51CC4">
      <w:pPr>
        <w:numPr>
          <w:ilvl w:val="0"/>
          <w:numId w:val="43"/>
        </w:numPr>
        <w:tabs>
          <w:tab w:val="clear" w:pos="720"/>
          <w:tab w:val="num" w:pos="1080"/>
        </w:tabs>
        <w:ind w:left="1080"/>
      </w:pPr>
      <w:r w:rsidRPr="00A51CC4">
        <w:t>Adequacy of governance, controls, and monitoring </w:t>
      </w:r>
    </w:p>
    <w:p w14:paraId="211241B9" w14:textId="77777777" w:rsidR="00A51CC4" w:rsidRPr="00A51CC4" w:rsidRDefault="00A51CC4" w:rsidP="00A51CC4">
      <w:pPr>
        <w:numPr>
          <w:ilvl w:val="0"/>
          <w:numId w:val="44"/>
        </w:numPr>
      </w:pPr>
      <w:r w:rsidRPr="00A51CC4">
        <w:t>Disposition </w:t>
      </w:r>
    </w:p>
    <w:p w14:paraId="5470178B" w14:textId="77777777" w:rsidR="00A51CC4" w:rsidRPr="00A51CC4" w:rsidRDefault="00A51CC4" w:rsidP="00A51CC4">
      <w:pPr>
        <w:numPr>
          <w:ilvl w:val="0"/>
          <w:numId w:val="45"/>
        </w:numPr>
        <w:tabs>
          <w:tab w:val="clear" w:pos="720"/>
          <w:tab w:val="num" w:pos="1080"/>
        </w:tabs>
        <w:ind w:left="1080"/>
      </w:pPr>
      <w:r w:rsidRPr="00A51CC4">
        <w:t>Approval for use </w:t>
      </w:r>
    </w:p>
    <w:p w14:paraId="6B441852" w14:textId="77777777" w:rsidR="00A51CC4" w:rsidRPr="00A51CC4" w:rsidRDefault="00A51CC4" w:rsidP="00A51CC4">
      <w:pPr>
        <w:numPr>
          <w:ilvl w:val="0"/>
          <w:numId w:val="46"/>
        </w:numPr>
        <w:tabs>
          <w:tab w:val="clear" w:pos="720"/>
          <w:tab w:val="num" w:pos="1080"/>
        </w:tabs>
        <w:ind w:left="1080"/>
      </w:pPr>
      <w:r w:rsidRPr="00A51CC4">
        <w:t>Conditional use </w:t>
      </w:r>
    </w:p>
    <w:p w14:paraId="2E65E00D" w14:textId="77777777" w:rsidR="00A51CC4" w:rsidRDefault="00A51CC4" w:rsidP="00A51CC4">
      <w:pPr>
        <w:numPr>
          <w:ilvl w:val="0"/>
          <w:numId w:val="47"/>
        </w:numPr>
        <w:tabs>
          <w:tab w:val="clear" w:pos="720"/>
          <w:tab w:val="num" w:pos="1080"/>
        </w:tabs>
        <w:ind w:left="1080"/>
      </w:pPr>
      <w:r w:rsidRPr="00A51CC4">
        <w:t>Disapproval for use </w:t>
      </w:r>
    </w:p>
    <w:p w14:paraId="7119BEF2" w14:textId="77777777" w:rsidR="00A51CC4" w:rsidRPr="00A51CC4" w:rsidRDefault="00A51CC4" w:rsidP="00A51CC4">
      <w:pPr>
        <w:ind w:left="1080"/>
      </w:pPr>
    </w:p>
    <w:p w14:paraId="03E092BE" w14:textId="77777777" w:rsidR="003076FD" w:rsidRDefault="003076FD">
      <w:pPr>
        <w:rPr>
          <w:b/>
          <w:bCs/>
        </w:rPr>
      </w:pPr>
      <w:r>
        <w:rPr>
          <w:b/>
          <w:bCs/>
        </w:rPr>
        <w:br w:type="page"/>
      </w:r>
    </w:p>
    <w:p w14:paraId="63530293" w14:textId="32E7DB9B" w:rsidR="00A51CC4" w:rsidRPr="00A51CC4" w:rsidRDefault="00A51CC4" w:rsidP="00A51CC4">
      <w:pPr>
        <w:pStyle w:val="ListParagraph"/>
        <w:numPr>
          <w:ilvl w:val="0"/>
          <w:numId w:val="19"/>
        </w:numPr>
        <w:tabs>
          <w:tab w:val="num" w:pos="720"/>
        </w:tabs>
      </w:pPr>
      <w:r w:rsidRPr="00A51CC4">
        <w:rPr>
          <w:b/>
          <w:bCs/>
        </w:rPr>
        <w:lastRenderedPageBreak/>
        <w:t>Third-Party Data Vendor Registration </w:t>
      </w:r>
      <w:r w:rsidRPr="00A51CC4">
        <w:t> </w:t>
      </w:r>
    </w:p>
    <w:p w14:paraId="6724A750" w14:textId="77777777" w:rsidR="00A51CC4" w:rsidRPr="00A51CC4" w:rsidRDefault="00A51CC4" w:rsidP="00A51CC4">
      <w:pPr>
        <w:jc w:val="both"/>
      </w:pPr>
      <w:r w:rsidRPr="00A51CC4">
        <w:t>Third-party data vendors must register with the [state insurance department or a national registration database] before their data may be used by a licensed insurer in insurance functions with direct consumer impact. Registration creates a standardized framework and ensures vendors maintain robust governance standards and controls. </w:t>
      </w:r>
    </w:p>
    <w:p w14:paraId="04339F48" w14:textId="77777777" w:rsidR="00A51CC4" w:rsidRPr="00A51CC4" w:rsidRDefault="00A51CC4" w:rsidP="00A51CC4">
      <w:pPr>
        <w:numPr>
          <w:ilvl w:val="0"/>
          <w:numId w:val="48"/>
        </w:numPr>
        <w:tabs>
          <w:tab w:val="clear" w:pos="360"/>
          <w:tab w:val="num" w:pos="720"/>
        </w:tabs>
        <w:rPr>
          <w:b/>
          <w:bCs/>
        </w:rPr>
      </w:pPr>
      <w:r w:rsidRPr="00A51CC4">
        <w:rPr>
          <w:b/>
          <w:bCs/>
        </w:rPr>
        <w:t>Information Provided at Registration </w:t>
      </w:r>
    </w:p>
    <w:p w14:paraId="76CAB3AE" w14:textId="5CA24C31" w:rsidR="00A51CC4" w:rsidRPr="00A51CC4" w:rsidRDefault="00A51CC4" w:rsidP="00A51CC4">
      <w:pPr>
        <w:pStyle w:val="ListParagraph"/>
        <w:numPr>
          <w:ilvl w:val="0"/>
          <w:numId w:val="68"/>
        </w:numPr>
        <w:tabs>
          <w:tab w:val="num" w:pos="720"/>
        </w:tabs>
        <w:ind w:left="720"/>
      </w:pPr>
      <w:r w:rsidRPr="00A51CC4">
        <w:t>Corporate and Contact Information </w:t>
      </w:r>
    </w:p>
    <w:p w14:paraId="595C0907" w14:textId="77777777" w:rsidR="00A51CC4" w:rsidRPr="00A51CC4" w:rsidRDefault="00A51CC4" w:rsidP="00A51CC4">
      <w:pPr>
        <w:numPr>
          <w:ilvl w:val="0"/>
          <w:numId w:val="49"/>
        </w:numPr>
        <w:tabs>
          <w:tab w:val="num" w:pos="720"/>
        </w:tabs>
      </w:pPr>
      <w:r w:rsidRPr="00A51CC4">
        <w:t>Legal entity, ownership structure, responsible officers, and states where data is deployed or currently under review for deployment. </w:t>
      </w:r>
    </w:p>
    <w:p w14:paraId="6EEFCBC0" w14:textId="77777777" w:rsidR="00A51CC4" w:rsidRDefault="00A51CC4" w:rsidP="00A51CC4">
      <w:pPr>
        <w:numPr>
          <w:ilvl w:val="0"/>
          <w:numId w:val="50"/>
        </w:numPr>
      </w:pPr>
      <w:r w:rsidRPr="00A51CC4">
        <w:t>Data Governance Program Documentation </w:t>
      </w:r>
    </w:p>
    <w:p w14:paraId="3AD34442" w14:textId="03943BB0" w:rsidR="00A51CC4" w:rsidRPr="00A51CC4" w:rsidRDefault="00A51CC4" w:rsidP="00A51CC4">
      <w:pPr>
        <w:ind w:left="720"/>
      </w:pPr>
      <w:r>
        <w:t xml:space="preserve">a. </w:t>
      </w:r>
      <w:r w:rsidRPr="00A51CC4">
        <w:t>Documentation demonstrating a comprehensive governance program that includes: </w:t>
      </w:r>
    </w:p>
    <w:p w14:paraId="7C018604" w14:textId="77777777" w:rsidR="00A51CC4" w:rsidRDefault="00A51CC4" w:rsidP="00A51CC4">
      <w:pPr>
        <w:pStyle w:val="ListParagraph"/>
        <w:numPr>
          <w:ilvl w:val="1"/>
          <w:numId w:val="70"/>
        </w:numPr>
      </w:pPr>
      <w:r w:rsidRPr="00A51CC4">
        <w:t>Data governance and provenance controls </w:t>
      </w:r>
    </w:p>
    <w:p w14:paraId="074F1FC1" w14:textId="77777777" w:rsidR="00A51CC4" w:rsidRDefault="00A51CC4" w:rsidP="00A51CC4">
      <w:pPr>
        <w:pStyle w:val="ListParagraph"/>
        <w:numPr>
          <w:ilvl w:val="1"/>
          <w:numId w:val="70"/>
        </w:numPr>
      </w:pPr>
      <w:r w:rsidRPr="00A51CC4">
        <w:t>Roles, responsibilities, and internal oversight  </w:t>
      </w:r>
    </w:p>
    <w:p w14:paraId="16EFA7D6" w14:textId="773D5768" w:rsidR="00A51CC4" w:rsidRPr="00A51CC4" w:rsidRDefault="00A51CC4" w:rsidP="00A51CC4">
      <w:pPr>
        <w:pStyle w:val="ListParagraph"/>
        <w:numPr>
          <w:ilvl w:val="1"/>
          <w:numId w:val="70"/>
        </w:numPr>
      </w:pPr>
      <w:r w:rsidRPr="00A51CC4">
        <w:t>Process for identification and remediation of missing or incomplete data </w:t>
      </w:r>
    </w:p>
    <w:p w14:paraId="03067637" w14:textId="77777777" w:rsidR="00A51CC4" w:rsidRPr="00A51CC4" w:rsidRDefault="00A51CC4" w:rsidP="00A51CC4">
      <w:pPr>
        <w:numPr>
          <w:ilvl w:val="0"/>
          <w:numId w:val="51"/>
        </w:numPr>
      </w:pPr>
      <w:r w:rsidRPr="00A51CC4">
        <w:t>Agreement to Regulatory Access </w:t>
      </w:r>
    </w:p>
    <w:p w14:paraId="29F1DBAC" w14:textId="77777777" w:rsidR="00A51CC4" w:rsidRPr="00A51CC4" w:rsidRDefault="00A51CC4" w:rsidP="00A51CC4">
      <w:pPr>
        <w:numPr>
          <w:ilvl w:val="0"/>
          <w:numId w:val="52"/>
        </w:numPr>
        <w:tabs>
          <w:tab w:val="num" w:pos="720"/>
        </w:tabs>
      </w:pPr>
      <w:r w:rsidRPr="00A51CC4">
        <w:t>Vendors must agree to provide regulators with access, upon request, to the following: </w:t>
      </w:r>
    </w:p>
    <w:p w14:paraId="3E851819" w14:textId="1F34177D" w:rsidR="00A51CC4" w:rsidRPr="00A51CC4" w:rsidRDefault="00A51CC4" w:rsidP="00A51CC4">
      <w:pPr>
        <w:pStyle w:val="ListParagraph"/>
        <w:numPr>
          <w:ilvl w:val="1"/>
          <w:numId w:val="69"/>
        </w:numPr>
        <w:ind w:left="1440"/>
      </w:pPr>
      <w:r w:rsidRPr="00A51CC4">
        <w:t>Data documentation </w:t>
      </w:r>
    </w:p>
    <w:p w14:paraId="12FA53EC" w14:textId="64AC5B94" w:rsidR="00A51CC4" w:rsidRPr="00A51CC4" w:rsidRDefault="00A51CC4" w:rsidP="00A51CC4">
      <w:pPr>
        <w:pStyle w:val="ListParagraph"/>
        <w:numPr>
          <w:ilvl w:val="1"/>
          <w:numId w:val="69"/>
        </w:numPr>
        <w:ind w:left="1440"/>
      </w:pPr>
      <w:r w:rsidRPr="00A51CC4">
        <w:t>Validation, performance, and any fairness/bias testing results </w:t>
      </w:r>
    </w:p>
    <w:p w14:paraId="28723A3C" w14:textId="5DC609C0" w:rsidR="00A51CC4" w:rsidRPr="00A51CC4" w:rsidRDefault="00A51CC4" w:rsidP="00A51CC4">
      <w:pPr>
        <w:pStyle w:val="ListParagraph"/>
        <w:numPr>
          <w:ilvl w:val="1"/>
          <w:numId w:val="69"/>
        </w:numPr>
        <w:ind w:left="1440"/>
      </w:pPr>
      <w:r w:rsidRPr="00A51CC4">
        <w:t>Change logs and audit trails </w:t>
      </w:r>
    </w:p>
    <w:p w14:paraId="4130DDCC" w14:textId="4D382A11" w:rsidR="00A51CC4" w:rsidRPr="00A51CC4" w:rsidRDefault="00A51CC4" w:rsidP="00A51CC4">
      <w:pPr>
        <w:pStyle w:val="ListParagraph"/>
        <w:numPr>
          <w:ilvl w:val="1"/>
          <w:numId w:val="69"/>
        </w:numPr>
        <w:ind w:left="1440"/>
      </w:pPr>
      <w:r w:rsidRPr="00A51CC4">
        <w:t>Other information reasonably necessary for regulatory evaluation </w:t>
      </w:r>
    </w:p>
    <w:p w14:paraId="3A2F8261" w14:textId="77777777" w:rsidR="00A51CC4" w:rsidRDefault="00A51CC4" w:rsidP="00A51CC4">
      <w:pPr>
        <w:pStyle w:val="ListParagraph"/>
        <w:ind w:left="360"/>
        <w:rPr>
          <w:b/>
          <w:bCs/>
        </w:rPr>
      </w:pPr>
    </w:p>
    <w:p w14:paraId="11E0FA22" w14:textId="15B0C984" w:rsidR="00A51CC4" w:rsidRPr="00A51CC4" w:rsidRDefault="00A51CC4" w:rsidP="00A51CC4">
      <w:pPr>
        <w:pStyle w:val="ListParagraph"/>
        <w:numPr>
          <w:ilvl w:val="0"/>
          <w:numId w:val="48"/>
        </w:numPr>
        <w:tabs>
          <w:tab w:val="num" w:pos="720"/>
        </w:tabs>
        <w:rPr>
          <w:b/>
          <w:bCs/>
        </w:rPr>
      </w:pPr>
      <w:r w:rsidRPr="00A51CC4">
        <w:rPr>
          <w:b/>
          <w:bCs/>
        </w:rPr>
        <w:t>Annual Attestation </w:t>
      </w:r>
    </w:p>
    <w:p w14:paraId="7EE8A3BE" w14:textId="77777777" w:rsidR="00A51CC4" w:rsidRDefault="00A51CC4" w:rsidP="00A51CC4">
      <w:pPr>
        <w:jc w:val="both"/>
      </w:pPr>
      <w:r w:rsidRPr="00A51CC4">
        <w:t>A senior officer must attest that the governance program is implemented, effective, and applied to all data used by licensed insurers, complies with applicable insurance laws and regulations in [state], and adheres to third-party data vendor governance program requirements (</w:t>
      </w:r>
      <w:r w:rsidRPr="00A51CC4">
        <w:rPr>
          <w:i/>
          <w:iCs/>
        </w:rPr>
        <w:t>to be developed</w:t>
      </w:r>
      <w:r w:rsidRPr="00A51CC4">
        <w:t>). The attestation should be provided to each [state insurance department]. </w:t>
      </w:r>
    </w:p>
    <w:p w14:paraId="33053D1E" w14:textId="77777777" w:rsidR="00A51CC4" w:rsidRPr="00A51CC4" w:rsidRDefault="00A51CC4" w:rsidP="00A51CC4">
      <w:pPr>
        <w:jc w:val="both"/>
      </w:pPr>
    </w:p>
    <w:p w14:paraId="23E4A9C4" w14:textId="29625BE2" w:rsidR="00A51CC4" w:rsidRPr="00A51CC4" w:rsidRDefault="00A51CC4" w:rsidP="00A51CC4">
      <w:pPr>
        <w:pStyle w:val="ListParagraph"/>
        <w:numPr>
          <w:ilvl w:val="0"/>
          <w:numId w:val="19"/>
        </w:numPr>
        <w:tabs>
          <w:tab w:val="num" w:pos="720"/>
        </w:tabs>
      </w:pPr>
      <w:r w:rsidRPr="00A51CC4">
        <w:rPr>
          <w:b/>
          <w:bCs/>
        </w:rPr>
        <w:lastRenderedPageBreak/>
        <w:t>Discretionary Third-Party Data Vendor Filing Process</w:t>
      </w:r>
      <w:r w:rsidRPr="00A51CC4">
        <w:t> </w:t>
      </w:r>
    </w:p>
    <w:p w14:paraId="522654D1" w14:textId="41D12681" w:rsidR="00A51CC4" w:rsidRPr="00A51CC4" w:rsidRDefault="00A51CC4" w:rsidP="00A51CC4">
      <w:pPr>
        <w:jc w:val="both"/>
      </w:pPr>
      <w:r w:rsidRPr="00A51CC4">
        <w:t>States retain discretion to require a direct filing of third-party data or data documentation when regulatory evaluation is necessary to ensure compliance and consumer protection. Filing is </w:t>
      </w:r>
      <w:r w:rsidRPr="00A51CC4">
        <w:rPr>
          <w:b/>
          <w:bCs/>
        </w:rPr>
        <w:t>not automatically assumed</w:t>
      </w:r>
      <w:r w:rsidRPr="00A51CC4">
        <w:t> and is rather triggered by risk, consumer impact, and specific regulatory needs. States may modify the documentation required to be submitted</w:t>
      </w:r>
      <w:r>
        <w:t xml:space="preserve"> </w:t>
      </w:r>
      <w:r w:rsidRPr="00A51CC4">
        <w:t>depending on specific needs and level or risk. </w:t>
      </w:r>
    </w:p>
    <w:p w14:paraId="2390B815" w14:textId="77777777" w:rsidR="00A51CC4" w:rsidRPr="00A51CC4" w:rsidRDefault="00A51CC4" w:rsidP="00A51CC4">
      <w:pPr>
        <w:numPr>
          <w:ilvl w:val="0"/>
          <w:numId w:val="53"/>
        </w:numPr>
        <w:tabs>
          <w:tab w:val="clear" w:pos="360"/>
          <w:tab w:val="num" w:pos="720"/>
        </w:tabs>
        <w:rPr>
          <w:b/>
          <w:bCs/>
        </w:rPr>
      </w:pPr>
      <w:r w:rsidRPr="00A51CC4">
        <w:rPr>
          <w:b/>
          <w:bCs/>
        </w:rPr>
        <w:t>Filing Requirements  </w:t>
      </w:r>
    </w:p>
    <w:p w14:paraId="5BF62BA0" w14:textId="1BFCDB62" w:rsidR="00A51CC4" w:rsidRPr="00A51CC4" w:rsidRDefault="00A51CC4" w:rsidP="00A51CC4">
      <w:pPr>
        <w:pStyle w:val="ListParagraph"/>
        <w:numPr>
          <w:ilvl w:val="0"/>
          <w:numId w:val="54"/>
        </w:numPr>
      </w:pPr>
      <w:r w:rsidRPr="00A51CC4">
        <w:t>Data documentation, source, and intended use  </w:t>
      </w:r>
    </w:p>
    <w:p w14:paraId="0DF490F1" w14:textId="2B7EB880" w:rsidR="00A51CC4" w:rsidRPr="00A51CC4" w:rsidRDefault="00A51CC4" w:rsidP="00A51CC4">
      <w:pPr>
        <w:numPr>
          <w:ilvl w:val="0"/>
          <w:numId w:val="54"/>
        </w:numPr>
      </w:pPr>
      <w:r w:rsidRPr="00A51CC4">
        <w:t>Business purpose, functions, and consumer impact  </w:t>
      </w:r>
    </w:p>
    <w:p w14:paraId="7A6922AC" w14:textId="77777777" w:rsidR="00A51CC4" w:rsidRPr="00A51CC4" w:rsidRDefault="00A51CC4" w:rsidP="00A51CC4">
      <w:pPr>
        <w:numPr>
          <w:ilvl w:val="0"/>
          <w:numId w:val="55"/>
        </w:numPr>
      </w:pPr>
      <w:r w:rsidRPr="00A51CC4">
        <w:t>Accuracy, completeness, and any fairness/bias testing results  </w:t>
      </w:r>
    </w:p>
    <w:p w14:paraId="2E64185F" w14:textId="77777777" w:rsidR="00A51CC4" w:rsidRPr="00A51CC4" w:rsidRDefault="00A51CC4" w:rsidP="00A51CC4">
      <w:pPr>
        <w:numPr>
          <w:ilvl w:val="0"/>
          <w:numId w:val="56"/>
        </w:numPr>
      </w:pPr>
      <w:r w:rsidRPr="00A51CC4">
        <w:t>Explainability documentation  </w:t>
      </w:r>
    </w:p>
    <w:p w14:paraId="5107BFF7" w14:textId="77777777" w:rsidR="00A51CC4" w:rsidRPr="00A51CC4" w:rsidRDefault="00A51CC4" w:rsidP="00A51CC4">
      <w:pPr>
        <w:numPr>
          <w:ilvl w:val="0"/>
          <w:numId w:val="57"/>
        </w:numPr>
      </w:pPr>
      <w:r w:rsidRPr="00A51CC4">
        <w:t>Version history, material changes since last version, anticipated updates  </w:t>
      </w:r>
    </w:p>
    <w:p w14:paraId="315C3D33" w14:textId="77777777" w:rsidR="00A51CC4" w:rsidRPr="00A51CC4" w:rsidRDefault="00A51CC4" w:rsidP="00A51CC4">
      <w:pPr>
        <w:numPr>
          <w:ilvl w:val="0"/>
          <w:numId w:val="58"/>
        </w:numPr>
      </w:pPr>
      <w:r w:rsidRPr="00A51CC4">
        <w:t>Whether data is derived or created bespoke for insurers </w:t>
      </w:r>
    </w:p>
    <w:p w14:paraId="3AA49888" w14:textId="77777777" w:rsidR="00A51CC4" w:rsidRPr="00A51CC4" w:rsidRDefault="00A51CC4" w:rsidP="00A51CC4">
      <w:pPr>
        <w:numPr>
          <w:ilvl w:val="0"/>
          <w:numId w:val="59"/>
        </w:numPr>
      </w:pPr>
      <w:r w:rsidRPr="00A51CC4">
        <w:t>Other information reasonably necessary for regulatory evaluation </w:t>
      </w:r>
    </w:p>
    <w:p w14:paraId="5B587553" w14:textId="727EA3D2" w:rsidR="00A51CC4" w:rsidRPr="00A51CC4" w:rsidRDefault="00A51CC4" w:rsidP="00A51CC4">
      <w:pPr>
        <w:pStyle w:val="ListParagraph"/>
        <w:numPr>
          <w:ilvl w:val="0"/>
          <w:numId w:val="53"/>
        </w:numPr>
        <w:tabs>
          <w:tab w:val="num" w:pos="720"/>
        </w:tabs>
        <w:rPr>
          <w:b/>
          <w:bCs/>
        </w:rPr>
      </w:pPr>
      <w:r w:rsidRPr="00A51CC4">
        <w:rPr>
          <w:b/>
          <w:bCs/>
        </w:rPr>
        <w:t>Confidentiality Protections  </w:t>
      </w:r>
    </w:p>
    <w:p w14:paraId="0A713162" w14:textId="09B52A82" w:rsidR="00A51CC4" w:rsidRDefault="00A51CC4" w:rsidP="00A51CC4">
      <w:pPr>
        <w:jc w:val="both"/>
      </w:pPr>
      <w:r w:rsidRPr="00A51CC4">
        <w:t>All third-party data filings are subject to the same protections afforded to insurers for confidential, proprietary, and trade-secret information. </w:t>
      </w:r>
    </w:p>
    <w:p w14:paraId="7A01911F" w14:textId="77777777" w:rsidR="00A51CC4" w:rsidRPr="00A51CC4" w:rsidRDefault="00A51CC4" w:rsidP="00A51CC4">
      <w:pPr>
        <w:jc w:val="both"/>
      </w:pPr>
    </w:p>
    <w:p w14:paraId="1C859B29" w14:textId="77777777" w:rsidR="00A51CC4" w:rsidRDefault="00A51CC4" w:rsidP="00A51CC4">
      <w:pPr>
        <w:numPr>
          <w:ilvl w:val="0"/>
          <w:numId w:val="60"/>
        </w:numPr>
        <w:tabs>
          <w:tab w:val="clear" w:pos="360"/>
          <w:tab w:val="num" w:pos="720"/>
        </w:tabs>
      </w:pPr>
      <w:r w:rsidRPr="00A51CC4">
        <w:rPr>
          <w:b/>
          <w:bCs/>
        </w:rPr>
        <w:t>Ongoing Oversight of Third-Party Data and Model Vendors</w:t>
      </w:r>
      <w:r w:rsidRPr="00A51CC4">
        <w:t> </w:t>
      </w:r>
    </w:p>
    <w:p w14:paraId="040E8ED1" w14:textId="0F9F238F" w:rsidR="00A51CC4" w:rsidRPr="00A51CC4" w:rsidRDefault="00A51CC4" w:rsidP="00A51CC4">
      <w:pPr>
        <w:pStyle w:val="ListParagraph"/>
        <w:numPr>
          <w:ilvl w:val="1"/>
          <w:numId w:val="60"/>
        </w:numPr>
        <w:tabs>
          <w:tab w:val="num" w:pos="720"/>
        </w:tabs>
        <w:ind w:left="360"/>
        <w:rPr>
          <w:b/>
          <w:bCs/>
        </w:rPr>
      </w:pPr>
      <w:r w:rsidRPr="00A51CC4">
        <w:rPr>
          <w:b/>
          <w:bCs/>
        </w:rPr>
        <w:t>Annual registration renewal </w:t>
      </w:r>
    </w:p>
    <w:p w14:paraId="3D899628" w14:textId="48E6665B" w:rsidR="00A51CC4" w:rsidRPr="00A51CC4" w:rsidRDefault="00A51CC4" w:rsidP="00A51CC4">
      <w:pPr>
        <w:jc w:val="both"/>
      </w:pPr>
      <w:r w:rsidRPr="00A51CC4">
        <w:t>Vendors must annually update governance documentation</w:t>
      </w:r>
      <w:r>
        <w:t xml:space="preserve">, </w:t>
      </w:r>
      <w:r w:rsidRPr="00A51CC4">
        <w:t>contact information, and any other required documentation. </w:t>
      </w:r>
    </w:p>
    <w:p w14:paraId="62525924" w14:textId="77777777" w:rsidR="00A51CC4" w:rsidRPr="00A51CC4" w:rsidRDefault="00A51CC4" w:rsidP="00A51CC4">
      <w:pPr>
        <w:numPr>
          <w:ilvl w:val="0"/>
          <w:numId w:val="61"/>
        </w:numPr>
        <w:tabs>
          <w:tab w:val="clear" w:pos="720"/>
          <w:tab w:val="num" w:pos="360"/>
        </w:tabs>
        <w:ind w:left="360"/>
        <w:rPr>
          <w:b/>
          <w:bCs/>
        </w:rPr>
      </w:pPr>
      <w:r w:rsidRPr="00A51CC4">
        <w:rPr>
          <w:b/>
          <w:bCs/>
        </w:rPr>
        <w:t>Material changes notifications </w:t>
      </w:r>
    </w:p>
    <w:p w14:paraId="0C32A767" w14:textId="77777777" w:rsidR="00A51CC4" w:rsidRPr="00A51CC4" w:rsidRDefault="00A51CC4" w:rsidP="00A51CC4">
      <w:pPr>
        <w:jc w:val="both"/>
      </w:pPr>
      <w:r w:rsidRPr="00A51CC4">
        <w:t>Vendors must notify regulators of material modifications to a dataset or model, including decommissioning of a model. Regulators may request documentation if the changes indicate a significant alteration of model behavior, risk, or consumer impact. </w:t>
      </w:r>
    </w:p>
    <w:p w14:paraId="0E4CCE6C" w14:textId="77777777" w:rsidR="00A51CC4" w:rsidRPr="00A51CC4" w:rsidRDefault="00A51CC4" w:rsidP="00A51CC4">
      <w:pPr>
        <w:numPr>
          <w:ilvl w:val="0"/>
          <w:numId w:val="62"/>
        </w:numPr>
        <w:tabs>
          <w:tab w:val="clear" w:pos="360"/>
          <w:tab w:val="num" w:pos="720"/>
        </w:tabs>
        <w:rPr>
          <w:b/>
          <w:bCs/>
        </w:rPr>
      </w:pPr>
      <w:r w:rsidRPr="00A51CC4">
        <w:rPr>
          <w:b/>
          <w:bCs/>
        </w:rPr>
        <w:t>Targeted Reviews </w:t>
      </w:r>
    </w:p>
    <w:p w14:paraId="3397BAF6" w14:textId="77777777" w:rsidR="00A51CC4" w:rsidRPr="00A51CC4" w:rsidRDefault="00A51CC4" w:rsidP="00A51CC4">
      <w:pPr>
        <w:jc w:val="both"/>
      </w:pPr>
      <w:r w:rsidRPr="00A51CC4">
        <w:lastRenderedPageBreak/>
        <w:t>Regulators may request additional information or conduct targeted evaluations if concerns arise regarding model performance, fairness, or lack of sufficient governance or internal controls. </w:t>
      </w:r>
    </w:p>
    <w:p w14:paraId="255D5A7E" w14:textId="4D50CF3A" w:rsidR="00A51CC4" w:rsidRPr="00A51CC4" w:rsidRDefault="00A51CC4" w:rsidP="00A51CC4">
      <w:pPr>
        <w:pStyle w:val="ListParagraph"/>
        <w:numPr>
          <w:ilvl w:val="0"/>
          <w:numId w:val="62"/>
        </w:numPr>
        <w:rPr>
          <w:b/>
          <w:bCs/>
        </w:rPr>
      </w:pPr>
      <w:r w:rsidRPr="00A51CC4">
        <w:rPr>
          <w:b/>
          <w:bCs/>
        </w:rPr>
        <w:t>Annual Governance Attestation</w:t>
      </w:r>
      <w:r w:rsidRPr="00A51CC4">
        <w:t xml:space="preserve"> (see above </w:t>
      </w:r>
      <w:r w:rsidRPr="00A51CC4">
        <w:rPr>
          <w:b/>
          <w:bCs/>
        </w:rPr>
        <w:t>Information Provided at Registration</w:t>
      </w:r>
      <w:r w:rsidRPr="00A51CC4">
        <w:t>) </w:t>
      </w:r>
    </w:p>
    <w:p w14:paraId="1F783481" w14:textId="77777777" w:rsidR="00A51CC4" w:rsidRPr="00A51CC4" w:rsidRDefault="00A51CC4" w:rsidP="00A51CC4">
      <w:pPr>
        <w:pStyle w:val="ListParagraph"/>
        <w:ind w:left="360"/>
        <w:rPr>
          <w:b/>
          <w:bCs/>
        </w:rPr>
      </w:pPr>
    </w:p>
    <w:p w14:paraId="131C925B" w14:textId="77777777" w:rsidR="00A51CC4" w:rsidRPr="00A51CC4" w:rsidRDefault="00A51CC4" w:rsidP="00A51CC4">
      <w:pPr>
        <w:numPr>
          <w:ilvl w:val="0"/>
          <w:numId w:val="63"/>
        </w:numPr>
        <w:tabs>
          <w:tab w:val="clear" w:pos="360"/>
          <w:tab w:val="num" w:pos="720"/>
        </w:tabs>
      </w:pPr>
      <w:r w:rsidRPr="00A51CC4">
        <w:rPr>
          <w:b/>
          <w:bCs/>
        </w:rPr>
        <w:t>Insurer Responsibilities</w:t>
      </w:r>
      <w:r w:rsidRPr="00A51CC4">
        <w:t> </w:t>
      </w:r>
    </w:p>
    <w:p w14:paraId="66B476A7" w14:textId="1CFF47D3" w:rsidR="00A51CC4" w:rsidRPr="00A51CC4" w:rsidRDefault="00A51CC4" w:rsidP="00A51CC4">
      <w:pPr>
        <w:jc w:val="both"/>
      </w:pPr>
      <w:r w:rsidRPr="00A51CC4">
        <w:t>This framework maintains the longstanding principle that insurers are responsible for their own compliance obligations. Insurers must validate model suitability for their book(s) of business, ensure contractual access to necessary information, meet all rating and underwriting requirements, even when using third-party models or data. </w:t>
      </w:r>
    </w:p>
    <w:p w14:paraId="3438C208" w14:textId="77777777" w:rsidR="00A51CC4" w:rsidRPr="00A51CC4" w:rsidRDefault="00A51CC4" w:rsidP="00A51CC4">
      <w:pPr>
        <w:jc w:val="both"/>
      </w:pPr>
      <w:r w:rsidRPr="00A51CC4">
        <w:t>Regulatory oversight of third-party data and model vendors </w:t>
      </w:r>
      <w:r w:rsidRPr="00A51CC4">
        <w:rPr>
          <w:b/>
          <w:bCs/>
        </w:rPr>
        <w:t>does not reduce insurer accountability</w:t>
      </w:r>
      <w:r w:rsidRPr="00A51CC4">
        <w:t>. Insurers remain responsible for the following: </w:t>
      </w:r>
    </w:p>
    <w:p w14:paraId="26F38BCF" w14:textId="76F47164" w:rsidR="00A51CC4" w:rsidRPr="00A51CC4" w:rsidRDefault="00A51CC4" w:rsidP="00A51CC4">
      <w:pPr>
        <w:pStyle w:val="ListParagraph"/>
        <w:numPr>
          <w:ilvl w:val="0"/>
          <w:numId w:val="64"/>
        </w:numPr>
        <w:tabs>
          <w:tab w:val="clear" w:pos="720"/>
        </w:tabs>
        <w:ind w:left="360"/>
      </w:pPr>
      <w:r w:rsidRPr="00A51CC4">
        <w:t>Assessing model suitability for their own data and business use cases </w:t>
      </w:r>
    </w:p>
    <w:p w14:paraId="68473DAB" w14:textId="77777777" w:rsidR="00A51CC4" w:rsidRPr="00A51CC4" w:rsidRDefault="00A51CC4" w:rsidP="00A51CC4">
      <w:pPr>
        <w:numPr>
          <w:ilvl w:val="0"/>
          <w:numId w:val="64"/>
        </w:numPr>
        <w:tabs>
          <w:tab w:val="clear" w:pos="720"/>
          <w:tab w:val="num" w:pos="360"/>
        </w:tabs>
        <w:ind w:left="360"/>
      </w:pPr>
      <w:r w:rsidRPr="00A51CC4">
        <w:t>Conducting insurer-level model validation, testing, and monitoring </w:t>
      </w:r>
    </w:p>
    <w:p w14:paraId="49DA80F7" w14:textId="77777777" w:rsidR="00A51CC4" w:rsidRDefault="00A51CC4" w:rsidP="00A51CC4">
      <w:pPr>
        <w:numPr>
          <w:ilvl w:val="0"/>
          <w:numId w:val="65"/>
        </w:numPr>
        <w:tabs>
          <w:tab w:val="clear" w:pos="720"/>
          <w:tab w:val="num" w:pos="360"/>
        </w:tabs>
        <w:ind w:left="360"/>
      </w:pPr>
      <w:r w:rsidRPr="00A51CC4">
        <w:t>Ensuring that any data provided by a third-party data vendor is sufficiently complete, accurate, and appropriate for its intended use </w:t>
      </w:r>
    </w:p>
    <w:p w14:paraId="5ECA65E4" w14:textId="5C3073E2" w:rsidR="00A51CC4" w:rsidRDefault="00A51CC4" w:rsidP="00A51CC4">
      <w:pPr>
        <w:numPr>
          <w:ilvl w:val="0"/>
          <w:numId w:val="65"/>
        </w:numPr>
        <w:tabs>
          <w:tab w:val="clear" w:pos="720"/>
          <w:tab w:val="num" w:pos="360"/>
        </w:tabs>
        <w:ind w:left="360"/>
      </w:pPr>
      <w:r w:rsidRPr="00A51CC4">
        <w:t>Ensuring compliance with rating, underwriting, unfair trade practices, and unfair discrimination laws </w:t>
      </w:r>
    </w:p>
    <w:p w14:paraId="50836FB8" w14:textId="7DDB3D44" w:rsidR="00A51CC4" w:rsidRPr="00A51CC4" w:rsidRDefault="00A51CC4" w:rsidP="00A51CC4">
      <w:pPr>
        <w:pStyle w:val="ListParagraph"/>
        <w:numPr>
          <w:ilvl w:val="0"/>
          <w:numId w:val="65"/>
        </w:numPr>
        <w:tabs>
          <w:tab w:val="clear" w:pos="720"/>
          <w:tab w:val="num" w:pos="360"/>
        </w:tabs>
        <w:ind w:left="360"/>
      </w:pPr>
      <w:r w:rsidRPr="00A51CC4">
        <w:t>Maintaining contacts permitting insurer and regulator access to necessary model or data information </w:t>
      </w:r>
    </w:p>
    <w:p w14:paraId="3531A597" w14:textId="77777777" w:rsidR="0002456F" w:rsidRDefault="0002456F"/>
    <w:sectPr w:rsidR="0002456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3E62D" w14:textId="77777777" w:rsidR="00933758" w:rsidRDefault="00933758" w:rsidP="00A51CC4">
      <w:pPr>
        <w:spacing w:after="0" w:line="240" w:lineRule="auto"/>
      </w:pPr>
      <w:r>
        <w:separator/>
      </w:r>
    </w:p>
  </w:endnote>
  <w:endnote w:type="continuationSeparator" w:id="0">
    <w:p w14:paraId="2002BB63" w14:textId="77777777" w:rsidR="00933758" w:rsidRDefault="00933758" w:rsidP="00A5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57999"/>
      <w:docPartObj>
        <w:docPartGallery w:val="Page Numbers (Bottom of Page)"/>
        <w:docPartUnique/>
      </w:docPartObj>
    </w:sdtPr>
    <w:sdtEndPr>
      <w:rPr>
        <w:noProof/>
      </w:rPr>
    </w:sdtEndPr>
    <w:sdtContent>
      <w:p w14:paraId="69331844" w14:textId="7FD3F8D7" w:rsidR="00A51CC4" w:rsidRDefault="00A51C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C10B33" w14:textId="77777777" w:rsidR="00A51CC4" w:rsidRDefault="00A51C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FEF3C" w14:textId="77777777" w:rsidR="00933758" w:rsidRDefault="00933758" w:rsidP="00A51CC4">
      <w:pPr>
        <w:spacing w:after="0" w:line="240" w:lineRule="auto"/>
      </w:pPr>
      <w:r>
        <w:separator/>
      </w:r>
    </w:p>
  </w:footnote>
  <w:footnote w:type="continuationSeparator" w:id="0">
    <w:p w14:paraId="2F3E201D" w14:textId="77777777" w:rsidR="00933758" w:rsidRDefault="00933758" w:rsidP="00A5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9E71A" w14:textId="77777777" w:rsidR="003076FD" w:rsidRDefault="003076FD" w:rsidP="003076FD">
    <w:pPr>
      <w:pStyle w:val="Header"/>
    </w:pPr>
    <w:r w:rsidRPr="003076FD">
      <w:t>12/9/25 Exposure Draft </w:t>
    </w:r>
  </w:p>
  <w:p w14:paraId="3DCE7097" w14:textId="24C496CC" w:rsidR="003076FD" w:rsidRPr="003076FD" w:rsidRDefault="003076FD" w:rsidP="003076FD">
    <w:pPr>
      <w:pStyle w:val="Header"/>
    </w:pPr>
    <w:r w:rsidRPr="003076FD">
      <w:t> </w:t>
    </w:r>
    <w:r w:rsidRPr="003076FD">
      <w:rPr>
        <w:b/>
        <w:bCs/>
      </w:rPr>
      <w:t> </w:t>
    </w:r>
    <w:r w:rsidRPr="003076FD">
      <w:t> </w:t>
    </w:r>
  </w:p>
  <w:p w14:paraId="33C222C1" w14:textId="0CE10689" w:rsidR="003076FD" w:rsidRPr="003076FD" w:rsidRDefault="003076FD" w:rsidP="003076FD">
    <w:pPr>
      <w:pStyle w:val="Header"/>
      <w:jc w:val="center"/>
    </w:pPr>
    <w:r w:rsidRPr="003076FD">
      <w:rPr>
        <w:b/>
        <w:bCs/>
      </w:rPr>
      <w:t>Risk-Based Regulatory Framework for</w:t>
    </w:r>
  </w:p>
  <w:p w14:paraId="39BC0E0C" w14:textId="2FC467E6" w:rsidR="003076FD" w:rsidRPr="003076FD" w:rsidRDefault="003076FD" w:rsidP="003076FD">
    <w:pPr>
      <w:pStyle w:val="Header"/>
      <w:jc w:val="center"/>
    </w:pPr>
    <w:r w:rsidRPr="003076FD">
      <w:rPr>
        <w:b/>
        <w:bCs/>
      </w:rPr>
      <w:t>Third-Party Data and Model Vendors</w:t>
    </w:r>
  </w:p>
  <w:p w14:paraId="67383E73" w14:textId="77777777" w:rsidR="003076FD" w:rsidRDefault="003076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588"/>
    <w:multiLevelType w:val="multilevel"/>
    <w:tmpl w:val="092AD0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2166F4"/>
    <w:multiLevelType w:val="hybridMultilevel"/>
    <w:tmpl w:val="C0A4E09E"/>
    <w:lvl w:ilvl="0" w:tplc="336630F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02383B95"/>
    <w:multiLevelType w:val="multilevel"/>
    <w:tmpl w:val="FCD0427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2762178"/>
    <w:multiLevelType w:val="multilevel"/>
    <w:tmpl w:val="7EB0924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04364CFE"/>
    <w:multiLevelType w:val="multilevel"/>
    <w:tmpl w:val="C540A44E"/>
    <w:lvl w:ilvl="0">
      <w:start w:val="3"/>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06397576"/>
    <w:multiLevelType w:val="multilevel"/>
    <w:tmpl w:val="E71E0190"/>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6" w15:restartNumberingAfterBreak="0">
    <w:nsid w:val="06BE63BA"/>
    <w:multiLevelType w:val="multilevel"/>
    <w:tmpl w:val="600C075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98B4091"/>
    <w:multiLevelType w:val="hybridMultilevel"/>
    <w:tmpl w:val="C91E34BE"/>
    <w:lvl w:ilvl="0" w:tplc="777AE9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2706BA"/>
    <w:multiLevelType w:val="multilevel"/>
    <w:tmpl w:val="7210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B37756"/>
    <w:multiLevelType w:val="multilevel"/>
    <w:tmpl w:val="F44486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BF4242"/>
    <w:multiLevelType w:val="multilevel"/>
    <w:tmpl w:val="B85AF584"/>
    <w:lvl w:ilvl="0">
      <w:start w:val="1"/>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0CF417ED"/>
    <w:multiLevelType w:val="multilevel"/>
    <w:tmpl w:val="3796E4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EC71667"/>
    <w:multiLevelType w:val="hybridMultilevel"/>
    <w:tmpl w:val="67B2899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3B3714F"/>
    <w:multiLevelType w:val="multilevel"/>
    <w:tmpl w:val="62E2096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145C34E1"/>
    <w:multiLevelType w:val="multilevel"/>
    <w:tmpl w:val="B87E5E24"/>
    <w:lvl w:ilvl="0">
      <w:start w:val="3"/>
      <w:numFmt w:val="upperLetter"/>
      <w:lvlText w:val="%1."/>
      <w:lvlJc w:val="left"/>
      <w:pPr>
        <w:tabs>
          <w:tab w:val="num" w:pos="360"/>
        </w:tabs>
        <w:ind w:left="360" w:hanging="360"/>
      </w:pPr>
      <w:rPr>
        <w:b/>
        <w:bCs/>
      </w:r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15" w15:restartNumberingAfterBreak="0">
    <w:nsid w:val="15574D86"/>
    <w:multiLevelType w:val="multilevel"/>
    <w:tmpl w:val="B5B0C6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65B49CC"/>
    <w:multiLevelType w:val="multilevel"/>
    <w:tmpl w:val="A8508D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F31D00"/>
    <w:multiLevelType w:val="multilevel"/>
    <w:tmpl w:val="855CA6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71A7C24"/>
    <w:multiLevelType w:val="multilevel"/>
    <w:tmpl w:val="A6B4F1C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17567597"/>
    <w:multiLevelType w:val="multilevel"/>
    <w:tmpl w:val="16E6E270"/>
    <w:lvl w:ilvl="0">
      <w:start w:val="5"/>
      <w:numFmt w:val="upperRoman"/>
      <w:lvlText w:val="%1."/>
      <w:lvlJc w:val="right"/>
      <w:pPr>
        <w:tabs>
          <w:tab w:val="num" w:pos="360"/>
        </w:tabs>
        <w:ind w:left="360" w:hanging="360"/>
      </w:pPr>
      <w:rPr>
        <w:b/>
        <w:bCs/>
      </w:rPr>
    </w:lvl>
    <w:lvl w:ilvl="1" w:tentative="1">
      <w:start w:val="1"/>
      <w:numFmt w:val="upperRoman"/>
      <w:lvlText w:val="%2."/>
      <w:lvlJc w:val="right"/>
      <w:pPr>
        <w:tabs>
          <w:tab w:val="num" w:pos="1080"/>
        </w:tabs>
        <w:ind w:left="1080" w:hanging="360"/>
      </w:pPr>
    </w:lvl>
    <w:lvl w:ilvl="2" w:tentative="1">
      <w:start w:val="1"/>
      <w:numFmt w:val="upperRoman"/>
      <w:lvlText w:val="%3."/>
      <w:lvlJc w:val="right"/>
      <w:pPr>
        <w:tabs>
          <w:tab w:val="num" w:pos="1800"/>
        </w:tabs>
        <w:ind w:left="1800" w:hanging="360"/>
      </w:pPr>
    </w:lvl>
    <w:lvl w:ilvl="3" w:tentative="1">
      <w:start w:val="1"/>
      <w:numFmt w:val="upperRoman"/>
      <w:lvlText w:val="%4."/>
      <w:lvlJc w:val="right"/>
      <w:pPr>
        <w:tabs>
          <w:tab w:val="num" w:pos="2520"/>
        </w:tabs>
        <w:ind w:left="2520" w:hanging="360"/>
      </w:pPr>
    </w:lvl>
    <w:lvl w:ilvl="4" w:tentative="1">
      <w:start w:val="1"/>
      <w:numFmt w:val="upperRoman"/>
      <w:lvlText w:val="%5."/>
      <w:lvlJc w:val="right"/>
      <w:pPr>
        <w:tabs>
          <w:tab w:val="num" w:pos="3240"/>
        </w:tabs>
        <w:ind w:left="3240" w:hanging="360"/>
      </w:pPr>
    </w:lvl>
    <w:lvl w:ilvl="5" w:tentative="1">
      <w:start w:val="1"/>
      <w:numFmt w:val="upperRoman"/>
      <w:lvlText w:val="%6."/>
      <w:lvlJc w:val="right"/>
      <w:pPr>
        <w:tabs>
          <w:tab w:val="num" w:pos="3960"/>
        </w:tabs>
        <w:ind w:left="3960" w:hanging="360"/>
      </w:pPr>
    </w:lvl>
    <w:lvl w:ilvl="6" w:tentative="1">
      <w:start w:val="1"/>
      <w:numFmt w:val="upperRoman"/>
      <w:lvlText w:val="%7."/>
      <w:lvlJc w:val="right"/>
      <w:pPr>
        <w:tabs>
          <w:tab w:val="num" w:pos="4680"/>
        </w:tabs>
        <w:ind w:left="4680" w:hanging="360"/>
      </w:pPr>
    </w:lvl>
    <w:lvl w:ilvl="7" w:tentative="1">
      <w:start w:val="1"/>
      <w:numFmt w:val="upperRoman"/>
      <w:lvlText w:val="%8."/>
      <w:lvlJc w:val="right"/>
      <w:pPr>
        <w:tabs>
          <w:tab w:val="num" w:pos="5400"/>
        </w:tabs>
        <w:ind w:left="5400" w:hanging="360"/>
      </w:pPr>
    </w:lvl>
    <w:lvl w:ilvl="8" w:tentative="1">
      <w:start w:val="1"/>
      <w:numFmt w:val="upperRoman"/>
      <w:lvlText w:val="%9."/>
      <w:lvlJc w:val="right"/>
      <w:pPr>
        <w:tabs>
          <w:tab w:val="num" w:pos="6120"/>
        </w:tabs>
        <w:ind w:left="6120" w:hanging="360"/>
      </w:pPr>
    </w:lvl>
  </w:abstractNum>
  <w:abstractNum w:abstractNumId="20" w15:restartNumberingAfterBreak="0">
    <w:nsid w:val="1C7A2058"/>
    <w:multiLevelType w:val="multilevel"/>
    <w:tmpl w:val="93F2160E"/>
    <w:lvl w:ilvl="0">
      <w:start w:val="1"/>
      <w:numFmt w:val="upperLetter"/>
      <w:lvlText w:val="%1."/>
      <w:lvlJc w:val="left"/>
      <w:pPr>
        <w:tabs>
          <w:tab w:val="num" w:pos="720"/>
        </w:tabs>
        <w:ind w:left="720" w:hanging="360"/>
      </w:pPr>
      <w:rPr>
        <w:rFonts w:asciiTheme="minorHAnsi" w:eastAsiaTheme="minorHAnsi" w:hAnsiTheme="minorHAnsi" w:cstheme="minorBidi"/>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1DB4347C"/>
    <w:multiLevelType w:val="multilevel"/>
    <w:tmpl w:val="65A61B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F2F1051"/>
    <w:multiLevelType w:val="multilevel"/>
    <w:tmpl w:val="F67EF0FE"/>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F6C3307"/>
    <w:multiLevelType w:val="multilevel"/>
    <w:tmpl w:val="8ED63222"/>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2D50EA3"/>
    <w:multiLevelType w:val="multilevel"/>
    <w:tmpl w:val="4C3AC0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55023E8"/>
    <w:multiLevelType w:val="multilevel"/>
    <w:tmpl w:val="57A48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67172D2"/>
    <w:multiLevelType w:val="multilevel"/>
    <w:tmpl w:val="643A828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26720B56"/>
    <w:multiLevelType w:val="multilevel"/>
    <w:tmpl w:val="457C2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7924884"/>
    <w:multiLevelType w:val="hybridMultilevel"/>
    <w:tmpl w:val="ADE839D8"/>
    <w:lvl w:ilvl="0" w:tplc="FFFFFFFF">
      <w:start w:val="1"/>
      <w:numFmt w:val="decimal"/>
      <w:lvlText w:val="%1)"/>
      <w:lvlJc w:val="left"/>
      <w:pPr>
        <w:ind w:left="1800" w:hanging="360"/>
      </w:pPr>
    </w:lvl>
    <w:lvl w:ilvl="1" w:tplc="04090011">
      <w:start w:val="1"/>
      <w:numFmt w:val="decimal"/>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9" w15:restartNumberingAfterBreak="0">
    <w:nsid w:val="28904AB1"/>
    <w:multiLevelType w:val="multilevel"/>
    <w:tmpl w:val="796EFFDA"/>
    <w:lvl w:ilvl="0">
      <w:start w:val="1"/>
      <w:numFmt w:val="lowerLetter"/>
      <w:lvlText w:val="%1."/>
      <w:lvlJc w:val="left"/>
      <w:pPr>
        <w:tabs>
          <w:tab w:val="num" w:pos="1080"/>
        </w:tabs>
        <w:ind w:left="1080" w:hanging="360"/>
      </w:pPr>
    </w:lvl>
    <w:lvl w:ilvl="1">
      <w:start w:val="1"/>
      <w:numFmt w:val="lowerRoman"/>
      <w:lvlText w:val="%2."/>
      <w:lvlJc w:val="left"/>
      <w:pPr>
        <w:ind w:left="2160" w:hanging="720"/>
      </w:pPr>
      <w:rPr>
        <w:rFonts w:hint="default"/>
      </w:r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0" w15:restartNumberingAfterBreak="0">
    <w:nsid w:val="2CB71E78"/>
    <w:multiLevelType w:val="multilevel"/>
    <w:tmpl w:val="117AB8A2"/>
    <w:lvl w:ilvl="0">
      <w:start w:val="2"/>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15:restartNumberingAfterBreak="0">
    <w:nsid w:val="2E49568B"/>
    <w:multiLevelType w:val="multilevel"/>
    <w:tmpl w:val="D34EF06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2E924F89"/>
    <w:multiLevelType w:val="multilevel"/>
    <w:tmpl w:val="DB5CDA36"/>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3" w15:restartNumberingAfterBreak="0">
    <w:nsid w:val="2F4118DB"/>
    <w:multiLevelType w:val="multilevel"/>
    <w:tmpl w:val="DB4A4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35E6506"/>
    <w:multiLevelType w:val="multilevel"/>
    <w:tmpl w:val="CE149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3712AC5"/>
    <w:multiLevelType w:val="multilevel"/>
    <w:tmpl w:val="E33891CA"/>
    <w:lvl w:ilvl="0">
      <w:start w:val="1"/>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36" w15:restartNumberingAfterBreak="0">
    <w:nsid w:val="33FD24BF"/>
    <w:multiLevelType w:val="multilevel"/>
    <w:tmpl w:val="C0F0727C"/>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7" w15:restartNumberingAfterBreak="0">
    <w:nsid w:val="3A8F3A10"/>
    <w:multiLevelType w:val="multilevel"/>
    <w:tmpl w:val="73F4CFF8"/>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8" w15:restartNumberingAfterBreak="0">
    <w:nsid w:val="3B4B5E00"/>
    <w:multiLevelType w:val="multilevel"/>
    <w:tmpl w:val="49FCCC90"/>
    <w:lvl w:ilvl="0">
      <w:start w:val="3"/>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F362CC3"/>
    <w:multiLevelType w:val="multilevel"/>
    <w:tmpl w:val="F416735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0" w15:restartNumberingAfterBreak="0">
    <w:nsid w:val="44FB2427"/>
    <w:multiLevelType w:val="multilevel"/>
    <w:tmpl w:val="A2D68C5E"/>
    <w:lvl w:ilvl="0">
      <w:start w:val="9"/>
      <w:numFmt w:val="upperRoman"/>
      <w:lvlText w:val="%1."/>
      <w:lvlJc w:val="right"/>
      <w:pPr>
        <w:tabs>
          <w:tab w:val="num" w:pos="360"/>
        </w:tabs>
        <w:ind w:left="360" w:hanging="360"/>
      </w:pPr>
      <w:rPr>
        <w:b/>
        <w:bCs/>
      </w:rPr>
    </w:lvl>
    <w:lvl w:ilvl="1" w:tentative="1">
      <w:start w:val="1"/>
      <w:numFmt w:val="upperRoman"/>
      <w:lvlText w:val="%2."/>
      <w:lvlJc w:val="right"/>
      <w:pPr>
        <w:tabs>
          <w:tab w:val="num" w:pos="1080"/>
        </w:tabs>
        <w:ind w:left="1080" w:hanging="360"/>
      </w:pPr>
    </w:lvl>
    <w:lvl w:ilvl="2" w:tentative="1">
      <w:start w:val="1"/>
      <w:numFmt w:val="upperRoman"/>
      <w:lvlText w:val="%3."/>
      <w:lvlJc w:val="right"/>
      <w:pPr>
        <w:tabs>
          <w:tab w:val="num" w:pos="1800"/>
        </w:tabs>
        <w:ind w:left="1800" w:hanging="360"/>
      </w:pPr>
    </w:lvl>
    <w:lvl w:ilvl="3" w:tentative="1">
      <w:start w:val="1"/>
      <w:numFmt w:val="upperRoman"/>
      <w:lvlText w:val="%4."/>
      <w:lvlJc w:val="right"/>
      <w:pPr>
        <w:tabs>
          <w:tab w:val="num" w:pos="2520"/>
        </w:tabs>
        <w:ind w:left="2520" w:hanging="360"/>
      </w:pPr>
    </w:lvl>
    <w:lvl w:ilvl="4" w:tentative="1">
      <w:start w:val="1"/>
      <w:numFmt w:val="upperRoman"/>
      <w:lvlText w:val="%5."/>
      <w:lvlJc w:val="right"/>
      <w:pPr>
        <w:tabs>
          <w:tab w:val="num" w:pos="3240"/>
        </w:tabs>
        <w:ind w:left="3240" w:hanging="360"/>
      </w:pPr>
    </w:lvl>
    <w:lvl w:ilvl="5" w:tentative="1">
      <w:start w:val="1"/>
      <w:numFmt w:val="upperRoman"/>
      <w:lvlText w:val="%6."/>
      <w:lvlJc w:val="right"/>
      <w:pPr>
        <w:tabs>
          <w:tab w:val="num" w:pos="3960"/>
        </w:tabs>
        <w:ind w:left="3960" w:hanging="360"/>
      </w:pPr>
    </w:lvl>
    <w:lvl w:ilvl="6" w:tentative="1">
      <w:start w:val="1"/>
      <w:numFmt w:val="upperRoman"/>
      <w:lvlText w:val="%7."/>
      <w:lvlJc w:val="right"/>
      <w:pPr>
        <w:tabs>
          <w:tab w:val="num" w:pos="4680"/>
        </w:tabs>
        <w:ind w:left="4680" w:hanging="360"/>
      </w:pPr>
    </w:lvl>
    <w:lvl w:ilvl="7" w:tentative="1">
      <w:start w:val="1"/>
      <w:numFmt w:val="upperRoman"/>
      <w:lvlText w:val="%8."/>
      <w:lvlJc w:val="right"/>
      <w:pPr>
        <w:tabs>
          <w:tab w:val="num" w:pos="5400"/>
        </w:tabs>
        <w:ind w:left="5400" w:hanging="360"/>
      </w:pPr>
    </w:lvl>
    <w:lvl w:ilvl="8" w:tentative="1">
      <w:start w:val="1"/>
      <w:numFmt w:val="upperRoman"/>
      <w:lvlText w:val="%9."/>
      <w:lvlJc w:val="right"/>
      <w:pPr>
        <w:tabs>
          <w:tab w:val="num" w:pos="6120"/>
        </w:tabs>
        <w:ind w:left="6120" w:hanging="360"/>
      </w:pPr>
    </w:lvl>
  </w:abstractNum>
  <w:abstractNum w:abstractNumId="41" w15:restartNumberingAfterBreak="0">
    <w:nsid w:val="45DF43E9"/>
    <w:multiLevelType w:val="multilevel"/>
    <w:tmpl w:val="285E1E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5E05C33"/>
    <w:multiLevelType w:val="multilevel"/>
    <w:tmpl w:val="AF7A49C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472E6E4B"/>
    <w:multiLevelType w:val="multilevel"/>
    <w:tmpl w:val="34C01AE8"/>
    <w:lvl w:ilvl="0">
      <w:start w:val="8"/>
      <w:numFmt w:val="upperRoman"/>
      <w:lvlText w:val="%1."/>
      <w:lvlJc w:val="right"/>
      <w:pPr>
        <w:tabs>
          <w:tab w:val="num" w:pos="360"/>
        </w:tabs>
        <w:ind w:left="360" w:hanging="360"/>
      </w:pPr>
      <w:rPr>
        <w:b/>
        <w:bCs/>
      </w:rPr>
    </w:lvl>
    <w:lvl w:ilvl="1">
      <w:start w:val="1"/>
      <w:numFmt w:val="upperLetter"/>
      <w:lvlText w:val="%2."/>
      <w:lvlJc w:val="left"/>
      <w:pPr>
        <w:ind w:left="1080" w:hanging="360"/>
      </w:pPr>
      <w:rPr>
        <w:rFonts w:hint="default"/>
      </w:rPr>
    </w:lvl>
    <w:lvl w:ilvl="2" w:tentative="1">
      <w:start w:val="1"/>
      <w:numFmt w:val="upperRoman"/>
      <w:lvlText w:val="%3."/>
      <w:lvlJc w:val="right"/>
      <w:pPr>
        <w:tabs>
          <w:tab w:val="num" w:pos="1800"/>
        </w:tabs>
        <w:ind w:left="1800" w:hanging="360"/>
      </w:pPr>
    </w:lvl>
    <w:lvl w:ilvl="3" w:tentative="1">
      <w:start w:val="1"/>
      <w:numFmt w:val="upperRoman"/>
      <w:lvlText w:val="%4."/>
      <w:lvlJc w:val="right"/>
      <w:pPr>
        <w:tabs>
          <w:tab w:val="num" w:pos="2520"/>
        </w:tabs>
        <w:ind w:left="2520" w:hanging="360"/>
      </w:pPr>
    </w:lvl>
    <w:lvl w:ilvl="4" w:tentative="1">
      <w:start w:val="1"/>
      <w:numFmt w:val="upperRoman"/>
      <w:lvlText w:val="%5."/>
      <w:lvlJc w:val="right"/>
      <w:pPr>
        <w:tabs>
          <w:tab w:val="num" w:pos="3240"/>
        </w:tabs>
        <w:ind w:left="3240" w:hanging="360"/>
      </w:pPr>
    </w:lvl>
    <w:lvl w:ilvl="5" w:tentative="1">
      <w:start w:val="1"/>
      <w:numFmt w:val="upperRoman"/>
      <w:lvlText w:val="%6."/>
      <w:lvlJc w:val="right"/>
      <w:pPr>
        <w:tabs>
          <w:tab w:val="num" w:pos="3960"/>
        </w:tabs>
        <w:ind w:left="3960" w:hanging="360"/>
      </w:pPr>
    </w:lvl>
    <w:lvl w:ilvl="6" w:tentative="1">
      <w:start w:val="1"/>
      <w:numFmt w:val="upperRoman"/>
      <w:lvlText w:val="%7."/>
      <w:lvlJc w:val="right"/>
      <w:pPr>
        <w:tabs>
          <w:tab w:val="num" w:pos="4680"/>
        </w:tabs>
        <w:ind w:left="4680" w:hanging="360"/>
      </w:pPr>
    </w:lvl>
    <w:lvl w:ilvl="7" w:tentative="1">
      <w:start w:val="1"/>
      <w:numFmt w:val="upperRoman"/>
      <w:lvlText w:val="%8."/>
      <w:lvlJc w:val="right"/>
      <w:pPr>
        <w:tabs>
          <w:tab w:val="num" w:pos="5400"/>
        </w:tabs>
        <w:ind w:left="5400" w:hanging="360"/>
      </w:pPr>
    </w:lvl>
    <w:lvl w:ilvl="8" w:tentative="1">
      <w:start w:val="1"/>
      <w:numFmt w:val="upperRoman"/>
      <w:lvlText w:val="%9."/>
      <w:lvlJc w:val="right"/>
      <w:pPr>
        <w:tabs>
          <w:tab w:val="num" w:pos="6120"/>
        </w:tabs>
        <w:ind w:left="6120" w:hanging="360"/>
      </w:pPr>
    </w:lvl>
  </w:abstractNum>
  <w:abstractNum w:abstractNumId="44" w15:restartNumberingAfterBreak="0">
    <w:nsid w:val="48F222AB"/>
    <w:multiLevelType w:val="multilevel"/>
    <w:tmpl w:val="441EADF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49C14837"/>
    <w:multiLevelType w:val="multilevel"/>
    <w:tmpl w:val="37F87226"/>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6" w15:restartNumberingAfterBreak="0">
    <w:nsid w:val="49DA7ED6"/>
    <w:multiLevelType w:val="multilevel"/>
    <w:tmpl w:val="5C2C7B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BBD4C86"/>
    <w:multiLevelType w:val="multilevel"/>
    <w:tmpl w:val="D7FA46EE"/>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8" w15:restartNumberingAfterBreak="0">
    <w:nsid w:val="4E1E2740"/>
    <w:multiLevelType w:val="multilevel"/>
    <w:tmpl w:val="F2460C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4EFB4413"/>
    <w:multiLevelType w:val="multilevel"/>
    <w:tmpl w:val="A16C499E"/>
    <w:lvl w:ilvl="0">
      <w:start w:val="2"/>
      <w:numFmt w:val="upperLetter"/>
      <w:lvlText w:val="%1."/>
      <w:lvlJc w:val="left"/>
      <w:pPr>
        <w:tabs>
          <w:tab w:val="num" w:pos="360"/>
        </w:tabs>
        <w:ind w:left="360" w:hanging="360"/>
      </w:pPr>
      <w:rPr>
        <w:b/>
        <w:bCs/>
      </w:r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50" w15:restartNumberingAfterBreak="0">
    <w:nsid w:val="51E341F1"/>
    <w:multiLevelType w:val="multilevel"/>
    <w:tmpl w:val="DE0E3AB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54C66639"/>
    <w:multiLevelType w:val="multilevel"/>
    <w:tmpl w:val="B8EE27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5805FF4"/>
    <w:multiLevelType w:val="multilevel"/>
    <w:tmpl w:val="829623DC"/>
    <w:lvl w:ilvl="0">
      <w:start w:val="4"/>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3" w15:restartNumberingAfterBreak="0">
    <w:nsid w:val="570B01E5"/>
    <w:multiLevelType w:val="multilevel"/>
    <w:tmpl w:val="A36E31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57680C14"/>
    <w:multiLevelType w:val="multilevel"/>
    <w:tmpl w:val="111EFCA0"/>
    <w:lvl w:ilvl="0">
      <w:start w:val="1"/>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55" w15:restartNumberingAfterBreak="0">
    <w:nsid w:val="5BE356A6"/>
    <w:multiLevelType w:val="multilevel"/>
    <w:tmpl w:val="8E62C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C903EBD"/>
    <w:multiLevelType w:val="multilevel"/>
    <w:tmpl w:val="24A89D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CF857D6"/>
    <w:multiLevelType w:val="hybridMultilevel"/>
    <w:tmpl w:val="5506561C"/>
    <w:lvl w:ilvl="0" w:tplc="5ED0E21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8" w15:restartNumberingAfterBreak="0">
    <w:nsid w:val="5DDD3709"/>
    <w:multiLevelType w:val="multilevel"/>
    <w:tmpl w:val="E5209D06"/>
    <w:lvl w:ilvl="0">
      <w:start w:val="1"/>
      <w:numFmt w:val="upperLetter"/>
      <w:lvlText w:val="%1."/>
      <w:lvlJc w:val="left"/>
      <w:pPr>
        <w:tabs>
          <w:tab w:val="num" w:pos="360"/>
        </w:tabs>
        <w:ind w:left="360" w:hanging="360"/>
      </w:pPr>
      <w:rPr>
        <w:b/>
        <w:bCs/>
      </w:r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59" w15:restartNumberingAfterBreak="0">
    <w:nsid w:val="5DEA2214"/>
    <w:multiLevelType w:val="multilevel"/>
    <w:tmpl w:val="1D3251A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62645C72"/>
    <w:multiLevelType w:val="multilevel"/>
    <w:tmpl w:val="6E9A6566"/>
    <w:lvl w:ilvl="0">
      <w:start w:val="2"/>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3207CC5"/>
    <w:multiLevelType w:val="multilevel"/>
    <w:tmpl w:val="ACEC5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4153BF0"/>
    <w:multiLevelType w:val="multilevel"/>
    <w:tmpl w:val="26EC9E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6574691A"/>
    <w:multiLevelType w:val="multilevel"/>
    <w:tmpl w:val="D2908638"/>
    <w:lvl w:ilvl="0">
      <w:start w:val="3"/>
      <w:numFmt w:val="upperLetter"/>
      <w:lvlText w:val="%1."/>
      <w:lvlJc w:val="left"/>
      <w:pPr>
        <w:tabs>
          <w:tab w:val="num" w:pos="360"/>
        </w:tabs>
        <w:ind w:left="360" w:hanging="360"/>
      </w:pPr>
      <w:rPr>
        <w:b/>
        <w:bCs/>
      </w:r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64" w15:restartNumberingAfterBreak="0">
    <w:nsid w:val="65C34741"/>
    <w:multiLevelType w:val="hybridMultilevel"/>
    <w:tmpl w:val="A778176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66A212E8"/>
    <w:multiLevelType w:val="multilevel"/>
    <w:tmpl w:val="087C00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66EC4AF8"/>
    <w:multiLevelType w:val="multilevel"/>
    <w:tmpl w:val="98B83F7C"/>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67" w15:restartNumberingAfterBreak="0">
    <w:nsid w:val="6A7138B6"/>
    <w:multiLevelType w:val="multilevel"/>
    <w:tmpl w:val="771008D6"/>
    <w:lvl w:ilvl="0">
      <w:start w:val="1"/>
      <w:numFmt w:val="upperLetter"/>
      <w:lvlText w:val="%1."/>
      <w:lvlJc w:val="left"/>
      <w:pPr>
        <w:tabs>
          <w:tab w:val="num" w:pos="900"/>
        </w:tabs>
        <w:ind w:left="900" w:hanging="360"/>
      </w:pPr>
      <w:rPr>
        <w:b/>
        <w:bCs/>
      </w:rPr>
    </w:lvl>
    <w:lvl w:ilvl="1" w:tentative="1">
      <w:start w:val="1"/>
      <w:numFmt w:val="upperLetter"/>
      <w:lvlText w:val="%2."/>
      <w:lvlJc w:val="left"/>
      <w:pPr>
        <w:tabs>
          <w:tab w:val="num" w:pos="1620"/>
        </w:tabs>
        <w:ind w:left="1620" w:hanging="360"/>
      </w:pPr>
    </w:lvl>
    <w:lvl w:ilvl="2" w:tentative="1">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68" w15:restartNumberingAfterBreak="0">
    <w:nsid w:val="6E9506D7"/>
    <w:multiLevelType w:val="multilevel"/>
    <w:tmpl w:val="295E845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7A783152"/>
    <w:multiLevelType w:val="multilevel"/>
    <w:tmpl w:val="81E22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C6C0662"/>
    <w:multiLevelType w:val="multilevel"/>
    <w:tmpl w:val="2FECE2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DAE4DFA"/>
    <w:multiLevelType w:val="multilevel"/>
    <w:tmpl w:val="5C941338"/>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num w:numId="1" w16cid:durableId="688259813">
    <w:abstractNumId w:val="61"/>
  </w:num>
  <w:num w:numId="2" w16cid:durableId="1226450966">
    <w:abstractNumId w:val="34"/>
  </w:num>
  <w:num w:numId="3" w16cid:durableId="463819167">
    <w:abstractNumId w:val="8"/>
  </w:num>
  <w:num w:numId="4" w16cid:durableId="205677625">
    <w:abstractNumId w:val="10"/>
  </w:num>
  <w:num w:numId="5" w16cid:durableId="88089853">
    <w:abstractNumId w:val="30"/>
  </w:num>
  <w:num w:numId="6" w16cid:durableId="945506806">
    <w:abstractNumId w:val="25"/>
  </w:num>
  <w:num w:numId="7" w16cid:durableId="1071736228">
    <w:abstractNumId w:val="4"/>
  </w:num>
  <w:num w:numId="8" w16cid:durableId="1274090516">
    <w:abstractNumId w:val="49"/>
  </w:num>
  <w:num w:numId="9" w16cid:durableId="414742407">
    <w:abstractNumId w:val="63"/>
  </w:num>
  <w:num w:numId="10" w16cid:durableId="1377050184">
    <w:abstractNumId w:val="52"/>
  </w:num>
  <w:num w:numId="11" w16cid:durableId="958997972">
    <w:abstractNumId w:val="67"/>
  </w:num>
  <w:num w:numId="12" w16cid:durableId="304701407">
    <w:abstractNumId w:val="69"/>
  </w:num>
  <w:num w:numId="13" w16cid:durableId="995187461">
    <w:abstractNumId w:val="45"/>
  </w:num>
  <w:num w:numId="14" w16cid:durableId="539048908">
    <w:abstractNumId w:val="16"/>
  </w:num>
  <w:num w:numId="15" w16cid:durableId="1866599618">
    <w:abstractNumId w:val="37"/>
  </w:num>
  <w:num w:numId="16" w16cid:durableId="1824345896">
    <w:abstractNumId w:val="51"/>
  </w:num>
  <w:num w:numId="17" w16cid:durableId="757336234">
    <w:abstractNumId w:val="5"/>
  </w:num>
  <w:num w:numId="18" w16cid:durableId="329456231">
    <w:abstractNumId w:val="3"/>
  </w:num>
  <w:num w:numId="19" w16cid:durableId="248776085">
    <w:abstractNumId w:val="19"/>
  </w:num>
  <w:num w:numId="20" w16cid:durableId="1050230416">
    <w:abstractNumId w:val="58"/>
  </w:num>
  <w:num w:numId="21" w16cid:durableId="1939869715">
    <w:abstractNumId w:val="65"/>
  </w:num>
  <w:num w:numId="22" w16cid:durableId="9069080">
    <w:abstractNumId w:val="53"/>
  </w:num>
  <w:num w:numId="23" w16cid:durableId="1544711465">
    <w:abstractNumId w:val="6"/>
  </w:num>
  <w:num w:numId="24" w16cid:durableId="158816896">
    <w:abstractNumId w:val="18"/>
  </w:num>
  <w:num w:numId="25" w16cid:durableId="421528801">
    <w:abstractNumId w:val="31"/>
  </w:num>
  <w:num w:numId="26" w16cid:durableId="1772357322">
    <w:abstractNumId w:val="68"/>
  </w:num>
  <w:num w:numId="27" w16cid:durableId="2052028985">
    <w:abstractNumId w:val="27"/>
  </w:num>
  <w:num w:numId="28" w16cid:durableId="1815171678">
    <w:abstractNumId w:val="32"/>
  </w:num>
  <w:num w:numId="29" w16cid:durableId="1734505512">
    <w:abstractNumId w:val="23"/>
  </w:num>
  <w:num w:numId="30" w16cid:durableId="2121758707">
    <w:abstractNumId w:val="38"/>
  </w:num>
  <w:num w:numId="31" w16cid:durableId="940257238">
    <w:abstractNumId w:val="46"/>
  </w:num>
  <w:num w:numId="32" w16cid:durableId="1718318117">
    <w:abstractNumId w:val="62"/>
  </w:num>
  <w:num w:numId="33" w16cid:durableId="1305162071">
    <w:abstractNumId w:val="2"/>
  </w:num>
  <w:num w:numId="34" w16cid:durableId="109782274">
    <w:abstractNumId w:val="9"/>
  </w:num>
  <w:num w:numId="35" w16cid:durableId="1406419811">
    <w:abstractNumId w:val="71"/>
  </w:num>
  <w:num w:numId="36" w16cid:durableId="2039116226">
    <w:abstractNumId w:val="66"/>
  </w:num>
  <w:num w:numId="37" w16cid:durableId="867598022">
    <w:abstractNumId w:val="0"/>
  </w:num>
  <w:num w:numId="38" w16cid:durableId="1374230202">
    <w:abstractNumId w:val="47"/>
  </w:num>
  <w:num w:numId="39" w16cid:durableId="1604604950">
    <w:abstractNumId w:val="33"/>
  </w:num>
  <w:num w:numId="40" w16cid:durableId="1022560361">
    <w:abstractNumId w:val="15"/>
  </w:num>
  <w:num w:numId="41" w16cid:durableId="1350793851">
    <w:abstractNumId w:val="42"/>
  </w:num>
  <w:num w:numId="42" w16cid:durableId="2143112515">
    <w:abstractNumId w:val="26"/>
  </w:num>
  <w:num w:numId="43" w16cid:durableId="1760901722">
    <w:abstractNumId w:val="50"/>
  </w:num>
  <w:num w:numId="44" w16cid:durableId="1414622724">
    <w:abstractNumId w:val="56"/>
  </w:num>
  <w:num w:numId="45" w16cid:durableId="1605649260">
    <w:abstractNumId w:val="48"/>
  </w:num>
  <w:num w:numId="46" w16cid:durableId="103809092">
    <w:abstractNumId w:val="44"/>
  </w:num>
  <w:num w:numId="47" w16cid:durableId="882132970">
    <w:abstractNumId w:val="59"/>
  </w:num>
  <w:num w:numId="48" w16cid:durableId="1131554719">
    <w:abstractNumId w:val="35"/>
  </w:num>
  <w:num w:numId="49" w16cid:durableId="1039278332">
    <w:abstractNumId w:val="36"/>
  </w:num>
  <w:num w:numId="50" w16cid:durableId="758065621">
    <w:abstractNumId w:val="22"/>
  </w:num>
  <w:num w:numId="51" w16cid:durableId="1126318692">
    <w:abstractNumId w:val="17"/>
  </w:num>
  <w:num w:numId="52" w16cid:durableId="1164591473">
    <w:abstractNumId w:val="29"/>
  </w:num>
  <w:num w:numId="53" w16cid:durableId="229930223">
    <w:abstractNumId w:val="54"/>
  </w:num>
  <w:num w:numId="54" w16cid:durableId="1771118757">
    <w:abstractNumId w:val="55"/>
  </w:num>
  <w:num w:numId="55" w16cid:durableId="76095721">
    <w:abstractNumId w:val="11"/>
  </w:num>
  <w:num w:numId="56" w16cid:durableId="955449958">
    <w:abstractNumId w:val="41"/>
  </w:num>
  <w:num w:numId="57" w16cid:durableId="131779">
    <w:abstractNumId w:val="24"/>
  </w:num>
  <w:num w:numId="58" w16cid:durableId="113720443">
    <w:abstractNumId w:val="21"/>
  </w:num>
  <w:num w:numId="59" w16cid:durableId="443841277">
    <w:abstractNumId w:val="70"/>
  </w:num>
  <w:num w:numId="60" w16cid:durableId="864446296">
    <w:abstractNumId w:val="43"/>
  </w:num>
  <w:num w:numId="61" w16cid:durableId="1124273963">
    <w:abstractNumId w:val="39"/>
  </w:num>
  <w:num w:numId="62" w16cid:durableId="2063750658">
    <w:abstractNumId w:val="14"/>
  </w:num>
  <w:num w:numId="63" w16cid:durableId="1148017234">
    <w:abstractNumId w:val="40"/>
  </w:num>
  <w:num w:numId="64" w16cid:durableId="1684824337">
    <w:abstractNumId w:val="20"/>
  </w:num>
  <w:num w:numId="65" w16cid:durableId="1473864202">
    <w:abstractNumId w:val="13"/>
  </w:num>
  <w:num w:numId="66" w16cid:durableId="886916078">
    <w:abstractNumId w:val="7"/>
  </w:num>
  <w:num w:numId="67" w16cid:durableId="373891418">
    <w:abstractNumId w:val="57"/>
  </w:num>
  <w:num w:numId="68" w16cid:durableId="644285897">
    <w:abstractNumId w:val="1"/>
  </w:num>
  <w:num w:numId="69" w16cid:durableId="1181823731">
    <w:abstractNumId w:val="28"/>
  </w:num>
  <w:num w:numId="70" w16cid:durableId="1413353503">
    <w:abstractNumId w:val="60"/>
  </w:num>
  <w:num w:numId="71" w16cid:durableId="820537150">
    <w:abstractNumId w:val="12"/>
  </w:num>
  <w:num w:numId="72" w16cid:durableId="1375228361">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CC4"/>
    <w:rsid w:val="0002456F"/>
    <w:rsid w:val="003076FD"/>
    <w:rsid w:val="005E6A42"/>
    <w:rsid w:val="0064550A"/>
    <w:rsid w:val="00933758"/>
    <w:rsid w:val="00A51CC4"/>
    <w:rsid w:val="00B805E9"/>
    <w:rsid w:val="00E649EF"/>
    <w:rsid w:val="00E978F2"/>
    <w:rsid w:val="00F62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CC26D"/>
  <w15:chartTrackingRefBased/>
  <w15:docId w15:val="{B61D89D8-B985-4F25-BA03-92D9A1EED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1C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1C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1C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1C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1C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1C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1C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1C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1C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C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C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C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C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C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C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C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C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CC4"/>
    <w:rPr>
      <w:rFonts w:eastAsiaTheme="majorEastAsia" w:cstheme="majorBidi"/>
      <w:color w:val="272727" w:themeColor="text1" w:themeTint="D8"/>
    </w:rPr>
  </w:style>
  <w:style w:type="paragraph" w:styleId="Title">
    <w:name w:val="Title"/>
    <w:basedOn w:val="Normal"/>
    <w:next w:val="Normal"/>
    <w:link w:val="TitleChar"/>
    <w:uiPriority w:val="10"/>
    <w:qFormat/>
    <w:rsid w:val="00A51C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1C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C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1C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CC4"/>
    <w:pPr>
      <w:spacing w:before="160"/>
      <w:jc w:val="center"/>
    </w:pPr>
    <w:rPr>
      <w:i/>
      <w:iCs/>
      <w:color w:val="404040" w:themeColor="text1" w:themeTint="BF"/>
    </w:rPr>
  </w:style>
  <w:style w:type="character" w:customStyle="1" w:styleId="QuoteChar">
    <w:name w:val="Quote Char"/>
    <w:basedOn w:val="DefaultParagraphFont"/>
    <w:link w:val="Quote"/>
    <w:uiPriority w:val="29"/>
    <w:rsid w:val="00A51CC4"/>
    <w:rPr>
      <w:i/>
      <w:iCs/>
      <w:color w:val="404040" w:themeColor="text1" w:themeTint="BF"/>
    </w:rPr>
  </w:style>
  <w:style w:type="paragraph" w:styleId="ListParagraph">
    <w:name w:val="List Paragraph"/>
    <w:basedOn w:val="Normal"/>
    <w:uiPriority w:val="34"/>
    <w:qFormat/>
    <w:rsid w:val="00A51CC4"/>
    <w:pPr>
      <w:ind w:left="720"/>
      <w:contextualSpacing/>
    </w:pPr>
  </w:style>
  <w:style w:type="character" w:styleId="IntenseEmphasis">
    <w:name w:val="Intense Emphasis"/>
    <w:basedOn w:val="DefaultParagraphFont"/>
    <w:uiPriority w:val="21"/>
    <w:qFormat/>
    <w:rsid w:val="00A51CC4"/>
    <w:rPr>
      <w:i/>
      <w:iCs/>
      <w:color w:val="0F4761" w:themeColor="accent1" w:themeShade="BF"/>
    </w:rPr>
  </w:style>
  <w:style w:type="paragraph" w:styleId="IntenseQuote">
    <w:name w:val="Intense Quote"/>
    <w:basedOn w:val="Normal"/>
    <w:next w:val="Normal"/>
    <w:link w:val="IntenseQuoteChar"/>
    <w:uiPriority w:val="30"/>
    <w:qFormat/>
    <w:rsid w:val="00A51C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1CC4"/>
    <w:rPr>
      <w:i/>
      <w:iCs/>
      <w:color w:val="0F4761" w:themeColor="accent1" w:themeShade="BF"/>
    </w:rPr>
  </w:style>
  <w:style w:type="character" w:styleId="IntenseReference">
    <w:name w:val="Intense Reference"/>
    <w:basedOn w:val="DefaultParagraphFont"/>
    <w:uiPriority w:val="32"/>
    <w:qFormat/>
    <w:rsid w:val="00A51CC4"/>
    <w:rPr>
      <w:b/>
      <w:bCs/>
      <w:smallCaps/>
      <w:color w:val="0F4761" w:themeColor="accent1" w:themeShade="BF"/>
      <w:spacing w:val="5"/>
    </w:rPr>
  </w:style>
  <w:style w:type="paragraph" w:styleId="Header">
    <w:name w:val="header"/>
    <w:basedOn w:val="Normal"/>
    <w:link w:val="HeaderChar"/>
    <w:uiPriority w:val="99"/>
    <w:unhideWhenUsed/>
    <w:rsid w:val="00A51C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CC4"/>
  </w:style>
  <w:style w:type="paragraph" w:styleId="Footer">
    <w:name w:val="footer"/>
    <w:basedOn w:val="Normal"/>
    <w:link w:val="FooterChar"/>
    <w:uiPriority w:val="99"/>
    <w:unhideWhenUsed/>
    <w:rsid w:val="00A51C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33d338b059d23c7fc59efb5eaa37c0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2c1119decf5c152d1b90e924579a0a3c"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SetDescription xmlns="http://schemas.microsoft.com/sharepoint/v3" xsi:nil="true"/>
    <lcf76f155ced4ddcb4097134ff3c332f xmlns="55eb7663-75cc-4f64-9609-52561375e7a6">
      <Terms xmlns="http://schemas.microsoft.com/office/infopath/2007/PartnerControls"/>
    </lcf76f155ced4ddcb4097134ff3c332f>
    <TaxCatchAll xmlns="3c9e15a3-223f-4584-afb1-1dbe0b3878fa" xsi:nil="true"/>
    <Date xmlns="55eb7663-75cc-4f64-9609-52561375e7a6" xsi:nil="true"/>
    <Meeting_x0020_Type xmlns="734dc620-9a3c-4363-b6b2-552d0a5c0ad8">Fall National</Meeting_x0020_Type>
    <StartDate xmlns="http://schemas.microsoft.com/sharepoint/v3">2025-12-08T06:00:00+00:00</StartDate>
    <_EndDate xmlns="http://schemas.microsoft.com/sharepoint/v3/fields">2025-12-11T06:00:00+00:00</_EndDate>
    <Location xmlns="http://schemas.microsoft.com/sharepoint/v3/fields">Hollywood, FL</Loca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B5D1F6-5C83-4601-956B-C8E7B895A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CDFBFF-F2FA-495A-81AB-57EF1792974A}">
  <ds:schemaRefs>
    <ds:schemaRef ds:uri="http://schemas.microsoft.com/office/2006/metadata/properties"/>
    <ds:schemaRef ds:uri="http://schemas.microsoft.com/office/infopath/2007/PartnerControls"/>
    <ds:schemaRef ds:uri="http://schemas.microsoft.com/sharepoint/v3"/>
    <ds:schemaRef ds:uri="55eb7663-75cc-4f64-9609-52561375e7a6"/>
    <ds:schemaRef ds:uri="3c9e15a3-223f-4584-afb1-1dbe0b3878fa"/>
    <ds:schemaRef ds:uri="734dc620-9a3c-4363-b6b2-552d0a5c0ad8"/>
    <ds:schemaRef ds:uri="http://schemas.microsoft.com/sharepoint/v3/fields"/>
  </ds:schemaRefs>
</ds:datastoreItem>
</file>

<file path=customXml/itemProps3.xml><?xml version="1.0" encoding="utf-8"?>
<ds:datastoreItem xmlns:ds="http://schemas.openxmlformats.org/officeDocument/2006/customXml" ds:itemID="{8CD2B8BA-E24E-401D-BFE5-4064B962B6DD}">
  <ds:schemaRefs>
    <ds:schemaRef ds:uri="http://schemas.microsoft.com/sharepoint/v3/contenttype/forms"/>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Normal.dotm</Template>
  <TotalTime>37</TotalTime>
  <Pages>9</Pages>
  <Words>1909</Words>
  <Characters>12214</Characters>
  <Application>Microsoft Office Word</Application>
  <DocSecurity>0</DocSecurity>
  <Lines>245</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DeFrain, Kris</dc:creator>
  <cp:keywords/>
  <dc:description/>
  <cp:lastModifiedBy>DeFrain, Kris</cp:lastModifiedBy>
  <cp:revision>3</cp:revision>
  <dcterms:created xsi:type="dcterms:W3CDTF">2025-12-05T16:42:00Z</dcterms:created>
  <dcterms:modified xsi:type="dcterms:W3CDTF">2025-12-05T19:57:00Z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0x010100376674D47D81254AAE898D727025BAAD</vt:lpwstr>
  </property>
</Properties>
</file>