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B8F2" w14:textId="6B6F268B" w:rsidR="00B45F1A" w:rsidRPr="008433C8" w:rsidRDefault="008433C8" w:rsidP="00B45F1A">
      <w:pPr>
        <w:spacing w:after="0" w:line="240" w:lineRule="auto"/>
        <w:rPr>
          <w:rFonts w:ascii="Times New Roman" w:hAnsi="Times New Roman" w:cs="Times New Roman"/>
          <w:b/>
          <w:bCs/>
          <w:sz w:val="24"/>
          <w:szCs w:val="24"/>
          <w:u w:val="single"/>
        </w:rPr>
      </w:pPr>
      <w:r w:rsidRPr="008433C8">
        <w:rPr>
          <w:rFonts w:ascii="Times New Roman" w:hAnsi="Times New Roman" w:cs="Times New Roman"/>
          <w:b/>
          <w:bCs/>
          <w:sz w:val="24"/>
          <w:szCs w:val="24"/>
          <w:u w:val="single"/>
        </w:rPr>
        <w:t>Comment Categories:</w:t>
      </w:r>
    </w:p>
    <w:p w14:paraId="2226A28D" w14:textId="4E0EEA7F"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highlight w:val="red"/>
        </w:rPr>
        <w:t xml:space="preserve">Tier 1: </w:t>
      </w:r>
      <w:r w:rsidR="008433C8" w:rsidRPr="008433C8">
        <w:rPr>
          <w:rFonts w:ascii="Times New Roman" w:hAnsi="Times New Roman" w:cs="Times New Roman"/>
          <w:sz w:val="24"/>
          <w:szCs w:val="24"/>
          <w:highlight w:val="red"/>
        </w:rPr>
        <w:t>Key Decision Points</w:t>
      </w:r>
      <w:r w:rsidR="008433C8" w:rsidRPr="008433C8">
        <w:rPr>
          <w:rFonts w:ascii="Times New Roman" w:hAnsi="Times New Roman" w:cs="Times New Roman"/>
          <w:sz w:val="24"/>
          <w:szCs w:val="24"/>
        </w:rPr>
        <w:t xml:space="preserve"> – Discuss first</w:t>
      </w:r>
    </w:p>
    <w:p w14:paraId="67A16C4B" w14:textId="2F68390B"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C000"/>
        </w:rPr>
        <w:t xml:space="preserve">Tier 2: </w:t>
      </w:r>
      <w:r w:rsidR="008433C8" w:rsidRPr="008433C8">
        <w:rPr>
          <w:rFonts w:ascii="Times New Roman" w:hAnsi="Times New Roman" w:cs="Times New Roman"/>
          <w:sz w:val="24"/>
          <w:szCs w:val="24"/>
          <w:shd w:val="clear" w:color="auto" w:fill="FFC000"/>
        </w:rPr>
        <w:t>High Substance Edits</w:t>
      </w:r>
      <w:r w:rsidR="008433C8" w:rsidRPr="008433C8">
        <w:rPr>
          <w:rFonts w:ascii="Times New Roman" w:hAnsi="Times New Roman" w:cs="Times New Roman"/>
          <w:sz w:val="24"/>
          <w:szCs w:val="24"/>
        </w:rPr>
        <w:t xml:space="preserve"> – Discuss second</w:t>
      </w:r>
    </w:p>
    <w:p w14:paraId="47A0BCF9" w14:textId="2931DD92"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 xml:space="preserve">Tier 3: </w:t>
      </w:r>
      <w:r w:rsidR="008433C8" w:rsidRPr="008433C8">
        <w:rPr>
          <w:rFonts w:ascii="Times New Roman" w:hAnsi="Times New Roman" w:cs="Times New Roman"/>
          <w:sz w:val="24"/>
          <w:szCs w:val="24"/>
          <w:highlight w:val="yellow"/>
        </w:rPr>
        <w:t>Moderate Substance Edits</w:t>
      </w:r>
      <w:r w:rsidR="008433C8" w:rsidRPr="008433C8">
        <w:rPr>
          <w:rFonts w:ascii="Times New Roman" w:hAnsi="Times New Roman" w:cs="Times New Roman"/>
          <w:sz w:val="24"/>
          <w:szCs w:val="24"/>
        </w:rPr>
        <w:t xml:space="preserve"> – Discuss third</w:t>
      </w:r>
    </w:p>
    <w:p w14:paraId="147F3712" w14:textId="0B499E36" w:rsidR="008433C8" w:rsidRPr="008433C8" w:rsidRDefault="00A83D73" w:rsidP="00B45F1A">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DBE5F1" w:themeFill="accent1" w:themeFillTint="33"/>
        </w:rPr>
        <w:t xml:space="preserve">Tier 4: </w:t>
      </w:r>
      <w:r w:rsidR="00757890">
        <w:rPr>
          <w:rFonts w:ascii="Times New Roman" w:hAnsi="Times New Roman" w:cs="Times New Roman"/>
          <w:sz w:val="24"/>
          <w:szCs w:val="24"/>
          <w:shd w:val="clear" w:color="auto" w:fill="DBE5F1" w:themeFill="accent1" w:themeFillTint="33"/>
        </w:rPr>
        <w:t>Noncontroversial</w:t>
      </w:r>
      <w:r w:rsidR="008433C8" w:rsidRPr="008433C8">
        <w:rPr>
          <w:rFonts w:ascii="Times New Roman" w:hAnsi="Times New Roman" w:cs="Times New Roman"/>
          <w:sz w:val="24"/>
          <w:szCs w:val="24"/>
          <w:shd w:val="clear" w:color="auto" w:fill="DBE5F1" w:themeFill="accent1" w:themeFillTint="33"/>
        </w:rPr>
        <w:t xml:space="preserve"> </w:t>
      </w:r>
      <w:r w:rsidR="00757890">
        <w:rPr>
          <w:rFonts w:ascii="Times New Roman" w:hAnsi="Times New Roman" w:cs="Times New Roman"/>
          <w:sz w:val="24"/>
          <w:szCs w:val="24"/>
          <w:shd w:val="clear" w:color="auto" w:fill="DBE5F1" w:themeFill="accent1" w:themeFillTint="33"/>
        </w:rPr>
        <w:t>or</w:t>
      </w:r>
      <w:r w:rsidR="008433C8" w:rsidRPr="008433C8">
        <w:rPr>
          <w:rFonts w:ascii="Times New Roman" w:hAnsi="Times New Roman" w:cs="Times New Roman"/>
          <w:sz w:val="24"/>
          <w:szCs w:val="24"/>
          <w:shd w:val="clear" w:color="auto" w:fill="DBE5F1" w:themeFill="accent1" w:themeFillTint="33"/>
        </w:rPr>
        <w:t xml:space="preserve"> Low Substance Edits</w:t>
      </w:r>
      <w:r w:rsidR="008433C8" w:rsidRPr="008433C8">
        <w:rPr>
          <w:rFonts w:ascii="Times New Roman" w:hAnsi="Times New Roman" w:cs="Times New Roman"/>
          <w:sz w:val="24"/>
          <w:szCs w:val="24"/>
        </w:rPr>
        <w:t xml:space="preserve"> – Will expose and only discuss upon comment</w:t>
      </w:r>
    </w:p>
    <w:p w14:paraId="5A8B1D48" w14:textId="77777777" w:rsidR="008433C8" w:rsidRDefault="008433C8" w:rsidP="0016322D">
      <w:pPr>
        <w:spacing w:after="0"/>
        <w:jc w:val="center"/>
        <w:rPr>
          <w:rFonts w:ascii="Times New Roman" w:hAnsi="Times New Roman" w:cs="Times New Roman"/>
          <w:b/>
          <w:bCs/>
          <w:sz w:val="24"/>
          <w:szCs w:val="24"/>
        </w:rPr>
      </w:pPr>
    </w:p>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asciiTheme="minorHAnsi" w:eastAsiaTheme="minorHAnsi" w:hAnsiTheme="minorHAnsi" w:cstheme="minorBidi"/>
              <w:noProof w:val="0"/>
            </w:rPr>
          </w:sdtEndPr>
          <w:sdtContent>
            <w:sdt>
              <w:sdtPr>
                <w:rPr>
                  <w:rFonts w:ascii="Times New Roman" w:hAnsi="Times New Roman" w:cs="Times New Roman"/>
                  <w:noProof/>
                </w:rPr>
                <w:id w:val="1990196742"/>
                <w:docPartObj>
                  <w:docPartGallery w:val="Table of Contents"/>
                  <w:docPartUnique/>
                </w:docPartObj>
              </w:sdtPr>
              <w:sdtEndPr>
                <w:rPr>
                  <w:rFonts w:asciiTheme="minorHAnsi" w:hAnsiTheme="minorHAnsi" w:cstheme="minorBidi"/>
                  <w:noProof w:val="0"/>
                </w:rPr>
              </w:sdtEndPr>
              <w:sdtContent>
                <w:p w14:paraId="0ECB4ACC" w14:textId="516F217F" w:rsidR="005F48C0" w:rsidRPr="008E6717" w:rsidRDefault="005F48C0" w:rsidP="008E6717">
                  <w:pPr>
                    <w:rPr>
                      <w:rFonts w:ascii="Times New Roman" w:hAnsi="Times New Roman" w:cs="Times New Roman"/>
                    </w:rPr>
                  </w:pPr>
                  <w:r w:rsidRPr="00226660">
                    <w:rPr>
                      <w:rFonts w:ascii="Times New Roman" w:hAnsi="Times New Roman" w:cs="Times New Roman"/>
                    </w:rPr>
                    <w:t>Table of Contents</w:t>
                  </w:r>
                </w:p>
              </w:sdtContent>
            </w:sdt>
          </w:sdtContent>
        </w:sdt>
        <w:p w14:paraId="005C06C0" w14:textId="660E2A18" w:rsidR="001613F4" w:rsidRDefault="005F48C0" w:rsidP="001613F4">
          <w:pPr>
            <w:pStyle w:val="TOC1"/>
            <w:rPr>
              <w:rFonts w:asciiTheme="minorHAnsi" w:hAnsiTheme="minorHAnsi" w:cstheme="minorBidi"/>
            </w:rPr>
          </w:pPr>
          <w:r w:rsidRPr="0016322D">
            <w:rPr>
              <w:color w:val="2B579A"/>
              <w:shd w:val="clear" w:color="auto" w:fill="E6E6E6"/>
            </w:rPr>
            <w:fldChar w:fldCharType="begin"/>
          </w:r>
          <w:r w:rsidRPr="00903AB6">
            <w:instrText xml:space="preserve"> TOC \o "1-3" \h \z \u </w:instrText>
          </w:r>
          <w:r w:rsidRPr="0016322D">
            <w:rPr>
              <w:color w:val="2B579A"/>
              <w:shd w:val="clear" w:color="auto" w:fill="E6E6E6"/>
            </w:rPr>
            <w:fldChar w:fldCharType="separate"/>
          </w:r>
          <w:hyperlink w:anchor="_Toc137649761" w:history="1">
            <w:r w:rsidR="001613F4" w:rsidRPr="00FE0196">
              <w:rPr>
                <w:rStyle w:val="Hyperlink"/>
              </w:rPr>
              <w:t>Valuation Manual Section II. Reserve Requirements</w:t>
            </w:r>
            <w:r w:rsidR="001613F4">
              <w:rPr>
                <w:webHidden/>
              </w:rPr>
              <w:tab/>
            </w:r>
            <w:r w:rsidR="001613F4">
              <w:rPr>
                <w:webHidden/>
              </w:rPr>
              <w:fldChar w:fldCharType="begin"/>
            </w:r>
            <w:r w:rsidR="001613F4">
              <w:rPr>
                <w:webHidden/>
              </w:rPr>
              <w:instrText xml:space="preserve"> PAGEREF _Toc137649761 \h </w:instrText>
            </w:r>
            <w:r w:rsidR="001613F4">
              <w:rPr>
                <w:webHidden/>
              </w:rPr>
            </w:r>
            <w:r w:rsidR="001613F4">
              <w:rPr>
                <w:webHidden/>
              </w:rPr>
              <w:fldChar w:fldCharType="separate"/>
            </w:r>
            <w:r w:rsidR="001613F4">
              <w:rPr>
                <w:webHidden/>
              </w:rPr>
              <w:t>4</w:t>
            </w:r>
            <w:r w:rsidR="001613F4">
              <w:rPr>
                <w:webHidden/>
              </w:rPr>
              <w:fldChar w:fldCharType="end"/>
            </w:r>
          </w:hyperlink>
        </w:p>
        <w:p w14:paraId="657BA8B9" w14:textId="64F59AEA" w:rsidR="001613F4" w:rsidRDefault="00530199" w:rsidP="001613F4">
          <w:pPr>
            <w:pStyle w:val="TOC1"/>
            <w:rPr>
              <w:rFonts w:asciiTheme="minorHAnsi" w:hAnsiTheme="minorHAnsi" w:cstheme="minorBidi"/>
            </w:rPr>
          </w:pPr>
          <w:hyperlink w:anchor="_Toc137649762" w:history="1">
            <w:r w:rsidR="001613F4" w:rsidRPr="00FE0196">
              <w:rPr>
                <w:rStyle w:val="Hyperlink"/>
              </w:rPr>
              <w:t>Subsection 2: Annuity Products</w:t>
            </w:r>
            <w:r w:rsidR="001613F4">
              <w:rPr>
                <w:webHidden/>
              </w:rPr>
              <w:tab/>
            </w:r>
            <w:r w:rsidR="001613F4">
              <w:rPr>
                <w:webHidden/>
              </w:rPr>
              <w:fldChar w:fldCharType="begin"/>
            </w:r>
            <w:r w:rsidR="001613F4">
              <w:rPr>
                <w:webHidden/>
              </w:rPr>
              <w:instrText xml:space="preserve"> PAGEREF _Toc137649762 \h </w:instrText>
            </w:r>
            <w:r w:rsidR="001613F4">
              <w:rPr>
                <w:webHidden/>
              </w:rPr>
            </w:r>
            <w:r w:rsidR="001613F4">
              <w:rPr>
                <w:webHidden/>
              </w:rPr>
              <w:fldChar w:fldCharType="separate"/>
            </w:r>
            <w:r w:rsidR="001613F4">
              <w:rPr>
                <w:webHidden/>
              </w:rPr>
              <w:t>4</w:t>
            </w:r>
            <w:r w:rsidR="001613F4">
              <w:rPr>
                <w:webHidden/>
              </w:rPr>
              <w:fldChar w:fldCharType="end"/>
            </w:r>
          </w:hyperlink>
        </w:p>
        <w:p w14:paraId="5404AB28" w14:textId="1A5A0D3E" w:rsidR="001613F4" w:rsidRDefault="00530199" w:rsidP="001613F4">
          <w:pPr>
            <w:pStyle w:val="TOC1"/>
            <w:rPr>
              <w:rFonts w:asciiTheme="minorHAnsi" w:hAnsiTheme="minorHAnsi" w:cstheme="minorBidi"/>
            </w:rPr>
          </w:pPr>
          <w:hyperlink w:anchor="_Toc137649763" w:history="1">
            <w:r w:rsidR="001613F4" w:rsidRPr="00FE0196">
              <w:rPr>
                <w:rStyle w:val="Hyperlink"/>
              </w:rPr>
              <w:t>Subsection 3: Deposit-Type Contracts</w:t>
            </w:r>
            <w:r w:rsidR="001613F4">
              <w:rPr>
                <w:webHidden/>
              </w:rPr>
              <w:tab/>
            </w:r>
            <w:r w:rsidR="001613F4">
              <w:rPr>
                <w:webHidden/>
              </w:rPr>
              <w:fldChar w:fldCharType="begin"/>
            </w:r>
            <w:r w:rsidR="001613F4">
              <w:rPr>
                <w:webHidden/>
              </w:rPr>
              <w:instrText xml:space="preserve"> PAGEREF _Toc137649763 \h </w:instrText>
            </w:r>
            <w:r w:rsidR="001613F4">
              <w:rPr>
                <w:webHidden/>
              </w:rPr>
            </w:r>
            <w:r w:rsidR="001613F4">
              <w:rPr>
                <w:webHidden/>
              </w:rPr>
              <w:fldChar w:fldCharType="separate"/>
            </w:r>
            <w:r w:rsidR="001613F4">
              <w:rPr>
                <w:webHidden/>
              </w:rPr>
              <w:t>6</w:t>
            </w:r>
            <w:r w:rsidR="001613F4">
              <w:rPr>
                <w:webHidden/>
              </w:rPr>
              <w:fldChar w:fldCharType="end"/>
            </w:r>
          </w:hyperlink>
        </w:p>
        <w:p w14:paraId="5226FF9D" w14:textId="6159CDF4" w:rsidR="001613F4" w:rsidRDefault="00530199" w:rsidP="001613F4">
          <w:pPr>
            <w:pStyle w:val="TOC1"/>
            <w:rPr>
              <w:rFonts w:asciiTheme="minorHAnsi" w:hAnsiTheme="minorHAnsi" w:cstheme="minorBidi"/>
            </w:rPr>
          </w:pPr>
          <w:hyperlink w:anchor="_Toc137649764" w:history="1">
            <w:r w:rsidR="001613F4" w:rsidRPr="00FE0196">
              <w:rPr>
                <w:rStyle w:val="Hyperlink"/>
              </w:rPr>
              <w:t>Subsection 6: Riders and Supplemental Benefits</w:t>
            </w:r>
            <w:r w:rsidR="001613F4">
              <w:rPr>
                <w:webHidden/>
              </w:rPr>
              <w:tab/>
            </w:r>
            <w:r w:rsidR="001613F4">
              <w:rPr>
                <w:webHidden/>
              </w:rPr>
              <w:fldChar w:fldCharType="begin"/>
            </w:r>
            <w:r w:rsidR="001613F4">
              <w:rPr>
                <w:webHidden/>
              </w:rPr>
              <w:instrText xml:space="preserve"> PAGEREF _Toc137649764 \h </w:instrText>
            </w:r>
            <w:r w:rsidR="001613F4">
              <w:rPr>
                <w:webHidden/>
              </w:rPr>
            </w:r>
            <w:r w:rsidR="001613F4">
              <w:rPr>
                <w:webHidden/>
              </w:rPr>
              <w:fldChar w:fldCharType="separate"/>
            </w:r>
            <w:r w:rsidR="001613F4">
              <w:rPr>
                <w:webHidden/>
              </w:rPr>
              <w:t>6</w:t>
            </w:r>
            <w:r w:rsidR="001613F4">
              <w:rPr>
                <w:webHidden/>
              </w:rPr>
              <w:fldChar w:fldCharType="end"/>
            </w:r>
          </w:hyperlink>
        </w:p>
        <w:p w14:paraId="3D28FAF5" w14:textId="058E4D58" w:rsidR="001613F4" w:rsidRDefault="00530199" w:rsidP="001613F4">
          <w:pPr>
            <w:pStyle w:val="TOC1"/>
            <w:rPr>
              <w:rFonts w:asciiTheme="minorHAnsi" w:hAnsiTheme="minorHAnsi" w:cstheme="minorBidi"/>
            </w:rPr>
          </w:pPr>
          <w:hyperlink w:anchor="_Toc137649765" w:history="1">
            <w:r w:rsidR="001613F4" w:rsidRPr="00FE0196">
              <w:rPr>
                <w:rStyle w:val="Hyperlink"/>
              </w:rPr>
              <w:t>VM-01: Definitions for Terms in Requirements</w:t>
            </w:r>
            <w:r w:rsidR="001613F4">
              <w:rPr>
                <w:webHidden/>
              </w:rPr>
              <w:tab/>
            </w:r>
            <w:r w:rsidR="001613F4">
              <w:rPr>
                <w:webHidden/>
              </w:rPr>
              <w:fldChar w:fldCharType="begin"/>
            </w:r>
            <w:r w:rsidR="001613F4">
              <w:rPr>
                <w:webHidden/>
              </w:rPr>
              <w:instrText xml:space="preserve"> PAGEREF _Toc137649765 \h </w:instrText>
            </w:r>
            <w:r w:rsidR="001613F4">
              <w:rPr>
                <w:webHidden/>
              </w:rPr>
            </w:r>
            <w:r w:rsidR="001613F4">
              <w:rPr>
                <w:webHidden/>
              </w:rPr>
              <w:fldChar w:fldCharType="separate"/>
            </w:r>
            <w:r w:rsidR="001613F4">
              <w:rPr>
                <w:webHidden/>
              </w:rPr>
              <w:t>9</w:t>
            </w:r>
            <w:r w:rsidR="001613F4">
              <w:rPr>
                <w:webHidden/>
              </w:rPr>
              <w:fldChar w:fldCharType="end"/>
            </w:r>
          </w:hyperlink>
        </w:p>
        <w:p w14:paraId="6830696F" w14:textId="19A5BBE9" w:rsidR="001613F4" w:rsidRDefault="00530199" w:rsidP="001613F4">
          <w:pPr>
            <w:pStyle w:val="TOC1"/>
            <w:rPr>
              <w:rFonts w:asciiTheme="minorHAnsi" w:hAnsiTheme="minorHAnsi" w:cstheme="minorBidi"/>
            </w:rPr>
          </w:pPr>
          <w:hyperlink w:anchor="_Toc137649766" w:history="1">
            <w:r w:rsidR="001613F4" w:rsidRPr="00FE0196">
              <w:rPr>
                <w:rStyle w:val="Hyperlink"/>
              </w:rPr>
              <w:t>VM-22</w:t>
            </w:r>
            <w:r w:rsidR="001613F4">
              <w:rPr>
                <w:webHidden/>
              </w:rPr>
              <w:tab/>
            </w:r>
            <w:r w:rsidR="001613F4">
              <w:rPr>
                <w:webHidden/>
              </w:rPr>
              <w:fldChar w:fldCharType="begin"/>
            </w:r>
            <w:r w:rsidR="001613F4">
              <w:rPr>
                <w:webHidden/>
              </w:rPr>
              <w:instrText xml:space="preserve"> PAGEREF _Toc137649766 \h </w:instrText>
            </w:r>
            <w:r w:rsidR="001613F4">
              <w:rPr>
                <w:webHidden/>
              </w:rPr>
            </w:r>
            <w:r w:rsidR="001613F4">
              <w:rPr>
                <w:webHidden/>
              </w:rPr>
              <w:fldChar w:fldCharType="separate"/>
            </w:r>
            <w:r w:rsidR="001613F4">
              <w:rPr>
                <w:webHidden/>
              </w:rPr>
              <w:t>12</w:t>
            </w:r>
            <w:r w:rsidR="001613F4">
              <w:rPr>
                <w:webHidden/>
              </w:rPr>
              <w:fldChar w:fldCharType="end"/>
            </w:r>
          </w:hyperlink>
        </w:p>
        <w:p w14:paraId="2449BEC3" w14:textId="27619C9E" w:rsidR="001613F4" w:rsidRDefault="00530199" w:rsidP="001613F4">
          <w:pPr>
            <w:pStyle w:val="TOC1"/>
            <w:rPr>
              <w:rFonts w:asciiTheme="minorHAnsi" w:hAnsiTheme="minorHAnsi" w:cstheme="minorBidi"/>
            </w:rPr>
          </w:pPr>
          <w:hyperlink w:anchor="_Toc137649767" w:history="1">
            <w:r w:rsidR="001613F4" w:rsidRPr="00FE0196">
              <w:rPr>
                <w:rStyle w:val="Hyperlink"/>
              </w:rPr>
              <w:t>Section 1: Background</w:t>
            </w:r>
            <w:r w:rsidR="001613F4">
              <w:rPr>
                <w:webHidden/>
              </w:rPr>
              <w:tab/>
            </w:r>
            <w:r w:rsidR="001613F4">
              <w:rPr>
                <w:webHidden/>
              </w:rPr>
              <w:fldChar w:fldCharType="begin"/>
            </w:r>
            <w:r w:rsidR="001613F4">
              <w:rPr>
                <w:webHidden/>
              </w:rPr>
              <w:instrText xml:space="preserve"> PAGEREF _Toc137649767 \h </w:instrText>
            </w:r>
            <w:r w:rsidR="001613F4">
              <w:rPr>
                <w:webHidden/>
              </w:rPr>
            </w:r>
            <w:r w:rsidR="001613F4">
              <w:rPr>
                <w:webHidden/>
              </w:rPr>
              <w:fldChar w:fldCharType="separate"/>
            </w:r>
            <w:r w:rsidR="001613F4">
              <w:rPr>
                <w:webHidden/>
              </w:rPr>
              <w:t>12</w:t>
            </w:r>
            <w:r w:rsidR="001613F4">
              <w:rPr>
                <w:webHidden/>
              </w:rPr>
              <w:fldChar w:fldCharType="end"/>
            </w:r>
          </w:hyperlink>
        </w:p>
        <w:p w14:paraId="3C2806D9" w14:textId="4397E2DA" w:rsidR="001613F4" w:rsidRDefault="00530199">
          <w:pPr>
            <w:pStyle w:val="TOC2"/>
            <w:rPr>
              <w:rFonts w:asciiTheme="minorHAnsi" w:hAnsiTheme="minorHAnsi" w:cstheme="minorBidi"/>
            </w:rPr>
          </w:pPr>
          <w:hyperlink w:anchor="_Toc137649768" w:history="1">
            <w:r w:rsidR="001613F4" w:rsidRPr="00FE0196">
              <w:rPr>
                <w:rStyle w:val="Hyperlink"/>
              </w:rPr>
              <w:t>A.</w:t>
            </w:r>
            <w:r w:rsidR="001613F4">
              <w:rPr>
                <w:rFonts w:asciiTheme="minorHAnsi" w:hAnsiTheme="minorHAnsi" w:cstheme="minorBidi"/>
              </w:rPr>
              <w:tab/>
            </w:r>
            <w:r w:rsidR="001613F4" w:rsidRPr="00FE0196">
              <w:rPr>
                <w:rStyle w:val="Hyperlink"/>
              </w:rPr>
              <w:t>Purpose</w:t>
            </w:r>
            <w:r w:rsidR="001613F4">
              <w:rPr>
                <w:webHidden/>
              </w:rPr>
              <w:tab/>
            </w:r>
            <w:r w:rsidR="001613F4">
              <w:rPr>
                <w:webHidden/>
              </w:rPr>
              <w:fldChar w:fldCharType="begin"/>
            </w:r>
            <w:r w:rsidR="001613F4">
              <w:rPr>
                <w:webHidden/>
              </w:rPr>
              <w:instrText xml:space="preserve"> PAGEREF _Toc137649768 \h </w:instrText>
            </w:r>
            <w:r w:rsidR="001613F4">
              <w:rPr>
                <w:webHidden/>
              </w:rPr>
            </w:r>
            <w:r w:rsidR="001613F4">
              <w:rPr>
                <w:webHidden/>
              </w:rPr>
              <w:fldChar w:fldCharType="separate"/>
            </w:r>
            <w:r w:rsidR="001613F4">
              <w:rPr>
                <w:webHidden/>
              </w:rPr>
              <w:t>12</w:t>
            </w:r>
            <w:r w:rsidR="001613F4">
              <w:rPr>
                <w:webHidden/>
              </w:rPr>
              <w:fldChar w:fldCharType="end"/>
            </w:r>
          </w:hyperlink>
        </w:p>
        <w:p w14:paraId="669B7BA9" w14:textId="6CD8EBEF" w:rsidR="001613F4" w:rsidRDefault="00530199">
          <w:pPr>
            <w:pStyle w:val="TOC2"/>
            <w:rPr>
              <w:rFonts w:asciiTheme="minorHAnsi" w:hAnsiTheme="minorHAnsi" w:cstheme="minorBidi"/>
            </w:rPr>
          </w:pPr>
          <w:hyperlink w:anchor="_Toc137649769" w:history="1">
            <w:r w:rsidR="001613F4" w:rsidRPr="00FE0196">
              <w:rPr>
                <w:rStyle w:val="Hyperlink"/>
              </w:rPr>
              <w:t>B.</w:t>
            </w:r>
            <w:r w:rsidR="001613F4">
              <w:rPr>
                <w:rFonts w:asciiTheme="minorHAnsi" w:hAnsiTheme="minorHAnsi" w:cstheme="minorBidi"/>
              </w:rPr>
              <w:tab/>
            </w:r>
            <w:r w:rsidR="001613F4" w:rsidRPr="00FE0196">
              <w:rPr>
                <w:rStyle w:val="Hyperlink"/>
              </w:rPr>
              <w:t>Principles</w:t>
            </w:r>
            <w:r w:rsidR="001613F4">
              <w:rPr>
                <w:webHidden/>
              </w:rPr>
              <w:tab/>
            </w:r>
            <w:r w:rsidR="001613F4">
              <w:rPr>
                <w:webHidden/>
              </w:rPr>
              <w:fldChar w:fldCharType="begin"/>
            </w:r>
            <w:r w:rsidR="001613F4">
              <w:rPr>
                <w:webHidden/>
              </w:rPr>
              <w:instrText xml:space="preserve"> PAGEREF _Toc137649769 \h </w:instrText>
            </w:r>
            <w:r w:rsidR="001613F4">
              <w:rPr>
                <w:webHidden/>
              </w:rPr>
            </w:r>
            <w:r w:rsidR="001613F4">
              <w:rPr>
                <w:webHidden/>
              </w:rPr>
              <w:fldChar w:fldCharType="separate"/>
            </w:r>
            <w:r w:rsidR="001613F4">
              <w:rPr>
                <w:webHidden/>
              </w:rPr>
              <w:t>12</w:t>
            </w:r>
            <w:r w:rsidR="001613F4">
              <w:rPr>
                <w:webHidden/>
              </w:rPr>
              <w:fldChar w:fldCharType="end"/>
            </w:r>
          </w:hyperlink>
        </w:p>
        <w:p w14:paraId="75E3F183" w14:textId="712891BD" w:rsidR="001613F4" w:rsidRDefault="00530199">
          <w:pPr>
            <w:pStyle w:val="TOC2"/>
            <w:rPr>
              <w:rFonts w:asciiTheme="minorHAnsi" w:hAnsiTheme="minorHAnsi" w:cstheme="minorBidi"/>
            </w:rPr>
          </w:pPr>
          <w:hyperlink w:anchor="_Toc137649770" w:history="1">
            <w:r w:rsidR="001613F4" w:rsidRPr="00FE0196">
              <w:rPr>
                <w:rStyle w:val="Hyperlink"/>
              </w:rPr>
              <w:t>C.</w:t>
            </w:r>
            <w:r w:rsidR="001613F4">
              <w:rPr>
                <w:rFonts w:asciiTheme="minorHAnsi" w:hAnsiTheme="minorHAnsi" w:cstheme="minorBidi"/>
              </w:rPr>
              <w:tab/>
            </w:r>
            <w:r w:rsidR="001613F4" w:rsidRPr="00FE0196">
              <w:rPr>
                <w:rStyle w:val="Hyperlink"/>
              </w:rPr>
              <w:t>Risks Reflected and Risks Not Reflected</w:t>
            </w:r>
            <w:r w:rsidR="001613F4">
              <w:rPr>
                <w:webHidden/>
              </w:rPr>
              <w:tab/>
            </w:r>
            <w:r w:rsidR="001613F4">
              <w:rPr>
                <w:webHidden/>
              </w:rPr>
              <w:fldChar w:fldCharType="begin"/>
            </w:r>
            <w:r w:rsidR="001613F4">
              <w:rPr>
                <w:webHidden/>
              </w:rPr>
              <w:instrText xml:space="preserve"> PAGEREF _Toc137649770 \h </w:instrText>
            </w:r>
            <w:r w:rsidR="001613F4">
              <w:rPr>
                <w:webHidden/>
              </w:rPr>
            </w:r>
            <w:r w:rsidR="001613F4">
              <w:rPr>
                <w:webHidden/>
              </w:rPr>
              <w:fldChar w:fldCharType="separate"/>
            </w:r>
            <w:r w:rsidR="001613F4">
              <w:rPr>
                <w:webHidden/>
              </w:rPr>
              <w:t>13</w:t>
            </w:r>
            <w:r w:rsidR="001613F4">
              <w:rPr>
                <w:webHidden/>
              </w:rPr>
              <w:fldChar w:fldCharType="end"/>
            </w:r>
          </w:hyperlink>
        </w:p>
        <w:p w14:paraId="44B516BD" w14:textId="126F40B6" w:rsidR="001613F4" w:rsidRDefault="00530199" w:rsidP="001613F4">
          <w:pPr>
            <w:pStyle w:val="TOC1"/>
            <w:rPr>
              <w:rFonts w:asciiTheme="minorHAnsi" w:hAnsiTheme="minorHAnsi" w:cstheme="minorBidi"/>
            </w:rPr>
          </w:pPr>
          <w:hyperlink w:anchor="_Toc137649771" w:history="1">
            <w:r w:rsidR="001613F4" w:rsidRPr="00FE0196">
              <w:rPr>
                <w:rStyle w:val="Hyperlink"/>
              </w:rPr>
              <w:t>D.</w:t>
            </w:r>
            <w:r w:rsidR="001613F4">
              <w:rPr>
                <w:rFonts w:asciiTheme="minorHAnsi" w:hAnsiTheme="minorHAnsi" w:cstheme="minorBidi"/>
              </w:rPr>
              <w:tab/>
            </w:r>
            <w:r w:rsidR="001613F4" w:rsidRPr="00FE0196">
              <w:rPr>
                <w:rStyle w:val="Hyperlink"/>
              </w:rPr>
              <w:t>Materiality</w:t>
            </w:r>
            <w:r w:rsidR="001613F4">
              <w:rPr>
                <w:webHidden/>
              </w:rPr>
              <w:tab/>
            </w:r>
            <w:r w:rsidR="001613F4">
              <w:rPr>
                <w:webHidden/>
              </w:rPr>
              <w:fldChar w:fldCharType="begin"/>
            </w:r>
            <w:r w:rsidR="001613F4">
              <w:rPr>
                <w:webHidden/>
              </w:rPr>
              <w:instrText xml:space="preserve"> PAGEREF _Toc137649771 \h </w:instrText>
            </w:r>
            <w:r w:rsidR="001613F4">
              <w:rPr>
                <w:webHidden/>
              </w:rPr>
            </w:r>
            <w:r w:rsidR="001613F4">
              <w:rPr>
                <w:webHidden/>
              </w:rPr>
              <w:fldChar w:fldCharType="separate"/>
            </w:r>
            <w:r w:rsidR="001613F4">
              <w:rPr>
                <w:webHidden/>
              </w:rPr>
              <w:t>16</w:t>
            </w:r>
            <w:r w:rsidR="001613F4">
              <w:rPr>
                <w:webHidden/>
              </w:rPr>
              <w:fldChar w:fldCharType="end"/>
            </w:r>
          </w:hyperlink>
        </w:p>
        <w:p w14:paraId="72363D14" w14:textId="4D8D5AE4" w:rsidR="001613F4" w:rsidRDefault="00530199" w:rsidP="001613F4">
          <w:pPr>
            <w:pStyle w:val="TOC1"/>
            <w:rPr>
              <w:rFonts w:asciiTheme="minorHAnsi" w:hAnsiTheme="minorHAnsi" w:cstheme="minorBidi"/>
            </w:rPr>
          </w:pPr>
          <w:hyperlink w:anchor="_Toc137649772" w:history="1">
            <w:r w:rsidR="001613F4" w:rsidRPr="00FE0196">
              <w:rPr>
                <w:rStyle w:val="Hyperlink"/>
              </w:rPr>
              <w:t>Section 2:  Scope and Effective Date</w:t>
            </w:r>
            <w:r w:rsidR="001613F4">
              <w:rPr>
                <w:webHidden/>
              </w:rPr>
              <w:tab/>
            </w:r>
            <w:r w:rsidR="001613F4">
              <w:rPr>
                <w:webHidden/>
              </w:rPr>
              <w:fldChar w:fldCharType="begin"/>
            </w:r>
            <w:r w:rsidR="001613F4">
              <w:rPr>
                <w:webHidden/>
              </w:rPr>
              <w:instrText xml:space="preserve"> PAGEREF _Toc137649772 \h </w:instrText>
            </w:r>
            <w:r w:rsidR="001613F4">
              <w:rPr>
                <w:webHidden/>
              </w:rPr>
            </w:r>
            <w:r w:rsidR="001613F4">
              <w:rPr>
                <w:webHidden/>
              </w:rPr>
              <w:fldChar w:fldCharType="separate"/>
            </w:r>
            <w:r w:rsidR="001613F4">
              <w:rPr>
                <w:webHidden/>
              </w:rPr>
              <w:t>16</w:t>
            </w:r>
            <w:r w:rsidR="001613F4">
              <w:rPr>
                <w:webHidden/>
              </w:rPr>
              <w:fldChar w:fldCharType="end"/>
            </w:r>
          </w:hyperlink>
        </w:p>
        <w:p w14:paraId="25D2221A" w14:textId="1E83ABBA" w:rsidR="001613F4" w:rsidRDefault="00530199">
          <w:pPr>
            <w:pStyle w:val="TOC2"/>
            <w:rPr>
              <w:rFonts w:asciiTheme="minorHAnsi" w:hAnsiTheme="minorHAnsi" w:cstheme="minorBidi"/>
            </w:rPr>
          </w:pPr>
          <w:hyperlink w:anchor="_Toc137649773" w:history="1">
            <w:r w:rsidR="001613F4" w:rsidRPr="00FE0196">
              <w:rPr>
                <w:rStyle w:val="Hyperlink"/>
              </w:rPr>
              <w:t>A.</w:t>
            </w:r>
            <w:r w:rsidR="001613F4">
              <w:rPr>
                <w:rFonts w:asciiTheme="minorHAnsi" w:hAnsiTheme="minorHAnsi" w:cstheme="minorBidi"/>
              </w:rPr>
              <w:tab/>
            </w:r>
            <w:r w:rsidR="001613F4" w:rsidRPr="00FE0196">
              <w:rPr>
                <w:rStyle w:val="Hyperlink"/>
              </w:rPr>
              <w:t>Scope</w:t>
            </w:r>
            <w:r w:rsidR="001613F4">
              <w:rPr>
                <w:webHidden/>
              </w:rPr>
              <w:tab/>
            </w:r>
            <w:r w:rsidR="001613F4">
              <w:rPr>
                <w:webHidden/>
              </w:rPr>
              <w:fldChar w:fldCharType="begin"/>
            </w:r>
            <w:r w:rsidR="001613F4">
              <w:rPr>
                <w:webHidden/>
              </w:rPr>
              <w:instrText xml:space="preserve"> PAGEREF _Toc137649773 \h </w:instrText>
            </w:r>
            <w:r w:rsidR="001613F4">
              <w:rPr>
                <w:webHidden/>
              </w:rPr>
            </w:r>
            <w:r w:rsidR="001613F4">
              <w:rPr>
                <w:webHidden/>
              </w:rPr>
              <w:fldChar w:fldCharType="separate"/>
            </w:r>
            <w:r w:rsidR="001613F4">
              <w:rPr>
                <w:webHidden/>
              </w:rPr>
              <w:t>16</w:t>
            </w:r>
            <w:r w:rsidR="001613F4">
              <w:rPr>
                <w:webHidden/>
              </w:rPr>
              <w:fldChar w:fldCharType="end"/>
            </w:r>
          </w:hyperlink>
        </w:p>
        <w:p w14:paraId="09730069" w14:textId="4765D3BF" w:rsidR="001613F4" w:rsidRDefault="00530199">
          <w:pPr>
            <w:pStyle w:val="TOC2"/>
            <w:rPr>
              <w:rFonts w:asciiTheme="minorHAnsi" w:hAnsiTheme="minorHAnsi" w:cstheme="minorBidi"/>
            </w:rPr>
          </w:pPr>
          <w:hyperlink w:anchor="_Toc137649774" w:history="1">
            <w:r w:rsidR="001613F4" w:rsidRPr="00FE0196">
              <w:rPr>
                <w:rStyle w:val="Hyperlink"/>
              </w:rPr>
              <w:t>B.</w:t>
            </w:r>
            <w:r w:rsidR="001613F4">
              <w:rPr>
                <w:rFonts w:asciiTheme="minorHAnsi" w:hAnsiTheme="minorHAnsi" w:cstheme="minorBidi"/>
              </w:rPr>
              <w:tab/>
            </w:r>
            <w:r w:rsidR="001613F4" w:rsidRPr="00FE0196">
              <w:rPr>
                <w:rStyle w:val="Hyperlink"/>
              </w:rPr>
              <w:t>Effective Date &amp; Transition</w:t>
            </w:r>
            <w:r w:rsidR="001613F4">
              <w:rPr>
                <w:webHidden/>
              </w:rPr>
              <w:tab/>
            </w:r>
            <w:r w:rsidR="001613F4">
              <w:rPr>
                <w:webHidden/>
              </w:rPr>
              <w:fldChar w:fldCharType="begin"/>
            </w:r>
            <w:r w:rsidR="001613F4">
              <w:rPr>
                <w:webHidden/>
              </w:rPr>
              <w:instrText xml:space="preserve"> PAGEREF _Toc137649774 \h </w:instrText>
            </w:r>
            <w:r w:rsidR="001613F4">
              <w:rPr>
                <w:webHidden/>
              </w:rPr>
            </w:r>
            <w:r w:rsidR="001613F4">
              <w:rPr>
                <w:webHidden/>
              </w:rPr>
              <w:fldChar w:fldCharType="separate"/>
            </w:r>
            <w:r w:rsidR="001613F4">
              <w:rPr>
                <w:webHidden/>
              </w:rPr>
              <w:t>16</w:t>
            </w:r>
            <w:r w:rsidR="001613F4">
              <w:rPr>
                <w:webHidden/>
              </w:rPr>
              <w:fldChar w:fldCharType="end"/>
            </w:r>
          </w:hyperlink>
        </w:p>
        <w:p w14:paraId="1BE38221" w14:textId="650B9E8D" w:rsidR="001613F4" w:rsidRDefault="00530199" w:rsidP="001613F4">
          <w:pPr>
            <w:pStyle w:val="TOC1"/>
            <w:rPr>
              <w:rFonts w:asciiTheme="minorHAnsi" w:hAnsiTheme="minorHAnsi" w:cstheme="minorBidi"/>
            </w:rPr>
          </w:pPr>
          <w:hyperlink w:anchor="_Toc137649775" w:history="1">
            <w:r w:rsidR="001613F4" w:rsidRPr="00FE0196">
              <w:rPr>
                <w:rStyle w:val="Hyperlink"/>
              </w:rPr>
              <w:t>Section 3: Reserve Methodology</w:t>
            </w:r>
            <w:r w:rsidR="001613F4">
              <w:rPr>
                <w:webHidden/>
              </w:rPr>
              <w:tab/>
            </w:r>
            <w:r w:rsidR="001613F4">
              <w:rPr>
                <w:webHidden/>
              </w:rPr>
              <w:fldChar w:fldCharType="begin"/>
            </w:r>
            <w:r w:rsidR="001613F4">
              <w:rPr>
                <w:webHidden/>
              </w:rPr>
              <w:instrText xml:space="preserve"> PAGEREF _Toc137649775 \h </w:instrText>
            </w:r>
            <w:r w:rsidR="001613F4">
              <w:rPr>
                <w:webHidden/>
              </w:rPr>
            </w:r>
            <w:r w:rsidR="001613F4">
              <w:rPr>
                <w:webHidden/>
              </w:rPr>
              <w:fldChar w:fldCharType="separate"/>
            </w:r>
            <w:r w:rsidR="001613F4">
              <w:rPr>
                <w:webHidden/>
              </w:rPr>
              <w:t>17</w:t>
            </w:r>
            <w:r w:rsidR="001613F4">
              <w:rPr>
                <w:webHidden/>
              </w:rPr>
              <w:fldChar w:fldCharType="end"/>
            </w:r>
          </w:hyperlink>
        </w:p>
        <w:p w14:paraId="0203F87F" w14:textId="78F4CC65" w:rsidR="001613F4" w:rsidRDefault="00530199">
          <w:pPr>
            <w:pStyle w:val="TOC2"/>
            <w:rPr>
              <w:rFonts w:asciiTheme="minorHAnsi" w:hAnsiTheme="minorHAnsi" w:cstheme="minorBidi"/>
            </w:rPr>
          </w:pPr>
          <w:hyperlink w:anchor="_Toc137649776" w:history="1">
            <w:r w:rsidR="001613F4" w:rsidRPr="00FE0196">
              <w:rPr>
                <w:rStyle w:val="Hyperlink"/>
              </w:rPr>
              <w:t>A. Aggregate Reserve</w:t>
            </w:r>
            <w:r w:rsidR="001613F4">
              <w:rPr>
                <w:webHidden/>
              </w:rPr>
              <w:tab/>
            </w:r>
            <w:r w:rsidR="001613F4">
              <w:rPr>
                <w:webHidden/>
              </w:rPr>
              <w:fldChar w:fldCharType="begin"/>
            </w:r>
            <w:r w:rsidR="001613F4">
              <w:rPr>
                <w:webHidden/>
              </w:rPr>
              <w:instrText xml:space="preserve"> PAGEREF _Toc137649776 \h </w:instrText>
            </w:r>
            <w:r w:rsidR="001613F4">
              <w:rPr>
                <w:webHidden/>
              </w:rPr>
            </w:r>
            <w:r w:rsidR="001613F4">
              <w:rPr>
                <w:webHidden/>
              </w:rPr>
              <w:fldChar w:fldCharType="separate"/>
            </w:r>
            <w:r w:rsidR="001613F4">
              <w:rPr>
                <w:webHidden/>
              </w:rPr>
              <w:t>17</w:t>
            </w:r>
            <w:r w:rsidR="001613F4">
              <w:rPr>
                <w:webHidden/>
              </w:rPr>
              <w:fldChar w:fldCharType="end"/>
            </w:r>
          </w:hyperlink>
        </w:p>
        <w:p w14:paraId="6D60BEB4" w14:textId="52C8B1FB" w:rsidR="001613F4" w:rsidRDefault="00530199">
          <w:pPr>
            <w:pStyle w:val="TOC2"/>
            <w:rPr>
              <w:rFonts w:asciiTheme="minorHAnsi" w:hAnsiTheme="minorHAnsi" w:cstheme="minorBidi"/>
            </w:rPr>
          </w:pPr>
          <w:hyperlink w:anchor="_Toc137649777" w:history="1">
            <w:r w:rsidR="001613F4" w:rsidRPr="00FE0196">
              <w:rPr>
                <w:rStyle w:val="Hyperlink"/>
              </w:rPr>
              <w:t>B. Impact of Reinsurance Ceded</w:t>
            </w:r>
            <w:r w:rsidR="001613F4">
              <w:rPr>
                <w:webHidden/>
              </w:rPr>
              <w:tab/>
            </w:r>
            <w:r w:rsidR="001613F4">
              <w:rPr>
                <w:webHidden/>
              </w:rPr>
              <w:fldChar w:fldCharType="begin"/>
            </w:r>
            <w:r w:rsidR="001613F4">
              <w:rPr>
                <w:webHidden/>
              </w:rPr>
              <w:instrText xml:space="preserve"> PAGEREF _Toc137649777 \h </w:instrText>
            </w:r>
            <w:r w:rsidR="001613F4">
              <w:rPr>
                <w:webHidden/>
              </w:rPr>
            </w:r>
            <w:r w:rsidR="001613F4">
              <w:rPr>
                <w:webHidden/>
              </w:rPr>
              <w:fldChar w:fldCharType="separate"/>
            </w:r>
            <w:r w:rsidR="001613F4">
              <w:rPr>
                <w:webHidden/>
              </w:rPr>
              <w:t>17</w:t>
            </w:r>
            <w:r w:rsidR="001613F4">
              <w:rPr>
                <w:webHidden/>
              </w:rPr>
              <w:fldChar w:fldCharType="end"/>
            </w:r>
          </w:hyperlink>
        </w:p>
        <w:p w14:paraId="338103CB" w14:textId="3D5DEEC5" w:rsidR="001613F4" w:rsidRDefault="00530199">
          <w:pPr>
            <w:pStyle w:val="TOC2"/>
            <w:rPr>
              <w:rFonts w:asciiTheme="minorHAnsi" w:hAnsiTheme="minorHAnsi" w:cstheme="minorBidi"/>
            </w:rPr>
          </w:pPr>
          <w:hyperlink w:anchor="_Toc137649778" w:history="1">
            <w:r w:rsidR="001613F4" w:rsidRPr="00FE0196">
              <w:rPr>
                <w:rStyle w:val="Hyperlink"/>
              </w:rPr>
              <w:t>C. The Additional Standard Projection Amount</w:t>
            </w:r>
            <w:r w:rsidR="001613F4">
              <w:rPr>
                <w:webHidden/>
              </w:rPr>
              <w:tab/>
            </w:r>
            <w:r w:rsidR="001613F4">
              <w:rPr>
                <w:webHidden/>
              </w:rPr>
              <w:fldChar w:fldCharType="begin"/>
            </w:r>
            <w:r w:rsidR="001613F4">
              <w:rPr>
                <w:webHidden/>
              </w:rPr>
              <w:instrText xml:space="preserve"> PAGEREF _Toc137649778 \h </w:instrText>
            </w:r>
            <w:r w:rsidR="001613F4">
              <w:rPr>
                <w:webHidden/>
              </w:rPr>
            </w:r>
            <w:r w:rsidR="001613F4">
              <w:rPr>
                <w:webHidden/>
              </w:rPr>
              <w:fldChar w:fldCharType="separate"/>
            </w:r>
            <w:r w:rsidR="001613F4">
              <w:rPr>
                <w:webHidden/>
              </w:rPr>
              <w:t>17</w:t>
            </w:r>
            <w:r w:rsidR="001613F4">
              <w:rPr>
                <w:webHidden/>
              </w:rPr>
              <w:fldChar w:fldCharType="end"/>
            </w:r>
          </w:hyperlink>
        </w:p>
        <w:p w14:paraId="777B4BA6" w14:textId="3D178853" w:rsidR="001613F4" w:rsidRDefault="00530199">
          <w:pPr>
            <w:pStyle w:val="TOC2"/>
            <w:rPr>
              <w:rFonts w:asciiTheme="minorHAnsi" w:hAnsiTheme="minorHAnsi" w:cstheme="minorBidi"/>
            </w:rPr>
          </w:pPr>
          <w:hyperlink w:anchor="_Toc137649779" w:history="1">
            <w:r w:rsidR="001613F4" w:rsidRPr="00FE0196">
              <w:rPr>
                <w:rStyle w:val="Hyperlink"/>
              </w:rPr>
              <w:t>D. The SR</w:t>
            </w:r>
            <w:r w:rsidR="001613F4">
              <w:rPr>
                <w:webHidden/>
              </w:rPr>
              <w:tab/>
            </w:r>
            <w:r w:rsidR="001613F4">
              <w:rPr>
                <w:webHidden/>
              </w:rPr>
              <w:fldChar w:fldCharType="begin"/>
            </w:r>
            <w:r w:rsidR="001613F4">
              <w:rPr>
                <w:webHidden/>
              </w:rPr>
              <w:instrText xml:space="preserve"> PAGEREF _Toc137649779 \h </w:instrText>
            </w:r>
            <w:r w:rsidR="001613F4">
              <w:rPr>
                <w:webHidden/>
              </w:rPr>
            </w:r>
            <w:r w:rsidR="001613F4">
              <w:rPr>
                <w:webHidden/>
              </w:rPr>
              <w:fldChar w:fldCharType="separate"/>
            </w:r>
            <w:r w:rsidR="001613F4">
              <w:rPr>
                <w:webHidden/>
              </w:rPr>
              <w:t>17</w:t>
            </w:r>
            <w:r w:rsidR="001613F4">
              <w:rPr>
                <w:webHidden/>
              </w:rPr>
              <w:fldChar w:fldCharType="end"/>
            </w:r>
          </w:hyperlink>
        </w:p>
        <w:p w14:paraId="50121564" w14:textId="668A82B2" w:rsidR="001613F4" w:rsidRDefault="00530199">
          <w:pPr>
            <w:pStyle w:val="TOC2"/>
            <w:rPr>
              <w:rFonts w:asciiTheme="minorHAnsi" w:hAnsiTheme="minorHAnsi" w:cstheme="minorBidi"/>
            </w:rPr>
          </w:pPr>
          <w:hyperlink w:anchor="_Toc137649780" w:history="1">
            <w:r w:rsidR="001613F4" w:rsidRPr="00FE0196">
              <w:rPr>
                <w:rStyle w:val="Hyperlink"/>
              </w:rPr>
              <w:t>E. The DR</w:t>
            </w:r>
            <w:r w:rsidR="001613F4">
              <w:rPr>
                <w:webHidden/>
              </w:rPr>
              <w:tab/>
            </w:r>
            <w:r w:rsidR="001613F4">
              <w:rPr>
                <w:webHidden/>
              </w:rPr>
              <w:fldChar w:fldCharType="begin"/>
            </w:r>
            <w:r w:rsidR="001613F4">
              <w:rPr>
                <w:webHidden/>
              </w:rPr>
              <w:instrText xml:space="preserve"> PAGEREF _Toc137649780 \h </w:instrText>
            </w:r>
            <w:r w:rsidR="001613F4">
              <w:rPr>
                <w:webHidden/>
              </w:rPr>
            </w:r>
            <w:r w:rsidR="001613F4">
              <w:rPr>
                <w:webHidden/>
              </w:rPr>
              <w:fldChar w:fldCharType="separate"/>
            </w:r>
            <w:r w:rsidR="001613F4">
              <w:rPr>
                <w:webHidden/>
              </w:rPr>
              <w:t>17</w:t>
            </w:r>
            <w:r w:rsidR="001613F4">
              <w:rPr>
                <w:webHidden/>
              </w:rPr>
              <w:fldChar w:fldCharType="end"/>
            </w:r>
          </w:hyperlink>
        </w:p>
        <w:p w14:paraId="60CB815B" w14:textId="4A2C64BB" w:rsidR="001613F4" w:rsidRDefault="00530199">
          <w:pPr>
            <w:pStyle w:val="TOC2"/>
            <w:rPr>
              <w:rFonts w:asciiTheme="minorHAnsi" w:hAnsiTheme="minorHAnsi" w:cstheme="minorBidi"/>
            </w:rPr>
          </w:pPr>
          <w:hyperlink w:anchor="_Toc137649781" w:history="1">
            <w:r w:rsidR="001613F4" w:rsidRPr="00FE0196">
              <w:rPr>
                <w:rStyle w:val="Hyperlink"/>
              </w:rPr>
              <w:t xml:space="preserve">F. Aggregation of Contracts for the DR and SR </w:t>
            </w:r>
            <w:r w:rsidR="001613F4">
              <w:rPr>
                <w:webHidden/>
              </w:rPr>
              <w:tab/>
            </w:r>
            <w:r w:rsidR="001613F4">
              <w:rPr>
                <w:webHidden/>
              </w:rPr>
              <w:fldChar w:fldCharType="begin"/>
            </w:r>
            <w:r w:rsidR="001613F4">
              <w:rPr>
                <w:webHidden/>
              </w:rPr>
              <w:instrText xml:space="preserve"> PAGEREF _Toc137649781 \h </w:instrText>
            </w:r>
            <w:r w:rsidR="001613F4">
              <w:rPr>
                <w:webHidden/>
              </w:rPr>
            </w:r>
            <w:r w:rsidR="001613F4">
              <w:rPr>
                <w:webHidden/>
              </w:rPr>
              <w:fldChar w:fldCharType="separate"/>
            </w:r>
            <w:r w:rsidR="001613F4">
              <w:rPr>
                <w:webHidden/>
              </w:rPr>
              <w:t>17</w:t>
            </w:r>
            <w:r w:rsidR="001613F4">
              <w:rPr>
                <w:webHidden/>
              </w:rPr>
              <w:fldChar w:fldCharType="end"/>
            </w:r>
          </w:hyperlink>
        </w:p>
        <w:p w14:paraId="7A2E6CB4" w14:textId="1E1AFC5D" w:rsidR="001613F4" w:rsidRDefault="00530199">
          <w:pPr>
            <w:pStyle w:val="TOC2"/>
            <w:rPr>
              <w:rFonts w:asciiTheme="minorHAnsi" w:hAnsiTheme="minorHAnsi" w:cstheme="minorBidi"/>
            </w:rPr>
          </w:pPr>
          <w:hyperlink w:anchor="_Toc137649782" w:history="1">
            <w:r w:rsidR="001613F4" w:rsidRPr="00FE0196">
              <w:rPr>
                <w:rStyle w:val="Hyperlink"/>
              </w:rPr>
              <w:t>G. Stochastic Exclusion Test</w:t>
            </w:r>
            <w:r w:rsidR="001613F4">
              <w:rPr>
                <w:webHidden/>
              </w:rPr>
              <w:tab/>
            </w:r>
            <w:r w:rsidR="001613F4">
              <w:rPr>
                <w:webHidden/>
              </w:rPr>
              <w:fldChar w:fldCharType="begin"/>
            </w:r>
            <w:r w:rsidR="001613F4">
              <w:rPr>
                <w:webHidden/>
              </w:rPr>
              <w:instrText xml:space="preserve"> PAGEREF _Toc137649782 \h </w:instrText>
            </w:r>
            <w:r w:rsidR="001613F4">
              <w:rPr>
                <w:webHidden/>
              </w:rPr>
            </w:r>
            <w:r w:rsidR="001613F4">
              <w:rPr>
                <w:webHidden/>
              </w:rPr>
              <w:fldChar w:fldCharType="separate"/>
            </w:r>
            <w:r w:rsidR="001613F4">
              <w:rPr>
                <w:webHidden/>
              </w:rPr>
              <w:t>19</w:t>
            </w:r>
            <w:r w:rsidR="001613F4">
              <w:rPr>
                <w:webHidden/>
              </w:rPr>
              <w:fldChar w:fldCharType="end"/>
            </w:r>
          </w:hyperlink>
        </w:p>
        <w:p w14:paraId="620D1DC4" w14:textId="6B0E65D9" w:rsidR="001613F4" w:rsidRDefault="00530199">
          <w:pPr>
            <w:pStyle w:val="TOC2"/>
            <w:rPr>
              <w:rFonts w:asciiTheme="minorHAnsi" w:hAnsiTheme="minorHAnsi" w:cstheme="minorBidi"/>
            </w:rPr>
          </w:pPr>
          <w:hyperlink w:anchor="_Toc137649783" w:history="1">
            <w:r w:rsidR="001613F4" w:rsidRPr="00FE0196">
              <w:rPr>
                <w:rStyle w:val="Hyperlink"/>
              </w:rPr>
              <w:t>H. Allocation of the Aggregate Reserve to Contracts</w:t>
            </w:r>
            <w:r w:rsidR="001613F4">
              <w:rPr>
                <w:webHidden/>
              </w:rPr>
              <w:tab/>
            </w:r>
            <w:r w:rsidR="001613F4">
              <w:rPr>
                <w:webHidden/>
              </w:rPr>
              <w:fldChar w:fldCharType="begin"/>
            </w:r>
            <w:r w:rsidR="001613F4">
              <w:rPr>
                <w:webHidden/>
              </w:rPr>
              <w:instrText xml:space="preserve"> PAGEREF _Toc137649783 \h </w:instrText>
            </w:r>
            <w:r w:rsidR="001613F4">
              <w:rPr>
                <w:webHidden/>
              </w:rPr>
            </w:r>
            <w:r w:rsidR="001613F4">
              <w:rPr>
                <w:webHidden/>
              </w:rPr>
              <w:fldChar w:fldCharType="separate"/>
            </w:r>
            <w:r w:rsidR="001613F4">
              <w:rPr>
                <w:webHidden/>
              </w:rPr>
              <w:t>19</w:t>
            </w:r>
            <w:r w:rsidR="001613F4">
              <w:rPr>
                <w:webHidden/>
              </w:rPr>
              <w:fldChar w:fldCharType="end"/>
            </w:r>
          </w:hyperlink>
        </w:p>
        <w:p w14:paraId="2C3BC318" w14:textId="36DF8157" w:rsidR="001613F4" w:rsidRDefault="00530199">
          <w:pPr>
            <w:pStyle w:val="TOC2"/>
            <w:rPr>
              <w:rFonts w:asciiTheme="minorHAnsi" w:hAnsiTheme="minorHAnsi" w:cstheme="minorBidi"/>
            </w:rPr>
          </w:pPr>
          <w:hyperlink w:anchor="_Toc137649784" w:history="1">
            <w:r w:rsidR="001613F4" w:rsidRPr="00FE0196">
              <w:rPr>
                <w:rStyle w:val="Hyperlink"/>
              </w:rPr>
              <w:t>I.</w:t>
            </w:r>
            <w:r w:rsidR="001613F4">
              <w:rPr>
                <w:rFonts w:asciiTheme="minorHAnsi" w:hAnsiTheme="minorHAnsi" w:cstheme="minorBidi"/>
              </w:rPr>
              <w:tab/>
            </w:r>
            <w:r w:rsidR="001613F4" w:rsidRPr="00FE0196">
              <w:rPr>
                <w:rStyle w:val="Hyperlink"/>
              </w:rPr>
              <w:t>Prudent Estimate Assumptions</w:t>
            </w:r>
            <w:r w:rsidR="001613F4">
              <w:rPr>
                <w:webHidden/>
              </w:rPr>
              <w:tab/>
            </w:r>
            <w:r w:rsidR="001613F4">
              <w:rPr>
                <w:webHidden/>
              </w:rPr>
              <w:fldChar w:fldCharType="begin"/>
            </w:r>
            <w:r w:rsidR="001613F4">
              <w:rPr>
                <w:webHidden/>
              </w:rPr>
              <w:instrText xml:space="preserve"> PAGEREF _Toc137649784 \h </w:instrText>
            </w:r>
            <w:r w:rsidR="001613F4">
              <w:rPr>
                <w:webHidden/>
              </w:rPr>
            </w:r>
            <w:r w:rsidR="001613F4">
              <w:rPr>
                <w:webHidden/>
              </w:rPr>
              <w:fldChar w:fldCharType="separate"/>
            </w:r>
            <w:r w:rsidR="001613F4">
              <w:rPr>
                <w:webHidden/>
              </w:rPr>
              <w:t>19</w:t>
            </w:r>
            <w:r w:rsidR="001613F4">
              <w:rPr>
                <w:webHidden/>
              </w:rPr>
              <w:fldChar w:fldCharType="end"/>
            </w:r>
          </w:hyperlink>
        </w:p>
        <w:p w14:paraId="0BB82FDC" w14:textId="6648BB6F" w:rsidR="001613F4" w:rsidRDefault="00530199">
          <w:pPr>
            <w:pStyle w:val="TOC2"/>
            <w:rPr>
              <w:rFonts w:asciiTheme="minorHAnsi" w:hAnsiTheme="minorHAnsi" w:cstheme="minorBidi"/>
            </w:rPr>
          </w:pPr>
          <w:hyperlink w:anchor="_Toc137649785" w:history="1">
            <w:r w:rsidR="001613F4" w:rsidRPr="00FE0196">
              <w:rPr>
                <w:rStyle w:val="Hyperlink"/>
              </w:rPr>
              <w:t>J.</w:t>
            </w:r>
            <w:r w:rsidR="001613F4">
              <w:rPr>
                <w:rFonts w:asciiTheme="minorHAnsi" w:hAnsiTheme="minorHAnsi" w:cstheme="minorBidi"/>
              </w:rPr>
              <w:tab/>
            </w:r>
            <w:r w:rsidR="001613F4" w:rsidRPr="00FE0196">
              <w:rPr>
                <w:rStyle w:val="Hyperlink"/>
              </w:rPr>
              <w:t>Approximations, Simplifications, and Modeling Efficiency Techniques</w:t>
            </w:r>
            <w:r w:rsidR="001613F4">
              <w:rPr>
                <w:webHidden/>
              </w:rPr>
              <w:tab/>
            </w:r>
            <w:r w:rsidR="001613F4">
              <w:rPr>
                <w:webHidden/>
              </w:rPr>
              <w:fldChar w:fldCharType="begin"/>
            </w:r>
            <w:r w:rsidR="001613F4">
              <w:rPr>
                <w:webHidden/>
              </w:rPr>
              <w:instrText xml:space="preserve"> PAGEREF _Toc137649785 \h </w:instrText>
            </w:r>
            <w:r w:rsidR="001613F4">
              <w:rPr>
                <w:webHidden/>
              </w:rPr>
            </w:r>
            <w:r w:rsidR="001613F4">
              <w:rPr>
                <w:webHidden/>
              </w:rPr>
              <w:fldChar w:fldCharType="separate"/>
            </w:r>
            <w:r w:rsidR="001613F4">
              <w:rPr>
                <w:webHidden/>
              </w:rPr>
              <w:t>19</w:t>
            </w:r>
            <w:r w:rsidR="001613F4">
              <w:rPr>
                <w:webHidden/>
              </w:rPr>
              <w:fldChar w:fldCharType="end"/>
            </w:r>
          </w:hyperlink>
        </w:p>
        <w:p w14:paraId="3410D0FB" w14:textId="5B489F07" w:rsidR="001613F4" w:rsidRDefault="00530199" w:rsidP="001613F4">
          <w:pPr>
            <w:pStyle w:val="TOC1"/>
            <w:rPr>
              <w:rFonts w:asciiTheme="minorHAnsi" w:hAnsiTheme="minorHAnsi" w:cstheme="minorBidi"/>
            </w:rPr>
          </w:pPr>
          <w:hyperlink w:anchor="_Toc137649786" w:history="1">
            <w:r w:rsidR="001613F4" w:rsidRPr="00FE0196">
              <w:rPr>
                <w:rStyle w:val="Hyperlink"/>
              </w:rPr>
              <w:t xml:space="preserve">Section 4: Determination of SR </w:t>
            </w:r>
            <w:r w:rsidR="001613F4">
              <w:rPr>
                <w:webHidden/>
              </w:rPr>
              <w:tab/>
            </w:r>
            <w:r w:rsidR="001613F4">
              <w:rPr>
                <w:webHidden/>
              </w:rPr>
              <w:fldChar w:fldCharType="begin"/>
            </w:r>
            <w:r w:rsidR="001613F4">
              <w:rPr>
                <w:webHidden/>
              </w:rPr>
              <w:instrText xml:space="preserve"> PAGEREF _Toc137649786 \h </w:instrText>
            </w:r>
            <w:r w:rsidR="001613F4">
              <w:rPr>
                <w:webHidden/>
              </w:rPr>
            </w:r>
            <w:r w:rsidR="001613F4">
              <w:rPr>
                <w:webHidden/>
              </w:rPr>
              <w:fldChar w:fldCharType="separate"/>
            </w:r>
            <w:r w:rsidR="001613F4">
              <w:rPr>
                <w:webHidden/>
              </w:rPr>
              <w:t>21</w:t>
            </w:r>
            <w:r w:rsidR="001613F4">
              <w:rPr>
                <w:webHidden/>
              </w:rPr>
              <w:fldChar w:fldCharType="end"/>
            </w:r>
          </w:hyperlink>
        </w:p>
        <w:p w14:paraId="042E00A8" w14:textId="5CD1A118" w:rsidR="001613F4" w:rsidRDefault="00530199">
          <w:pPr>
            <w:pStyle w:val="TOC2"/>
            <w:rPr>
              <w:rFonts w:asciiTheme="minorHAnsi" w:hAnsiTheme="minorHAnsi" w:cstheme="minorBidi"/>
            </w:rPr>
          </w:pPr>
          <w:hyperlink w:anchor="_Toc137649787" w:history="1">
            <w:r w:rsidR="001613F4" w:rsidRPr="00FE0196">
              <w:rPr>
                <w:rStyle w:val="Hyperlink"/>
              </w:rPr>
              <w:t>A.</w:t>
            </w:r>
            <w:r w:rsidR="001613F4">
              <w:rPr>
                <w:rFonts w:asciiTheme="minorHAnsi" w:hAnsiTheme="minorHAnsi" w:cstheme="minorBidi"/>
              </w:rPr>
              <w:tab/>
            </w:r>
            <w:r w:rsidR="001613F4" w:rsidRPr="00FE0196">
              <w:rPr>
                <w:rStyle w:val="Hyperlink"/>
              </w:rPr>
              <w:t>Projection of Accumulated Deficiencies</w:t>
            </w:r>
            <w:r w:rsidR="001613F4">
              <w:rPr>
                <w:webHidden/>
              </w:rPr>
              <w:tab/>
            </w:r>
            <w:r w:rsidR="001613F4">
              <w:rPr>
                <w:webHidden/>
              </w:rPr>
              <w:fldChar w:fldCharType="begin"/>
            </w:r>
            <w:r w:rsidR="001613F4">
              <w:rPr>
                <w:webHidden/>
              </w:rPr>
              <w:instrText xml:space="preserve"> PAGEREF _Toc137649787 \h </w:instrText>
            </w:r>
            <w:r w:rsidR="001613F4">
              <w:rPr>
                <w:webHidden/>
              </w:rPr>
            </w:r>
            <w:r w:rsidR="001613F4">
              <w:rPr>
                <w:webHidden/>
              </w:rPr>
              <w:fldChar w:fldCharType="separate"/>
            </w:r>
            <w:r w:rsidR="001613F4">
              <w:rPr>
                <w:webHidden/>
              </w:rPr>
              <w:t>21</w:t>
            </w:r>
            <w:r w:rsidR="001613F4">
              <w:rPr>
                <w:webHidden/>
              </w:rPr>
              <w:fldChar w:fldCharType="end"/>
            </w:r>
          </w:hyperlink>
        </w:p>
        <w:p w14:paraId="73DBEDD7" w14:textId="64ECAE2F" w:rsidR="001613F4" w:rsidRDefault="00530199">
          <w:pPr>
            <w:pStyle w:val="TOC2"/>
            <w:rPr>
              <w:rFonts w:asciiTheme="minorHAnsi" w:hAnsiTheme="minorHAnsi" w:cstheme="minorBidi"/>
            </w:rPr>
          </w:pPr>
          <w:hyperlink w:anchor="_Toc137649788" w:history="1">
            <w:r w:rsidR="001613F4" w:rsidRPr="00FE0196">
              <w:rPr>
                <w:rStyle w:val="Hyperlink"/>
              </w:rPr>
              <w:t>B.</w:t>
            </w:r>
            <w:r w:rsidR="001613F4">
              <w:rPr>
                <w:rFonts w:asciiTheme="minorHAnsi" w:hAnsiTheme="minorHAnsi" w:cstheme="minorBidi"/>
              </w:rPr>
              <w:tab/>
            </w:r>
            <w:r w:rsidR="001613F4" w:rsidRPr="00FE0196">
              <w:rPr>
                <w:rStyle w:val="Hyperlink"/>
              </w:rPr>
              <w:t>Determination of Scenario Reserve</w:t>
            </w:r>
            <w:r w:rsidR="001613F4">
              <w:rPr>
                <w:webHidden/>
              </w:rPr>
              <w:tab/>
            </w:r>
            <w:r w:rsidR="001613F4">
              <w:rPr>
                <w:webHidden/>
              </w:rPr>
              <w:fldChar w:fldCharType="begin"/>
            </w:r>
            <w:r w:rsidR="001613F4">
              <w:rPr>
                <w:webHidden/>
              </w:rPr>
              <w:instrText xml:space="preserve"> PAGEREF _Toc137649788 \h </w:instrText>
            </w:r>
            <w:r w:rsidR="001613F4">
              <w:rPr>
                <w:webHidden/>
              </w:rPr>
            </w:r>
            <w:r w:rsidR="001613F4">
              <w:rPr>
                <w:webHidden/>
              </w:rPr>
              <w:fldChar w:fldCharType="separate"/>
            </w:r>
            <w:r w:rsidR="001613F4">
              <w:rPr>
                <w:webHidden/>
              </w:rPr>
              <w:t>25</w:t>
            </w:r>
            <w:r w:rsidR="001613F4">
              <w:rPr>
                <w:webHidden/>
              </w:rPr>
              <w:fldChar w:fldCharType="end"/>
            </w:r>
          </w:hyperlink>
        </w:p>
        <w:p w14:paraId="574055E1" w14:textId="657671F9" w:rsidR="001613F4" w:rsidRDefault="00530199">
          <w:pPr>
            <w:pStyle w:val="TOC2"/>
            <w:rPr>
              <w:rFonts w:asciiTheme="minorHAnsi" w:hAnsiTheme="minorHAnsi" w:cstheme="minorBidi"/>
            </w:rPr>
          </w:pPr>
          <w:hyperlink w:anchor="_Toc137649789" w:history="1">
            <w:r w:rsidR="001613F4" w:rsidRPr="00FE0196">
              <w:rPr>
                <w:rStyle w:val="Hyperlink"/>
              </w:rPr>
              <w:t>C.</w:t>
            </w:r>
            <w:r w:rsidR="001613F4">
              <w:rPr>
                <w:rFonts w:asciiTheme="minorHAnsi" w:hAnsiTheme="minorHAnsi" w:cstheme="minorBidi"/>
              </w:rPr>
              <w:tab/>
            </w:r>
            <w:r w:rsidR="001613F4" w:rsidRPr="00FE0196">
              <w:rPr>
                <w:rStyle w:val="Hyperlink"/>
              </w:rPr>
              <w:t>Projection Scenarios</w:t>
            </w:r>
            <w:r w:rsidR="001613F4">
              <w:rPr>
                <w:webHidden/>
              </w:rPr>
              <w:tab/>
            </w:r>
            <w:r w:rsidR="001613F4">
              <w:rPr>
                <w:webHidden/>
              </w:rPr>
              <w:fldChar w:fldCharType="begin"/>
            </w:r>
            <w:r w:rsidR="001613F4">
              <w:rPr>
                <w:webHidden/>
              </w:rPr>
              <w:instrText xml:space="preserve"> PAGEREF _Toc137649789 \h </w:instrText>
            </w:r>
            <w:r w:rsidR="001613F4">
              <w:rPr>
                <w:webHidden/>
              </w:rPr>
            </w:r>
            <w:r w:rsidR="001613F4">
              <w:rPr>
                <w:webHidden/>
              </w:rPr>
              <w:fldChar w:fldCharType="separate"/>
            </w:r>
            <w:r w:rsidR="001613F4">
              <w:rPr>
                <w:webHidden/>
              </w:rPr>
              <w:t>26</w:t>
            </w:r>
            <w:r w:rsidR="001613F4">
              <w:rPr>
                <w:webHidden/>
              </w:rPr>
              <w:fldChar w:fldCharType="end"/>
            </w:r>
          </w:hyperlink>
        </w:p>
        <w:p w14:paraId="5A2B6D7B" w14:textId="64F36538" w:rsidR="001613F4" w:rsidRDefault="00530199">
          <w:pPr>
            <w:pStyle w:val="TOC2"/>
            <w:rPr>
              <w:rFonts w:asciiTheme="minorHAnsi" w:hAnsiTheme="minorHAnsi" w:cstheme="minorBidi"/>
            </w:rPr>
          </w:pPr>
          <w:hyperlink w:anchor="_Toc137649790" w:history="1">
            <w:r w:rsidR="001613F4" w:rsidRPr="00FE0196">
              <w:rPr>
                <w:rStyle w:val="Hyperlink"/>
              </w:rPr>
              <w:t>D.</w:t>
            </w:r>
            <w:r w:rsidR="001613F4">
              <w:rPr>
                <w:rFonts w:asciiTheme="minorHAnsi" w:hAnsiTheme="minorHAnsi" w:cstheme="minorBidi"/>
              </w:rPr>
              <w:tab/>
            </w:r>
            <w:r w:rsidR="001613F4" w:rsidRPr="00FE0196">
              <w:rPr>
                <w:rStyle w:val="Hyperlink"/>
              </w:rPr>
              <w:t>Projection of Assets</w:t>
            </w:r>
            <w:r w:rsidR="001613F4">
              <w:rPr>
                <w:webHidden/>
              </w:rPr>
              <w:tab/>
            </w:r>
            <w:r w:rsidR="001613F4">
              <w:rPr>
                <w:webHidden/>
              </w:rPr>
              <w:fldChar w:fldCharType="begin"/>
            </w:r>
            <w:r w:rsidR="001613F4">
              <w:rPr>
                <w:webHidden/>
              </w:rPr>
              <w:instrText xml:space="preserve"> PAGEREF _Toc137649790 \h </w:instrText>
            </w:r>
            <w:r w:rsidR="001613F4">
              <w:rPr>
                <w:webHidden/>
              </w:rPr>
            </w:r>
            <w:r w:rsidR="001613F4">
              <w:rPr>
                <w:webHidden/>
              </w:rPr>
              <w:fldChar w:fldCharType="separate"/>
            </w:r>
            <w:r w:rsidR="001613F4">
              <w:rPr>
                <w:webHidden/>
              </w:rPr>
              <w:t>27</w:t>
            </w:r>
            <w:r w:rsidR="001613F4">
              <w:rPr>
                <w:webHidden/>
              </w:rPr>
              <w:fldChar w:fldCharType="end"/>
            </w:r>
          </w:hyperlink>
        </w:p>
        <w:p w14:paraId="4F13F23B" w14:textId="6744A6AF" w:rsidR="001613F4" w:rsidRDefault="00530199">
          <w:pPr>
            <w:pStyle w:val="TOC2"/>
            <w:rPr>
              <w:rFonts w:asciiTheme="minorHAnsi" w:hAnsiTheme="minorHAnsi" w:cstheme="minorBidi"/>
            </w:rPr>
          </w:pPr>
          <w:hyperlink w:anchor="_Toc137649791" w:history="1">
            <w:r w:rsidR="001613F4" w:rsidRPr="00FE0196">
              <w:rPr>
                <w:rStyle w:val="Hyperlink"/>
              </w:rPr>
              <w:t>E.</w:t>
            </w:r>
            <w:r w:rsidR="001613F4">
              <w:rPr>
                <w:rFonts w:asciiTheme="minorHAnsi" w:hAnsiTheme="minorHAnsi" w:cstheme="minorBidi"/>
              </w:rPr>
              <w:tab/>
            </w:r>
            <w:r w:rsidR="001613F4" w:rsidRPr="00FE0196">
              <w:rPr>
                <w:rStyle w:val="Hyperlink"/>
                <w:rFonts w:eastAsiaTheme="minorHAnsi"/>
              </w:rPr>
              <w:t>Projection of Annuitization Benefits</w:t>
            </w:r>
            <w:r w:rsidR="001613F4">
              <w:rPr>
                <w:webHidden/>
              </w:rPr>
              <w:tab/>
            </w:r>
            <w:r w:rsidR="001613F4">
              <w:rPr>
                <w:webHidden/>
              </w:rPr>
              <w:fldChar w:fldCharType="begin"/>
            </w:r>
            <w:r w:rsidR="001613F4">
              <w:rPr>
                <w:webHidden/>
              </w:rPr>
              <w:instrText xml:space="preserve"> PAGEREF _Toc137649791 \h </w:instrText>
            </w:r>
            <w:r w:rsidR="001613F4">
              <w:rPr>
                <w:webHidden/>
              </w:rPr>
            </w:r>
            <w:r w:rsidR="001613F4">
              <w:rPr>
                <w:webHidden/>
              </w:rPr>
              <w:fldChar w:fldCharType="separate"/>
            </w:r>
            <w:r w:rsidR="001613F4">
              <w:rPr>
                <w:webHidden/>
              </w:rPr>
              <w:t>30</w:t>
            </w:r>
            <w:r w:rsidR="001613F4">
              <w:rPr>
                <w:webHidden/>
              </w:rPr>
              <w:fldChar w:fldCharType="end"/>
            </w:r>
          </w:hyperlink>
        </w:p>
        <w:p w14:paraId="4B40A683" w14:textId="5BE381F4" w:rsidR="001613F4" w:rsidRDefault="00530199">
          <w:pPr>
            <w:pStyle w:val="TOC2"/>
            <w:rPr>
              <w:rFonts w:asciiTheme="minorHAnsi" w:hAnsiTheme="minorHAnsi" w:cstheme="minorBidi"/>
            </w:rPr>
          </w:pPr>
          <w:hyperlink w:anchor="_Toc137649792" w:history="1">
            <w:r w:rsidR="001613F4" w:rsidRPr="00FE0196">
              <w:rPr>
                <w:rStyle w:val="Hyperlink"/>
              </w:rPr>
              <w:t>F.</w:t>
            </w:r>
            <w:r w:rsidR="001613F4">
              <w:rPr>
                <w:rFonts w:asciiTheme="minorHAnsi" w:hAnsiTheme="minorHAnsi" w:cstheme="minorBidi"/>
              </w:rPr>
              <w:tab/>
            </w:r>
            <w:r w:rsidR="001613F4" w:rsidRPr="00FE0196">
              <w:rPr>
                <w:rStyle w:val="Hyperlink"/>
              </w:rPr>
              <w:t>Frequency of Projection</w:t>
            </w:r>
            <w:r w:rsidR="001613F4">
              <w:rPr>
                <w:webHidden/>
              </w:rPr>
              <w:tab/>
            </w:r>
            <w:r w:rsidR="001613F4">
              <w:rPr>
                <w:webHidden/>
              </w:rPr>
              <w:fldChar w:fldCharType="begin"/>
            </w:r>
            <w:r w:rsidR="001613F4">
              <w:rPr>
                <w:webHidden/>
              </w:rPr>
              <w:instrText xml:space="preserve"> PAGEREF _Toc137649792 \h </w:instrText>
            </w:r>
            <w:r w:rsidR="001613F4">
              <w:rPr>
                <w:webHidden/>
              </w:rPr>
            </w:r>
            <w:r w:rsidR="001613F4">
              <w:rPr>
                <w:webHidden/>
              </w:rPr>
              <w:fldChar w:fldCharType="separate"/>
            </w:r>
            <w:r w:rsidR="001613F4">
              <w:rPr>
                <w:webHidden/>
              </w:rPr>
              <w:t>30</w:t>
            </w:r>
            <w:r w:rsidR="001613F4">
              <w:rPr>
                <w:webHidden/>
              </w:rPr>
              <w:fldChar w:fldCharType="end"/>
            </w:r>
          </w:hyperlink>
        </w:p>
        <w:p w14:paraId="0A40CAB5" w14:textId="5A75BD6D" w:rsidR="001613F4" w:rsidRDefault="00530199">
          <w:pPr>
            <w:pStyle w:val="TOC2"/>
            <w:rPr>
              <w:rFonts w:asciiTheme="minorHAnsi" w:hAnsiTheme="minorHAnsi" w:cstheme="minorBidi"/>
            </w:rPr>
          </w:pPr>
          <w:hyperlink w:anchor="_Toc137649793" w:history="1">
            <w:r w:rsidR="001613F4" w:rsidRPr="00FE0196">
              <w:rPr>
                <w:rStyle w:val="Hyperlink"/>
              </w:rPr>
              <w:t>G.</w:t>
            </w:r>
            <w:r w:rsidR="001613F4">
              <w:rPr>
                <w:rFonts w:asciiTheme="minorHAnsi" w:hAnsiTheme="minorHAnsi" w:cstheme="minorBidi"/>
              </w:rPr>
              <w:tab/>
            </w:r>
            <w:r w:rsidR="001613F4" w:rsidRPr="00FE0196">
              <w:rPr>
                <w:rStyle w:val="Hyperlink"/>
              </w:rPr>
              <w:t>Compliance with ASOPs</w:t>
            </w:r>
            <w:r w:rsidR="001613F4">
              <w:rPr>
                <w:webHidden/>
              </w:rPr>
              <w:tab/>
            </w:r>
            <w:r w:rsidR="001613F4">
              <w:rPr>
                <w:webHidden/>
              </w:rPr>
              <w:fldChar w:fldCharType="begin"/>
            </w:r>
            <w:r w:rsidR="001613F4">
              <w:rPr>
                <w:webHidden/>
              </w:rPr>
              <w:instrText xml:space="preserve"> PAGEREF _Toc137649793 \h </w:instrText>
            </w:r>
            <w:r w:rsidR="001613F4">
              <w:rPr>
                <w:webHidden/>
              </w:rPr>
            </w:r>
            <w:r w:rsidR="001613F4">
              <w:rPr>
                <w:webHidden/>
              </w:rPr>
              <w:fldChar w:fldCharType="separate"/>
            </w:r>
            <w:r w:rsidR="001613F4">
              <w:rPr>
                <w:webHidden/>
              </w:rPr>
              <w:t>30</w:t>
            </w:r>
            <w:r w:rsidR="001613F4">
              <w:rPr>
                <w:webHidden/>
              </w:rPr>
              <w:fldChar w:fldCharType="end"/>
            </w:r>
          </w:hyperlink>
        </w:p>
        <w:p w14:paraId="72AD306E" w14:textId="6274B105" w:rsidR="001613F4" w:rsidRDefault="00530199" w:rsidP="001613F4">
          <w:pPr>
            <w:pStyle w:val="TOC1"/>
            <w:rPr>
              <w:rFonts w:asciiTheme="minorHAnsi" w:hAnsiTheme="minorHAnsi" w:cstheme="minorBidi"/>
            </w:rPr>
          </w:pPr>
          <w:hyperlink w:anchor="_Toc137649794" w:history="1">
            <w:r w:rsidR="001613F4" w:rsidRPr="00FE0196">
              <w:rPr>
                <w:rStyle w:val="Hyperlink"/>
              </w:rPr>
              <w:t>Section 5: Reinsurance</w:t>
            </w:r>
            <w:r w:rsidR="001613F4">
              <w:rPr>
                <w:webHidden/>
              </w:rPr>
              <w:tab/>
            </w:r>
            <w:r w:rsidR="001613F4">
              <w:rPr>
                <w:webHidden/>
              </w:rPr>
              <w:fldChar w:fldCharType="begin"/>
            </w:r>
            <w:r w:rsidR="001613F4">
              <w:rPr>
                <w:webHidden/>
              </w:rPr>
              <w:instrText xml:space="preserve"> PAGEREF _Toc137649794 \h </w:instrText>
            </w:r>
            <w:r w:rsidR="001613F4">
              <w:rPr>
                <w:webHidden/>
              </w:rPr>
            </w:r>
            <w:r w:rsidR="001613F4">
              <w:rPr>
                <w:webHidden/>
              </w:rPr>
              <w:fldChar w:fldCharType="separate"/>
            </w:r>
            <w:r w:rsidR="001613F4">
              <w:rPr>
                <w:webHidden/>
              </w:rPr>
              <w:t>32</w:t>
            </w:r>
            <w:r w:rsidR="001613F4">
              <w:rPr>
                <w:webHidden/>
              </w:rPr>
              <w:fldChar w:fldCharType="end"/>
            </w:r>
          </w:hyperlink>
        </w:p>
        <w:p w14:paraId="7927F261" w14:textId="77D56BB7" w:rsidR="001613F4" w:rsidRDefault="00530199">
          <w:pPr>
            <w:pStyle w:val="TOC2"/>
            <w:rPr>
              <w:rFonts w:asciiTheme="minorHAnsi" w:hAnsiTheme="minorHAnsi" w:cstheme="minorBidi"/>
            </w:rPr>
          </w:pPr>
          <w:hyperlink w:anchor="_Toc137649795" w:history="1">
            <w:r w:rsidR="001613F4" w:rsidRPr="00FE0196">
              <w:rPr>
                <w:rStyle w:val="Hyperlink"/>
              </w:rPr>
              <w:t>A. Treatment of Reinsurance in the Aggregate Reserve</w:t>
            </w:r>
            <w:r w:rsidR="001613F4">
              <w:rPr>
                <w:webHidden/>
              </w:rPr>
              <w:tab/>
            </w:r>
            <w:r w:rsidR="001613F4">
              <w:rPr>
                <w:webHidden/>
              </w:rPr>
              <w:fldChar w:fldCharType="begin"/>
            </w:r>
            <w:r w:rsidR="001613F4">
              <w:rPr>
                <w:webHidden/>
              </w:rPr>
              <w:instrText xml:space="preserve"> PAGEREF _Toc137649795 \h </w:instrText>
            </w:r>
            <w:r w:rsidR="001613F4">
              <w:rPr>
                <w:webHidden/>
              </w:rPr>
            </w:r>
            <w:r w:rsidR="001613F4">
              <w:rPr>
                <w:webHidden/>
              </w:rPr>
              <w:fldChar w:fldCharType="separate"/>
            </w:r>
            <w:r w:rsidR="001613F4">
              <w:rPr>
                <w:webHidden/>
              </w:rPr>
              <w:t>32</w:t>
            </w:r>
            <w:r w:rsidR="001613F4">
              <w:rPr>
                <w:webHidden/>
              </w:rPr>
              <w:fldChar w:fldCharType="end"/>
            </w:r>
          </w:hyperlink>
        </w:p>
        <w:p w14:paraId="0C8A6E59" w14:textId="7BBAB4AC" w:rsidR="001613F4" w:rsidRDefault="00530199" w:rsidP="001613F4">
          <w:pPr>
            <w:pStyle w:val="TOC1"/>
            <w:rPr>
              <w:rFonts w:asciiTheme="minorHAnsi" w:hAnsiTheme="minorHAnsi" w:cstheme="minorBidi"/>
            </w:rPr>
          </w:pPr>
          <w:hyperlink w:anchor="_Toc137649796" w:history="1">
            <w:r w:rsidR="001613F4" w:rsidRPr="00FE0196">
              <w:rPr>
                <w:rStyle w:val="Hyperlink"/>
              </w:rPr>
              <w:t>Section 6: Standard Projection Amount</w:t>
            </w:r>
            <w:r w:rsidR="001613F4">
              <w:rPr>
                <w:webHidden/>
              </w:rPr>
              <w:tab/>
            </w:r>
            <w:r w:rsidR="001613F4">
              <w:rPr>
                <w:webHidden/>
              </w:rPr>
              <w:fldChar w:fldCharType="begin"/>
            </w:r>
            <w:r w:rsidR="001613F4">
              <w:rPr>
                <w:webHidden/>
              </w:rPr>
              <w:instrText xml:space="preserve"> PAGEREF _Toc137649796 \h </w:instrText>
            </w:r>
            <w:r w:rsidR="001613F4">
              <w:rPr>
                <w:webHidden/>
              </w:rPr>
            </w:r>
            <w:r w:rsidR="001613F4">
              <w:rPr>
                <w:webHidden/>
              </w:rPr>
              <w:fldChar w:fldCharType="separate"/>
            </w:r>
            <w:r w:rsidR="001613F4">
              <w:rPr>
                <w:webHidden/>
              </w:rPr>
              <w:t>35</w:t>
            </w:r>
            <w:r w:rsidR="001613F4">
              <w:rPr>
                <w:webHidden/>
              </w:rPr>
              <w:fldChar w:fldCharType="end"/>
            </w:r>
          </w:hyperlink>
        </w:p>
        <w:p w14:paraId="35B81098" w14:textId="7EFD6AA9" w:rsidR="001613F4" w:rsidRDefault="00530199" w:rsidP="001613F4">
          <w:pPr>
            <w:pStyle w:val="TOC1"/>
            <w:rPr>
              <w:rFonts w:asciiTheme="minorHAnsi" w:hAnsiTheme="minorHAnsi" w:cstheme="minorBidi"/>
            </w:rPr>
          </w:pPr>
          <w:hyperlink w:anchor="_Toc137649797" w:history="1">
            <w:r w:rsidR="001613F4" w:rsidRPr="00FE0196">
              <w:rPr>
                <w:rStyle w:val="Hyperlink"/>
              </w:rPr>
              <w:t>Section 7: Exclusion Testing</w:t>
            </w:r>
            <w:r w:rsidR="001613F4">
              <w:rPr>
                <w:webHidden/>
              </w:rPr>
              <w:tab/>
            </w:r>
            <w:r w:rsidR="001613F4">
              <w:rPr>
                <w:webHidden/>
              </w:rPr>
              <w:fldChar w:fldCharType="begin"/>
            </w:r>
            <w:r w:rsidR="001613F4">
              <w:rPr>
                <w:webHidden/>
              </w:rPr>
              <w:instrText xml:space="preserve"> PAGEREF _Toc137649797 \h </w:instrText>
            </w:r>
            <w:r w:rsidR="001613F4">
              <w:rPr>
                <w:webHidden/>
              </w:rPr>
            </w:r>
            <w:r w:rsidR="001613F4">
              <w:rPr>
                <w:webHidden/>
              </w:rPr>
              <w:fldChar w:fldCharType="separate"/>
            </w:r>
            <w:r w:rsidR="001613F4">
              <w:rPr>
                <w:webHidden/>
              </w:rPr>
              <w:t>36</w:t>
            </w:r>
            <w:r w:rsidR="001613F4">
              <w:rPr>
                <w:webHidden/>
              </w:rPr>
              <w:fldChar w:fldCharType="end"/>
            </w:r>
          </w:hyperlink>
        </w:p>
        <w:p w14:paraId="71615CE6" w14:textId="48DA07FE" w:rsidR="001613F4" w:rsidRDefault="00530199">
          <w:pPr>
            <w:pStyle w:val="TOC2"/>
            <w:rPr>
              <w:rFonts w:asciiTheme="minorHAnsi" w:hAnsiTheme="minorHAnsi" w:cstheme="minorBidi"/>
            </w:rPr>
          </w:pPr>
          <w:hyperlink w:anchor="_Toc137649798" w:history="1">
            <w:r w:rsidR="001613F4" w:rsidRPr="00FE0196">
              <w:rPr>
                <w:rStyle w:val="Hyperlink"/>
              </w:rPr>
              <w:t>A.</w:t>
            </w:r>
            <w:r w:rsidR="001613F4">
              <w:rPr>
                <w:rFonts w:asciiTheme="minorHAnsi" w:hAnsiTheme="minorHAnsi" w:cstheme="minorBidi"/>
              </w:rPr>
              <w:tab/>
            </w:r>
            <w:r w:rsidR="001613F4" w:rsidRPr="00FE0196">
              <w:rPr>
                <w:rStyle w:val="Hyperlink"/>
              </w:rPr>
              <w:t>Stochastic Exclusion Test Requirement Overview</w:t>
            </w:r>
            <w:r w:rsidR="001613F4">
              <w:rPr>
                <w:webHidden/>
              </w:rPr>
              <w:tab/>
            </w:r>
            <w:r w:rsidR="001613F4">
              <w:rPr>
                <w:webHidden/>
              </w:rPr>
              <w:fldChar w:fldCharType="begin"/>
            </w:r>
            <w:r w:rsidR="001613F4">
              <w:rPr>
                <w:webHidden/>
              </w:rPr>
              <w:instrText xml:space="preserve"> PAGEREF _Toc137649798 \h </w:instrText>
            </w:r>
            <w:r w:rsidR="001613F4">
              <w:rPr>
                <w:webHidden/>
              </w:rPr>
            </w:r>
            <w:r w:rsidR="001613F4">
              <w:rPr>
                <w:webHidden/>
              </w:rPr>
              <w:fldChar w:fldCharType="separate"/>
            </w:r>
            <w:r w:rsidR="001613F4">
              <w:rPr>
                <w:webHidden/>
              </w:rPr>
              <w:t>36</w:t>
            </w:r>
            <w:r w:rsidR="001613F4">
              <w:rPr>
                <w:webHidden/>
              </w:rPr>
              <w:fldChar w:fldCharType="end"/>
            </w:r>
          </w:hyperlink>
        </w:p>
        <w:p w14:paraId="3F35E0E9" w14:textId="39393199" w:rsidR="001613F4" w:rsidRDefault="00530199">
          <w:pPr>
            <w:pStyle w:val="TOC2"/>
            <w:rPr>
              <w:rFonts w:asciiTheme="minorHAnsi" w:hAnsiTheme="minorHAnsi" w:cstheme="minorBidi"/>
            </w:rPr>
          </w:pPr>
          <w:hyperlink w:anchor="_Toc137649799" w:history="1">
            <w:r w:rsidR="001613F4" w:rsidRPr="00FE0196">
              <w:rPr>
                <w:rStyle w:val="Hyperlink"/>
              </w:rPr>
              <w:t>B.</w:t>
            </w:r>
            <w:r w:rsidR="001613F4">
              <w:rPr>
                <w:rFonts w:asciiTheme="minorHAnsi" w:hAnsiTheme="minorHAnsi" w:cstheme="minorBidi"/>
              </w:rPr>
              <w:tab/>
            </w:r>
            <w:r w:rsidR="001613F4" w:rsidRPr="00FE0196">
              <w:rPr>
                <w:rStyle w:val="Hyperlink"/>
              </w:rPr>
              <w:t>Requirement to Pass the Stochastic Exclusion Tests</w:t>
            </w:r>
            <w:r w:rsidR="001613F4">
              <w:rPr>
                <w:webHidden/>
              </w:rPr>
              <w:tab/>
            </w:r>
            <w:r w:rsidR="001613F4">
              <w:rPr>
                <w:webHidden/>
              </w:rPr>
              <w:fldChar w:fldCharType="begin"/>
            </w:r>
            <w:r w:rsidR="001613F4">
              <w:rPr>
                <w:webHidden/>
              </w:rPr>
              <w:instrText xml:space="preserve"> PAGEREF _Toc137649799 \h </w:instrText>
            </w:r>
            <w:r w:rsidR="001613F4">
              <w:rPr>
                <w:webHidden/>
              </w:rPr>
            </w:r>
            <w:r w:rsidR="001613F4">
              <w:rPr>
                <w:webHidden/>
              </w:rPr>
              <w:fldChar w:fldCharType="separate"/>
            </w:r>
            <w:r w:rsidR="001613F4">
              <w:rPr>
                <w:webHidden/>
              </w:rPr>
              <w:t>37</w:t>
            </w:r>
            <w:r w:rsidR="001613F4">
              <w:rPr>
                <w:webHidden/>
              </w:rPr>
              <w:fldChar w:fldCharType="end"/>
            </w:r>
          </w:hyperlink>
        </w:p>
        <w:p w14:paraId="11022024" w14:textId="2BF62001" w:rsidR="001613F4" w:rsidRDefault="00530199">
          <w:pPr>
            <w:pStyle w:val="TOC2"/>
            <w:rPr>
              <w:rFonts w:asciiTheme="minorHAnsi" w:hAnsiTheme="minorHAnsi" w:cstheme="minorBidi"/>
            </w:rPr>
          </w:pPr>
          <w:hyperlink w:anchor="_Toc137649800" w:history="1">
            <w:r w:rsidR="001613F4" w:rsidRPr="00FE0196">
              <w:rPr>
                <w:rStyle w:val="Hyperlink"/>
              </w:rPr>
              <w:t>C.</w:t>
            </w:r>
            <w:r w:rsidR="001613F4">
              <w:rPr>
                <w:rFonts w:asciiTheme="minorHAnsi" w:hAnsiTheme="minorHAnsi" w:cstheme="minorBidi"/>
              </w:rPr>
              <w:tab/>
            </w:r>
            <w:r w:rsidR="001613F4" w:rsidRPr="00FE0196">
              <w:rPr>
                <w:rStyle w:val="Hyperlink"/>
              </w:rPr>
              <w:t>Stochastic Exclusion Ratio Test</w:t>
            </w:r>
            <w:r w:rsidR="001613F4">
              <w:rPr>
                <w:webHidden/>
              </w:rPr>
              <w:tab/>
            </w:r>
            <w:r w:rsidR="001613F4">
              <w:rPr>
                <w:webHidden/>
              </w:rPr>
              <w:fldChar w:fldCharType="begin"/>
            </w:r>
            <w:r w:rsidR="001613F4">
              <w:rPr>
                <w:webHidden/>
              </w:rPr>
              <w:instrText xml:space="preserve"> PAGEREF _Toc137649800 \h </w:instrText>
            </w:r>
            <w:r w:rsidR="001613F4">
              <w:rPr>
                <w:webHidden/>
              </w:rPr>
            </w:r>
            <w:r w:rsidR="001613F4">
              <w:rPr>
                <w:webHidden/>
              </w:rPr>
              <w:fldChar w:fldCharType="separate"/>
            </w:r>
            <w:r w:rsidR="001613F4">
              <w:rPr>
                <w:webHidden/>
              </w:rPr>
              <w:t>38</w:t>
            </w:r>
            <w:r w:rsidR="001613F4">
              <w:rPr>
                <w:webHidden/>
              </w:rPr>
              <w:fldChar w:fldCharType="end"/>
            </w:r>
          </w:hyperlink>
        </w:p>
        <w:p w14:paraId="1997C239" w14:textId="68FAF47B" w:rsidR="001613F4" w:rsidRDefault="00530199">
          <w:pPr>
            <w:pStyle w:val="TOC2"/>
            <w:rPr>
              <w:rFonts w:asciiTheme="minorHAnsi" w:hAnsiTheme="minorHAnsi" w:cstheme="minorBidi"/>
            </w:rPr>
          </w:pPr>
          <w:hyperlink w:anchor="_Toc137649801" w:history="1">
            <w:r w:rsidR="001613F4" w:rsidRPr="00FE0196">
              <w:rPr>
                <w:rStyle w:val="Hyperlink"/>
              </w:rPr>
              <w:t>D.</w:t>
            </w:r>
            <w:r w:rsidR="001613F4">
              <w:rPr>
                <w:rFonts w:asciiTheme="minorHAnsi" w:hAnsiTheme="minorHAnsi" w:cstheme="minorBidi"/>
              </w:rPr>
              <w:tab/>
            </w:r>
            <w:r w:rsidR="001613F4" w:rsidRPr="00FE0196">
              <w:rPr>
                <w:rStyle w:val="Hyperlink"/>
              </w:rPr>
              <w:t>Stochastic Exclusion Demonstration Test</w:t>
            </w:r>
            <w:r w:rsidR="001613F4">
              <w:rPr>
                <w:webHidden/>
              </w:rPr>
              <w:tab/>
            </w:r>
            <w:r w:rsidR="001613F4">
              <w:rPr>
                <w:webHidden/>
              </w:rPr>
              <w:fldChar w:fldCharType="begin"/>
            </w:r>
            <w:r w:rsidR="001613F4">
              <w:rPr>
                <w:webHidden/>
              </w:rPr>
              <w:instrText xml:space="preserve"> PAGEREF _Toc137649801 \h </w:instrText>
            </w:r>
            <w:r w:rsidR="001613F4">
              <w:rPr>
                <w:webHidden/>
              </w:rPr>
            </w:r>
            <w:r w:rsidR="001613F4">
              <w:rPr>
                <w:webHidden/>
              </w:rPr>
              <w:fldChar w:fldCharType="separate"/>
            </w:r>
            <w:r w:rsidR="001613F4">
              <w:rPr>
                <w:webHidden/>
              </w:rPr>
              <w:t>41</w:t>
            </w:r>
            <w:r w:rsidR="001613F4">
              <w:rPr>
                <w:webHidden/>
              </w:rPr>
              <w:fldChar w:fldCharType="end"/>
            </w:r>
          </w:hyperlink>
        </w:p>
        <w:p w14:paraId="6E02C092" w14:textId="1A9958B6" w:rsidR="001613F4" w:rsidRDefault="00530199">
          <w:pPr>
            <w:pStyle w:val="TOC2"/>
            <w:rPr>
              <w:rFonts w:asciiTheme="minorHAnsi" w:hAnsiTheme="minorHAnsi" w:cstheme="minorBidi"/>
            </w:rPr>
          </w:pPr>
          <w:hyperlink w:anchor="_Toc137649802" w:history="1">
            <w:r w:rsidR="001613F4" w:rsidRPr="00FE0196">
              <w:rPr>
                <w:rStyle w:val="Hyperlink"/>
              </w:rPr>
              <w:t>E.</w:t>
            </w:r>
            <w:r w:rsidR="001613F4">
              <w:rPr>
                <w:rFonts w:asciiTheme="minorHAnsi" w:hAnsiTheme="minorHAnsi" w:cstheme="minorBidi"/>
              </w:rPr>
              <w:tab/>
            </w:r>
            <w:r w:rsidR="001613F4" w:rsidRPr="00FE0196">
              <w:rPr>
                <w:rStyle w:val="Hyperlink"/>
              </w:rPr>
              <w:t>Deterministic Certification Option</w:t>
            </w:r>
            <w:r w:rsidR="001613F4">
              <w:rPr>
                <w:webHidden/>
              </w:rPr>
              <w:tab/>
            </w:r>
            <w:r w:rsidR="001613F4">
              <w:rPr>
                <w:webHidden/>
              </w:rPr>
              <w:fldChar w:fldCharType="begin"/>
            </w:r>
            <w:r w:rsidR="001613F4">
              <w:rPr>
                <w:webHidden/>
              </w:rPr>
              <w:instrText xml:space="preserve"> PAGEREF _Toc137649802 \h </w:instrText>
            </w:r>
            <w:r w:rsidR="001613F4">
              <w:rPr>
                <w:webHidden/>
              </w:rPr>
            </w:r>
            <w:r w:rsidR="001613F4">
              <w:rPr>
                <w:webHidden/>
              </w:rPr>
              <w:fldChar w:fldCharType="separate"/>
            </w:r>
            <w:r w:rsidR="001613F4">
              <w:rPr>
                <w:webHidden/>
              </w:rPr>
              <w:t>42</w:t>
            </w:r>
            <w:r w:rsidR="001613F4">
              <w:rPr>
                <w:webHidden/>
              </w:rPr>
              <w:fldChar w:fldCharType="end"/>
            </w:r>
          </w:hyperlink>
        </w:p>
        <w:p w14:paraId="7AA2A642" w14:textId="07B5770C" w:rsidR="001613F4" w:rsidRDefault="00530199" w:rsidP="001613F4">
          <w:pPr>
            <w:pStyle w:val="TOC1"/>
            <w:rPr>
              <w:rFonts w:asciiTheme="minorHAnsi" w:hAnsiTheme="minorHAnsi" w:cstheme="minorBidi"/>
            </w:rPr>
          </w:pPr>
          <w:hyperlink w:anchor="_Toc137649803" w:history="1">
            <w:r w:rsidR="001613F4" w:rsidRPr="00FE0196">
              <w:rPr>
                <w:rStyle w:val="Hyperlink"/>
              </w:rPr>
              <w:t>Section 8: To Be Determined (Scenario Generation for VM-21)</w:t>
            </w:r>
            <w:r w:rsidR="001613F4">
              <w:rPr>
                <w:webHidden/>
              </w:rPr>
              <w:tab/>
            </w:r>
            <w:r w:rsidR="001613F4">
              <w:rPr>
                <w:webHidden/>
              </w:rPr>
              <w:fldChar w:fldCharType="begin"/>
            </w:r>
            <w:r w:rsidR="001613F4">
              <w:rPr>
                <w:webHidden/>
              </w:rPr>
              <w:instrText xml:space="preserve"> PAGEREF _Toc137649803 \h </w:instrText>
            </w:r>
            <w:r w:rsidR="001613F4">
              <w:rPr>
                <w:webHidden/>
              </w:rPr>
            </w:r>
            <w:r w:rsidR="001613F4">
              <w:rPr>
                <w:webHidden/>
              </w:rPr>
              <w:fldChar w:fldCharType="separate"/>
            </w:r>
            <w:r w:rsidR="001613F4">
              <w:rPr>
                <w:webHidden/>
              </w:rPr>
              <w:t>42</w:t>
            </w:r>
            <w:r w:rsidR="001613F4">
              <w:rPr>
                <w:webHidden/>
              </w:rPr>
              <w:fldChar w:fldCharType="end"/>
            </w:r>
          </w:hyperlink>
        </w:p>
        <w:p w14:paraId="4CD130AE" w14:textId="0F862A91" w:rsidR="001613F4" w:rsidRDefault="00530199" w:rsidP="001613F4">
          <w:pPr>
            <w:pStyle w:val="TOC1"/>
            <w:rPr>
              <w:rFonts w:asciiTheme="minorHAnsi" w:hAnsiTheme="minorHAnsi" w:cstheme="minorBidi"/>
            </w:rPr>
          </w:pPr>
          <w:hyperlink w:anchor="_Toc137649804" w:history="1">
            <w:r w:rsidR="001613F4" w:rsidRPr="00FE0196">
              <w:rPr>
                <w:rStyle w:val="Hyperlink"/>
              </w:rPr>
              <w:t>Section 9: Modeling Hedges under a Non-Index Credit Future Hedging Strategy</w:t>
            </w:r>
            <w:r w:rsidR="001613F4">
              <w:rPr>
                <w:webHidden/>
              </w:rPr>
              <w:tab/>
            </w:r>
            <w:r w:rsidR="001613F4">
              <w:rPr>
                <w:webHidden/>
              </w:rPr>
              <w:fldChar w:fldCharType="begin"/>
            </w:r>
            <w:r w:rsidR="001613F4">
              <w:rPr>
                <w:webHidden/>
              </w:rPr>
              <w:instrText xml:space="preserve"> PAGEREF _Toc137649804 \h </w:instrText>
            </w:r>
            <w:r w:rsidR="001613F4">
              <w:rPr>
                <w:webHidden/>
              </w:rPr>
            </w:r>
            <w:r w:rsidR="001613F4">
              <w:rPr>
                <w:webHidden/>
              </w:rPr>
              <w:fldChar w:fldCharType="separate"/>
            </w:r>
            <w:r w:rsidR="001613F4">
              <w:rPr>
                <w:webHidden/>
              </w:rPr>
              <w:t>43</w:t>
            </w:r>
            <w:r w:rsidR="001613F4">
              <w:rPr>
                <w:webHidden/>
              </w:rPr>
              <w:fldChar w:fldCharType="end"/>
            </w:r>
          </w:hyperlink>
        </w:p>
        <w:p w14:paraId="1045630C" w14:textId="3BA70572" w:rsidR="001613F4" w:rsidRDefault="00530199">
          <w:pPr>
            <w:pStyle w:val="TOC2"/>
            <w:rPr>
              <w:rFonts w:asciiTheme="minorHAnsi" w:hAnsiTheme="minorHAnsi" w:cstheme="minorBidi"/>
            </w:rPr>
          </w:pPr>
          <w:hyperlink w:anchor="_Toc137649805" w:history="1">
            <w:r w:rsidR="001613F4" w:rsidRPr="00FE0196">
              <w:rPr>
                <w:rStyle w:val="Hyperlink"/>
              </w:rPr>
              <w:t>A. Initial Considerations</w:t>
            </w:r>
            <w:r w:rsidR="001613F4">
              <w:rPr>
                <w:webHidden/>
              </w:rPr>
              <w:tab/>
            </w:r>
            <w:r w:rsidR="001613F4">
              <w:rPr>
                <w:webHidden/>
              </w:rPr>
              <w:fldChar w:fldCharType="begin"/>
            </w:r>
            <w:r w:rsidR="001613F4">
              <w:rPr>
                <w:webHidden/>
              </w:rPr>
              <w:instrText xml:space="preserve"> PAGEREF _Toc137649805 \h </w:instrText>
            </w:r>
            <w:r w:rsidR="001613F4">
              <w:rPr>
                <w:webHidden/>
              </w:rPr>
            </w:r>
            <w:r w:rsidR="001613F4">
              <w:rPr>
                <w:webHidden/>
              </w:rPr>
              <w:fldChar w:fldCharType="separate"/>
            </w:r>
            <w:r w:rsidR="001613F4">
              <w:rPr>
                <w:webHidden/>
              </w:rPr>
              <w:t>43</w:t>
            </w:r>
            <w:r w:rsidR="001613F4">
              <w:rPr>
                <w:webHidden/>
              </w:rPr>
              <w:fldChar w:fldCharType="end"/>
            </w:r>
          </w:hyperlink>
        </w:p>
        <w:p w14:paraId="50F5830C" w14:textId="573608E1" w:rsidR="001613F4" w:rsidRDefault="00530199">
          <w:pPr>
            <w:pStyle w:val="TOC2"/>
            <w:rPr>
              <w:rFonts w:asciiTheme="minorHAnsi" w:hAnsiTheme="minorHAnsi" w:cstheme="minorBidi"/>
            </w:rPr>
          </w:pPr>
          <w:hyperlink w:anchor="_Toc137649806" w:history="1">
            <w:r w:rsidR="001613F4" w:rsidRPr="00FE0196">
              <w:rPr>
                <w:rStyle w:val="Hyperlink"/>
              </w:rPr>
              <w:t>B.</w:t>
            </w:r>
            <w:r w:rsidR="001613F4">
              <w:rPr>
                <w:rFonts w:asciiTheme="minorHAnsi" w:hAnsiTheme="minorHAnsi" w:cstheme="minorBidi"/>
              </w:rPr>
              <w:tab/>
            </w:r>
            <w:r w:rsidR="001613F4" w:rsidRPr="00FE0196">
              <w:rPr>
                <w:rStyle w:val="Hyperlink"/>
              </w:rPr>
              <w:t>Modeling Approaches</w:t>
            </w:r>
            <w:r w:rsidR="001613F4">
              <w:rPr>
                <w:webHidden/>
              </w:rPr>
              <w:tab/>
            </w:r>
            <w:r w:rsidR="001613F4">
              <w:rPr>
                <w:webHidden/>
              </w:rPr>
              <w:fldChar w:fldCharType="begin"/>
            </w:r>
            <w:r w:rsidR="001613F4">
              <w:rPr>
                <w:webHidden/>
              </w:rPr>
              <w:instrText xml:space="preserve"> PAGEREF _Toc137649806 \h </w:instrText>
            </w:r>
            <w:r w:rsidR="001613F4">
              <w:rPr>
                <w:webHidden/>
              </w:rPr>
            </w:r>
            <w:r w:rsidR="001613F4">
              <w:rPr>
                <w:webHidden/>
              </w:rPr>
              <w:fldChar w:fldCharType="separate"/>
            </w:r>
            <w:r w:rsidR="001613F4">
              <w:rPr>
                <w:webHidden/>
              </w:rPr>
              <w:t>43</w:t>
            </w:r>
            <w:r w:rsidR="001613F4">
              <w:rPr>
                <w:webHidden/>
              </w:rPr>
              <w:fldChar w:fldCharType="end"/>
            </w:r>
          </w:hyperlink>
        </w:p>
        <w:p w14:paraId="75B14C55" w14:textId="18AE66A1" w:rsidR="001613F4" w:rsidRDefault="00530199">
          <w:pPr>
            <w:pStyle w:val="TOC2"/>
            <w:rPr>
              <w:rFonts w:asciiTheme="minorHAnsi" w:hAnsiTheme="minorHAnsi" w:cstheme="minorBidi"/>
            </w:rPr>
          </w:pPr>
          <w:hyperlink w:anchor="_Toc137649807" w:history="1">
            <w:r w:rsidR="001613F4" w:rsidRPr="00FE0196">
              <w:rPr>
                <w:rStyle w:val="Hyperlink"/>
              </w:rPr>
              <w:t>C.</w:t>
            </w:r>
            <w:r w:rsidR="001613F4">
              <w:rPr>
                <w:rFonts w:asciiTheme="minorHAnsi" w:hAnsiTheme="minorHAnsi" w:cstheme="minorBidi"/>
              </w:rPr>
              <w:tab/>
            </w:r>
            <w:r w:rsidR="001613F4" w:rsidRPr="00FE0196">
              <w:rPr>
                <w:rStyle w:val="Hyperlink"/>
              </w:rPr>
              <w:t>Calculation of SR (Reported)</w:t>
            </w:r>
            <w:r w:rsidR="001613F4">
              <w:rPr>
                <w:webHidden/>
              </w:rPr>
              <w:tab/>
            </w:r>
            <w:r w:rsidR="001613F4">
              <w:rPr>
                <w:webHidden/>
              </w:rPr>
              <w:fldChar w:fldCharType="begin"/>
            </w:r>
            <w:r w:rsidR="001613F4">
              <w:rPr>
                <w:webHidden/>
              </w:rPr>
              <w:instrText xml:space="preserve"> PAGEREF _Toc137649807 \h </w:instrText>
            </w:r>
            <w:r w:rsidR="001613F4">
              <w:rPr>
                <w:webHidden/>
              </w:rPr>
            </w:r>
            <w:r w:rsidR="001613F4">
              <w:rPr>
                <w:webHidden/>
              </w:rPr>
              <w:fldChar w:fldCharType="separate"/>
            </w:r>
            <w:r w:rsidR="001613F4">
              <w:rPr>
                <w:webHidden/>
              </w:rPr>
              <w:t>44</w:t>
            </w:r>
            <w:r w:rsidR="001613F4">
              <w:rPr>
                <w:webHidden/>
              </w:rPr>
              <w:fldChar w:fldCharType="end"/>
            </w:r>
          </w:hyperlink>
        </w:p>
        <w:p w14:paraId="2DCA4514" w14:textId="6B0E8DD8" w:rsidR="001613F4" w:rsidRDefault="00530199">
          <w:pPr>
            <w:pStyle w:val="TOC2"/>
            <w:rPr>
              <w:rFonts w:asciiTheme="minorHAnsi" w:hAnsiTheme="minorHAnsi" w:cstheme="minorBidi"/>
            </w:rPr>
          </w:pPr>
          <w:hyperlink w:anchor="_Toc137649808" w:history="1">
            <w:r w:rsidR="001613F4" w:rsidRPr="00FE0196">
              <w:rPr>
                <w:rStyle w:val="Hyperlink"/>
              </w:rPr>
              <w:t>D.</w:t>
            </w:r>
            <w:r w:rsidR="001613F4">
              <w:rPr>
                <w:rFonts w:asciiTheme="minorHAnsi" w:hAnsiTheme="minorHAnsi" w:cstheme="minorBidi"/>
              </w:rPr>
              <w:tab/>
            </w:r>
            <w:r w:rsidR="001613F4" w:rsidRPr="00FE0196">
              <w:rPr>
                <w:rStyle w:val="Hyperlink"/>
              </w:rPr>
              <w:t>Additional Considerations for CTE70 (best efforts)</w:t>
            </w:r>
            <w:r w:rsidR="001613F4">
              <w:rPr>
                <w:webHidden/>
              </w:rPr>
              <w:tab/>
            </w:r>
            <w:r w:rsidR="001613F4">
              <w:rPr>
                <w:webHidden/>
              </w:rPr>
              <w:fldChar w:fldCharType="begin"/>
            </w:r>
            <w:r w:rsidR="001613F4">
              <w:rPr>
                <w:webHidden/>
              </w:rPr>
              <w:instrText xml:space="preserve"> PAGEREF _Toc137649808 \h </w:instrText>
            </w:r>
            <w:r w:rsidR="001613F4">
              <w:rPr>
                <w:webHidden/>
              </w:rPr>
            </w:r>
            <w:r w:rsidR="001613F4">
              <w:rPr>
                <w:webHidden/>
              </w:rPr>
              <w:fldChar w:fldCharType="separate"/>
            </w:r>
            <w:r w:rsidR="001613F4">
              <w:rPr>
                <w:webHidden/>
              </w:rPr>
              <w:t>47</w:t>
            </w:r>
            <w:r w:rsidR="001613F4">
              <w:rPr>
                <w:webHidden/>
              </w:rPr>
              <w:fldChar w:fldCharType="end"/>
            </w:r>
          </w:hyperlink>
        </w:p>
        <w:p w14:paraId="43C8CED5" w14:textId="4ED144EE" w:rsidR="001613F4" w:rsidRDefault="00530199">
          <w:pPr>
            <w:pStyle w:val="TOC2"/>
            <w:rPr>
              <w:rFonts w:asciiTheme="minorHAnsi" w:hAnsiTheme="minorHAnsi" w:cstheme="minorBidi"/>
            </w:rPr>
          </w:pPr>
          <w:hyperlink w:anchor="_Toc137649809" w:history="1">
            <w:r w:rsidR="001613F4" w:rsidRPr="00FE0196">
              <w:rPr>
                <w:rStyle w:val="Hyperlink"/>
              </w:rPr>
              <w:t>E.</w:t>
            </w:r>
            <w:r w:rsidR="001613F4">
              <w:rPr>
                <w:rFonts w:asciiTheme="minorHAnsi" w:hAnsiTheme="minorHAnsi" w:cstheme="minorBidi"/>
              </w:rPr>
              <w:tab/>
            </w:r>
            <w:r w:rsidR="001613F4" w:rsidRPr="00FE0196">
              <w:rPr>
                <w:rStyle w:val="Hyperlink"/>
              </w:rPr>
              <w:t>Specific Considerations and Requirements</w:t>
            </w:r>
            <w:r w:rsidR="001613F4">
              <w:rPr>
                <w:webHidden/>
              </w:rPr>
              <w:tab/>
            </w:r>
            <w:r w:rsidR="001613F4">
              <w:rPr>
                <w:webHidden/>
              </w:rPr>
              <w:fldChar w:fldCharType="begin"/>
            </w:r>
            <w:r w:rsidR="001613F4">
              <w:rPr>
                <w:webHidden/>
              </w:rPr>
              <w:instrText xml:space="preserve"> PAGEREF _Toc137649809 \h </w:instrText>
            </w:r>
            <w:r w:rsidR="001613F4">
              <w:rPr>
                <w:webHidden/>
              </w:rPr>
            </w:r>
            <w:r w:rsidR="001613F4">
              <w:rPr>
                <w:webHidden/>
              </w:rPr>
              <w:fldChar w:fldCharType="separate"/>
            </w:r>
            <w:r w:rsidR="001613F4">
              <w:rPr>
                <w:webHidden/>
              </w:rPr>
              <w:t>48</w:t>
            </w:r>
            <w:r w:rsidR="001613F4">
              <w:rPr>
                <w:webHidden/>
              </w:rPr>
              <w:fldChar w:fldCharType="end"/>
            </w:r>
          </w:hyperlink>
        </w:p>
        <w:p w14:paraId="09B38E8F" w14:textId="387A9E0A" w:rsidR="001613F4" w:rsidRDefault="00530199" w:rsidP="001613F4">
          <w:pPr>
            <w:pStyle w:val="TOC1"/>
            <w:rPr>
              <w:rFonts w:asciiTheme="minorHAnsi" w:hAnsiTheme="minorHAnsi" w:cstheme="minorBidi"/>
            </w:rPr>
          </w:pPr>
          <w:hyperlink w:anchor="_Toc137649810" w:history="1">
            <w:r w:rsidR="001613F4" w:rsidRPr="00FE0196">
              <w:rPr>
                <w:rStyle w:val="Hyperlink"/>
              </w:rPr>
              <w:t>Section 10: Guidance and Requirements for Setting Contract Holder Behavior Prudent Estimate Assumptions</w:t>
            </w:r>
            <w:r w:rsidR="001613F4">
              <w:rPr>
                <w:webHidden/>
              </w:rPr>
              <w:tab/>
            </w:r>
            <w:r w:rsidR="001613F4">
              <w:rPr>
                <w:webHidden/>
              </w:rPr>
              <w:fldChar w:fldCharType="begin"/>
            </w:r>
            <w:r w:rsidR="001613F4">
              <w:rPr>
                <w:webHidden/>
              </w:rPr>
              <w:instrText xml:space="preserve"> PAGEREF _Toc137649810 \h </w:instrText>
            </w:r>
            <w:r w:rsidR="001613F4">
              <w:rPr>
                <w:webHidden/>
              </w:rPr>
            </w:r>
            <w:r w:rsidR="001613F4">
              <w:rPr>
                <w:webHidden/>
              </w:rPr>
              <w:fldChar w:fldCharType="separate"/>
            </w:r>
            <w:r w:rsidR="001613F4">
              <w:rPr>
                <w:webHidden/>
              </w:rPr>
              <w:t>50</w:t>
            </w:r>
            <w:r w:rsidR="001613F4">
              <w:rPr>
                <w:webHidden/>
              </w:rPr>
              <w:fldChar w:fldCharType="end"/>
            </w:r>
          </w:hyperlink>
        </w:p>
        <w:p w14:paraId="4870BADF" w14:textId="383BBC40" w:rsidR="001613F4" w:rsidRDefault="00530199">
          <w:pPr>
            <w:pStyle w:val="TOC2"/>
            <w:rPr>
              <w:rFonts w:asciiTheme="minorHAnsi" w:hAnsiTheme="minorHAnsi" w:cstheme="minorBidi"/>
            </w:rPr>
          </w:pPr>
          <w:hyperlink w:anchor="_Toc137649811" w:history="1">
            <w:r w:rsidR="001613F4" w:rsidRPr="00FE0196">
              <w:rPr>
                <w:rStyle w:val="Hyperlink"/>
              </w:rPr>
              <w:t>A.</w:t>
            </w:r>
            <w:r w:rsidR="001613F4">
              <w:rPr>
                <w:rFonts w:asciiTheme="minorHAnsi" w:hAnsiTheme="minorHAnsi" w:cstheme="minorBidi"/>
              </w:rPr>
              <w:tab/>
            </w:r>
            <w:r w:rsidR="001613F4" w:rsidRPr="00FE0196">
              <w:rPr>
                <w:rStyle w:val="Hyperlink"/>
              </w:rPr>
              <w:t>General</w:t>
            </w:r>
            <w:r w:rsidR="001613F4">
              <w:rPr>
                <w:webHidden/>
              </w:rPr>
              <w:tab/>
            </w:r>
            <w:r w:rsidR="001613F4">
              <w:rPr>
                <w:webHidden/>
              </w:rPr>
              <w:fldChar w:fldCharType="begin"/>
            </w:r>
            <w:r w:rsidR="001613F4">
              <w:rPr>
                <w:webHidden/>
              </w:rPr>
              <w:instrText xml:space="preserve"> PAGEREF _Toc137649811 \h </w:instrText>
            </w:r>
            <w:r w:rsidR="001613F4">
              <w:rPr>
                <w:webHidden/>
              </w:rPr>
            </w:r>
            <w:r w:rsidR="001613F4">
              <w:rPr>
                <w:webHidden/>
              </w:rPr>
              <w:fldChar w:fldCharType="separate"/>
            </w:r>
            <w:r w:rsidR="001613F4">
              <w:rPr>
                <w:webHidden/>
              </w:rPr>
              <w:t>50</w:t>
            </w:r>
            <w:r w:rsidR="001613F4">
              <w:rPr>
                <w:webHidden/>
              </w:rPr>
              <w:fldChar w:fldCharType="end"/>
            </w:r>
          </w:hyperlink>
        </w:p>
        <w:p w14:paraId="27BDDC53" w14:textId="64C67595" w:rsidR="001613F4" w:rsidRDefault="00530199">
          <w:pPr>
            <w:pStyle w:val="TOC2"/>
            <w:rPr>
              <w:rFonts w:asciiTheme="minorHAnsi" w:hAnsiTheme="minorHAnsi" w:cstheme="minorBidi"/>
            </w:rPr>
          </w:pPr>
          <w:hyperlink w:anchor="_Toc137649812" w:history="1">
            <w:r w:rsidR="001613F4" w:rsidRPr="00FE0196">
              <w:rPr>
                <w:rStyle w:val="Hyperlink"/>
              </w:rPr>
              <w:t>B.</w:t>
            </w:r>
            <w:r w:rsidR="001613F4">
              <w:rPr>
                <w:rFonts w:asciiTheme="minorHAnsi" w:hAnsiTheme="minorHAnsi" w:cstheme="minorBidi"/>
              </w:rPr>
              <w:tab/>
            </w:r>
            <w:r w:rsidR="001613F4" w:rsidRPr="00FE0196">
              <w:rPr>
                <w:rStyle w:val="Hyperlink"/>
              </w:rPr>
              <w:t>Aggregate vs. Individual Margins</w:t>
            </w:r>
            <w:r w:rsidR="001613F4">
              <w:rPr>
                <w:webHidden/>
              </w:rPr>
              <w:tab/>
            </w:r>
            <w:r w:rsidR="001613F4">
              <w:rPr>
                <w:webHidden/>
              </w:rPr>
              <w:fldChar w:fldCharType="begin"/>
            </w:r>
            <w:r w:rsidR="001613F4">
              <w:rPr>
                <w:webHidden/>
              </w:rPr>
              <w:instrText xml:space="preserve"> PAGEREF _Toc137649812 \h </w:instrText>
            </w:r>
            <w:r w:rsidR="001613F4">
              <w:rPr>
                <w:webHidden/>
              </w:rPr>
            </w:r>
            <w:r w:rsidR="001613F4">
              <w:rPr>
                <w:webHidden/>
              </w:rPr>
              <w:fldChar w:fldCharType="separate"/>
            </w:r>
            <w:r w:rsidR="001613F4">
              <w:rPr>
                <w:webHidden/>
              </w:rPr>
              <w:t>50</w:t>
            </w:r>
            <w:r w:rsidR="001613F4">
              <w:rPr>
                <w:webHidden/>
              </w:rPr>
              <w:fldChar w:fldCharType="end"/>
            </w:r>
          </w:hyperlink>
        </w:p>
        <w:p w14:paraId="39BA116D" w14:textId="49DFFCB0" w:rsidR="001613F4" w:rsidRDefault="00530199">
          <w:pPr>
            <w:pStyle w:val="TOC2"/>
            <w:rPr>
              <w:rFonts w:asciiTheme="minorHAnsi" w:hAnsiTheme="minorHAnsi" w:cstheme="minorBidi"/>
            </w:rPr>
          </w:pPr>
          <w:hyperlink w:anchor="_Toc137649813" w:history="1">
            <w:r w:rsidR="001613F4" w:rsidRPr="00FE0196">
              <w:rPr>
                <w:rStyle w:val="Hyperlink"/>
              </w:rPr>
              <w:t>C.</w:t>
            </w:r>
            <w:r w:rsidR="001613F4">
              <w:rPr>
                <w:rFonts w:asciiTheme="minorHAnsi" w:hAnsiTheme="minorHAnsi" w:cstheme="minorBidi"/>
              </w:rPr>
              <w:tab/>
            </w:r>
            <w:r w:rsidR="001613F4" w:rsidRPr="00FE0196">
              <w:rPr>
                <w:rStyle w:val="Hyperlink"/>
              </w:rPr>
              <w:t>Sensitivity Testing</w:t>
            </w:r>
            <w:r w:rsidR="001613F4">
              <w:rPr>
                <w:webHidden/>
              </w:rPr>
              <w:tab/>
            </w:r>
            <w:r w:rsidR="001613F4">
              <w:rPr>
                <w:webHidden/>
              </w:rPr>
              <w:fldChar w:fldCharType="begin"/>
            </w:r>
            <w:r w:rsidR="001613F4">
              <w:rPr>
                <w:webHidden/>
              </w:rPr>
              <w:instrText xml:space="preserve"> PAGEREF _Toc137649813 \h </w:instrText>
            </w:r>
            <w:r w:rsidR="001613F4">
              <w:rPr>
                <w:webHidden/>
              </w:rPr>
            </w:r>
            <w:r w:rsidR="001613F4">
              <w:rPr>
                <w:webHidden/>
              </w:rPr>
              <w:fldChar w:fldCharType="separate"/>
            </w:r>
            <w:r w:rsidR="001613F4">
              <w:rPr>
                <w:webHidden/>
              </w:rPr>
              <w:t>51</w:t>
            </w:r>
            <w:r w:rsidR="001613F4">
              <w:rPr>
                <w:webHidden/>
              </w:rPr>
              <w:fldChar w:fldCharType="end"/>
            </w:r>
          </w:hyperlink>
        </w:p>
        <w:p w14:paraId="323B620F" w14:textId="6AB5AB48" w:rsidR="001613F4" w:rsidRDefault="00530199">
          <w:pPr>
            <w:pStyle w:val="TOC2"/>
            <w:rPr>
              <w:rFonts w:asciiTheme="minorHAnsi" w:hAnsiTheme="minorHAnsi" w:cstheme="minorBidi"/>
            </w:rPr>
          </w:pPr>
          <w:hyperlink w:anchor="_Toc137649814" w:history="1">
            <w:r w:rsidR="001613F4" w:rsidRPr="00FE0196">
              <w:rPr>
                <w:rStyle w:val="Hyperlink"/>
              </w:rPr>
              <w:t>D.</w:t>
            </w:r>
            <w:r w:rsidR="001613F4">
              <w:rPr>
                <w:rFonts w:asciiTheme="minorHAnsi" w:hAnsiTheme="minorHAnsi" w:cstheme="minorBidi"/>
              </w:rPr>
              <w:tab/>
            </w:r>
            <w:r w:rsidR="001613F4" w:rsidRPr="00FE0196">
              <w:rPr>
                <w:rStyle w:val="Hyperlink"/>
              </w:rPr>
              <w:t>Specific Considerations and Requirements</w:t>
            </w:r>
            <w:r w:rsidR="001613F4">
              <w:rPr>
                <w:webHidden/>
              </w:rPr>
              <w:tab/>
            </w:r>
            <w:r w:rsidR="001613F4">
              <w:rPr>
                <w:webHidden/>
              </w:rPr>
              <w:fldChar w:fldCharType="begin"/>
            </w:r>
            <w:r w:rsidR="001613F4">
              <w:rPr>
                <w:webHidden/>
              </w:rPr>
              <w:instrText xml:space="preserve"> PAGEREF _Toc137649814 \h </w:instrText>
            </w:r>
            <w:r w:rsidR="001613F4">
              <w:rPr>
                <w:webHidden/>
              </w:rPr>
            </w:r>
            <w:r w:rsidR="001613F4">
              <w:rPr>
                <w:webHidden/>
              </w:rPr>
              <w:fldChar w:fldCharType="separate"/>
            </w:r>
            <w:r w:rsidR="001613F4">
              <w:rPr>
                <w:webHidden/>
              </w:rPr>
              <w:t>52</w:t>
            </w:r>
            <w:r w:rsidR="001613F4">
              <w:rPr>
                <w:webHidden/>
              </w:rPr>
              <w:fldChar w:fldCharType="end"/>
            </w:r>
          </w:hyperlink>
        </w:p>
        <w:p w14:paraId="2B2D9CA9" w14:textId="29E7DE14" w:rsidR="001613F4" w:rsidRDefault="00530199">
          <w:pPr>
            <w:pStyle w:val="TOC2"/>
            <w:rPr>
              <w:rFonts w:asciiTheme="minorHAnsi" w:hAnsiTheme="minorHAnsi" w:cstheme="minorBidi"/>
            </w:rPr>
          </w:pPr>
          <w:hyperlink w:anchor="_Toc137649815" w:history="1">
            <w:r w:rsidR="001613F4" w:rsidRPr="00FE0196">
              <w:rPr>
                <w:rStyle w:val="Hyperlink"/>
              </w:rPr>
              <w:t>E.</w:t>
            </w:r>
            <w:r w:rsidR="001613F4">
              <w:rPr>
                <w:rFonts w:asciiTheme="minorHAnsi" w:hAnsiTheme="minorHAnsi" w:cstheme="minorBidi"/>
              </w:rPr>
              <w:tab/>
            </w:r>
            <w:r w:rsidR="001613F4" w:rsidRPr="00FE0196">
              <w:rPr>
                <w:rStyle w:val="Hyperlink"/>
              </w:rPr>
              <w:t>Dynamic Assumptions</w:t>
            </w:r>
            <w:r w:rsidR="001613F4">
              <w:rPr>
                <w:webHidden/>
              </w:rPr>
              <w:tab/>
            </w:r>
            <w:r w:rsidR="001613F4">
              <w:rPr>
                <w:webHidden/>
              </w:rPr>
              <w:fldChar w:fldCharType="begin"/>
            </w:r>
            <w:r w:rsidR="001613F4">
              <w:rPr>
                <w:webHidden/>
              </w:rPr>
              <w:instrText xml:space="preserve"> PAGEREF _Toc137649815 \h </w:instrText>
            </w:r>
            <w:r w:rsidR="001613F4">
              <w:rPr>
                <w:webHidden/>
              </w:rPr>
            </w:r>
            <w:r w:rsidR="001613F4">
              <w:rPr>
                <w:webHidden/>
              </w:rPr>
              <w:fldChar w:fldCharType="separate"/>
            </w:r>
            <w:r w:rsidR="001613F4">
              <w:rPr>
                <w:webHidden/>
              </w:rPr>
              <w:t>53</w:t>
            </w:r>
            <w:r w:rsidR="001613F4">
              <w:rPr>
                <w:webHidden/>
              </w:rPr>
              <w:fldChar w:fldCharType="end"/>
            </w:r>
          </w:hyperlink>
        </w:p>
        <w:p w14:paraId="0FDFD69D" w14:textId="71722064" w:rsidR="001613F4" w:rsidRDefault="00530199">
          <w:pPr>
            <w:pStyle w:val="TOC2"/>
            <w:rPr>
              <w:rFonts w:asciiTheme="minorHAnsi" w:hAnsiTheme="minorHAnsi" w:cstheme="minorBidi"/>
            </w:rPr>
          </w:pPr>
          <w:hyperlink w:anchor="_Toc137649816" w:history="1">
            <w:r w:rsidR="001613F4" w:rsidRPr="00FE0196">
              <w:rPr>
                <w:rStyle w:val="Hyperlink"/>
              </w:rPr>
              <w:t>F.</w:t>
            </w:r>
            <w:r w:rsidR="001613F4">
              <w:rPr>
                <w:rFonts w:asciiTheme="minorHAnsi" w:hAnsiTheme="minorHAnsi" w:cstheme="minorBidi"/>
              </w:rPr>
              <w:tab/>
            </w:r>
            <w:r w:rsidR="001613F4" w:rsidRPr="00FE0196">
              <w:rPr>
                <w:rStyle w:val="Hyperlink"/>
              </w:rPr>
              <w:t>Consistency with the CTE Level</w:t>
            </w:r>
            <w:r w:rsidR="001613F4">
              <w:rPr>
                <w:webHidden/>
              </w:rPr>
              <w:tab/>
            </w:r>
            <w:r w:rsidR="001613F4">
              <w:rPr>
                <w:webHidden/>
              </w:rPr>
              <w:fldChar w:fldCharType="begin"/>
            </w:r>
            <w:r w:rsidR="001613F4">
              <w:rPr>
                <w:webHidden/>
              </w:rPr>
              <w:instrText xml:space="preserve"> PAGEREF _Toc137649816 \h </w:instrText>
            </w:r>
            <w:r w:rsidR="001613F4">
              <w:rPr>
                <w:webHidden/>
              </w:rPr>
            </w:r>
            <w:r w:rsidR="001613F4">
              <w:rPr>
                <w:webHidden/>
              </w:rPr>
              <w:fldChar w:fldCharType="separate"/>
            </w:r>
            <w:r w:rsidR="001613F4">
              <w:rPr>
                <w:webHidden/>
              </w:rPr>
              <w:t>54</w:t>
            </w:r>
            <w:r w:rsidR="001613F4">
              <w:rPr>
                <w:webHidden/>
              </w:rPr>
              <w:fldChar w:fldCharType="end"/>
            </w:r>
          </w:hyperlink>
        </w:p>
        <w:p w14:paraId="193908FF" w14:textId="551DF88F" w:rsidR="001613F4" w:rsidRDefault="00530199">
          <w:pPr>
            <w:pStyle w:val="TOC2"/>
            <w:rPr>
              <w:rFonts w:asciiTheme="minorHAnsi" w:hAnsiTheme="minorHAnsi" w:cstheme="minorBidi"/>
            </w:rPr>
          </w:pPr>
          <w:hyperlink w:anchor="_Toc137649817" w:history="1">
            <w:r w:rsidR="001613F4" w:rsidRPr="00FE0196">
              <w:rPr>
                <w:rStyle w:val="Hyperlink"/>
              </w:rPr>
              <w:t>G.</w:t>
            </w:r>
            <w:r w:rsidR="001613F4">
              <w:rPr>
                <w:rFonts w:asciiTheme="minorHAnsi" w:hAnsiTheme="minorHAnsi" w:cstheme="minorBidi"/>
              </w:rPr>
              <w:tab/>
            </w:r>
            <w:r w:rsidR="001613F4" w:rsidRPr="00FE0196">
              <w:rPr>
                <w:rStyle w:val="Hyperlink"/>
              </w:rPr>
              <w:t>Additional Considerations and Requirements for Assumptions Applicable to Guaranteed  Living Benefits</w:t>
            </w:r>
            <w:r w:rsidR="001613F4">
              <w:rPr>
                <w:webHidden/>
              </w:rPr>
              <w:tab/>
            </w:r>
            <w:r w:rsidR="001613F4">
              <w:rPr>
                <w:webHidden/>
              </w:rPr>
              <w:fldChar w:fldCharType="begin"/>
            </w:r>
            <w:r w:rsidR="001613F4">
              <w:rPr>
                <w:webHidden/>
              </w:rPr>
              <w:instrText xml:space="preserve"> PAGEREF _Toc137649817 \h </w:instrText>
            </w:r>
            <w:r w:rsidR="001613F4">
              <w:rPr>
                <w:webHidden/>
              </w:rPr>
            </w:r>
            <w:r w:rsidR="001613F4">
              <w:rPr>
                <w:webHidden/>
              </w:rPr>
              <w:fldChar w:fldCharType="separate"/>
            </w:r>
            <w:r w:rsidR="001613F4">
              <w:rPr>
                <w:webHidden/>
              </w:rPr>
              <w:t>54</w:t>
            </w:r>
            <w:r w:rsidR="001613F4">
              <w:rPr>
                <w:webHidden/>
              </w:rPr>
              <w:fldChar w:fldCharType="end"/>
            </w:r>
          </w:hyperlink>
        </w:p>
        <w:p w14:paraId="3C1AEED0" w14:textId="0C40134A" w:rsidR="001613F4" w:rsidRDefault="00530199">
          <w:pPr>
            <w:pStyle w:val="TOC2"/>
            <w:rPr>
              <w:rFonts w:asciiTheme="minorHAnsi" w:hAnsiTheme="minorHAnsi" w:cstheme="minorBidi"/>
            </w:rPr>
          </w:pPr>
          <w:hyperlink w:anchor="_Toc137649818" w:history="1">
            <w:r w:rsidR="001613F4" w:rsidRPr="00FE0196">
              <w:rPr>
                <w:rStyle w:val="Hyperlink"/>
              </w:rPr>
              <w:t>H.</w:t>
            </w:r>
            <w:r w:rsidR="001613F4">
              <w:rPr>
                <w:rFonts w:asciiTheme="minorHAnsi" w:hAnsiTheme="minorHAnsi" w:cstheme="minorBidi"/>
              </w:rPr>
              <w:tab/>
            </w:r>
            <w:r w:rsidR="001613F4" w:rsidRPr="00FE0196">
              <w:rPr>
                <w:rStyle w:val="Hyperlink"/>
              </w:rPr>
              <w:t>Policy Loans</w:t>
            </w:r>
            <w:r w:rsidR="001613F4">
              <w:rPr>
                <w:webHidden/>
              </w:rPr>
              <w:tab/>
            </w:r>
            <w:r w:rsidR="001613F4">
              <w:rPr>
                <w:webHidden/>
              </w:rPr>
              <w:fldChar w:fldCharType="begin"/>
            </w:r>
            <w:r w:rsidR="001613F4">
              <w:rPr>
                <w:webHidden/>
              </w:rPr>
              <w:instrText xml:space="preserve"> PAGEREF _Toc137649818 \h </w:instrText>
            </w:r>
            <w:r w:rsidR="001613F4">
              <w:rPr>
                <w:webHidden/>
              </w:rPr>
            </w:r>
            <w:r w:rsidR="001613F4">
              <w:rPr>
                <w:webHidden/>
              </w:rPr>
              <w:fldChar w:fldCharType="separate"/>
            </w:r>
            <w:r w:rsidR="001613F4">
              <w:rPr>
                <w:webHidden/>
              </w:rPr>
              <w:t>54</w:t>
            </w:r>
            <w:r w:rsidR="001613F4">
              <w:rPr>
                <w:webHidden/>
              </w:rPr>
              <w:fldChar w:fldCharType="end"/>
            </w:r>
          </w:hyperlink>
        </w:p>
        <w:p w14:paraId="704862AC" w14:textId="6B957390" w:rsidR="001613F4" w:rsidRDefault="00530199">
          <w:pPr>
            <w:pStyle w:val="TOC2"/>
            <w:rPr>
              <w:rFonts w:asciiTheme="minorHAnsi" w:hAnsiTheme="minorHAnsi" w:cstheme="minorBidi"/>
            </w:rPr>
          </w:pPr>
          <w:hyperlink w:anchor="_Toc137649819" w:history="1">
            <w:r w:rsidR="001613F4" w:rsidRPr="00FE0196">
              <w:rPr>
                <w:rStyle w:val="Hyperlink"/>
              </w:rPr>
              <w:t>I.</w:t>
            </w:r>
            <w:r w:rsidR="001613F4">
              <w:rPr>
                <w:rFonts w:asciiTheme="minorHAnsi" w:hAnsiTheme="minorHAnsi" w:cstheme="minorBidi"/>
              </w:rPr>
              <w:tab/>
            </w:r>
            <w:r w:rsidR="001613F4" w:rsidRPr="00FE0196">
              <w:rPr>
                <w:rStyle w:val="Hyperlink"/>
              </w:rPr>
              <w:t>Non-Guaranteed Elements</w:t>
            </w:r>
            <w:r w:rsidR="001613F4">
              <w:rPr>
                <w:webHidden/>
              </w:rPr>
              <w:tab/>
            </w:r>
            <w:r w:rsidR="001613F4">
              <w:rPr>
                <w:webHidden/>
              </w:rPr>
              <w:fldChar w:fldCharType="begin"/>
            </w:r>
            <w:r w:rsidR="001613F4">
              <w:rPr>
                <w:webHidden/>
              </w:rPr>
              <w:instrText xml:space="preserve"> PAGEREF _Toc137649819 \h </w:instrText>
            </w:r>
            <w:r w:rsidR="001613F4">
              <w:rPr>
                <w:webHidden/>
              </w:rPr>
            </w:r>
            <w:r w:rsidR="001613F4">
              <w:rPr>
                <w:webHidden/>
              </w:rPr>
              <w:fldChar w:fldCharType="separate"/>
            </w:r>
            <w:r w:rsidR="001613F4">
              <w:rPr>
                <w:webHidden/>
              </w:rPr>
              <w:t>55</w:t>
            </w:r>
            <w:r w:rsidR="001613F4">
              <w:rPr>
                <w:webHidden/>
              </w:rPr>
              <w:fldChar w:fldCharType="end"/>
            </w:r>
          </w:hyperlink>
        </w:p>
        <w:p w14:paraId="23FE5AC5" w14:textId="083D74EB" w:rsidR="001613F4" w:rsidRDefault="00530199" w:rsidP="001613F4">
          <w:pPr>
            <w:pStyle w:val="TOC1"/>
            <w:rPr>
              <w:rFonts w:asciiTheme="minorHAnsi" w:hAnsiTheme="minorHAnsi" w:cstheme="minorBidi"/>
            </w:rPr>
          </w:pPr>
          <w:hyperlink w:anchor="_Toc137649820" w:history="1">
            <w:r w:rsidR="001613F4" w:rsidRPr="00FE0196">
              <w:rPr>
                <w:rStyle w:val="Hyperlink"/>
              </w:rPr>
              <w:t>Section 11: Guidance and Requirements for Setting Prudent Estimate Mortality Assumptions</w:t>
            </w:r>
            <w:r w:rsidR="001613F4">
              <w:rPr>
                <w:webHidden/>
              </w:rPr>
              <w:tab/>
            </w:r>
            <w:r w:rsidR="001613F4">
              <w:rPr>
                <w:webHidden/>
              </w:rPr>
              <w:fldChar w:fldCharType="begin"/>
            </w:r>
            <w:r w:rsidR="001613F4">
              <w:rPr>
                <w:webHidden/>
              </w:rPr>
              <w:instrText xml:space="preserve"> PAGEREF _Toc137649820 \h </w:instrText>
            </w:r>
            <w:r w:rsidR="001613F4">
              <w:rPr>
                <w:webHidden/>
              </w:rPr>
            </w:r>
            <w:r w:rsidR="001613F4">
              <w:rPr>
                <w:webHidden/>
              </w:rPr>
              <w:fldChar w:fldCharType="separate"/>
            </w:r>
            <w:r w:rsidR="001613F4">
              <w:rPr>
                <w:webHidden/>
              </w:rPr>
              <w:t>57</w:t>
            </w:r>
            <w:r w:rsidR="001613F4">
              <w:rPr>
                <w:webHidden/>
              </w:rPr>
              <w:fldChar w:fldCharType="end"/>
            </w:r>
          </w:hyperlink>
        </w:p>
        <w:p w14:paraId="6FECFBD3" w14:textId="591A06E9" w:rsidR="001613F4" w:rsidRDefault="00530199">
          <w:pPr>
            <w:pStyle w:val="TOC2"/>
            <w:rPr>
              <w:rFonts w:asciiTheme="minorHAnsi" w:hAnsiTheme="minorHAnsi" w:cstheme="minorBidi"/>
            </w:rPr>
          </w:pPr>
          <w:hyperlink w:anchor="_Toc137649821" w:history="1">
            <w:r w:rsidR="001613F4" w:rsidRPr="00FE0196">
              <w:rPr>
                <w:rStyle w:val="Hyperlink"/>
              </w:rPr>
              <w:t>A.</w:t>
            </w:r>
            <w:r w:rsidR="001613F4">
              <w:rPr>
                <w:rFonts w:asciiTheme="minorHAnsi" w:hAnsiTheme="minorHAnsi" w:cstheme="minorBidi"/>
              </w:rPr>
              <w:tab/>
            </w:r>
            <w:r w:rsidR="001613F4" w:rsidRPr="00FE0196">
              <w:rPr>
                <w:rStyle w:val="Hyperlink"/>
              </w:rPr>
              <w:t>Overview</w:t>
            </w:r>
            <w:r w:rsidR="001613F4">
              <w:rPr>
                <w:webHidden/>
              </w:rPr>
              <w:tab/>
            </w:r>
            <w:r w:rsidR="001613F4">
              <w:rPr>
                <w:webHidden/>
              </w:rPr>
              <w:fldChar w:fldCharType="begin"/>
            </w:r>
            <w:r w:rsidR="001613F4">
              <w:rPr>
                <w:webHidden/>
              </w:rPr>
              <w:instrText xml:space="preserve"> PAGEREF _Toc137649821 \h </w:instrText>
            </w:r>
            <w:r w:rsidR="001613F4">
              <w:rPr>
                <w:webHidden/>
              </w:rPr>
            </w:r>
            <w:r w:rsidR="001613F4">
              <w:rPr>
                <w:webHidden/>
              </w:rPr>
              <w:fldChar w:fldCharType="separate"/>
            </w:r>
            <w:r w:rsidR="001613F4">
              <w:rPr>
                <w:webHidden/>
              </w:rPr>
              <w:t>57</w:t>
            </w:r>
            <w:r w:rsidR="001613F4">
              <w:rPr>
                <w:webHidden/>
              </w:rPr>
              <w:fldChar w:fldCharType="end"/>
            </w:r>
          </w:hyperlink>
        </w:p>
        <w:p w14:paraId="7185B9B2" w14:textId="1131CD72" w:rsidR="001613F4" w:rsidRDefault="00530199">
          <w:pPr>
            <w:pStyle w:val="TOC2"/>
            <w:rPr>
              <w:rFonts w:asciiTheme="minorHAnsi" w:hAnsiTheme="minorHAnsi" w:cstheme="minorBidi"/>
            </w:rPr>
          </w:pPr>
          <w:hyperlink w:anchor="_Toc137649822" w:history="1">
            <w:r w:rsidR="001613F4" w:rsidRPr="00FE0196">
              <w:rPr>
                <w:rStyle w:val="Hyperlink"/>
              </w:rPr>
              <w:t>B.</w:t>
            </w:r>
            <w:r w:rsidR="001613F4">
              <w:rPr>
                <w:rFonts w:asciiTheme="minorHAnsi" w:hAnsiTheme="minorHAnsi" w:cstheme="minorBidi"/>
              </w:rPr>
              <w:tab/>
            </w:r>
            <w:r w:rsidR="001613F4" w:rsidRPr="00FE0196">
              <w:rPr>
                <w:rStyle w:val="Hyperlink"/>
              </w:rPr>
              <w:t>Determination of Expected Mortality Curves</w:t>
            </w:r>
            <w:r w:rsidR="001613F4">
              <w:rPr>
                <w:webHidden/>
              </w:rPr>
              <w:tab/>
            </w:r>
            <w:r w:rsidR="001613F4">
              <w:rPr>
                <w:webHidden/>
              </w:rPr>
              <w:fldChar w:fldCharType="begin"/>
            </w:r>
            <w:r w:rsidR="001613F4">
              <w:rPr>
                <w:webHidden/>
              </w:rPr>
              <w:instrText xml:space="preserve"> PAGEREF _Toc137649822 \h </w:instrText>
            </w:r>
            <w:r w:rsidR="001613F4">
              <w:rPr>
                <w:webHidden/>
              </w:rPr>
            </w:r>
            <w:r w:rsidR="001613F4">
              <w:rPr>
                <w:webHidden/>
              </w:rPr>
              <w:fldChar w:fldCharType="separate"/>
            </w:r>
            <w:r w:rsidR="001613F4">
              <w:rPr>
                <w:webHidden/>
              </w:rPr>
              <w:t>58</w:t>
            </w:r>
            <w:r w:rsidR="001613F4">
              <w:rPr>
                <w:webHidden/>
              </w:rPr>
              <w:fldChar w:fldCharType="end"/>
            </w:r>
          </w:hyperlink>
        </w:p>
        <w:p w14:paraId="3231DF2C" w14:textId="47BB7120" w:rsidR="001613F4" w:rsidRDefault="00530199">
          <w:pPr>
            <w:pStyle w:val="TOC2"/>
            <w:rPr>
              <w:rFonts w:asciiTheme="minorHAnsi" w:hAnsiTheme="minorHAnsi" w:cstheme="minorBidi"/>
            </w:rPr>
          </w:pPr>
          <w:hyperlink w:anchor="_Toc137649823" w:history="1">
            <w:r w:rsidR="001613F4" w:rsidRPr="00FE0196">
              <w:rPr>
                <w:rStyle w:val="Hyperlink"/>
              </w:rPr>
              <w:t>C.</w:t>
            </w:r>
            <w:r w:rsidR="001613F4">
              <w:rPr>
                <w:rFonts w:asciiTheme="minorHAnsi" w:hAnsiTheme="minorHAnsi" w:cstheme="minorBidi"/>
              </w:rPr>
              <w:tab/>
            </w:r>
            <w:r w:rsidR="001613F4" w:rsidRPr="00FE0196">
              <w:rPr>
                <w:rStyle w:val="Hyperlink"/>
              </w:rPr>
              <w:t>Adjustment for Credibility to Determine Prudent Estimate Mortality</w:t>
            </w:r>
            <w:r w:rsidR="001613F4">
              <w:rPr>
                <w:webHidden/>
              </w:rPr>
              <w:tab/>
            </w:r>
            <w:r w:rsidR="001613F4">
              <w:rPr>
                <w:webHidden/>
              </w:rPr>
              <w:fldChar w:fldCharType="begin"/>
            </w:r>
            <w:r w:rsidR="001613F4">
              <w:rPr>
                <w:webHidden/>
              </w:rPr>
              <w:instrText xml:space="preserve"> PAGEREF _Toc137649823 \h </w:instrText>
            </w:r>
            <w:r w:rsidR="001613F4">
              <w:rPr>
                <w:webHidden/>
              </w:rPr>
            </w:r>
            <w:r w:rsidR="001613F4">
              <w:rPr>
                <w:webHidden/>
              </w:rPr>
              <w:fldChar w:fldCharType="separate"/>
            </w:r>
            <w:r w:rsidR="001613F4">
              <w:rPr>
                <w:webHidden/>
              </w:rPr>
              <w:t>61</w:t>
            </w:r>
            <w:r w:rsidR="001613F4">
              <w:rPr>
                <w:webHidden/>
              </w:rPr>
              <w:fldChar w:fldCharType="end"/>
            </w:r>
          </w:hyperlink>
        </w:p>
        <w:p w14:paraId="3E4B580D" w14:textId="5D06818A" w:rsidR="001613F4" w:rsidRDefault="00530199">
          <w:pPr>
            <w:pStyle w:val="TOC2"/>
            <w:rPr>
              <w:rFonts w:asciiTheme="minorHAnsi" w:hAnsiTheme="minorHAnsi" w:cstheme="minorBidi"/>
            </w:rPr>
          </w:pPr>
          <w:hyperlink w:anchor="_Toc137649824" w:history="1">
            <w:r w:rsidR="001613F4" w:rsidRPr="00FE0196">
              <w:rPr>
                <w:rStyle w:val="Hyperlink"/>
              </w:rPr>
              <w:t>D.</w:t>
            </w:r>
            <w:r w:rsidR="001613F4">
              <w:rPr>
                <w:rFonts w:asciiTheme="minorHAnsi" w:hAnsiTheme="minorHAnsi" w:cstheme="minorBidi"/>
              </w:rPr>
              <w:tab/>
            </w:r>
            <w:r w:rsidR="001613F4" w:rsidRPr="00FE0196">
              <w:rPr>
                <w:rStyle w:val="Hyperlink"/>
              </w:rPr>
              <w:t>Future Mortality Improvement</w:t>
            </w:r>
            <w:r w:rsidR="001613F4">
              <w:rPr>
                <w:webHidden/>
              </w:rPr>
              <w:tab/>
            </w:r>
            <w:r w:rsidR="001613F4">
              <w:rPr>
                <w:webHidden/>
              </w:rPr>
              <w:fldChar w:fldCharType="begin"/>
            </w:r>
            <w:r w:rsidR="001613F4">
              <w:rPr>
                <w:webHidden/>
              </w:rPr>
              <w:instrText xml:space="preserve"> PAGEREF _Toc137649824 \h </w:instrText>
            </w:r>
            <w:r w:rsidR="001613F4">
              <w:rPr>
                <w:webHidden/>
              </w:rPr>
            </w:r>
            <w:r w:rsidR="001613F4">
              <w:rPr>
                <w:webHidden/>
              </w:rPr>
              <w:fldChar w:fldCharType="separate"/>
            </w:r>
            <w:r w:rsidR="001613F4">
              <w:rPr>
                <w:webHidden/>
              </w:rPr>
              <w:t>62</w:t>
            </w:r>
            <w:r w:rsidR="001613F4">
              <w:rPr>
                <w:webHidden/>
              </w:rPr>
              <w:fldChar w:fldCharType="end"/>
            </w:r>
          </w:hyperlink>
        </w:p>
        <w:p w14:paraId="6B7DC5FC" w14:textId="14392A61" w:rsidR="001613F4" w:rsidRDefault="00530199" w:rsidP="001613F4">
          <w:pPr>
            <w:pStyle w:val="TOC1"/>
            <w:rPr>
              <w:rFonts w:asciiTheme="minorHAnsi" w:hAnsiTheme="minorHAnsi" w:cstheme="minorBidi"/>
            </w:rPr>
          </w:pPr>
          <w:hyperlink w:anchor="_Toc137649825" w:history="1">
            <w:r w:rsidR="001613F4" w:rsidRPr="00FE0196">
              <w:rPr>
                <w:rStyle w:val="Hyperlink"/>
              </w:rPr>
              <w:t>Section 12: Other Guidance and Requirements for Assumptions</w:t>
            </w:r>
            <w:r w:rsidR="001613F4">
              <w:rPr>
                <w:webHidden/>
              </w:rPr>
              <w:tab/>
            </w:r>
            <w:r w:rsidR="001613F4">
              <w:rPr>
                <w:webHidden/>
              </w:rPr>
              <w:fldChar w:fldCharType="begin"/>
            </w:r>
            <w:r w:rsidR="001613F4">
              <w:rPr>
                <w:webHidden/>
              </w:rPr>
              <w:instrText xml:space="preserve"> PAGEREF _Toc137649825 \h </w:instrText>
            </w:r>
            <w:r w:rsidR="001613F4">
              <w:rPr>
                <w:webHidden/>
              </w:rPr>
            </w:r>
            <w:r w:rsidR="001613F4">
              <w:rPr>
                <w:webHidden/>
              </w:rPr>
              <w:fldChar w:fldCharType="separate"/>
            </w:r>
            <w:r w:rsidR="001613F4">
              <w:rPr>
                <w:webHidden/>
              </w:rPr>
              <w:t>63</w:t>
            </w:r>
            <w:r w:rsidR="001613F4">
              <w:rPr>
                <w:webHidden/>
              </w:rPr>
              <w:fldChar w:fldCharType="end"/>
            </w:r>
          </w:hyperlink>
        </w:p>
        <w:p w14:paraId="53213787" w14:textId="43506F45" w:rsidR="001613F4" w:rsidRDefault="00530199" w:rsidP="001613F4">
          <w:pPr>
            <w:pStyle w:val="TOC1"/>
            <w:rPr>
              <w:rFonts w:asciiTheme="minorHAnsi" w:hAnsiTheme="minorHAnsi" w:cstheme="minorBidi"/>
            </w:rPr>
          </w:pPr>
          <w:hyperlink w:anchor="_Toc137649826" w:history="1">
            <w:r w:rsidR="001613F4" w:rsidRPr="00FE0196">
              <w:rPr>
                <w:rStyle w:val="Hyperlink"/>
              </w:rPr>
              <w:t>Section 13: Allocation of Aggregate Reserves to the Contract Level</w:t>
            </w:r>
            <w:r w:rsidR="001613F4">
              <w:rPr>
                <w:webHidden/>
              </w:rPr>
              <w:tab/>
            </w:r>
            <w:r w:rsidR="001613F4">
              <w:rPr>
                <w:webHidden/>
              </w:rPr>
              <w:fldChar w:fldCharType="begin"/>
            </w:r>
            <w:r w:rsidR="001613F4">
              <w:rPr>
                <w:webHidden/>
              </w:rPr>
              <w:instrText xml:space="preserve"> PAGEREF _Toc137649826 \h </w:instrText>
            </w:r>
            <w:r w:rsidR="001613F4">
              <w:rPr>
                <w:webHidden/>
              </w:rPr>
            </w:r>
            <w:r w:rsidR="001613F4">
              <w:rPr>
                <w:webHidden/>
              </w:rPr>
              <w:fldChar w:fldCharType="separate"/>
            </w:r>
            <w:r w:rsidR="001613F4">
              <w:rPr>
                <w:webHidden/>
              </w:rPr>
              <w:t>68</w:t>
            </w:r>
            <w:r w:rsidR="001613F4">
              <w:rPr>
                <w:webHidden/>
              </w:rPr>
              <w:fldChar w:fldCharType="end"/>
            </w:r>
          </w:hyperlink>
        </w:p>
        <w:p w14:paraId="3C5C0DEF" w14:textId="4FB74EDD" w:rsidR="001613F4" w:rsidRDefault="00530199" w:rsidP="001613F4">
          <w:pPr>
            <w:pStyle w:val="TOC1"/>
            <w:rPr>
              <w:rFonts w:asciiTheme="minorHAnsi" w:hAnsiTheme="minorHAnsi" w:cstheme="minorBidi"/>
            </w:rPr>
          </w:pPr>
          <w:hyperlink w:anchor="_Toc137649827" w:history="1">
            <w:r w:rsidR="001613F4" w:rsidRPr="00FE0196">
              <w:rPr>
                <w:rStyle w:val="Hyperlink"/>
              </w:rPr>
              <w:t>VM-V: Statutory Maximum Valuation Interest Rates for Formulaic Reserves</w:t>
            </w:r>
            <w:r w:rsidR="001613F4">
              <w:rPr>
                <w:webHidden/>
              </w:rPr>
              <w:tab/>
            </w:r>
            <w:r w:rsidR="001613F4">
              <w:rPr>
                <w:webHidden/>
              </w:rPr>
              <w:fldChar w:fldCharType="begin"/>
            </w:r>
            <w:r w:rsidR="001613F4">
              <w:rPr>
                <w:webHidden/>
              </w:rPr>
              <w:instrText xml:space="preserve"> PAGEREF _Toc137649827 \h </w:instrText>
            </w:r>
            <w:r w:rsidR="001613F4">
              <w:rPr>
                <w:webHidden/>
              </w:rPr>
            </w:r>
            <w:r w:rsidR="001613F4">
              <w:rPr>
                <w:webHidden/>
              </w:rPr>
              <w:fldChar w:fldCharType="separate"/>
            </w:r>
            <w:r w:rsidR="001613F4">
              <w:rPr>
                <w:webHidden/>
              </w:rPr>
              <w:t>72</w:t>
            </w:r>
            <w:r w:rsidR="001613F4">
              <w:rPr>
                <w:webHidden/>
              </w:rPr>
              <w:fldChar w:fldCharType="end"/>
            </w:r>
          </w:hyperlink>
        </w:p>
        <w:p w14:paraId="328F6623" w14:textId="1CA81BD2" w:rsidR="001613F4" w:rsidRPr="008E6717" w:rsidRDefault="00530199">
          <w:pPr>
            <w:pStyle w:val="TOC3"/>
            <w:rPr>
              <w:rFonts w:ascii="Times New Roman" w:hAnsi="Times New Roman"/>
              <w:noProof/>
            </w:rPr>
          </w:pPr>
          <w:hyperlink w:anchor="_Toc137649828" w:history="1">
            <w:r w:rsidR="001613F4" w:rsidRPr="008E6717">
              <w:rPr>
                <w:rStyle w:val="Hyperlink"/>
                <w:rFonts w:ascii="Times New Roman" w:hAnsi="Times New Roman"/>
                <w:noProof/>
              </w:rPr>
              <w:t>1. Income Annuities</w:t>
            </w:r>
            <w:r w:rsidR="001613F4" w:rsidRPr="008E6717">
              <w:rPr>
                <w:rFonts w:ascii="Times New Roman" w:hAnsi="Times New Roman"/>
                <w:noProof/>
                <w:webHidden/>
              </w:rPr>
              <w:tab/>
            </w:r>
            <w:r w:rsidR="001613F4" w:rsidRPr="008E6717">
              <w:rPr>
                <w:rFonts w:ascii="Times New Roman" w:hAnsi="Times New Roman"/>
                <w:noProof/>
                <w:webHidden/>
              </w:rPr>
              <w:fldChar w:fldCharType="begin"/>
            </w:r>
            <w:r w:rsidR="001613F4" w:rsidRPr="008E6717">
              <w:rPr>
                <w:rFonts w:ascii="Times New Roman" w:hAnsi="Times New Roman"/>
                <w:noProof/>
                <w:webHidden/>
              </w:rPr>
              <w:instrText xml:space="preserve"> PAGEREF _Toc137649828 \h </w:instrText>
            </w:r>
            <w:r w:rsidR="001613F4" w:rsidRPr="008E6717">
              <w:rPr>
                <w:rFonts w:ascii="Times New Roman" w:hAnsi="Times New Roman"/>
                <w:noProof/>
                <w:webHidden/>
              </w:rPr>
            </w:r>
            <w:r w:rsidR="001613F4" w:rsidRPr="008E6717">
              <w:rPr>
                <w:rFonts w:ascii="Times New Roman" w:hAnsi="Times New Roman"/>
                <w:noProof/>
                <w:webHidden/>
              </w:rPr>
              <w:fldChar w:fldCharType="separate"/>
            </w:r>
            <w:r w:rsidR="001613F4" w:rsidRPr="008E6717">
              <w:rPr>
                <w:rFonts w:ascii="Times New Roman" w:hAnsi="Times New Roman"/>
                <w:noProof/>
                <w:webHidden/>
              </w:rPr>
              <w:t>72</w:t>
            </w:r>
            <w:r w:rsidR="001613F4" w:rsidRPr="008E6717">
              <w:rPr>
                <w:rFonts w:ascii="Times New Roman" w:hAnsi="Times New Roman"/>
                <w:noProof/>
                <w:webHidden/>
              </w:rPr>
              <w:fldChar w:fldCharType="end"/>
            </w:r>
          </w:hyperlink>
        </w:p>
        <w:p w14:paraId="424E1E29" w14:textId="345F8373" w:rsidR="001613F4" w:rsidRPr="008E6717" w:rsidRDefault="00530199">
          <w:pPr>
            <w:pStyle w:val="TOC3"/>
            <w:rPr>
              <w:rFonts w:ascii="Times New Roman" w:hAnsi="Times New Roman"/>
              <w:noProof/>
            </w:rPr>
          </w:pPr>
          <w:hyperlink w:anchor="_Toc137649829" w:history="1">
            <w:r w:rsidR="001613F4" w:rsidRPr="008E6717">
              <w:rPr>
                <w:rStyle w:val="Hyperlink"/>
                <w:rFonts w:ascii="Times New Roman" w:hAnsi="Times New Roman"/>
                <w:noProof/>
              </w:rPr>
              <w:t>A. Purpose and Scope</w:t>
            </w:r>
            <w:r w:rsidR="001613F4" w:rsidRPr="008E6717">
              <w:rPr>
                <w:rFonts w:ascii="Times New Roman" w:hAnsi="Times New Roman"/>
                <w:noProof/>
                <w:webHidden/>
              </w:rPr>
              <w:tab/>
            </w:r>
            <w:r w:rsidR="001613F4" w:rsidRPr="008E6717">
              <w:rPr>
                <w:rFonts w:ascii="Times New Roman" w:hAnsi="Times New Roman"/>
                <w:noProof/>
                <w:webHidden/>
              </w:rPr>
              <w:fldChar w:fldCharType="begin"/>
            </w:r>
            <w:r w:rsidR="001613F4" w:rsidRPr="008E6717">
              <w:rPr>
                <w:rFonts w:ascii="Times New Roman" w:hAnsi="Times New Roman"/>
                <w:noProof/>
                <w:webHidden/>
              </w:rPr>
              <w:instrText xml:space="preserve"> PAGEREF _Toc137649829 \h </w:instrText>
            </w:r>
            <w:r w:rsidR="001613F4" w:rsidRPr="008E6717">
              <w:rPr>
                <w:rFonts w:ascii="Times New Roman" w:hAnsi="Times New Roman"/>
                <w:noProof/>
                <w:webHidden/>
              </w:rPr>
            </w:r>
            <w:r w:rsidR="001613F4" w:rsidRPr="008E6717">
              <w:rPr>
                <w:rFonts w:ascii="Times New Roman" w:hAnsi="Times New Roman"/>
                <w:noProof/>
                <w:webHidden/>
              </w:rPr>
              <w:fldChar w:fldCharType="separate"/>
            </w:r>
            <w:r w:rsidR="001613F4" w:rsidRPr="008E6717">
              <w:rPr>
                <w:rFonts w:ascii="Times New Roman" w:hAnsi="Times New Roman"/>
                <w:noProof/>
                <w:webHidden/>
              </w:rPr>
              <w:t>72</w:t>
            </w:r>
            <w:r w:rsidR="001613F4" w:rsidRPr="008E6717">
              <w:rPr>
                <w:rFonts w:ascii="Times New Roman" w:hAnsi="Times New Roman"/>
                <w:noProof/>
                <w:webHidden/>
              </w:rPr>
              <w:fldChar w:fldCharType="end"/>
            </w:r>
          </w:hyperlink>
        </w:p>
        <w:p w14:paraId="49E7F5BE" w14:textId="5E06D1C1" w:rsidR="001613F4" w:rsidRPr="008E6717" w:rsidRDefault="00530199">
          <w:pPr>
            <w:pStyle w:val="TOC3"/>
            <w:rPr>
              <w:rFonts w:ascii="Times New Roman" w:hAnsi="Times New Roman"/>
              <w:noProof/>
            </w:rPr>
          </w:pPr>
          <w:hyperlink w:anchor="_Toc137649830" w:history="1">
            <w:r w:rsidR="001613F4" w:rsidRPr="008E6717">
              <w:rPr>
                <w:rStyle w:val="Hyperlink"/>
                <w:rFonts w:ascii="Times New Roman" w:hAnsi="Times New Roman"/>
                <w:noProof/>
              </w:rPr>
              <w:t>B. Definitions</w:t>
            </w:r>
            <w:r w:rsidR="001613F4" w:rsidRPr="008E6717">
              <w:rPr>
                <w:rFonts w:ascii="Times New Roman" w:hAnsi="Times New Roman"/>
                <w:noProof/>
                <w:webHidden/>
              </w:rPr>
              <w:tab/>
            </w:r>
            <w:r w:rsidR="001613F4" w:rsidRPr="008E6717">
              <w:rPr>
                <w:rFonts w:ascii="Times New Roman" w:hAnsi="Times New Roman"/>
                <w:noProof/>
                <w:webHidden/>
              </w:rPr>
              <w:fldChar w:fldCharType="begin"/>
            </w:r>
            <w:r w:rsidR="001613F4" w:rsidRPr="008E6717">
              <w:rPr>
                <w:rFonts w:ascii="Times New Roman" w:hAnsi="Times New Roman"/>
                <w:noProof/>
                <w:webHidden/>
              </w:rPr>
              <w:instrText xml:space="preserve"> PAGEREF _Toc137649830 \h </w:instrText>
            </w:r>
            <w:r w:rsidR="001613F4" w:rsidRPr="008E6717">
              <w:rPr>
                <w:rFonts w:ascii="Times New Roman" w:hAnsi="Times New Roman"/>
                <w:noProof/>
                <w:webHidden/>
              </w:rPr>
            </w:r>
            <w:r w:rsidR="001613F4" w:rsidRPr="008E6717">
              <w:rPr>
                <w:rFonts w:ascii="Times New Roman" w:hAnsi="Times New Roman"/>
                <w:noProof/>
                <w:webHidden/>
              </w:rPr>
              <w:fldChar w:fldCharType="separate"/>
            </w:r>
            <w:r w:rsidR="001613F4" w:rsidRPr="008E6717">
              <w:rPr>
                <w:rFonts w:ascii="Times New Roman" w:hAnsi="Times New Roman"/>
                <w:noProof/>
                <w:webHidden/>
              </w:rPr>
              <w:t>73</w:t>
            </w:r>
            <w:r w:rsidR="001613F4" w:rsidRPr="008E6717">
              <w:rPr>
                <w:rFonts w:ascii="Times New Roman" w:hAnsi="Times New Roman"/>
                <w:noProof/>
                <w:webHidden/>
              </w:rPr>
              <w:fldChar w:fldCharType="end"/>
            </w:r>
          </w:hyperlink>
        </w:p>
        <w:p w14:paraId="62CB549C" w14:textId="26904384" w:rsidR="001613F4" w:rsidRPr="008E6717" w:rsidRDefault="00530199">
          <w:pPr>
            <w:pStyle w:val="TOC3"/>
            <w:rPr>
              <w:rFonts w:ascii="Times New Roman" w:hAnsi="Times New Roman"/>
              <w:noProof/>
            </w:rPr>
          </w:pPr>
          <w:hyperlink w:anchor="_Toc137649831" w:history="1">
            <w:r w:rsidR="001613F4" w:rsidRPr="008E6717">
              <w:rPr>
                <w:rStyle w:val="Hyperlink"/>
                <w:rFonts w:ascii="Times New Roman" w:eastAsiaTheme="minorHAnsi" w:hAnsi="Times New Roman"/>
                <w:noProof/>
              </w:rPr>
              <w:t>C. Determination of the Statutory Maximum Valuation Interest Rate</w:t>
            </w:r>
            <w:r w:rsidR="001613F4" w:rsidRPr="008E6717">
              <w:rPr>
                <w:rFonts w:ascii="Times New Roman" w:hAnsi="Times New Roman"/>
                <w:noProof/>
                <w:webHidden/>
              </w:rPr>
              <w:tab/>
            </w:r>
            <w:r w:rsidR="001613F4" w:rsidRPr="008E6717">
              <w:rPr>
                <w:rFonts w:ascii="Times New Roman" w:hAnsi="Times New Roman"/>
                <w:noProof/>
                <w:webHidden/>
              </w:rPr>
              <w:fldChar w:fldCharType="begin"/>
            </w:r>
            <w:r w:rsidR="001613F4" w:rsidRPr="008E6717">
              <w:rPr>
                <w:rFonts w:ascii="Times New Roman" w:hAnsi="Times New Roman"/>
                <w:noProof/>
                <w:webHidden/>
              </w:rPr>
              <w:instrText xml:space="preserve"> PAGEREF _Toc137649831 \h </w:instrText>
            </w:r>
            <w:r w:rsidR="001613F4" w:rsidRPr="008E6717">
              <w:rPr>
                <w:rFonts w:ascii="Times New Roman" w:hAnsi="Times New Roman"/>
                <w:noProof/>
                <w:webHidden/>
              </w:rPr>
            </w:r>
            <w:r w:rsidR="001613F4" w:rsidRPr="008E6717">
              <w:rPr>
                <w:rFonts w:ascii="Times New Roman" w:hAnsi="Times New Roman"/>
                <w:noProof/>
                <w:webHidden/>
              </w:rPr>
              <w:fldChar w:fldCharType="separate"/>
            </w:r>
            <w:r w:rsidR="001613F4" w:rsidRPr="008E6717">
              <w:rPr>
                <w:rFonts w:ascii="Times New Roman" w:hAnsi="Times New Roman"/>
                <w:noProof/>
                <w:webHidden/>
              </w:rPr>
              <w:t>74</w:t>
            </w:r>
            <w:r w:rsidR="001613F4" w:rsidRPr="008E6717">
              <w:rPr>
                <w:rFonts w:ascii="Times New Roman" w:hAnsi="Times New Roman"/>
                <w:noProof/>
                <w:webHidden/>
              </w:rPr>
              <w:fldChar w:fldCharType="end"/>
            </w:r>
          </w:hyperlink>
        </w:p>
        <w:p w14:paraId="6360E40D" w14:textId="279A6A41" w:rsidR="00D069C9" w:rsidRDefault="005F48C0">
          <w:pPr>
            <w:rPr>
              <w:rFonts w:ascii="Times New Roman" w:hAnsi="Times New Roman" w:cs="Times New Roman"/>
              <w:b/>
              <w:bCs/>
              <w:noProof/>
              <w:shd w:val="clear" w:color="auto" w:fill="E6E6E6"/>
            </w:rPr>
          </w:pPr>
          <w:r w:rsidRPr="0016322D">
            <w:rPr>
              <w:rFonts w:ascii="Times New Roman" w:hAnsi="Times New Roman"/>
              <w:b/>
              <w:color w:val="2B579A"/>
              <w:shd w:val="clear" w:color="auto" w:fill="E6E6E6"/>
            </w:rPr>
            <w:fldChar w:fldCharType="end"/>
          </w:r>
        </w:p>
      </w:sdtContent>
    </w:sdt>
    <w:p w14:paraId="553D6DBA" w14:textId="77777777" w:rsidR="00D069C9" w:rsidRDefault="00D069C9">
      <w:pPr>
        <w:rPr>
          <w:rFonts w:ascii="Times New Roman" w:hAnsi="Times New Roman" w:cs="Times New Roman"/>
          <w:b/>
          <w:bCs/>
          <w:noProof/>
          <w:shd w:val="clear" w:color="auto" w:fill="E6E6E6"/>
        </w:rPr>
      </w:pPr>
      <w:r>
        <w:rPr>
          <w:rFonts w:ascii="Times New Roman" w:hAnsi="Times New Roman" w:cs="Times New Roman"/>
          <w:b/>
          <w:bCs/>
          <w:noProof/>
          <w:shd w:val="clear" w:color="auto" w:fill="E6E6E6"/>
        </w:rPr>
        <w:br w:type="page"/>
      </w:r>
    </w:p>
    <w:p w14:paraId="69E950F1" w14:textId="77777777" w:rsidR="00D069C9" w:rsidRDefault="00D069C9" w:rsidP="00D069C9">
      <w:pPr>
        <w:pStyle w:val="Heading1"/>
        <w:spacing w:before="0" w:line="240" w:lineRule="auto"/>
        <w:rPr>
          <w:sz w:val="24"/>
          <w:szCs w:val="24"/>
        </w:rPr>
      </w:pPr>
      <w:bookmarkStart w:id="1" w:name="_Toc77242183"/>
      <w:bookmarkStart w:id="2" w:name="_Toc137649761"/>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1"/>
      <w:bookmarkEnd w:id="2"/>
    </w:p>
    <w:p w14:paraId="36D313E7" w14:textId="77777777" w:rsidR="00D069C9" w:rsidRPr="005F34D1" w:rsidRDefault="00D069C9" w:rsidP="00D069C9">
      <w:pPr>
        <w:spacing w:after="0"/>
      </w:pPr>
    </w:p>
    <w:p w14:paraId="5AAF6367" w14:textId="77777777" w:rsidR="00D069C9" w:rsidRDefault="00D069C9" w:rsidP="00D069C9">
      <w:pPr>
        <w:pStyle w:val="Heading1"/>
        <w:spacing w:before="0" w:line="240" w:lineRule="auto"/>
        <w:rPr>
          <w:sz w:val="24"/>
          <w:szCs w:val="24"/>
        </w:rPr>
      </w:pPr>
      <w:bookmarkStart w:id="3" w:name="_Toc77242184"/>
      <w:bookmarkStart w:id="4" w:name="_Toc137649762"/>
      <w:r w:rsidRPr="00E17D51">
        <w:rPr>
          <w:sz w:val="22"/>
          <w:szCs w:val="22"/>
        </w:rPr>
        <w:t xml:space="preserve">Subsection </w:t>
      </w:r>
      <w:r>
        <w:rPr>
          <w:sz w:val="22"/>
          <w:szCs w:val="22"/>
        </w:rPr>
        <w:t>2</w:t>
      </w:r>
      <w:r w:rsidRPr="00E17D51">
        <w:rPr>
          <w:sz w:val="22"/>
          <w:szCs w:val="22"/>
        </w:rPr>
        <w:t xml:space="preserve">: </w:t>
      </w:r>
      <w:r>
        <w:rPr>
          <w:sz w:val="22"/>
          <w:szCs w:val="22"/>
        </w:rPr>
        <w:t>Annuity Products</w:t>
      </w:r>
      <w:bookmarkEnd w:id="3"/>
      <w:bookmarkEnd w:id="4"/>
    </w:p>
    <w:p w14:paraId="15854222" w14:textId="77777777" w:rsidR="00D069C9" w:rsidRDefault="00D069C9" w:rsidP="00D069C9">
      <w:pPr>
        <w:pStyle w:val="ListParagraph"/>
        <w:widowControl w:val="0"/>
        <w:spacing w:after="0" w:line="240" w:lineRule="auto"/>
        <w:contextualSpacing w:val="0"/>
        <w:jc w:val="both"/>
        <w:rPr>
          <w:rFonts w:ascii="Times New Roman" w:eastAsia="Times New Roman" w:hAnsi="Times New Roman"/>
        </w:rPr>
      </w:pPr>
    </w:p>
    <w:p w14:paraId="3446D26B" w14:textId="77777777" w:rsidR="00D069C9" w:rsidRPr="00465680" w:rsidRDefault="00D069C9" w:rsidP="00D069C9">
      <w:pPr>
        <w:pStyle w:val="ListParagraph"/>
        <w:widowControl w:val="0"/>
        <w:numPr>
          <w:ilvl w:val="0"/>
          <w:numId w:val="49"/>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1C0311F7" w14:textId="77777777" w:rsidR="00D069C9" w:rsidRPr="00465680" w:rsidRDefault="00D069C9" w:rsidP="00D069C9">
      <w:pPr>
        <w:pStyle w:val="ListParagraph"/>
        <w:widowControl w:val="0"/>
        <w:numPr>
          <w:ilvl w:val="0"/>
          <w:numId w:val="49"/>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r w:rsidR="002D4624">
        <w:rPr>
          <w:rFonts w:ascii="Times New Roman" w:eastAsia="Times New Roman" w:hAnsi="Times New Roman"/>
          <w:i/>
        </w:rPr>
        <w:t>,</w:t>
      </w:r>
      <w:r w:rsidR="002D4624" w:rsidRPr="002D4624">
        <w:rPr>
          <w:rFonts w:ascii="Times New Roman" w:eastAsia="Times New Roman" w:hAnsi="Times New Roman"/>
        </w:rPr>
        <w:t xml:space="preserve"> </w:t>
      </w:r>
      <w:r w:rsidR="002D4624">
        <w:rPr>
          <w:rFonts w:ascii="Times New Roman" w:eastAsia="Times New Roman" w:hAnsi="Times New Roman"/>
        </w:rPr>
        <w:t>and therefore are applicable to VM-G</w:t>
      </w:r>
      <w:r w:rsidRPr="00465680">
        <w:rPr>
          <w:rFonts w:ascii="Times New Roman" w:eastAsia="Times New Roman" w:hAnsi="Times New Roman"/>
        </w:rPr>
        <w:t>.</w:t>
      </w:r>
    </w:p>
    <w:p w14:paraId="3CD4E1F5" w14:textId="4339EB8F" w:rsidR="00D069C9" w:rsidRDefault="00D069C9" w:rsidP="00D069C9">
      <w:pPr>
        <w:pStyle w:val="ListParagraph"/>
        <w:widowControl w:val="0"/>
        <w:numPr>
          <w:ilvl w:val="0"/>
          <w:numId w:val="49"/>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issued prior to 1/1/202</w:t>
      </w:r>
      <w:r w:rsidR="00BB35D9">
        <w:rPr>
          <w:rFonts w:ascii="Times New Roman" w:eastAsia="Times New Roman" w:hAnsi="Times New Roman"/>
        </w:rPr>
        <w:t>5</w:t>
      </w:r>
      <w:r>
        <w:rPr>
          <w:rFonts w:ascii="Times New Roman" w:eastAsia="Times New Roman" w:hAnsi="Times New Roman"/>
        </w:rPr>
        <w:t xml:space="preserve"> </w:t>
      </w:r>
      <w:r w:rsidRPr="00465680">
        <w:rPr>
          <w:rFonts w:ascii="Times New Roman" w:eastAsia="Times New Roman" w:hAnsi="Times New Roman"/>
        </w:rPr>
        <w:t>are those requirements as found in VM-A</w:t>
      </w:r>
      <w:r w:rsidR="00E876EF">
        <w:rPr>
          <w:rFonts w:ascii="Times New Roman" w:eastAsia="Times New Roman" w:hAnsi="Times New Roman"/>
        </w:rPr>
        <w:t>, VM-C,</w:t>
      </w:r>
      <w:r w:rsidRPr="00465680">
        <w:rPr>
          <w:rFonts w:ascii="Times New Roman" w:eastAsia="Times New Roman" w:hAnsi="Times New Roman"/>
        </w:rPr>
        <w:t xml:space="preserve"> and VM-</w:t>
      </w:r>
      <w:r w:rsidR="00E876EF">
        <w:rPr>
          <w:rFonts w:ascii="Times New Roman" w:eastAsia="Times New Roman" w:hAnsi="Times New Roman"/>
        </w:rPr>
        <w:t>V</w:t>
      </w:r>
      <w:r w:rsidRPr="00465680">
        <w:rPr>
          <w:rFonts w:ascii="Times New Roman" w:eastAsia="Times New Roman" w:hAnsi="Times New Roman"/>
        </w:rPr>
        <w:t xml:space="preserve">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VM-V</w:t>
      </w:r>
      <w:r>
        <w:rPr>
          <w:rFonts w:ascii="Times New Roman" w:eastAsia="Times New Roman" w:hAnsi="Times New Roman"/>
        </w:rPr>
        <w:t>, Statutory Maximum Valuation Interest Rates for Formulaic Reserves</w:t>
      </w:r>
      <w:r w:rsidRPr="00465680">
        <w:rPr>
          <w:rFonts w:ascii="Times New Roman" w:eastAsia="Times New Roman" w:hAnsi="Times New Roman"/>
        </w:rPr>
        <w:t xml:space="preserve">. </w:t>
      </w:r>
    </w:p>
    <w:p w14:paraId="4DED5ACE" w14:textId="77777777" w:rsidR="00D069C9" w:rsidRDefault="00D069C9" w:rsidP="00D069C9">
      <w:pPr>
        <w:pStyle w:val="ListParagraph"/>
        <w:widowControl w:val="0"/>
        <w:spacing w:line="240" w:lineRule="auto"/>
        <w:jc w:val="both"/>
        <w:rPr>
          <w:rFonts w:ascii="Times New Roman" w:eastAsia="Times New Roman" w:hAnsi="Times New Roman"/>
        </w:rPr>
      </w:pPr>
    </w:p>
    <w:p w14:paraId="25C172C5" w14:textId="42A11B72" w:rsidR="00D069C9" w:rsidRDefault="00D069C9" w:rsidP="00D069C9">
      <w:pPr>
        <w:pStyle w:val="ListParagraph"/>
        <w:widowControl w:val="0"/>
        <w:numPr>
          <w:ilvl w:val="0"/>
          <w:numId w:val="49"/>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issued on 1/1/202</w:t>
      </w:r>
      <w:r w:rsidR="00BB35D9">
        <w:rPr>
          <w:rFonts w:ascii="Times New Roman" w:eastAsia="Times New Roman" w:hAnsi="Times New Roman"/>
        </w:rPr>
        <w:t>5</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22</w:t>
      </w:r>
      <w:r w:rsidR="00351D3F">
        <w:rPr>
          <w:rFonts w:ascii="Times New Roman" w:eastAsia="Times New Roman" w:hAnsi="Times New Roman"/>
        </w:rPr>
        <w:t xml:space="preserve">, with the exception of Guaranteed Investment Contracts, Synthetic Guaranteed Investment Contracts, and other </w:t>
      </w:r>
      <w:r w:rsidR="009B01DD">
        <w:rPr>
          <w:rFonts w:ascii="Times New Roman" w:eastAsia="Times New Roman" w:hAnsi="Times New Roman"/>
        </w:rPr>
        <w:t>S</w:t>
      </w:r>
      <w:r w:rsidR="00351D3F">
        <w:rPr>
          <w:rFonts w:ascii="Times New Roman" w:eastAsia="Times New Roman" w:hAnsi="Times New Roman"/>
        </w:rPr>
        <w:t xml:space="preserve">table </w:t>
      </w:r>
      <w:r w:rsidR="009B01DD">
        <w:rPr>
          <w:rFonts w:ascii="Times New Roman" w:eastAsia="Times New Roman" w:hAnsi="Times New Roman"/>
        </w:rPr>
        <w:t>V</w:t>
      </w:r>
      <w:r w:rsidR="00351D3F">
        <w:rPr>
          <w:rFonts w:ascii="Times New Roman" w:eastAsia="Times New Roman" w:hAnsi="Times New Roman"/>
        </w:rPr>
        <w:t xml:space="preserve">alue </w:t>
      </w:r>
      <w:r w:rsidR="009B01DD">
        <w:rPr>
          <w:rFonts w:ascii="Times New Roman" w:eastAsia="Times New Roman" w:hAnsi="Times New Roman"/>
        </w:rPr>
        <w:t>C</w:t>
      </w:r>
      <w:r w:rsidR="00351D3F">
        <w:rPr>
          <w:rFonts w:ascii="Times New Roman" w:eastAsia="Times New Roman" w:hAnsi="Times New Roman"/>
        </w:rPr>
        <w:t>ontracts which shall follow the requirements found in VM-A</w:t>
      </w:r>
      <w:r w:rsidR="00E876EF">
        <w:rPr>
          <w:rFonts w:ascii="Times New Roman" w:eastAsia="Times New Roman" w:hAnsi="Times New Roman"/>
        </w:rPr>
        <w:t>, VM-C,</w:t>
      </w:r>
      <w:r w:rsidR="00351D3F">
        <w:rPr>
          <w:rFonts w:ascii="Times New Roman" w:eastAsia="Times New Roman" w:hAnsi="Times New Roman"/>
        </w:rPr>
        <w:t xml:space="preserve"> and VM-</w:t>
      </w:r>
      <w:r w:rsidR="00ED4179">
        <w:rPr>
          <w:rFonts w:ascii="Times New Roman" w:eastAsia="Times New Roman" w:hAnsi="Times New Roman"/>
        </w:rPr>
        <w:t>V</w:t>
      </w:r>
      <w:r>
        <w:rPr>
          <w:rFonts w:ascii="Times New Roman" w:eastAsia="Times New Roman" w:hAnsi="Times New Roman"/>
        </w:rPr>
        <w:t>.</w:t>
      </w:r>
      <w:r w:rsidR="002D4624" w:rsidRPr="002D4624">
        <w:rPr>
          <w:rFonts w:ascii="Times New Roman" w:eastAsia="Times New Roman" w:hAnsi="Times New Roman"/>
        </w:rPr>
        <w:t xml:space="preserve"> </w:t>
      </w:r>
      <w:r w:rsidR="002D4624" w:rsidRPr="00465680">
        <w:rPr>
          <w:rFonts w:ascii="Times New Roman" w:eastAsia="Times New Roman" w:hAnsi="Times New Roman"/>
        </w:rPr>
        <w:t>The minimum reserve requirements of VM-2</w:t>
      </w:r>
      <w:r w:rsidR="002D4624">
        <w:rPr>
          <w:rFonts w:ascii="Times New Roman" w:eastAsia="Times New Roman" w:hAnsi="Times New Roman"/>
        </w:rPr>
        <w:t>2</w:t>
      </w:r>
      <w:r w:rsidR="002D4624" w:rsidRPr="00465680">
        <w:rPr>
          <w:rFonts w:ascii="Times New Roman" w:eastAsia="Times New Roman" w:hAnsi="Times New Roman"/>
        </w:rPr>
        <w:t xml:space="preserve"> are considered PBR requirements for purposes of the </w:t>
      </w:r>
      <w:r w:rsidR="002D4624" w:rsidRPr="00465680">
        <w:rPr>
          <w:rFonts w:ascii="Times New Roman" w:eastAsia="Times New Roman" w:hAnsi="Times New Roman"/>
          <w:i/>
        </w:rPr>
        <w:t>Valuation Manual</w:t>
      </w:r>
      <w:r w:rsidR="002D4624">
        <w:rPr>
          <w:rFonts w:ascii="Times New Roman" w:eastAsia="Times New Roman" w:hAnsi="Times New Roman"/>
          <w:i/>
        </w:rPr>
        <w:t>,</w:t>
      </w:r>
      <w:r w:rsidR="002D4624" w:rsidRPr="002D4624">
        <w:rPr>
          <w:rFonts w:ascii="Times New Roman" w:eastAsia="Times New Roman" w:hAnsi="Times New Roman"/>
        </w:rPr>
        <w:t xml:space="preserve"> </w:t>
      </w:r>
      <w:r w:rsidR="002D4624">
        <w:rPr>
          <w:rFonts w:ascii="Times New Roman" w:eastAsia="Times New Roman" w:hAnsi="Times New Roman"/>
        </w:rPr>
        <w:t>and therefore are applicable to VM-G</w:t>
      </w:r>
      <w:r>
        <w:rPr>
          <w:rFonts w:ascii="Times New Roman" w:eastAsia="Times New Roman" w:hAnsi="Times New Roman"/>
        </w:rPr>
        <w:t>.</w:t>
      </w:r>
    </w:p>
    <w:p w14:paraId="095CB28E" w14:textId="77777777" w:rsidR="00D069C9" w:rsidRPr="002C5A5F" w:rsidRDefault="00D069C9" w:rsidP="00D069C9">
      <w:pPr>
        <w:pStyle w:val="ListParagraph"/>
        <w:rPr>
          <w:rFonts w:ascii="Times New Roman" w:eastAsia="Times New Roman" w:hAnsi="Times New Roman"/>
        </w:rPr>
      </w:pPr>
    </w:p>
    <w:p w14:paraId="648EF764" w14:textId="77777777" w:rsidR="009E2BB5" w:rsidRDefault="009E2BB5" w:rsidP="009E2BB5">
      <w:pPr>
        <w:pStyle w:val="ListParagraph"/>
        <w:widowControl w:val="0"/>
        <w:spacing w:line="240" w:lineRule="auto"/>
        <w:jc w:val="both"/>
        <w:rPr>
          <w:rFonts w:ascii="Times New Roman" w:hAnsi="Times New Roman" w:cs="Times New Roman"/>
        </w:rPr>
      </w:pPr>
    </w:p>
    <w:p w14:paraId="056040FA" w14:textId="57398BC6" w:rsidR="009E2BB5" w:rsidRDefault="009E2BB5" w:rsidP="009E2BB5">
      <w:pPr>
        <w:pStyle w:val="ListParagraph"/>
        <w:widowControl w:val="0"/>
        <w:numPr>
          <w:ilvl w:val="0"/>
          <w:numId w:val="49"/>
        </w:numPr>
        <w:spacing w:line="240" w:lineRule="auto"/>
        <w:ind w:left="720" w:hanging="720"/>
        <w:jc w:val="both"/>
        <w:rPr>
          <w:rFonts w:ascii="Times New Roman" w:hAnsi="Times New Roman" w:cs="Times New Roman"/>
        </w:rPr>
      </w:pPr>
      <w:r w:rsidRPr="009E2BB5">
        <w:rPr>
          <w:rFonts w:ascii="Times New Roman" w:hAnsi="Times New Roman" w:cs="Times New Roman"/>
        </w:rPr>
        <w:t xml:space="preserve">Annuity PBR Exemption </w:t>
      </w:r>
    </w:p>
    <w:p w14:paraId="02C2EF57" w14:textId="77777777" w:rsidR="009E2BB5" w:rsidRDefault="009E2BB5" w:rsidP="007F053D">
      <w:pPr>
        <w:pStyle w:val="ListParagraph"/>
        <w:spacing w:after="160" w:line="259" w:lineRule="auto"/>
        <w:rPr>
          <w:rFonts w:ascii="Times New Roman" w:hAnsi="Times New Roman" w:cs="Times New Roman"/>
        </w:rPr>
      </w:pPr>
    </w:p>
    <w:p w14:paraId="58A97529" w14:textId="5B7E09F5"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A company meeting at least one of the conditions in Subsection 2.</w:t>
      </w:r>
      <w:r w:rsidR="00E876EF">
        <w:rPr>
          <w:rFonts w:ascii="Times New Roman" w:hAnsi="Times New Roman" w:cs="Times New Roman"/>
        </w:rPr>
        <w:t>E</w:t>
      </w:r>
      <w:r w:rsidRPr="00F47DE4">
        <w:rPr>
          <w:rFonts w:ascii="Times New Roman" w:hAnsi="Times New Roman" w:cs="Times New Roman"/>
        </w:rPr>
        <w:t>.2 below may file a statement of exemption for annuity contracts or certificates, except for contracts or certificates in Subsection 2.</w:t>
      </w:r>
      <w:r w:rsidR="00F35C1D">
        <w:rPr>
          <w:rFonts w:ascii="Times New Roman" w:hAnsi="Times New Roman" w:cs="Times New Roman"/>
        </w:rPr>
        <w:t>E</w:t>
      </w:r>
      <w:r w:rsidRPr="00F47DE4">
        <w:rPr>
          <w:rFonts w:ascii="Times New Roman" w:hAnsi="Times New Roman" w:cs="Times New Roman"/>
        </w:rPr>
        <w:t>.</w:t>
      </w:r>
      <w:r w:rsidR="00E876EF">
        <w:rPr>
          <w:rFonts w:ascii="Times New Roman" w:hAnsi="Times New Roman" w:cs="Times New Roman"/>
        </w:rPr>
        <w:t>4</w:t>
      </w:r>
      <w:r w:rsidRPr="00F47DE4">
        <w:rPr>
          <w:rFonts w:ascii="Times New Roman" w:hAnsi="Times New Roman" w:cs="Times New Roman"/>
        </w:rPr>
        <w:t xml:space="preserve">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r w:rsidR="00F35C1D">
        <w:rPr>
          <w:rFonts w:ascii="Times New Roman" w:hAnsi="Times New Roman" w:cs="Times New Roman"/>
        </w:rPr>
        <w:t>E</w:t>
      </w:r>
      <w:r w:rsidRPr="00F47DE4">
        <w:rPr>
          <w:rFonts w:ascii="Times New Roman" w:hAnsi="Times New Roman" w:cs="Times New Roman"/>
        </w:rPr>
        <w:t xml:space="preserve">.2 was met, and the statement of exemption must also be included with the NAIC filing for the second quarter of that year. </w:t>
      </w:r>
    </w:p>
    <w:p w14:paraId="78008487" w14:textId="77777777" w:rsidR="009E2BB5" w:rsidRPr="00F47DE4" w:rsidRDefault="009E2BB5" w:rsidP="007F053D">
      <w:pPr>
        <w:ind w:left="1440"/>
        <w:rPr>
          <w:rFonts w:ascii="Times New Roman" w:hAnsi="Times New Roman" w:cs="Times New Roman"/>
        </w:rPr>
      </w:pPr>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p>
    <w:p w14:paraId="46E918B1" w14:textId="57339E93" w:rsidR="009E2BB5" w:rsidRPr="00F47DE4" w:rsidRDefault="009E2BB5" w:rsidP="007F053D">
      <w:pPr>
        <w:ind w:left="1440"/>
        <w:rPr>
          <w:rFonts w:ascii="Times New Roman" w:hAnsi="Times New Roman" w:cs="Times New Roman"/>
        </w:rPr>
      </w:pPr>
      <w:r w:rsidRPr="00F47DE4">
        <w:rPr>
          <w:rFonts w:ascii="Times New Roman" w:hAnsi="Times New Roman" w:cs="Times New Roman"/>
        </w:rPr>
        <w:t xml:space="preserve">If a filed statement of exemption is not rejected by the domiciliary commissioner, the filing of subsequent statements of exemption is not required as long as the company continues to qualify for the exemption; rather, ongoing statements of exemption for each </w:t>
      </w:r>
      <w:r w:rsidRPr="00F47DE4">
        <w:rPr>
          <w:rFonts w:ascii="Times New Roman" w:hAnsi="Times New Roman" w:cs="Times New Roman"/>
        </w:rPr>
        <w:lastRenderedPageBreak/>
        <w:t>new calendar year will be deemed to not be rejected, unless: 1) the company does not meet either condition in Subsection 2.</w:t>
      </w:r>
      <w:r w:rsidR="00E876EF">
        <w:rPr>
          <w:rFonts w:ascii="Times New Roman" w:hAnsi="Times New Roman" w:cs="Times New Roman"/>
        </w:rPr>
        <w:t>E</w:t>
      </w:r>
      <w:r w:rsidRPr="00F47DE4">
        <w:rPr>
          <w:rFonts w:ascii="Times New Roman" w:hAnsi="Times New Roman" w:cs="Times New Roman"/>
        </w:rPr>
        <w:t>.2 below; 2) the contracts contain those in Subsection 2.</w:t>
      </w:r>
      <w:r w:rsidR="00F35C1D">
        <w:rPr>
          <w:rFonts w:ascii="Times New Roman" w:hAnsi="Times New Roman" w:cs="Times New Roman"/>
        </w:rPr>
        <w:t>E</w:t>
      </w:r>
      <w:r w:rsidRPr="00F47DE4">
        <w:rPr>
          <w:rFonts w:ascii="Times New Roman" w:hAnsi="Times New Roman" w:cs="Times New Roman"/>
        </w:rPr>
        <w:t>..</w:t>
      </w:r>
      <w:r w:rsidR="00E876EF">
        <w:rPr>
          <w:rFonts w:ascii="Times New Roman" w:hAnsi="Times New Roman" w:cs="Times New Roman"/>
        </w:rPr>
        <w:t>4</w:t>
      </w:r>
      <w:r w:rsidRPr="00F47DE4">
        <w:rPr>
          <w:rFonts w:ascii="Times New Roman" w:hAnsi="Times New Roman" w:cs="Times New Roman"/>
        </w:rPr>
        <w:t xml:space="preserve">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in order for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p>
    <w:p w14:paraId="77651CA2" w14:textId="77777777"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Condition for Exemption: </w:t>
      </w:r>
    </w:p>
    <w:p w14:paraId="7D0866FD" w14:textId="3352340D" w:rsidR="009E2BB5" w:rsidRPr="00F47DE4" w:rsidRDefault="009E2BB5" w:rsidP="007F053D">
      <w:pPr>
        <w:ind w:left="2160" w:hanging="720"/>
        <w:rPr>
          <w:rFonts w:ascii="Times New Roman" w:hAnsi="Times New Roman" w:cs="Times New Roman"/>
        </w:rPr>
      </w:pPr>
      <w:r w:rsidRPr="00F47DE4">
        <w:rPr>
          <w:rFonts w:ascii="Times New Roman" w:hAnsi="Times New Roman" w:cs="Times New Roman"/>
        </w:rPr>
        <w:t xml:space="preserve">a. </w:t>
      </w:r>
      <w:r w:rsidRPr="00F47DE4">
        <w:rPr>
          <w:rFonts w:ascii="Times New Roman" w:hAnsi="Times New Roman" w:cs="Times New Roman"/>
        </w:rPr>
        <w:tab/>
        <w:t>The company has less than $</w:t>
      </w:r>
      <w:r w:rsidR="000E67DF">
        <w:rPr>
          <w:rFonts w:ascii="Times New Roman" w:hAnsi="Times New Roman" w:cs="Times New Roman"/>
        </w:rPr>
        <w:t>1.0</w:t>
      </w:r>
      <w:r w:rsidRPr="00F47DE4">
        <w:rPr>
          <w:rFonts w:ascii="Times New Roman" w:hAnsi="Times New Roman" w:cs="Times New Roman"/>
        </w:rPr>
        <w:t xml:space="preserve"> billion of </w:t>
      </w:r>
      <w:r>
        <w:rPr>
          <w:rFonts w:ascii="Times New Roman" w:hAnsi="Times New Roman" w:cs="Times New Roman"/>
        </w:rPr>
        <w:t>Exemption Reserves</w:t>
      </w:r>
      <w:r w:rsidRPr="00F47DE4">
        <w:rPr>
          <w:rFonts w:ascii="Times New Roman" w:hAnsi="Times New Roman" w:cs="Times New Roman"/>
        </w:rPr>
        <w:t>, and if the company is a member of an NAIC group that includes other life insurance companies, the group has combined exempted prior year reserves of less than $</w:t>
      </w:r>
      <w:r w:rsidR="000E67DF">
        <w:rPr>
          <w:rFonts w:ascii="Times New Roman" w:hAnsi="Times New Roman" w:cs="Times New Roman"/>
        </w:rPr>
        <w:t>2</w:t>
      </w:r>
      <w:r w:rsidRPr="00F47DE4">
        <w:rPr>
          <w:rFonts w:ascii="Times New Roman" w:hAnsi="Times New Roman" w:cs="Times New Roman"/>
        </w:rPr>
        <w:t xml:space="preserve"> billion: or </w:t>
      </w:r>
    </w:p>
    <w:p w14:paraId="4663E6BB" w14:textId="6B62FC01" w:rsidR="009E2BB5" w:rsidRDefault="009E2BB5" w:rsidP="00D31106">
      <w:pPr>
        <w:ind w:left="2160" w:hanging="720"/>
        <w:rPr>
          <w:rFonts w:ascii="Times New Roman" w:hAnsi="Times New Roman" w:cs="Times New Roman"/>
        </w:rPr>
      </w:pPr>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p>
    <w:p w14:paraId="0197604A" w14:textId="389F56C6" w:rsidR="009E2BB5" w:rsidRPr="00C56099" w:rsidRDefault="009E2BB5" w:rsidP="007F053D">
      <w:pPr>
        <w:pStyle w:val="ListParagraph"/>
        <w:numPr>
          <w:ilvl w:val="0"/>
          <w:numId w:val="96"/>
        </w:numPr>
        <w:ind w:left="1440" w:hanging="720"/>
        <w:rPr>
          <w:rFonts w:ascii="Times New Roman" w:hAnsi="Times New Roman" w:cs="Times New Roman"/>
        </w:rPr>
      </w:pPr>
      <w:r w:rsidRPr="00C56099">
        <w:rPr>
          <w:rFonts w:ascii="Times New Roman" w:hAnsi="Times New Roman" w:cs="Times New Roman"/>
        </w:rPr>
        <w:t>Exemption reserves are</w:t>
      </w:r>
      <w:r w:rsidR="003D09C3">
        <w:rPr>
          <w:rFonts w:ascii="Times New Roman" w:hAnsi="Times New Roman" w:cs="Times New Roman"/>
        </w:rPr>
        <w:t xml:space="preserve"> </w:t>
      </w:r>
      <w:r w:rsidR="00AB49DE">
        <w:rPr>
          <w:rFonts w:ascii="Times New Roman" w:hAnsi="Times New Roman" w:cs="Times New Roman"/>
        </w:rPr>
        <w:t xml:space="preserve"> </w:t>
      </w:r>
      <w:r w:rsidRPr="00C56099">
        <w:rPr>
          <w:rFonts w:ascii="Times New Roman" w:hAnsi="Times New Roman" w:cs="Times New Roman"/>
        </w:rPr>
        <w:t xml:space="preserve">determined as follows: </w:t>
      </w:r>
    </w:p>
    <w:p w14:paraId="2755ADE2" w14:textId="3FDCC57A"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Year-Individual Annuities, Column 2 (“Fixed Annuities”), line </w:t>
      </w:r>
      <w:r w:rsidR="006C1FEB" w:rsidRPr="00F47DE4">
        <w:rPr>
          <w:rFonts w:ascii="Times New Roman" w:hAnsi="Times New Roman" w:cs="Times New Roman"/>
        </w:rPr>
        <w:t>1</w:t>
      </w:r>
      <w:r w:rsidR="006C1FEB">
        <w:rPr>
          <w:rFonts w:ascii="Times New Roman" w:hAnsi="Times New Roman" w:cs="Times New Roman"/>
        </w:rPr>
        <w:t>5</w:t>
      </w:r>
      <w:r w:rsidRPr="00F47DE4">
        <w:rPr>
          <w:rFonts w:ascii="Times New Roman" w:hAnsi="Times New Roman" w:cs="Times New Roman"/>
        </w:rPr>
        <w:t xml:space="preserve">; plus </w:t>
      </w:r>
    </w:p>
    <w:p w14:paraId="1CFC7705" w14:textId="3304C8BF"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Year-Individual Annuities, Column 3 (“Indexed Annuities”), line </w:t>
      </w:r>
      <w:r w:rsidR="006C1FEB" w:rsidRPr="00F47DE4">
        <w:rPr>
          <w:rFonts w:ascii="Times New Roman" w:hAnsi="Times New Roman" w:cs="Times New Roman"/>
        </w:rPr>
        <w:t>1</w:t>
      </w:r>
      <w:r w:rsidR="006C1FEB">
        <w:rPr>
          <w:rFonts w:ascii="Times New Roman" w:hAnsi="Times New Roman" w:cs="Times New Roman"/>
        </w:rPr>
        <w:t>5</w:t>
      </w:r>
      <w:r w:rsidRPr="00F47DE4">
        <w:rPr>
          <w:rFonts w:ascii="Times New Roman" w:hAnsi="Times New Roman" w:cs="Times New Roman"/>
        </w:rPr>
        <w:t xml:space="preserve">; plus </w:t>
      </w:r>
    </w:p>
    <w:p w14:paraId="1C6EB779" w14:textId="6DC2340B"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The amount reported in the prior calendar year life/health annual statement, Analysis of Increase in Reserves During the Year-Individual Annuities, Column 6 (“Life Contingent Payout (Immediate and Annuitizations)”), line 1</w:t>
      </w:r>
      <w:r w:rsidR="006F5AC5">
        <w:rPr>
          <w:rFonts w:ascii="Times New Roman" w:hAnsi="Times New Roman" w:cs="Times New Roman"/>
        </w:rPr>
        <w:t>5</w:t>
      </w:r>
      <w:r w:rsidRPr="00F47DE4">
        <w:rPr>
          <w:rFonts w:ascii="Times New Roman" w:hAnsi="Times New Roman" w:cs="Times New Roman"/>
        </w:rPr>
        <w:t xml:space="preserve">; plus </w:t>
      </w:r>
    </w:p>
    <w:p w14:paraId="071FBE7C" w14:textId="4E74E61B" w:rsidR="006C18A4" w:rsidRPr="008E6717" w:rsidRDefault="006C18A4" w:rsidP="008E6717">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The amount reported in the prior calendar year life/health annual statement, Analysis of Increase in Reserves During the Year-</w:t>
      </w:r>
      <w:r>
        <w:rPr>
          <w:rFonts w:ascii="Times New Roman" w:hAnsi="Times New Roman" w:cs="Times New Roman"/>
        </w:rPr>
        <w:t>Individual</w:t>
      </w:r>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xml:space="preserve">, except for business that already follows </w:t>
      </w:r>
      <w:r w:rsidR="001D0699">
        <w:rPr>
          <w:rFonts w:ascii="Times New Roman" w:hAnsi="Times New Roman" w:cs="Times New Roman"/>
        </w:rPr>
        <w:t>Actuarial Guidelines XLIII/</w:t>
      </w:r>
      <w:r>
        <w:rPr>
          <w:rFonts w:ascii="Times New Roman" w:hAnsi="Times New Roman" w:cs="Times New Roman"/>
        </w:rPr>
        <w:t>VM-21 or categorized as Guaranteed Investment Contracts, Synthetic Guaranteed Investment Contracts, or other Stable Value Contracts.</w:t>
      </w:r>
    </w:p>
    <w:p w14:paraId="5E816513" w14:textId="751201E5"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2 (“Fixed Annuities”), line </w:t>
      </w:r>
      <w:r w:rsidR="006C1FEB" w:rsidRPr="00F47DE4">
        <w:rPr>
          <w:rFonts w:ascii="Times New Roman" w:hAnsi="Times New Roman" w:cs="Times New Roman"/>
        </w:rPr>
        <w:t>1</w:t>
      </w:r>
      <w:r w:rsidR="006C1FEB">
        <w:rPr>
          <w:rFonts w:ascii="Times New Roman" w:hAnsi="Times New Roman" w:cs="Times New Roman"/>
        </w:rPr>
        <w:t>5</w:t>
      </w:r>
      <w:r w:rsidRPr="00F47DE4">
        <w:rPr>
          <w:rFonts w:ascii="Times New Roman" w:hAnsi="Times New Roman" w:cs="Times New Roman"/>
        </w:rPr>
        <w:t xml:space="preserve">; plus </w:t>
      </w:r>
    </w:p>
    <w:p w14:paraId="250F705E" w14:textId="76744789" w:rsidR="009E2BB5" w:rsidRPr="00F47DE4"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3 (“Indexed Annuities”), line </w:t>
      </w:r>
      <w:r w:rsidR="006C1FEB" w:rsidRPr="00F47DE4">
        <w:rPr>
          <w:rFonts w:ascii="Times New Roman" w:hAnsi="Times New Roman" w:cs="Times New Roman"/>
        </w:rPr>
        <w:t>1</w:t>
      </w:r>
      <w:r w:rsidR="006C1FEB">
        <w:rPr>
          <w:rFonts w:ascii="Times New Roman" w:hAnsi="Times New Roman" w:cs="Times New Roman"/>
        </w:rPr>
        <w:t>5</w:t>
      </w:r>
      <w:r w:rsidRPr="00F47DE4">
        <w:rPr>
          <w:rFonts w:ascii="Times New Roman" w:hAnsi="Times New Roman" w:cs="Times New Roman"/>
        </w:rPr>
        <w:t xml:space="preserve">; plus </w:t>
      </w:r>
    </w:p>
    <w:p w14:paraId="3AEB44AE" w14:textId="1F4D899C" w:rsidR="009E2BB5" w:rsidRDefault="009E2BB5"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lastRenderedPageBreak/>
        <w:t>The amount reported in the prior calendar year life/health annual statement, Analysis of Increase in Reserves During the Year-Group Annuities, Column 6 (“Life Contingent Payout (Immediate and Annuitizations)”), line 15.</w:t>
      </w:r>
    </w:p>
    <w:p w14:paraId="7CA4E2BC" w14:textId="59C0E4BB" w:rsidR="004E6B48" w:rsidRDefault="004E6B48" w:rsidP="007F053D">
      <w:pPr>
        <w:pStyle w:val="ListParagraph"/>
        <w:numPr>
          <w:ilvl w:val="0"/>
          <w:numId w:val="95"/>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The amount reported in the prior calendar year life/health annual statement, Analysis of Increase in Reserves During the Year-Group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xml:space="preserve">, except for business that already follows </w:t>
      </w:r>
      <w:r w:rsidR="001D0699">
        <w:rPr>
          <w:rFonts w:ascii="Times New Roman" w:hAnsi="Times New Roman" w:cs="Times New Roman"/>
        </w:rPr>
        <w:t>Actuarial Guidelines XLIII/</w:t>
      </w:r>
      <w:r>
        <w:rPr>
          <w:rFonts w:ascii="Times New Roman" w:hAnsi="Times New Roman" w:cs="Times New Roman"/>
        </w:rPr>
        <w:t>VM-2</w:t>
      </w:r>
      <w:r w:rsidR="006C18A4">
        <w:rPr>
          <w:rFonts w:ascii="Times New Roman" w:hAnsi="Times New Roman" w:cs="Times New Roman"/>
        </w:rPr>
        <w:t>1</w:t>
      </w:r>
      <w:r w:rsidR="001D0699">
        <w:rPr>
          <w:rFonts w:ascii="Times New Roman" w:hAnsi="Times New Roman" w:cs="Times New Roman"/>
        </w:rPr>
        <w:t>,</w:t>
      </w:r>
      <w:r>
        <w:rPr>
          <w:rFonts w:ascii="Times New Roman" w:hAnsi="Times New Roman" w:cs="Times New Roman"/>
        </w:rPr>
        <w:t xml:space="preserve"> or</w:t>
      </w:r>
      <w:r w:rsidR="006C18A4">
        <w:rPr>
          <w:rFonts w:ascii="Times New Roman" w:hAnsi="Times New Roman" w:cs="Times New Roman"/>
        </w:rPr>
        <w:t xml:space="preserve"> categorized as Guaranteed Investment Contracts, Synthetic Guaranteed Investment Contracts, or other Stable Value Contracts.</w:t>
      </w:r>
    </w:p>
    <w:p w14:paraId="38AA959F" w14:textId="65B1BDBF" w:rsidR="000E67DF" w:rsidRDefault="000E67DF" w:rsidP="007F053D">
      <w:pPr>
        <w:pStyle w:val="ListParagraph"/>
        <w:numPr>
          <w:ilvl w:val="0"/>
          <w:numId w:val="95"/>
        </w:numPr>
        <w:spacing w:after="160" w:line="259" w:lineRule="auto"/>
        <w:ind w:left="2160" w:hanging="720"/>
        <w:rPr>
          <w:rFonts w:ascii="Times New Roman" w:hAnsi="Times New Roman" w:cs="Times New Roman"/>
        </w:rPr>
      </w:pPr>
      <w:r>
        <w:rPr>
          <w:rFonts w:ascii="Times New Roman" w:hAnsi="Times New Roman" w:cs="Times New Roman"/>
        </w:rPr>
        <w:t>Adding back in any reserves that were ceded in (a) through (f) above, in order to set the Exemption reserves on a gross of reinsurance basis</w:t>
      </w:r>
    </w:p>
    <w:p w14:paraId="6EC93F25" w14:textId="77777777" w:rsidR="008E6717" w:rsidRDefault="008E6717" w:rsidP="008E6717">
      <w:pPr>
        <w:pStyle w:val="ListParagraph"/>
        <w:spacing w:after="160" w:line="259" w:lineRule="auto"/>
        <w:ind w:left="2160"/>
        <w:rPr>
          <w:rFonts w:ascii="Times New Roman" w:hAnsi="Times New Roman" w:cs="Times New Roman"/>
        </w:rPr>
      </w:pPr>
    </w:p>
    <w:p w14:paraId="67983388" w14:textId="77777777" w:rsidR="009E2BB5" w:rsidRPr="00F47DE4"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 xml:space="preserve">Contracts and Certificates Excluded from the Annuity PBR Exemption: </w:t>
      </w:r>
    </w:p>
    <w:p w14:paraId="26FD7D6B" w14:textId="39886AD3" w:rsidR="009E2BB5" w:rsidRDefault="009E2BB5" w:rsidP="007F053D">
      <w:pPr>
        <w:pStyle w:val="ListParagraph"/>
        <w:numPr>
          <w:ilvl w:val="0"/>
          <w:numId w:val="97"/>
        </w:numPr>
        <w:spacing w:after="160" w:line="259" w:lineRule="auto"/>
        <w:ind w:left="2160" w:hanging="720"/>
        <w:rPr>
          <w:rFonts w:ascii="Times New Roman" w:hAnsi="Times New Roman" w:cs="Times New Roman"/>
        </w:rPr>
      </w:pPr>
      <w:r w:rsidRPr="00F47DE4">
        <w:rPr>
          <w:rFonts w:ascii="Times New Roman" w:hAnsi="Times New Roman" w:cs="Times New Roman"/>
        </w:rPr>
        <w:t xml:space="preserve">Contracts or certificates with guaranteed living benefits (GMIBs, GMABs, GMMBs, GLWBs). </w:t>
      </w:r>
    </w:p>
    <w:p w14:paraId="4176E836" w14:textId="77777777" w:rsidR="008E6717" w:rsidRPr="00C56099" w:rsidRDefault="008E6717" w:rsidP="007F053D">
      <w:pPr>
        <w:pStyle w:val="ListParagraph"/>
        <w:numPr>
          <w:ilvl w:val="0"/>
          <w:numId w:val="97"/>
        </w:numPr>
        <w:spacing w:after="160" w:line="259" w:lineRule="auto"/>
        <w:ind w:left="2160" w:hanging="720"/>
        <w:rPr>
          <w:rFonts w:ascii="Times New Roman" w:hAnsi="Times New Roman" w:cs="Times New Roman"/>
        </w:rPr>
      </w:pPr>
    </w:p>
    <w:p w14:paraId="04F8D461" w14:textId="2633B2D3" w:rsidR="009E2BB5" w:rsidRDefault="009E2BB5" w:rsidP="007F053D">
      <w:pPr>
        <w:pStyle w:val="ListParagraph"/>
        <w:numPr>
          <w:ilvl w:val="0"/>
          <w:numId w:val="96"/>
        </w:numPr>
        <w:spacing w:after="160" w:line="259" w:lineRule="auto"/>
        <w:ind w:left="1440" w:hanging="720"/>
        <w:rPr>
          <w:rFonts w:ascii="Times New Roman" w:hAnsi="Times New Roman" w:cs="Times New Roman"/>
        </w:rPr>
      </w:pPr>
      <w:r w:rsidRPr="00F47DE4">
        <w:rPr>
          <w:rFonts w:ascii="Times New Roman" w:hAnsi="Times New Roman" w:cs="Times New Roman"/>
        </w:rPr>
        <w:t>Each exemption, or lack of an exemption, outlined in Subsection 2.</w:t>
      </w:r>
      <w:r w:rsidR="00E876EF">
        <w:rPr>
          <w:rFonts w:ascii="Times New Roman" w:hAnsi="Times New Roman" w:cs="Times New Roman"/>
        </w:rPr>
        <w:t>E</w:t>
      </w:r>
      <w:r w:rsidRPr="00F47DE4">
        <w:rPr>
          <w:rFonts w:ascii="Times New Roman" w:hAnsi="Times New Roman" w:cs="Times New Roman"/>
        </w:rPr>
        <w:t xml:space="preserve">.1 </w:t>
      </w:r>
      <w:r w:rsidR="00C759AB">
        <w:rPr>
          <w:rFonts w:ascii="Times New Roman" w:hAnsi="Times New Roman" w:cs="Times New Roman"/>
        </w:rPr>
        <w:t>to</w:t>
      </w:r>
      <w:r w:rsidRPr="00F47DE4">
        <w:rPr>
          <w:rFonts w:ascii="Times New Roman" w:hAnsi="Times New Roman" w:cs="Times New Roman"/>
        </w:rPr>
        <w:t xml:space="preserve"> Subsection 2.</w:t>
      </w:r>
      <w:r w:rsidR="00437B55">
        <w:rPr>
          <w:rFonts w:ascii="Times New Roman" w:hAnsi="Times New Roman" w:cs="Times New Roman"/>
        </w:rPr>
        <w:t>E</w:t>
      </w:r>
      <w:r w:rsidRPr="00F47DE4">
        <w:rPr>
          <w:rFonts w:ascii="Times New Roman" w:hAnsi="Times New Roman" w:cs="Times New Roman"/>
        </w:rPr>
        <w:t>.</w:t>
      </w:r>
      <w:r w:rsidR="00E876EF">
        <w:rPr>
          <w:rFonts w:ascii="Times New Roman" w:hAnsi="Times New Roman" w:cs="Times New Roman"/>
        </w:rPr>
        <w:t>4</w:t>
      </w:r>
      <w:r w:rsidRPr="00F47DE4">
        <w:rPr>
          <w:rFonts w:ascii="Times New Roman" w:hAnsi="Times New Roman" w:cs="Times New Roman"/>
        </w:rPr>
        <w:t xml:space="preserve">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 using the mortality tables as defined in VM-M</w:t>
      </w:r>
      <w:r w:rsidR="00C56099">
        <w:rPr>
          <w:rFonts w:ascii="Times New Roman" w:hAnsi="Times New Roman" w:cs="Times New Roman"/>
        </w:rPr>
        <w:t xml:space="preserve">, and valuation rates in VM-V as </w:t>
      </w:r>
      <w:r w:rsidR="007F053D">
        <w:rPr>
          <w:rFonts w:ascii="Times New Roman" w:hAnsi="Times New Roman" w:cs="Times New Roman"/>
        </w:rPr>
        <w:t>applicable</w:t>
      </w:r>
      <w:r w:rsidRPr="00F47DE4">
        <w:rPr>
          <w:rFonts w:ascii="Times New Roman" w:hAnsi="Times New Roman" w:cs="Times New Roman"/>
        </w:rPr>
        <w:t>.</w:t>
      </w:r>
    </w:p>
    <w:p w14:paraId="00432F3D" w14:textId="77777777" w:rsidR="007F053D" w:rsidRPr="007F053D" w:rsidRDefault="007F053D" w:rsidP="007F053D">
      <w:pPr>
        <w:pStyle w:val="ListParagraph"/>
        <w:spacing w:after="160" w:line="259" w:lineRule="auto"/>
        <w:rPr>
          <w:rFonts w:ascii="Times New Roman" w:hAnsi="Times New Roman" w:cs="Times New Roman"/>
        </w:rPr>
      </w:pPr>
    </w:p>
    <w:p w14:paraId="58DC0408" w14:textId="77754F97" w:rsidR="00D069C9" w:rsidRDefault="00F95A9A" w:rsidP="007F053D">
      <w:pPr>
        <w:pStyle w:val="ListParagraph"/>
        <w:widowControl w:val="0"/>
        <w:numPr>
          <w:ilvl w:val="0"/>
          <w:numId w:val="49"/>
        </w:numPr>
        <w:spacing w:line="240" w:lineRule="auto"/>
        <w:ind w:left="720" w:hanging="720"/>
        <w:jc w:val="both"/>
        <w:rPr>
          <w:rFonts w:ascii="Times New Roman" w:eastAsia="Times New Roman" w:hAnsi="Times New Roman"/>
        </w:rPr>
      </w:pPr>
      <w:r>
        <w:rPr>
          <w:rFonts w:ascii="Times New Roman" w:eastAsia="Times New Roman" w:hAnsi="Times New Roman"/>
        </w:rPr>
        <w:t xml:space="preserve">Upon </w:t>
      </w:r>
      <w:r w:rsidR="000625A1">
        <w:rPr>
          <w:rFonts w:ascii="Times New Roman" w:eastAsia="Times New Roman" w:hAnsi="Times New Roman"/>
        </w:rPr>
        <w:t>determining</w:t>
      </w:r>
      <w:r>
        <w:rPr>
          <w:rFonts w:ascii="Times New Roman" w:eastAsia="Times New Roman" w:hAnsi="Times New Roman"/>
        </w:rPr>
        <w:t xml:space="preserve"> whether annuities </w:t>
      </w:r>
      <w:r w:rsidR="009A371E">
        <w:rPr>
          <w:rFonts w:ascii="Times New Roman" w:eastAsia="Times New Roman" w:hAnsi="Times New Roman"/>
        </w:rPr>
        <w:t>fall under the requirements in</w:t>
      </w:r>
      <w:r>
        <w:rPr>
          <w:rFonts w:ascii="Times New Roman" w:eastAsia="Times New Roman" w:hAnsi="Times New Roman"/>
        </w:rPr>
        <w:t xml:space="preserve"> </w:t>
      </w:r>
      <w:r w:rsidR="00CD64FA">
        <w:rPr>
          <w:rFonts w:ascii="Times New Roman" w:eastAsia="Times New Roman" w:hAnsi="Times New Roman"/>
        </w:rPr>
        <w:t>P</w:t>
      </w:r>
      <w:r w:rsidR="00BB35D9">
        <w:rPr>
          <w:rFonts w:ascii="Times New Roman" w:eastAsia="Times New Roman" w:hAnsi="Times New Roman"/>
        </w:rPr>
        <w:t xml:space="preserve">aragraphs B, C, </w:t>
      </w:r>
      <w:r>
        <w:rPr>
          <w:rFonts w:ascii="Times New Roman" w:eastAsia="Times New Roman" w:hAnsi="Times New Roman"/>
        </w:rPr>
        <w:t>and</w:t>
      </w:r>
      <w:r w:rsidR="00BB35D9">
        <w:rPr>
          <w:rFonts w:ascii="Times New Roman" w:eastAsia="Times New Roman" w:hAnsi="Times New Roman"/>
        </w:rPr>
        <w:t xml:space="preserve"> D</w:t>
      </w:r>
      <w:r>
        <w:rPr>
          <w:rFonts w:ascii="Times New Roman" w:eastAsia="Times New Roman" w:hAnsi="Times New Roman"/>
        </w:rPr>
        <w:t xml:space="preserve"> in this subsection,</w:t>
      </w:r>
      <w:r w:rsidR="000625A1">
        <w:rPr>
          <w:rFonts w:ascii="Times New Roman" w:eastAsia="Times New Roman" w:hAnsi="Times New Roman"/>
        </w:rPr>
        <w:t xml:space="preserve"> </w:t>
      </w:r>
      <w:r w:rsidR="00520ADF">
        <w:rPr>
          <w:rFonts w:ascii="Times New Roman" w:eastAsia="Times New Roman" w:hAnsi="Times New Roman"/>
        </w:rPr>
        <w:t>the below principles shall be followed</w:t>
      </w:r>
      <w:r w:rsidR="000625A1">
        <w:rPr>
          <w:rFonts w:ascii="Times New Roman" w:eastAsia="Times New Roman" w:hAnsi="Times New Roman"/>
        </w:rPr>
        <w:t>:</w:t>
      </w:r>
    </w:p>
    <w:p w14:paraId="6A7B455F" w14:textId="77777777" w:rsidR="008E6717" w:rsidRDefault="008E6717" w:rsidP="008E6717">
      <w:pPr>
        <w:pStyle w:val="ListParagraph"/>
        <w:widowControl w:val="0"/>
        <w:spacing w:line="240" w:lineRule="auto"/>
        <w:jc w:val="both"/>
        <w:rPr>
          <w:rFonts w:ascii="Times New Roman" w:eastAsia="Times New Roman" w:hAnsi="Times New Roman"/>
        </w:rPr>
      </w:pPr>
    </w:p>
    <w:p w14:paraId="386806E6" w14:textId="3D64B517" w:rsidR="00D069C9" w:rsidRDefault="00520ADF" w:rsidP="007F053D">
      <w:pPr>
        <w:pStyle w:val="ListParagraph"/>
        <w:widowControl w:val="0"/>
        <w:numPr>
          <w:ilvl w:val="2"/>
          <w:numId w:val="49"/>
        </w:numPr>
        <w:spacing w:line="240" w:lineRule="auto"/>
        <w:ind w:left="1440" w:hanging="720"/>
        <w:rPr>
          <w:rFonts w:ascii="Times New Roman" w:eastAsia="Times New Roman" w:hAnsi="Times New Roman"/>
        </w:rPr>
      </w:pPr>
      <w:r>
        <w:rPr>
          <w:rFonts w:ascii="Times New Roman" w:eastAsia="Times New Roman" w:hAnsi="Times New Roman"/>
        </w:rPr>
        <w:t>Contracts that do n</w:t>
      </w:r>
      <w:r w:rsidR="000625A1">
        <w:rPr>
          <w:rFonts w:ascii="Times New Roman" w:eastAsia="Times New Roman" w:hAnsi="Times New Roman"/>
        </w:rPr>
        <w:t>ot g</w:t>
      </w:r>
      <w:r w:rsidR="00D069C9" w:rsidRPr="00D465AD">
        <w:rPr>
          <w:rFonts w:ascii="Times New Roman" w:eastAsia="Times New Roman" w:hAnsi="Times New Roman"/>
        </w:rPr>
        <w:t>uarantee the principal amount of purchase payments</w:t>
      </w:r>
      <w:r w:rsidR="00D069C9">
        <w:rPr>
          <w:rFonts w:ascii="Times New Roman" w:eastAsia="Times New Roman" w:hAnsi="Times New Roman"/>
        </w:rPr>
        <w:t xml:space="preserve">, net of any partial withdrawals, </w:t>
      </w:r>
      <w:r w:rsidR="00D069C9" w:rsidRPr="00D465AD">
        <w:rPr>
          <w:rFonts w:ascii="Times New Roman" w:eastAsia="Times New Roman" w:hAnsi="Times New Roman"/>
        </w:rPr>
        <w:t>and interest credited thereto, less any deduction (without regard to its timing) for sales, administrative or other expenses or charges</w:t>
      </w:r>
      <w:r w:rsidR="000625A1">
        <w:rPr>
          <w:rFonts w:ascii="Times New Roman" w:eastAsia="Times New Roman" w:hAnsi="Times New Roman"/>
        </w:rPr>
        <w:t xml:space="preserve"> </w:t>
      </w:r>
      <w:r w:rsidR="00860271">
        <w:rPr>
          <w:rFonts w:ascii="Times New Roman" w:eastAsia="Times New Roman" w:hAnsi="Times New Roman"/>
        </w:rPr>
        <w:t>shall</w:t>
      </w:r>
      <w:r w:rsidR="000625A1">
        <w:rPr>
          <w:rFonts w:ascii="Times New Roman" w:eastAsia="Times New Roman" w:hAnsi="Times New Roman"/>
        </w:rPr>
        <w:t xml:space="preserve"> follow the requirements in Paragraph B of this subsection</w:t>
      </w:r>
      <w:r w:rsidR="00D069C9">
        <w:rPr>
          <w:rFonts w:ascii="Times New Roman" w:eastAsia="Times New Roman" w:hAnsi="Times New Roman"/>
        </w:rPr>
        <w:t>.</w:t>
      </w:r>
    </w:p>
    <w:p w14:paraId="09DD7E33" w14:textId="77777777" w:rsidR="00D069C9" w:rsidRDefault="00D069C9" w:rsidP="00D069C9">
      <w:pPr>
        <w:pStyle w:val="ListParagraph"/>
        <w:widowControl w:val="0"/>
        <w:spacing w:after="0" w:line="240" w:lineRule="auto"/>
        <w:ind w:left="1080"/>
        <w:rPr>
          <w:rFonts w:ascii="Times New Roman" w:eastAsia="Times New Roman" w:hAnsi="Times New Roman"/>
        </w:rPr>
      </w:pPr>
    </w:p>
    <w:p w14:paraId="113F1970" w14:textId="5B84113D" w:rsidR="00D069C9" w:rsidRDefault="00520ADF" w:rsidP="007F053D">
      <w:pPr>
        <w:pStyle w:val="ListParagraph"/>
        <w:widowControl w:val="0"/>
        <w:numPr>
          <w:ilvl w:val="2"/>
          <w:numId w:val="49"/>
        </w:numPr>
        <w:spacing w:after="0" w:line="240" w:lineRule="auto"/>
        <w:ind w:left="1440" w:hanging="720"/>
        <w:rPr>
          <w:rFonts w:ascii="Times New Roman" w:eastAsia="Times New Roman" w:hAnsi="Times New Roman"/>
        </w:rPr>
      </w:pPr>
      <w:r>
        <w:rPr>
          <w:rFonts w:ascii="Times New Roman" w:eastAsia="Times New Roman" w:hAnsi="Times New Roman"/>
        </w:rPr>
        <w:t>Contracts that do not c</w:t>
      </w:r>
      <w:r w:rsidR="00D069C9" w:rsidRPr="00287827">
        <w:rPr>
          <w:rFonts w:ascii="Times New Roman" w:eastAsia="Times New Roman" w:hAnsi="Times New Roman"/>
        </w:rPr>
        <w:t>redit a rate of interest under the contract prior to the application of any market value adjustments that is at least equal to the minimum rate required to be credited by the standard nonforfeiture law in the jurisdiction in which the contract is issued</w:t>
      </w:r>
      <w:r w:rsidRPr="00520ADF">
        <w:rPr>
          <w:rFonts w:ascii="Times New Roman" w:eastAsia="Times New Roman" w:hAnsi="Times New Roman"/>
        </w:rPr>
        <w:t xml:space="preserve"> </w:t>
      </w:r>
      <w:r w:rsidR="00860271">
        <w:rPr>
          <w:rFonts w:ascii="Times New Roman" w:eastAsia="Times New Roman" w:hAnsi="Times New Roman"/>
        </w:rPr>
        <w:t>shall</w:t>
      </w:r>
      <w:r>
        <w:rPr>
          <w:rFonts w:ascii="Times New Roman" w:eastAsia="Times New Roman" w:hAnsi="Times New Roman"/>
        </w:rPr>
        <w:t xml:space="preserve"> follow the requirements in Paragraph B of this subsection</w:t>
      </w:r>
      <w:r w:rsidR="00D069C9" w:rsidRPr="00287827">
        <w:rPr>
          <w:rFonts w:ascii="Times New Roman" w:eastAsia="Times New Roman" w:hAnsi="Times New Roman"/>
        </w:rPr>
        <w:t>.</w:t>
      </w:r>
    </w:p>
    <w:p w14:paraId="0214C0F0" w14:textId="77777777" w:rsidR="00520ADF" w:rsidRPr="00D11AF0" w:rsidRDefault="00520ADF" w:rsidP="007F053D">
      <w:pPr>
        <w:pStyle w:val="ListParagraph"/>
        <w:ind w:left="1440" w:hanging="720"/>
        <w:rPr>
          <w:rFonts w:ascii="Times New Roman" w:eastAsia="Times New Roman" w:hAnsi="Times New Roman"/>
        </w:rPr>
      </w:pPr>
    </w:p>
    <w:p w14:paraId="3BD1FE47" w14:textId="749641D9" w:rsidR="00520ADF" w:rsidRDefault="00520ADF" w:rsidP="007F053D">
      <w:pPr>
        <w:pStyle w:val="ListParagraph"/>
        <w:widowControl w:val="0"/>
        <w:numPr>
          <w:ilvl w:val="2"/>
          <w:numId w:val="49"/>
        </w:numPr>
        <w:spacing w:after="0" w:line="240" w:lineRule="auto"/>
        <w:ind w:left="1440" w:hanging="720"/>
        <w:rPr>
          <w:rFonts w:ascii="Times New Roman" w:eastAsia="Times New Roman" w:hAnsi="Times New Roman"/>
        </w:rPr>
      </w:pPr>
      <w:r>
        <w:rPr>
          <w:rFonts w:ascii="Times New Roman" w:eastAsia="Times New Roman" w:hAnsi="Times New Roman"/>
        </w:rPr>
        <w:t xml:space="preserve">Contracts falling under the definition of Index-Linked Variable Annuities provided in VM-01 </w:t>
      </w:r>
      <w:r w:rsidR="00860271">
        <w:rPr>
          <w:rFonts w:ascii="Times New Roman" w:eastAsia="Times New Roman" w:hAnsi="Times New Roman"/>
        </w:rPr>
        <w:t>shall</w:t>
      </w:r>
      <w:r>
        <w:rPr>
          <w:rFonts w:ascii="Times New Roman" w:eastAsia="Times New Roman" w:hAnsi="Times New Roman"/>
        </w:rPr>
        <w:t xml:space="preserve"> follow the requirements in Paragraph B of this subsection.</w:t>
      </w:r>
    </w:p>
    <w:p w14:paraId="3C26C65D" w14:textId="77777777" w:rsidR="00520ADF" w:rsidRPr="00D11AF0" w:rsidRDefault="00520ADF" w:rsidP="007F053D">
      <w:pPr>
        <w:pStyle w:val="ListParagraph"/>
        <w:ind w:left="1440" w:hanging="720"/>
        <w:rPr>
          <w:rFonts w:ascii="Times New Roman" w:eastAsia="Times New Roman" w:hAnsi="Times New Roman"/>
        </w:rPr>
      </w:pPr>
    </w:p>
    <w:p w14:paraId="31F6BCAA" w14:textId="1317CAAD" w:rsidR="00D069C9" w:rsidRDefault="00520ADF" w:rsidP="007F053D">
      <w:pPr>
        <w:pStyle w:val="ListParagraph"/>
        <w:rPr>
          <w:rFonts w:ascii="Times New Roman" w:eastAsia="Times New Roman" w:hAnsi="Times New Roman"/>
        </w:rPr>
      </w:pPr>
      <w:r>
        <w:rPr>
          <w:rFonts w:ascii="Times New Roman" w:eastAsia="Times New Roman" w:hAnsi="Times New Roman"/>
        </w:rPr>
        <w:t xml:space="preserve">All annuity contracts that do not fall under </w:t>
      </w:r>
      <w:r w:rsidR="00460093">
        <w:rPr>
          <w:rFonts w:ascii="Times New Roman" w:eastAsia="Times New Roman" w:hAnsi="Times New Roman"/>
        </w:rPr>
        <w:t>F</w:t>
      </w:r>
      <w:r>
        <w:rPr>
          <w:rFonts w:ascii="Times New Roman" w:eastAsia="Times New Roman" w:hAnsi="Times New Roman"/>
        </w:rPr>
        <w:t xml:space="preserve">.1, </w:t>
      </w:r>
      <w:r w:rsidR="00E876EF">
        <w:rPr>
          <w:rFonts w:ascii="Times New Roman" w:eastAsia="Times New Roman" w:hAnsi="Times New Roman"/>
        </w:rPr>
        <w:t>F</w:t>
      </w:r>
      <w:r>
        <w:rPr>
          <w:rFonts w:ascii="Times New Roman" w:eastAsia="Times New Roman" w:hAnsi="Times New Roman"/>
        </w:rPr>
        <w:t xml:space="preserve">.2, or </w:t>
      </w:r>
      <w:r w:rsidR="00E876EF">
        <w:rPr>
          <w:rFonts w:ascii="Times New Roman" w:eastAsia="Times New Roman" w:hAnsi="Times New Roman"/>
        </w:rPr>
        <w:t>F</w:t>
      </w:r>
      <w:r>
        <w:rPr>
          <w:rFonts w:ascii="Times New Roman" w:eastAsia="Times New Roman" w:hAnsi="Times New Roman"/>
        </w:rPr>
        <w:t xml:space="preserve">.3 in this subsection </w:t>
      </w:r>
      <w:r w:rsidR="009A444B">
        <w:rPr>
          <w:rFonts w:ascii="Times New Roman" w:eastAsia="Times New Roman" w:hAnsi="Times New Roman"/>
        </w:rPr>
        <w:t>shall</w:t>
      </w:r>
      <w:r>
        <w:rPr>
          <w:rFonts w:ascii="Times New Roman" w:eastAsia="Times New Roman" w:hAnsi="Times New Roman"/>
        </w:rPr>
        <w:t xml:space="preserve"> follow the requirements in Paragraph C or D of this subsection, </w:t>
      </w:r>
      <w:r w:rsidR="00D11AF0">
        <w:rPr>
          <w:rFonts w:ascii="Times New Roman" w:eastAsia="Times New Roman" w:hAnsi="Times New Roman"/>
        </w:rPr>
        <w:t>in accordance with the</w:t>
      </w:r>
      <w:r>
        <w:rPr>
          <w:rFonts w:ascii="Times New Roman" w:eastAsia="Times New Roman" w:hAnsi="Times New Roman"/>
        </w:rPr>
        <w:t xml:space="preserve"> date on which the contract </w:t>
      </w:r>
      <w:r w:rsidR="00D11AF0">
        <w:rPr>
          <w:rFonts w:ascii="Times New Roman" w:eastAsia="Times New Roman" w:hAnsi="Times New Roman"/>
        </w:rPr>
        <w:t>has been</w:t>
      </w:r>
      <w:r>
        <w:rPr>
          <w:rFonts w:ascii="Times New Roman" w:eastAsia="Times New Roman" w:hAnsi="Times New Roman"/>
        </w:rPr>
        <w:t xml:space="preserve"> issued.</w:t>
      </w:r>
    </w:p>
    <w:p w14:paraId="01215C9E" w14:textId="204DD002" w:rsidR="00C759AB" w:rsidRDefault="00C759AB" w:rsidP="00C759AB">
      <w:pPr>
        <w:pStyle w:val="Heading1"/>
        <w:spacing w:before="0" w:line="240" w:lineRule="auto"/>
        <w:rPr>
          <w:sz w:val="24"/>
          <w:szCs w:val="24"/>
        </w:rPr>
      </w:pPr>
      <w:bookmarkStart w:id="5" w:name="_Toc137649763"/>
      <w:r w:rsidRPr="00E17D51">
        <w:rPr>
          <w:sz w:val="22"/>
          <w:szCs w:val="22"/>
        </w:rPr>
        <w:t xml:space="preserve">Subsection </w:t>
      </w:r>
      <w:r>
        <w:rPr>
          <w:sz w:val="22"/>
          <w:szCs w:val="22"/>
        </w:rPr>
        <w:t>3</w:t>
      </w:r>
      <w:r w:rsidRPr="00E17D51">
        <w:rPr>
          <w:sz w:val="22"/>
          <w:szCs w:val="22"/>
        </w:rPr>
        <w:t xml:space="preserve">: </w:t>
      </w:r>
      <w:r>
        <w:rPr>
          <w:sz w:val="22"/>
          <w:szCs w:val="22"/>
        </w:rPr>
        <w:t>Deposit-Type Contracts</w:t>
      </w:r>
      <w:bookmarkEnd w:id="5"/>
    </w:p>
    <w:p w14:paraId="77EACD78" w14:textId="77777777" w:rsidR="00C759AB" w:rsidRPr="002514EA" w:rsidRDefault="00C759AB" w:rsidP="00C759AB">
      <w:pPr>
        <w:spacing w:after="0" w:line="240" w:lineRule="auto"/>
      </w:pPr>
    </w:p>
    <w:p w14:paraId="0341AB52" w14:textId="0010216D" w:rsidR="00C759AB" w:rsidRPr="00C759AB" w:rsidRDefault="00C759AB" w:rsidP="00C759AB">
      <w:pPr>
        <w:rPr>
          <w:rFonts w:ascii="Times New Roman" w:hAnsi="Times New Roman" w:cs="Times New Roman"/>
        </w:rPr>
      </w:pPr>
      <w:r w:rsidRPr="00C759AB">
        <w:rPr>
          <w:rFonts w:ascii="Times New Roman" w:hAnsi="Times New Roman" w:cs="Times New Roman"/>
        </w:rPr>
        <w:lastRenderedPageBreak/>
        <w:t>This subsection establishes reserve requirements for all contracts classified as deposit-type contracts</w:t>
      </w:r>
      <w:r>
        <w:rPr>
          <w:rFonts w:ascii="Times New Roman" w:hAnsi="Times New Roman" w:cs="Times New Roman"/>
        </w:rPr>
        <w:t xml:space="preserve">  </w:t>
      </w:r>
      <w:r w:rsidRPr="00C759AB">
        <w:rPr>
          <w:rFonts w:ascii="Times New Roman" w:hAnsi="Times New Roman" w:cs="Times New Roman"/>
        </w:rPr>
        <w:t>defined in SSAP No. 50 in the AP&amp;P Manual.</w:t>
      </w:r>
    </w:p>
    <w:p w14:paraId="5072F9FB" w14:textId="198D38C0" w:rsidR="00C759AB" w:rsidRPr="00C759AB" w:rsidRDefault="00C759AB" w:rsidP="00C759AB">
      <w:pPr>
        <w:rPr>
          <w:rFonts w:ascii="Times New Roman" w:hAnsi="Times New Roman" w:cs="Times New Roman"/>
        </w:rPr>
      </w:pPr>
      <w:r w:rsidRPr="00C759AB">
        <w:rPr>
          <w:rFonts w:ascii="Times New Roman" w:hAnsi="Times New Roman" w:cs="Times New Roman"/>
        </w:rPr>
        <w:t>Minimum reserve requirements for deposit-type contracts are those requirements as found in</w:t>
      </w:r>
      <w:r>
        <w:rPr>
          <w:rFonts w:ascii="Times New Roman" w:hAnsi="Times New Roman" w:cs="Times New Roman"/>
        </w:rPr>
        <w:t xml:space="preserve"> </w:t>
      </w:r>
      <w:r w:rsidRPr="00C759AB">
        <w:rPr>
          <w:rFonts w:ascii="Times New Roman" w:hAnsi="Times New Roman" w:cs="Times New Roman"/>
        </w:rPr>
        <w:t>VM-A, VM-C</w:t>
      </w:r>
      <w:r>
        <w:rPr>
          <w:rFonts w:ascii="Times New Roman" w:hAnsi="Times New Roman" w:cs="Times New Roman"/>
        </w:rPr>
        <w:t>, VM-V,</w:t>
      </w:r>
      <w:r w:rsidRPr="00C759AB">
        <w:rPr>
          <w:rFonts w:ascii="Times New Roman" w:hAnsi="Times New Roman" w:cs="Times New Roman"/>
        </w:rPr>
        <w:t xml:space="preserve"> and VM-22, as applicable.</w:t>
      </w:r>
    </w:p>
    <w:p w14:paraId="4DDC59CA" w14:textId="77777777" w:rsidR="00D069C9" w:rsidRDefault="00D069C9" w:rsidP="00D069C9">
      <w:pPr>
        <w:pStyle w:val="Heading1"/>
        <w:spacing w:before="0" w:line="240" w:lineRule="auto"/>
        <w:rPr>
          <w:sz w:val="24"/>
          <w:szCs w:val="24"/>
        </w:rPr>
      </w:pPr>
      <w:bookmarkStart w:id="6" w:name="_Toc77242185"/>
      <w:bookmarkStart w:id="7" w:name="_Toc137649764"/>
      <w:r w:rsidRPr="00E17D51">
        <w:rPr>
          <w:sz w:val="22"/>
          <w:szCs w:val="22"/>
        </w:rPr>
        <w:t>Subsection 6: Riders and Supplemental Benefits</w:t>
      </w:r>
      <w:bookmarkEnd w:id="6"/>
      <w:bookmarkEnd w:id="7"/>
    </w:p>
    <w:p w14:paraId="196D88E8" w14:textId="77777777" w:rsidR="00D069C9" w:rsidRPr="002514EA" w:rsidRDefault="00D069C9" w:rsidP="00D069C9">
      <w:pPr>
        <w:spacing w:after="0" w:line="240" w:lineRule="auto"/>
      </w:pPr>
    </w:p>
    <w:p w14:paraId="1A29DCB0" w14:textId="4C2A89E6" w:rsidR="00D069C9" w:rsidRPr="00903AB6" w:rsidRDefault="00D069C9" w:rsidP="00D069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703779">
        <w:rPr>
          <w:rFonts w:ascii="Times New Roman" w:hAnsi="Times New Roman" w:cs="Times New Roman"/>
          <w:b/>
          <w:bCs/>
        </w:rPr>
        <w:t>Guidance Note:</w:t>
      </w:r>
      <w:r>
        <w:rPr>
          <w:rFonts w:ascii="Times New Roman" w:hAnsi="Times New Roman" w:cs="Times New Roman"/>
        </w:rPr>
        <w:t xml:space="preserve"> 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 which are created to simply disguise benefits subject to 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for the base product to which they are attached, or exploit a perceived loophole, must be reserved in a manner similar to more typical designs with similar riders.</w:t>
      </w:r>
    </w:p>
    <w:p w14:paraId="53040C73" w14:textId="77777777" w:rsidR="00D069C9" w:rsidRPr="00903AB6" w:rsidRDefault="00D069C9" w:rsidP="00D069C9">
      <w:pPr>
        <w:spacing w:after="0" w:line="240" w:lineRule="auto"/>
        <w:rPr>
          <w:rFonts w:ascii="Times New Roman" w:hAnsi="Times New Roman" w:cs="Times New Roman"/>
        </w:rPr>
      </w:pPr>
    </w:p>
    <w:p w14:paraId="5D5E80AD" w14:textId="77777777"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 product, deposit-type contract, or credit life or disability product, it may be valued with the base contract unless it is required to be separated by regulation or other requirements.</w:t>
      </w:r>
    </w:p>
    <w:p w14:paraId="0D7B5214" w14:textId="77777777" w:rsidR="00D069C9" w:rsidRPr="00903AB6" w:rsidRDefault="00D069C9" w:rsidP="00D069C9">
      <w:pPr>
        <w:spacing w:after="0" w:line="240" w:lineRule="auto"/>
        <w:rPr>
          <w:rFonts w:ascii="Times New Roman" w:hAnsi="Times New Roman" w:cs="Times New Roman"/>
        </w:rPr>
      </w:pPr>
    </w:p>
    <w:p w14:paraId="4F088BF4" w14:textId="12C701BA"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For supplemental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Guaranteed Insurability, Accidental Death or Disability Benefits, Convertibility, or Disability Waiver of Premium Benefits, the supplemental benefit may be valued with the base policy</w:t>
      </w:r>
      <w:r>
        <w:rPr>
          <w:rFonts w:ascii="Times New Roman" w:hAnsi="Times New Roman" w:cs="Times New Roman"/>
        </w:rPr>
        <w:t xml:space="preserve"> or </w:t>
      </w:r>
      <w:r w:rsidRPr="00903AB6">
        <w:rPr>
          <w:rFonts w:ascii="Times New Roman" w:hAnsi="Times New Roman" w:cs="Times New Roman"/>
        </w:rPr>
        <w:t>contract and follow the reserve requirements for the base policy</w:t>
      </w:r>
      <w:r>
        <w:rPr>
          <w:rFonts w:ascii="Times New Roman" w:hAnsi="Times New Roman" w:cs="Times New Roman"/>
        </w:rPr>
        <w:t xml:space="preserve"> or </w:t>
      </w:r>
      <w:r w:rsidRPr="00903AB6">
        <w:rPr>
          <w:rFonts w:ascii="Times New Roman" w:hAnsi="Times New Roman" w:cs="Times New Roman"/>
        </w:rPr>
        <w:t>contract under VM-20, VM-21, VM-22, VM-A,</w:t>
      </w:r>
      <w:r w:rsidR="00E876EF">
        <w:rPr>
          <w:rFonts w:ascii="Times New Roman" w:hAnsi="Times New Roman" w:cs="Times New Roman"/>
        </w:rPr>
        <w:t xml:space="preserve"> VM-C,</w:t>
      </w:r>
      <w:r w:rsidRPr="00903AB6">
        <w:rPr>
          <w:rFonts w:ascii="Times New Roman" w:hAnsi="Times New Roman" w:cs="Times New Roman"/>
        </w:rPr>
        <w:t xml:space="preserve"> and/or VM-</w:t>
      </w:r>
      <w:r w:rsidR="00E876EF">
        <w:rPr>
          <w:rFonts w:ascii="Times New Roman" w:hAnsi="Times New Roman" w:cs="Times New Roman"/>
        </w:rPr>
        <w:t>V</w:t>
      </w:r>
      <w:r w:rsidRPr="00903AB6">
        <w:rPr>
          <w:rFonts w:ascii="Times New Roman" w:hAnsi="Times New Roman" w:cs="Times New Roman"/>
        </w:rPr>
        <w:t>, as applicable.</w:t>
      </w:r>
    </w:p>
    <w:p w14:paraId="16930EDE" w14:textId="77777777" w:rsidR="008E6717" w:rsidRDefault="008E6717" w:rsidP="008E6717">
      <w:pPr>
        <w:pStyle w:val="ListParagraph"/>
        <w:spacing w:after="0" w:line="240" w:lineRule="auto"/>
        <w:ind w:left="360"/>
        <w:rPr>
          <w:rFonts w:ascii="Times New Roman" w:hAnsi="Times New Roman" w:cs="Times New Roman"/>
        </w:rPr>
      </w:pPr>
    </w:p>
    <w:p w14:paraId="340E06E9" w14:textId="72789257" w:rsidR="00D069C9" w:rsidRPr="00903AB6" w:rsidRDefault="00D069C9" w:rsidP="00D069C9">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ULSG and other secondary guarantee riders 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shall be valued with the base </w:t>
      </w:r>
      <w:r>
        <w:rPr>
          <w:rFonts w:ascii="Times New Roman" w:hAnsi="Times New Roman" w:cs="Times New Roman"/>
        </w:rPr>
        <w:t xml:space="preserve">policy or </w:t>
      </w:r>
      <w:r w:rsidRPr="00903AB6">
        <w:rPr>
          <w:rFonts w:ascii="Times New Roman" w:hAnsi="Times New Roman" w:cs="Times New Roman"/>
        </w:rPr>
        <w:t xml:space="preserve">contract and follow the reserve requirements for the base </w:t>
      </w:r>
      <w:r>
        <w:rPr>
          <w:rFonts w:ascii="Times New Roman" w:hAnsi="Times New Roman" w:cs="Times New Roman"/>
        </w:rPr>
        <w:t xml:space="preserve">policy or </w:t>
      </w:r>
      <w:r w:rsidRPr="00903AB6">
        <w:rPr>
          <w:rFonts w:ascii="Times New Roman" w:hAnsi="Times New Roman" w:cs="Times New Roman"/>
        </w:rPr>
        <w:t>contract under VM-20, VM-21, VM-22, and VM-A</w:t>
      </w:r>
      <w:r w:rsidR="00E876EF">
        <w:rPr>
          <w:rFonts w:ascii="Times New Roman" w:hAnsi="Times New Roman" w:cs="Times New Roman"/>
        </w:rPr>
        <w:t>, VM-C,</w:t>
      </w:r>
      <w:r w:rsidRPr="00903AB6">
        <w:rPr>
          <w:rFonts w:ascii="Times New Roman" w:hAnsi="Times New Roman" w:cs="Times New Roman"/>
        </w:rPr>
        <w:t xml:space="preserve"> and/or VM-</w:t>
      </w:r>
      <w:r w:rsidR="00E876EF">
        <w:rPr>
          <w:rFonts w:ascii="Times New Roman" w:hAnsi="Times New Roman" w:cs="Times New Roman"/>
        </w:rPr>
        <w:t>V</w:t>
      </w:r>
      <w:r w:rsidRPr="00903AB6">
        <w:rPr>
          <w:rFonts w:ascii="Times New Roman" w:hAnsi="Times New Roman" w:cs="Times New Roman"/>
        </w:rPr>
        <w:t>, as applicable.</w:t>
      </w:r>
    </w:p>
    <w:p w14:paraId="192BF628" w14:textId="77777777" w:rsidR="00D069C9" w:rsidRPr="00903AB6" w:rsidRDefault="00D069C9" w:rsidP="00D069C9">
      <w:pPr>
        <w:pStyle w:val="ListParagraph"/>
        <w:rPr>
          <w:rFonts w:ascii="Times New Roman" w:hAnsi="Times New Roman" w:cs="Times New Roman"/>
        </w:rPr>
      </w:pPr>
    </w:p>
    <w:p w14:paraId="468F2A62" w14:textId="37CC627C"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 </w:t>
      </w:r>
      <w:r w:rsidRPr="00903AB6">
        <w:rPr>
          <w:rFonts w:ascii="Times New Roman" w:hAnsi="Times New Roman" w:cs="Times New Roman"/>
        </w:rPr>
        <w:t>or annuity contract that is not addressed in Paragraphs B</w:t>
      </w:r>
      <w:r w:rsidR="00E876EF">
        <w:rPr>
          <w:rFonts w:ascii="Times New Roman" w:hAnsi="Times New Roman" w:cs="Times New Roman"/>
        </w:rPr>
        <w:t xml:space="preserve"> or</w:t>
      </w:r>
      <w:r w:rsidRPr="00903AB6">
        <w:rPr>
          <w:rFonts w:ascii="Times New Roman" w:hAnsi="Times New Roman" w:cs="Times New Roman"/>
        </w:rPr>
        <w:t xml:space="preserve"> C above possesses any of the following attributes, the rider or supplemental benefit shall be valued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under VM-20, VM-21, VM-22, and VM-A</w:t>
      </w:r>
      <w:r w:rsidR="00E876EF">
        <w:rPr>
          <w:rFonts w:ascii="Times New Roman" w:hAnsi="Times New Roman" w:cs="Times New Roman"/>
        </w:rPr>
        <w:t>, VM-C,</w:t>
      </w:r>
      <w:r w:rsidRPr="00903AB6">
        <w:rPr>
          <w:rFonts w:ascii="Times New Roman" w:hAnsi="Times New Roman" w:cs="Times New Roman"/>
        </w:rPr>
        <w:t xml:space="preserve"> and/or VM-</w:t>
      </w:r>
      <w:r w:rsidR="00E876EF">
        <w:rPr>
          <w:rFonts w:ascii="Times New Roman" w:hAnsi="Times New Roman" w:cs="Times New Roman"/>
        </w:rPr>
        <w:t>V</w:t>
      </w:r>
      <w:r w:rsidRPr="00903AB6">
        <w:rPr>
          <w:rFonts w:ascii="Times New Roman" w:hAnsi="Times New Roman" w:cs="Times New Roman"/>
        </w:rPr>
        <w:t>, as applicable.</w:t>
      </w:r>
    </w:p>
    <w:p w14:paraId="7D59C0DF" w14:textId="77777777" w:rsidR="00D069C9" w:rsidRPr="00903AB6" w:rsidRDefault="00D069C9" w:rsidP="00D069C9">
      <w:pPr>
        <w:pStyle w:val="ListParagraph"/>
        <w:rPr>
          <w:rFonts w:ascii="Times New Roman" w:hAnsi="Times New Roman" w:cs="Times New Roman"/>
        </w:rPr>
      </w:pPr>
    </w:p>
    <w:p w14:paraId="774931F4"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4E0E6316" w14:textId="77777777" w:rsidR="00D069C9" w:rsidRPr="00903AB6" w:rsidRDefault="00D069C9" w:rsidP="00D069C9">
      <w:pPr>
        <w:spacing w:after="0" w:line="240" w:lineRule="auto"/>
        <w:ind w:left="720"/>
        <w:rPr>
          <w:rFonts w:ascii="Times New Roman" w:hAnsi="Times New Roman" w:cs="Times New Roman"/>
        </w:rPr>
      </w:pPr>
    </w:p>
    <w:p w14:paraId="18FC302A"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r w:rsidRPr="00903AB6">
        <w:rPr>
          <w:rFonts w:ascii="Times New Roman" w:hAnsi="Times New Roman" w:cs="Times New Roman"/>
        </w:rPr>
        <w:t xml:space="preserve">After issuance, the rider or supplemental benefit premium, charge, value or benefits are determined by referencing the base </w:t>
      </w:r>
      <w:r>
        <w:rPr>
          <w:rFonts w:ascii="Times New Roman" w:hAnsi="Times New Roman" w:cs="Times New Roman"/>
        </w:rPr>
        <w:t xml:space="preserve">policy or </w:t>
      </w:r>
      <w:r w:rsidRPr="00903AB6">
        <w:rPr>
          <w:rFonts w:ascii="Times New Roman" w:hAnsi="Times New Roman" w:cs="Times New Roman"/>
        </w:rPr>
        <w:t>contract features or performance.</w:t>
      </w:r>
    </w:p>
    <w:p w14:paraId="1DD087B0" w14:textId="77777777" w:rsidR="00D069C9" w:rsidRPr="00903AB6" w:rsidRDefault="00D069C9" w:rsidP="00D069C9">
      <w:pPr>
        <w:spacing w:after="0" w:line="240" w:lineRule="auto"/>
        <w:ind w:left="720"/>
        <w:rPr>
          <w:rFonts w:ascii="Times New Roman" w:hAnsi="Times New Roman" w:cs="Times New Roman"/>
        </w:rPr>
      </w:pPr>
    </w:p>
    <w:p w14:paraId="63F228E7" w14:textId="77777777" w:rsidR="00D069C9" w:rsidRPr="00903AB6" w:rsidRDefault="00D069C9" w:rsidP="00D069C9">
      <w:pPr>
        <w:pStyle w:val="ListParagraph"/>
        <w:numPr>
          <w:ilvl w:val="1"/>
          <w:numId w:val="26"/>
        </w:numPr>
        <w:spacing w:after="0" w:line="240" w:lineRule="auto"/>
        <w:rPr>
          <w:rFonts w:ascii="Times New Roman" w:hAnsi="Times New Roman" w:cs="Times New Roman"/>
        </w:rPr>
      </w:pPr>
      <w:r w:rsidRPr="00903AB6">
        <w:rPr>
          <w:rFonts w:ascii="Times New Roman" w:hAnsi="Times New Roman" w:cs="Times New Roman"/>
        </w:rPr>
        <w:t xml:space="preserve">After issuance, the base </w:t>
      </w:r>
      <w:r>
        <w:rPr>
          <w:rFonts w:ascii="Times New Roman" w:hAnsi="Times New Roman" w:cs="Times New Roman"/>
        </w:rPr>
        <w:t xml:space="preserve">policy or </w:t>
      </w:r>
      <w:r w:rsidRPr="00903AB6">
        <w:rPr>
          <w:rFonts w:ascii="Times New Roman" w:hAnsi="Times New Roman" w:cs="Times New Roman"/>
        </w:rPr>
        <w:t>contract value or benefits are determined by referencing the rider or supplemental benefit features or performance.  The deduction of rider or benefit premium or charge from the contract value is not sufficient for a determination by reference.</w:t>
      </w:r>
    </w:p>
    <w:p w14:paraId="5C180813" w14:textId="77777777" w:rsidR="00D069C9" w:rsidRPr="00903AB6" w:rsidRDefault="00D069C9" w:rsidP="00D069C9">
      <w:pPr>
        <w:spacing w:after="0" w:line="240" w:lineRule="auto"/>
        <w:rPr>
          <w:rFonts w:ascii="Times New Roman" w:hAnsi="Times New Roman" w:cs="Times New Roman"/>
        </w:rPr>
      </w:pPr>
    </w:p>
    <w:p w14:paraId="20FA98CC" w14:textId="709E6B32"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 xml:space="preserve">If a term life insurance rider on the named insured[s] on the base life insurance policy does not meet the conditions of </w:t>
      </w:r>
      <w:r>
        <w:rPr>
          <w:rFonts w:ascii="Times New Roman" w:hAnsi="Times New Roman" w:cs="Times New Roman"/>
        </w:rPr>
        <w:t>P</w:t>
      </w:r>
      <w:r w:rsidRPr="00903AB6">
        <w:rPr>
          <w:rFonts w:ascii="Times New Roman" w:hAnsi="Times New Roman" w:cs="Times New Roman"/>
        </w:rPr>
        <w:t xml:space="preserve">aragraph </w:t>
      </w:r>
      <w:r w:rsidR="00E876EF">
        <w:rPr>
          <w:rFonts w:ascii="Times New Roman" w:hAnsi="Times New Roman" w:cs="Times New Roman"/>
        </w:rPr>
        <w:t>D</w:t>
      </w:r>
      <w:r w:rsidRPr="00903AB6">
        <w:rPr>
          <w:rFonts w:ascii="Times New Roman" w:hAnsi="Times New Roman" w:cs="Times New Roman"/>
        </w:rPr>
        <w:t xml:space="preserve"> above, and either (1) guarantees level or near level premiums until a specified duration followed by a material premium increase; or (2) for a rider for which level or near </w:t>
      </w:r>
      <w:r w:rsidRPr="00903AB6">
        <w:rPr>
          <w:rFonts w:ascii="Times New Roman" w:hAnsi="Times New Roman" w:cs="Times New Roman"/>
        </w:rPr>
        <w:lastRenderedPageBreak/>
        <w:t>level premiums are expected for a period followed by a material premium increase, the rider is separated from the bae policy and follows the reserve requirements for term policies under VM20, VM-A and/or VM-C, as applicable.</w:t>
      </w:r>
    </w:p>
    <w:p w14:paraId="48C4800F" w14:textId="77777777" w:rsidR="00D069C9" w:rsidRPr="00903AB6" w:rsidRDefault="00D069C9" w:rsidP="00D069C9">
      <w:pPr>
        <w:spacing w:after="0" w:line="240" w:lineRule="auto"/>
        <w:rPr>
          <w:rFonts w:ascii="Times New Roman" w:hAnsi="Times New Roman" w:cs="Times New Roman"/>
        </w:rPr>
      </w:pPr>
    </w:p>
    <w:p w14:paraId="357190E6" w14:textId="22AE067C" w:rsidR="00D069C9" w:rsidRPr="00903AB6" w:rsidRDefault="00D069C9" w:rsidP="00D069C9">
      <w:pPr>
        <w:pStyle w:val="ListParagraph"/>
        <w:numPr>
          <w:ilvl w:val="0"/>
          <w:numId w:val="26"/>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r w:rsidRPr="00903AB6">
        <w:rPr>
          <w:rFonts w:ascii="Times New Roman" w:hAnsi="Times New Roman" w:cs="Times New Roman"/>
        </w:rPr>
        <w:t>or annuity contracts</w:t>
      </w:r>
      <w:r>
        <w:rPr>
          <w:rFonts w:ascii="Times New Roman" w:hAnsi="Times New Roman" w:cs="Times New Roman"/>
        </w:rPr>
        <w:t xml:space="preserve"> </w:t>
      </w:r>
      <w:r w:rsidRPr="00903AB6">
        <w:rPr>
          <w:rFonts w:ascii="Times New Roman" w:hAnsi="Times New Roman" w:cs="Times New Roman"/>
        </w:rPr>
        <w:t xml:space="preserve">not addressed in Paragraphs B through </w:t>
      </w:r>
      <w:r w:rsidR="00E876EF">
        <w:rPr>
          <w:rFonts w:ascii="Times New Roman" w:hAnsi="Times New Roman" w:cs="Times New Roman"/>
        </w:rPr>
        <w:t>E</w:t>
      </w:r>
      <w:r w:rsidRPr="00903AB6">
        <w:rPr>
          <w:rFonts w:ascii="Times New Roman" w:hAnsi="Times New Roman" w:cs="Times New Roman"/>
        </w:rPr>
        <w:t xml:space="preserve"> above, the riders or supplemental benefits may be valued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and follow the reserve requirements for the base</w:t>
      </w:r>
      <w:r>
        <w:rPr>
          <w:rFonts w:ascii="Times New Roman" w:hAnsi="Times New Roman" w:cs="Times New Roman"/>
        </w:rPr>
        <w:t xml:space="preserve"> 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under VM-20, VM-21, VM-22, VM-A</w:t>
      </w:r>
      <w:r w:rsidR="00E876EF">
        <w:rPr>
          <w:rFonts w:ascii="Times New Roman" w:hAnsi="Times New Roman" w:cs="Times New Roman"/>
        </w:rPr>
        <w:t>, VM-C,</w:t>
      </w:r>
      <w:r w:rsidRPr="00903AB6">
        <w:rPr>
          <w:rFonts w:ascii="Times New Roman" w:hAnsi="Times New Roman" w:cs="Times New Roman"/>
        </w:rPr>
        <w:t xml:space="preserve"> and/or VM-</w:t>
      </w:r>
      <w:r w:rsidR="00E876EF">
        <w:rPr>
          <w:rFonts w:ascii="Times New Roman" w:hAnsi="Times New Roman" w:cs="Times New Roman"/>
        </w:rPr>
        <w:t>V</w:t>
      </w:r>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or </w:t>
      </w:r>
      <w:r w:rsidRPr="00903AB6">
        <w:rPr>
          <w:rFonts w:ascii="Times New Roman" w:hAnsi="Times New Roman" w:cs="Times New Roman"/>
        </w:rPr>
        <w:t>contract</w:t>
      </w:r>
      <w:r>
        <w:rPr>
          <w:rFonts w:ascii="Times New Roman" w:hAnsi="Times New Roman" w:cs="Times New Roman"/>
        </w:rPr>
        <w:t xml:space="preserve"> </w:t>
      </w:r>
      <w:r w:rsidRPr="00903AB6">
        <w:rPr>
          <w:rFonts w:ascii="Times New Roman" w:hAnsi="Times New Roman" w:cs="Times New Roman"/>
        </w:rPr>
        <w:t>shall be determined at the policy form level, not on a policy-by-policy basis, and shall be treated consistently from year-to-year, unless otherwise approved by the domiciliary commissioner.</w:t>
      </w:r>
    </w:p>
    <w:p w14:paraId="60D08C0A" w14:textId="77777777" w:rsidR="00D069C9" w:rsidRPr="00903AB6" w:rsidRDefault="00D069C9" w:rsidP="00D069C9">
      <w:pPr>
        <w:spacing w:after="0" w:line="240" w:lineRule="auto"/>
        <w:rPr>
          <w:rFonts w:ascii="Times New Roman" w:hAnsi="Times New Roman" w:cs="Times New Roman"/>
        </w:rPr>
      </w:pPr>
    </w:p>
    <w:p w14:paraId="11A7F112" w14:textId="1246BBCC" w:rsidR="00D069C9" w:rsidRPr="00157EDD" w:rsidRDefault="00D069C9" w:rsidP="00A16BAE">
      <w:pPr>
        <w:pStyle w:val="ListParagraph"/>
        <w:spacing w:after="160" w:line="259" w:lineRule="auto"/>
        <w:ind w:left="0"/>
        <w:rPr>
          <w:rFonts w:ascii="Times New Roman" w:hAnsi="Times New Roman" w:cs="Times New Roman"/>
        </w:rPr>
      </w:pPr>
      <w:r w:rsidRPr="00A16BAE">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w:t>
      </w:r>
      <w:r w:rsidR="00A16BAE">
        <w:rPr>
          <w:rFonts w:ascii="Times New Roman" w:hAnsi="Times New Roman" w:cs="Times New Roman"/>
        </w:rPr>
        <w:t xml:space="preserve"> </w:t>
      </w:r>
      <w:r w:rsidRPr="00A16BAE">
        <w:rPr>
          <w:rFonts w:ascii="Times New Roman" w:hAnsi="Times New Roman" w:cs="Times New Roman"/>
        </w:rPr>
        <w:t>(for VM-21)</w:t>
      </w:r>
      <w:r w:rsidR="00A16BAE" w:rsidRPr="00A16BAE">
        <w:rPr>
          <w:rFonts w:ascii="Times New Roman" w:hAnsi="Times New Roman" w:cs="Times New Roman"/>
        </w:rPr>
        <w:t xml:space="preserve">. </w:t>
      </w:r>
      <w:r w:rsidRPr="00157EDD">
        <w:rPr>
          <w:rFonts w:ascii="Times New Roman" w:hAnsi="Times New Roman" w:cs="Times New Roman"/>
        </w:rPr>
        <w:t xml:space="preserve">The company must assume that policyholders’ and contract holders’ efficiency will increase over time unless the company has relevant and credible experience or clear evidence to the contrary. </w:t>
      </w:r>
      <w:r w:rsidR="00A16BAE">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r w:rsidR="00BC544F">
        <w:rPr>
          <w:rFonts w:ascii="Times New Roman" w:hAnsi="Times New Roman" w:cs="Times New Roman"/>
        </w:rPr>
        <w:t>should</w:t>
      </w:r>
      <w:r w:rsidR="00BC544F" w:rsidRPr="00157EDD">
        <w:rPr>
          <w:rFonts w:ascii="Times New Roman" w:hAnsi="Times New Roman" w:cs="Times New Roman"/>
        </w:rPr>
        <w:t xml:space="preserve"> </w:t>
      </w:r>
      <w:r w:rsidRPr="00157EDD">
        <w:rPr>
          <w:rFonts w:ascii="Times New Roman" w:hAnsi="Times New Roman" w:cs="Times New Roman"/>
        </w:rPr>
        <w:t xml:space="preserve">generally </w:t>
      </w:r>
      <w:r w:rsidR="00BC544F">
        <w:rPr>
          <w:rFonts w:ascii="Times New Roman" w:hAnsi="Times New Roman" w:cs="Times New Roman"/>
        </w:rPr>
        <w:t xml:space="preserve">be assumed to </w:t>
      </w:r>
      <w:r w:rsidRPr="00157EDD">
        <w:rPr>
          <w:rFonts w:ascii="Times New Roman" w:hAnsi="Times New Roman" w:cs="Times New Roman"/>
        </w:rPr>
        <w:t>use the more valuable of the two benefits.</w:t>
      </w:r>
    </w:p>
    <w:p w14:paraId="7F3462E1" w14:textId="77777777" w:rsidR="00D069C9" w:rsidRDefault="00D069C9" w:rsidP="00D069C9">
      <w:pPr>
        <w:rPr>
          <w:rFonts w:ascii="Times New Roman" w:hAnsi="Times New Roman" w:cs="Times New Roman"/>
        </w:rPr>
      </w:pPr>
    </w:p>
    <w:p w14:paraId="17C25FCE" w14:textId="77777777" w:rsidR="00D069C9" w:rsidRDefault="00D069C9" w:rsidP="00D069C9">
      <w:pPr>
        <w:rPr>
          <w:rFonts w:ascii="Times New Roman" w:hAnsi="Times New Roman" w:cs="Times New Roman"/>
        </w:rPr>
      </w:pPr>
    </w:p>
    <w:p w14:paraId="16E2244D" w14:textId="77777777" w:rsidR="00D069C9" w:rsidRDefault="00D069C9" w:rsidP="00D069C9">
      <w:pPr>
        <w:rPr>
          <w:rFonts w:ascii="Times New Roman" w:hAnsi="Times New Roman" w:cs="Times New Roman"/>
        </w:rPr>
      </w:pPr>
    </w:p>
    <w:p w14:paraId="7C9755DE" w14:textId="77777777" w:rsidR="00D069C9" w:rsidRDefault="00D069C9" w:rsidP="00D069C9">
      <w:pPr>
        <w:rPr>
          <w:rFonts w:ascii="Times New Roman" w:hAnsi="Times New Roman" w:cs="Times New Roman"/>
        </w:rPr>
      </w:pPr>
    </w:p>
    <w:p w14:paraId="54C612D1" w14:textId="77777777" w:rsidR="00D069C9" w:rsidRDefault="00D069C9" w:rsidP="00D069C9">
      <w:pPr>
        <w:spacing w:after="0" w:line="240" w:lineRule="auto"/>
        <w:rPr>
          <w:rFonts w:ascii="Times New Roman" w:hAnsi="Times New Roman" w:cs="Times New Roman"/>
          <w:sz w:val="24"/>
          <w:szCs w:val="24"/>
          <w:highlight w:val="yellow"/>
        </w:rPr>
      </w:pPr>
    </w:p>
    <w:p w14:paraId="4DCCCECA" w14:textId="77777777" w:rsidR="00D069C9" w:rsidRDefault="00D069C9" w:rsidP="00D069C9">
      <w:pPr>
        <w:spacing w:after="0" w:line="240" w:lineRule="auto"/>
        <w:rPr>
          <w:rFonts w:ascii="Times New Roman" w:hAnsi="Times New Roman" w:cs="Times New Roman"/>
          <w:sz w:val="24"/>
          <w:szCs w:val="24"/>
          <w:highlight w:val="yellow"/>
        </w:rPr>
      </w:pPr>
    </w:p>
    <w:p w14:paraId="452606AE" w14:textId="77777777" w:rsidR="00D069C9" w:rsidRDefault="00D069C9" w:rsidP="00D069C9">
      <w:pPr>
        <w:spacing w:after="0" w:line="240" w:lineRule="auto"/>
        <w:rPr>
          <w:rFonts w:ascii="Times New Roman" w:hAnsi="Times New Roman" w:cs="Times New Roman"/>
          <w:sz w:val="24"/>
          <w:szCs w:val="24"/>
          <w:highlight w:val="yellow"/>
        </w:rPr>
      </w:pPr>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8" w:name="_Toc137649765"/>
      <w:r w:rsidRPr="00D64C27">
        <w:rPr>
          <w:sz w:val="24"/>
          <w:szCs w:val="24"/>
        </w:rPr>
        <w:lastRenderedPageBreak/>
        <w:t>V</w:t>
      </w:r>
      <w:r w:rsidRPr="00857E17">
        <w:rPr>
          <w:sz w:val="24"/>
          <w:szCs w:val="24"/>
        </w:rPr>
        <w:t>M-01: Definitions for Terms in Requirements</w:t>
      </w:r>
      <w:bookmarkEnd w:id="8"/>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3654CBCE" w14:textId="1907577E"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D069C9">
      <w:pPr>
        <w:pStyle w:val="ListParagraph"/>
        <w:numPr>
          <w:ilvl w:val="0"/>
          <w:numId w:val="90"/>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F45B535" w:rsidR="00D069C9" w:rsidRPr="00857E17" w:rsidRDefault="00D069C9" w:rsidP="00D069C9">
      <w:pPr>
        <w:pStyle w:val="ListParagraph"/>
        <w:numPr>
          <w:ilvl w:val="0"/>
          <w:numId w:val="90"/>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D73924">
        <w:rPr>
          <w:rFonts w:ascii="Times New Roman" w:hAnsi="Times New Roman" w:cs="Times New Roman"/>
        </w:rPr>
        <w:t>G</w:t>
      </w: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D069C9">
      <w:pPr>
        <w:pStyle w:val="ListParagraph"/>
        <w:numPr>
          <w:ilvl w:val="1"/>
          <w:numId w:val="90"/>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D069C9">
      <w:pPr>
        <w:pStyle w:val="ListParagraph"/>
        <w:numPr>
          <w:ilvl w:val="1"/>
          <w:numId w:val="90"/>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D069C9">
      <w:pPr>
        <w:pStyle w:val="ListParagraph"/>
        <w:numPr>
          <w:ilvl w:val="2"/>
          <w:numId w:val="90"/>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D069C9">
      <w:pPr>
        <w:pStyle w:val="ListParagraph"/>
        <w:numPr>
          <w:ilvl w:val="2"/>
          <w:numId w:val="90"/>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3419E3D5"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r w:rsidR="00D73924">
        <w:rPr>
          <w:rFonts w:ascii="Times New Roman" w:eastAsia="Times New Roman" w:hAnsi="Times New Roman"/>
        </w:rPr>
        <w:t>G</w:t>
      </w:r>
      <w:r w:rsidRPr="00857E17">
        <w:rPr>
          <w:rFonts w:ascii="Times New Roman" w:eastAsia="Times New Roman" w:hAnsi="Times New Roman"/>
        </w:rPr>
        <w:t xml:space="preserve">uaranteed </w:t>
      </w:r>
      <w:r w:rsidR="00D73924">
        <w:rPr>
          <w:rFonts w:ascii="Times New Roman" w:eastAsia="Times New Roman" w:hAnsi="Times New Roman"/>
        </w:rPr>
        <w:t>M</w:t>
      </w:r>
      <w:r w:rsidRPr="00857E17">
        <w:rPr>
          <w:rFonts w:ascii="Times New Roman" w:eastAsia="Times New Roman" w:hAnsi="Times New Roman"/>
        </w:rPr>
        <w:t xml:space="preserve">inimum </w:t>
      </w:r>
      <w:r w:rsidR="00D73924">
        <w:rPr>
          <w:rFonts w:ascii="Times New Roman" w:eastAsia="Times New Roman" w:hAnsi="Times New Roman"/>
        </w:rPr>
        <w:t>I</w:t>
      </w:r>
      <w:r w:rsidRPr="00857E17">
        <w:rPr>
          <w:rFonts w:ascii="Times New Roman" w:eastAsia="Times New Roman" w:hAnsi="Times New Roman"/>
        </w:rPr>
        <w:t xml:space="preserve">ncome </w:t>
      </w:r>
      <w:r w:rsidR="00D73924">
        <w:rPr>
          <w:rFonts w:ascii="Times New Roman" w:eastAsia="Times New Roman" w:hAnsi="Times New Roman"/>
        </w:rPr>
        <w:t>B</w:t>
      </w:r>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1E2FAF28"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Index-Linked Variable Annuity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all of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477568">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w:t>
      </w:r>
      <w:r w:rsidR="00477568" w:rsidRPr="00477568">
        <w:rPr>
          <w:rFonts w:ascii="Times New Roman" w:eastAsia="Times New Roman" w:hAnsi="Times New Roman"/>
        </w:rPr>
        <w:lastRenderedPageBreak/>
        <w:t xml:space="preserve">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477568">
      <w:pPr>
        <w:pStyle w:val="ListParagraph"/>
        <w:numPr>
          <w:ilvl w:val="1"/>
          <w:numId w:val="90"/>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477568">
      <w:pPr>
        <w:pStyle w:val="ListParagraph"/>
        <w:numPr>
          <w:ilvl w:val="1"/>
          <w:numId w:val="90"/>
        </w:numPr>
        <w:spacing w:after="0" w:line="240" w:lineRule="auto"/>
        <w:rPr>
          <w:rFonts w:ascii="Times New Roman" w:eastAsia="Times New Roman" w:hAnsi="Times New Roman"/>
        </w:rPr>
      </w:pPr>
      <w:r w:rsidRPr="00477568">
        <w:rPr>
          <w:rFonts w:ascii="Times New Roman" w:eastAsia="Times New Roman" w:hAnsi="Times New Roman"/>
        </w:rPr>
        <w: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B0148DE"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Pension Risk 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679091FB" w14:textId="663E2DE6"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D069C9">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F649A53" w:rsidR="00FD7DB1" w:rsidRDefault="003D0F80" w:rsidP="00351D3F">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“Structured Settlement Contracts”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351D3F">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351D3F">
      <w:pPr>
        <w:pStyle w:val="ListParagraph"/>
        <w:numPr>
          <w:ilvl w:val="0"/>
          <w:numId w:val="90"/>
        </w:numPr>
        <w:spacing w:after="0" w:line="240" w:lineRule="auto"/>
        <w:ind w:hanging="720"/>
        <w:rPr>
          <w:rFonts w:ascii="Times New Roman" w:eastAsia="Times New Roman" w:hAnsi="Times New Roman"/>
        </w:rPr>
      </w:pPr>
      <w:r>
        <w:rPr>
          <w:rFonts w:ascii="Times New Roman" w:eastAsia="Times New Roman" w:hAnsi="Times New Roman"/>
        </w:rPr>
        <w:lastRenderedPageBreak/>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period of time,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085A46AB" w14:textId="7437F398" w:rsidR="003A6FBC" w:rsidRDefault="003A6FBC" w:rsidP="003A6FBC">
      <w:pPr>
        <w:pStyle w:val="Heading1"/>
        <w:rPr>
          <w:rFonts w:ascii="Times New Roman" w:hAnsi="Times New Roman" w:cs="Times New Roman"/>
          <w:sz w:val="24"/>
          <w:szCs w:val="24"/>
        </w:rPr>
      </w:pPr>
      <w:bookmarkStart w:id="9" w:name="_Toc137649766"/>
      <w:bookmarkStart w:id="10" w:name="_Toc77242124"/>
      <w:r>
        <w:rPr>
          <w:rFonts w:ascii="Times New Roman" w:hAnsi="Times New Roman" w:cs="Times New Roman"/>
          <w:sz w:val="24"/>
          <w:szCs w:val="24"/>
        </w:rPr>
        <w:t>VM-22</w:t>
      </w:r>
      <w:bookmarkEnd w:id="9"/>
    </w:p>
    <w:p w14:paraId="611A0054" w14:textId="61F7FEC0" w:rsidR="008636A6" w:rsidRDefault="00DB0A49" w:rsidP="008636A6">
      <w:pPr>
        <w:pStyle w:val="Heading1"/>
        <w:rPr>
          <w:rFonts w:ascii="Times New Roman" w:hAnsi="Times New Roman" w:cs="Times New Roman"/>
          <w:sz w:val="24"/>
          <w:szCs w:val="24"/>
        </w:rPr>
      </w:pPr>
      <w:bookmarkStart w:id="11" w:name="_Toc137649767"/>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10"/>
      <w:bookmarkEnd w:id="11"/>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12" w:name="_Toc77242125"/>
      <w:bookmarkStart w:id="13" w:name="_Toc137649768"/>
      <w:bookmarkEnd w:id="0"/>
      <w:r w:rsidRPr="00226660">
        <w:rPr>
          <w:rFonts w:ascii="Times New Roman" w:hAnsi="Times New Roman" w:cs="Times New Roman"/>
          <w:sz w:val="22"/>
          <w:szCs w:val="22"/>
        </w:rPr>
        <w:t>Purpose</w:t>
      </w:r>
      <w:bookmarkEnd w:id="12"/>
      <w:bookmarkEnd w:id="13"/>
    </w:p>
    <w:p w14:paraId="265E37AD" w14:textId="77777777" w:rsidR="000C73EB" w:rsidRPr="000C73EB" w:rsidRDefault="000C73EB" w:rsidP="000C73EB">
      <w:pPr>
        <w:spacing w:after="0"/>
      </w:pPr>
    </w:p>
    <w:p w14:paraId="668F3292" w14:textId="78B014DF"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r w:rsidR="00350809" w:rsidRPr="7245DCAC">
        <w:rPr>
          <w:rFonts w:ascii="Times New Roman" w:eastAsia="Times New Roman" w:hAnsi="Times New Roman" w:cs="Times New Roman"/>
        </w:rPr>
        <w:t>2</w:t>
      </w:r>
      <w:r w:rsidR="009626E6" w:rsidRPr="7245DCAC">
        <w:rPr>
          <w:rFonts w:ascii="Times New Roman" w:eastAsia="Times New Roman" w:hAnsi="Times New Roman" w:cs="Times New Roman"/>
        </w:rPr>
        <w:t>202</w:t>
      </w:r>
      <w:r w:rsidR="009626E6">
        <w:rPr>
          <w:rFonts w:ascii="Times New Roman" w:eastAsia="Times New Roman" w:hAnsi="Times New Roman" w:cs="Times New Roman"/>
        </w:rPr>
        <w:t>5</w:t>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78227C5C" w:rsidR="00316674" w:rsidRPr="007F053D"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rFonts w:ascii="Times New Roman" w:eastAsia="Times New Roman" w:hAnsi="Times New Roman" w:cs="Times New Roman"/>
        </w:rPr>
      </w:pPr>
      <w:r>
        <w:rPr>
          <w:rFonts w:ascii="Times New Roman" w:eastAsia="Times New Roman" w:hAnsi="Times New Roman" w:cs="Times New Roman"/>
          <w:b/>
          <w:bCs/>
        </w:rPr>
        <w:t>Drafting Note</w:t>
      </w:r>
      <w:r w:rsidRPr="007F053D">
        <w:rPr>
          <w:rFonts w:ascii="Times New Roman" w:eastAsia="Times New Roman" w:hAnsi="Times New Roman" w:cs="Times New Roman"/>
          <w:b/>
          <w:bCs/>
        </w:rPr>
        <w:t>:</w:t>
      </w:r>
      <w:r w:rsidRPr="007F053D">
        <w:rPr>
          <w:rFonts w:ascii="Times New Roman" w:eastAsia="Times New Roman" w:hAnsi="Times New Roman" w:cs="Times New Roman"/>
        </w:rPr>
        <w:t xml:space="preserve"> There is a guidance note in VM-21</w:t>
      </w:r>
      <w:r w:rsidR="00E876EF">
        <w:rPr>
          <w:rFonts w:ascii="Times New Roman" w:eastAsia="Times New Roman" w:hAnsi="Times New Roman" w:cs="Times New Roman"/>
        </w:rPr>
        <w:t xml:space="preserve"> that</w:t>
      </w:r>
      <w:r w:rsidRPr="007F053D">
        <w:rPr>
          <w:rFonts w:ascii="Times New Roman" w:eastAsia="Times New Roman" w:hAnsi="Times New Roman" w:cs="Times New Roman"/>
        </w:rPr>
        <w: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t>
      </w:r>
    </w:p>
    <w:p w14:paraId="1EF64905" w14:textId="2079B6D2" w:rsidR="008208E9" w:rsidRPr="008208E9" w:rsidRDefault="008208E9" w:rsidP="000443ED">
      <w:pPr>
        <w:spacing w:after="0"/>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14" w:name="_Toc77242126"/>
      <w:bookmarkStart w:id="15" w:name="_Toc137649769"/>
      <w:r w:rsidRPr="00226660">
        <w:rPr>
          <w:rFonts w:ascii="Times New Roman" w:hAnsi="Times New Roman" w:cs="Times New Roman"/>
          <w:sz w:val="22"/>
          <w:szCs w:val="22"/>
        </w:rPr>
        <w:t>Principles</w:t>
      </w:r>
      <w:bookmarkEnd w:id="14"/>
      <w:bookmarkEnd w:id="15"/>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786768A2"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B57AF8A"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6610CD25"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w:t>
      </w:r>
      <w:r w:rsidR="00B00B01" w:rsidRPr="00B00B01">
        <w:rPr>
          <w:rFonts w:ascii="Times New Roman" w:eastAsia="Times New Roman" w:hAnsi="Times New Roman" w:cs="Times New Roman"/>
        </w:rPr>
        <w:lastRenderedPageBreak/>
        <w:t>deficiency is calculated. The analysis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2A62356A"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10CFB662"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w:t>
      </w:r>
      <w:r w:rsidR="14D43851" w:rsidRPr="7E18D625">
        <w:rPr>
          <w:rFonts w:ascii="Times New Roman" w:eastAsia="Times New Roman" w:hAnsi="Times New Roman"/>
        </w:rPr>
        <w:lastRenderedPageBreak/>
        <w:t>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16" w:name="_Toc77242127"/>
      <w:bookmarkStart w:id="17" w:name="_Toc137649770"/>
      <w:r w:rsidRPr="000B4756">
        <w:rPr>
          <w:rFonts w:ascii="Times New Roman" w:hAnsi="Times New Roman" w:cs="Times New Roman"/>
          <w:sz w:val="22"/>
          <w:szCs w:val="22"/>
        </w:rPr>
        <w:t>Risks Reflected</w:t>
      </w:r>
      <w:bookmarkEnd w:id="16"/>
      <w:r w:rsidR="0049126C">
        <w:rPr>
          <w:rFonts w:ascii="Times New Roman" w:hAnsi="Times New Roman" w:cs="Times New Roman"/>
          <w:sz w:val="22"/>
          <w:szCs w:val="22"/>
        </w:rPr>
        <w:t xml:space="preserve"> and Risks Not Reflected</w:t>
      </w:r>
      <w:bookmarkEnd w:id="17"/>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18" w:name="_Toc137649771"/>
      <w:r>
        <w:rPr>
          <w:rFonts w:ascii="Times New Roman" w:hAnsi="Times New Roman" w:cs="Times New Roman"/>
          <w:sz w:val="22"/>
          <w:szCs w:val="22"/>
        </w:rPr>
        <w:t>Materiality</w:t>
      </w:r>
      <w:bookmarkEnd w:id="18"/>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19" w:name="_Toc137649772"/>
      <w:r w:rsidRPr="002C726F">
        <w:rPr>
          <w:rFonts w:ascii="Times New Roman" w:hAnsi="Times New Roman" w:cs="Times New Roman"/>
          <w:sz w:val="24"/>
          <w:szCs w:val="24"/>
        </w:rPr>
        <w:t>Section 2:  Scope and Effective Date</w:t>
      </w:r>
      <w:bookmarkEnd w:id="19"/>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20" w:name="_Toc77242130"/>
      <w:bookmarkStart w:id="21" w:name="_Toc137649773"/>
      <w:r w:rsidRPr="00226660">
        <w:rPr>
          <w:rFonts w:ascii="Times New Roman" w:hAnsi="Times New Roman" w:cs="Times New Roman"/>
          <w:sz w:val="22"/>
          <w:szCs w:val="22"/>
        </w:rPr>
        <w:t>Scope</w:t>
      </w:r>
      <w:bookmarkEnd w:id="20"/>
      <w:bookmarkEnd w:id="21"/>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22" w:name="_Toc77242131"/>
      <w:bookmarkStart w:id="23" w:name="_Toc137649774"/>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22"/>
      <w:bookmarkEnd w:id="23"/>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BA0CF3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2025</w:t>
      </w:r>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552CFB8B"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24" w:name="_Toc77242132"/>
      <w:bookmarkStart w:id="25" w:name="_Toc137649775"/>
      <w:bookmarkStart w:id="26" w:name="_Hlk121304778"/>
      <w:r w:rsidRPr="002C726F">
        <w:rPr>
          <w:sz w:val="24"/>
          <w:szCs w:val="24"/>
        </w:rPr>
        <w:lastRenderedPageBreak/>
        <w:t>Section 3: Reserve Methodology</w:t>
      </w:r>
      <w:bookmarkEnd w:id="24"/>
      <w:bookmarkEnd w:id="25"/>
    </w:p>
    <w:bookmarkEnd w:id="26"/>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27" w:name="_Toc77242133"/>
      <w:bookmarkStart w:id="28" w:name="_Toc137649776"/>
      <w:r w:rsidRPr="00252E55">
        <w:rPr>
          <w:sz w:val="22"/>
          <w:szCs w:val="22"/>
        </w:rPr>
        <w:t>A. Aggregate Reserve</w:t>
      </w:r>
      <w:bookmarkEnd w:id="27"/>
      <w:bookmarkEnd w:id="28"/>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3E5D7CF6"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plus the additional standard projection amount (following the requirements of Section 6) </w:t>
      </w:r>
      <w:r w:rsidR="009C17AD">
        <w:rPr>
          <w:rFonts w:ascii="Times New Roman" w:hAnsi="Times New Roman" w:cs="Times New Roman"/>
          <w:color w:val="000000" w:themeColor="text1"/>
        </w:rPr>
        <w:t>plus the DR for those contracts satisfying the Deterministic Certification Option,</w:t>
      </w:r>
      <w:r w:rsidR="009C17AD" w:rsidRPr="002514EA">
        <w:rPr>
          <w:rFonts w:ascii="Times New Roman" w:hAnsi="Times New Roman"/>
          <w:color w:val="000000" w:themeColor="text1"/>
        </w:rPr>
        <w:t xml:space="preserve"> </w:t>
      </w:r>
      <w:r w:rsidRPr="002514EA">
        <w:rPr>
          <w:rFonts w:ascii="Times New Roman" w:hAnsi="Times New Roman"/>
          <w:color w:val="000000" w:themeColor="text1"/>
        </w:rPr>
        <w:t>less any applicable PIMR for all contracts not valued under</w:t>
      </w: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 and VM-C are ones that pass the exclusion test and elect to not model PBR </w:t>
      </w:r>
      <w:r w:rsidR="0018608C">
        <w:rPr>
          <w:rFonts w:ascii="Times New Roman" w:hAnsi="Times New Roman" w:cs="Times New Roman"/>
        </w:rPr>
        <w:t>SR</w:t>
      </w:r>
      <w:r w:rsidR="00F03C74">
        <w:rPr>
          <w:rFonts w:ascii="Times New Roman" w:hAnsi="Times New Roman" w:cs="Times New Roman"/>
        </w:rPr>
        <w:t>s, per the requirements in Section 3.E.</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29" w:name="_Toc77242134"/>
      <w:bookmarkStart w:id="30" w:name="_Toc137649777"/>
      <w:r w:rsidRPr="00252E55">
        <w:rPr>
          <w:sz w:val="22"/>
          <w:szCs w:val="22"/>
        </w:rPr>
        <w:t>B. Impact of Reinsurance Ceded</w:t>
      </w:r>
      <w:bookmarkEnd w:id="29"/>
      <w:bookmarkEnd w:id="30"/>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A9B6CDF"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00252E55"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00252E55"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00252E55"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00252E55"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31" w:name="_Toc77242135"/>
      <w:bookmarkStart w:id="32" w:name="_Toc137649778"/>
      <w:r w:rsidRPr="0CC86E4D">
        <w:rPr>
          <w:sz w:val="22"/>
          <w:szCs w:val="22"/>
        </w:rPr>
        <w:t xml:space="preserve">C. </w:t>
      </w:r>
      <w:bookmarkEnd w:id="31"/>
      <w:r w:rsidRPr="0CC86E4D">
        <w:rPr>
          <w:sz w:val="22"/>
          <w:szCs w:val="22"/>
        </w:rPr>
        <w:t>The Additional Standard Projection Amount</w:t>
      </w:r>
      <w:bookmarkEnd w:id="32"/>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60B51548" w:rsidR="00252E55" w:rsidRDefault="00252E55" w:rsidP="00252E55">
      <w:pPr>
        <w:autoSpaceDE w:val="0"/>
        <w:autoSpaceDN w:val="0"/>
        <w:adjustRightInd w:val="0"/>
        <w:spacing w:after="0" w:line="240" w:lineRule="auto"/>
        <w:rPr>
          <w:rFonts w:ascii="Times New Roman" w:hAnsi="Times New Roman" w:cs="Times New Roman"/>
          <w:color w:val="000000"/>
        </w:rPr>
      </w:pPr>
      <w:r w:rsidRPr="0CC86E4D">
        <w:rPr>
          <w:rFonts w:ascii="Times New Roman" w:hAnsi="Times New Roman" w:cs="Times New Roman"/>
          <w:color w:val="000000" w:themeColor="text1"/>
        </w:rPr>
        <w:t xml:space="preserve">The additional standard projection amount is determined by applying one of the two standard projection methods defined in Section 6. 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t>
      </w: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33" w:name="_Toc137649779"/>
      <w:r w:rsidRPr="00252E55">
        <w:rPr>
          <w:sz w:val="22"/>
          <w:szCs w:val="22"/>
        </w:rPr>
        <w:t xml:space="preserve">D. The </w:t>
      </w:r>
      <w:r w:rsidR="0018608C">
        <w:rPr>
          <w:sz w:val="22"/>
          <w:szCs w:val="22"/>
        </w:rPr>
        <w:t>SR</w:t>
      </w:r>
      <w:bookmarkEnd w:id="33"/>
      <w:r w:rsidRPr="00252E55">
        <w:rPr>
          <w:sz w:val="22"/>
          <w:szCs w:val="22"/>
        </w:rPr>
        <w:t xml:space="preserve"> </w:t>
      </w:r>
    </w:p>
    <w:p w14:paraId="57400888" w14:textId="77777777" w:rsidR="000C73EB" w:rsidRPr="000C73EB" w:rsidRDefault="000C73EB" w:rsidP="000C73EB">
      <w:pPr>
        <w:spacing w:after="0"/>
      </w:pPr>
    </w:p>
    <w:p w14:paraId="7B5594AF" w14:textId="7A827FC8" w:rsidR="00FE67F2" w:rsidRPr="00A85B27" w:rsidRDefault="00252E55" w:rsidP="00AD0E74">
      <w:pPr>
        <w:pStyle w:val="ListParagraph"/>
        <w:numPr>
          <w:ilvl w:val="0"/>
          <w:numId w:val="59"/>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 xml:space="preserve">requirements, excluding those contracts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AD0E74">
      <w:pPr>
        <w:pStyle w:val="ListParagraph"/>
        <w:numPr>
          <w:ilvl w:val="0"/>
          <w:numId w:val="59"/>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34" w:name="_Toc137649780"/>
      <w:r>
        <w:rPr>
          <w:sz w:val="22"/>
          <w:szCs w:val="22"/>
        </w:rPr>
        <w:t>E</w:t>
      </w:r>
      <w:r w:rsidRPr="00252E55">
        <w:rPr>
          <w:sz w:val="22"/>
          <w:szCs w:val="22"/>
        </w:rPr>
        <w:t xml:space="preserve">. The </w:t>
      </w:r>
      <w:r>
        <w:rPr>
          <w:sz w:val="22"/>
          <w:szCs w:val="22"/>
        </w:rPr>
        <w:t>DR</w:t>
      </w:r>
      <w:bookmarkEnd w:id="34"/>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2F1A13B7"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for which a company elects the Deterministic Certification Option in Section 7.E shall be determined as the </w:t>
      </w:r>
      <w:r w:rsidR="009C17AD" w:rsidRPr="00EF42F6">
        <w:rPr>
          <w:rFonts w:ascii="Times New Roman" w:hAnsi="Times New Roman" w:cs="Times New Roman"/>
          <w:color w:val="000000" w:themeColor="text1"/>
        </w:rPr>
        <w:t>DR</w:t>
      </w:r>
      <w:r w:rsidR="00EB30A9" w:rsidRPr="00EF42F6">
        <w:rPr>
          <w:rFonts w:ascii="Times New Roman" w:hAnsi="Times New Roman" w:cs="Times New Roman"/>
          <w:color w:val="000000" w:themeColor="text1"/>
        </w:rPr>
        <w:t xml:space="preserve"> </w:t>
      </w:r>
      <w:r w:rsidR="00EB30A9" w:rsidRPr="00EF42F6">
        <w:rPr>
          <w:rFonts w:ascii="Times New Roman" w:hAnsi="Times New Roman"/>
          <w:color w:val="000000" w:themeColor="text1"/>
        </w:rPr>
        <w:t>following the requirements of Section 4</w:t>
      </w:r>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35" w:name="_Toc137649781"/>
      <w:r>
        <w:rPr>
          <w:sz w:val="22"/>
          <w:szCs w:val="22"/>
        </w:rPr>
        <w:t>F</w:t>
      </w:r>
      <w:r w:rsidR="00EF42F6" w:rsidRPr="00252E55">
        <w:rPr>
          <w:sz w:val="22"/>
          <w:szCs w:val="22"/>
        </w:rPr>
        <w:t xml:space="preserve">. </w:t>
      </w:r>
      <w:r w:rsidR="00EF42F6">
        <w:rPr>
          <w:sz w:val="22"/>
          <w:szCs w:val="22"/>
        </w:rPr>
        <w:t>Aggregation of Contracts for the DR and SR</w:t>
      </w:r>
      <w:r w:rsidR="00EF42F6" w:rsidRPr="00252E55">
        <w:rPr>
          <w:sz w:val="22"/>
          <w:szCs w:val="22"/>
        </w:rPr>
        <w:t xml:space="preserve"> </w:t>
      </w:r>
      <w:bookmarkEnd w:id="35"/>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07EAE695" w:rsidR="00344B08" w:rsidRPr="009503FD" w:rsidRDefault="00EF42F6" w:rsidP="009503FD">
      <w:pPr>
        <w:pStyle w:val="ListParagraph"/>
        <w:numPr>
          <w:ilvl w:val="0"/>
          <w:numId w:val="100"/>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lastRenderedPageBreak/>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DR</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AD0E74">
      <w:pPr>
        <w:pStyle w:val="ListParagraph"/>
        <w:numPr>
          <w:ilvl w:val="1"/>
          <w:numId w:val="87"/>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The “Payout Annuity Reserving Category” includes the following categories of contracts, certificates and contract features, whether group or individual, including both life contingent and term certain only contracts, directly written or assumed through reinsurance, with the exception of benefits provided by variable annuities:</w:t>
      </w:r>
    </w:p>
    <w:p w14:paraId="2B4584F8" w14:textId="1AA330A1" w:rsidR="00344B08" w:rsidRPr="00C91AB0" w:rsidRDefault="00031DC8" w:rsidP="00AD0E74">
      <w:pPr>
        <w:numPr>
          <w:ilvl w:val="0"/>
          <w:numId w:val="88"/>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AD0E74">
      <w:pPr>
        <w:numPr>
          <w:ilvl w:val="0"/>
          <w:numId w:val="88"/>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7DC8B684" w:rsidR="00E40BD4" w:rsidRPr="00E40BD4" w:rsidRDefault="00E40BD4" w:rsidP="00E40BD4">
      <w:pPr>
        <w:pStyle w:val="ListParagraph"/>
        <w:numPr>
          <w:ilvl w:val="1"/>
          <w:numId w:val="87"/>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The term “Longevity Reinsurance Reserving Category” refers to</w:t>
      </w:r>
      <w:r w:rsidR="00503B56">
        <w:rPr>
          <w:rFonts w:ascii="Times New Roman" w:eastAsia="Calibri" w:hAnsi="Times New Roman" w:cs="Times New Roman"/>
        </w:rPr>
        <w:t xml:space="preserve"> </w:t>
      </w:r>
      <w:r w:rsidR="00ED5A81" w:rsidRPr="00503B56">
        <w:rPr>
          <w:rFonts w:ascii="Times New Roman" w:eastAsia="Calibri" w:hAnsi="Times New Roman" w:cs="Times New Roman"/>
        </w:rPr>
        <w:t>include</w:t>
      </w:r>
      <w:r w:rsidRPr="00503B56">
        <w:rPr>
          <w:rFonts w:ascii="Times New Roman" w:eastAsia="Calibri" w:hAnsi="Times New Roman" w:cs="Times New Roman"/>
        </w:rPr>
        <w:t xml:space="preserve"> 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r w:rsidRPr="00503B56">
        <w:rPr>
          <w:rFonts w:ascii="Times New Roman" w:eastAsia="Calibri" w:hAnsi="Times New Roman" w:cs="Times New Roman"/>
        </w:rPr>
        <w:t xml:space="preserve"> of the Valuation Manual</w:t>
      </w:r>
      <w:r w:rsidRPr="00E40BD4">
        <w:rPr>
          <w:rFonts w:ascii="Times New Roman" w:eastAsia="Calibri" w:hAnsi="Times New Roman" w:cs="Times New Roman"/>
          <w:sz w:val="24"/>
          <w:szCs w:val="24"/>
        </w:rPr>
        <w:t>.</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AD0E74">
      <w:pPr>
        <w:pStyle w:val="ListParagraph"/>
        <w:numPr>
          <w:ilvl w:val="1"/>
          <w:numId w:val="87"/>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EF42F6" w:rsidRDefault="00503B56" w:rsidP="00503B56">
      <w:pPr>
        <w:pStyle w:val="ListParagraph"/>
        <w:numPr>
          <w:ilvl w:val="2"/>
          <w:numId w:val="87"/>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24D57DC7" w14:textId="77777777" w:rsidR="00EF42F6" w:rsidRPr="00C91AB0" w:rsidRDefault="00EF42F6" w:rsidP="00EF42F6">
      <w:pPr>
        <w:pStyle w:val="ListParagraph"/>
        <w:autoSpaceDE w:val="0"/>
        <w:autoSpaceDN w:val="0"/>
        <w:adjustRightInd w:val="0"/>
        <w:spacing w:before="2" w:after="0" w:line="240" w:lineRule="auto"/>
        <w:ind w:left="2160"/>
        <w:rPr>
          <w:rFonts w:ascii="Times New Roman" w:hAnsi="Times New Roman" w:cs="Times New Roman"/>
          <w:color w:val="000000"/>
        </w:rPr>
      </w:pPr>
    </w:p>
    <w:p w14:paraId="12BBCFD3" w14:textId="0AED16E7" w:rsidR="00EB30A9" w:rsidRDefault="00D1797A" w:rsidP="00EB30A9">
      <w:pPr>
        <w:autoSpaceDE w:val="0"/>
        <w:autoSpaceDN w:val="0"/>
        <w:adjustRightInd w:val="0"/>
        <w:spacing w:after="0" w:line="240" w:lineRule="auto"/>
        <w:ind w:left="720" w:hanging="360"/>
        <w:rPr>
          <w:rFonts w:ascii="Times New Roman" w:hAnsi="Times New Roman"/>
          <w:color w:val="000000" w:themeColor="text1"/>
        </w:rPr>
      </w:pPr>
      <w:r>
        <w:rPr>
          <w:rFonts w:ascii="Times New Roman" w:hAnsi="Times New Roman"/>
          <w:color w:val="000000" w:themeColor="text1"/>
        </w:rPr>
        <w:t>2</w:t>
      </w:r>
      <w:r w:rsidR="05E8A47F" w:rsidRPr="002514EA">
        <w:rPr>
          <w:rFonts w:ascii="Times New Roman" w:hAnsi="Times New Roman"/>
          <w:color w:val="000000" w:themeColor="text1"/>
        </w:rPr>
        <w:t xml:space="preserve">. </w:t>
      </w:r>
      <w:r w:rsidR="009817AE" w:rsidRPr="002514EA">
        <w:tab/>
      </w:r>
      <w:r w:rsidR="00C62435">
        <w:rPr>
          <w:rFonts w:ascii="Times New Roman" w:hAnsi="Times New Roman"/>
          <w:color w:val="000000" w:themeColor="text1"/>
        </w:rPr>
        <w:t>For the purposes of calculating stochastic reserves, the stochastic exclusion test, and determining the final VM-22 reserves, d</w:t>
      </w:r>
      <w:r w:rsidR="063425BB" w:rsidRPr="002514EA">
        <w:rPr>
          <w:rFonts w:ascii="Times New Roman" w:hAnsi="Times New Roman"/>
          <w:color w:val="000000" w:themeColor="text1"/>
        </w:rPr>
        <w:t>o not aggregate groups of contracts for which the company elects to use the Deterministic Certification Option in Section 7.E with any groups of contracts that do not use such option.</w:t>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6FEDC864" w:rsidR="009F6C85" w:rsidRPr="00AD4154" w:rsidRDefault="009F6C85" w:rsidP="009F6C85">
      <w:pPr>
        <w:pStyle w:val="ListParagraph"/>
        <w:numPr>
          <w:ilvl w:val="0"/>
          <w:numId w:val="101"/>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lastRenderedPageBreak/>
        <w:t xml:space="preserve">The reserve may be determined in aggregate across various groups of contracts within each Reserving Category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4B90C4C" w14:textId="07FEF21D" w:rsidR="00252E55" w:rsidRPr="00A54129" w:rsidRDefault="005573E0" w:rsidP="00EB30A9">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themeColor="text1"/>
        </w:rPr>
        <w:t>4</w:t>
      </w:r>
      <w:r w:rsidR="00344B08">
        <w:rPr>
          <w:rFonts w:ascii="Times New Roman" w:hAnsi="Times New Roman" w:cs="Times New Roman"/>
          <w:color w:val="000000" w:themeColor="text1"/>
        </w:rPr>
        <w:t>.</w:t>
      </w:r>
      <w:r w:rsidR="063425BB" w:rsidRPr="002514EA">
        <w:rPr>
          <w:rFonts w:ascii="Times New Roman" w:hAnsi="Times New Roman"/>
          <w:color w:val="000000" w:themeColor="text1"/>
        </w:rPr>
        <w:t xml:space="preserve"> </w:t>
      </w:r>
      <w:r w:rsidR="00EB30A9" w:rsidRPr="002514EA">
        <w:tab/>
      </w:r>
      <w:r w:rsidR="2809A010" w:rsidRPr="002514EA">
        <w:rPr>
          <w:rFonts w:ascii="Times New Roman" w:hAnsi="Times New Roman"/>
          <w:color w:val="000000" w:themeColor="text1"/>
        </w:rPr>
        <w:t xml:space="preserve">To the extent that aggregation </w:t>
      </w:r>
      <w:r w:rsidR="2809A010" w:rsidRPr="78F4ADB2">
        <w:rPr>
          <w:rFonts w:ascii="Times New Roman" w:hAnsi="Times New Roman" w:cs="Times New Roman"/>
          <w:color w:val="000000" w:themeColor="text1"/>
        </w:rPr>
        <w:t>result</w:t>
      </w:r>
      <w:r w:rsidR="00396735">
        <w:rPr>
          <w:rFonts w:ascii="Times New Roman" w:hAnsi="Times New Roman" w:cs="Times New Roman"/>
          <w:color w:val="000000" w:themeColor="text1"/>
        </w:rPr>
        <w:t>s</w:t>
      </w:r>
      <w:r w:rsidR="2809A010" w:rsidRPr="002514EA">
        <w:rPr>
          <w:rFonts w:ascii="Times New Roman" w:hAnsi="Times New Roman"/>
          <w:color w:val="000000" w:themeColor="text1"/>
        </w:rPr>
        <w:t xml:space="preserve"> in more than one model segment, </w:t>
      </w:r>
      <w:r w:rsidR="063425BB" w:rsidRPr="002514EA">
        <w:rPr>
          <w:rFonts w:ascii="Times New Roman" w:hAnsi="Times New Roman"/>
          <w:color w:val="000000" w:themeColor="text1"/>
        </w:rPr>
        <w:t xml:space="preserve">the </w:t>
      </w:r>
      <w:r w:rsidR="00EF42F6">
        <w:rPr>
          <w:rFonts w:ascii="Times New Roman" w:hAnsi="Times New Roman" w:cs="Times New Roman"/>
          <w:color w:val="000000" w:themeColor="text1"/>
        </w:rPr>
        <w:t>aggregate reserve</w:t>
      </w:r>
      <w:r w:rsidR="063425BB" w:rsidRPr="002514EA">
        <w:rPr>
          <w:rFonts w:ascii="Times New Roman" w:hAnsi="Times New Roman"/>
          <w:color w:val="000000" w:themeColor="text1"/>
        </w:rPr>
        <w:t xml:space="preserve"> shall equal the sum of the </w:t>
      </w:r>
      <w:r w:rsidR="0018608C">
        <w:rPr>
          <w:rFonts w:ascii="Times New Roman" w:hAnsi="Times New Roman" w:cs="Times New Roman"/>
          <w:color w:val="000000" w:themeColor="text1"/>
        </w:rPr>
        <w:t>SR</w:t>
      </w:r>
      <w:r w:rsidR="063425BB" w:rsidRPr="002514EA">
        <w:rPr>
          <w:rFonts w:ascii="Times New Roman" w:hAnsi="Times New Roman"/>
          <w:color w:val="000000" w:themeColor="text1"/>
        </w:rPr>
        <w:t xml:space="preserve"> amounts computed for each model segment </w:t>
      </w:r>
      <w:r w:rsidR="02F5FCAC" w:rsidRPr="002514EA">
        <w:rPr>
          <w:rFonts w:ascii="Times New Roman" w:hAnsi="Times New Roman"/>
          <w:color w:val="000000" w:themeColor="text1"/>
        </w:rPr>
        <w:t xml:space="preserve">and </w:t>
      </w:r>
      <w:r w:rsidR="009C17AD">
        <w:rPr>
          <w:rFonts w:ascii="Times New Roman" w:hAnsi="Times New Roman" w:cs="Times New Roman"/>
          <w:color w:val="000000" w:themeColor="text1"/>
        </w:rPr>
        <w:t>DR</w:t>
      </w:r>
      <w:r w:rsidR="02F5FCAC" w:rsidRPr="78F4ADB2">
        <w:rPr>
          <w:rFonts w:ascii="Times New Roman" w:hAnsi="Times New Roman" w:cs="Times New Roman"/>
          <w:color w:val="000000" w:themeColor="text1"/>
        </w:rPr>
        <w:t xml:space="preserve"> </w:t>
      </w:r>
      <w:r w:rsidR="02F5FCAC" w:rsidRPr="002514EA">
        <w:rPr>
          <w:rFonts w:ascii="Times New Roman" w:hAnsi="Times New Roman"/>
          <w:color w:val="000000" w:themeColor="text1"/>
        </w:rPr>
        <w:t xml:space="preserve">amounts computed for each model segment for which the company elects to use the </w:t>
      </w:r>
      <w:r w:rsidR="48F0B3F5" w:rsidRPr="002514EA">
        <w:rPr>
          <w:rFonts w:ascii="Times New Roman" w:hAnsi="Times New Roman"/>
          <w:color w:val="000000" w:themeColor="text1"/>
        </w:rPr>
        <w:t>Deterministic Certification Option in Section 7.E</w:t>
      </w:r>
      <w:r w:rsidR="02F5FCAC" w:rsidRPr="002514EA">
        <w:rPr>
          <w:rFonts w:ascii="Times New Roman" w:hAnsi="Times New Roman"/>
          <w:color w:val="000000" w:themeColor="text1"/>
        </w:rPr>
        <w:t>.</w:t>
      </w:r>
      <w:r w:rsidR="48F0B3F5" w:rsidRPr="002514EA">
        <w:rPr>
          <w:rFonts w:ascii="Times New Roman" w:hAnsi="Times New Roman"/>
          <w:color w:val="000000" w:themeColor="text1"/>
        </w:rPr>
        <w:t xml:space="preserve"> </w:t>
      </w:r>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36" w:name="_Toc77242137"/>
      <w:bookmarkStart w:id="37" w:name="_Toc137649782"/>
      <w:bookmarkStart w:id="38"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36"/>
      <w:bookmarkEnd w:id="37"/>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57C2F390" w:rsidR="002E7DE6" w:rsidRDefault="00252E55" w:rsidP="00AD0E74">
      <w:pPr>
        <w:pStyle w:val="ListParagraph"/>
        <w:numPr>
          <w:ilvl w:val="0"/>
          <w:numId w:val="52"/>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39"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39"/>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AD0E74">
      <w:pPr>
        <w:pStyle w:val="ListParagraph"/>
        <w:numPr>
          <w:ilvl w:val="0"/>
          <w:numId w:val="52"/>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AD0E74">
      <w:pPr>
        <w:pStyle w:val="ListParagraph"/>
        <w:numPr>
          <w:ilvl w:val="0"/>
          <w:numId w:val="52"/>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40" w:name="_Toc77242138"/>
      <w:bookmarkStart w:id="41" w:name="_Toc137649783"/>
      <w:bookmarkEnd w:id="38"/>
      <w:r>
        <w:rPr>
          <w:sz w:val="22"/>
          <w:szCs w:val="22"/>
        </w:rPr>
        <w:t>H</w:t>
      </w:r>
      <w:r w:rsidR="00252E55" w:rsidRPr="00252E55">
        <w:rPr>
          <w:sz w:val="22"/>
          <w:szCs w:val="22"/>
        </w:rPr>
        <w:t>. Allocation of the Aggregate Reserve to Contracts</w:t>
      </w:r>
      <w:bookmarkEnd w:id="40"/>
      <w:bookmarkEnd w:id="41"/>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41948D0E"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with the exception of contract</w:t>
      </w:r>
      <w:r w:rsidR="00105E20">
        <w:rPr>
          <w:rFonts w:ascii="Times New Roman" w:hAnsi="Times New Roman" w:cs="Times New Roman"/>
        </w:rPr>
        <w:t>s</w:t>
      </w:r>
      <w:r w:rsidR="00AB5B3D">
        <w:rPr>
          <w:rFonts w:ascii="Times New Roman" w:hAnsi="Times New Roman" w:cs="Times New Roman"/>
        </w:rPr>
        <w:t xml:space="preserve"> valued under VM-A, VM-C, or 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5D637E">
      <w:pPr>
        <w:pStyle w:val="Heading2"/>
        <w:numPr>
          <w:ilvl w:val="2"/>
          <w:numId w:val="18"/>
        </w:numPr>
      </w:pPr>
      <w:bookmarkStart w:id="42" w:name="_Toc77242139"/>
      <w:bookmarkStart w:id="43" w:name="_Toc137649784"/>
      <w:r w:rsidRPr="0CC86E4D">
        <w:rPr>
          <w:sz w:val="22"/>
          <w:szCs w:val="22"/>
        </w:rPr>
        <w:t>Prudent Estimate Assumptions</w:t>
      </w:r>
      <w:bookmarkEnd w:id="42"/>
      <w:bookmarkEnd w:id="43"/>
    </w:p>
    <w:p w14:paraId="5595F2A7" w14:textId="77777777" w:rsidR="004A6B87" w:rsidRPr="00010E14" w:rsidRDefault="004A6B87" w:rsidP="004A6B87">
      <w:pPr>
        <w:pStyle w:val="ListParagraph"/>
        <w:rPr>
          <w:rFonts w:ascii="Times New Roman" w:hAnsi="Times New Roman"/>
          <w:color w:val="FF0000"/>
        </w:rPr>
      </w:pPr>
    </w:p>
    <w:p w14:paraId="748ACA21" w14:textId="0209F9F9" w:rsidR="004A6B87" w:rsidRPr="000443ED" w:rsidRDefault="004A6B87" w:rsidP="00AD0E74">
      <w:pPr>
        <w:pStyle w:val="ListParagraph"/>
        <w:numPr>
          <w:ilvl w:val="0"/>
          <w:numId w:val="34"/>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D21C8" w:rsidR="001E64E7" w:rsidRPr="000443ED"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rFonts w:ascii="Times New Roman" w:hAnsi="Times New Roman"/>
        </w:rPr>
      </w:pPr>
      <w:r w:rsidRPr="000443ED">
        <w:rPr>
          <w:rFonts w:ascii="Times New Roman" w:hAnsi="Times New Roman"/>
          <w:b/>
          <w:bCs/>
        </w:rPr>
        <w:t>Drafting Note:</w:t>
      </w:r>
      <w:r w:rsidRPr="000443ED">
        <w:rPr>
          <w:rFonts w:ascii="Times New Roman" w:hAnsi="Times New Roman"/>
        </w:rPr>
        <w:t xml:space="preserve"> Consider </w:t>
      </w:r>
      <w:r w:rsidR="00503B56">
        <w:rPr>
          <w:rFonts w:ascii="Times New Roman" w:hAnsi="Times New Roman"/>
        </w:rPr>
        <w:t>whether to provide specific requirements on the frequency of doing a full experience study, rather than only providing requirements on the frequency of conducting a review</w:t>
      </w:r>
      <w:r w:rsidRPr="000443ED">
        <w:rPr>
          <w:rFonts w:ascii="Times New Roman" w:hAnsi="Times New Roman"/>
        </w:rPr>
        <w:t>.</w:t>
      </w:r>
    </w:p>
    <w:p w14:paraId="0B794F8C" w14:textId="77777777" w:rsidR="004A6B87" w:rsidRPr="00010E14" w:rsidRDefault="004A6B87" w:rsidP="004A6B87">
      <w:pPr>
        <w:pStyle w:val="ListParagraph"/>
        <w:ind w:left="1080" w:hanging="720"/>
        <w:rPr>
          <w:rFonts w:ascii="Times New Roman" w:hAnsi="Times New Roman"/>
          <w:color w:val="FF0000"/>
        </w:rPr>
      </w:pPr>
    </w:p>
    <w:p w14:paraId="3E6EA332" w14:textId="1E195A3A" w:rsidR="004A6B87" w:rsidRPr="004A6B87" w:rsidRDefault="004A6B87" w:rsidP="00AD0E74">
      <w:pPr>
        <w:pStyle w:val="ListParagraph"/>
        <w:numPr>
          <w:ilvl w:val="0"/>
          <w:numId w:val="34"/>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4DA72023" w:rsidR="004A6B87" w:rsidRPr="00A85B27" w:rsidRDefault="004A6B87" w:rsidP="00AD0E74">
      <w:pPr>
        <w:pStyle w:val="ListParagraph"/>
        <w:numPr>
          <w:ilvl w:val="0"/>
          <w:numId w:val="34"/>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w:t>
      </w:r>
      <w:r w:rsidRPr="0CC86E4D">
        <w:rPr>
          <w:rFonts w:ascii="Times New Roman" w:hAnsi="Times New Roman"/>
        </w:rPr>
        <w:lastRenderedPageBreak/>
        <w:t xml:space="preserve">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AD0E74">
      <w:pPr>
        <w:pStyle w:val="Heading2"/>
        <w:numPr>
          <w:ilvl w:val="2"/>
          <w:numId w:val="18"/>
        </w:numPr>
        <w:rPr>
          <w:rFonts w:ascii="Times New Roman" w:hAnsi="Times New Roman" w:cs="Times New Roman"/>
          <w:sz w:val="22"/>
          <w:szCs w:val="22"/>
        </w:rPr>
      </w:pPr>
      <w:bookmarkStart w:id="44" w:name="_Toc137649785"/>
      <w:r w:rsidRPr="004937D7">
        <w:rPr>
          <w:sz w:val="22"/>
          <w:szCs w:val="22"/>
        </w:rPr>
        <w:t>Approximations, Simplifications, and Modeling Efficiency Techniques</w:t>
      </w:r>
      <w:bookmarkEnd w:id="44"/>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32BE7BC6"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8E6717">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45" w:name="_Hlk60116030"/>
      <w:bookmarkStart w:id="46" w:name="_Hlk60116031"/>
      <w:r w:rsidRPr="00A230A4">
        <w:rPr>
          <w:rFonts w:ascii="Times New Roman" w:hAnsi="Times New Roman" w:cs="Times New Roman"/>
          <w:b/>
        </w:rPr>
        <w:t>Guidance Note:</w:t>
      </w:r>
    </w:p>
    <w:p w14:paraId="10BE7DE8" w14:textId="77777777" w:rsidR="00A230A4" w:rsidRPr="00A230A4" w:rsidRDefault="00A230A4" w:rsidP="008E6717">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8E6717">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47" w:name="_Hlk60116014"/>
      <w:bookmarkEnd w:id="45"/>
      <w:bookmarkEnd w:id="46"/>
    </w:p>
    <w:p w14:paraId="12FC57DE" w14:textId="77777777" w:rsidR="00A230A4" w:rsidRPr="00A230A4" w:rsidRDefault="00A230A4" w:rsidP="008E6717">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65547F">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65547F">
      <w:pPr>
        <w:pStyle w:val="ListParagraph"/>
        <w:numPr>
          <w:ilvl w:val="0"/>
          <w:numId w:val="10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65547F">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65547F">
      <w:pPr>
        <w:pStyle w:val="ListParagraph"/>
        <w:numPr>
          <w:ilvl w:val="0"/>
          <w:numId w:val="10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 xml:space="preserve">A brute force demonstration involves </w:t>
      </w:r>
      <w:bookmarkEnd w:id="47"/>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095447FF" w14:textId="761E90B2" w:rsidR="0065547F" w:rsidRPr="0065547F" w:rsidRDefault="0065547F" w:rsidP="0065547F">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4685A4EC" w14:textId="3082145F" w:rsidR="00A230A4" w:rsidRPr="0065547F" w:rsidRDefault="00A230A4" w:rsidP="0065547F">
      <w:pPr>
        <w:pStyle w:val="ListParagraph"/>
        <w:numPr>
          <w:ilvl w:val="0"/>
          <w:numId w:val="103"/>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6BFB5579" w14:textId="77777777" w:rsidR="004101C0" w:rsidRDefault="004101C0" w:rsidP="004101C0">
      <w:pPr>
        <w:pStyle w:val="Heading2"/>
        <w:rPr>
          <w:rFonts w:ascii="Times New Roman" w:hAnsi="Times New Roman"/>
        </w:rPr>
      </w:pP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61DD4556" w:rsidR="004A6B87" w:rsidRDefault="001E64E7" w:rsidP="0065547F">
      <w:pPr>
        <w:pBdr>
          <w:top w:val="single" w:sz="4" w:space="1" w:color="auto"/>
          <w:left w:val="single" w:sz="4" w:space="4" w:color="auto"/>
          <w:bottom w:val="single" w:sz="4" w:space="1" w:color="auto"/>
          <w:right w:val="single" w:sz="4" w:space="4" w:color="auto"/>
        </w:pBdr>
        <w:ind w:left="630"/>
        <w:rPr>
          <w:rFonts w:ascii="Times New Roman" w:hAnsi="Times New Roman" w:cs="Times New Roman"/>
        </w:rPr>
      </w:pPr>
      <w:r w:rsidRPr="001E64E7">
        <w:rPr>
          <w:rFonts w:ascii="Times New Roman" w:hAnsi="Times New Roman" w:cs="Times New Roman"/>
          <w:b/>
          <w:bCs/>
        </w:rPr>
        <w:t>Drafting Note:</w:t>
      </w:r>
      <w:r>
        <w:rPr>
          <w:rFonts w:ascii="Times New Roman" w:hAnsi="Times New Roman" w:cs="Times New Roman"/>
        </w:rPr>
        <w:t xml:space="preserve"> Add back in the WDCM method example in the above guidance note if VM-22 uses this method for the SPA calculation.</w:t>
      </w:r>
    </w:p>
    <w:p w14:paraId="4A691DB3" w14:textId="7A54B999" w:rsidR="00252E55" w:rsidRDefault="00252E55">
      <w:pPr>
        <w:rP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36CFB03F" w:rsidR="00234C81" w:rsidRPr="000443ED" w:rsidRDefault="002C726F" w:rsidP="000443ED">
      <w:pPr>
        <w:pStyle w:val="Heading1"/>
        <w:rPr>
          <w:rFonts w:ascii="Times New Roman" w:hAnsi="Times New Roman" w:cs="Times New Roman"/>
          <w:sz w:val="24"/>
          <w:szCs w:val="24"/>
        </w:rPr>
      </w:pPr>
      <w:bookmarkStart w:id="48" w:name="_Toc77242140"/>
      <w:bookmarkStart w:id="49" w:name="_Toc137649786"/>
      <w:bookmarkStart w:id="50" w:name="_Hlk121311600"/>
      <w:r w:rsidRPr="004937D7">
        <w:rPr>
          <w:rFonts w:ascii="Times New Roman" w:hAnsi="Times New Roman" w:cs="Times New Roman"/>
          <w:sz w:val="24"/>
          <w:szCs w:val="24"/>
        </w:rPr>
        <w:t xml:space="preserve">Section 4: Determination of </w:t>
      </w:r>
      <w:bookmarkEnd w:id="48"/>
      <w:r w:rsidR="0018608C" w:rsidRPr="004937D7">
        <w:rPr>
          <w:rFonts w:ascii="Times New Roman" w:hAnsi="Times New Roman" w:cs="Times New Roman"/>
          <w:sz w:val="24"/>
          <w:szCs w:val="24"/>
        </w:rPr>
        <w:t>SR</w:t>
      </w:r>
      <w:r w:rsidR="005E6BF8" w:rsidRPr="004937D7">
        <w:rPr>
          <w:rFonts w:ascii="Times New Roman" w:hAnsi="Times New Roman" w:cs="Times New Roman"/>
          <w:sz w:val="24"/>
          <w:szCs w:val="24"/>
        </w:rPr>
        <w:t xml:space="preserve"> </w:t>
      </w:r>
      <w:bookmarkEnd w:id="49"/>
    </w:p>
    <w:p w14:paraId="496AA800" w14:textId="00E14BDC" w:rsidR="00BB3078" w:rsidRPr="00E17D51" w:rsidRDefault="00BB3078" w:rsidP="00AD0E74">
      <w:pPr>
        <w:pStyle w:val="Heading2"/>
        <w:numPr>
          <w:ilvl w:val="0"/>
          <w:numId w:val="27"/>
        </w:numPr>
        <w:rPr>
          <w:sz w:val="22"/>
          <w:szCs w:val="22"/>
        </w:rPr>
      </w:pPr>
      <w:bookmarkStart w:id="51" w:name="_Toc77242141"/>
      <w:bookmarkStart w:id="52" w:name="_Toc137649787"/>
      <w:bookmarkEnd w:id="50"/>
      <w:r w:rsidRPr="00E17D51">
        <w:rPr>
          <w:sz w:val="22"/>
          <w:szCs w:val="22"/>
        </w:rPr>
        <w:t>Projection of Accumulated Deficiencies</w:t>
      </w:r>
      <w:bookmarkEnd w:id="51"/>
      <w:bookmarkEnd w:id="52"/>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2BABA45" w:rsidR="00E40BD4" w:rsidRPr="00793E82" w:rsidRDefault="007565C1" w:rsidP="00E40BD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r w:rsidR="00E40BD4" w:rsidRPr="00793E82">
        <w:rPr>
          <w:rFonts w:ascii="Times" w:eastAsia="Times New Roman" w:hAnsi="Times" w:cs="Times New Roman"/>
        </w:rPr>
        <w:t>For purposes of Longevity Reinsurance, net premium shall be used in the projection and defined as the gross premium multiplied by a “K-factor,” where the K-factor is determined as:</w:t>
      </w:r>
    </w:p>
    <w:p w14:paraId="32A11000" w14:textId="57EB5C0D" w:rsidR="00E40BD4" w:rsidRPr="00793E82" w:rsidRDefault="00E40BD4" w:rsidP="00E40BD4">
      <w:pPr>
        <w:pStyle w:val="ListParagraph"/>
        <w:numPr>
          <w:ilvl w:val="1"/>
          <w:numId w:val="94"/>
        </w:numPr>
        <w:jc w:val="both"/>
        <w:rPr>
          <w:rFonts w:ascii="Times" w:eastAsia="Times New Roman" w:hAnsi="Times" w:cs="Times New Roman"/>
        </w:rPr>
      </w:pPr>
      <w:r w:rsidRPr="00793E82">
        <w:rPr>
          <w:rFonts w:ascii="Times" w:eastAsia="Times New Roman" w:hAnsi="Times" w:cs="Times New Roman"/>
        </w:rPr>
        <w:t xml:space="preserve">The present value of the expected future benefits </w:t>
      </w:r>
      <w:r w:rsidRPr="00E40BD4">
        <w:rPr>
          <w:rFonts w:ascii="Times" w:eastAsia="Times New Roman" w:hAnsi="Times" w:cs="Times New Roman"/>
        </w:rPr>
        <w:t xml:space="preserve">and expenses at contract inception </w:t>
      </w:r>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in the case of reinsurance </w:t>
      </w:r>
      <w:r w:rsidRPr="00E40BD4">
        <w:rPr>
          <w:rFonts w:ascii="Times" w:eastAsia="Times New Roman" w:hAnsi="Times" w:cs="Times New Roman"/>
        </w:rPr>
        <w:t>using the prudent estimate assumptions</w:t>
      </w:r>
      <w:r w:rsidRPr="00793E82">
        <w:rPr>
          <w:rFonts w:ascii="Times" w:eastAsia="Times New Roman" w:hAnsi="Times" w:cs="Times New Roman"/>
        </w:rPr>
        <w:t xml:space="preserve"> determined at contract inception and an interest rate equal to the prescribed interest rate under VM-A and VM-C, divided by item ii immediately below.</w:t>
      </w:r>
    </w:p>
    <w:p w14:paraId="43A378E5" w14:textId="149AD359" w:rsidR="00E40BD4" w:rsidRDefault="00E40BD4" w:rsidP="00E40BD4">
      <w:pPr>
        <w:pStyle w:val="ListParagraph"/>
        <w:numPr>
          <w:ilvl w:val="1"/>
          <w:numId w:val="94"/>
        </w:numPr>
        <w:jc w:val="both"/>
        <w:rPr>
          <w:rFonts w:ascii="Times" w:eastAsia="Times New Roman" w:hAnsi="Times" w:cs="Times New Roman"/>
        </w:rPr>
      </w:pPr>
      <w:r w:rsidRPr="00793E82">
        <w:rPr>
          <w:rFonts w:ascii="Times" w:eastAsia="Times New Roman" w:hAnsi="Times" w:cs="Times New Roman"/>
        </w:rPr>
        <w:t xml:space="preserve">The present value of the expected future gross premiums at contract inception </w:t>
      </w:r>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in the case of reinsurance </w:t>
      </w:r>
      <w:r w:rsidRPr="00793E82">
        <w:rPr>
          <w:rFonts w:ascii="Times" w:eastAsia="Times New Roman" w:hAnsi="Times" w:cs="Times New Roman"/>
        </w:rPr>
        <w:t xml:space="preserve">using the prudent estimate assumptions determined at contract inception </w:t>
      </w:r>
      <w:r w:rsidR="00F35623">
        <w:rPr>
          <w:rFonts w:ascii="Times" w:eastAsia="Times New Roman" w:hAnsi="Times" w:cs="Times New Roman"/>
        </w:rPr>
        <w:t xml:space="preserve">or </w:t>
      </w:r>
      <w:r w:rsidR="00F35623" w:rsidRPr="00F35623">
        <w:rPr>
          <w:rFonts w:ascii="Times" w:eastAsia="Times New Roman" w:hAnsi="Times" w:cs="Times New Roman"/>
        </w:rPr>
        <w:t xml:space="preserve">reinsurance effective date </w:t>
      </w:r>
      <w:r w:rsidRPr="00793E82">
        <w:rPr>
          <w:rFonts w:ascii="Times" w:eastAsia="Times New Roman" w:hAnsi="Times" w:cs="Times New Roman"/>
        </w:rPr>
        <w:t>and an interest rate equal to the prescribed interest rate under VM-A and VM-C.</w:t>
      </w:r>
    </w:p>
    <w:p w14:paraId="1B4C7A65" w14:textId="79D38BB4" w:rsidR="007958E0" w:rsidRPr="00E40BD4" w:rsidRDefault="00E40BD4" w:rsidP="00E40BD4">
      <w:pPr>
        <w:pStyle w:val="ListParagraph"/>
        <w:numPr>
          <w:ilvl w:val="1"/>
          <w:numId w:val="94"/>
        </w:numPr>
        <w:jc w:val="both"/>
        <w:rPr>
          <w:rFonts w:ascii="Times" w:eastAsia="Times New Roman" w:hAnsi="Times" w:cs="Times New Roman"/>
        </w:rPr>
      </w:pPr>
      <w:r w:rsidRPr="00E40BD4">
        <w:rPr>
          <w:rFonts w:ascii="Times" w:eastAsia="Times New Roman" w:hAnsi="Times" w:cs="Times New Roman"/>
        </w:rPr>
        <w:t>The resulting amount is capped at 1, in other words the application of the K-factor shall not result in the net premium exceeding the gross premium.</w:t>
      </w:r>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5B245836" w:rsidR="009D3D59" w:rsidRDefault="009D3D59"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r w:rsidR="00E40BD4" w:rsidRPr="00793E82">
        <w:rPr>
          <w:rFonts w:ascii="Times" w:eastAsia="Times New Roman" w:hAnsi="Times" w:cs="Times New Roman"/>
        </w:rPr>
        <w: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t>
      </w:r>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Pr="0005345E" w:rsidRDefault="007958E0" w:rsidP="0005345E">
      <w:pPr>
        <w:pStyle w:val="ListParagraph"/>
        <w:numPr>
          <w:ilvl w:val="0"/>
          <w:numId w:val="35"/>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 xml:space="preserve">holders—including, but not limited to, death claims, surrender benefits and withdrawal benefits—reflecting the </w:t>
      </w:r>
      <w:r w:rsidRPr="0005345E">
        <w:rPr>
          <w:rFonts w:ascii="Times" w:eastAsia="Times New Roman" w:hAnsi="Times" w:cs="Times New Roman"/>
        </w:rPr>
        <w:lastRenderedPageBreak/>
        <w:t>impact of all guarantees and adjusted to 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taken into account.</w:t>
      </w:r>
    </w:p>
    <w:p w14:paraId="2F11802F" w14:textId="4D6C6459" w:rsidR="001008DE" w:rsidRDefault="00537E43"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88C17D5" w:rsidR="003E2579" w:rsidRPr="003E2579" w:rsidRDefault="00BB3078" w:rsidP="00AD0E74">
      <w:pPr>
        <w:pStyle w:val="ListParagraph"/>
        <w:numPr>
          <w:ilvl w:val="0"/>
          <w:numId w:val="35"/>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r w:rsidRPr="2BB44510">
        <w:rPr>
          <w:rFonts w:ascii="Times" w:eastAsia="Times New Roman" w:hAnsi="Times" w:cs="Times New Roman"/>
        </w:rPr>
        <w:t>,</w:t>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AD0E74">
      <w:pPr>
        <w:pStyle w:val="ListParagraph"/>
        <w:numPr>
          <w:ilvl w:val="0"/>
          <w:numId w:val="35"/>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AD0E74">
      <w:pPr>
        <w:pStyle w:val="ListParagraph"/>
        <w:numPr>
          <w:ilvl w:val="0"/>
          <w:numId w:val="35"/>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AD0E74">
      <w:pPr>
        <w:pStyle w:val="ListParagraph"/>
        <w:numPr>
          <w:ilvl w:val="0"/>
          <w:numId w:val="35"/>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903AB6">
      <w:pPr>
        <w:pStyle w:val="ListParagraph"/>
        <w:numPr>
          <w:ilvl w:val="0"/>
          <w:numId w:val="5"/>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Pr="004B39F7" w:rsidRDefault="00BB3078" w:rsidP="00BB3078">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3445F377" w14:textId="77777777" w:rsidR="00BB3078" w:rsidRPr="004B39F7" w:rsidRDefault="00BB3078" w:rsidP="00903AB6">
      <w:pPr>
        <w:pStyle w:val="ListParagraph"/>
        <w:numPr>
          <w:ilvl w:val="0"/>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53"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53"/>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39C7F1FE"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w:t>
      </w:r>
      <w:r w:rsidR="002227D0">
        <w:rPr>
          <w:rFonts w:ascii="Times New Roman" w:eastAsia="Times New Roman" w:hAnsi="Times New Roman"/>
        </w:rPr>
        <w:t xml:space="preserve">index </w:t>
      </w:r>
      <w:r>
        <w:rPr>
          <w:rFonts w:ascii="Times New Roman" w:eastAsia="Times New Roman" w:hAnsi="Times New Roman"/>
        </w:rPr>
        <w:t xml:space="preserve">credits associated with indexed interest 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5DA105B0"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r w:rsidR="009368A7" w:rsidRPr="6BD5544E">
        <w:rPr>
          <w:rFonts w:ascii="Times New Roman" w:eastAsia="Times New Roman" w:hAnsi="Times New Roman"/>
        </w:rPr>
        <w:t>I</w:t>
      </w:r>
      <w:r w:rsidR="006B2140" w:rsidRPr="6BD5544E">
        <w:rPr>
          <w:rFonts w:ascii="Times New Roman" w:eastAsia="Times New Roman" w:hAnsi="Times New Roman"/>
        </w:rPr>
        <w:t xml:space="preserve">ndex </w:t>
      </w:r>
      <w:r w:rsidR="009368A7" w:rsidRPr="6BD5544E">
        <w:rPr>
          <w:rFonts w:ascii="Times New Roman" w:eastAsia="Times New Roman" w:hAnsi="Times New Roman"/>
        </w:rPr>
        <w:t>C</w:t>
      </w:r>
      <w:r w:rsidR="006B2140" w:rsidRPr="6BD5544E">
        <w:rPr>
          <w:rFonts w:ascii="Times New Roman" w:eastAsia="Times New Roman" w:hAnsi="Times New Roman"/>
        </w:rPr>
        <w:t xml:space="preserve">redit </w:t>
      </w:r>
      <w:r w:rsidR="009368A7" w:rsidRPr="6BD5544E">
        <w:rPr>
          <w:rFonts w:ascii="Times New Roman" w:eastAsia="Times New Roman" w:hAnsi="Times New Roman"/>
        </w:rPr>
        <w:t>H</w:t>
      </w:r>
      <w:r w:rsidR="006B2140" w:rsidRPr="6BD5544E">
        <w:rPr>
          <w:rFonts w:ascii="Times New Roman" w:eastAsia="Times New Roman" w:hAnsi="Times New Roman"/>
        </w:rPr>
        <w:t>edge Margin</w:t>
      </w:r>
      <w:r w:rsidRPr="6BD5544E">
        <w:rPr>
          <w:rFonts w:ascii="Times New Roman" w:eastAsia="Times New Roman" w:hAnsi="Times New Roman"/>
        </w:rPr>
        <w:t xml:space="preserve"> 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 and 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 xml:space="preserve">portion of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r w:rsidR="0033439F">
        <w:rPr>
          <w:rFonts w:ascii="Times New Roman" w:eastAsia="Times New Roman" w:hAnsi="Times New Roman"/>
        </w:rPr>
        <w:t xml:space="preserve">This margin is intended to cover sources of potential </w:t>
      </w:r>
      <w:r w:rsidR="0033439F" w:rsidRPr="0033439F">
        <w:rPr>
          <w:rFonts w:ascii="Times New Roman" w:eastAsia="Times New Roman" w:hAnsi="Times New Roman"/>
        </w:rPr>
        <w:t xml:space="preserve">error </w:t>
      </w:r>
      <w:r w:rsidR="0033439F">
        <w:rPr>
          <w:rFonts w:ascii="Times New Roman" w:eastAsia="Times New Roman" w:hAnsi="Times New Roman"/>
        </w:rPr>
        <w:t>due</w:t>
      </w:r>
      <w:r w:rsidR="0033439F" w:rsidRPr="0033439F">
        <w:rPr>
          <w:rFonts w:ascii="Times New Roman" w:eastAsia="Times New Roman" w:hAnsi="Times New Roman"/>
        </w:rPr>
        <w:t xml:space="preserve"> the hedging itself</w:t>
      </w:r>
      <w:r w:rsidR="0033439F">
        <w:rPr>
          <w:rFonts w:ascii="Times New Roman" w:eastAsia="Times New Roman" w:hAnsi="Times New Roman"/>
        </w:rPr>
        <w:t xml:space="preserve"> and the ability for the company</w:t>
      </w:r>
      <w:r w:rsidR="0033439F" w:rsidRPr="0033439F">
        <w:rPr>
          <w:rFonts w:ascii="Times New Roman" w:eastAsia="Times New Roman" w:hAnsi="Times New Roman"/>
        </w:rPr>
        <w:t xml:space="preserve"> to accurately model it</w:t>
      </w:r>
      <w:r w:rsidR="0033439F">
        <w:rPr>
          <w:rFonts w:ascii="Times New Roman" w:eastAsia="Times New Roman" w:hAnsi="Times New Roman"/>
        </w:rPr>
        <w:t>.</w:t>
      </w:r>
      <w:r w:rsidR="0033439F" w:rsidRPr="0033439F">
        <w:rPr>
          <w:rFonts w:ascii="Times New Roman" w:eastAsia="Times New Roman" w:hAnsi="Times New Roman"/>
        </w:rPr>
        <w:t xml:space="preserve"> </w:t>
      </w:r>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w:t>
      </w:r>
      <w:r w:rsidRPr="6BD5544E">
        <w:rPr>
          <w:rFonts w:ascii="Times New Roman" w:eastAsia="Times New Roman" w:hAnsi="Times New Roman"/>
        </w:rPr>
        <w:lastRenderedPageBreak/>
        <w:t xml:space="preserve">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056410B3"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 xml:space="preserve">with any future hedging strategies </w:t>
      </w:r>
      <w:r>
        <w:rPr>
          <w:rFonts w:ascii="Times New Roman" w:eastAsia="Times New Roman" w:hAnsi="Times New Roman"/>
        </w:rPr>
        <w:t xml:space="preserve">that hedge any contractual obligation or risks other than index credits,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48C06E9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18608C">
        <w:rPr>
          <w:rFonts w:ascii="Times New Roman" w:eastAsia="Times New Roman" w:hAnsi="Times New Roman"/>
        </w:rPr>
        <w:t>SR</w:t>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The projections shall take into account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6B8E510E"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003A6FBC" w:rsidRPr="003A6FBC">
        <w:rPr>
          <w:rFonts w:ascii="Times New Roman" w:eastAsia="Times New Roman" w:hAnsi="Times New Roman"/>
        </w:rPr>
        <w:t>c)</w:t>
      </w:r>
      <w:r w:rsidR="003A6FBC" w:rsidRPr="003A6FBC">
        <w:rPr>
          <w:rFonts w:ascii="Times New Roman" w:eastAsia="Times New Roman" w:hAnsi="Times New Roman"/>
        </w:rPr>
        <w:tab/>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AD0E74">
      <w:pPr>
        <w:pStyle w:val="ListParagraph"/>
        <w:numPr>
          <w:ilvl w:val="0"/>
          <w:numId w:val="33"/>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lastRenderedPageBreak/>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AD0E74">
      <w:pPr>
        <w:pStyle w:val="ListParagraph"/>
        <w:numPr>
          <w:ilvl w:val="0"/>
          <w:numId w:val="33"/>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AD0E74">
      <w:pPr>
        <w:pStyle w:val="ListParagraph"/>
        <w:numPr>
          <w:ilvl w:val="0"/>
          <w:numId w:val="33"/>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AD0E74">
      <w:pPr>
        <w:pStyle w:val="Heading2"/>
        <w:numPr>
          <w:ilvl w:val="0"/>
          <w:numId w:val="27"/>
        </w:numPr>
        <w:rPr>
          <w:sz w:val="22"/>
          <w:szCs w:val="22"/>
        </w:rPr>
      </w:pPr>
      <w:bookmarkStart w:id="54" w:name="_Toc77242142"/>
      <w:bookmarkStart w:id="55" w:name="_Toc137649788"/>
      <w:r w:rsidRPr="00E17D51">
        <w:rPr>
          <w:sz w:val="22"/>
          <w:szCs w:val="22"/>
        </w:rPr>
        <w:t>Determination of Scenario Reserve</w:t>
      </w:r>
      <w:bookmarkEnd w:id="54"/>
      <w:bookmarkEnd w:id="55"/>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147627">
      <w:pPr>
        <w:pStyle w:val="ListParagraph"/>
        <w:numPr>
          <w:ilvl w:val="2"/>
          <w:numId w:val="6"/>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28673C8C" w:rsidR="00BB3078" w:rsidRDefault="00BB3078" w:rsidP="00903AB6">
      <w:pPr>
        <w:pStyle w:val="ListParagraph"/>
        <w:numPr>
          <w:ilvl w:val="1"/>
          <w:numId w:val="4"/>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F15F248" w:rsidR="00BB3078" w:rsidRPr="00A85B27" w:rsidRDefault="00BB3078" w:rsidP="00A85B27">
      <w:pPr>
        <w:pStyle w:val="ListParagraph"/>
        <w:numPr>
          <w:ilvl w:val="1"/>
          <w:numId w:val="4"/>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903AB6">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903AB6">
      <w:pPr>
        <w:pStyle w:val="ListParagraph"/>
        <w:numPr>
          <w:ilvl w:val="0"/>
          <w:numId w:val="7"/>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903AB6">
      <w:pPr>
        <w:pStyle w:val="ListParagraph"/>
        <w:numPr>
          <w:ilvl w:val="0"/>
          <w:numId w:val="9"/>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rFonts w:ascii="Times" w:eastAsia="Times New Roman" w:hAnsi="Times" w:cs="Times New Roman"/>
        </w:rPr>
      </w:pPr>
    </w:p>
    <w:p w14:paraId="31BF09C9" w14:textId="7B03EF8F" w:rsidR="00BB3078" w:rsidRPr="004B39F7" w:rsidRDefault="00BB3078" w:rsidP="00903AB6">
      <w:pPr>
        <w:pStyle w:val="ListParagraph"/>
        <w:numPr>
          <w:ilvl w:val="0"/>
          <w:numId w:val="8"/>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t xml:space="preserve">If the projection results </w:t>
      </w:r>
      <w:r w:rsidR="00FD4C08">
        <w:rPr>
          <w:rFonts w:ascii="Times" w:eastAsia="Times New Roman" w:hAnsi="Times" w:cs="Times New Roman"/>
        </w:rPr>
        <w:t>contain</w:t>
      </w:r>
      <w:r w:rsidRPr="2BB44510">
        <w:rPr>
          <w:rFonts w:ascii="Times" w:eastAsia="Times New Roman" w:hAnsi="Times" w:cs="Times New Roman"/>
        </w:rPr>
        <w:t xml:space="preserve"> an</w:t>
      </w:r>
      <w:r w:rsidR="00FD4C08">
        <w:rPr>
          <w:rFonts w:ascii="Times" w:eastAsia="Times New Roman" w:hAnsi="Times" w:cs="Times New Roman"/>
        </w:rPr>
        <w:t>y</w:t>
      </w:r>
      <w:r w:rsidRPr="2BB44510">
        <w:rPr>
          <w:rFonts w:ascii="Times" w:eastAsia="Times New Roman" w:hAnsi="Times" w:cs="Times New Roman"/>
        </w:rPr>
        <w:t xml:space="preserve"> </w:t>
      </w:r>
      <w:r w:rsidR="00BC4806">
        <w:rPr>
          <w:rFonts w:ascii="Times" w:eastAsia="Times New Roman" w:hAnsi="Times" w:cs="Times New Roman"/>
        </w:rPr>
        <w:t>extremely</w:t>
      </w:r>
      <w:r w:rsidR="00BC4806" w:rsidRPr="2BB44510">
        <w:rPr>
          <w:rFonts w:ascii="Times" w:eastAsia="Times New Roman" w:hAnsi="Times" w:cs="Times New Roman"/>
        </w:rPr>
        <w:t xml:space="preserve"> </w:t>
      </w:r>
      <w:r w:rsidRPr="2BB44510">
        <w:rPr>
          <w:rFonts w:ascii="Times" w:eastAsia="Times New Roman" w:hAnsi="Times" w:cs="Times New Roman"/>
        </w:rPr>
        <w:t xml:space="preserve">negative </w:t>
      </w:r>
      <w:r w:rsidR="002573AD">
        <w:rPr>
          <w:rFonts w:ascii="Times" w:eastAsia="Times New Roman" w:hAnsi="Times" w:cs="Times New Roman"/>
        </w:rPr>
        <w:t xml:space="preserve">or positive </w:t>
      </w:r>
      <w:r w:rsidRPr="2BB44510">
        <w:rPr>
          <w:rFonts w:ascii="Times" w:eastAsia="Times New Roman" w:hAnsi="Times" w:cs="Times New Roman"/>
        </w:rPr>
        <w:t xml:space="preserve">NAER </w:t>
      </w:r>
      <w:r w:rsidR="002573AD">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sidR="002573AD">
        <w:rPr>
          <w:rFonts w:ascii="Times" w:eastAsia="Times New Roman" w:hAnsi="Times" w:cs="Times New Roman"/>
        </w:rPr>
        <w:t>shall</w:t>
      </w:r>
      <w:r w:rsidRPr="2BB44510">
        <w:rPr>
          <w:rFonts w:ascii="Times" w:eastAsia="Times New Roman" w:hAnsi="Times" w:cs="Times New Roman"/>
        </w:rPr>
        <w:t xml:space="preserve"> be </w:t>
      </w:r>
      <w:r w:rsidR="002573AD">
        <w:rPr>
          <w:rFonts w:ascii="Times" w:eastAsia="Times New Roman" w:hAnsi="Times" w:cs="Times New Roman"/>
        </w:rPr>
        <w:t>re</w:t>
      </w:r>
      <w:r w:rsidRPr="2BB44510">
        <w:rPr>
          <w:rFonts w:ascii="Times" w:eastAsia="Times New Roman" w:hAnsi="Times" w:cs="Times New Roman"/>
        </w:rPr>
        <w:t>set to</w:t>
      </w:r>
      <w:r w:rsidR="002573AD">
        <w:rPr>
          <w:rFonts w:ascii="Times" w:eastAsia="Times New Roman" w:hAnsi="Times" w:cs="Times New Roman"/>
        </w:rPr>
        <w:t xml:space="preserve"> a </w:t>
      </w:r>
      <w:r w:rsidR="00BC4806">
        <w:rPr>
          <w:rFonts w:ascii="Times" w:eastAsia="Times New Roman" w:hAnsi="Times" w:cs="Times New Roman"/>
        </w:rPr>
        <w:t>more appropriate</w:t>
      </w:r>
      <w:r w:rsidR="002573AD">
        <w:rPr>
          <w:rFonts w:ascii="Times" w:eastAsia="Times New Roman" w:hAnsi="Times" w:cs="Times New Roman"/>
        </w:rPr>
        <w:t xml:space="preserve"> discount rate, which may be carried out </w:t>
      </w:r>
      <w:r w:rsidR="00FD4C08">
        <w:rPr>
          <w:rFonts w:ascii="Times" w:eastAsia="Times New Roman" w:hAnsi="Times" w:cs="Times New Roman"/>
        </w:rPr>
        <w:t>by</w:t>
      </w:r>
      <w:r w:rsidR="002573AD">
        <w:rPr>
          <w:rFonts w:ascii="Times" w:eastAsia="Times New Roman" w:hAnsi="Times" w:cs="Times New Roman"/>
        </w:rPr>
        <w:t xml:space="preserve"> imposing upper/lower limits or </w:t>
      </w:r>
      <w:r w:rsidR="00FD4C08">
        <w:rPr>
          <w:rFonts w:ascii="Times" w:eastAsia="Times New Roman" w:hAnsi="Times" w:cs="Times New Roman"/>
        </w:rPr>
        <w:t xml:space="preserve">by using </w:t>
      </w:r>
      <w:r w:rsidR="002573AD">
        <w:rPr>
          <w:rFonts w:ascii="Times" w:eastAsia="Times New Roman" w:hAnsi="Times" w:cs="Times New Roman"/>
        </w:rPr>
        <w:t xml:space="preserve">another </w:t>
      </w:r>
      <w:r w:rsidR="00FD4C08">
        <w:rPr>
          <w:rFonts w:ascii="Times" w:eastAsia="Times New Roman" w:hAnsi="Times" w:cs="Times New Roman"/>
        </w:rPr>
        <w:t>approach,</w:t>
      </w:r>
      <w:r w:rsidR="002573AD">
        <w:rPr>
          <w:rFonts w:ascii="Times" w:eastAsia="Times New Roman" w:hAnsi="Times" w:cs="Times New Roman"/>
        </w:rPr>
        <w:t xml:space="preserve"> subject to actuarial judgement</w:t>
      </w:r>
      <w:r w:rsidR="00FD4C08">
        <w:rPr>
          <w:rFonts w:ascii="Times" w:eastAsia="Times New Roman" w:hAnsi="Times" w:cs="Times New Roman"/>
        </w:rPr>
        <w:t>, that is appropriately prudent for statutory valuation</w:t>
      </w:r>
      <w:r w:rsidRPr="2BB44510">
        <w:rPr>
          <w:rFonts w:ascii="Times" w:eastAsia="Times New Roman" w:hAnsi="Times" w:cs="Times New Roman"/>
        </w:rPr>
        <w:t>.</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lastRenderedPageBreak/>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56" w:name="_Toc77242143"/>
      <w:bookmarkStart w:id="57" w:name="_Toc137649789"/>
      <w:r w:rsidRPr="00E17D51">
        <w:rPr>
          <w:sz w:val="22"/>
          <w:szCs w:val="22"/>
        </w:rPr>
        <w:t>C.</w:t>
      </w:r>
      <w:r>
        <w:rPr>
          <w:sz w:val="22"/>
          <w:szCs w:val="22"/>
        </w:rPr>
        <w:tab/>
      </w:r>
      <w:r w:rsidR="00BB3078" w:rsidRPr="00E17D51">
        <w:rPr>
          <w:sz w:val="22"/>
          <w:szCs w:val="22"/>
        </w:rPr>
        <w:t>Projection Scenarios</w:t>
      </w:r>
      <w:bookmarkEnd w:id="56"/>
      <w:bookmarkEnd w:id="57"/>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610DAB5D"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be considered to be sufficient if any resulting understatement in the </w:t>
      </w:r>
      <w:r w:rsidR="0018608C">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903AB6">
      <w:pPr>
        <w:pStyle w:val="ListParagraph"/>
        <w:numPr>
          <w:ilvl w:val="2"/>
          <w:numId w:val="7"/>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AD0E74">
      <w:pPr>
        <w:pStyle w:val="Heading2"/>
        <w:numPr>
          <w:ilvl w:val="0"/>
          <w:numId w:val="28"/>
        </w:numPr>
        <w:rPr>
          <w:sz w:val="22"/>
          <w:szCs w:val="22"/>
        </w:rPr>
      </w:pPr>
      <w:bookmarkStart w:id="58" w:name="_Toc77242144"/>
      <w:bookmarkStart w:id="59" w:name="_Toc137649790"/>
      <w:r w:rsidRPr="00E17D51">
        <w:rPr>
          <w:sz w:val="22"/>
          <w:szCs w:val="22"/>
        </w:rPr>
        <w:t>Projection of Assets</w:t>
      </w:r>
      <w:bookmarkEnd w:id="58"/>
      <w:bookmarkEnd w:id="59"/>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05585319"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the value of assets at the start of the projection shall be set equal to the approximate value of statutory reserves at the start of the projection plus the allocated amount of PIMR attributable to the assets selected. Assets shall be valued consistently with their annual statement values. The amount of such asset values shall equal the sum of the following items, all as of the start of the projection: </w:t>
      </w:r>
    </w:p>
    <w:p w14:paraId="12C4BA85" w14:textId="77777777" w:rsidR="00BB3078" w:rsidRPr="004B39F7" w:rsidRDefault="00BB3078" w:rsidP="00BB3078">
      <w:pPr>
        <w:pStyle w:val="ListParagraph"/>
        <w:ind w:left="2880"/>
        <w:jc w:val="both"/>
        <w:rPr>
          <w:rFonts w:ascii="Times" w:eastAsia="Times New Roman" w:hAnsi="Times" w:cs="Times New Roman"/>
        </w:rPr>
      </w:pPr>
    </w:p>
    <w:p w14:paraId="2034445B"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02F07D7" w14:textId="77777777" w:rsidR="00BB3078" w:rsidRPr="004B39F7" w:rsidRDefault="00BB3078" w:rsidP="00BB3078">
      <w:pPr>
        <w:jc w:val="both"/>
        <w:rPr>
          <w:rFonts w:ascii="Times" w:eastAsia="Times New Roman" w:hAnsi="Times" w:cs="Times New Roman"/>
        </w:rPr>
      </w:pPr>
    </w:p>
    <w:p w14:paraId="774C8018" w14:textId="6DDBC4C5"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lastRenderedPageBreak/>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AD0E74">
      <w:pPr>
        <w:pStyle w:val="ListParagraph"/>
        <w:numPr>
          <w:ilvl w:val="2"/>
          <w:numId w:val="10"/>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1BFBA849" w:rsidR="00BB3078"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1086174F" w14:textId="77777777" w:rsidR="00BB3078" w:rsidRDefault="00BB3078" w:rsidP="00BB3078">
      <w:pPr>
        <w:pStyle w:val="ListParagraph"/>
        <w:ind w:left="2160"/>
        <w:jc w:val="both"/>
        <w:rPr>
          <w:rFonts w:ascii="Times" w:eastAsia="Times New Roman" w:hAnsi="Times" w:cs="Times New Roman"/>
        </w:rPr>
      </w:pPr>
    </w:p>
    <w:p w14:paraId="06282675" w14:textId="77777777" w:rsidR="00BB3078" w:rsidRPr="0065547F" w:rsidRDefault="00BB3078" w:rsidP="00AD0E74">
      <w:pPr>
        <w:pStyle w:val="ListParagraph"/>
        <w:numPr>
          <w:ilvl w:val="2"/>
          <w:numId w:val="10"/>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5% Treasury</w:t>
      </w:r>
    </w:p>
    <w:p w14:paraId="3C491827" w14:textId="012D858D" w:rsidR="00BB3078" w:rsidRPr="0065547F" w:rsidRDefault="00BB3078" w:rsidP="0065547F">
      <w:pPr>
        <w:jc w:val="both"/>
        <w:rPr>
          <w:rFonts w:ascii="Times" w:eastAsia="Times New Roman" w:hAnsi="Times" w:cs="Times New Roman"/>
          <w:strike/>
          <w:highlight w:val="yellow"/>
        </w:rPr>
      </w:pPr>
    </w:p>
    <w:p w14:paraId="5B306BA8" w14:textId="41DE2C8A" w:rsidR="00BB3078" w:rsidRPr="0065547F" w:rsidRDefault="0065547F" w:rsidP="00AD0E74">
      <w:pPr>
        <w:pStyle w:val="ListParagraph"/>
        <w:numPr>
          <w:ilvl w:val="2"/>
          <w:numId w:val="10"/>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15</w:t>
      </w:r>
      <w:r w:rsidR="00BB3078" w:rsidRPr="0065547F">
        <w:rPr>
          <w:rFonts w:ascii="Times" w:eastAsia="Times New Roman" w:hAnsi="Times" w:cs="Times New Roman"/>
          <w:highlight w:val="yellow"/>
        </w:rPr>
        <w:t>% PBR credit rating 3 (Aa2/AA)</w:t>
      </w:r>
    </w:p>
    <w:p w14:paraId="6B9EF48E" w14:textId="77777777" w:rsidR="00BB3078" w:rsidRPr="0065547F" w:rsidRDefault="00BB3078" w:rsidP="00BB3078">
      <w:pPr>
        <w:jc w:val="both"/>
        <w:rPr>
          <w:rFonts w:ascii="Times" w:eastAsia="Times New Roman" w:hAnsi="Times" w:cs="Times New Roman"/>
          <w:highlight w:val="yellow"/>
        </w:rPr>
      </w:pPr>
    </w:p>
    <w:p w14:paraId="4C18D456" w14:textId="2073B4FD" w:rsidR="00BB3078" w:rsidRPr="0065547F" w:rsidRDefault="00E528E5" w:rsidP="00AD0E74">
      <w:pPr>
        <w:pStyle w:val="ListParagraph"/>
        <w:numPr>
          <w:ilvl w:val="2"/>
          <w:numId w:val="10"/>
        </w:numPr>
        <w:spacing w:after="0" w:line="240" w:lineRule="auto"/>
        <w:ind w:left="2880" w:hanging="720"/>
        <w:jc w:val="both"/>
        <w:rPr>
          <w:rFonts w:ascii="Times" w:eastAsia="Times New Roman" w:hAnsi="Times" w:cs="Times New Roman"/>
          <w:highlight w:val="yellow"/>
        </w:rPr>
      </w:pPr>
      <w:r w:rsidRPr="0065547F">
        <w:rPr>
          <w:rFonts w:ascii="Times" w:eastAsia="Times New Roman" w:hAnsi="Times" w:cs="Times New Roman"/>
          <w:highlight w:val="yellow"/>
        </w:rPr>
        <w:t>80</w:t>
      </w:r>
      <w:r w:rsidR="00BB3078" w:rsidRPr="0065547F">
        <w:rPr>
          <w:rFonts w:ascii="Times" w:eastAsia="Times New Roman" w:hAnsi="Times" w:cs="Times New Roman"/>
          <w:highlight w:val="yellow"/>
        </w:rPr>
        <w:t>% PBR credit rating 6 (A2/A)</w:t>
      </w:r>
    </w:p>
    <w:p w14:paraId="6E9C6B02" w14:textId="32E05679" w:rsidR="00BB3078" w:rsidRPr="004B39F7" w:rsidRDefault="00BB3078" w:rsidP="000443ED"/>
    <w:p w14:paraId="15FC92A1" w14:textId="735C1720" w:rsidR="00BB3078" w:rsidRPr="00185D70" w:rsidRDefault="00BB3078" w:rsidP="00AD0E74">
      <w:pPr>
        <w:pStyle w:val="ListParagraph"/>
        <w:numPr>
          <w:ilvl w:val="1"/>
          <w:numId w:val="10"/>
        </w:numPr>
        <w:ind w:left="2160" w:hanging="720"/>
        <w:jc w:val="both"/>
      </w:pPr>
      <w:r w:rsidRPr="00CC724D">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AD0E74">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59827600"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r w:rsidR="00300E87">
        <w:rPr>
          <w:rFonts w:ascii="Times" w:eastAsia="Times New Roman" w:hAnsi="Times" w:cs="Times New Roman"/>
        </w:rPr>
        <w:t>4.a.ii 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AD0E74">
      <w:pPr>
        <w:pStyle w:val="ListParagraph"/>
        <w:numPr>
          <w:ilvl w:val="1"/>
          <w:numId w:val="10"/>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AD0E74">
      <w:pPr>
        <w:pStyle w:val="ListParagraph"/>
        <w:numPr>
          <w:ilvl w:val="2"/>
          <w:numId w:val="10"/>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AD0E74">
      <w:pPr>
        <w:pStyle w:val="ListParagraph"/>
        <w:numPr>
          <w:ilvl w:val="2"/>
          <w:numId w:val="10"/>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AD0E74">
      <w:pPr>
        <w:pStyle w:val="ListParagraph"/>
        <w:numPr>
          <w:ilvl w:val="1"/>
          <w:numId w:val="10"/>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AD0E74">
      <w:pPr>
        <w:pStyle w:val="ListParagraph"/>
        <w:numPr>
          <w:ilvl w:val="0"/>
          <w:numId w:val="28"/>
        </w:numPr>
        <w:spacing w:after="0" w:line="240" w:lineRule="auto"/>
        <w:jc w:val="both"/>
        <w:rPr>
          <w:rFonts w:ascii="Times" w:eastAsia="Times New Roman" w:hAnsi="Times" w:cs="Times New Roman"/>
        </w:rPr>
      </w:pPr>
      <w:bookmarkStart w:id="60" w:name="_Toc77242145"/>
      <w:bookmarkStart w:id="61" w:name="_Toc137649791"/>
      <w:r w:rsidRPr="00E17D51">
        <w:rPr>
          <w:rStyle w:val="Heading2Char"/>
          <w:rFonts w:eastAsiaTheme="minorHAnsi"/>
          <w:sz w:val="22"/>
          <w:szCs w:val="22"/>
        </w:rPr>
        <w:t>Projection of Annuitization Benefits</w:t>
      </w:r>
      <w:bookmarkEnd w:id="60"/>
      <w:bookmarkEnd w:id="61"/>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AD0E74">
      <w:pPr>
        <w:pStyle w:val="ListParagraph"/>
        <w:numPr>
          <w:ilvl w:val="3"/>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AD0E74">
      <w:pPr>
        <w:pStyle w:val="ListParagraph"/>
        <w:numPr>
          <w:ilvl w:val="0"/>
          <w:numId w:val="12"/>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AD0E74">
      <w:pPr>
        <w:pStyle w:val="ListParagraph"/>
        <w:numPr>
          <w:ilvl w:val="0"/>
          <w:numId w:val="12"/>
        </w:numPr>
        <w:spacing w:after="0" w:line="240" w:lineRule="auto"/>
        <w:ind w:hanging="720"/>
        <w:jc w:val="both"/>
        <w:rPr>
          <w:rFonts w:ascii="Times" w:eastAsia="Times New Roman" w:hAnsi="Times" w:cs="Times New Roman"/>
        </w:rPr>
      </w:pPr>
      <w:r w:rsidRPr="2BB44510">
        <w:rPr>
          <w:rFonts w:ascii="Times" w:eastAsia="Times New Roman" w:hAnsi="Times" w:cs="Times New Roman"/>
        </w:rPr>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AD0E74">
      <w:pPr>
        <w:pStyle w:val="ListParagraph"/>
        <w:numPr>
          <w:ilvl w:val="3"/>
          <w:numId w:val="10"/>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lastRenderedPageBreak/>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4B39F7" w:rsidRDefault="00BB3078" w:rsidP="00AD0E74">
      <w:pPr>
        <w:pStyle w:val="ListParagraph"/>
        <w:numPr>
          <w:ilvl w:val="0"/>
          <w:numId w:val="86"/>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28F4B763" w14:textId="4B01A1A6" w:rsidR="00BB3078" w:rsidRPr="009E255A" w:rsidRDefault="00BB3078" w:rsidP="00AD0E74">
      <w:pPr>
        <w:pStyle w:val="Heading2"/>
        <w:numPr>
          <w:ilvl w:val="0"/>
          <w:numId w:val="28"/>
        </w:numPr>
        <w:rPr>
          <w:sz w:val="22"/>
          <w:szCs w:val="22"/>
        </w:rPr>
      </w:pPr>
      <w:bookmarkStart w:id="62" w:name="_Toc77242146"/>
      <w:bookmarkStart w:id="63" w:name="_Toc137649792"/>
      <w:r w:rsidRPr="009E255A">
        <w:rPr>
          <w:sz w:val="22"/>
          <w:szCs w:val="22"/>
        </w:rPr>
        <w:t>Frequency of Projection</w:t>
      </w:r>
      <w:bookmarkEnd w:id="62"/>
      <w:bookmarkEnd w:id="63"/>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AD0E74">
      <w:pPr>
        <w:pStyle w:val="ListParagraph"/>
        <w:numPr>
          <w:ilvl w:val="0"/>
          <w:numId w:val="11"/>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64" w:name="_Toc77242147"/>
      <w:bookmarkStart w:id="65" w:name="_Toc137649793"/>
    </w:p>
    <w:p w14:paraId="44B34406" w14:textId="69387968" w:rsidR="00BB3078" w:rsidRPr="009E255A" w:rsidRDefault="00BB3078" w:rsidP="00AD0E74">
      <w:pPr>
        <w:pStyle w:val="Heading2"/>
        <w:numPr>
          <w:ilvl w:val="0"/>
          <w:numId w:val="28"/>
        </w:numPr>
        <w:rPr>
          <w:sz w:val="22"/>
          <w:szCs w:val="22"/>
        </w:rPr>
      </w:pPr>
      <w:r w:rsidRPr="009E255A">
        <w:rPr>
          <w:sz w:val="22"/>
          <w:szCs w:val="22"/>
        </w:rPr>
        <w:t>Compliance with ASOPs</w:t>
      </w:r>
      <w:bookmarkEnd w:id="64"/>
      <w:bookmarkEnd w:id="65"/>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240BE937"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66" w:name="_Toc77242148"/>
      <w:bookmarkStart w:id="67" w:name="_Toc137649794"/>
      <w:bookmarkStart w:id="68" w:name="_Hlk121317923"/>
      <w:r>
        <w:rPr>
          <w:sz w:val="24"/>
          <w:szCs w:val="24"/>
        </w:rPr>
        <w:lastRenderedPageBreak/>
        <w:t>Section 5: Reinsurance</w:t>
      </w:r>
      <w:bookmarkEnd w:id="66"/>
      <w:bookmarkEnd w:id="67"/>
    </w:p>
    <w:bookmarkEnd w:id="68"/>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69" w:name="_Toc77242149"/>
      <w:bookmarkStart w:id="70" w:name="_Toc137649795"/>
      <w:r w:rsidRPr="009E255A">
        <w:rPr>
          <w:sz w:val="22"/>
          <w:szCs w:val="22"/>
        </w:rPr>
        <w:t>A. Treatment of Reinsurance in the Aggregate Reserve</w:t>
      </w:r>
      <w:bookmarkEnd w:id="69"/>
      <w:bookmarkEnd w:id="70"/>
      <w:r w:rsidRPr="009E255A">
        <w:rPr>
          <w:sz w:val="22"/>
          <w:szCs w:val="22"/>
        </w:rPr>
        <w:t xml:space="preserve"> </w:t>
      </w:r>
    </w:p>
    <w:p w14:paraId="05F09634" w14:textId="77777777" w:rsidR="009E255A" w:rsidRDefault="009E255A" w:rsidP="00AD0E74">
      <w:pPr>
        <w:numPr>
          <w:ilvl w:val="0"/>
          <w:numId w:val="15"/>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AD0E74">
      <w:pPr>
        <w:numPr>
          <w:ilvl w:val="0"/>
          <w:numId w:val="15"/>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2A86D2E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the </w:t>
      </w:r>
      <w:r w:rsidRPr="1CE42AF2">
        <w:rPr>
          <w:rFonts w:ascii="Times New Roman" w:hAnsi="Times New Roman" w:cs="Times New Roman"/>
          <w:color w:val="000000" w:themeColor="text1"/>
        </w:rPr>
        <w:t xml:space="preserve">additional standard projection amount, 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xml:space="preserve">, as applicable—on both bases. Sections 5.A.2 and  5.A.3 discuss adjustments to inputs necessary to determine these components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77278A40"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Reflection of Reinsurance Cash Flows in the DR 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EF9FDD" w:rsidR="00AE1A25" w:rsidRDefault="005613C4" w:rsidP="00AD0E74">
      <w:pPr>
        <w:pStyle w:val="ListParagraph"/>
        <w:numPr>
          <w:ilvl w:val="0"/>
          <w:numId w:val="50"/>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r w:rsidR="00A706F2">
        <w:rPr>
          <w:rFonts w:ascii="Times New Roman" w:hAnsi="Times New Roman" w:cs="Times New Roman"/>
          <w:color w:val="000000"/>
        </w:rPr>
        <w:t>SR and DR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bookmarkStart w:id="71"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71"/>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21C62359" w:rsidR="0039374D" w:rsidRPr="00FD4E7D" w:rsidRDefault="0039374D"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 xml:space="preserve">a reinsurance agreement or amendment in calculating the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6C44FDBB" w:rsidR="00BD598E" w:rsidRPr="00AE1A25" w:rsidRDefault="005613C4" w:rsidP="00AD0E74">
      <w:pPr>
        <w:pStyle w:val="ListParagraph"/>
        <w:numPr>
          <w:ilvl w:val="0"/>
          <w:numId w:val="50"/>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Pr="00AE1A25">
        <w:rPr>
          <w:rFonts w:ascii="Times New Roman" w:hAnsi="Times New Roman" w:cs="Times New Roman"/>
          <w:color w:val="000000"/>
        </w:rPr>
        <w:t xml:space="preserve"> shall be determined ignoring the effects of </w:t>
      </w:r>
      <w:r w:rsidRPr="00AE1A25">
        <w:rPr>
          <w:rFonts w:ascii="Times New Roman" w:hAnsi="Times New Roman" w:cs="Times New Roman"/>
          <w:color w:val="000000"/>
        </w:rPr>
        <w:lastRenderedPageBreak/>
        <w:t xml:space="preserve">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similar to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AD0E74">
      <w:pPr>
        <w:pStyle w:val="ListParagraph"/>
        <w:numPr>
          <w:ilvl w:val="1"/>
          <w:numId w:val="50"/>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AD0E74">
      <w:pPr>
        <w:pStyle w:val="ListParagraph"/>
        <w:numPr>
          <w:ilvl w:val="0"/>
          <w:numId w:val="74"/>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similar to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AD0E74">
      <w:pPr>
        <w:pStyle w:val="ListParagraph"/>
        <w:numPr>
          <w:ilvl w:val="1"/>
          <w:numId w:val="71"/>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5D637E">
      <w:pPr>
        <w:pStyle w:val="ListParagraph"/>
        <w:numPr>
          <w:ilvl w:val="0"/>
          <w:numId w:val="91"/>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5D637E">
      <w:pPr>
        <w:pStyle w:val="ListParagraph"/>
        <w:numPr>
          <w:ilvl w:val="0"/>
          <w:numId w:val="92"/>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5D637E">
      <w:pPr>
        <w:pStyle w:val="ListParagraph"/>
        <w:numPr>
          <w:ilvl w:val="0"/>
          <w:numId w:val="92"/>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103125D7"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0633C161"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 exclusion test. In particular, it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would pass the relevant exclusion test (and allow the use of VM-A and VM-C)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71A0E2CE" w14:textId="111D5E47" w:rsidR="005E6BF8" w:rsidRPr="004937D7" w:rsidRDefault="002C726F" w:rsidP="004937D7">
      <w:pPr>
        <w:pStyle w:val="Heading1"/>
        <w:spacing w:line="240" w:lineRule="auto"/>
        <w:rPr>
          <w:sz w:val="24"/>
          <w:szCs w:val="24"/>
        </w:rPr>
      </w:pPr>
      <w:bookmarkStart w:id="72" w:name="_Toc137649796"/>
      <w:r>
        <w:rPr>
          <w:sz w:val="24"/>
          <w:szCs w:val="24"/>
        </w:rPr>
        <w:lastRenderedPageBreak/>
        <w:t xml:space="preserve">Section 6: </w:t>
      </w:r>
      <w:r w:rsidR="00390837">
        <w:rPr>
          <w:sz w:val="24"/>
          <w:szCs w:val="24"/>
        </w:rPr>
        <w:t>Standard Projection Amount</w:t>
      </w:r>
      <w:bookmarkEnd w:id="72"/>
      <w:r w:rsidR="005E6BF8" w:rsidRPr="004937D7">
        <w:rPr>
          <w:sz w:val="24"/>
          <w:szCs w:val="24"/>
        </w:rPr>
        <w:t xml:space="preserve">  </w:t>
      </w: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73" w:name="_Toc77242151"/>
      <w:bookmarkStart w:id="74" w:name="_Toc137649797"/>
      <w:bookmarkStart w:id="75" w:name="_Hlk121318274"/>
      <w:r w:rsidRPr="004B45D3">
        <w:rPr>
          <w:sz w:val="24"/>
          <w:szCs w:val="24"/>
        </w:rPr>
        <w:lastRenderedPageBreak/>
        <w:t>Section 7: Exclusion Testing</w:t>
      </w:r>
      <w:bookmarkEnd w:id="73"/>
      <w:bookmarkEnd w:id="74"/>
    </w:p>
    <w:bookmarkEnd w:id="75"/>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AD0E74">
      <w:pPr>
        <w:pStyle w:val="Heading2"/>
        <w:numPr>
          <w:ilvl w:val="0"/>
          <w:numId w:val="89"/>
        </w:numPr>
        <w:rPr>
          <w:sz w:val="22"/>
          <w:szCs w:val="22"/>
        </w:rPr>
      </w:pPr>
      <w:bookmarkStart w:id="76" w:name="_Toc77242152"/>
      <w:bookmarkStart w:id="77" w:name="_Toc137649798"/>
      <w:r>
        <w:rPr>
          <w:sz w:val="22"/>
          <w:szCs w:val="22"/>
        </w:rPr>
        <w:t>Stochastic Exclusion Test Requirement Overview</w:t>
      </w:r>
      <w:bookmarkEnd w:id="76"/>
      <w:bookmarkEnd w:id="77"/>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4C0EED78" w:rsidR="008858A9" w:rsidRPr="00FD4E7D" w:rsidRDefault="008858A9" w:rsidP="00AD0E74">
      <w:pPr>
        <w:numPr>
          <w:ilvl w:val="0"/>
          <w:numId w:val="31"/>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3F1273BE" w:rsidR="008858A9" w:rsidRPr="00FD4E7D"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whether or not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5082BEEB" w:rsidR="008858A9" w:rsidRDefault="008858A9" w:rsidP="00AD0E74">
      <w:pPr>
        <w:numPr>
          <w:ilvl w:val="1"/>
          <w:numId w:val="31"/>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78" w:name="_Hlk50829377"/>
      <w:r w:rsidRPr="00FD4E7D">
        <w:rPr>
          <w:rFonts w:ascii="Times New Roman" w:eastAsia="Times New Roman" w:hAnsi="Times New Roman" w:cs="Times New Roman"/>
        </w:rPr>
        <w:t>, with the exception of hedging programs solely supporting index credits</w:t>
      </w:r>
      <w:bookmarkEnd w:id="78"/>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r w:rsidRPr="00FD4E7D">
        <w:rPr>
          <w:rFonts w:ascii="Times New Roman" w:eastAsia="Times New Roman" w:hAnsi="Times New Roman" w:cs="Times New Roman"/>
        </w:rPr>
        <w:t>.</w:t>
      </w:r>
    </w:p>
    <w:p w14:paraId="7616004D" w14:textId="3D36DEA5" w:rsidR="00912D51" w:rsidRPr="00912D51" w:rsidRDefault="007F22BD" w:rsidP="00AD0E74">
      <w:pPr>
        <w:pStyle w:val="xmsonormal"/>
        <w:numPr>
          <w:ilvl w:val="1"/>
          <w:numId w:val="31"/>
        </w:numPr>
        <w:rPr>
          <w:rFonts w:ascii="Times New Roman" w:hAnsi="Times New Roman" w:cs="Times New Roman"/>
        </w:rPr>
      </w:pPr>
      <w:r w:rsidRPr="007F22BD">
        <w:rPr>
          <w:rFonts w:ascii="Times New Roman" w:hAnsi="Times New Roman" w:cs="Times New Roman"/>
        </w:rPr>
        <w:t>A company not eligible for the Annuity PBR Exemption described in VM Section II 2.E may nevertheless elect to automatically exclude one or more groups of contracts from the stochastic reserve calculation without passing or performing the SET if all of the following are met for all contracts in the group or groups:</w:t>
      </w:r>
    </w:p>
    <w:p w14:paraId="45167BB7" w14:textId="677B5701" w:rsidR="00912D51" w:rsidRPr="00912D51" w:rsidRDefault="00912D51" w:rsidP="00912D51">
      <w:pPr>
        <w:pStyle w:val="xmsonormal"/>
        <w:rPr>
          <w:rFonts w:ascii="Times New Roman" w:hAnsi="Times New Roman" w:cs="Times New Roman"/>
        </w:rPr>
      </w:pPr>
    </w:p>
    <w:p w14:paraId="75E688CC" w14:textId="707A0FDC" w:rsidR="00912D51" w:rsidRDefault="00912D51" w:rsidP="0065547F">
      <w:pPr>
        <w:pStyle w:val="xmsolistparagraph"/>
        <w:spacing w:before="240"/>
        <w:ind w:left="2880" w:hanging="72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Pr="00912D51">
        <w:rPr>
          <w:rFonts w:ascii="Times New Roman" w:eastAsia="Times New Roman" w:hAnsi="Times New Roman" w:cs="Times New Roman"/>
        </w:rPr>
        <w:t>All of the contracts are either:</w:t>
      </w:r>
    </w:p>
    <w:p w14:paraId="2BABF01F" w14:textId="0A72BF79" w:rsidR="007F22BD" w:rsidRPr="00892D53" w:rsidRDefault="00912D51" w:rsidP="0065547F">
      <w:pPr>
        <w:pStyle w:val="xmsolistparagraph"/>
        <w:numPr>
          <w:ilvl w:val="4"/>
          <w:numId w:val="82"/>
        </w:numPr>
        <w:spacing w:before="240"/>
        <w:ind w:left="3600" w:hanging="720"/>
        <w:rPr>
          <w:rFonts w:ascii="Times New Roman" w:eastAsia="Times New Roman" w:hAnsi="Times New Roman" w:cs="Times New Roman"/>
        </w:rPr>
      </w:pPr>
      <w:r w:rsidRPr="00912D51">
        <w:rPr>
          <w:rFonts w:ascii="Times New Roman" w:eastAsia="Times New Roman" w:hAnsi="Times New Roman" w:cs="Times New Roman"/>
        </w:rPr>
        <w:t>Single Premium Immediate Annuities</w:t>
      </w:r>
      <w:r w:rsidR="007F22BD">
        <w:rPr>
          <w:rFonts w:ascii="Times New Roman" w:eastAsia="Times New Roman" w:hAnsi="Times New Roman" w:cs="Times New Roman"/>
        </w:rPr>
        <w:t>;</w:t>
      </w:r>
    </w:p>
    <w:p w14:paraId="3986367D" w14:textId="1B58D4D4" w:rsidR="00912D51"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7F22BD">
        <w:rPr>
          <w:rFonts w:ascii="Times New Roman" w:eastAsia="Times New Roman" w:hAnsi="Times New Roman" w:cs="Times New Roman"/>
        </w:rPr>
        <w:t>Fixed payout annuities resulting from the exercise of settlement options or annuitizations of host contracts</w:t>
      </w:r>
      <w:r>
        <w:rPr>
          <w:rFonts w:ascii="Times New Roman" w:eastAsia="Times New Roman" w:hAnsi="Times New Roman" w:cs="Times New Roman"/>
        </w:rPr>
        <w:t>;</w:t>
      </w:r>
    </w:p>
    <w:p w14:paraId="62A41ED3" w14:textId="5F252786" w:rsidR="007F22BD"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7F22BD">
        <w:rPr>
          <w:rFonts w:ascii="Times New Roman" w:eastAsia="Times New Roman" w:hAnsi="Times New Roman" w:cs="Times New Roman"/>
        </w:rPr>
        <w:t>Supplementary contracts (such as retained asset accounts and settlements at interest)</w:t>
      </w:r>
      <w:r>
        <w:rPr>
          <w:rFonts w:ascii="Times New Roman" w:eastAsia="Times New Roman" w:hAnsi="Times New Roman" w:cs="Times New Roman"/>
        </w:rPr>
        <w:t>;</w:t>
      </w:r>
    </w:p>
    <w:p w14:paraId="4A27B9C2" w14:textId="360A7EBA" w:rsidR="007F22BD" w:rsidRPr="007A0B4E"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7F22BD">
        <w:rPr>
          <w:rFonts w:ascii="Times New Roman" w:eastAsia="Times New Roman" w:hAnsi="Times New Roman" w:cs="Times New Roman"/>
        </w:rPr>
        <w:t>Fixed income payment streams attributable to guaranteed living benefits associated with deferred annuity contracts once the underlying funds are exhausted;</w:t>
      </w:r>
    </w:p>
    <w:p w14:paraId="0A94EB22" w14:textId="4B9EB2C5" w:rsidR="00912D51" w:rsidRDefault="00912D51"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912D51">
        <w:rPr>
          <w:rFonts w:ascii="Times New Roman" w:eastAsia="Times New Roman" w:hAnsi="Times New Roman" w:cs="Times New Roman"/>
        </w:rPr>
        <w:t>Structured Settlement Contracts</w:t>
      </w:r>
      <w:r w:rsidR="007A0B4E">
        <w:rPr>
          <w:rFonts w:ascii="Times New Roman" w:eastAsia="Times New Roman" w:hAnsi="Times New Roman" w:cs="Times New Roman"/>
        </w:rPr>
        <w:t>; or</w:t>
      </w:r>
    </w:p>
    <w:p w14:paraId="223D0177" w14:textId="505A5AFB" w:rsidR="007A0B4E" w:rsidRPr="00912D51" w:rsidRDefault="007A0B4E"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Pr>
          <w:rFonts w:ascii="Times New Roman" w:eastAsia="Times New Roman" w:hAnsi="Times New Roman" w:cs="Times New Roman"/>
        </w:rPr>
        <w:t>Contracts classified as "Annuities Certain” or “Supplementary Contracts” as found in Exhibit 7</w:t>
      </w:r>
      <w:r w:rsidR="00892D53">
        <w:rPr>
          <w:rFonts w:ascii="Times New Roman" w:eastAsia="Times New Roman" w:hAnsi="Times New Roman" w:cs="Times New Roman"/>
        </w:rPr>
        <w:t xml:space="preserve"> – Deposit-Type Contracts</w:t>
      </w:r>
      <w:r>
        <w:rPr>
          <w:rFonts w:ascii="Times New Roman" w:eastAsia="Times New Roman" w:hAnsi="Times New Roman" w:cs="Times New Roman"/>
        </w:rPr>
        <w:t xml:space="preserve"> of the Annual Statement.</w:t>
      </w:r>
    </w:p>
    <w:p w14:paraId="0E0D2E0D" w14:textId="77777777" w:rsidR="00912D51" w:rsidRPr="00912D51" w:rsidRDefault="00912D51" w:rsidP="00912D51">
      <w:pPr>
        <w:pStyle w:val="xmsonormal"/>
        <w:tabs>
          <w:tab w:val="num" w:pos="2880"/>
        </w:tabs>
        <w:ind w:left="2880" w:hanging="720"/>
        <w:rPr>
          <w:rFonts w:ascii="Times New Roman" w:hAnsi="Times New Roman" w:cs="Times New Roman"/>
        </w:rPr>
      </w:pPr>
      <w:r w:rsidRPr="00912D51">
        <w:rPr>
          <w:rFonts w:ascii="Times New Roman" w:hAnsi="Times New Roman" w:cs="Times New Roman"/>
        </w:rPr>
        <w:lastRenderedPageBreak/>
        <w:t> </w:t>
      </w:r>
    </w:p>
    <w:p w14:paraId="2AAC7321" w14:textId="6B80A71A" w:rsidR="00912D51" w:rsidRPr="00912D51" w:rsidRDefault="00912D51" w:rsidP="00AD0E74">
      <w:pPr>
        <w:pStyle w:val="xmsolistparagraph"/>
        <w:numPr>
          <w:ilvl w:val="2"/>
          <w:numId w:val="10"/>
        </w:numPr>
        <w:ind w:left="2880" w:hanging="720"/>
        <w:rPr>
          <w:rFonts w:ascii="Times New Roman" w:eastAsia="Times New Roman" w:hAnsi="Times New Roman" w:cs="Times New Roman"/>
        </w:rPr>
      </w:pPr>
      <w:r w:rsidRPr="00912D51">
        <w:rPr>
          <w:rFonts w:ascii="Times New Roman" w:eastAsia="Times New Roman" w:hAnsi="Times New Roman" w:cs="Times New Roman"/>
        </w:rPr>
        <w:t>None of the contracts are pension risk transfer annuities (PRT) or are covered under a longevity reinsurance agreement</w:t>
      </w:r>
      <w:r>
        <w:rPr>
          <w:rFonts w:ascii="Times New Roman" w:eastAsia="Times New Roman" w:hAnsi="Times New Roman" w:cs="Times New Roman"/>
        </w:rPr>
        <w:t>;</w:t>
      </w:r>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r w:rsidRPr="00912D51">
        <w:rPr>
          <w:rFonts w:ascii="Times New Roman" w:hAnsi="Times New Roman" w:cs="Times New Roman"/>
        </w:rPr>
        <w:t> </w:t>
      </w:r>
    </w:p>
    <w:p w14:paraId="59960493" w14:textId="77777777" w:rsidR="00F15CEB" w:rsidRDefault="002B25C4" w:rsidP="00AD0E74">
      <w:pPr>
        <w:pStyle w:val="xmsolistparagraph"/>
        <w:numPr>
          <w:ilvl w:val="2"/>
          <w:numId w:val="10"/>
        </w:numPr>
        <w:ind w:left="2880" w:hanging="720"/>
        <w:rPr>
          <w:rFonts w:ascii="Times New Roman" w:eastAsia="Times New Roman" w:hAnsi="Times New Roman" w:cs="Times New Roman"/>
        </w:rPr>
      </w:pPr>
      <w:r w:rsidRPr="002B25C4">
        <w:rPr>
          <w:rFonts w:ascii="Times New Roman" w:eastAsia="Times New Roman" w:hAnsi="Times New Roman" w:cs="Times New Roman"/>
        </w:rPr>
        <w:t xml:space="preserve">Future scheduled payout benefit amounts </w:t>
      </w:r>
      <w:r w:rsidR="00F15CEB">
        <w:rPr>
          <w:rFonts w:ascii="Times New Roman" w:eastAsia="Times New Roman" w:hAnsi="Times New Roman" w:cs="Times New Roman"/>
        </w:rPr>
        <w:t>meet one of the following conditions:</w:t>
      </w:r>
    </w:p>
    <w:p w14:paraId="5DA18BB6" w14:textId="77777777" w:rsidR="00892D53" w:rsidRDefault="00892D53" w:rsidP="00892D53">
      <w:pPr>
        <w:pStyle w:val="xmsolistparagraph"/>
        <w:ind w:left="3600"/>
        <w:rPr>
          <w:rFonts w:ascii="Times New Roman" w:eastAsia="Times New Roman" w:hAnsi="Times New Roman" w:cs="Times New Roman"/>
        </w:rPr>
      </w:pPr>
    </w:p>
    <w:p w14:paraId="5A1BEF79" w14:textId="7013A979" w:rsidR="00F15CEB" w:rsidRDefault="00F15CEB" w:rsidP="00F15CEB">
      <w:pPr>
        <w:pStyle w:val="xmsolistparagraph"/>
        <w:numPr>
          <w:ilvl w:val="3"/>
          <w:numId w:val="10"/>
        </w:numPr>
        <w:ind w:left="3600" w:hanging="720"/>
        <w:rPr>
          <w:rFonts w:ascii="Times New Roman" w:eastAsia="Times New Roman" w:hAnsi="Times New Roman" w:cs="Times New Roman"/>
        </w:rPr>
      </w:pPr>
      <w:r>
        <w:rPr>
          <w:rFonts w:ascii="Times New Roman" w:eastAsia="Times New Roman" w:hAnsi="Times New Roman" w:cs="Times New Roman"/>
        </w:rPr>
        <w:t xml:space="preserve">Amounts are level; </w:t>
      </w:r>
    </w:p>
    <w:p w14:paraId="3D597DA5" w14:textId="77777777" w:rsidR="0065547F" w:rsidRDefault="0065547F" w:rsidP="0065547F">
      <w:pPr>
        <w:pStyle w:val="xmsolistparagraph"/>
        <w:ind w:left="3600"/>
        <w:rPr>
          <w:rFonts w:ascii="Times New Roman" w:eastAsia="Times New Roman" w:hAnsi="Times New Roman" w:cs="Times New Roman"/>
        </w:rPr>
      </w:pPr>
    </w:p>
    <w:p w14:paraId="2BCDD21D" w14:textId="7EB3664E" w:rsidR="00F15CEB" w:rsidRDefault="00F15CEB" w:rsidP="00F15CEB">
      <w:pPr>
        <w:pStyle w:val="xmsolistparagraph"/>
        <w:numPr>
          <w:ilvl w:val="3"/>
          <w:numId w:val="10"/>
        </w:numPr>
        <w:ind w:left="3600" w:hanging="720"/>
        <w:rPr>
          <w:rFonts w:ascii="Times New Roman" w:eastAsia="Times New Roman" w:hAnsi="Times New Roman" w:cs="Times New Roman"/>
        </w:rPr>
      </w:pPr>
      <w:r>
        <w:rPr>
          <w:rFonts w:ascii="Times New Roman" w:eastAsia="Times New Roman" w:hAnsi="Times New Roman" w:cs="Times New Roman"/>
        </w:rPr>
        <w:t>Amounts change due to specified adjustments as follows:</w:t>
      </w:r>
    </w:p>
    <w:p w14:paraId="4368CA27" w14:textId="6DF4F9FD" w:rsidR="00363D0E" w:rsidRDefault="00363D0E" w:rsidP="00363D0E">
      <w:pPr>
        <w:pStyle w:val="xmsolistparagraph"/>
        <w:numPr>
          <w:ilvl w:val="4"/>
          <w:numId w:val="10"/>
        </w:numPr>
        <w:ind w:left="3960"/>
        <w:rPr>
          <w:rFonts w:ascii="Times New Roman" w:eastAsia="Times New Roman" w:hAnsi="Times New Roman" w:cs="Times New Roman"/>
        </w:rPr>
      </w:pPr>
      <w:r>
        <w:rPr>
          <w:rFonts w:ascii="Times New Roman" w:eastAsia="Times New Roman" w:hAnsi="Times New Roman" w:cs="Times New Roman"/>
        </w:rPr>
        <w:t>Fixed Cost of Living Adjustments</w:t>
      </w:r>
    </w:p>
    <w:p w14:paraId="77EC1D26" w14:textId="2D35F1FE" w:rsidR="00363D0E" w:rsidRDefault="00363D0E" w:rsidP="00363D0E">
      <w:pPr>
        <w:pStyle w:val="xmsolistparagraph"/>
        <w:numPr>
          <w:ilvl w:val="4"/>
          <w:numId w:val="10"/>
        </w:numPr>
        <w:ind w:left="3960"/>
        <w:rPr>
          <w:rFonts w:ascii="Times New Roman" w:eastAsia="Times New Roman" w:hAnsi="Times New Roman" w:cs="Times New Roman"/>
        </w:rPr>
      </w:pPr>
      <w:r>
        <w:rPr>
          <w:rFonts w:ascii="Times New Roman" w:eastAsia="Times New Roman" w:hAnsi="Times New Roman" w:cs="Times New Roman"/>
        </w:rPr>
        <w:t>Joint and Survivor Benefits</w:t>
      </w:r>
      <w:r w:rsidR="00942EF1">
        <w:rPr>
          <w:rFonts w:ascii="Times New Roman" w:eastAsia="Times New Roman" w:hAnsi="Times New Roman" w:cs="Times New Roman"/>
        </w:rPr>
        <w:t>; or</w:t>
      </w:r>
    </w:p>
    <w:p w14:paraId="099168F4" w14:textId="77777777" w:rsidR="0065547F" w:rsidRDefault="0065547F" w:rsidP="0065547F">
      <w:pPr>
        <w:pStyle w:val="xmsolistparagraph"/>
        <w:ind w:left="3960"/>
        <w:rPr>
          <w:rFonts w:ascii="Times New Roman" w:eastAsia="Times New Roman" w:hAnsi="Times New Roman" w:cs="Times New Roman"/>
        </w:rPr>
      </w:pPr>
    </w:p>
    <w:p w14:paraId="7BE1887A" w14:textId="4BAC88ED" w:rsidR="00912D51" w:rsidRDefault="00F15CEB" w:rsidP="00F15CEB">
      <w:pPr>
        <w:pStyle w:val="xmsolistparagraph"/>
        <w:numPr>
          <w:ilvl w:val="3"/>
          <w:numId w:val="10"/>
        </w:numPr>
        <w:ind w:left="3600" w:hanging="720"/>
        <w:rPr>
          <w:rFonts w:ascii="Times New Roman" w:eastAsia="Times New Roman" w:hAnsi="Times New Roman" w:cs="Times New Roman"/>
        </w:rPr>
      </w:pPr>
      <w:r>
        <w:rPr>
          <w:rFonts w:ascii="Times New Roman" w:eastAsia="Times New Roman" w:hAnsi="Times New Roman" w:cs="Times New Roman"/>
        </w:rPr>
        <w:t>Amounts</w:t>
      </w:r>
      <w:r w:rsidR="002B25C4" w:rsidRPr="002B25C4">
        <w:rPr>
          <w:rFonts w:ascii="Times New Roman" w:eastAsia="Times New Roman" w:hAnsi="Times New Roman" w:cs="Times New Roman"/>
        </w:rPr>
        <w:t xml:space="preserve"> stay within 5% of the initial payout benefit amount over time</w:t>
      </w:r>
      <w:r w:rsidR="00912D51">
        <w:rPr>
          <w:rFonts w:ascii="Times New Roman" w:eastAsia="Times New Roman" w:hAnsi="Times New Roman" w:cs="Times New Roman"/>
        </w:rPr>
        <w:t>;</w:t>
      </w:r>
    </w:p>
    <w:p w14:paraId="10037340" w14:textId="77777777" w:rsidR="00912D51" w:rsidRPr="00912D51" w:rsidRDefault="00912D51" w:rsidP="00912D51">
      <w:pPr>
        <w:pStyle w:val="xmsolistparagraph"/>
        <w:ind w:left="0"/>
        <w:rPr>
          <w:rFonts w:ascii="Times New Roman" w:eastAsia="Times New Roman" w:hAnsi="Times New Roman" w:cs="Times New Roman"/>
        </w:rPr>
      </w:pPr>
    </w:p>
    <w:p w14:paraId="163DAF8D" w14:textId="7AC2D413" w:rsidR="00912D51" w:rsidRDefault="002B25C4" w:rsidP="00AD0E74">
      <w:pPr>
        <w:pStyle w:val="xmsolistparagraph"/>
        <w:numPr>
          <w:ilvl w:val="2"/>
          <w:numId w:val="10"/>
        </w:numPr>
        <w:ind w:left="2880" w:hanging="720"/>
        <w:rPr>
          <w:rFonts w:ascii="Times New Roman" w:eastAsia="Times New Roman" w:hAnsi="Times New Roman" w:cs="Times New Roman"/>
        </w:rPr>
      </w:pPr>
      <w:r w:rsidRPr="002B25C4">
        <w:rPr>
          <w:rFonts w:ascii="Times New Roman" w:eastAsia="Times New Roman" w:hAnsi="Times New Roman" w:cs="Times New Roman"/>
        </w:rPr>
        <w:t>There is either no or an immaterial level of policyholder options permitted within the contracts</w:t>
      </w:r>
      <w:r w:rsidR="00F15CEB" w:rsidRPr="00F15CEB">
        <w:rPr>
          <w:rFonts w:ascii="Times New Roman" w:eastAsia="Times New Roman" w:hAnsi="Times New Roman" w:cs="Times New Roman"/>
        </w:rPr>
        <w:t xml:space="preserve"> that are sensitive to changes in interest rates or economic conditions</w:t>
      </w:r>
      <w:r w:rsidR="00912D51">
        <w:rPr>
          <w:rFonts w:ascii="Times New Roman" w:eastAsia="Times New Roman" w:hAnsi="Times New Roman" w:cs="Times New Roman"/>
        </w:rPr>
        <w:t>;</w:t>
      </w:r>
      <w:r w:rsidR="00912D51" w:rsidRPr="00912D51">
        <w:rPr>
          <w:rFonts w:ascii="Times New Roman" w:eastAsia="Times New Roman" w:hAnsi="Times New Roman" w:cs="Times New Roman"/>
        </w:rPr>
        <w:t xml:space="preserve"> and</w:t>
      </w:r>
    </w:p>
    <w:p w14:paraId="233F1204" w14:textId="77777777" w:rsidR="00912D51" w:rsidRPr="00912D51" w:rsidRDefault="00912D51" w:rsidP="00912D51">
      <w:pPr>
        <w:pStyle w:val="xmsolistparagraph"/>
        <w:ind w:left="0"/>
        <w:rPr>
          <w:rFonts w:ascii="Times New Roman" w:eastAsia="Times New Roman" w:hAnsi="Times New Roman" w:cs="Times New Roman"/>
        </w:rPr>
      </w:pPr>
    </w:p>
    <w:p w14:paraId="63DA6A9B" w14:textId="42215531" w:rsidR="00912D51" w:rsidRDefault="002B25C4" w:rsidP="00AD0E74">
      <w:pPr>
        <w:pStyle w:val="xmsolistparagraph"/>
        <w:numPr>
          <w:ilvl w:val="2"/>
          <w:numId w:val="10"/>
        </w:numPr>
        <w:ind w:left="2880" w:hanging="720"/>
        <w:rPr>
          <w:rFonts w:ascii="Times New Roman" w:eastAsia="Times New Roman" w:hAnsi="Times New Roman" w:cs="Times New Roman"/>
        </w:rPr>
      </w:pPr>
      <w:r w:rsidRPr="002B25C4">
        <w:rPr>
          <w:rFonts w:ascii="Times New Roman" w:eastAsia="Times New Roman" w:hAnsi="Times New Roman" w:cs="Times New Roman"/>
        </w:rPr>
        <w:t>The company has less than [$X] of Payout Annuity Exemption Reserves, and if the company is a member of an NAIC group that includes other life insurance companies, the group has combined Payout Annuity Exemption Reserves of less than [$Y] billion</w:t>
      </w:r>
      <w:r w:rsidR="00912D51" w:rsidRPr="00912D51">
        <w:rPr>
          <w:rFonts w:ascii="Times New Roman" w:eastAsia="Times New Roman" w:hAnsi="Times New Roman" w:cs="Times New Roman"/>
        </w:rPr>
        <w:t>.</w:t>
      </w:r>
    </w:p>
    <w:p w14:paraId="31D92203" w14:textId="77777777" w:rsidR="00711D7B" w:rsidRDefault="00711D7B" w:rsidP="00711D7B">
      <w:pPr>
        <w:pStyle w:val="xmsolistparagraph"/>
        <w:ind w:left="2880"/>
        <w:rPr>
          <w:rFonts w:ascii="Times New Roman" w:eastAsia="Times New Roman" w:hAnsi="Times New Roman" w:cs="Times New Roman"/>
        </w:rPr>
      </w:pPr>
      <w:bookmarkStart w:id="79" w:name="_Hlk136002251"/>
    </w:p>
    <w:p w14:paraId="13CE0741" w14:textId="411A87D1" w:rsidR="002B25C4" w:rsidRDefault="002B25C4" w:rsidP="00892D53">
      <w:pPr>
        <w:pStyle w:val="xmsolistparagraph"/>
        <w:numPr>
          <w:ilvl w:val="3"/>
          <w:numId w:val="10"/>
        </w:numPr>
        <w:ind w:left="3600" w:hanging="720"/>
        <w:rPr>
          <w:rFonts w:ascii="Times New Roman" w:eastAsia="Times New Roman" w:hAnsi="Times New Roman" w:cs="Times New Roman"/>
        </w:rPr>
      </w:pPr>
      <w:r w:rsidRPr="002B25C4">
        <w:rPr>
          <w:rFonts w:ascii="Times New Roman" w:eastAsia="Times New Roman" w:hAnsi="Times New Roman" w:cs="Times New Roman"/>
        </w:rPr>
        <w:t>Payout Annuity Exemption Reserves are determined as follows</w:t>
      </w:r>
      <w:r>
        <w:rPr>
          <w:rFonts w:ascii="Times New Roman" w:eastAsia="Times New Roman" w:hAnsi="Times New Roman" w:cs="Times New Roman"/>
        </w:rPr>
        <w:t>:</w:t>
      </w:r>
    </w:p>
    <w:p w14:paraId="71C7EC94" w14:textId="77777777" w:rsidR="002B25C4" w:rsidRDefault="002B25C4" w:rsidP="002B25C4">
      <w:pPr>
        <w:pStyle w:val="xmsolistparagraph"/>
        <w:ind w:left="2880"/>
        <w:rPr>
          <w:rFonts w:ascii="Times New Roman" w:eastAsia="Times New Roman" w:hAnsi="Times New Roman" w:cs="Times New Roman"/>
        </w:rPr>
      </w:pPr>
    </w:p>
    <w:p w14:paraId="6202B2CB" w14:textId="1DCBE699" w:rsidR="002B25C4" w:rsidRDefault="002B25C4" w:rsidP="00892D53">
      <w:pPr>
        <w:pStyle w:val="xmsolistparagraph"/>
        <w:numPr>
          <w:ilvl w:val="4"/>
          <w:numId w:val="10"/>
        </w:numPr>
        <w:ind w:left="3960"/>
        <w:rPr>
          <w:rFonts w:ascii="Times New Roman" w:eastAsia="Times New Roman" w:hAnsi="Times New Roman" w:cs="Times New Roman"/>
        </w:rPr>
      </w:pPr>
      <w:r w:rsidRPr="002B25C4">
        <w:rPr>
          <w:rFonts w:ascii="Times New Roman" w:eastAsia="Times New Roman" w:hAnsi="Times New Roman" w:cs="Times New Roman"/>
        </w:rPr>
        <w:t>The amount reported in the prior calendar year life/health annual statement, Analysis of Increase in Reserves During the Year- Individual Annuities, Column 6 (“Life Contingent Payout (Immediate and Annuitizations)”), line 15; plus</w:t>
      </w:r>
    </w:p>
    <w:p w14:paraId="325A46BC" w14:textId="77777777" w:rsidR="002B25C4" w:rsidRDefault="002B25C4" w:rsidP="00892D53">
      <w:pPr>
        <w:pStyle w:val="xmsolistparagraph"/>
        <w:ind w:left="3960" w:hanging="360"/>
        <w:rPr>
          <w:rFonts w:ascii="Times New Roman" w:eastAsia="Times New Roman" w:hAnsi="Times New Roman" w:cs="Times New Roman"/>
        </w:rPr>
      </w:pPr>
    </w:p>
    <w:p w14:paraId="7B76C7C0" w14:textId="350DC065" w:rsidR="002B25C4" w:rsidRDefault="002B25C4" w:rsidP="00892D53">
      <w:pPr>
        <w:pStyle w:val="xmsolistparagraph"/>
        <w:numPr>
          <w:ilvl w:val="4"/>
          <w:numId w:val="10"/>
        </w:numPr>
        <w:ind w:left="3960"/>
        <w:rPr>
          <w:rFonts w:ascii="Times New Roman" w:eastAsia="Times New Roman" w:hAnsi="Times New Roman" w:cs="Times New Roman"/>
        </w:rPr>
      </w:pPr>
      <w:r w:rsidRPr="002B25C4">
        <w:rPr>
          <w:rFonts w:ascii="Times New Roman" w:eastAsia="Times New Roman" w:hAnsi="Times New Roman" w:cs="Times New Roman"/>
        </w:rPr>
        <w:t>The amount reported in the prior calendar year life/health annual statement, Analysis of Increase in Reserves During the Year- Group Annuities, Column 6 (“Life Contingent Payout (Immediate and Annuitizations)”), line 15</w:t>
      </w:r>
      <w:r w:rsidR="007A0B4E">
        <w:rPr>
          <w:rFonts w:ascii="Times New Roman" w:eastAsia="Times New Roman" w:hAnsi="Times New Roman" w:cs="Times New Roman"/>
        </w:rPr>
        <w:t>; plus</w:t>
      </w:r>
    </w:p>
    <w:p w14:paraId="51D0EF62" w14:textId="77777777" w:rsidR="007A0B4E" w:rsidRDefault="007A0B4E" w:rsidP="00892D53">
      <w:pPr>
        <w:pStyle w:val="ListParagraph"/>
        <w:spacing w:after="0"/>
        <w:ind w:left="3960" w:hanging="360"/>
        <w:rPr>
          <w:rFonts w:ascii="Times New Roman" w:eastAsia="Times New Roman" w:hAnsi="Times New Roman" w:cs="Times New Roman"/>
        </w:rPr>
      </w:pPr>
    </w:p>
    <w:p w14:paraId="13D1E58F" w14:textId="007AEDB6" w:rsidR="007A0B4E" w:rsidRPr="007A0B4E" w:rsidRDefault="00D85C7B" w:rsidP="00892D53">
      <w:pPr>
        <w:pStyle w:val="xmsolistparagraph"/>
        <w:numPr>
          <w:ilvl w:val="4"/>
          <w:numId w:val="10"/>
        </w:numPr>
        <w:ind w:left="3960"/>
        <w:rPr>
          <w:rFonts w:ascii="Times New Roman" w:eastAsia="Times New Roman" w:hAnsi="Times New Roman" w:cs="Times New Roman"/>
        </w:rPr>
      </w:pPr>
      <w:r>
        <w:rPr>
          <w:rFonts w:ascii="Times New Roman" w:eastAsia="Times New Roman" w:hAnsi="Times New Roman" w:cs="Times New Roman"/>
        </w:rPr>
        <w:t>The sum of the amount reported in the prior calendar year life/health annual statement, Exhibit 7 – Deposit-Type Contracts, Column 3 (“Annuities Certain”), row 14 and Column 4 (“Supplemental Contracts”), row 14.</w:t>
      </w:r>
    </w:p>
    <w:p w14:paraId="02B377F5" w14:textId="77777777" w:rsidR="002B25C4" w:rsidRDefault="002B25C4" w:rsidP="002B25C4">
      <w:pPr>
        <w:pStyle w:val="xmsolistparagraph"/>
        <w:ind w:left="2160"/>
        <w:rPr>
          <w:rFonts w:ascii="Times New Roman" w:eastAsia="Times New Roman" w:hAnsi="Times New Roman" w:cs="Times New Roman"/>
        </w:rPr>
      </w:pPr>
    </w:p>
    <w:bookmarkEnd w:id="79"/>
    <w:p w14:paraId="04CD9B8D" w14:textId="11A85AE3" w:rsidR="002B25C4" w:rsidRDefault="002B25C4" w:rsidP="002B25C4">
      <w:pPr>
        <w:pStyle w:val="xmsolistparagraph"/>
        <w:numPr>
          <w:ilvl w:val="2"/>
          <w:numId w:val="10"/>
        </w:numPr>
        <w:rPr>
          <w:rFonts w:ascii="Times New Roman" w:eastAsia="Times New Roman" w:hAnsi="Times New Roman" w:cs="Times New Roman"/>
        </w:rPr>
      </w:pPr>
      <w:r w:rsidRPr="002B25C4">
        <w:rPr>
          <w:rFonts w:ascii="Times New Roman" w:eastAsia="Times New Roman" w:hAnsi="Times New Roman" w:cs="Times New Roman"/>
        </w:rPr>
        <w:t>A company shall file a statement of exemption certifying compliance with conditions (i) through (v) above prior to July 1 of the associated valuation year. The domiciliary commissioner may reject such statement prior to Sept. 1.</w:t>
      </w:r>
    </w:p>
    <w:p w14:paraId="481468A6" w14:textId="77777777" w:rsidR="002B25C4" w:rsidRDefault="002B25C4" w:rsidP="002B25C4">
      <w:pPr>
        <w:pStyle w:val="xmsolistparagraph"/>
        <w:ind w:left="2160"/>
        <w:rPr>
          <w:rFonts w:ascii="Times New Roman" w:eastAsia="Times New Roman" w:hAnsi="Times New Roman" w:cs="Times New Roman"/>
        </w:rPr>
      </w:pPr>
    </w:p>
    <w:p w14:paraId="1161AD9A" w14:textId="34C86657" w:rsidR="002B25C4" w:rsidRPr="00912D51" w:rsidRDefault="002B25C4" w:rsidP="002B25C4">
      <w:pPr>
        <w:pStyle w:val="xmsolistparagraph"/>
        <w:numPr>
          <w:ilvl w:val="2"/>
          <w:numId w:val="10"/>
        </w:numPr>
        <w:rPr>
          <w:rFonts w:ascii="Times New Roman" w:eastAsia="Times New Roman" w:hAnsi="Times New Roman" w:cs="Times New Roman"/>
        </w:rPr>
      </w:pPr>
      <w:r w:rsidRPr="002B25C4">
        <w:rPr>
          <w:rFonts w:ascii="Times New Roman" w:eastAsia="Times New Roman" w:hAnsi="Times New Roman" w:cs="Times New Roman"/>
        </w:rPr>
        <w:t xml:space="preserve">If a group of contracts that satisfies the criteria of 7.A.1.d.i to 7.A.1.d.v above for the current valuation year had been valued using the DR or SR of VM-22 for the prior year-end, the company must continue to value the contracts under the DR or </w:t>
      </w:r>
      <w:r w:rsidRPr="002B25C4">
        <w:rPr>
          <w:rFonts w:ascii="Times New Roman" w:eastAsia="Times New Roman" w:hAnsi="Times New Roman" w:cs="Times New Roman"/>
        </w:rPr>
        <w:lastRenderedPageBreak/>
        <w:t>SR requirements of VM-22 unless the domiciliary commissioner grants permission to value the contracts under VM-A, VM-C, and VM-V.</w:t>
      </w:r>
    </w:p>
    <w:p w14:paraId="62878CDF" w14:textId="77777777" w:rsidR="00912D51" w:rsidRPr="00912D51" w:rsidRDefault="00912D51" w:rsidP="00912D51">
      <w:pPr>
        <w:pStyle w:val="xmsolistparagraph"/>
        <w:rPr>
          <w:rFonts w:eastAsia="Times New Roman"/>
        </w:rPr>
      </w:pPr>
    </w:p>
    <w:p w14:paraId="5C7587CB" w14:textId="42E32E96" w:rsidR="001904F3" w:rsidRPr="009D26DB" w:rsidRDefault="00BD4A3E" w:rsidP="00AD0E74">
      <w:pPr>
        <w:pStyle w:val="Heading2"/>
        <w:numPr>
          <w:ilvl w:val="0"/>
          <w:numId w:val="89"/>
        </w:numPr>
        <w:rPr>
          <w:sz w:val="22"/>
          <w:szCs w:val="22"/>
        </w:rPr>
      </w:pPr>
      <w:bookmarkStart w:id="80" w:name="_Toc77242153"/>
      <w:bookmarkStart w:id="81" w:name="_Toc137649799"/>
      <w:r>
        <w:rPr>
          <w:sz w:val="22"/>
          <w:szCs w:val="22"/>
        </w:rPr>
        <w:t>Requirement to Pass the</w:t>
      </w:r>
      <w:r w:rsidR="001904F3" w:rsidRPr="009D26DB">
        <w:rPr>
          <w:sz w:val="22"/>
          <w:szCs w:val="22"/>
        </w:rPr>
        <w:t xml:space="preserve"> Stochastic Exclusion Tests</w:t>
      </w:r>
      <w:bookmarkEnd w:id="80"/>
      <w:bookmarkEnd w:id="81"/>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252CC2D6" w:rsidR="008858A9" w:rsidRPr="00FD4E7D" w:rsidRDefault="008858A9" w:rsidP="00AD0E74">
      <w:pPr>
        <w:numPr>
          <w:ilvl w:val="0"/>
          <w:numId w:val="32"/>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8A4067">
        <w:rPr>
          <w:rFonts w:ascii="Times New Roman" w:hAnsi="Times New Roman" w:cs="Times New Roman"/>
        </w:rPr>
        <w:t>—</w:t>
      </w:r>
      <w:r w:rsidRPr="00FD4E7D">
        <w:rPr>
          <w:rFonts w:ascii="Times New Roman" w:hAnsi="Times New Roman" w:cs="Times New Roman"/>
        </w:rPr>
        <w:t xml:space="preserve">For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1A95E644" w:rsid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r w:rsidR="00FA04ED" w:rsidRPr="00903AB6">
        <w:rPr>
          <w:rFonts w:ascii="Times New Roman" w:hAnsi="Times New Roman" w:cs="Times New Roman"/>
        </w:rPr>
        <w:t>contracts</w:t>
      </w:r>
      <w:r w:rsidRPr="00903AB6">
        <w:rPr>
          <w:rFonts w:ascii="Times New Roman" w:hAnsi="Times New Roman" w:cs="Times New Roman"/>
        </w:rPr>
        <w:t xml:space="preserve"> passed the SERT within 36 months prior to the valuation date and the company has not had a material change in its </w:t>
      </w:r>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 xml:space="preserve">mortality and/or </w:t>
      </w:r>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903AB6"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the company’s longevity risk,</w:t>
      </w:r>
      <w:r w:rsidRPr="00903AB6">
        <w:rPr>
          <w:rFonts w:ascii="Times New Roman" w:hAnsi="Times New Roman" w:cs="Times New Roman"/>
        </w:rPr>
        <w:t xml:space="preserve"> and the company’s investment strategy.</w:t>
      </w:r>
    </w:p>
    <w:p w14:paraId="69FAB33F" w14:textId="478EFB83" w:rsidR="00CC724D" w:rsidRDefault="00CC724D" w:rsidP="00AD0E74">
      <w:pPr>
        <w:pStyle w:val="Heading2"/>
        <w:numPr>
          <w:ilvl w:val="0"/>
          <w:numId w:val="89"/>
        </w:numPr>
        <w:rPr>
          <w:sz w:val="22"/>
          <w:szCs w:val="22"/>
        </w:rPr>
      </w:pPr>
      <w:bookmarkStart w:id="82" w:name="_Toc77242154"/>
      <w:bookmarkStart w:id="83" w:name="_Toc137649800"/>
      <w:r>
        <w:rPr>
          <w:sz w:val="22"/>
          <w:szCs w:val="22"/>
        </w:rPr>
        <w:lastRenderedPageBreak/>
        <w:t xml:space="preserve">Stochastic Exclusion </w:t>
      </w:r>
      <w:r w:rsidR="00EA60BE">
        <w:rPr>
          <w:sz w:val="22"/>
          <w:szCs w:val="22"/>
        </w:rPr>
        <w:t xml:space="preserve">Ratio </w:t>
      </w:r>
      <w:r>
        <w:rPr>
          <w:sz w:val="22"/>
          <w:szCs w:val="22"/>
        </w:rPr>
        <w:t>Test</w:t>
      </w:r>
      <w:bookmarkEnd w:id="82"/>
      <w:bookmarkEnd w:id="83"/>
    </w:p>
    <w:p w14:paraId="48BEA61A" w14:textId="77777777" w:rsidR="0040376D" w:rsidRPr="0040376D" w:rsidRDefault="0040376D" w:rsidP="0040376D">
      <w:pPr>
        <w:spacing w:after="0"/>
      </w:pPr>
    </w:p>
    <w:p w14:paraId="2FB0E135" w14:textId="6FFE2F4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r w:rsidR="008858A9" w:rsidRPr="00FD4E7D">
        <w:rPr>
          <w:rFonts w:ascii="Times New Roman" w:eastAsia="Times New Roman" w:hAnsi="Times New Roman" w:cs="Times New Roman"/>
          <w:highlight w:val="yellow"/>
        </w:rPr>
        <w:t>[x]</w:t>
      </w:r>
      <w:r w:rsidR="008858A9" w:rsidRPr="00FD4E7D">
        <w:rPr>
          <w:rFonts w:ascii="Times New Roman" w:eastAsia="Times New Roman" w:hAnsi="Times New Roman" w:cs="Times New Roman"/>
        </w:rPr>
        <w:t>%</w:t>
      </w:r>
      <w:r w:rsidR="008858A9" w:rsidRPr="00FD4E7D">
        <w:rPr>
          <w:rFonts w:ascii="Times New Roman" w:hAnsi="Times New Roman" w:cs="Times New Roman"/>
        </w:rPr>
        <w:t xml:space="preserve"> </w:t>
      </w:r>
      <w:r w:rsidR="00E43083">
        <w:rPr>
          <w:rFonts w:ascii="Times New Roman" w:hAnsi="Times New Roman" w:cs="Times New Roman"/>
        </w:rPr>
        <w:t xml:space="preserve">and the percentage change that would trigger the company’s materiality standard, </w:t>
      </w:r>
      <w:r w:rsidR="008858A9" w:rsidRPr="00FD4E7D">
        <w:rPr>
          <w:rFonts w:ascii="Times New Roman" w:hAnsi="Times New Roman" w:cs="Times New Roman"/>
        </w:rPr>
        <w:t>where:</w:t>
      </w:r>
    </w:p>
    <w:p w14:paraId="2FBC7EBA" w14:textId="00C0AF13"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 = the adjusted </w:t>
      </w:r>
      <w:r w:rsidR="008858A9" w:rsidRPr="00FD4E7D">
        <w:rPr>
          <w:rFonts w:ascii="Times New Roman" w:eastAsia="Times New Roman" w:hAnsi="Times New Roman" w:cs="Times New Roman"/>
        </w:rPr>
        <w:t xml:space="preserve">scenario </w:t>
      </w:r>
      <w:r w:rsidR="008858A9" w:rsidRPr="00FD4E7D">
        <w:rPr>
          <w:rFonts w:ascii="Times New Roman" w:hAnsi="Times New Roman" w:cs="Times New Roman"/>
        </w:rPr>
        <w:t xml:space="preserve">reserve described in </w:t>
      </w:r>
      <w:r w:rsidR="00105E20">
        <w:rPr>
          <w:rFonts w:ascii="Times New Roman" w:hAnsi="Times New Roman" w:cs="Times New Roman"/>
        </w:rPr>
        <w:t>Section</w:t>
      </w:r>
      <w:r w:rsidR="008858A9" w:rsidRPr="00FD4E7D">
        <w:rPr>
          <w:rFonts w:ascii="Times New Roman" w:eastAsia="Times New Roman" w:hAnsi="Times New Roman" w:cs="Times New Roman"/>
        </w:rPr>
        <w:t xml:space="preserve"> </w:t>
      </w:r>
      <w:r w:rsidR="00EC0628">
        <w:rPr>
          <w:rFonts w:ascii="Times New Roman" w:eastAsia="Times New Roman" w:hAnsi="Times New Roman" w:cs="Times New Roman"/>
        </w:rPr>
        <w:t>7.</w:t>
      </w:r>
      <w:r w:rsidR="00453389">
        <w:rPr>
          <w:rFonts w:ascii="Times New Roman" w:hAnsi="Times New Roman" w:cs="Times New Roman"/>
        </w:rPr>
        <w:t>C</w:t>
      </w:r>
      <w:r w:rsidR="00677CA2">
        <w:rPr>
          <w:rFonts w:ascii="Times New Roman" w:hAnsi="Times New Roman" w:cs="Times New Roman"/>
        </w:rPr>
        <w:t>.</w:t>
      </w:r>
      <w:r w:rsidR="00453389">
        <w:rPr>
          <w:rFonts w:ascii="Times New Roman" w:eastAsia="Times New Roman" w:hAnsi="Times New Roman" w:cs="Times New Roman"/>
        </w:rPr>
        <w:t>2</w:t>
      </w:r>
      <w:r w:rsidR="001F7068">
        <w:rPr>
          <w:rFonts w:ascii="Times New Roman" w:eastAsia="Times New Roman" w:hAnsi="Times New Roman" w:cs="Times New Roman"/>
        </w:rPr>
        <w:t>.</w:t>
      </w:r>
      <w:r w:rsidR="00453389">
        <w:rPr>
          <w:rFonts w:ascii="Times New Roman" w:eastAsia="Times New Roman" w:hAnsi="Times New Roman" w:cs="Times New Roman"/>
        </w:rPr>
        <w:t>a</w:t>
      </w:r>
      <w:r w:rsidR="008858A9" w:rsidRPr="00FD4E7D">
        <w:rPr>
          <w:rFonts w:ascii="Times New Roman" w:eastAsia="Times New Roman" w:hAnsi="Times New Roman" w:cs="Times New Roman"/>
        </w:rPr>
        <w:t xml:space="preserve"> below</w:t>
      </w:r>
      <w:r w:rsidR="008858A9" w:rsidRPr="00FD4E7D">
        <w:rPr>
          <w:rFonts w:ascii="Times New Roman" w:hAnsi="Times New Roman" w:cs="Times New Roman"/>
        </w:rPr>
        <w:t xml:space="preserve"> using </w:t>
      </w:r>
      <w:r w:rsidR="00105E20">
        <w:rPr>
          <w:rFonts w:ascii="Times New Roman" w:hAnsi="Times New Roman" w:cs="Times New Roman"/>
        </w:rPr>
        <w:t xml:space="preserve">the baseline </w:t>
      </w:r>
      <w:r w:rsidR="008858A9" w:rsidRPr="00FD4E7D">
        <w:rPr>
          <w:rFonts w:ascii="Times New Roman" w:hAnsi="Times New Roman" w:cs="Times New Roman"/>
        </w:rPr>
        <w:t xml:space="preserve">economic </w:t>
      </w:r>
      <w:r w:rsidR="00105E20">
        <w:rPr>
          <w:rFonts w:ascii="Times New Roman" w:hAnsi="Times New Roman" w:cs="Times New Roman"/>
        </w:rPr>
        <w:t>scenario (“</w:t>
      </w:r>
      <w:r w:rsidR="008858A9" w:rsidRPr="00FD4E7D">
        <w:rPr>
          <w:rFonts w:ascii="Times New Roman" w:hAnsi="Times New Roman" w:cs="Times New Roman"/>
        </w:rPr>
        <w:t>scenario 9</w:t>
      </w:r>
      <w:r w:rsidR="00105E20">
        <w:rPr>
          <w:rFonts w:ascii="Times New Roman" w:hAnsi="Times New Roman" w:cs="Times New Roman"/>
        </w:rPr>
        <w:t>), as described in Appendix 1.E of VM-20,</w:t>
      </w:r>
      <w:r w:rsidR="00CE6153">
        <w:rPr>
          <w:rFonts w:ascii="Times New Roman" w:hAnsi="Times New Roman" w:cs="Times New Roman"/>
        </w:rPr>
        <w:t xml:space="preserve"> and</w:t>
      </w:r>
      <w:r w:rsidR="00CE6153">
        <w:rPr>
          <w:rFonts w:ascii="Times New Roman" w:eastAsia="Times New Roman" w:hAnsi="Times New Roman" w:cs="Times New Roman"/>
        </w:rPr>
        <w:t xml:space="preserve"> 100% as the adjustment factor for mortality</w:t>
      </w:r>
      <w:r w:rsidR="008858A9" w:rsidRPr="00FD4E7D">
        <w:rPr>
          <w:rFonts w:ascii="Times New Roman" w:hAnsi="Times New Roman" w:cs="Times New Roman"/>
        </w:rPr>
        <w:t>.</w:t>
      </w:r>
    </w:p>
    <w:p w14:paraId="1DF079B0" w14:textId="77777777" w:rsidR="005B7BB7" w:rsidRDefault="007F724B"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 xml:space="preserve">b = the largest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described in </w:t>
      </w:r>
      <w:r w:rsidR="00105E20">
        <w:rPr>
          <w:rFonts w:ascii="Times New Roman" w:hAnsi="Times New Roman" w:cs="Times New Roman"/>
        </w:rPr>
        <w:t>Section</w:t>
      </w:r>
      <w:r w:rsidR="008858A9" w:rsidRPr="00FD4E7D">
        <w:rPr>
          <w:rFonts w:ascii="Times New Roman" w:eastAsia="Times New Roman" w:hAnsi="Times New Roman" w:cs="Times New Roman"/>
        </w:rPr>
        <w:t xml:space="preserve"> </w:t>
      </w:r>
      <w:r w:rsidR="00EC0628">
        <w:rPr>
          <w:rFonts w:ascii="Times New Roman" w:eastAsia="Times New Roman" w:hAnsi="Times New Roman" w:cs="Times New Roman"/>
        </w:rPr>
        <w:t>7.</w:t>
      </w:r>
      <w:r w:rsidR="00971F41">
        <w:rPr>
          <w:rFonts w:ascii="Times New Roman" w:eastAsia="Times New Roman" w:hAnsi="Times New Roman" w:cs="Times New Roman"/>
        </w:rPr>
        <w:t>C.</w:t>
      </w:r>
      <w:r w:rsidR="00677CA2">
        <w:rPr>
          <w:rFonts w:ascii="Times New Roman" w:eastAsia="Times New Roman" w:hAnsi="Times New Roman" w:cs="Times New Roman"/>
        </w:rPr>
        <w:t>2.</w:t>
      </w:r>
      <w:r w:rsidR="00CE6153">
        <w:rPr>
          <w:rFonts w:ascii="Times New Roman" w:eastAsia="Times New Roman" w:hAnsi="Times New Roman" w:cs="Times New Roman"/>
        </w:rPr>
        <w:t>a</w:t>
      </w:r>
      <w:r w:rsidR="008858A9" w:rsidRPr="00FD4E7D">
        <w:rPr>
          <w:rFonts w:ascii="Times New Roman" w:eastAsia="Times New Roman" w:hAnsi="Times New Roman" w:cs="Times New Roman"/>
        </w:rPr>
        <w:t xml:space="preserve"> below</w:t>
      </w:r>
      <w:r w:rsidR="008858A9" w:rsidRPr="00FD4E7D">
        <w:rPr>
          <w:rFonts w:ascii="Times New Roman" w:hAnsi="Times New Roman" w:cs="Times New Roman"/>
        </w:rPr>
        <w:t xml:space="preserve"> under any of the </w:t>
      </w:r>
      <w:r w:rsidR="008858A9" w:rsidRPr="00FD4E7D">
        <w:rPr>
          <w:rFonts w:ascii="Times New Roman" w:eastAsia="Times New Roman" w:hAnsi="Times New Roman" w:cs="Times New Roman"/>
        </w:rPr>
        <w:t>1</w:t>
      </w:r>
      <w:r w:rsidR="00E43083">
        <w:rPr>
          <w:rFonts w:ascii="Times New Roman" w:eastAsia="Times New Roman" w:hAnsi="Times New Roman" w:cs="Times New Roman"/>
        </w:rPr>
        <w:t>6</w:t>
      </w:r>
      <w:r w:rsidR="008858A9" w:rsidRPr="00FD4E7D">
        <w:rPr>
          <w:rFonts w:ascii="Times New Roman" w:hAnsi="Times New Roman" w:cs="Times New Roman"/>
        </w:rPr>
        <w:t xml:space="preserve"> economic scenarios described in Appendix 1.E</w:t>
      </w:r>
      <w:r w:rsidR="00971F41" w:rsidRPr="00FD4E7D">
        <w:rPr>
          <w:rFonts w:ascii="Times New Roman" w:eastAsia="Times New Roman" w:hAnsi="Times New Roman" w:cs="Times New Roman"/>
        </w:rPr>
        <w:t xml:space="preserve"> of VM-20 under </w:t>
      </w:r>
      <w:r w:rsidR="00971F41" w:rsidRPr="00FD4E7D">
        <w:rPr>
          <w:rFonts w:ascii="Times New Roman" w:eastAsia="Times New Roman" w:hAnsi="Times New Roman" w:cs="Times New Roman"/>
          <w:highlight w:val="yellow"/>
        </w:rPr>
        <w:t>[95]</w:t>
      </w:r>
      <w:r w:rsidR="00971F41" w:rsidRPr="00FD4E7D">
        <w:rPr>
          <w:rFonts w:ascii="Times New Roman" w:eastAsia="Times New Roman" w:hAnsi="Times New Roman" w:cs="Times New Roman"/>
        </w:rPr>
        <w:t>%</w:t>
      </w:r>
      <w:r w:rsidR="00E43083">
        <w:rPr>
          <w:rFonts w:ascii="Times New Roman" w:eastAsia="Times New Roman" w:hAnsi="Times New Roman" w:cs="Times New Roman"/>
        </w:rPr>
        <w:t>, 100%, and</w:t>
      </w:r>
      <w:r w:rsidR="00971F41" w:rsidRPr="002514EA">
        <w:rPr>
          <w:rFonts w:ascii="Times New Roman" w:hAnsi="Times New Roman"/>
        </w:rPr>
        <w:t xml:space="preserve"> </w:t>
      </w:r>
      <w:r w:rsidR="00971F41" w:rsidRPr="00FD4E7D">
        <w:rPr>
          <w:rFonts w:ascii="Times New Roman" w:eastAsia="Times New Roman" w:hAnsi="Times New Roman" w:cs="Times New Roman"/>
          <w:highlight w:val="yellow"/>
        </w:rPr>
        <w:t>[105]</w:t>
      </w:r>
      <w:r w:rsidR="00971F41" w:rsidRPr="00FD4E7D">
        <w:rPr>
          <w:rFonts w:ascii="Times New Roman" w:eastAsia="Times New Roman" w:hAnsi="Times New Roman" w:cs="Times New Roman"/>
        </w:rPr>
        <w:t>%</w:t>
      </w:r>
      <w:r w:rsidR="00971F41" w:rsidRPr="00FD4E7D">
        <w:rPr>
          <w:rFonts w:ascii="Times New Roman" w:hAnsi="Times New Roman" w:cs="Times New Roman"/>
        </w:rPr>
        <w:t xml:space="preserve"> of</w:t>
      </w:r>
      <w:r w:rsidR="00971F41" w:rsidRPr="00971F41">
        <w:rPr>
          <w:rFonts w:ascii="Times New Roman" w:eastAsia="Times New Roman" w:hAnsi="Times New Roman" w:cs="Times New Roman"/>
        </w:rPr>
        <w:t xml:space="preserve"> </w:t>
      </w:r>
      <w:r w:rsidR="00971F41" w:rsidRPr="00FD4E7D">
        <w:rPr>
          <w:rFonts w:ascii="Times New Roman" w:eastAsia="Times New Roman" w:hAnsi="Times New Roman" w:cs="Times New Roman"/>
        </w:rPr>
        <w:t>anticipated experience mortality excluding margins</w:t>
      </w:r>
      <w:r w:rsidR="008858A9" w:rsidRPr="00FD4E7D">
        <w:rPr>
          <w:rFonts w:ascii="Times New Roman" w:eastAsia="Times New Roman" w:hAnsi="Times New Roman" w:cs="Times New Roman"/>
        </w:rPr>
        <w:t>.</w:t>
      </w:r>
      <w:r w:rsidR="00225534">
        <w:rPr>
          <w:rFonts w:ascii="Times New Roman" w:eastAsia="Times New Roman" w:hAnsi="Times New Roman" w:cs="Times New Roman"/>
        </w:rPr>
        <w:t xml:space="preserve"> </w:t>
      </w:r>
      <w:r w:rsidR="00225534">
        <w:rPr>
          <w:rFonts w:ascii="Times New Roman" w:hAnsi="Times New Roman" w:cs="Times New Roman"/>
        </w:rPr>
        <w:t xml:space="preserve">Because mortality variability may differ by company, if the magnitude of the company’s margin for mortality exceeds 5%, then the company shall use the baseline mortality and the mortality augmented by plus and minus the company’s margin for this exercise. </w:t>
      </w:r>
    </w:p>
    <w:p w14:paraId="2ADB6B63" w14:textId="5FD6851B"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100% as the adjustment factor for mortality,</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7456B55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100% as the adjustment factor for mortality</w:t>
      </w:r>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AD0E74">
      <w:pPr>
        <w:pStyle w:val="ListParagraph"/>
        <w:widowControl w:val="0"/>
        <w:numPr>
          <w:ilvl w:val="4"/>
          <w:numId w:val="29"/>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5859E861" w:rsidR="008858A9" w:rsidRPr="00FD4E7D" w:rsidRDefault="008858A9" w:rsidP="00AD0E74">
      <w:pPr>
        <w:pStyle w:val="ListParagraph"/>
        <w:widowControl w:val="0"/>
        <w:numPr>
          <w:ilvl w:val="0"/>
          <w:numId w:val="30"/>
        </w:numPr>
        <w:spacing w:after="220" w:line="240" w:lineRule="auto"/>
        <w:ind w:left="2520"/>
        <w:contextualSpacing w:val="0"/>
        <w:rPr>
          <w:rFonts w:ascii="Times New Roman" w:hAnsi="Times New Roman" w:cs="Times New Roman"/>
        </w:rPr>
      </w:pPr>
      <w:r w:rsidRPr="00FD4E7D">
        <w:rPr>
          <w:rFonts w:ascii="Times New Roman" w:hAnsi="Times New Roman" w:cs="Times New Roman"/>
        </w:rPr>
        <w:lastRenderedPageBreak/>
        <w:t>Using anticipated experience assumptions with no margins</w:t>
      </w:r>
      <w:r w:rsidRPr="00FD4E7D">
        <w:rPr>
          <w:rFonts w:ascii="Times New Roman" w:eastAsia="Times New Roman" w:hAnsi="Times New Roman" w:cs="Times New Roman"/>
        </w:rPr>
        <w:t xml:space="preserve">, with the exception of mortality </w:t>
      </w:r>
      <w:r w:rsidR="00B522A2">
        <w:rPr>
          <w:rFonts w:ascii="Times New Roman" w:eastAsia="Times New Roman" w:hAnsi="Times New Roman" w:cs="Times New Roman"/>
        </w:rPr>
        <w:t>factor</w:t>
      </w:r>
      <w:r w:rsidRPr="00FD4E7D">
        <w:rPr>
          <w:rFonts w:ascii="Times New Roman" w:eastAsia="Times New Roman" w:hAnsi="Times New Roman" w:cs="Times New Roman"/>
        </w:rPr>
        <w:t xml:space="preserve">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Pr="00FD4E7D">
        <w:rPr>
          <w:rFonts w:ascii="Times New Roman" w:eastAsia="Times New Roman" w:hAnsi="Times New Roman" w:cs="Times New Roman"/>
        </w:rPr>
        <w:t xml:space="preserve"> of this section</w:t>
      </w:r>
      <w:r w:rsidRPr="00FD4E7D">
        <w:rPr>
          <w:rFonts w:ascii="Times New Roman" w:hAnsi="Times New Roman" w:cs="Times New Roman"/>
        </w:rPr>
        <w:t>.</w:t>
      </w:r>
    </w:p>
    <w:p w14:paraId="596C66CA" w14:textId="77777777"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2D59A26B"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p>
    <w:p w14:paraId="73D2D228" w14:textId="77777777" w:rsidR="008858A9" w:rsidRPr="00FD4E7D" w:rsidRDefault="008858A9" w:rsidP="00AD0E74">
      <w:pPr>
        <w:numPr>
          <w:ilvl w:val="0"/>
          <w:numId w:val="30"/>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Pr="00FD4E7D"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67C74A88" w14:textId="07513094"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1CF384F7"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pre-reinsurance-ceded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61E7EFC4" w:rsidR="008858A9"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section is less than </w:t>
      </w:r>
      <w:r w:rsidR="008858A9" w:rsidRPr="00FD4E7D">
        <w:rPr>
          <w:rFonts w:ascii="Times New Roman" w:hAnsi="Times New Roman" w:cs="Times New Roman"/>
          <w:highlight w:val="yellow"/>
        </w:rPr>
        <w:t>[x]</w:t>
      </w:r>
      <w:r w:rsidR="008858A9" w:rsidRPr="00FD4E7D">
        <w:rPr>
          <w:rFonts w:ascii="Times New Roman" w:hAnsi="Times New Roman" w:cs="Times New Roman"/>
        </w:rPr>
        <w:t xml:space="preserve">% pre-non-proportional reinsurance, but is greater than </w:t>
      </w:r>
      <w:r w:rsidR="008858A9" w:rsidRPr="00FD4E7D">
        <w:rPr>
          <w:rFonts w:ascii="Times New Roman" w:hAnsi="Times New Roman" w:cs="Times New Roman"/>
          <w:highlight w:val="yellow"/>
        </w:rPr>
        <w:t>[x]</w:t>
      </w:r>
      <w:r w:rsidR="008858A9" w:rsidRPr="00FD4E7D">
        <w:rPr>
          <w:rFonts w:ascii="Times New Roman" w:hAnsi="Times New Roman" w:cs="Times New Roman"/>
        </w:rPr>
        <w:t xml:space="preserve">% post-non-proportional reinsurance, the group of </w:t>
      </w:r>
      <w:r w:rsidR="00FA04ED">
        <w:rPr>
          <w:rFonts w:ascii="Times New Roman" w:hAnsi="Times New Roman" w:cs="Times New Roman"/>
        </w:rPr>
        <w:t>contracts</w:t>
      </w:r>
      <w:r w:rsidR="008858A9" w:rsidRPr="00FD4E7D">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FD4E7D"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9136BD">
        <w:rPr>
          <w:rFonts w:ascii="Times New Roman" w:hAnsi="Times New Roman" w:cs="Times New Roman"/>
          <w:b/>
          <w:bCs/>
        </w:rPr>
        <w:lastRenderedPageBreak/>
        <w:t>Guidance Note:</w:t>
      </w:r>
      <w:r>
        <w:rPr>
          <w:rFonts w:ascii="Times New Roman" w:hAnsi="Times New Roman" w:cs="Times New Roman"/>
        </w:rPr>
        <w:t xml:space="preserve"> Further description of non-proportional reinsurance is provided in Paragraph 16 of SSAP 61R</w:t>
      </w:r>
      <w:r w:rsidR="006832C7">
        <w:rPr>
          <w:rFonts w:ascii="Times New Roman" w:hAnsi="Times New Roman" w:cs="Times New Roman"/>
        </w:rPr>
        <w:t>.</w:t>
      </w:r>
    </w:p>
    <w:p w14:paraId="48EB1A47" w14:textId="276EEAAF"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An example of an acceptable demonstration: </w:t>
      </w:r>
    </w:p>
    <w:p w14:paraId="7E5BF626" w14:textId="4A791034"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w:t>
      </w:r>
      <w:r w:rsidR="008858A9" w:rsidRPr="00FD4E7D">
        <w:rPr>
          <w:rFonts w:ascii="Times New Roman" w:hAnsi="Times New Roman" w:cs="Times New Roman"/>
        </w:rPr>
        <w:tab/>
        <w:t>For convenience in notation • SERT = the ratio (b–a)/</w:t>
      </w:r>
      <w:r w:rsidR="005B7BB7">
        <w:rPr>
          <w:rFonts w:ascii="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defined in </w:t>
      </w:r>
      <w:r w:rsidR="00C23763">
        <w:rPr>
          <w:rFonts w:ascii="Times New Roman" w:hAnsi="Times New Roman" w:cs="Times New Roman"/>
        </w:rPr>
        <w:t>Section 7</w:t>
      </w:r>
      <w:r w:rsidR="001F7068">
        <w:rPr>
          <w:rFonts w:ascii="Times New Roman" w:hAnsi="Times New Roman" w:cs="Times New Roman"/>
        </w:rPr>
        <w:t>.</w:t>
      </w:r>
      <w:r w:rsidR="00C23763">
        <w:rPr>
          <w:rFonts w:ascii="Times New Roman" w:hAnsi="Times New Roman" w:cs="Times New Roman"/>
        </w:rPr>
        <w:t>C</w:t>
      </w:r>
      <w:r w:rsidR="001F7068">
        <w:rPr>
          <w:rFonts w:ascii="Times New Roman" w:hAnsi="Times New Roman" w:cs="Times New Roman"/>
        </w:rPr>
        <w:t>.</w:t>
      </w:r>
      <w:r w:rsidR="00C23763">
        <w:rPr>
          <w:rFonts w:ascii="Times New Roman" w:hAnsi="Times New Roman" w:cs="Times New Roman"/>
        </w:rPr>
        <w:t>1</w:t>
      </w:r>
      <w:r w:rsidR="008858A9" w:rsidRPr="00FD4E7D">
        <w:rPr>
          <w:rFonts w:ascii="Times New Roman" w:hAnsi="Times New Roman" w:cs="Times New Roman"/>
        </w:rPr>
        <w:t xml:space="preserve"> above </w:t>
      </w:r>
    </w:p>
    <w:p w14:paraId="28FF0046" w14:textId="4FEC9F93"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The pre-non-proportional reinsurance results are “gross of non-proportional,” with a subscript “gn,” so denoted SERT</w:t>
      </w:r>
      <w:r w:rsidR="008858A9" w:rsidRPr="00FD4E7D">
        <w:rPr>
          <w:rFonts w:ascii="Times New Roman" w:hAnsi="Times New Roman" w:cs="Times New Roman"/>
          <w:vertAlign w:val="subscript"/>
        </w:rPr>
        <w:t>gn</w:t>
      </w:r>
      <w:r w:rsidR="008858A9" w:rsidRPr="00FD4E7D">
        <w:rPr>
          <w:rFonts w:ascii="Times New Roman" w:hAnsi="Times New Roman" w:cs="Times New Roman"/>
        </w:rPr>
        <w:t xml:space="preserve"> </w:t>
      </w:r>
    </w:p>
    <w:p w14:paraId="59BA49A1" w14:textId="0B1AA458" w:rsidR="008858A9" w:rsidRPr="00FD4E7D" w:rsidRDefault="00C53BC7" w:rsidP="008858A9">
      <w:pPr>
        <w:autoSpaceDE w:val="0"/>
        <w:autoSpaceDN w:val="0"/>
        <w:adjustRightInd w:val="0"/>
        <w:spacing w:after="220"/>
        <w:ind w:left="252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The post-non-proportional results are “net of non-proportional,” with subscript “nn,” so denoted SERT</w:t>
      </w:r>
      <w:r w:rsidR="008858A9" w:rsidRPr="00FD4E7D">
        <w:rPr>
          <w:rFonts w:ascii="Times New Roman" w:hAnsi="Times New Roman" w:cs="Times New Roman"/>
          <w:vertAlign w:val="subscript"/>
        </w:rPr>
        <w:t>nn</w:t>
      </w:r>
      <w:r w:rsidR="008858A9" w:rsidRPr="00FD4E7D">
        <w:rPr>
          <w:rFonts w:ascii="Times New Roman" w:hAnsi="Times New Roman" w:cs="Times New Roman"/>
        </w:rPr>
        <w:t xml:space="preserve"> </w:t>
      </w:r>
    </w:p>
    <w:p w14:paraId="5AA79B46" w14:textId="7E6583FB"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If a block of business being tested is subject to one or more non-proportional reinsurance cessions as well as other forms of reinsurance, such as pro</w:t>
      </w:r>
      <w:r w:rsidR="000819C9">
        <w:rPr>
          <w:rFonts w:ascii="Times New Roman" w:hAnsi="Times New Roman" w:cs="Times New Roman"/>
        </w:rPr>
        <w:t xml:space="preserve"> </w:t>
      </w:r>
      <w:r w:rsidR="008858A9" w:rsidRPr="00FD4E7D">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FD4E7D">
        <w:rPr>
          <w:rFonts w:ascii="Times New Roman" w:hAnsi="Times New Roman" w:cs="Times New Roman"/>
          <w:i/>
        </w:rPr>
        <w:t xml:space="preserve">all </w:t>
      </w:r>
      <w:r w:rsidR="008858A9" w:rsidRPr="00FD4E7D">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21FEBB15" w:rsidR="008858A9" w:rsidRPr="00FD4E7D" w:rsidRDefault="00C53BC7" w:rsidP="008858A9">
      <w:pPr>
        <w:autoSpaceDE w:val="0"/>
        <w:autoSpaceDN w:val="0"/>
        <w:adjustRightInd w:val="0"/>
        <w:spacing w:after="220"/>
        <w:ind w:left="2160" w:hanging="360"/>
        <w:rPr>
          <w:rFonts w:ascii="Times New Roman" w:hAnsi="Times New Roman" w:cs="Times New Roman"/>
        </w:rPr>
      </w:pPr>
      <w:r w:rsidRPr="00FD4E7D">
        <w:rPr>
          <w:rFonts w:ascii="Times New Roman" w:hAnsi="Times New Roman" w:cs="Times New Roman"/>
        </w:rPr>
        <w:t>iii.</w:t>
      </w:r>
      <w:r w:rsidR="008858A9" w:rsidRPr="00FD4E7D">
        <w:rPr>
          <w:rFonts w:ascii="Times New Roman" w:hAnsi="Times New Roman" w:cs="Times New Roman"/>
        </w:rPr>
        <w:tab/>
        <w:t>So, if SERT</w:t>
      </w:r>
      <w:r w:rsidR="008858A9" w:rsidRPr="00FD4E7D">
        <w:rPr>
          <w:rFonts w:ascii="Times New Roman" w:hAnsi="Times New Roman" w:cs="Times New Roman"/>
          <w:vertAlign w:val="subscript"/>
        </w:rPr>
        <w:t>gn</w:t>
      </w:r>
      <w:r w:rsidR="008858A9" w:rsidRPr="00FD4E7D">
        <w:rPr>
          <w:rFonts w:ascii="Times New Roman" w:hAnsi="Times New Roman" w:cs="Times New Roman"/>
        </w:rPr>
        <w:t xml:space="preserve"> ≤ </w:t>
      </w:r>
      <w:r w:rsidR="008858A9" w:rsidRPr="00FD4E7D">
        <w:rPr>
          <w:rFonts w:ascii="Times New Roman" w:hAnsi="Times New Roman" w:cs="Times New Roman"/>
          <w:highlight w:val="yellow"/>
        </w:rPr>
        <w:t>[x]</w:t>
      </w:r>
      <w:r w:rsidR="00EF5CC9">
        <w:rPr>
          <w:rFonts w:ascii="Times New Roman" w:hAnsi="Times New Roman" w:cs="Times New Roman"/>
        </w:rPr>
        <w:t>%</w:t>
      </w:r>
      <w:r w:rsidR="008858A9" w:rsidRPr="00FD4E7D">
        <w:rPr>
          <w:rFonts w:ascii="Times New Roman" w:hAnsi="Times New Roman" w:cs="Times New Roman"/>
        </w:rPr>
        <w:t xml:space="preserve"> but SERT</w:t>
      </w:r>
      <w:r w:rsidR="008858A9" w:rsidRPr="00FD4E7D">
        <w:rPr>
          <w:rFonts w:ascii="Times New Roman" w:hAnsi="Times New Roman" w:cs="Times New Roman"/>
          <w:vertAlign w:val="subscript"/>
        </w:rPr>
        <w:t>nn</w:t>
      </w:r>
      <w:r w:rsidR="008858A9" w:rsidRPr="00FD4E7D">
        <w:rPr>
          <w:rFonts w:ascii="Times New Roman" w:hAnsi="Times New Roman" w:cs="Times New Roman"/>
        </w:rPr>
        <w:t xml:space="preserve"> &gt; </w:t>
      </w:r>
      <w:r w:rsidR="008858A9" w:rsidRPr="00FD4E7D">
        <w:rPr>
          <w:rFonts w:ascii="Times New Roman" w:hAnsi="Times New Roman" w:cs="Times New Roman"/>
          <w:highlight w:val="yellow"/>
        </w:rPr>
        <w:t>[x]</w:t>
      </w:r>
      <w:r w:rsidR="00EF5CC9">
        <w:rPr>
          <w:rFonts w:ascii="Times New Roman" w:hAnsi="Times New Roman" w:cs="Times New Roman"/>
        </w:rPr>
        <w:t>%</w:t>
      </w:r>
      <w:r w:rsidR="008858A9" w:rsidRPr="00FD4E7D">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LPIR</w:t>
      </w:r>
      <w:r w:rsidRPr="00FD4E7D">
        <w:rPr>
          <w:rFonts w:ascii="Times New Roman" w:hAnsi="Times New Roman" w:cs="Times New Roman"/>
          <w:vertAlign w:val="subscript"/>
        </w:rPr>
        <w:t>gn</w:t>
      </w:r>
      <w:r w:rsidRPr="00FD4E7D">
        <w:rPr>
          <w:rFonts w:ascii="Times New Roman" w:hAnsi="Times New Roman" w:cs="Times New Roman"/>
        </w:rPr>
        <w:t xml:space="preserve"> = (</w:t>
      </w:r>
      <w:r w:rsidR="00816155" w:rsidRPr="00FD4E7D">
        <w:rPr>
          <w:rFonts w:ascii="Times New Roman" w:hAnsi="Times New Roman" w:cs="Times New Roman"/>
        </w:rPr>
        <w:t>b</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r w:rsidR="00816155" w:rsidRPr="00FD4E7D">
        <w:rPr>
          <w:rFonts w:ascii="Times New Roman" w:hAnsi="Times New Roman" w:cs="Times New Roman"/>
        </w:rPr>
        <w:t xml:space="preserve"> </w:t>
      </w:r>
      <w:r w:rsidRPr="00FD4E7D">
        <w:rPr>
          <w:rFonts w:ascii="Times New Roman" w:hAnsi="Times New Roman" w:cs="Times New Roman"/>
        </w:rPr>
        <w:t xml:space="preserve">– </w:t>
      </w:r>
      <w:r w:rsidR="00816155" w:rsidRPr="00FD4E7D">
        <w:rPr>
          <w:rFonts w:ascii="Times New Roman" w:hAnsi="Times New Roman" w:cs="Times New Roman"/>
        </w:rPr>
        <w:t>a</w:t>
      </w:r>
      <w:r w:rsidR="00816155" w:rsidRPr="00FD4E7D">
        <w:rPr>
          <w:rFonts w:ascii="Times New Roman" w:hAnsi="Times New Roman" w:cs="Times New Roman"/>
          <w:vertAlign w:val="subscript"/>
        </w:rPr>
        <w:t>g</w:t>
      </w:r>
      <w:r w:rsidR="00816155">
        <w:rPr>
          <w:rFonts w:ascii="Times New Roman" w:hAnsi="Times New Roman" w:cs="Times New Roman"/>
          <w:vertAlign w:val="subscript"/>
        </w:rPr>
        <w:t>n</w:t>
      </w:r>
      <w:r w:rsidRPr="00FD4E7D">
        <w:rPr>
          <w:rFonts w:ascii="Times New Roman" w:hAnsi="Times New Roman" w:cs="Times New Roman"/>
        </w:rPr>
        <w:t>)/a</w:t>
      </w:r>
      <w:r w:rsidRPr="00FD4E7D">
        <w:rPr>
          <w:rFonts w:ascii="Times New Roman" w:hAnsi="Times New Roman" w:cs="Times New Roman"/>
          <w:vertAlign w:val="subscript"/>
        </w:rPr>
        <w:t>gn</w:t>
      </w:r>
      <w:r w:rsidRPr="00FD4E7D">
        <w:rPr>
          <w:rFonts w:ascii="Times New Roman" w:hAnsi="Times New Roman" w:cs="Times New Roman"/>
        </w:rPr>
        <w:t xml:space="preserve"> </w:t>
      </w:r>
    </w:p>
    <w:p w14:paraId="27593406" w14:textId="3C234108"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LPIR</w:t>
      </w:r>
      <w:r w:rsidRPr="00FD4E7D">
        <w:rPr>
          <w:rFonts w:ascii="Times New Roman" w:hAnsi="Times New Roman" w:cs="Times New Roman"/>
          <w:vertAlign w:val="subscript"/>
        </w:rPr>
        <w:t>nn</w:t>
      </w:r>
      <w:r w:rsidRPr="00FD4E7D">
        <w:rPr>
          <w:rFonts w:ascii="Times New Roman" w:hAnsi="Times New Roman" w:cs="Times New Roman"/>
        </w:rPr>
        <w:t xml:space="preserve"> = (</w:t>
      </w:r>
      <w:r w:rsidR="00345FFD" w:rsidRPr="00FD4E7D">
        <w:rPr>
          <w:rFonts w:ascii="Times New Roman" w:hAnsi="Times New Roman" w:cs="Times New Roman"/>
        </w:rPr>
        <w:t>b</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r w:rsidR="00345FFD" w:rsidRPr="00FD4E7D">
        <w:rPr>
          <w:rFonts w:ascii="Times New Roman" w:hAnsi="Times New Roman" w:cs="Times New Roman"/>
        </w:rPr>
        <w:t xml:space="preserve"> </w:t>
      </w:r>
      <w:r w:rsidRPr="00FD4E7D">
        <w:rPr>
          <w:rFonts w:ascii="Times New Roman" w:hAnsi="Times New Roman" w:cs="Times New Roman"/>
        </w:rPr>
        <w:t xml:space="preserve">– </w:t>
      </w:r>
      <w:r w:rsidR="00345FFD" w:rsidRPr="00FD4E7D">
        <w:rPr>
          <w:rFonts w:ascii="Times New Roman" w:hAnsi="Times New Roman" w:cs="Times New Roman"/>
        </w:rPr>
        <w:t>a</w:t>
      </w:r>
      <w:r w:rsidR="00345FFD" w:rsidRPr="00FD4E7D">
        <w:rPr>
          <w:rFonts w:ascii="Times New Roman" w:hAnsi="Times New Roman" w:cs="Times New Roman"/>
          <w:vertAlign w:val="subscript"/>
        </w:rPr>
        <w:t>n</w:t>
      </w:r>
      <w:r w:rsidR="00345FFD">
        <w:rPr>
          <w:rFonts w:ascii="Times New Roman" w:hAnsi="Times New Roman" w:cs="Times New Roman"/>
          <w:vertAlign w:val="subscript"/>
        </w:rPr>
        <w:t>n</w:t>
      </w:r>
      <w:r w:rsidRPr="00FD4E7D">
        <w:rPr>
          <w:rFonts w:ascii="Times New Roman" w:hAnsi="Times New Roman" w:cs="Times New Roman"/>
        </w:rPr>
        <w:t>)/a</w:t>
      </w:r>
      <w:r w:rsidRPr="00FD4E7D">
        <w:rPr>
          <w:rFonts w:ascii="Times New Roman" w:hAnsi="Times New Roman" w:cs="Times New Roman"/>
          <w:vertAlign w:val="subscript"/>
        </w:rPr>
        <w:t>nn</w:t>
      </w:r>
      <w:r w:rsidRPr="00FD4E7D">
        <w:rPr>
          <w:rFonts w:ascii="Times New Roman" w:hAnsi="Times New Roman" w:cs="Times New Roman"/>
        </w:rPr>
        <w:t xml:space="preserve"> </w:t>
      </w:r>
    </w:p>
    <w:p w14:paraId="242D9ABB" w14:textId="15FDF440"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Note that the scenario underlying b</w:t>
      </w:r>
      <w:r w:rsidRPr="00FD4E7D">
        <w:rPr>
          <w:rFonts w:ascii="Times New Roman" w:hAnsi="Times New Roman" w:cs="Times New Roman"/>
          <w:vertAlign w:val="subscript"/>
        </w:rPr>
        <w:t>gn</w:t>
      </w:r>
      <w:r w:rsidRPr="00FD4E7D">
        <w:rPr>
          <w:rFonts w:ascii="Times New Roman" w:hAnsi="Times New Roman" w:cs="Times New Roman"/>
        </w:rPr>
        <w:t xml:space="preserve"> could be different from the scenario underlying b</w:t>
      </w:r>
      <w:r w:rsidRPr="00FD4E7D">
        <w:rPr>
          <w:rFonts w:ascii="Times New Roman" w:hAnsi="Times New Roman" w:cs="Times New Roman"/>
          <w:vertAlign w:val="subscript"/>
        </w:rPr>
        <w:t>nn</w:t>
      </w:r>
      <w:r w:rsidRPr="00FD4E7D">
        <w:rPr>
          <w:rFonts w:ascii="Times New Roman" w:hAnsi="Times New Roman" w:cs="Times New Roman"/>
        </w:rPr>
        <w:t xml:space="preserve">. </w:t>
      </w:r>
    </w:p>
    <w:p w14:paraId="0495B587" w14:textId="43CAC9A5" w:rsidR="008858A9" w:rsidRPr="00FD4E7D" w:rsidRDefault="008858A9" w:rsidP="008858A9">
      <w:pPr>
        <w:autoSpaceDE w:val="0"/>
        <w:autoSpaceDN w:val="0"/>
        <w:adjustRightInd w:val="0"/>
        <w:spacing w:after="220"/>
        <w:ind w:left="2160"/>
        <w:rPr>
          <w:rFonts w:ascii="Times New Roman" w:hAnsi="Times New Roman" w:cs="Times New Roman"/>
        </w:rPr>
      </w:pPr>
      <w:r w:rsidRPr="00FD4E7D">
        <w:rPr>
          <w:rFonts w:ascii="Times New Roman" w:hAnsi="Times New Roman" w:cs="Times New Roman"/>
        </w:rPr>
        <w:t>If SERT</w:t>
      </w:r>
      <w:r w:rsidRPr="00FD4E7D">
        <w:rPr>
          <w:rFonts w:ascii="Times New Roman" w:hAnsi="Times New Roman" w:cs="Times New Roman"/>
          <w:vertAlign w:val="subscript"/>
        </w:rPr>
        <w:t>gn</w:t>
      </w:r>
      <w:r w:rsidRPr="00FD4E7D">
        <w:rPr>
          <w:rFonts w:ascii="Times New Roman" w:hAnsi="Times New Roman" w:cs="Times New Roman"/>
        </w:rPr>
        <w:t xml:space="preserve"> </w:t>
      </w:r>
      <w:r w:rsidRPr="00FD4E7D">
        <w:rPr>
          <w:rFonts w:ascii="Times New Roman" w:hAnsi="Times New Roman" w:cs="Times New Roman"/>
          <w:i/>
          <w:iCs/>
        </w:rPr>
        <w:t xml:space="preserve">× </w:t>
      </w:r>
      <w:r w:rsidRPr="00FD4E7D">
        <w:rPr>
          <w:rFonts w:ascii="Times New Roman" w:hAnsi="Times New Roman" w:cs="Times New Roman"/>
        </w:rPr>
        <w:t>LPIR</w:t>
      </w:r>
      <w:r w:rsidRPr="00FD4E7D">
        <w:rPr>
          <w:rFonts w:ascii="Times New Roman" w:hAnsi="Times New Roman" w:cs="Times New Roman"/>
          <w:vertAlign w:val="subscript"/>
        </w:rPr>
        <w:t>nn</w:t>
      </w:r>
      <w:r w:rsidRPr="00FD4E7D">
        <w:rPr>
          <w:rFonts w:ascii="Times New Roman" w:hAnsi="Times New Roman" w:cs="Times New Roman"/>
        </w:rPr>
        <w:t>/LPIR</w:t>
      </w:r>
      <w:r w:rsidRPr="00FD4E7D">
        <w:rPr>
          <w:rFonts w:ascii="Times New Roman" w:hAnsi="Times New Roman" w:cs="Times New Roman"/>
          <w:vertAlign w:val="subscript"/>
        </w:rPr>
        <w:t>gn</w:t>
      </w:r>
      <w:r w:rsidRPr="00FD4E7D">
        <w:rPr>
          <w:rFonts w:ascii="Times New Roman" w:hAnsi="Times New Roman" w:cs="Times New Roman"/>
        </w:rPr>
        <w:t xml:space="preserve"> &lt; </w:t>
      </w:r>
      <w:r w:rsidRPr="00FD4E7D">
        <w:rPr>
          <w:rFonts w:ascii="Times New Roman" w:hAnsi="Times New Roman" w:cs="Times New Roman"/>
          <w:highlight w:val="yellow"/>
        </w:rPr>
        <w:t>[x]</w:t>
      </w:r>
      <w:r w:rsidR="00B75580">
        <w:rPr>
          <w:rFonts w:ascii="Times New Roman" w:hAnsi="Times New Roman" w:cs="Times New Roman"/>
        </w:rPr>
        <w:t>%</w:t>
      </w:r>
      <w:r w:rsidRPr="00FD4E7D">
        <w:rPr>
          <w:rFonts w:ascii="Times New Roman" w:hAnsi="Times New Roman" w:cs="Times New Roman"/>
        </w:rPr>
        <w:t xml:space="preserve">, then the block of </w:t>
      </w:r>
      <w:r w:rsidR="00FA04ED">
        <w:rPr>
          <w:rFonts w:ascii="Times New Roman" w:hAnsi="Times New Roman" w:cs="Times New Roman"/>
        </w:rPr>
        <w:t>contracts</w:t>
      </w:r>
      <w:r w:rsidRPr="00FD4E7D">
        <w:rPr>
          <w:rFonts w:ascii="Times New Roman" w:hAnsi="Times New Roman" w:cs="Times New Roman"/>
        </w:rPr>
        <w:t xml:space="preserve"> passes the SERT.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AD0E74">
      <w:pPr>
        <w:numPr>
          <w:ilvl w:val="0"/>
          <w:numId w:val="32"/>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AD0E74">
      <w:pPr>
        <w:pStyle w:val="Heading2"/>
        <w:numPr>
          <w:ilvl w:val="0"/>
          <w:numId w:val="56"/>
        </w:numPr>
        <w:rPr>
          <w:sz w:val="22"/>
          <w:szCs w:val="22"/>
        </w:rPr>
      </w:pPr>
      <w:bookmarkStart w:id="84" w:name="_Toc77242155"/>
      <w:bookmarkStart w:id="85" w:name="_Toc137649801"/>
      <w:r w:rsidRPr="001904F3">
        <w:rPr>
          <w:sz w:val="22"/>
          <w:szCs w:val="22"/>
        </w:rPr>
        <w:t>Stochastic Exclusion Demonstration Test</w:t>
      </w:r>
      <w:bookmarkEnd w:id="84"/>
      <w:bookmarkEnd w:id="85"/>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lastRenderedPageBreak/>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01BEB10B"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r w:rsidR="00C4282C">
        <w:rPr>
          <w:rFonts w:ascii="Times New Roman" w:hAnsi="Times New Roman" w:cs="Times New Roman"/>
        </w:rPr>
        <w:t xml:space="preserve"> 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0B9AA414"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r w:rsidR="00EC0628">
        <w:rPr>
          <w:rFonts w:ascii="Times New Roman" w:hAnsi="Times New Roman" w:cs="Times New Roman"/>
        </w:rPr>
        <w:t xml:space="preserve"> 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469545C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86"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bookmarkEnd w:id="86"/>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E9D015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384823A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428C32A7"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BFD9DDC" w:rsidR="00A23A5F" w:rsidRPr="00DE21E7" w:rsidRDefault="00A23A5F" w:rsidP="00AD0E74">
      <w:pPr>
        <w:pStyle w:val="Heading2"/>
        <w:numPr>
          <w:ilvl w:val="0"/>
          <w:numId w:val="64"/>
        </w:numPr>
        <w:spacing w:before="0"/>
        <w:rPr>
          <w:sz w:val="22"/>
          <w:szCs w:val="22"/>
        </w:rPr>
      </w:pPr>
      <w:bookmarkStart w:id="87" w:name="_Toc77242156"/>
      <w:bookmarkStart w:id="88" w:name="_Toc137649802"/>
      <w:r w:rsidRPr="00DE21E7">
        <w:rPr>
          <w:sz w:val="22"/>
          <w:szCs w:val="22"/>
        </w:rPr>
        <w:lastRenderedPageBreak/>
        <w:t>Deterministic Certification Option</w:t>
      </w:r>
      <w:bookmarkEnd w:id="87"/>
      <w:bookmarkEnd w:id="88"/>
      <w:r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1217240B"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 subject to the following conditions. </w:t>
      </w:r>
    </w:p>
    <w:p w14:paraId="1E1E1BBC" w14:textId="23EF8789" w:rsidR="00A23A5F" w:rsidRDefault="00A23A5F" w:rsidP="00AD0E74">
      <w:pPr>
        <w:pStyle w:val="ListParagraph"/>
        <w:numPr>
          <w:ilvl w:val="1"/>
          <w:numId w:val="55"/>
        </w:numPr>
        <w:spacing w:after="0"/>
        <w:ind w:left="2160"/>
        <w:rPr>
          <w:rFonts w:ascii="Times New Roman" w:hAnsi="Times New Roman" w:cs="Times New Roman"/>
        </w:rPr>
      </w:pPr>
      <w:r>
        <w:rPr>
          <w:rFonts w:ascii="Times New Roman" w:hAnsi="Times New Roman" w:cs="Times New Roman"/>
        </w:rPr>
        <w:t>The company certifies that e</w:t>
      </w:r>
      <w:r w:rsidRPr="005D31CA">
        <w:rPr>
          <w:rFonts w:ascii="Times New Roman" w:hAnsi="Times New Roman" w:cs="Times New Roman"/>
        </w:rPr>
        <w:t xml:space="preserve">conomic </w:t>
      </w:r>
      <w:r>
        <w:rPr>
          <w:rFonts w:ascii="Times New Roman" w:hAnsi="Times New Roman" w:cs="Times New Roman"/>
        </w:rPr>
        <w:t>conditions</w:t>
      </w:r>
      <w:r w:rsidRPr="005D31CA">
        <w:rPr>
          <w:rFonts w:ascii="Times New Roman" w:hAnsi="Times New Roman" w:cs="Times New Roman"/>
        </w:rPr>
        <w:t xml:space="preserve"> </w:t>
      </w:r>
      <w:r>
        <w:rPr>
          <w:rFonts w:ascii="Times New Roman" w:hAnsi="Times New Roman" w:cs="Times New Roman"/>
        </w:rPr>
        <w:t xml:space="preserve">do not </w:t>
      </w:r>
      <w:r w:rsidRPr="005D31CA">
        <w:rPr>
          <w:rFonts w:ascii="Times New Roman" w:hAnsi="Times New Roman" w:cs="Times New Roman"/>
        </w:rPr>
        <w:t xml:space="preserve">materially influence anticipated </w:t>
      </w:r>
      <w:r>
        <w:rPr>
          <w:rFonts w:ascii="Times New Roman" w:hAnsi="Times New Roman" w:cs="Times New Roman"/>
        </w:rPr>
        <w:t xml:space="preserve">contract </w:t>
      </w:r>
      <w:r w:rsidRPr="005D31CA">
        <w:rPr>
          <w:rFonts w:ascii="Times New Roman" w:hAnsi="Times New Roman" w:cs="Times New Roman"/>
        </w:rPr>
        <w:t>holder behavior</w:t>
      </w:r>
      <w:r>
        <w:rPr>
          <w:rFonts w:ascii="Times New Roman" w:hAnsi="Times New Roman" w:cs="Times New Roman"/>
        </w:rPr>
        <w:t xml:space="preserve"> for the group of </w:t>
      </w:r>
      <w:r w:rsidR="005455DB">
        <w:rPr>
          <w:rFonts w:ascii="Times New Roman" w:hAnsi="Times New Roman" w:cs="Times New Roman"/>
        </w:rPr>
        <w:t>contracts and certificates</w:t>
      </w:r>
      <w:r>
        <w:rPr>
          <w:rFonts w:ascii="Times New Roman" w:hAnsi="Times New Roman" w:cs="Times New Roman"/>
        </w:rPr>
        <w:t>.  E</w:t>
      </w:r>
      <w:r w:rsidRPr="005D31CA">
        <w:rPr>
          <w:rFonts w:ascii="Times New Roman" w:hAnsi="Times New Roman" w:cs="Times New Roman"/>
        </w:rPr>
        <w:t xml:space="preserve">xamples </w:t>
      </w:r>
      <w:r>
        <w:rPr>
          <w:rFonts w:ascii="Times New Roman" w:hAnsi="Times New Roman" w:cs="Times New Roman"/>
        </w:rPr>
        <w:t xml:space="preserve">of contract holder options that are materially influenced by economic conditions </w:t>
      </w:r>
      <w:r w:rsidRPr="005D31CA">
        <w:rPr>
          <w:rFonts w:ascii="Times New Roman" w:hAnsi="Times New Roman" w:cs="Times New Roman"/>
        </w:rPr>
        <w:t xml:space="preserve">include surrender benefits, </w:t>
      </w:r>
      <w:r>
        <w:rPr>
          <w:rFonts w:ascii="Times New Roman" w:hAnsi="Times New Roman" w:cs="Times New Roman"/>
        </w:rPr>
        <w:t xml:space="preserve">recurring </w:t>
      </w:r>
      <w:r w:rsidRPr="005D31CA">
        <w:rPr>
          <w:rFonts w:ascii="Times New Roman" w:hAnsi="Times New Roman" w:cs="Times New Roman"/>
        </w:rPr>
        <w:t>premium payments, and guaranteed living benefits</w:t>
      </w:r>
      <w:r>
        <w:rPr>
          <w:rFonts w:ascii="Times New Roman" w:hAnsi="Times New Roman" w:cs="Times New Roman"/>
        </w:rPr>
        <w:t>.</w:t>
      </w:r>
    </w:p>
    <w:p w14:paraId="041AC329" w14:textId="77777777" w:rsidR="00A23A5F" w:rsidRPr="0045217F" w:rsidRDefault="00A23A5F" w:rsidP="00A23A5F">
      <w:pPr>
        <w:spacing w:after="0"/>
        <w:ind w:left="1800"/>
        <w:rPr>
          <w:rFonts w:ascii="Times New Roman" w:hAnsi="Times New Roman" w:cs="Times New Roman"/>
        </w:rPr>
      </w:pPr>
    </w:p>
    <w:p w14:paraId="11BD9ED0" w14:textId="372F5203" w:rsidR="00A23A5F" w:rsidRDefault="00A23A5F" w:rsidP="00AD0E74">
      <w:pPr>
        <w:pStyle w:val="ListParagraph"/>
        <w:numPr>
          <w:ilvl w:val="1"/>
          <w:numId w:val="55"/>
        </w:numPr>
        <w:spacing w:after="0"/>
        <w:ind w:left="2160"/>
        <w:rPr>
          <w:rFonts w:ascii="Times New Roman" w:hAnsi="Times New Roman" w:cs="Times New Roman"/>
        </w:rPr>
      </w:pPr>
      <w:r>
        <w:rPr>
          <w:rFonts w:ascii="Times New Roman" w:hAnsi="Times New Roman" w:cs="Times New Roman"/>
        </w:rPr>
        <w:t xml:space="preserve">The company certifies that the group of </w:t>
      </w:r>
      <w:r w:rsidR="005455DB">
        <w:rPr>
          <w:rFonts w:ascii="Times New Roman" w:hAnsi="Times New Roman" w:cs="Times New Roman"/>
        </w:rPr>
        <w:t>contracts and certificates</w:t>
      </w:r>
      <w:r>
        <w:rPr>
          <w:rFonts w:ascii="Times New Roman" w:hAnsi="Times New Roman" w:cs="Times New Roman"/>
        </w:rPr>
        <w:t xml:space="preserve"> is not supported by a reinvestment strategy that contains future hedge purchases.</w:t>
      </w:r>
    </w:p>
    <w:p w14:paraId="3845C7B6" w14:textId="77777777" w:rsidR="00A23A5F" w:rsidRPr="00F138DF" w:rsidRDefault="00A23A5F" w:rsidP="00F138DF">
      <w:pPr>
        <w:spacing w:after="0"/>
        <w:rPr>
          <w:rFonts w:ascii="Times New Roman" w:hAnsi="Times New Roman" w:cs="Times New Roman"/>
        </w:rPr>
      </w:pPr>
    </w:p>
    <w:p w14:paraId="680B51A1" w14:textId="38B502AA" w:rsidR="00A23A5F" w:rsidRDefault="00A23A5F" w:rsidP="00AD0E74">
      <w:pPr>
        <w:pStyle w:val="ListParagraph"/>
        <w:numPr>
          <w:ilvl w:val="0"/>
          <w:numId w:val="63"/>
        </w:numPr>
        <w:spacing w:after="0"/>
        <w:ind w:left="2160"/>
        <w:rPr>
          <w:rFonts w:ascii="Times New Roman" w:hAnsi="Times New Roman" w:cs="Times New Roman"/>
        </w:rPr>
      </w:pPr>
      <w:r>
        <w:rPr>
          <w:rFonts w:ascii="Times New Roman" w:hAnsi="Times New Roman" w:cs="Times New Roman"/>
        </w:rPr>
        <w:t xml:space="preserve">The company must perform and disclose results from the stochastic exclusion ratio test following the requirements in Section 7.C, </w:t>
      </w:r>
      <w:r w:rsidR="005F7DEC">
        <w:rPr>
          <w:rFonts w:ascii="Times New Roman" w:hAnsi="Times New Roman" w:cs="Times New Roman"/>
        </w:rPr>
        <w:t>and the company must pass the SERT when considering only the 16 economic scenarios paired with the 100% mortality scenario</w:t>
      </w:r>
      <w:r>
        <w:rPr>
          <w:rFonts w:ascii="Times New Roman" w:hAnsi="Times New Roman" w:cs="Times New Roman"/>
        </w:rPr>
        <w:t>.</w:t>
      </w:r>
    </w:p>
    <w:p w14:paraId="15477664" w14:textId="77777777" w:rsidR="00A23A5F" w:rsidRPr="001A463A" w:rsidRDefault="00A23A5F" w:rsidP="00A23A5F">
      <w:pPr>
        <w:spacing w:after="0"/>
        <w:ind w:left="1800"/>
        <w:rPr>
          <w:rFonts w:ascii="Times New Roman" w:hAnsi="Times New Roman" w:cs="Times New Roman"/>
        </w:rPr>
      </w:pPr>
    </w:p>
    <w:p w14:paraId="71959931" w14:textId="77884603" w:rsidR="00A23A5F" w:rsidRDefault="00A23A5F" w:rsidP="00AD0E74">
      <w:pPr>
        <w:pStyle w:val="ListParagraph"/>
        <w:numPr>
          <w:ilvl w:val="0"/>
          <w:numId w:val="63"/>
        </w:numPr>
        <w:spacing w:after="0"/>
        <w:ind w:left="2160"/>
        <w:rPr>
          <w:rFonts w:ascii="Times New Roman" w:hAnsi="Times New Roman" w:cs="Times New Roman"/>
        </w:rPr>
      </w:pPr>
      <w:r>
        <w:rPr>
          <w:rFonts w:ascii="Times New Roman" w:hAnsi="Times New Roman" w:cs="Times New Roman"/>
        </w:rPr>
        <w:t>The company must disclose a description of contracts and associated features in the certification.</w:t>
      </w:r>
    </w:p>
    <w:p w14:paraId="41F2E6C3" w14:textId="77777777" w:rsidR="00F138DF" w:rsidRPr="00F138DF" w:rsidRDefault="00F138DF" w:rsidP="00F138DF">
      <w:pPr>
        <w:spacing w:after="0"/>
        <w:rPr>
          <w:rFonts w:ascii="Times New Roman" w:hAnsi="Times New Roman" w:cs="Times New Roman"/>
        </w:rPr>
      </w:pPr>
    </w:p>
    <w:p w14:paraId="4447A9BF" w14:textId="1D86F23E" w:rsidR="00A23A5F" w:rsidRPr="005D31CA" w:rsidRDefault="00A23A5F" w:rsidP="00A23A5F">
      <w:pPr>
        <w:pStyle w:val="ListParagraph"/>
        <w:spacing w:after="0"/>
        <w:rPr>
          <w:rFonts w:ascii="Times New Roman" w:hAnsi="Times New Roman" w:cs="Times New Roman"/>
        </w:rPr>
      </w:pPr>
    </w:p>
    <w:p w14:paraId="3C3F0794" w14:textId="33266740" w:rsidR="00A23A5F" w:rsidRDefault="00A23A5F" w:rsidP="00AD0E74">
      <w:pPr>
        <w:pStyle w:val="ListParagraph"/>
        <w:numPr>
          <w:ilvl w:val="0"/>
          <w:numId w:val="61"/>
        </w:numPr>
        <w:spacing w:after="0"/>
        <w:ind w:left="1800"/>
        <w:rPr>
          <w:rFonts w:ascii="Times New Roman" w:hAnsi="Times New Roman" w:cs="Times New Roman"/>
        </w:rPr>
      </w:pPr>
      <w:r w:rsidRPr="0045217F">
        <w:rPr>
          <w:rFonts w:ascii="Times New Roman" w:hAnsi="Times New Roman" w:cs="Times New Roman"/>
        </w:rPr>
        <w:t xml:space="preserve">The </w:t>
      </w:r>
      <w:r w:rsidR="00105E20">
        <w:rPr>
          <w:rFonts w:ascii="Times New Roman" w:hAnsi="Times New Roman" w:cs="Times New Roman"/>
        </w:rPr>
        <w:t>D</w:t>
      </w:r>
      <w:r w:rsidR="0018608C">
        <w:rPr>
          <w:rFonts w:ascii="Times New Roman" w:hAnsi="Times New Roman" w:cs="Times New Roman"/>
        </w:rPr>
        <w:t>R</w:t>
      </w:r>
      <w:r w:rsidRPr="0045217F">
        <w:rPr>
          <w:rFonts w:ascii="Times New Roman" w:hAnsi="Times New Roman" w:cs="Times New Roman"/>
        </w:rPr>
        <w:t xml:space="preserve"> for the group of contracts </w:t>
      </w:r>
      <w:r w:rsidR="006A3311">
        <w:rPr>
          <w:rFonts w:ascii="Times New Roman" w:hAnsi="Times New Roman" w:cs="Times New Roman"/>
        </w:rPr>
        <w:t>under the Deterministic Certification Option is</w:t>
      </w:r>
      <w:r w:rsidRPr="0045217F">
        <w:rPr>
          <w:rFonts w:ascii="Times New Roman" w:hAnsi="Times New Roman" w:cs="Times New Roman"/>
        </w:rPr>
        <w:t xml:space="preserve"> determined as follows: </w:t>
      </w:r>
    </w:p>
    <w:p w14:paraId="5912936D" w14:textId="77777777" w:rsidR="00A23A5F" w:rsidRPr="0045217F" w:rsidRDefault="00A23A5F" w:rsidP="00A23A5F">
      <w:pPr>
        <w:spacing w:after="0"/>
        <w:ind w:left="1800"/>
        <w:rPr>
          <w:rFonts w:ascii="Times New Roman" w:hAnsi="Times New Roman" w:cs="Times New Roman"/>
        </w:rPr>
      </w:pPr>
    </w:p>
    <w:p w14:paraId="38AEB48F" w14:textId="5727C3F7" w:rsidR="00A23A5F" w:rsidRDefault="00A23A5F" w:rsidP="00AD0E74">
      <w:pPr>
        <w:pStyle w:val="ListParagraph"/>
        <w:numPr>
          <w:ilvl w:val="0"/>
          <w:numId w:val="62"/>
        </w:numPr>
        <w:spacing w:after="0"/>
        <w:rPr>
          <w:rFonts w:ascii="Times New Roman" w:hAnsi="Times New Roman" w:cs="Times New Roman"/>
        </w:rPr>
      </w:pPr>
      <w:r w:rsidRPr="005D31CA">
        <w:rPr>
          <w:rFonts w:ascii="Times New Roman" w:hAnsi="Times New Roman" w:cs="Times New Roman"/>
        </w:rPr>
        <w:t>Cash flows are projected in compliance with the applicable requirements in Section</w:t>
      </w:r>
      <w:r>
        <w:rPr>
          <w:rFonts w:ascii="Times New Roman" w:hAnsi="Times New Roman" w:cs="Times New Roman"/>
        </w:rPr>
        <w:t xml:space="preserve"> 4</w:t>
      </w:r>
      <w:r w:rsidRPr="005D31CA">
        <w:rPr>
          <w:rFonts w:ascii="Times New Roman" w:hAnsi="Times New Roman" w:cs="Times New Roman"/>
        </w:rPr>
        <w:t xml:space="preserve">, Section </w:t>
      </w:r>
      <w:r>
        <w:rPr>
          <w:rFonts w:ascii="Times New Roman" w:hAnsi="Times New Roman" w:cs="Times New Roman"/>
        </w:rPr>
        <w:t>5, Section 10,</w:t>
      </w:r>
      <w:r w:rsidRPr="005D31CA">
        <w:rPr>
          <w:rFonts w:ascii="Times New Roman" w:hAnsi="Times New Roman" w:cs="Times New Roman"/>
        </w:rPr>
        <w:t xml:space="preserve"> and Section </w:t>
      </w:r>
      <w:r>
        <w:rPr>
          <w:rFonts w:ascii="Times New Roman" w:hAnsi="Times New Roman" w:cs="Times New Roman"/>
        </w:rPr>
        <w:t>11 of VM-22</w:t>
      </w:r>
      <w:r w:rsidRPr="005D31CA">
        <w:rPr>
          <w:rFonts w:ascii="Times New Roman" w:hAnsi="Times New Roman" w:cs="Times New Roman"/>
        </w:rPr>
        <w:t xml:space="preserve"> over </w:t>
      </w:r>
      <w:r w:rsidR="006A3311">
        <w:rPr>
          <w:rFonts w:ascii="Times New Roman" w:hAnsi="Times New Roman" w:cs="Times New Roman"/>
        </w:rPr>
        <w:t xml:space="preserve">a single </w:t>
      </w:r>
      <w:r w:rsidRPr="005D31CA">
        <w:rPr>
          <w:rFonts w:ascii="Times New Roman" w:hAnsi="Times New Roman" w:cs="Times New Roman"/>
        </w:rPr>
        <w:t xml:space="preserve">economic </w:t>
      </w:r>
      <w:r w:rsidR="006A3311">
        <w:rPr>
          <w:rFonts w:ascii="Times New Roman" w:hAnsi="Times New Roman" w:cs="Times New Roman"/>
        </w:rPr>
        <w:t>scenario (</w:t>
      </w:r>
      <w:r w:rsidRPr="005D31CA">
        <w:rPr>
          <w:rFonts w:ascii="Times New Roman" w:hAnsi="Times New Roman" w:cs="Times New Roman"/>
        </w:rPr>
        <w:t>scenario 12 found in Appendix 1</w:t>
      </w:r>
      <w:r>
        <w:rPr>
          <w:rFonts w:ascii="Times New Roman" w:hAnsi="Times New Roman" w:cs="Times New Roman"/>
        </w:rPr>
        <w:t xml:space="preserve"> of VM-20</w:t>
      </w:r>
      <w:r w:rsidR="006A3311">
        <w:rPr>
          <w:rFonts w:ascii="Times New Roman" w:hAnsi="Times New Roman" w:cs="Times New Roman"/>
        </w:rPr>
        <w:t>)</w:t>
      </w:r>
      <w:r w:rsidRPr="005D31CA">
        <w:rPr>
          <w:rFonts w:ascii="Times New Roman" w:hAnsi="Times New Roman" w:cs="Times New Roman"/>
        </w:rPr>
        <w:t>.</w:t>
      </w:r>
    </w:p>
    <w:p w14:paraId="2B95C2BC" w14:textId="77777777" w:rsidR="000443ED" w:rsidRDefault="000443ED" w:rsidP="000443ED">
      <w:pPr>
        <w:pStyle w:val="ListParagraph"/>
        <w:spacing w:after="0"/>
        <w:ind w:left="2160"/>
        <w:rPr>
          <w:rFonts w:ascii="Times New Roman" w:hAnsi="Times New Roman" w:cs="Times New Roman"/>
        </w:rPr>
      </w:pPr>
    </w:p>
    <w:p w14:paraId="420F05FD" w14:textId="7FEBB7AE" w:rsidR="002C726F" w:rsidRPr="000443ED" w:rsidRDefault="000443ED" w:rsidP="00B430BF">
      <w:pPr>
        <w:pStyle w:val="ListParagraph"/>
        <w:numPr>
          <w:ilvl w:val="0"/>
          <w:numId w:val="62"/>
        </w:numPr>
        <w:spacing w:after="0"/>
        <w:rPr>
          <w:rFonts w:ascii="Times New Roman" w:hAnsi="Times New Roman" w:cs="Times New Roman"/>
        </w:rPr>
      </w:pPr>
      <w:r w:rsidRPr="000443ED">
        <w:rPr>
          <w:rFonts w:ascii="Times New Roman" w:hAnsi="Times New Roman" w:cs="Times New Roman"/>
        </w:rPr>
        <w:t xml:space="preserve">The </w:t>
      </w:r>
      <w:r w:rsidR="00105E20">
        <w:rPr>
          <w:rFonts w:ascii="Times New Roman" w:hAnsi="Times New Roman" w:cs="Times New Roman"/>
        </w:rPr>
        <w:t>D</w:t>
      </w:r>
      <w:r w:rsidRPr="000443ED">
        <w:rPr>
          <w:rFonts w:ascii="Times New Roman" w:hAnsi="Times New Roman" w:cs="Times New Roman"/>
        </w:rPr>
        <w:t>R equals the scenario reserve following the requirements for Section 4.</w:t>
      </w:r>
    </w:p>
    <w:p w14:paraId="329E573A" w14:textId="3CAE5859" w:rsidR="002C726F" w:rsidRDefault="002C726F" w:rsidP="002C726F">
      <w:pPr>
        <w:pStyle w:val="Heading1"/>
        <w:rPr>
          <w:sz w:val="24"/>
          <w:szCs w:val="24"/>
        </w:rPr>
      </w:pPr>
      <w:bookmarkStart w:id="89" w:name="_Toc77242157"/>
      <w:bookmarkStart w:id="90" w:name="_Toc137649803"/>
      <w:r>
        <w:rPr>
          <w:sz w:val="24"/>
          <w:szCs w:val="24"/>
        </w:rPr>
        <w:t xml:space="preserve">Section 8: </w:t>
      </w:r>
      <w:r w:rsidR="00D64C27">
        <w:rPr>
          <w:sz w:val="24"/>
          <w:szCs w:val="24"/>
        </w:rPr>
        <w:t>To Be Determined (Scenario Generation for VM-21)</w:t>
      </w:r>
      <w:bookmarkEnd w:id="89"/>
      <w:bookmarkEnd w:id="90"/>
    </w:p>
    <w:p w14:paraId="5C6ACC88" w14:textId="083574D8" w:rsidR="00D64C27" w:rsidRDefault="00D64C27" w:rsidP="00D64C27"/>
    <w:p w14:paraId="05D04A7B" w14:textId="22C5F327" w:rsidR="00D64C27" w:rsidRDefault="00D64C27">
      <w:r>
        <w:br w:type="page"/>
      </w:r>
    </w:p>
    <w:p w14:paraId="7528AF6B" w14:textId="5B6D5D07" w:rsidR="00234C81" w:rsidRDefault="00D64C27" w:rsidP="00234C81">
      <w:pPr>
        <w:pStyle w:val="Heading1"/>
        <w:spacing w:line="240" w:lineRule="auto"/>
        <w:rPr>
          <w:sz w:val="24"/>
          <w:szCs w:val="24"/>
        </w:rPr>
      </w:pPr>
      <w:bookmarkStart w:id="91" w:name="_Toc77242158"/>
      <w:bookmarkStart w:id="92" w:name="_Toc137649804"/>
      <w:bookmarkStart w:id="93" w:name="_Hlk121318342"/>
      <w:r>
        <w:rPr>
          <w:sz w:val="24"/>
          <w:szCs w:val="24"/>
        </w:rPr>
        <w:lastRenderedPageBreak/>
        <w:t xml:space="preserve">Section 9: Modeling Hedges under a </w:t>
      </w:r>
      <w:r w:rsidR="00EF2E82">
        <w:rPr>
          <w:sz w:val="24"/>
          <w:szCs w:val="24"/>
        </w:rPr>
        <w:t xml:space="preserve">Non-Index Credit </w:t>
      </w:r>
      <w:r w:rsidR="004F3847">
        <w:rPr>
          <w:sz w:val="24"/>
          <w:szCs w:val="24"/>
        </w:rPr>
        <w:t xml:space="preserve">Future </w:t>
      </w:r>
      <w:r>
        <w:rPr>
          <w:sz w:val="24"/>
          <w:szCs w:val="24"/>
        </w:rPr>
        <w:t>Hedging Strategy</w:t>
      </w:r>
      <w:bookmarkEnd w:id="91"/>
      <w:bookmarkEnd w:id="92"/>
    </w:p>
    <w:bookmarkEnd w:id="93"/>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94" w:name="_Toc77242159"/>
      <w:bookmarkStart w:id="95" w:name="_Toc137649805"/>
      <w:r>
        <w:rPr>
          <w:sz w:val="22"/>
          <w:szCs w:val="22"/>
        </w:rPr>
        <w:t xml:space="preserve">A. </w:t>
      </w:r>
      <w:r w:rsidR="005613C4" w:rsidRPr="009E255A">
        <w:rPr>
          <w:sz w:val="22"/>
          <w:szCs w:val="22"/>
        </w:rPr>
        <w:t>Initial Considerations</w:t>
      </w:r>
      <w:bookmarkEnd w:id="94"/>
      <w:bookmarkEnd w:id="95"/>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r>
        <w:rPr>
          <w:rFonts w:ascii="Times New Roman" w:eastAsia="Times New Roman" w:hAnsi="Times New Roman"/>
        </w:rPr>
        <w:t>.</w:t>
      </w:r>
    </w:p>
    <w:p w14:paraId="3981800D" w14:textId="6CB43E46"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take into account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96" w:name="_Toc77242160"/>
      <w:bookmarkStart w:id="97" w:name="_Toc137649806"/>
      <w:r w:rsidRPr="009E255A">
        <w:rPr>
          <w:sz w:val="22"/>
          <w:szCs w:val="22"/>
        </w:rPr>
        <w:t>B.</w:t>
      </w:r>
      <w:r w:rsidRPr="009E255A">
        <w:rPr>
          <w:sz w:val="22"/>
          <w:szCs w:val="22"/>
        </w:rPr>
        <w:tab/>
        <w:t>Modeling Approaches</w:t>
      </w:r>
      <w:bookmarkEnd w:id="96"/>
      <w:bookmarkEnd w:id="97"/>
    </w:p>
    <w:p w14:paraId="68006967" w14:textId="77777777" w:rsidR="0040376D" w:rsidRPr="0040376D" w:rsidRDefault="0040376D" w:rsidP="0040376D">
      <w:pPr>
        <w:spacing w:after="0"/>
      </w:pPr>
    </w:p>
    <w:p w14:paraId="3D1DBA15" w14:textId="33C090E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27D72E9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55932C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98" w:name="_Toc77242161"/>
      <w:bookmarkStart w:id="99" w:name="_Toc137649807"/>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98"/>
      <w:bookmarkEnd w:id="99"/>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198F51B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hedge purposes solely related to strategies to hedge index</w:t>
      </w:r>
      <w:r>
        <w:rPr>
          <w:rFonts w:ascii="Times New Roman" w:eastAsia="Times New Roman" w:hAnsi="Times New Roman"/>
        </w:rPr>
        <w:t xml:space="preserve"> credits </w:t>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00"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01"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01"/>
      <w:r w:rsidR="00AD3A32">
        <w:rPr>
          <w:rFonts w:ascii="Times New Roman" w:eastAsia="Times New Roman" w:hAnsi="Times New Roman"/>
        </w:rPr>
        <w:t>12 months)</w:t>
      </w:r>
      <w:bookmarkEnd w:id="100"/>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For a material change in strategy with  less than 3 months of history, E should be 1.0. However, when a material change in hedging strategy with less than 3 months history is the introduction of hedging for a newly introduced product or newly acquired block of business and is supplemented by robust mock testing, 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r>
        <w:rPr>
          <w:rFonts w:ascii="Times New Roman" w:eastAsia="Times New Roman" w:hAnsi="Times New Roman"/>
        </w:rPr>
        <w:t>E</w:t>
      </w:r>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346FA2">
      <w:pPr>
        <w:pStyle w:val="ListParagraph"/>
        <w:widowControl w:val="0"/>
        <w:numPr>
          <w:ilvl w:val="0"/>
          <w:numId w:val="16"/>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346FA2">
      <w:pPr>
        <w:pStyle w:val="ListParagraph"/>
        <w:widowControl w:val="0"/>
        <w:numPr>
          <w:ilvl w:val="0"/>
          <w:numId w:val="16"/>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E20A58">
      <w:pPr>
        <w:pStyle w:val="Heading2"/>
        <w:numPr>
          <w:ilvl w:val="0"/>
          <w:numId w:val="98"/>
        </w:numPr>
        <w:rPr>
          <w:sz w:val="22"/>
          <w:szCs w:val="22"/>
        </w:rPr>
      </w:pPr>
      <w:bookmarkStart w:id="102" w:name="_Toc69402548"/>
      <w:bookmarkStart w:id="103" w:name="_Toc72749212"/>
      <w:bookmarkStart w:id="104" w:name="_Toc73281051"/>
      <w:bookmarkStart w:id="105" w:name="_Toc137649808"/>
      <w:r w:rsidRPr="009E255A" w:rsidDel="00574A28">
        <w:rPr>
          <w:sz w:val="22"/>
          <w:szCs w:val="22"/>
        </w:rPr>
        <w:t>Additional Considerations for CTE70 (best efforts)</w:t>
      </w:r>
      <w:bookmarkStart w:id="106" w:name="_Toc68863461"/>
      <w:bookmarkStart w:id="107" w:name="_Toc68863532"/>
      <w:bookmarkStart w:id="108" w:name="_Toc68863683"/>
      <w:bookmarkStart w:id="109" w:name="_Toc68864879"/>
      <w:bookmarkEnd w:id="102"/>
      <w:bookmarkEnd w:id="103"/>
      <w:bookmarkEnd w:id="104"/>
      <w:bookmarkEnd w:id="106"/>
      <w:bookmarkEnd w:id="107"/>
      <w:bookmarkEnd w:id="108"/>
      <w:bookmarkEnd w:id="109"/>
      <w:bookmarkEnd w:id="105"/>
    </w:p>
    <w:p w14:paraId="2F2AED5C" w14:textId="2166CB34" w:rsidR="0040376D" w:rsidRPr="0040376D" w:rsidDel="00574A28" w:rsidRDefault="0040376D" w:rsidP="00575FC9">
      <w:pPr>
        <w:spacing w:after="0"/>
        <w:ind w:left="360"/>
      </w:pPr>
      <w:bookmarkStart w:id="110" w:name="_Toc68863462"/>
      <w:bookmarkStart w:id="111" w:name="_Toc68863533"/>
      <w:bookmarkStart w:id="112" w:name="_Toc68863684"/>
      <w:bookmarkStart w:id="113" w:name="_Toc68864880"/>
      <w:bookmarkEnd w:id="110"/>
      <w:bookmarkEnd w:id="111"/>
      <w:bookmarkEnd w:id="112"/>
      <w:bookmarkEnd w:id="113"/>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14" w:name="_Toc68863463"/>
      <w:bookmarkStart w:id="115" w:name="_Toc68863534"/>
      <w:bookmarkStart w:id="116" w:name="_Toc68863685"/>
      <w:bookmarkStart w:id="117" w:name="_Toc68864881"/>
      <w:bookmarkEnd w:id="114"/>
      <w:bookmarkEnd w:id="115"/>
      <w:bookmarkEnd w:id="116"/>
      <w:bookmarkEnd w:id="117"/>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18" w:name="_Toc68863464"/>
      <w:bookmarkStart w:id="119" w:name="_Toc68863535"/>
      <w:bookmarkStart w:id="120" w:name="_Toc68863686"/>
      <w:bookmarkStart w:id="121" w:name="_Toc68864882"/>
      <w:bookmarkEnd w:id="118"/>
      <w:bookmarkEnd w:id="119"/>
      <w:bookmarkEnd w:id="120"/>
      <w:bookmarkEnd w:id="121"/>
    </w:p>
    <w:p w14:paraId="2C41467D" w14:textId="3F5D418B" w:rsidR="0040376D" w:rsidRDefault="005613C4" w:rsidP="00E20A58">
      <w:pPr>
        <w:pStyle w:val="Heading2"/>
        <w:numPr>
          <w:ilvl w:val="0"/>
          <w:numId w:val="98"/>
        </w:numPr>
        <w:rPr>
          <w:sz w:val="22"/>
          <w:szCs w:val="22"/>
        </w:rPr>
      </w:pPr>
      <w:bookmarkStart w:id="122" w:name="_Toc77242162"/>
      <w:bookmarkStart w:id="123" w:name="_Toc137649809"/>
      <w:r w:rsidRPr="009E255A">
        <w:rPr>
          <w:sz w:val="22"/>
          <w:szCs w:val="22"/>
        </w:rPr>
        <w:t>Specific Considerations and Requirements</w:t>
      </w:r>
      <w:bookmarkEnd w:id="122"/>
      <w:bookmarkEnd w:id="123"/>
    </w:p>
    <w:p w14:paraId="16D83249" w14:textId="77777777" w:rsidR="0040376D" w:rsidRPr="0040376D" w:rsidRDefault="0040376D" w:rsidP="0040376D">
      <w:pPr>
        <w:spacing w:after="0"/>
      </w:pPr>
    </w:p>
    <w:p w14:paraId="4AC744DB" w14:textId="63D324E3"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58288B3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lastRenderedPageBreak/>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6CA5BD8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24" w:name="_Toc77242163"/>
      <w:bookmarkStart w:id="125" w:name="_Toc137649810"/>
      <w:bookmarkStart w:id="126"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24"/>
      <w:bookmarkEnd w:id="125"/>
    </w:p>
    <w:bookmarkEnd w:id="126"/>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27" w:name="_Toc77242164"/>
      <w:bookmarkStart w:id="128" w:name="_Toc137649811"/>
      <w:r w:rsidRPr="009E255A">
        <w:rPr>
          <w:sz w:val="22"/>
          <w:szCs w:val="22"/>
        </w:rPr>
        <w:t>A.</w:t>
      </w:r>
      <w:r w:rsidRPr="009E255A">
        <w:rPr>
          <w:sz w:val="22"/>
          <w:szCs w:val="22"/>
        </w:rPr>
        <w:tab/>
        <w:t>General</w:t>
      </w:r>
      <w:bookmarkEnd w:id="127"/>
      <w:bookmarkEnd w:id="128"/>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AD0E74">
      <w:pPr>
        <w:pStyle w:val="ListParagraph"/>
        <w:widowControl w:val="0"/>
        <w:numPr>
          <w:ilvl w:val="0"/>
          <w:numId w:val="17"/>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AD0E74">
      <w:pPr>
        <w:pStyle w:val="Heading2"/>
        <w:numPr>
          <w:ilvl w:val="0"/>
          <w:numId w:val="29"/>
        </w:numPr>
        <w:rPr>
          <w:sz w:val="22"/>
          <w:szCs w:val="22"/>
        </w:rPr>
      </w:pPr>
      <w:bookmarkStart w:id="129" w:name="_Toc77242165"/>
      <w:bookmarkStart w:id="130" w:name="_Toc137649812"/>
      <w:r w:rsidRPr="00ED64B6">
        <w:rPr>
          <w:sz w:val="22"/>
          <w:szCs w:val="22"/>
        </w:rPr>
        <w:t>Aggregate vs. Individual Margins</w:t>
      </w:r>
      <w:bookmarkEnd w:id="129"/>
      <w:bookmarkEnd w:id="130"/>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31" w:name="_Hlk46498433"/>
      <w:r w:rsidRPr="00ED64B6">
        <w:rPr>
          <w:rFonts w:ascii="Times New Roman" w:eastAsia="Times New Roman" w:hAnsi="Times New Roman"/>
        </w:rPr>
        <w: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32" w:name="_Toc77242166"/>
      <w:bookmarkStart w:id="133" w:name="_Toc137649813"/>
      <w:bookmarkEnd w:id="131"/>
      <w:r w:rsidRPr="009E255A">
        <w:rPr>
          <w:sz w:val="22"/>
          <w:szCs w:val="22"/>
        </w:rPr>
        <w:t>C.</w:t>
      </w:r>
      <w:r w:rsidRPr="00D31106">
        <w:tab/>
      </w:r>
      <w:r w:rsidRPr="009E255A">
        <w:rPr>
          <w:sz w:val="22"/>
          <w:szCs w:val="22"/>
        </w:rPr>
        <w:t>Sensitivity Testing</w:t>
      </w:r>
      <w:bookmarkEnd w:id="132"/>
      <w:bookmarkEnd w:id="133"/>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34"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AD0E74">
      <w:pPr>
        <w:pStyle w:val="ListParagraph"/>
        <w:keepNext/>
        <w:keepLines/>
        <w:numPr>
          <w:ilvl w:val="0"/>
          <w:numId w:val="70"/>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AD0E74">
      <w:pPr>
        <w:pStyle w:val="ListParagraph"/>
        <w:keepNext/>
        <w:keepLines/>
        <w:numPr>
          <w:ilvl w:val="0"/>
          <w:numId w:val="70"/>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AD0E74">
      <w:pPr>
        <w:pStyle w:val="ListParagraph"/>
        <w:keepNext/>
        <w:keepLines/>
        <w:numPr>
          <w:ilvl w:val="0"/>
          <w:numId w:val="70"/>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34"/>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AD0E74">
      <w:pPr>
        <w:pStyle w:val="ListParagraph"/>
        <w:numPr>
          <w:ilvl w:val="3"/>
          <w:numId w:val="22"/>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AD0E74">
      <w:pPr>
        <w:pStyle w:val="ListParagraph"/>
        <w:numPr>
          <w:ilvl w:val="3"/>
          <w:numId w:val="22"/>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AD0E74">
      <w:pPr>
        <w:pStyle w:val="Heading2"/>
        <w:numPr>
          <w:ilvl w:val="0"/>
          <w:numId w:val="65"/>
        </w:numPr>
        <w:spacing w:before="0"/>
        <w:rPr>
          <w:sz w:val="22"/>
          <w:szCs w:val="22"/>
        </w:rPr>
      </w:pPr>
      <w:bookmarkStart w:id="135" w:name="_Toc77242167"/>
      <w:bookmarkStart w:id="136" w:name="_Toc137649814"/>
      <w:r w:rsidRPr="009E255A">
        <w:rPr>
          <w:sz w:val="22"/>
          <w:szCs w:val="22"/>
        </w:rPr>
        <w:t>Specific Considerations and Requirements</w:t>
      </w:r>
      <w:bookmarkEnd w:id="135"/>
      <w:bookmarkEnd w:id="136"/>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AD0E74">
      <w:pPr>
        <w:pStyle w:val="ListParagraph"/>
        <w:widowControl w:val="0"/>
        <w:numPr>
          <w:ilvl w:val="1"/>
          <w:numId w:val="6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AD0E74">
      <w:pPr>
        <w:pStyle w:val="ListParagraph"/>
        <w:widowControl w:val="0"/>
        <w:numPr>
          <w:ilvl w:val="0"/>
          <w:numId w:val="68"/>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AD0E74">
      <w:pPr>
        <w:pStyle w:val="ListParagraph"/>
        <w:widowControl w:val="0"/>
        <w:numPr>
          <w:ilvl w:val="0"/>
          <w:numId w:val="6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AD0E74">
      <w:pPr>
        <w:pStyle w:val="ListParagraph"/>
        <w:widowControl w:val="0"/>
        <w:numPr>
          <w:ilvl w:val="0"/>
          <w:numId w:val="21"/>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783BCE3C"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37" w:name="_Toc77242168"/>
      <w:bookmarkStart w:id="138" w:name="_Toc137649815"/>
      <w:r w:rsidRPr="009E255A">
        <w:rPr>
          <w:sz w:val="22"/>
          <w:szCs w:val="22"/>
        </w:rPr>
        <w:t>E.</w:t>
      </w:r>
      <w:r w:rsidRPr="009E255A">
        <w:rPr>
          <w:sz w:val="22"/>
          <w:szCs w:val="22"/>
        </w:rPr>
        <w:tab/>
        <w:t>Dynamic Assumptions</w:t>
      </w:r>
      <w:bookmarkEnd w:id="137"/>
      <w:bookmarkEnd w:id="138"/>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39" w:name="_Toc77242169"/>
      <w:bookmarkStart w:id="140" w:name="_Toc137649816"/>
      <w:r w:rsidRPr="009E255A">
        <w:rPr>
          <w:sz w:val="22"/>
          <w:szCs w:val="22"/>
        </w:rPr>
        <w:t>F.</w:t>
      </w:r>
      <w:r w:rsidRPr="009E255A">
        <w:rPr>
          <w:sz w:val="22"/>
          <w:szCs w:val="22"/>
        </w:rPr>
        <w:tab/>
        <w:t>Consistency with the CTE Level</w:t>
      </w:r>
      <w:bookmarkEnd w:id="139"/>
      <w:bookmarkEnd w:id="140"/>
    </w:p>
    <w:p w14:paraId="4FC04514" w14:textId="77777777" w:rsidR="0040376D" w:rsidRPr="0040376D" w:rsidRDefault="0040376D" w:rsidP="0040376D">
      <w:pPr>
        <w:spacing w:after="0"/>
      </w:pPr>
    </w:p>
    <w:p w14:paraId="1E739AAF" w14:textId="4EF94FE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AD0E74">
      <w:pPr>
        <w:pStyle w:val="ListParagraph"/>
        <w:widowControl w:val="0"/>
        <w:numPr>
          <w:ilvl w:val="0"/>
          <w:numId w:val="19"/>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AD0E74">
      <w:pPr>
        <w:pStyle w:val="ListParagraph"/>
        <w:widowControl w:val="0"/>
        <w:numPr>
          <w:ilvl w:val="0"/>
          <w:numId w:val="19"/>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AD0E74">
      <w:pPr>
        <w:pStyle w:val="ListParagraph"/>
        <w:widowControl w:val="0"/>
        <w:numPr>
          <w:ilvl w:val="0"/>
          <w:numId w:val="20"/>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41" w:name="_Toc77242170"/>
      <w:bookmarkStart w:id="142" w:name="_Toc137649817"/>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41"/>
      <w:bookmarkEnd w:id="142"/>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AD0E74">
      <w:pPr>
        <w:pStyle w:val="Heading2"/>
        <w:numPr>
          <w:ilvl w:val="0"/>
          <w:numId w:val="66"/>
        </w:numPr>
        <w:ind w:left="720" w:hanging="720"/>
        <w:rPr>
          <w:sz w:val="22"/>
          <w:szCs w:val="22"/>
        </w:rPr>
      </w:pPr>
      <w:bookmarkStart w:id="143" w:name="_Toc77242171"/>
      <w:bookmarkStart w:id="144" w:name="_Toc137649818"/>
      <w:r w:rsidRPr="009E255A">
        <w:rPr>
          <w:sz w:val="22"/>
          <w:szCs w:val="22"/>
        </w:rPr>
        <w:t>Policy Loans</w:t>
      </w:r>
      <w:bookmarkEnd w:id="143"/>
      <w:bookmarkEnd w:id="144"/>
    </w:p>
    <w:p w14:paraId="4C7EDEEB" w14:textId="77777777" w:rsidR="005613C4" w:rsidRPr="00010E14" w:rsidRDefault="005613C4" w:rsidP="005613C4">
      <w:pPr>
        <w:pStyle w:val="ListParagraph"/>
        <w:rPr>
          <w:rFonts w:ascii="Times New Roman" w:hAnsi="Times New Roman"/>
        </w:rPr>
      </w:pPr>
    </w:p>
    <w:p w14:paraId="015F6E35" w14:textId="6B1E6627"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p>
    <w:p w14:paraId="45139E7A" w14:textId="77777777" w:rsidR="005613C4" w:rsidRPr="00010E14" w:rsidRDefault="005613C4" w:rsidP="00AD0E74">
      <w:pPr>
        <w:pStyle w:val="ListParagraph"/>
        <w:widowControl w:val="0"/>
        <w:numPr>
          <w:ilvl w:val="0"/>
          <w:numId w:val="23"/>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If the company substitutes assets that are a proxy for policy 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77777777" w:rsidR="005613C4" w:rsidRPr="00D53304" w:rsidRDefault="005613C4" w:rsidP="00AD0E74">
      <w:pPr>
        <w:pStyle w:val="NoSpacing"/>
        <w:numPr>
          <w:ilvl w:val="0"/>
          <w:numId w:val="23"/>
        </w:numPr>
        <w:spacing w:after="220"/>
        <w:ind w:left="1440" w:hanging="720"/>
        <w:jc w:val="both"/>
        <w:rPr>
          <w:rFonts w:ascii="Times New Roman" w:hAnsi="Times New Roman"/>
        </w:rPr>
      </w:pPr>
      <w:r w:rsidRPr="00D53304">
        <w:rPr>
          <w:rFonts w:ascii="Times New Roman" w:hAnsi="Times New Roman"/>
        </w:rPr>
        <w:t>If the company models policy loans explicitly, the company shall:</w:t>
      </w:r>
    </w:p>
    <w:p w14:paraId="49EE180A" w14:textId="6EED2944" w:rsidR="00C1561C" w:rsidRDefault="005613C4" w:rsidP="00AD0E74">
      <w:pPr>
        <w:pStyle w:val="ListParagraph"/>
        <w:numPr>
          <w:ilvl w:val="0"/>
          <w:numId w:val="54"/>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policy 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598C9AAF"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policy 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862A33D"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r w:rsidR="00FD3C36">
        <w:rPr>
          <w:rFonts w:ascii="Times New Roman" w:eastAsia="Times New Roman" w:hAnsi="Times New Roman"/>
        </w:rPr>
        <w:t xml:space="preserve">negative </w:t>
      </w:r>
      <w:r w:rsidR="005613C4" w:rsidRPr="00D53304">
        <w:rPr>
          <w:rFonts w:ascii="Times New Roman" w:eastAsia="Times New Roman" w:hAnsi="Times New Roman"/>
        </w:rPr>
        <w:t>policy 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AD0E74">
      <w:pPr>
        <w:pStyle w:val="Heading2"/>
        <w:numPr>
          <w:ilvl w:val="0"/>
          <w:numId w:val="66"/>
        </w:numPr>
        <w:spacing w:line="240" w:lineRule="auto"/>
        <w:ind w:left="720" w:hanging="720"/>
        <w:jc w:val="both"/>
        <w:rPr>
          <w:sz w:val="22"/>
          <w:szCs w:val="22"/>
        </w:rPr>
      </w:pPr>
      <w:bookmarkStart w:id="145" w:name="_Toc77242172"/>
      <w:bookmarkStart w:id="146" w:name="_Toc137649819"/>
      <w:bookmarkStart w:id="147" w:name="_Hlk67471705"/>
      <w:r w:rsidRPr="00A07F8C">
        <w:rPr>
          <w:sz w:val="22"/>
          <w:szCs w:val="22"/>
        </w:rPr>
        <w:t>Non-Guaranteed Elements</w:t>
      </w:r>
      <w:bookmarkEnd w:id="145"/>
      <w:bookmarkEnd w:id="146"/>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48"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48"/>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1806C07E" w:rsidR="00A16BAE" w:rsidRPr="000443ED"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rFonts w:ascii="Times New Roman" w:eastAsia="Times New Roman" w:hAnsi="Times New Roman"/>
        </w:rPr>
      </w:pPr>
      <w:r w:rsidRPr="000443ED">
        <w:rPr>
          <w:rFonts w:ascii="Times New Roman" w:eastAsia="Times New Roman" w:hAnsi="Times New Roman"/>
          <w:b/>
          <w:bCs/>
        </w:rPr>
        <w:t>Drafting Note:</w:t>
      </w:r>
      <w:r w:rsidRPr="000443ED">
        <w:rPr>
          <w:rFonts w:ascii="Times New Roman" w:eastAsia="Times New Roman" w:hAnsi="Times New Roman"/>
        </w:rPr>
        <w:t xml:space="preserve"> Comments are sought for any insight into whether authorization from the board or documentation should be considered in allowing exclusion of NGEs.</w:t>
      </w:r>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385B848B"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w:t>
      </w:r>
      <w:r w:rsidR="0018608C">
        <w:rPr>
          <w:rFonts w:ascii="Times New Roman" w:eastAsia="Times New Roman" w:hAnsi="Times New Roman"/>
        </w:rPr>
        <w:t>SR</w:t>
      </w:r>
      <w:r w:rsidRPr="00010E14">
        <w:rPr>
          <w:rFonts w:ascii="Times New Roman" w:eastAsia="Times New Roman" w:hAnsi="Times New Roman"/>
        </w:rPr>
        <w:t>.</w:t>
      </w:r>
    </w:p>
    <w:p w14:paraId="7D80EBB0" w14:textId="454863B6"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47"/>
      <w:r w:rsidR="00534043" w:rsidRPr="00534043">
        <w:rPr>
          <w:rFonts w:ascii="Times New Roman" w:eastAsia="Times New Roman" w:hAnsi="Times New Roman"/>
        </w:rPr>
        <w:t xml:space="preserve"> </w:t>
      </w:r>
      <w:bookmarkStart w:id="149"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49"/>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50" w:name="_Toc77242173"/>
      <w:bookmarkStart w:id="151" w:name="_Toc137649820"/>
      <w:r w:rsidR="00D64C27">
        <w:rPr>
          <w:sz w:val="24"/>
          <w:szCs w:val="24"/>
        </w:rPr>
        <w:lastRenderedPageBreak/>
        <w:t>Section 11: Guidance and Requirements for Setting Prudent Estimate Mortality Assumptions</w:t>
      </w:r>
      <w:bookmarkEnd w:id="150"/>
      <w:bookmarkEnd w:id="151"/>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52" w:name="_Toc77242174"/>
      <w:bookmarkStart w:id="153" w:name="_Toc137649821"/>
      <w:r w:rsidRPr="009E255A">
        <w:rPr>
          <w:sz w:val="22"/>
          <w:szCs w:val="22"/>
        </w:rPr>
        <w:t>A.</w:t>
      </w:r>
      <w:r w:rsidRPr="009E255A">
        <w:rPr>
          <w:sz w:val="22"/>
          <w:szCs w:val="22"/>
        </w:rPr>
        <w:tab/>
        <w:t>Overview</w:t>
      </w:r>
      <w:bookmarkEnd w:id="152"/>
      <w:bookmarkEnd w:id="153"/>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5D751449"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similar to </w:t>
      </w:r>
      <w:r w:rsidRPr="00574A28">
        <w:rPr>
          <w:rFonts w:ascii="Times New Roman" w:hAnsi="Times New Roman" w:cs="Times New Roman"/>
        </w:rPr>
        <w:lastRenderedPageBreak/>
        <w:t>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AD0E74">
      <w:pPr>
        <w:pStyle w:val="ListParagraph"/>
        <w:widowControl w:val="0"/>
        <w:numPr>
          <w:ilvl w:val="0"/>
          <w:numId w:val="24"/>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54" w:name="_Toc77242175"/>
      <w:bookmarkStart w:id="155" w:name="_Toc137649822"/>
      <w:r w:rsidRPr="009E255A">
        <w:rPr>
          <w:sz w:val="22"/>
          <w:szCs w:val="22"/>
        </w:rPr>
        <w:t>B.</w:t>
      </w:r>
      <w:r w:rsidRPr="009E255A">
        <w:rPr>
          <w:sz w:val="22"/>
          <w:szCs w:val="22"/>
        </w:rPr>
        <w:tab/>
        <w:t>Determination of Expected Mortality Curves</w:t>
      </w:r>
      <w:bookmarkEnd w:id="154"/>
      <w:bookmarkEnd w:id="155"/>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25BD6D04" w:rsidR="00353C4A" w:rsidRDefault="00A95AE3" w:rsidP="00AD0E74">
      <w:pPr>
        <w:pStyle w:val="ListParagraph"/>
        <w:numPr>
          <w:ilvl w:val="0"/>
          <w:numId w:val="51"/>
        </w:numPr>
        <w:spacing w:after="220" w:line="240" w:lineRule="auto"/>
        <w:jc w:val="both"/>
        <w:rPr>
          <w:rFonts w:ascii="Times New Roman" w:eastAsia="Times New Roman" w:hAnsi="Times New Roman"/>
        </w:rPr>
      </w:pPr>
      <w:bookmarkStart w:id="156" w:name="_Hlk62486510"/>
      <w:r w:rsidRPr="0040376D">
        <w:rPr>
          <w:rFonts w:ascii="Times New Roman" w:eastAsia="Times New Roman" w:hAnsi="Times New Roman"/>
        </w:rPr>
        <w:t>W</w:t>
      </w:r>
      <w:bookmarkEnd w:id="156"/>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p>
    <w:p w14:paraId="79D213A7" w14:textId="5D720B70" w:rsidR="00353C4A" w:rsidRPr="00DF7A8C" w:rsidRDefault="00353C4A" w:rsidP="002514EA">
      <w:pPr>
        <w:spacing w:after="220" w:line="240" w:lineRule="auto"/>
        <w:ind w:left="2240"/>
        <w:jc w:val="both"/>
        <w:rPr>
          <w:rFonts w:ascii="Times New Roman" w:eastAsia="Times New Roman" w:hAnsi="Times New Roman"/>
        </w:rPr>
      </w:pPr>
      <w:r w:rsidRPr="00A95AE3">
        <w:rPr>
          <w:rFonts w:ascii="Times New Roman" w:eastAsia="Times New Roman" w:hAnsi="Times New Roman"/>
        </w:rPr>
        <w:t>[</w:t>
      </w:r>
      <w:r w:rsidRPr="00DF7A8C">
        <w:rPr>
          <w:rFonts w:ascii="Times New Roman" w:eastAsia="Times New Roman" w:hAnsi="Times New Roman"/>
          <w:highlight w:val="yellow"/>
        </w:rPr>
        <w:t>2021 SOA Deferred Annuity Mortality Table</w:t>
      </w:r>
      <w:r w:rsidRPr="00DF7A8C">
        <w:rPr>
          <w:rFonts w:ascii="Times New Roman" w:eastAsia="Times New Roman" w:hAnsi="Times New Roman"/>
        </w:rPr>
        <w:t>] with [</w:t>
      </w:r>
      <w:r w:rsidRPr="00DF7A8C">
        <w:rPr>
          <w:rFonts w:ascii="Times New Roman" w:eastAsia="Times New Roman" w:hAnsi="Times New Roman"/>
          <w:highlight w:val="yellow"/>
        </w:rPr>
        <w:t>Projection Scale G2</w:t>
      </w:r>
      <w:r w:rsidRPr="00DF7A8C">
        <w:rPr>
          <w:rFonts w:ascii="Times New Roman" w:eastAsia="Times New Roman" w:hAnsi="Times New Roman"/>
        </w:rPr>
        <w:t>] for individual deferred annuities that do not contain guaranteed living benefits</w:t>
      </w:r>
    </w:p>
    <w:p w14:paraId="0B48E0E9" w14:textId="77777777" w:rsidR="00353C4A" w:rsidRPr="00A95AE3" w:rsidRDefault="00353C4A" w:rsidP="00AF5FFF">
      <w:pPr>
        <w:pStyle w:val="ListParagraph"/>
        <w:spacing w:after="0" w:line="240" w:lineRule="auto"/>
        <w:ind w:left="2218"/>
        <w:jc w:val="both"/>
        <w:rPr>
          <w:rFonts w:ascii="Times New Roman" w:eastAsia="Times New Roman" w:hAnsi="Times New Roman"/>
        </w:rPr>
      </w:pPr>
    </w:p>
    <w:p w14:paraId="05E90C36" w14:textId="77777777" w:rsidR="00353C4A" w:rsidRPr="00A95AE3" w:rsidRDefault="00530199" w:rsidP="00AF5FFF">
      <w:pPr>
        <w:spacing w:after="0" w:line="240" w:lineRule="auto"/>
        <w:ind w:left="216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20XX</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5886249E" w14:textId="77777777" w:rsidR="00353C4A" w:rsidRPr="00A95AE3" w:rsidRDefault="00353C4A" w:rsidP="00353C4A">
      <w:pPr>
        <w:pStyle w:val="ListParagraph"/>
        <w:spacing w:after="220" w:line="240" w:lineRule="auto"/>
        <w:ind w:left="2220"/>
        <w:jc w:val="both"/>
        <w:rPr>
          <w:rFonts w:ascii="Times New Roman" w:eastAsia="Times New Roman" w:hAnsi="Times New Roman"/>
        </w:rPr>
      </w:pPr>
    </w:p>
    <w:p w14:paraId="1569D7FC" w14:textId="26F81B40" w:rsidR="00B344BD" w:rsidRDefault="00B344BD" w:rsidP="00AD0E74">
      <w:pPr>
        <w:pStyle w:val="ListParagraph"/>
        <w:numPr>
          <w:ilvl w:val="0"/>
          <w:numId w:val="51"/>
        </w:numPr>
        <w:spacing w:after="220" w:line="240" w:lineRule="auto"/>
        <w:jc w:val="both"/>
        <w:rPr>
          <w:rFonts w:ascii="Times New Roman" w:eastAsia="Times New Roman" w:hAnsi="Times New Roman"/>
        </w:rPr>
      </w:pPr>
      <w:r w:rsidRPr="0040376D">
        <w:rPr>
          <w:rFonts w:ascii="Times New Roman" w:eastAsia="Times New Roman" w:hAnsi="Times New Roman"/>
        </w:rPr>
        <w:t>W</w:t>
      </w:r>
      <w:r w:rsidRPr="00B344BD">
        <w:rPr>
          <w:rFonts w:ascii="Times New Roman" w:eastAsia="Times New Roman" w:hAnsi="Times New Roman"/>
        </w:rPr>
        <w:t xml:space="preserve">hen little or no experience or information is available on a business segment, the company shall use expected mortality curves that would produce expected deaths no </w:t>
      </w:r>
      <w:r w:rsidR="00023BFA">
        <w:rPr>
          <w:rFonts w:ascii="Times New Roman" w:eastAsia="Times New Roman" w:hAnsi="Times New Roman"/>
        </w:rPr>
        <w:t>greater</w:t>
      </w:r>
      <w:r w:rsidRPr="00B344BD">
        <w:rPr>
          <w:rFonts w:ascii="Times New Roman" w:eastAsia="Times New Roman" w:hAnsi="Times New Roman"/>
        </w:rPr>
        <w:t xml:space="preserve"> than:</w:t>
      </w:r>
    </w:p>
    <w:p w14:paraId="0DA887AE" w14:textId="77777777" w:rsidR="00B344BD" w:rsidRDefault="00B344BD" w:rsidP="00B344BD">
      <w:pPr>
        <w:pStyle w:val="ListParagraph"/>
        <w:spacing w:after="220" w:line="240" w:lineRule="auto"/>
        <w:ind w:left="2160"/>
        <w:jc w:val="both"/>
        <w:rPr>
          <w:rFonts w:ascii="Times New Roman" w:eastAsia="Times New Roman" w:hAnsi="Times New Roman"/>
        </w:rPr>
      </w:pPr>
    </w:p>
    <w:p w14:paraId="2D37B9A9" w14:textId="41C3BFF9" w:rsidR="00353C4A" w:rsidRPr="00A95AE3" w:rsidRDefault="00353C4A" w:rsidP="00AD0E74">
      <w:pPr>
        <w:pStyle w:val="ListParagraph"/>
        <w:numPr>
          <w:ilvl w:val="1"/>
          <w:numId w:val="51"/>
        </w:numPr>
        <w:spacing w:after="220" w:line="240" w:lineRule="auto"/>
        <w:jc w:val="both"/>
        <w:rPr>
          <w:rFonts w:ascii="Times New Roman" w:eastAsia="Times New Roman" w:hAnsi="Times New Roman"/>
        </w:rPr>
      </w:pPr>
      <w:r w:rsidRPr="00A95AE3">
        <w:rPr>
          <w:rFonts w:ascii="Times New Roman" w:eastAsia="Times New Roman" w:hAnsi="Times New Roman"/>
        </w:rPr>
        <w:t>[</w:t>
      </w:r>
      <w:r w:rsidRPr="00A95AE3">
        <w:rPr>
          <w:rFonts w:ascii="Times New Roman" w:eastAsia="Times New Roman" w:hAnsi="Times New Roman"/>
          <w:highlight w:val="yellow"/>
        </w:rPr>
        <w:t>The appropriate percentage (F</w:t>
      </w:r>
      <w:r w:rsidRPr="00A95AE3">
        <w:rPr>
          <w:rFonts w:ascii="Times New Roman" w:eastAsia="Times New Roman" w:hAnsi="Times New Roman"/>
          <w:highlight w:val="yellow"/>
          <w:vertAlign w:val="subscript"/>
        </w:rPr>
        <w:t>x</w:t>
      </w:r>
      <w:r w:rsidRPr="00A95AE3">
        <w:rPr>
          <w:rFonts w:ascii="Times New Roman" w:eastAsia="Times New Roman" w:hAnsi="Times New Roman"/>
          <w:highlight w:val="yellow"/>
        </w:rPr>
        <w:t>) from Table 11.1 applied to the 2012 IAM Basic Mortality Table</w:t>
      </w:r>
      <w:r w:rsidR="00A95AE3">
        <w:rPr>
          <w:rFonts w:ascii="Times New Roman" w:eastAsia="Times New Roman" w:hAnsi="Times New Roman"/>
        </w:rPr>
        <w:t>]</w:t>
      </w:r>
      <w:r w:rsidRPr="00A95AE3">
        <w:rPr>
          <w:rFonts w:ascii="Times New Roman" w:eastAsia="Times New Roman" w:hAnsi="Times New Roman"/>
        </w:rPr>
        <w:t xml:space="preserve"> with [</w:t>
      </w:r>
      <w:r w:rsidRPr="00A95AE3">
        <w:rPr>
          <w:rFonts w:ascii="Times New Roman" w:eastAsia="Times New Roman" w:hAnsi="Times New Roman"/>
          <w:highlight w:val="yellow"/>
        </w:rPr>
        <w:t>Projection Scale G2</w:t>
      </w:r>
      <w:r w:rsidRPr="00A95AE3">
        <w:rPr>
          <w:rFonts w:ascii="Times New Roman" w:eastAsia="Times New Roman" w:hAnsi="Times New Roman"/>
        </w:rPr>
        <w:t>] for individual payout annuity contracts and deferred annuity contracts with guaranteed living benefits</w:t>
      </w:r>
    </w:p>
    <w:p w14:paraId="4DDA5053" w14:textId="77777777" w:rsidR="00353C4A" w:rsidRPr="00A95AE3" w:rsidRDefault="00353C4A" w:rsidP="00353C4A">
      <w:pPr>
        <w:pStyle w:val="ListParagraph"/>
        <w:spacing w:after="220" w:line="240" w:lineRule="auto"/>
        <w:ind w:left="2220"/>
        <w:rPr>
          <w:rFonts w:ascii="Times New Roman" w:eastAsia="Times New Roman" w:hAnsi="Times New Roman"/>
        </w:rPr>
      </w:pPr>
    </w:p>
    <w:p w14:paraId="3C05DD37" w14:textId="63A06573" w:rsidR="00B344BD" w:rsidRDefault="00530199" w:rsidP="007C7E39">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2012</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G2</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x</m:t>
              </m:r>
            </m:sub>
          </m:sSub>
        </m:oMath>
      </m:oMathPara>
    </w:p>
    <w:p w14:paraId="310552A4" w14:textId="77777777" w:rsidR="00B344BD" w:rsidRPr="00B344BD" w:rsidRDefault="00B344BD" w:rsidP="00B344BD">
      <w:pPr>
        <w:pStyle w:val="ListParagraph"/>
        <w:spacing w:after="220" w:line="240" w:lineRule="auto"/>
        <w:ind w:left="2160"/>
        <w:jc w:val="both"/>
        <w:rPr>
          <w:rFonts w:ascii="Times New Roman" w:eastAsia="Times New Roman" w:hAnsi="Times New Roman"/>
        </w:rPr>
      </w:pPr>
    </w:p>
    <w:p w14:paraId="4804507C" w14:textId="0A0DC5DA" w:rsidR="00B344BD" w:rsidRPr="00A95AE3" w:rsidRDefault="00B344BD" w:rsidP="00AD0E74">
      <w:pPr>
        <w:pStyle w:val="ListParagraph"/>
        <w:numPr>
          <w:ilvl w:val="1"/>
          <w:numId w:val="51"/>
        </w:numPr>
        <w:spacing w:after="220" w:line="240" w:lineRule="auto"/>
        <w:jc w:val="both"/>
        <w:rPr>
          <w:rFonts w:ascii="Times New Roman" w:eastAsia="Times New Roman" w:hAnsi="Times New Roman"/>
        </w:rPr>
      </w:pPr>
      <w:r w:rsidRPr="00A95AE3">
        <w:rPr>
          <w:rFonts w:ascii="Times New Roman" w:eastAsia="Times New Roman" w:hAnsi="Times New Roman"/>
        </w:rPr>
        <w:t>[</w:t>
      </w:r>
      <w:r w:rsidRPr="00A95AE3">
        <w:rPr>
          <w:rFonts w:ascii="Times New Roman" w:eastAsia="Times New Roman" w:hAnsi="Times New Roman"/>
          <w:highlight w:val="yellow"/>
        </w:rPr>
        <w:t>1983 Table “a”</w:t>
      </w:r>
      <w:r w:rsidRPr="00A95AE3">
        <w:rPr>
          <w:rFonts w:ascii="Times New Roman" w:eastAsia="Times New Roman" w:hAnsi="Times New Roman"/>
        </w:rPr>
        <w:t xml:space="preserve">] </w:t>
      </w:r>
      <w:r w:rsidR="002B6AD8">
        <w:rPr>
          <w:rFonts w:ascii="Times New Roman" w:eastAsia="Times New Roman" w:hAnsi="Times New Roman"/>
        </w:rPr>
        <w:t>f</w:t>
      </w:r>
      <w:r w:rsidRPr="00A95AE3">
        <w:rPr>
          <w:rFonts w:ascii="Times New Roman" w:eastAsia="Times New Roman" w:hAnsi="Times New Roman"/>
        </w:rPr>
        <w:t>or structured settlements or other contracts with impaired mortality</w:t>
      </w:r>
    </w:p>
    <w:p w14:paraId="24BE8520" w14:textId="77777777" w:rsidR="00B344BD" w:rsidRDefault="00B344BD" w:rsidP="00B344BD">
      <w:pPr>
        <w:pStyle w:val="ListParagraph"/>
        <w:spacing w:after="220" w:line="240" w:lineRule="auto"/>
        <w:ind w:left="2220"/>
        <w:jc w:val="both"/>
        <w:rPr>
          <w:rFonts w:ascii="Times New Roman" w:eastAsia="Times New Roman" w:hAnsi="Times New Roman"/>
        </w:rPr>
      </w:pPr>
    </w:p>
    <w:p w14:paraId="2B652650" w14:textId="0CB55D07" w:rsidR="00353C4A" w:rsidRPr="00A95AE3" w:rsidRDefault="00353C4A" w:rsidP="00AD0E74">
      <w:pPr>
        <w:pStyle w:val="ListParagraph"/>
        <w:numPr>
          <w:ilvl w:val="1"/>
          <w:numId w:val="51"/>
        </w:numPr>
        <w:spacing w:after="220" w:line="240" w:lineRule="auto"/>
        <w:jc w:val="both"/>
        <w:rPr>
          <w:rFonts w:ascii="Times New Roman" w:eastAsia="Times New Roman" w:hAnsi="Times New Roman"/>
        </w:rPr>
      </w:pPr>
      <w:r w:rsidRPr="00A95AE3">
        <w:rPr>
          <w:rFonts w:ascii="Times New Roman" w:eastAsia="Times New Roman" w:hAnsi="Times New Roman"/>
        </w:rPr>
        <w:t>[</w:t>
      </w:r>
      <w:r w:rsidRPr="00A95AE3">
        <w:rPr>
          <w:rFonts w:ascii="Times New Roman" w:eastAsia="Times New Roman" w:hAnsi="Times New Roman"/>
          <w:highlight w:val="yellow"/>
        </w:rPr>
        <w:t>1994 GAR Table</w:t>
      </w:r>
      <w:r w:rsidRPr="00A95AE3">
        <w:rPr>
          <w:rFonts w:ascii="Times New Roman" w:eastAsia="Times New Roman" w:hAnsi="Times New Roman"/>
        </w:rPr>
        <w:t>] with [</w:t>
      </w:r>
      <w:r w:rsidRPr="00A95AE3">
        <w:rPr>
          <w:rFonts w:ascii="Times New Roman" w:eastAsia="Times New Roman" w:hAnsi="Times New Roman"/>
          <w:highlight w:val="yellow"/>
        </w:rPr>
        <w:t>Projection Scale AA</w:t>
      </w:r>
      <w:r w:rsidRPr="00A95AE3">
        <w:rPr>
          <w:rFonts w:ascii="Times New Roman" w:eastAsia="Times New Roman" w:hAnsi="Times New Roman"/>
        </w:rPr>
        <w:t>] for group annuities</w:t>
      </w:r>
    </w:p>
    <w:p w14:paraId="627B947E" w14:textId="77777777" w:rsidR="00353C4A" w:rsidRPr="00A95AE3" w:rsidRDefault="00353C4A" w:rsidP="00353C4A">
      <w:pPr>
        <w:pStyle w:val="ListParagraph"/>
        <w:spacing w:after="220" w:line="240" w:lineRule="auto"/>
        <w:ind w:left="2220"/>
        <w:rPr>
          <w:rFonts w:ascii="Times New Roman" w:eastAsia="Times New Roman" w:hAnsi="Times New Roman"/>
        </w:rPr>
      </w:pPr>
    </w:p>
    <w:p w14:paraId="39FC7FEA" w14:textId="77777777" w:rsidR="00353C4A" w:rsidRPr="00A95AE3" w:rsidRDefault="00530199" w:rsidP="00353C4A">
      <w:pPr>
        <w:pStyle w:val="ListParagraph"/>
        <w:spacing w:after="220" w:line="240" w:lineRule="auto"/>
        <w:ind w:left="2220"/>
        <w:rPr>
          <w:rFonts w:ascii="Times New Roman" w:eastAsia="Times New Roman" w:hAnsi="Times New Roman"/>
        </w:rPr>
      </w:pPr>
      <m:oMathPara>
        <m:oMath>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1994+n</m:t>
              </m:r>
            </m:sup>
          </m:sSub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q</m:t>
              </m:r>
            </m:e>
            <m:sub>
              <m:r>
                <w:rPr>
                  <w:rFonts w:ascii="Cambria Math" w:eastAsia="Times New Roman" w:hAnsi="Cambria Math"/>
                </w:rPr>
                <m:t>x</m:t>
              </m:r>
            </m:sub>
            <m:sup>
              <m:r>
                <w:rPr>
                  <w:rFonts w:ascii="Cambria Math" w:eastAsia="Times New Roman" w:hAnsi="Cambria Math"/>
                </w:rPr>
                <m:t>1994</m:t>
              </m:r>
            </m:sup>
          </m:sSubSup>
          <m:r>
            <w:rPr>
              <w:rFonts w:ascii="Cambria Math" w:eastAsia="Times New Roman" w:hAnsi="Cambria Math"/>
            </w:rPr>
            <m:t>(1-</m:t>
          </m:r>
          <m:sSub>
            <m:sSubPr>
              <m:ctrlPr>
                <w:rPr>
                  <w:rFonts w:ascii="Cambria Math" w:eastAsia="Times New Roman" w:hAnsi="Cambria Math"/>
                  <w:i/>
                </w:rPr>
              </m:ctrlPr>
            </m:sSubPr>
            <m:e>
              <m:r>
                <w:rPr>
                  <w:rFonts w:ascii="Cambria Math" w:eastAsia="Times New Roman" w:hAnsi="Cambria Math"/>
                </w:rPr>
                <m:t>AA</m:t>
              </m:r>
            </m:e>
            <m:sub>
              <m:r>
                <w:rPr>
                  <w:rFonts w:ascii="Cambria Math" w:eastAsia="Times New Roman" w:hAnsi="Cambria Math"/>
                </w:rPr>
                <m:t>x</m:t>
              </m:r>
            </m:sub>
          </m:sSub>
          <m:sSup>
            <m:sSupPr>
              <m:ctrlPr>
                <w:rPr>
                  <w:rFonts w:ascii="Cambria Math" w:eastAsia="Times New Roman" w:hAnsi="Cambria Math"/>
                  <w:i/>
                </w:rPr>
              </m:ctrlPr>
            </m:sSupPr>
            <m:e>
              <m:r>
                <w:rPr>
                  <w:rFonts w:ascii="Cambria Math" w:eastAsia="Times New Roman" w:hAnsi="Cambria Math"/>
                </w:rPr>
                <m:t>)</m:t>
              </m:r>
            </m:e>
            <m:sup>
              <m:r>
                <w:rPr>
                  <w:rFonts w:ascii="Cambria Math" w:eastAsia="Times New Roman" w:hAnsi="Cambria Math"/>
                </w:rPr>
                <m:t>n</m:t>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2340EAFA" w:rsidR="005613C4" w:rsidRPr="00D03D88" w:rsidRDefault="005613C4" w:rsidP="005613C4">
      <w:pPr>
        <w:spacing w:after="220" w:line="259" w:lineRule="auto"/>
        <w:ind w:firstLine="720"/>
        <w:rPr>
          <w:rFonts w:ascii="Times New Roman" w:eastAsia="Times New Roman" w:hAnsi="Times New Roman"/>
          <w:highlight w:val="yellow"/>
          <w:u w:val="single"/>
        </w:rPr>
      </w:pPr>
      <w:r w:rsidRPr="00D03D88">
        <w:rPr>
          <w:rFonts w:ascii="Times New Roman" w:eastAsia="Times New Roman" w:hAnsi="Times New Roman"/>
          <w:highlight w:val="yellow"/>
          <w:u w:val="single"/>
        </w:rPr>
        <w:t>Table 11.1</w:t>
      </w:r>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14:paraId="3FF6A1EA" w14:textId="77777777" w:rsidTr="00B65C73">
        <w:trPr>
          <w:trHeight w:val="252"/>
        </w:trPr>
        <w:tc>
          <w:tcPr>
            <w:tcW w:w="2876" w:type="dxa"/>
            <w:shd w:val="clear" w:color="auto" w:fill="auto"/>
            <w:hideMark/>
          </w:tcPr>
          <w:p w14:paraId="67A7A226" w14:textId="77777777" w:rsidR="005613C4" w:rsidRPr="00D03D88" w:rsidRDefault="005613C4" w:rsidP="00F93494">
            <w:pPr>
              <w:jc w:val="center"/>
              <w:rPr>
                <w:rFonts w:cs="Calibri"/>
                <w:sz w:val="24"/>
                <w:szCs w:val="24"/>
                <w:highlight w:val="yellow"/>
              </w:rPr>
            </w:pPr>
            <w:r w:rsidRPr="00D03D88">
              <w:rPr>
                <w:rFonts w:cs="Calibri"/>
                <w:sz w:val="24"/>
                <w:szCs w:val="24"/>
                <w:highlight w:val="yellow"/>
              </w:rPr>
              <w:t>Attained Age (x)</w:t>
            </w:r>
          </w:p>
        </w:tc>
        <w:tc>
          <w:tcPr>
            <w:tcW w:w="2877" w:type="dxa"/>
            <w:shd w:val="clear" w:color="auto" w:fill="auto"/>
            <w:hideMark/>
          </w:tcPr>
          <w:p w14:paraId="250470F6" w14:textId="761FCEA9" w:rsidR="005613C4" w:rsidRPr="00D03D88" w:rsidRDefault="005613C4" w:rsidP="00F93494">
            <w:pPr>
              <w:jc w:val="center"/>
              <w:rPr>
                <w:rFonts w:cs="Calibri"/>
                <w:sz w:val="24"/>
                <w:szCs w:val="24"/>
                <w:highlight w:val="yellow"/>
              </w:rPr>
            </w:pPr>
            <w:r w:rsidRPr="00D03D88">
              <w:rPr>
                <w:rFonts w:cs="Calibri"/>
                <w:sz w:val="24"/>
                <w:szCs w:val="24"/>
                <w:highlight w:val="yellow"/>
              </w:rPr>
              <w:t>F</w:t>
            </w:r>
            <w:r w:rsidRPr="00D03D88">
              <w:rPr>
                <w:rFonts w:cs="Calibri"/>
                <w:sz w:val="24"/>
                <w:szCs w:val="24"/>
                <w:highlight w:val="yellow"/>
                <w:vertAlign w:val="subscript"/>
              </w:rPr>
              <w:t>x</w:t>
            </w:r>
          </w:p>
        </w:tc>
        <w:tc>
          <w:tcPr>
            <w:tcW w:w="2877" w:type="dxa"/>
            <w:shd w:val="clear" w:color="auto" w:fill="auto"/>
          </w:tcPr>
          <w:p w14:paraId="366E4916" w14:textId="09A6BBCE" w:rsidR="005613C4" w:rsidRPr="00D03D88" w:rsidRDefault="005613C4" w:rsidP="00F93494">
            <w:pPr>
              <w:jc w:val="center"/>
              <w:rPr>
                <w:rFonts w:cs="Calibri"/>
                <w:sz w:val="24"/>
                <w:szCs w:val="24"/>
                <w:highlight w:val="yellow"/>
              </w:rPr>
            </w:pPr>
          </w:p>
        </w:tc>
      </w:tr>
      <w:tr w:rsidR="005613C4" w:rsidRPr="0044445C" w14:paraId="3FD31C6C" w14:textId="77777777" w:rsidTr="00B65C73">
        <w:trPr>
          <w:trHeight w:val="252"/>
        </w:trPr>
        <w:tc>
          <w:tcPr>
            <w:tcW w:w="2876" w:type="dxa"/>
            <w:shd w:val="clear" w:color="auto" w:fill="auto"/>
            <w:noWrap/>
            <w:hideMark/>
          </w:tcPr>
          <w:p w14:paraId="73AE6E7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&lt;=65</w:t>
            </w:r>
          </w:p>
        </w:tc>
        <w:tc>
          <w:tcPr>
            <w:tcW w:w="2877" w:type="dxa"/>
            <w:shd w:val="clear" w:color="auto" w:fill="auto"/>
            <w:noWrap/>
            <w:hideMark/>
          </w:tcPr>
          <w:p w14:paraId="05CFB6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80.0%</w:t>
            </w:r>
          </w:p>
        </w:tc>
        <w:tc>
          <w:tcPr>
            <w:tcW w:w="2877" w:type="dxa"/>
            <w:shd w:val="clear" w:color="auto" w:fill="auto"/>
            <w:noWrap/>
          </w:tcPr>
          <w:p w14:paraId="0C8AB1C9" w14:textId="5C7F8F3F" w:rsidR="005613C4" w:rsidRPr="008E61EE" w:rsidRDefault="005613C4" w:rsidP="00F93494">
            <w:pPr>
              <w:jc w:val="center"/>
              <w:rPr>
                <w:rFonts w:cs="Calibri"/>
                <w:sz w:val="24"/>
                <w:szCs w:val="24"/>
                <w:highlight w:val="yellow"/>
              </w:rPr>
            </w:pPr>
          </w:p>
        </w:tc>
      </w:tr>
      <w:tr w:rsidR="005613C4" w:rsidRPr="0044445C" w14:paraId="34FAA041" w14:textId="77777777" w:rsidTr="00B65C73">
        <w:trPr>
          <w:trHeight w:val="252"/>
        </w:trPr>
        <w:tc>
          <w:tcPr>
            <w:tcW w:w="2876" w:type="dxa"/>
            <w:shd w:val="clear" w:color="auto" w:fill="auto"/>
            <w:noWrap/>
            <w:hideMark/>
          </w:tcPr>
          <w:p w14:paraId="20F6421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66</w:t>
            </w:r>
          </w:p>
        </w:tc>
        <w:tc>
          <w:tcPr>
            <w:tcW w:w="2877" w:type="dxa"/>
            <w:shd w:val="clear" w:color="auto" w:fill="auto"/>
            <w:noWrap/>
            <w:hideMark/>
          </w:tcPr>
          <w:p w14:paraId="2253151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81.5%</w:t>
            </w:r>
          </w:p>
        </w:tc>
        <w:tc>
          <w:tcPr>
            <w:tcW w:w="2877" w:type="dxa"/>
            <w:shd w:val="clear" w:color="auto" w:fill="auto"/>
            <w:noWrap/>
          </w:tcPr>
          <w:p w14:paraId="685C38C4" w14:textId="24A753AF" w:rsidR="005613C4" w:rsidRPr="008E61EE" w:rsidRDefault="005613C4" w:rsidP="00F93494">
            <w:pPr>
              <w:jc w:val="center"/>
              <w:rPr>
                <w:rFonts w:cs="Calibri"/>
                <w:sz w:val="24"/>
                <w:szCs w:val="24"/>
                <w:highlight w:val="yellow"/>
              </w:rPr>
            </w:pPr>
          </w:p>
        </w:tc>
      </w:tr>
      <w:tr w:rsidR="005613C4" w:rsidRPr="0044445C" w14:paraId="21AAED96" w14:textId="77777777" w:rsidTr="00B65C73">
        <w:trPr>
          <w:trHeight w:val="252"/>
        </w:trPr>
        <w:tc>
          <w:tcPr>
            <w:tcW w:w="2876" w:type="dxa"/>
            <w:shd w:val="clear" w:color="auto" w:fill="auto"/>
            <w:noWrap/>
            <w:hideMark/>
          </w:tcPr>
          <w:p w14:paraId="0DE2AA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67</w:t>
            </w:r>
          </w:p>
        </w:tc>
        <w:tc>
          <w:tcPr>
            <w:tcW w:w="2877" w:type="dxa"/>
            <w:shd w:val="clear" w:color="auto" w:fill="auto"/>
            <w:noWrap/>
            <w:hideMark/>
          </w:tcPr>
          <w:p w14:paraId="4BB085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83.0%</w:t>
            </w:r>
          </w:p>
        </w:tc>
        <w:tc>
          <w:tcPr>
            <w:tcW w:w="2877" w:type="dxa"/>
            <w:shd w:val="clear" w:color="auto" w:fill="auto"/>
            <w:noWrap/>
          </w:tcPr>
          <w:p w14:paraId="4DF741FA" w14:textId="4242145A" w:rsidR="005613C4" w:rsidRPr="008E61EE" w:rsidRDefault="005613C4" w:rsidP="00F93494">
            <w:pPr>
              <w:jc w:val="center"/>
              <w:rPr>
                <w:rFonts w:cs="Calibri"/>
                <w:sz w:val="24"/>
                <w:szCs w:val="24"/>
                <w:highlight w:val="yellow"/>
              </w:rPr>
            </w:pPr>
          </w:p>
        </w:tc>
      </w:tr>
      <w:tr w:rsidR="005613C4" w:rsidRPr="0044445C" w14:paraId="3D7E7D4D" w14:textId="77777777" w:rsidTr="00B65C73">
        <w:trPr>
          <w:trHeight w:val="252"/>
        </w:trPr>
        <w:tc>
          <w:tcPr>
            <w:tcW w:w="2876" w:type="dxa"/>
            <w:shd w:val="clear" w:color="auto" w:fill="auto"/>
            <w:noWrap/>
            <w:hideMark/>
          </w:tcPr>
          <w:p w14:paraId="35695E3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68</w:t>
            </w:r>
          </w:p>
        </w:tc>
        <w:tc>
          <w:tcPr>
            <w:tcW w:w="2877" w:type="dxa"/>
            <w:shd w:val="clear" w:color="auto" w:fill="auto"/>
            <w:noWrap/>
            <w:hideMark/>
          </w:tcPr>
          <w:p w14:paraId="264F81A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84.5%</w:t>
            </w:r>
          </w:p>
        </w:tc>
        <w:tc>
          <w:tcPr>
            <w:tcW w:w="2877" w:type="dxa"/>
            <w:shd w:val="clear" w:color="auto" w:fill="auto"/>
            <w:noWrap/>
          </w:tcPr>
          <w:p w14:paraId="532E97B3" w14:textId="7C1387E0" w:rsidR="005613C4" w:rsidRPr="008E61EE" w:rsidRDefault="005613C4" w:rsidP="00F93494">
            <w:pPr>
              <w:jc w:val="center"/>
              <w:rPr>
                <w:rFonts w:cs="Calibri"/>
                <w:sz w:val="24"/>
                <w:szCs w:val="24"/>
                <w:highlight w:val="yellow"/>
              </w:rPr>
            </w:pPr>
          </w:p>
        </w:tc>
      </w:tr>
      <w:tr w:rsidR="005613C4" w:rsidRPr="0044445C" w14:paraId="5174EDEA" w14:textId="77777777" w:rsidTr="00B65C73">
        <w:trPr>
          <w:trHeight w:val="252"/>
        </w:trPr>
        <w:tc>
          <w:tcPr>
            <w:tcW w:w="2876" w:type="dxa"/>
            <w:shd w:val="clear" w:color="auto" w:fill="auto"/>
            <w:noWrap/>
            <w:hideMark/>
          </w:tcPr>
          <w:p w14:paraId="3899D38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69</w:t>
            </w:r>
          </w:p>
        </w:tc>
        <w:tc>
          <w:tcPr>
            <w:tcW w:w="2877" w:type="dxa"/>
            <w:shd w:val="clear" w:color="auto" w:fill="auto"/>
            <w:noWrap/>
            <w:hideMark/>
          </w:tcPr>
          <w:p w14:paraId="0055CD9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86.0%</w:t>
            </w:r>
          </w:p>
        </w:tc>
        <w:tc>
          <w:tcPr>
            <w:tcW w:w="2877" w:type="dxa"/>
            <w:shd w:val="clear" w:color="auto" w:fill="auto"/>
            <w:noWrap/>
          </w:tcPr>
          <w:p w14:paraId="76BD2658" w14:textId="14508BA6" w:rsidR="005613C4" w:rsidRPr="008E61EE" w:rsidRDefault="005613C4" w:rsidP="00F93494">
            <w:pPr>
              <w:jc w:val="center"/>
              <w:rPr>
                <w:rFonts w:cs="Calibri"/>
                <w:sz w:val="24"/>
                <w:szCs w:val="24"/>
                <w:highlight w:val="yellow"/>
              </w:rPr>
            </w:pPr>
          </w:p>
        </w:tc>
      </w:tr>
      <w:tr w:rsidR="005613C4" w:rsidRPr="0044445C" w14:paraId="09811C7C" w14:textId="77777777" w:rsidTr="00B65C73">
        <w:trPr>
          <w:trHeight w:val="252"/>
        </w:trPr>
        <w:tc>
          <w:tcPr>
            <w:tcW w:w="2876" w:type="dxa"/>
            <w:shd w:val="clear" w:color="auto" w:fill="auto"/>
            <w:noWrap/>
            <w:hideMark/>
          </w:tcPr>
          <w:p w14:paraId="0DD7FA1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70</w:t>
            </w:r>
          </w:p>
        </w:tc>
        <w:tc>
          <w:tcPr>
            <w:tcW w:w="2877" w:type="dxa"/>
            <w:shd w:val="clear" w:color="auto" w:fill="auto"/>
            <w:noWrap/>
            <w:hideMark/>
          </w:tcPr>
          <w:p w14:paraId="31A2BE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87.5%</w:t>
            </w:r>
          </w:p>
        </w:tc>
        <w:tc>
          <w:tcPr>
            <w:tcW w:w="2877" w:type="dxa"/>
            <w:shd w:val="clear" w:color="auto" w:fill="auto"/>
            <w:noWrap/>
          </w:tcPr>
          <w:p w14:paraId="4B6C0177" w14:textId="710A08BD" w:rsidR="005613C4" w:rsidRPr="008E61EE" w:rsidRDefault="005613C4" w:rsidP="00F93494">
            <w:pPr>
              <w:jc w:val="center"/>
              <w:rPr>
                <w:rFonts w:cs="Calibri"/>
                <w:sz w:val="24"/>
                <w:szCs w:val="24"/>
                <w:highlight w:val="yellow"/>
              </w:rPr>
            </w:pPr>
          </w:p>
        </w:tc>
      </w:tr>
      <w:tr w:rsidR="005613C4" w:rsidRPr="0044445C" w14:paraId="3562A534" w14:textId="77777777" w:rsidTr="00B65C73">
        <w:trPr>
          <w:trHeight w:val="252"/>
        </w:trPr>
        <w:tc>
          <w:tcPr>
            <w:tcW w:w="2876" w:type="dxa"/>
            <w:shd w:val="clear" w:color="auto" w:fill="auto"/>
            <w:noWrap/>
            <w:hideMark/>
          </w:tcPr>
          <w:p w14:paraId="392E63E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71</w:t>
            </w:r>
          </w:p>
        </w:tc>
        <w:tc>
          <w:tcPr>
            <w:tcW w:w="2877" w:type="dxa"/>
            <w:shd w:val="clear" w:color="auto" w:fill="auto"/>
            <w:noWrap/>
            <w:hideMark/>
          </w:tcPr>
          <w:p w14:paraId="43BAE71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89.0%</w:t>
            </w:r>
          </w:p>
        </w:tc>
        <w:tc>
          <w:tcPr>
            <w:tcW w:w="2877" w:type="dxa"/>
            <w:shd w:val="clear" w:color="auto" w:fill="auto"/>
            <w:noWrap/>
          </w:tcPr>
          <w:p w14:paraId="743F245B" w14:textId="28FE25A9" w:rsidR="005613C4" w:rsidRPr="008E61EE" w:rsidRDefault="005613C4" w:rsidP="00F93494">
            <w:pPr>
              <w:jc w:val="center"/>
              <w:rPr>
                <w:rFonts w:cs="Calibri"/>
                <w:sz w:val="24"/>
                <w:szCs w:val="24"/>
                <w:highlight w:val="yellow"/>
              </w:rPr>
            </w:pPr>
          </w:p>
        </w:tc>
      </w:tr>
      <w:tr w:rsidR="005613C4" w:rsidRPr="0044445C" w14:paraId="08B5C1E1" w14:textId="77777777" w:rsidTr="00B65C73">
        <w:trPr>
          <w:trHeight w:val="252"/>
        </w:trPr>
        <w:tc>
          <w:tcPr>
            <w:tcW w:w="2876" w:type="dxa"/>
            <w:shd w:val="clear" w:color="auto" w:fill="auto"/>
            <w:noWrap/>
            <w:hideMark/>
          </w:tcPr>
          <w:p w14:paraId="24689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72</w:t>
            </w:r>
          </w:p>
        </w:tc>
        <w:tc>
          <w:tcPr>
            <w:tcW w:w="2877" w:type="dxa"/>
            <w:shd w:val="clear" w:color="auto" w:fill="auto"/>
            <w:noWrap/>
            <w:hideMark/>
          </w:tcPr>
          <w:p w14:paraId="5B5BF79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90.5%</w:t>
            </w:r>
          </w:p>
        </w:tc>
        <w:tc>
          <w:tcPr>
            <w:tcW w:w="2877" w:type="dxa"/>
            <w:shd w:val="clear" w:color="auto" w:fill="auto"/>
            <w:noWrap/>
          </w:tcPr>
          <w:p w14:paraId="72357AD2" w14:textId="38F7868F" w:rsidR="005613C4" w:rsidRPr="008E61EE" w:rsidRDefault="005613C4" w:rsidP="00F93494">
            <w:pPr>
              <w:jc w:val="center"/>
              <w:rPr>
                <w:rFonts w:cs="Calibri"/>
                <w:sz w:val="24"/>
                <w:szCs w:val="24"/>
                <w:highlight w:val="yellow"/>
              </w:rPr>
            </w:pPr>
          </w:p>
        </w:tc>
      </w:tr>
      <w:tr w:rsidR="005613C4" w:rsidRPr="0044445C" w14:paraId="45B69221" w14:textId="77777777" w:rsidTr="00B65C73">
        <w:trPr>
          <w:trHeight w:val="252"/>
        </w:trPr>
        <w:tc>
          <w:tcPr>
            <w:tcW w:w="2876" w:type="dxa"/>
            <w:shd w:val="clear" w:color="auto" w:fill="auto"/>
            <w:noWrap/>
            <w:hideMark/>
          </w:tcPr>
          <w:p w14:paraId="3FDB845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73</w:t>
            </w:r>
          </w:p>
        </w:tc>
        <w:tc>
          <w:tcPr>
            <w:tcW w:w="2877" w:type="dxa"/>
            <w:shd w:val="clear" w:color="auto" w:fill="auto"/>
            <w:noWrap/>
            <w:hideMark/>
          </w:tcPr>
          <w:p w14:paraId="636FF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92.0%</w:t>
            </w:r>
          </w:p>
        </w:tc>
        <w:tc>
          <w:tcPr>
            <w:tcW w:w="2877" w:type="dxa"/>
            <w:shd w:val="clear" w:color="auto" w:fill="auto"/>
            <w:noWrap/>
          </w:tcPr>
          <w:p w14:paraId="5A7E98BE" w14:textId="0AF1DE57" w:rsidR="005613C4" w:rsidRPr="008E61EE" w:rsidRDefault="005613C4" w:rsidP="00F93494">
            <w:pPr>
              <w:jc w:val="center"/>
              <w:rPr>
                <w:rFonts w:cs="Calibri"/>
                <w:sz w:val="24"/>
                <w:szCs w:val="24"/>
                <w:highlight w:val="yellow"/>
              </w:rPr>
            </w:pPr>
          </w:p>
        </w:tc>
      </w:tr>
      <w:tr w:rsidR="005613C4" w:rsidRPr="0044445C" w14:paraId="014C32EC" w14:textId="77777777" w:rsidTr="00B65C73">
        <w:trPr>
          <w:trHeight w:val="252"/>
        </w:trPr>
        <w:tc>
          <w:tcPr>
            <w:tcW w:w="2876" w:type="dxa"/>
            <w:shd w:val="clear" w:color="auto" w:fill="auto"/>
            <w:noWrap/>
            <w:hideMark/>
          </w:tcPr>
          <w:p w14:paraId="0810E56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74</w:t>
            </w:r>
          </w:p>
        </w:tc>
        <w:tc>
          <w:tcPr>
            <w:tcW w:w="2877" w:type="dxa"/>
            <w:shd w:val="clear" w:color="auto" w:fill="auto"/>
            <w:noWrap/>
            <w:hideMark/>
          </w:tcPr>
          <w:p w14:paraId="0B3DDCC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93.5%</w:t>
            </w:r>
          </w:p>
        </w:tc>
        <w:tc>
          <w:tcPr>
            <w:tcW w:w="2877" w:type="dxa"/>
            <w:shd w:val="clear" w:color="auto" w:fill="auto"/>
            <w:noWrap/>
          </w:tcPr>
          <w:p w14:paraId="5F4BFD95" w14:textId="7BEB6088" w:rsidR="005613C4" w:rsidRPr="008E61EE" w:rsidRDefault="005613C4" w:rsidP="00F93494">
            <w:pPr>
              <w:jc w:val="center"/>
              <w:rPr>
                <w:rFonts w:cs="Calibri"/>
                <w:sz w:val="24"/>
                <w:szCs w:val="24"/>
                <w:highlight w:val="yellow"/>
              </w:rPr>
            </w:pPr>
          </w:p>
        </w:tc>
      </w:tr>
      <w:tr w:rsidR="005613C4" w:rsidRPr="0044445C" w14:paraId="11C27005" w14:textId="77777777" w:rsidTr="00B65C73">
        <w:trPr>
          <w:trHeight w:val="252"/>
        </w:trPr>
        <w:tc>
          <w:tcPr>
            <w:tcW w:w="2876" w:type="dxa"/>
            <w:shd w:val="clear" w:color="auto" w:fill="auto"/>
            <w:noWrap/>
            <w:hideMark/>
          </w:tcPr>
          <w:p w14:paraId="634A298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75</w:t>
            </w:r>
          </w:p>
        </w:tc>
        <w:tc>
          <w:tcPr>
            <w:tcW w:w="2877" w:type="dxa"/>
            <w:shd w:val="clear" w:color="auto" w:fill="auto"/>
            <w:noWrap/>
            <w:hideMark/>
          </w:tcPr>
          <w:p w14:paraId="2F27F6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95.0%</w:t>
            </w:r>
          </w:p>
        </w:tc>
        <w:tc>
          <w:tcPr>
            <w:tcW w:w="2877" w:type="dxa"/>
            <w:shd w:val="clear" w:color="auto" w:fill="auto"/>
            <w:noWrap/>
          </w:tcPr>
          <w:p w14:paraId="2B34558B" w14:textId="0FE332B3" w:rsidR="005613C4" w:rsidRPr="008E61EE" w:rsidRDefault="005613C4" w:rsidP="00F93494">
            <w:pPr>
              <w:jc w:val="center"/>
              <w:rPr>
                <w:rFonts w:cs="Calibri"/>
                <w:sz w:val="24"/>
                <w:szCs w:val="24"/>
                <w:highlight w:val="yellow"/>
              </w:rPr>
            </w:pPr>
          </w:p>
        </w:tc>
      </w:tr>
      <w:tr w:rsidR="005613C4" w:rsidRPr="0044445C" w14:paraId="3AFA259D" w14:textId="77777777" w:rsidTr="00B65C73">
        <w:trPr>
          <w:trHeight w:val="252"/>
        </w:trPr>
        <w:tc>
          <w:tcPr>
            <w:tcW w:w="2876" w:type="dxa"/>
            <w:shd w:val="clear" w:color="auto" w:fill="auto"/>
            <w:noWrap/>
            <w:hideMark/>
          </w:tcPr>
          <w:p w14:paraId="6B501DF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76</w:t>
            </w:r>
          </w:p>
        </w:tc>
        <w:tc>
          <w:tcPr>
            <w:tcW w:w="2877" w:type="dxa"/>
            <w:shd w:val="clear" w:color="auto" w:fill="auto"/>
            <w:noWrap/>
            <w:hideMark/>
          </w:tcPr>
          <w:p w14:paraId="7B9AAF1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96.5%</w:t>
            </w:r>
          </w:p>
        </w:tc>
        <w:tc>
          <w:tcPr>
            <w:tcW w:w="2877" w:type="dxa"/>
            <w:shd w:val="clear" w:color="auto" w:fill="auto"/>
            <w:noWrap/>
          </w:tcPr>
          <w:p w14:paraId="783C4398" w14:textId="1A1CC915" w:rsidR="005613C4" w:rsidRPr="008E61EE" w:rsidRDefault="005613C4" w:rsidP="00F93494">
            <w:pPr>
              <w:jc w:val="center"/>
              <w:rPr>
                <w:rFonts w:cs="Calibri"/>
                <w:sz w:val="24"/>
                <w:szCs w:val="24"/>
                <w:highlight w:val="yellow"/>
              </w:rPr>
            </w:pPr>
          </w:p>
        </w:tc>
      </w:tr>
      <w:tr w:rsidR="005613C4" w:rsidRPr="0044445C" w14:paraId="0BE1AC93" w14:textId="77777777" w:rsidTr="00B65C73">
        <w:trPr>
          <w:trHeight w:val="252"/>
        </w:trPr>
        <w:tc>
          <w:tcPr>
            <w:tcW w:w="2876" w:type="dxa"/>
            <w:shd w:val="clear" w:color="auto" w:fill="auto"/>
            <w:noWrap/>
            <w:hideMark/>
          </w:tcPr>
          <w:p w14:paraId="2981DA9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77</w:t>
            </w:r>
          </w:p>
        </w:tc>
        <w:tc>
          <w:tcPr>
            <w:tcW w:w="2877" w:type="dxa"/>
            <w:shd w:val="clear" w:color="auto" w:fill="auto"/>
            <w:noWrap/>
            <w:hideMark/>
          </w:tcPr>
          <w:p w14:paraId="75AAC10B"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98.0%</w:t>
            </w:r>
          </w:p>
        </w:tc>
        <w:tc>
          <w:tcPr>
            <w:tcW w:w="2877" w:type="dxa"/>
            <w:shd w:val="clear" w:color="auto" w:fill="auto"/>
            <w:noWrap/>
          </w:tcPr>
          <w:p w14:paraId="32BCB111" w14:textId="5D5AEC1D" w:rsidR="005613C4" w:rsidRPr="008E61EE" w:rsidRDefault="005613C4" w:rsidP="00F93494">
            <w:pPr>
              <w:jc w:val="center"/>
              <w:rPr>
                <w:rFonts w:cs="Calibri"/>
                <w:sz w:val="24"/>
                <w:szCs w:val="24"/>
                <w:highlight w:val="yellow"/>
              </w:rPr>
            </w:pPr>
          </w:p>
        </w:tc>
      </w:tr>
      <w:tr w:rsidR="005613C4" w:rsidRPr="0044445C" w14:paraId="2B18971A" w14:textId="77777777" w:rsidTr="00B65C73">
        <w:trPr>
          <w:trHeight w:val="252"/>
        </w:trPr>
        <w:tc>
          <w:tcPr>
            <w:tcW w:w="2876" w:type="dxa"/>
            <w:shd w:val="clear" w:color="auto" w:fill="auto"/>
            <w:noWrap/>
            <w:hideMark/>
          </w:tcPr>
          <w:p w14:paraId="6BA63D3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78</w:t>
            </w:r>
          </w:p>
        </w:tc>
        <w:tc>
          <w:tcPr>
            <w:tcW w:w="2877" w:type="dxa"/>
            <w:shd w:val="clear" w:color="auto" w:fill="auto"/>
            <w:noWrap/>
            <w:hideMark/>
          </w:tcPr>
          <w:p w14:paraId="63887C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99.5%</w:t>
            </w:r>
          </w:p>
        </w:tc>
        <w:tc>
          <w:tcPr>
            <w:tcW w:w="2877" w:type="dxa"/>
            <w:shd w:val="clear" w:color="auto" w:fill="auto"/>
            <w:noWrap/>
          </w:tcPr>
          <w:p w14:paraId="0619E952" w14:textId="04210B4D" w:rsidR="005613C4" w:rsidRPr="008E61EE" w:rsidRDefault="005613C4" w:rsidP="00F93494">
            <w:pPr>
              <w:jc w:val="center"/>
              <w:rPr>
                <w:rFonts w:cs="Calibri"/>
                <w:sz w:val="24"/>
                <w:szCs w:val="24"/>
                <w:highlight w:val="yellow"/>
              </w:rPr>
            </w:pPr>
          </w:p>
        </w:tc>
      </w:tr>
      <w:tr w:rsidR="005613C4" w:rsidRPr="0044445C" w14:paraId="279CCA3C" w14:textId="77777777" w:rsidTr="00B65C73">
        <w:trPr>
          <w:trHeight w:val="252"/>
        </w:trPr>
        <w:tc>
          <w:tcPr>
            <w:tcW w:w="2876" w:type="dxa"/>
            <w:shd w:val="clear" w:color="auto" w:fill="auto"/>
            <w:noWrap/>
            <w:hideMark/>
          </w:tcPr>
          <w:p w14:paraId="69698F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79</w:t>
            </w:r>
          </w:p>
        </w:tc>
        <w:tc>
          <w:tcPr>
            <w:tcW w:w="2877" w:type="dxa"/>
            <w:shd w:val="clear" w:color="auto" w:fill="auto"/>
            <w:noWrap/>
            <w:hideMark/>
          </w:tcPr>
          <w:p w14:paraId="11B8868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6F0ED8B7" w14:textId="02BB38A2" w:rsidR="005613C4" w:rsidRPr="008E61EE" w:rsidRDefault="005613C4" w:rsidP="00F93494">
            <w:pPr>
              <w:jc w:val="center"/>
              <w:rPr>
                <w:rFonts w:cs="Calibri"/>
                <w:sz w:val="24"/>
                <w:szCs w:val="24"/>
                <w:highlight w:val="yellow"/>
              </w:rPr>
            </w:pPr>
          </w:p>
        </w:tc>
      </w:tr>
      <w:tr w:rsidR="005613C4" w:rsidRPr="0044445C" w14:paraId="4F9D11B8" w14:textId="77777777" w:rsidTr="00B65C73">
        <w:trPr>
          <w:trHeight w:val="252"/>
        </w:trPr>
        <w:tc>
          <w:tcPr>
            <w:tcW w:w="2876" w:type="dxa"/>
            <w:shd w:val="clear" w:color="auto" w:fill="auto"/>
            <w:noWrap/>
            <w:hideMark/>
          </w:tcPr>
          <w:p w14:paraId="45072D0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80</w:t>
            </w:r>
          </w:p>
        </w:tc>
        <w:tc>
          <w:tcPr>
            <w:tcW w:w="2877" w:type="dxa"/>
            <w:shd w:val="clear" w:color="auto" w:fill="auto"/>
            <w:noWrap/>
            <w:hideMark/>
          </w:tcPr>
          <w:p w14:paraId="3F58099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102.5%</w:t>
            </w:r>
          </w:p>
        </w:tc>
        <w:tc>
          <w:tcPr>
            <w:tcW w:w="2877" w:type="dxa"/>
            <w:shd w:val="clear" w:color="auto" w:fill="auto"/>
            <w:noWrap/>
          </w:tcPr>
          <w:p w14:paraId="2F75A739" w14:textId="6378400B" w:rsidR="005613C4" w:rsidRPr="008E61EE" w:rsidRDefault="005613C4" w:rsidP="00F93494">
            <w:pPr>
              <w:jc w:val="center"/>
              <w:rPr>
                <w:rFonts w:cs="Calibri"/>
                <w:sz w:val="24"/>
                <w:szCs w:val="24"/>
                <w:highlight w:val="yellow"/>
              </w:rPr>
            </w:pPr>
          </w:p>
        </w:tc>
      </w:tr>
      <w:tr w:rsidR="005613C4" w:rsidRPr="0044445C" w14:paraId="6887B9B2" w14:textId="77777777" w:rsidTr="00B65C73">
        <w:trPr>
          <w:trHeight w:val="252"/>
        </w:trPr>
        <w:tc>
          <w:tcPr>
            <w:tcW w:w="2876" w:type="dxa"/>
            <w:shd w:val="clear" w:color="auto" w:fill="auto"/>
            <w:noWrap/>
            <w:hideMark/>
          </w:tcPr>
          <w:p w14:paraId="57BD9B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81</w:t>
            </w:r>
          </w:p>
        </w:tc>
        <w:tc>
          <w:tcPr>
            <w:tcW w:w="2877" w:type="dxa"/>
            <w:shd w:val="clear" w:color="auto" w:fill="auto"/>
            <w:noWrap/>
            <w:hideMark/>
          </w:tcPr>
          <w:p w14:paraId="200E1CA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586CFF37" w14:textId="173DD1C0" w:rsidR="005613C4" w:rsidRPr="008E61EE" w:rsidRDefault="005613C4" w:rsidP="00F93494">
            <w:pPr>
              <w:jc w:val="center"/>
              <w:rPr>
                <w:rFonts w:cs="Calibri"/>
                <w:sz w:val="24"/>
                <w:szCs w:val="24"/>
                <w:highlight w:val="yellow"/>
              </w:rPr>
            </w:pPr>
          </w:p>
        </w:tc>
      </w:tr>
      <w:tr w:rsidR="005613C4" w:rsidRPr="0044445C" w14:paraId="2321B39C" w14:textId="77777777" w:rsidTr="00B65C73">
        <w:trPr>
          <w:trHeight w:val="252"/>
        </w:trPr>
        <w:tc>
          <w:tcPr>
            <w:tcW w:w="2876" w:type="dxa"/>
            <w:shd w:val="clear" w:color="auto" w:fill="auto"/>
            <w:noWrap/>
            <w:hideMark/>
          </w:tcPr>
          <w:p w14:paraId="39EBBDE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82</w:t>
            </w:r>
          </w:p>
        </w:tc>
        <w:tc>
          <w:tcPr>
            <w:tcW w:w="2877" w:type="dxa"/>
            <w:shd w:val="clear" w:color="auto" w:fill="auto"/>
            <w:noWrap/>
            <w:hideMark/>
          </w:tcPr>
          <w:p w14:paraId="23E1116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105.5%</w:t>
            </w:r>
          </w:p>
        </w:tc>
        <w:tc>
          <w:tcPr>
            <w:tcW w:w="2877" w:type="dxa"/>
            <w:shd w:val="clear" w:color="auto" w:fill="auto"/>
            <w:noWrap/>
          </w:tcPr>
          <w:p w14:paraId="0C653EAA" w14:textId="39A45E82" w:rsidR="005613C4" w:rsidRPr="008E61EE" w:rsidRDefault="005613C4" w:rsidP="00F93494">
            <w:pPr>
              <w:jc w:val="center"/>
              <w:rPr>
                <w:rFonts w:cs="Calibri"/>
                <w:sz w:val="24"/>
                <w:szCs w:val="24"/>
                <w:highlight w:val="yellow"/>
              </w:rPr>
            </w:pPr>
          </w:p>
        </w:tc>
      </w:tr>
      <w:tr w:rsidR="005613C4" w:rsidRPr="0044445C" w14:paraId="2498FB87" w14:textId="77777777" w:rsidTr="00B65C73">
        <w:trPr>
          <w:trHeight w:val="252"/>
        </w:trPr>
        <w:tc>
          <w:tcPr>
            <w:tcW w:w="2876" w:type="dxa"/>
            <w:shd w:val="clear" w:color="auto" w:fill="auto"/>
            <w:noWrap/>
            <w:hideMark/>
          </w:tcPr>
          <w:p w14:paraId="5EF435D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83</w:t>
            </w:r>
          </w:p>
        </w:tc>
        <w:tc>
          <w:tcPr>
            <w:tcW w:w="2877" w:type="dxa"/>
            <w:shd w:val="clear" w:color="auto" w:fill="auto"/>
            <w:noWrap/>
            <w:hideMark/>
          </w:tcPr>
          <w:p w14:paraId="59C1A46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74CE2CC8" w14:textId="71CA7E0F" w:rsidR="005613C4" w:rsidRPr="008E61EE" w:rsidRDefault="005613C4" w:rsidP="00F93494">
            <w:pPr>
              <w:jc w:val="center"/>
              <w:rPr>
                <w:rFonts w:cs="Calibri"/>
                <w:sz w:val="24"/>
                <w:szCs w:val="24"/>
                <w:highlight w:val="yellow"/>
              </w:rPr>
            </w:pPr>
          </w:p>
        </w:tc>
      </w:tr>
      <w:tr w:rsidR="005613C4" w:rsidRPr="0044445C" w14:paraId="03239A27" w14:textId="77777777" w:rsidTr="00B65C73">
        <w:trPr>
          <w:trHeight w:val="252"/>
        </w:trPr>
        <w:tc>
          <w:tcPr>
            <w:tcW w:w="2876" w:type="dxa"/>
            <w:shd w:val="clear" w:color="auto" w:fill="auto"/>
            <w:noWrap/>
            <w:hideMark/>
          </w:tcPr>
          <w:p w14:paraId="1BF6421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84</w:t>
            </w:r>
          </w:p>
        </w:tc>
        <w:tc>
          <w:tcPr>
            <w:tcW w:w="2877" w:type="dxa"/>
            <w:shd w:val="clear" w:color="auto" w:fill="auto"/>
            <w:noWrap/>
            <w:hideMark/>
          </w:tcPr>
          <w:p w14:paraId="515209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108.5%</w:t>
            </w:r>
          </w:p>
        </w:tc>
        <w:tc>
          <w:tcPr>
            <w:tcW w:w="2877" w:type="dxa"/>
            <w:shd w:val="clear" w:color="auto" w:fill="auto"/>
            <w:noWrap/>
          </w:tcPr>
          <w:p w14:paraId="5351C5F1" w14:textId="005307AE" w:rsidR="005613C4" w:rsidRPr="008E61EE" w:rsidRDefault="005613C4" w:rsidP="00F93494">
            <w:pPr>
              <w:jc w:val="center"/>
              <w:rPr>
                <w:rFonts w:cs="Calibri"/>
                <w:sz w:val="24"/>
                <w:szCs w:val="24"/>
                <w:highlight w:val="yellow"/>
              </w:rPr>
            </w:pPr>
          </w:p>
        </w:tc>
      </w:tr>
      <w:tr w:rsidR="005613C4" w:rsidRPr="0044445C" w14:paraId="41106313" w14:textId="77777777" w:rsidTr="00B65C73">
        <w:trPr>
          <w:trHeight w:val="252"/>
        </w:trPr>
        <w:tc>
          <w:tcPr>
            <w:tcW w:w="2876" w:type="dxa"/>
            <w:shd w:val="clear" w:color="auto" w:fill="auto"/>
            <w:noWrap/>
            <w:hideMark/>
          </w:tcPr>
          <w:p w14:paraId="07DD775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85</w:t>
            </w:r>
          </w:p>
        </w:tc>
        <w:tc>
          <w:tcPr>
            <w:tcW w:w="2877" w:type="dxa"/>
            <w:shd w:val="clear" w:color="auto" w:fill="auto"/>
            <w:noWrap/>
            <w:hideMark/>
          </w:tcPr>
          <w:p w14:paraId="56387F7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07F5C9A" w14:textId="0C5A4600" w:rsidR="005613C4" w:rsidRPr="008E61EE" w:rsidRDefault="005613C4" w:rsidP="00F93494">
            <w:pPr>
              <w:jc w:val="center"/>
              <w:rPr>
                <w:rFonts w:cs="Calibri"/>
                <w:sz w:val="24"/>
                <w:szCs w:val="24"/>
                <w:highlight w:val="yellow"/>
              </w:rPr>
            </w:pPr>
          </w:p>
        </w:tc>
      </w:tr>
      <w:tr w:rsidR="005613C4" w:rsidRPr="0044445C" w14:paraId="7E55CC8C" w14:textId="77777777" w:rsidTr="00B65C73">
        <w:trPr>
          <w:trHeight w:val="252"/>
        </w:trPr>
        <w:tc>
          <w:tcPr>
            <w:tcW w:w="2876" w:type="dxa"/>
            <w:shd w:val="clear" w:color="auto" w:fill="auto"/>
            <w:noWrap/>
            <w:hideMark/>
          </w:tcPr>
          <w:p w14:paraId="2CB5B5A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lastRenderedPageBreak/>
              <w:t>86</w:t>
            </w:r>
          </w:p>
        </w:tc>
        <w:tc>
          <w:tcPr>
            <w:tcW w:w="2877" w:type="dxa"/>
            <w:shd w:val="clear" w:color="auto" w:fill="auto"/>
            <w:noWrap/>
            <w:hideMark/>
          </w:tcPr>
          <w:p w14:paraId="5206BB22"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6745DDAB" w14:textId="7E3C32C8" w:rsidR="005613C4" w:rsidRPr="008E61EE" w:rsidRDefault="005613C4" w:rsidP="00F93494">
            <w:pPr>
              <w:jc w:val="center"/>
              <w:rPr>
                <w:rFonts w:cs="Calibri"/>
                <w:sz w:val="24"/>
                <w:szCs w:val="24"/>
                <w:highlight w:val="yellow"/>
              </w:rPr>
            </w:pPr>
          </w:p>
        </w:tc>
      </w:tr>
      <w:tr w:rsidR="005613C4" w:rsidRPr="0044445C" w14:paraId="5C81F68C" w14:textId="77777777" w:rsidTr="00B65C73">
        <w:trPr>
          <w:trHeight w:val="252"/>
        </w:trPr>
        <w:tc>
          <w:tcPr>
            <w:tcW w:w="2876" w:type="dxa"/>
            <w:shd w:val="clear" w:color="auto" w:fill="auto"/>
            <w:noWrap/>
            <w:hideMark/>
          </w:tcPr>
          <w:p w14:paraId="3C95187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87</w:t>
            </w:r>
          </w:p>
        </w:tc>
        <w:tc>
          <w:tcPr>
            <w:tcW w:w="2877" w:type="dxa"/>
            <w:shd w:val="clear" w:color="auto" w:fill="auto"/>
            <w:noWrap/>
            <w:hideMark/>
          </w:tcPr>
          <w:p w14:paraId="3ED9302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D1A141A" w14:textId="6675277E" w:rsidR="005613C4" w:rsidRPr="008E61EE" w:rsidRDefault="005613C4" w:rsidP="00F93494">
            <w:pPr>
              <w:jc w:val="center"/>
              <w:rPr>
                <w:rFonts w:cs="Calibri"/>
                <w:sz w:val="24"/>
                <w:szCs w:val="24"/>
                <w:highlight w:val="yellow"/>
              </w:rPr>
            </w:pPr>
          </w:p>
        </w:tc>
      </w:tr>
      <w:tr w:rsidR="005613C4" w:rsidRPr="0044445C" w14:paraId="749C6311" w14:textId="77777777" w:rsidTr="00B65C73">
        <w:trPr>
          <w:trHeight w:val="252"/>
        </w:trPr>
        <w:tc>
          <w:tcPr>
            <w:tcW w:w="2876" w:type="dxa"/>
            <w:shd w:val="clear" w:color="auto" w:fill="auto"/>
            <w:noWrap/>
            <w:hideMark/>
          </w:tcPr>
          <w:p w14:paraId="00DC2F2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88</w:t>
            </w:r>
          </w:p>
        </w:tc>
        <w:tc>
          <w:tcPr>
            <w:tcW w:w="2877" w:type="dxa"/>
            <w:shd w:val="clear" w:color="auto" w:fill="auto"/>
            <w:noWrap/>
            <w:hideMark/>
          </w:tcPr>
          <w:p w14:paraId="1A0AB4C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27C6118F" w14:textId="3778FFA4" w:rsidR="005613C4" w:rsidRPr="008E61EE" w:rsidRDefault="005613C4" w:rsidP="00F93494">
            <w:pPr>
              <w:jc w:val="center"/>
              <w:rPr>
                <w:rFonts w:cs="Calibri"/>
                <w:sz w:val="24"/>
                <w:szCs w:val="24"/>
                <w:highlight w:val="yellow"/>
              </w:rPr>
            </w:pPr>
          </w:p>
        </w:tc>
      </w:tr>
      <w:tr w:rsidR="005613C4" w:rsidRPr="0044445C" w14:paraId="4CD92BCA" w14:textId="77777777" w:rsidTr="00B65C73">
        <w:trPr>
          <w:trHeight w:val="252"/>
        </w:trPr>
        <w:tc>
          <w:tcPr>
            <w:tcW w:w="2876" w:type="dxa"/>
            <w:shd w:val="clear" w:color="auto" w:fill="auto"/>
            <w:noWrap/>
            <w:hideMark/>
          </w:tcPr>
          <w:p w14:paraId="2E9169A4"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89</w:t>
            </w:r>
          </w:p>
        </w:tc>
        <w:tc>
          <w:tcPr>
            <w:tcW w:w="2877" w:type="dxa"/>
            <w:shd w:val="clear" w:color="auto" w:fill="auto"/>
            <w:noWrap/>
            <w:hideMark/>
          </w:tcPr>
          <w:p w14:paraId="1B8E8E6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46F8AB87" w14:textId="37F3FB83" w:rsidR="005613C4" w:rsidRPr="008E61EE" w:rsidRDefault="005613C4" w:rsidP="00F93494">
            <w:pPr>
              <w:jc w:val="center"/>
              <w:rPr>
                <w:rFonts w:cs="Calibri"/>
                <w:sz w:val="24"/>
                <w:szCs w:val="24"/>
                <w:highlight w:val="yellow"/>
              </w:rPr>
            </w:pPr>
          </w:p>
        </w:tc>
      </w:tr>
      <w:tr w:rsidR="005613C4" w:rsidRPr="0044445C" w14:paraId="12ECBC5B" w14:textId="77777777" w:rsidTr="00B65C73">
        <w:trPr>
          <w:trHeight w:val="252"/>
        </w:trPr>
        <w:tc>
          <w:tcPr>
            <w:tcW w:w="2876" w:type="dxa"/>
            <w:shd w:val="clear" w:color="auto" w:fill="auto"/>
            <w:noWrap/>
            <w:hideMark/>
          </w:tcPr>
          <w:p w14:paraId="4271C4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90</w:t>
            </w:r>
          </w:p>
        </w:tc>
        <w:tc>
          <w:tcPr>
            <w:tcW w:w="2877" w:type="dxa"/>
            <w:shd w:val="clear" w:color="auto" w:fill="auto"/>
            <w:noWrap/>
            <w:hideMark/>
          </w:tcPr>
          <w:p w14:paraId="2195772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E07F91D" w14:textId="2604AEA0" w:rsidR="005613C4" w:rsidRPr="008E61EE" w:rsidRDefault="005613C4" w:rsidP="00F93494">
            <w:pPr>
              <w:jc w:val="center"/>
              <w:rPr>
                <w:rFonts w:cs="Calibri"/>
                <w:sz w:val="24"/>
                <w:szCs w:val="24"/>
                <w:highlight w:val="yellow"/>
              </w:rPr>
            </w:pPr>
          </w:p>
        </w:tc>
      </w:tr>
      <w:tr w:rsidR="005613C4" w:rsidRPr="0044445C" w14:paraId="2A187399" w14:textId="77777777" w:rsidTr="00B65C73">
        <w:trPr>
          <w:trHeight w:val="252"/>
        </w:trPr>
        <w:tc>
          <w:tcPr>
            <w:tcW w:w="2876" w:type="dxa"/>
            <w:shd w:val="clear" w:color="auto" w:fill="auto"/>
            <w:noWrap/>
            <w:hideMark/>
          </w:tcPr>
          <w:p w14:paraId="1F02BB6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91</w:t>
            </w:r>
          </w:p>
        </w:tc>
        <w:tc>
          <w:tcPr>
            <w:tcW w:w="2877" w:type="dxa"/>
            <w:shd w:val="clear" w:color="auto" w:fill="auto"/>
            <w:noWrap/>
            <w:hideMark/>
          </w:tcPr>
          <w:p w14:paraId="46DC8881"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56DA325" w14:textId="1CAC0865" w:rsidR="005613C4" w:rsidRPr="008E61EE" w:rsidRDefault="005613C4" w:rsidP="00F93494">
            <w:pPr>
              <w:jc w:val="center"/>
              <w:rPr>
                <w:rFonts w:cs="Calibri"/>
                <w:sz w:val="24"/>
                <w:szCs w:val="24"/>
                <w:highlight w:val="yellow"/>
              </w:rPr>
            </w:pPr>
          </w:p>
        </w:tc>
      </w:tr>
      <w:tr w:rsidR="005613C4" w:rsidRPr="0044445C" w14:paraId="43240C1D" w14:textId="77777777" w:rsidTr="00B65C73">
        <w:trPr>
          <w:trHeight w:val="252"/>
        </w:trPr>
        <w:tc>
          <w:tcPr>
            <w:tcW w:w="2876" w:type="dxa"/>
            <w:shd w:val="clear" w:color="auto" w:fill="auto"/>
            <w:noWrap/>
            <w:hideMark/>
          </w:tcPr>
          <w:p w14:paraId="07176E0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92</w:t>
            </w:r>
          </w:p>
        </w:tc>
        <w:tc>
          <w:tcPr>
            <w:tcW w:w="2877" w:type="dxa"/>
            <w:shd w:val="clear" w:color="auto" w:fill="auto"/>
            <w:noWrap/>
            <w:hideMark/>
          </w:tcPr>
          <w:p w14:paraId="28E5CEC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133A6AE8" w14:textId="0ECABD1F" w:rsidR="005613C4" w:rsidRPr="008E61EE" w:rsidRDefault="005613C4" w:rsidP="00F93494">
            <w:pPr>
              <w:jc w:val="center"/>
              <w:rPr>
                <w:rFonts w:cs="Calibri"/>
                <w:sz w:val="24"/>
                <w:szCs w:val="24"/>
                <w:highlight w:val="yellow"/>
              </w:rPr>
            </w:pPr>
          </w:p>
        </w:tc>
      </w:tr>
      <w:tr w:rsidR="005613C4" w:rsidRPr="0044445C" w14:paraId="0B5E617D" w14:textId="77777777" w:rsidTr="00B65C73">
        <w:trPr>
          <w:trHeight w:val="252"/>
        </w:trPr>
        <w:tc>
          <w:tcPr>
            <w:tcW w:w="2876" w:type="dxa"/>
            <w:shd w:val="clear" w:color="auto" w:fill="auto"/>
            <w:noWrap/>
            <w:hideMark/>
          </w:tcPr>
          <w:p w14:paraId="58F19976"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93</w:t>
            </w:r>
          </w:p>
        </w:tc>
        <w:tc>
          <w:tcPr>
            <w:tcW w:w="2877" w:type="dxa"/>
            <w:shd w:val="clear" w:color="auto" w:fill="auto"/>
            <w:noWrap/>
            <w:hideMark/>
          </w:tcPr>
          <w:p w14:paraId="4799376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5BEF6E11" w14:textId="12C60B1B" w:rsidR="005613C4" w:rsidRPr="008E61EE" w:rsidRDefault="005613C4" w:rsidP="00F93494">
            <w:pPr>
              <w:jc w:val="center"/>
              <w:rPr>
                <w:rFonts w:cs="Calibri"/>
                <w:sz w:val="24"/>
                <w:szCs w:val="24"/>
                <w:highlight w:val="yellow"/>
              </w:rPr>
            </w:pPr>
          </w:p>
        </w:tc>
      </w:tr>
      <w:tr w:rsidR="005613C4" w:rsidRPr="0044445C" w14:paraId="25C073E7" w14:textId="77777777" w:rsidTr="00B65C73">
        <w:trPr>
          <w:trHeight w:val="252"/>
        </w:trPr>
        <w:tc>
          <w:tcPr>
            <w:tcW w:w="2876" w:type="dxa"/>
            <w:shd w:val="clear" w:color="auto" w:fill="auto"/>
            <w:noWrap/>
            <w:hideMark/>
          </w:tcPr>
          <w:p w14:paraId="3ECEADA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94</w:t>
            </w:r>
          </w:p>
        </w:tc>
        <w:tc>
          <w:tcPr>
            <w:tcW w:w="2877" w:type="dxa"/>
            <w:shd w:val="clear" w:color="auto" w:fill="auto"/>
            <w:noWrap/>
            <w:hideMark/>
          </w:tcPr>
          <w:p w14:paraId="19E9F209"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3EF7067B" w14:textId="52A4D12A" w:rsidR="005613C4" w:rsidRPr="008E61EE" w:rsidRDefault="005613C4" w:rsidP="00F93494">
            <w:pPr>
              <w:jc w:val="center"/>
              <w:rPr>
                <w:rFonts w:cs="Calibri"/>
                <w:sz w:val="24"/>
                <w:szCs w:val="24"/>
                <w:highlight w:val="yellow"/>
              </w:rPr>
            </w:pPr>
          </w:p>
        </w:tc>
      </w:tr>
      <w:tr w:rsidR="005613C4" w:rsidRPr="0044445C" w14:paraId="1DE78A2F" w14:textId="77777777" w:rsidTr="00B65C73">
        <w:trPr>
          <w:trHeight w:val="252"/>
        </w:trPr>
        <w:tc>
          <w:tcPr>
            <w:tcW w:w="2876" w:type="dxa"/>
            <w:shd w:val="clear" w:color="auto" w:fill="auto"/>
            <w:noWrap/>
            <w:hideMark/>
          </w:tcPr>
          <w:p w14:paraId="632B28E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95</w:t>
            </w:r>
          </w:p>
        </w:tc>
        <w:tc>
          <w:tcPr>
            <w:tcW w:w="2877" w:type="dxa"/>
            <w:shd w:val="clear" w:color="auto" w:fill="auto"/>
            <w:noWrap/>
            <w:hideMark/>
          </w:tcPr>
          <w:p w14:paraId="09CC0FE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110.0%</w:t>
            </w:r>
          </w:p>
        </w:tc>
        <w:tc>
          <w:tcPr>
            <w:tcW w:w="2877" w:type="dxa"/>
            <w:shd w:val="clear" w:color="auto" w:fill="auto"/>
            <w:noWrap/>
          </w:tcPr>
          <w:p w14:paraId="748B451E" w14:textId="17F9279B" w:rsidR="005613C4" w:rsidRPr="008E61EE" w:rsidRDefault="005613C4" w:rsidP="00F93494">
            <w:pPr>
              <w:jc w:val="center"/>
              <w:rPr>
                <w:rFonts w:cs="Calibri"/>
                <w:sz w:val="24"/>
                <w:szCs w:val="24"/>
                <w:highlight w:val="yellow"/>
              </w:rPr>
            </w:pPr>
          </w:p>
        </w:tc>
      </w:tr>
      <w:tr w:rsidR="005613C4" w:rsidRPr="0044445C" w14:paraId="29F8F3C7" w14:textId="77777777" w:rsidTr="00B65C73">
        <w:trPr>
          <w:trHeight w:val="252"/>
        </w:trPr>
        <w:tc>
          <w:tcPr>
            <w:tcW w:w="2876" w:type="dxa"/>
            <w:shd w:val="clear" w:color="auto" w:fill="auto"/>
            <w:noWrap/>
            <w:hideMark/>
          </w:tcPr>
          <w:p w14:paraId="56ACF1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96</w:t>
            </w:r>
          </w:p>
        </w:tc>
        <w:tc>
          <w:tcPr>
            <w:tcW w:w="2877" w:type="dxa"/>
            <w:shd w:val="clear" w:color="auto" w:fill="auto"/>
            <w:noWrap/>
            <w:hideMark/>
          </w:tcPr>
          <w:p w14:paraId="43B335E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109.0%</w:t>
            </w:r>
          </w:p>
        </w:tc>
        <w:tc>
          <w:tcPr>
            <w:tcW w:w="2877" w:type="dxa"/>
            <w:shd w:val="clear" w:color="auto" w:fill="auto"/>
            <w:noWrap/>
          </w:tcPr>
          <w:p w14:paraId="4D289C17" w14:textId="4C7115A3" w:rsidR="005613C4" w:rsidRPr="008E61EE" w:rsidRDefault="005613C4" w:rsidP="00F93494">
            <w:pPr>
              <w:jc w:val="center"/>
              <w:rPr>
                <w:rFonts w:cs="Calibri"/>
                <w:sz w:val="24"/>
                <w:szCs w:val="24"/>
                <w:highlight w:val="yellow"/>
              </w:rPr>
            </w:pPr>
          </w:p>
        </w:tc>
      </w:tr>
      <w:tr w:rsidR="005613C4" w:rsidRPr="0044445C" w14:paraId="58A16ABF" w14:textId="77777777" w:rsidTr="00B65C73">
        <w:trPr>
          <w:trHeight w:val="252"/>
        </w:trPr>
        <w:tc>
          <w:tcPr>
            <w:tcW w:w="2876" w:type="dxa"/>
            <w:shd w:val="clear" w:color="auto" w:fill="auto"/>
            <w:noWrap/>
            <w:hideMark/>
          </w:tcPr>
          <w:p w14:paraId="4EACCF7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97</w:t>
            </w:r>
          </w:p>
        </w:tc>
        <w:tc>
          <w:tcPr>
            <w:tcW w:w="2877" w:type="dxa"/>
            <w:shd w:val="clear" w:color="auto" w:fill="auto"/>
            <w:noWrap/>
            <w:hideMark/>
          </w:tcPr>
          <w:p w14:paraId="569FEE9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108.0%</w:t>
            </w:r>
          </w:p>
        </w:tc>
        <w:tc>
          <w:tcPr>
            <w:tcW w:w="2877" w:type="dxa"/>
            <w:shd w:val="clear" w:color="auto" w:fill="auto"/>
            <w:noWrap/>
          </w:tcPr>
          <w:p w14:paraId="5090A89D" w14:textId="2957EE20" w:rsidR="005613C4" w:rsidRPr="008E61EE" w:rsidRDefault="005613C4" w:rsidP="00F93494">
            <w:pPr>
              <w:jc w:val="center"/>
              <w:rPr>
                <w:rFonts w:cs="Calibri"/>
                <w:sz w:val="24"/>
                <w:szCs w:val="24"/>
                <w:highlight w:val="yellow"/>
              </w:rPr>
            </w:pPr>
          </w:p>
        </w:tc>
      </w:tr>
      <w:tr w:rsidR="005613C4" w:rsidRPr="0044445C" w14:paraId="1F0215E0" w14:textId="77777777" w:rsidTr="00B65C73">
        <w:trPr>
          <w:trHeight w:val="252"/>
        </w:trPr>
        <w:tc>
          <w:tcPr>
            <w:tcW w:w="2876" w:type="dxa"/>
            <w:shd w:val="clear" w:color="auto" w:fill="auto"/>
            <w:noWrap/>
            <w:hideMark/>
          </w:tcPr>
          <w:p w14:paraId="438907D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98</w:t>
            </w:r>
          </w:p>
        </w:tc>
        <w:tc>
          <w:tcPr>
            <w:tcW w:w="2877" w:type="dxa"/>
            <w:shd w:val="clear" w:color="auto" w:fill="auto"/>
            <w:noWrap/>
            <w:hideMark/>
          </w:tcPr>
          <w:p w14:paraId="7AFD9C0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107.0%</w:t>
            </w:r>
          </w:p>
        </w:tc>
        <w:tc>
          <w:tcPr>
            <w:tcW w:w="2877" w:type="dxa"/>
            <w:shd w:val="clear" w:color="auto" w:fill="auto"/>
            <w:noWrap/>
          </w:tcPr>
          <w:p w14:paraId="6E571D0B" w14:textId="2D570849" w:rsidR="005613C4" w:rsidRPr="008E61EE" w:rsidRDefault="005613C4" w:rsidP="00F93494">
            <w:pPr>
              <w:jc w:val="center"/>
              <w:rPr>
                <w:rFonts w:cs="Calibri"/>
                <w:sz w:val="24"/>
                <w:szCs w:val="24"/>
                <w:highlight w:val="yellow"/>
              </w:rPr>
            </w:pPr>
          </w:p>
        </w:tc>
      </w:tr>
      <w:tr w:rsidR="005613C4" w:rsidRPr="0044445C" w14:paraId="5CEA51D1" w14:textId="77777777" w:rsidTr="00B65C73">
        <w:trPr>
          <w:trHeight w:val="252"/>
        </w:trPr>
        <w:tc>
          <w:tcPr>
            <w:tcW w:w="2876" w:type="dxa"/>
            <w:shd w:val="clear" w:color="auto" w:fill="auto"/>
            <w:noWrap/>
            <w:hideMark/>
          </w:tcPr>
          <w:p w14:paraId="2E0DF4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99</w:t>
            </w:r>
          </w:p>
        </w:tc>
        <w:tc>
          <w:tcPr>
            <w:tcW w:w="2877" w:type="dxa"/>
            <w:shd w:val="clear" w:color="auto" w:fill="auto"/>
            <w:noWrap/>
            <w:hideMark/>
          </w:tcPr>
          <w:p w14:paraId="687C53BE"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106.0%</w:t>
            </w:r>
          </w:p>
        </w:tc>
        <w:tc>
          <w:tcPr>
            <w:tcW w:w="2877" w:type="dxa"/>
            <w:shd w:val="clear" w:color="auto" w:fill="auto"/>
            <w:noWrap/>
          </w:tcPr>
          <w:p w14:paraId="04A584F5" w14:textId="7EE59702" w:rsidR="005613C4" w:rsidRPr="008E61EE" w:rsidRDefault="005613C4" w:rsidP="00F93494">
            <w:pPr>
              <w:jc w:val="center"/>
              <w:rPr>
                <w:rFonts w:cs="Calibri"/>
                <w:sz w:val="24"/>
                <w:szCs w:val="24"/>
                <w:highlight w:val="yellow"/>
              </w:rPr>
            </w:pPr>
          </w:p>
        </w:tc>
      </w:tr>
      <w:tr w:rsidR="005613C4" w:rsidRPr="0044445C" w14:paraId="7C60C0C1" w14:textId="77777777" w:rsidTr="00B65C73">
        <w:trPr>
          <w:trHeight w:val="252"/>
        </w:trPr>
        <w:tc>
          <w:tcPr>
            <w:tcW w:w="2876" w:type="dxa"/>
            <w:shd w:val="clear" w:color="auto" w:fill="auto"/>
            <w:noWrap/>
            <w:hideMark/>
          </w:tcPr>
          <w:p w14:paraId="24519C3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w:t>
            </w:r>
          </w:p>
        </w:tc>
        <w:tc>
          <w:tcPr>
            <w:tcW w:w="2877" w:type="dxa"/>
            <w:shd w:val="clear" w:color="auto" w:fill="auto"/>
            <w:noWrap/>
            <w:hideMark/>
          </w:tcPr>
          <w:p w14:paraId="69E2A2E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105.0%</w:t>
            </w:r>
          </w:p>
        </w:tc>
        <w:tc>
          <w:tcPr>
            <w:tcW w:w="2877" w:type="dxa"/>
            <w:shd w:val="clear" w:color="auto" w:fill="auto"/>
            <w:noWrap/>
          </w:tcPr>
          <w:p w14:paraId="369139BC" w14:textId="48DF144C" w:rsidR="005613C4" w:rsidRPr="008E61EE" w:rsidRDefault="005613C4" w:rsidP="00F93494">
            <w:pPr>
              <w:jc w:val="center"/>
              <w:rPr>
                <w:rFonts w:cs="Calibri"/>
                <w:sz w:val="24"/>
                <w:szCs w:val="24"/>
                <w:highlight w:val="yellow"/>
              </w:rPr>
            </w:pPr>
          </w:p>
        </w:tc>
      </w:tr>
      <w:tr w:rsidR="005613C4" w:rsidRPr="0044445C" w14:paraId="33DDADD7" w14:textId="77777777" w:rsidTr="00B65C73">
        <w:trPr>
          <w:trHeight w:val="252"/>
        </w:trPr>
        <w:tc>
          <w:tcPr>
            <w:tcW w:w="2876" w:type="dxa"/>
            <w:shd w:val="clear" w:color="auto" w:fill="auto"/>
            <w:noWrap/>
            <w:hideMark/>
          </w:tcPr>
          <w:p w14:paraId="26CF95B0"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w:t>
            </w:r>
          </w:p>
        </w:tc>
        <w:tc>
          <w:tcPr>
            <w:tcW w:w="2877" w:type="dxa"/>
            <w:shd w:val="clear" w:color="auto" w:fill="auto"/>
            <w:noWrap/>
            <w:hideMark/>
          </w:tcPr>
          <w:p w14:paraId="04AE583C"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104.0%</w:t>
            </w:r>
          </w:p>
        </w:tc>
        <w:tc>
          <w:tcPr>
            <w:tcW w:w="2877" w:type="dxa"/>
            <w:shd w:val="clear" w:color="auto" w:fill="auto"/>
            <w:noWrap/>
          </w:tcPr>
          <w:p w14:paraId="2F7B9A5D" w14:textId="311A8918" w:rsidR="005613C4" w:rsidRPr="008E61EE" w:rsidRDefault="005613C4" w:rsidP="00F93494">
            <w:pPr>
              <w:jc w:val="center"/>
              <w:rPr>
                <w:rFonts w:cs="Calibri"/>
                <w:sz w:val="24"/>
                <w:szCs w:val="24"/>
                <w:highlight w:val="yellow"/>
              </w:rPr>
            </w:pPr>
          </w:p>
        </w:tc>
      </w:tr>
      <w:tr w:rsidR="005613C4" w:rsidRPr="0044445C" w14:paraId="2F3D106E" w14:textId="77777777" w:rsidTr="00B65C73">
        <w:trPr>
          <w:trHeight w:val="252"/>
        </w:trPr>
        <w:tc>
          <w:tcPr>
            <w:tcW w:w="2876" w:type="dxa"/>
            <w:shd w:val="clear" w:color="auto" w:fill="auto"/>
            <w:noWrap/>
            <w:hideMark/>
          </w:tcPr>
          <w:p w14:paraId="5A62D297"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w:t>
            </w:r>
          </w:p>
        </w:tc>
        <w:tc>
          <w:tcPr>
            <w:tcW w:w="2877" w:type="dxa"/>
            <w:shd w:val="clear" w:color="auto" w:fill="auto"/>
            <w:noWrap/>
            <w:hideMark/>
          </w:tcPr>
          <w:p w14:paraId="1C35E19F"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103.0%</w:t>
            </w:r>
          </w:p>
        </w:tc>
        <w:tc>
          <w:tcPr>
            <w:tcW w:w="2877" w:type="dxa"/>
            <w:shd w:val="clear" w:color="auto" w:fill="auto"/>
            <w:noWrap/>
          </w:tcPr>
          <w:p w14:paraId="5A1D406A" w14:textId="620A1D42" w:rsidR="005613C4" w:rsidRPr="008E61EE" w:rsidRDefault="005613C4" w:rsidP="00F93494">
            <w:pPr>
              <w:jc w:val="center"/>
              <w:rPr>
                <w:rFonts w:cs="Calibri"/>
                <w:sz w:val="24"/>
                <w:szCs w:val="24"/>
                <w:highlight w:val="yellow"/>
              </w:rPr>
            </w:pPr>
          </w:p>
        </w:tc>
      </w:tr>
      <w:tr w:rsidR="005613C4" w:rsidRPr="0044445C" w14:paraId="3AA79940" w14:textId="77777777" w:rsidTr="00B65C73">
        <w:trPr>
          <w:trHeight w:val="252"/>
        </w:trPr>
        <w:tc>
          <w:tcPr>
            <w:tcW w:w="2876" w:type="dxa"/>
            <w:shd w:val="clear" w:color="auto" w:fill="auto"/>
            <w:noWrap/>
            <w:hideMark/>
          </w:tcPr>
          <w:p w14:paraId="54AC1158"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103</w:t>
            </w:r>
          </w:p>
        </w:tc>
        <w:tc>
          <w:tcPr>
            <w:tcW w:w="2877" w:type="dxa"/>
            <w:shd w:val="clear" w:color="auto" w:fill="auto"/>
            <w:noWrap/>
            <w:hideMark/>
          </w:tcPr>
          <w:p w14:paraId="68223E7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102.0%</w:t>
            </w:r>
          </w:p>
        </w:tc>
        <w:tc>
          <w:tcPr>
            <w:tcW w:w="2877" w:type="dxa"/>
            <w:shd w:val="clear" w:color="auto" w:fill="auto"/>
            <w:noWrap/>
          </w:tcPr>
          <w:p w14:paraId="04C2A7AF" w14:textId="39114804" w:rsidR="005613C4" w:rsidRPr="008E61EE" w:rsidRDefault="005613C4" w:rsidP="00F93494">
            <w:pPr>
              <w:jc w:val="center"/>
              <w:rPr>
                <w:rFonts w:cs="Calibri"/>
                <w:sz w:val="24"/>
                <w:szCs w:val="24"/>
                <w:highlight w:val="yellow"/>
              </w:rPr>
            </w:pPr>
          </w:p>
        </w:tc>
      </w:tr>
      <w:tr w:rsidR="005613C4" w:rsidRPr="0044445C" w14:paraId="1B822238" w14:textId="77777777" w:rsidTr="00B65C73">
        <w:trPr>
          <w:trHeight w:val="252"/>
        </w:trPr>
        <w:tc>
          <w:tcPr>
            <w:tcW w:w="2876" w:type="dxa"/>
            <w:shd w:val="clear" w:color="auto" w:fill="auto"/>
            <w:noWrap/>
            <w:hideMark/>
          </w:tcPr>
          <w:p w14:paraId="4AAEFA53"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104</w:t>
            </w:r>
          </w:p>
        </w:tc>
        <w:tc>
          <w:tcPr>
            <w:tcW w:w="2877" w:type="dxa"/>
            <w:shd w:val="clear" w:color="auto" w:fill="auto"/>
            <w:noWrap/>
            <w:hideMark/>
          </w:tcPr>
          <w:p w14:paraId="35C62655"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101.0%</w:t>
            </w:r>
          </w:p>
        </w:tc>
        <w:tc>
          <w:tcPr>
            <w:tcW w:w="2877" w:type="dxa"/>
            <w:shd w:val="clear" w:color="auto" w:fill="auto"/>
            <w:noWrap/>
          </w:tcPr>
          <w:p w14:paraId="0DB95F1A" w14:textId="67048F87" w:rsidR="005613C4" w:rsidRPr="008E61EE" w:rsidRDefault="005613C4" w:rsidP="00F93494">
            <w:pPr>
              <w:jc w:val="center"/>
              <w:rPr>
                <w:rFonts w:cs="Calibri"/>
                <w:sz w:val="24"/>
                <w:szCs w:val="24"/>
                <w:highlight w:val="yellow"/>
              </w:rPr>
            </w:pPr>
          </w:p>
        </w:tc>
      </w:tr>
      <w:tr w:rsidR="005613C4" w:rsidRPr="000055F5" w14:paraId="2F0FB95E" w14:textId="77777777" w:rsidTr="00B65C73">
        <w:trPr>
          <w:trHeight w:val="252"/>
        </w:trPr>
        <w:tc>
          <w:tcPr>
            <w:tcW w:w="2876" w:type="dxa"/>
            <w:shd w:val="clear" w:color="auto" w:fill="auto"/>
            <w:noWrap/>
            <w:hideMark/>
          </w:tcPr>
          <w:p w14:paraId="6A67738A"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&gt;=105</w:t>
            </w:r>
          </w:p>
        </w:tc>
        <w:tc>
          <w:tcPr>
            <w:tcW w:w="2877" w:type="dxa"/>
            <w:shd w:val="clear" w:color="auto" w:fill="auto"/>
            <w:noWrap/>
            <w:hideMark/>
          </w:tcPr>
          <w:p w14:paraId="1DC873FD" w14:textId="77777777" w:rsidR="005613C4" w:rsidRPr="008E61EE" w:rsidRDefault="005613C4" w:rsidP="00F93494">
            <w:pPr>
              <w:jc w:val="center"/>
              <w:rPr>
                <w:rFonts w:cs="Calibri"/>
                <w:sz w:val="24"/>
                <w:szCs w:val="24"/>
                <w:highlight w:val="yellow"/>
              </w:rPr>
            </w:pPr>
            <w:r w:rsidRPr="008E61EE">
              <w:rPr>
                <w:rFonts w:cs="Calibri"/>
                <w:sz w:val="24"/>
                <w:szCs w:val="24"/>
                <w:highlight w:val="yellow"/>
              </w:rPr>
              <w:t>100.0%</w:t>
            </w:r>
          </w:p>
        </w:tc>
        <w:tc>
          <w:tcPr>
            <w:tcW w:w="2877" w:type="dxa"/>
            <w:shd w:val="clear" w:color="auto" w:fill="auto"/>
            <w:noWrap/>
          </w:tcPr>
          <w:p w14:paraId="2E16783E" w14:textId="35031239" w:rsidR="005613C4" w:rsidRPr="008E1EB2" w:rsidRDefault="005613C4" w:rsidP="00F93494">
            <w:pPr>
              <w:jc w:val="center"/>
              <w:rPr>
                <w:rFonts w:cs="Calibri"/>
                <w:sz w:val="24"/>
                <w:szCs w:val="24"/>
              </w:rPr>
            </w:pPr>
          </w:p>
        </w:tc>
      </w:tr>
    </w:tbl>
    <w:p w14:paraId="4464BDD8" w14:textId="77777777" w:rsidR="00565D98" w:rsidRDefault="00565D98" w:rsidP="00BC5188">
      <w:pPr>
        <w:spacing w:after="0" w:line="240" w:lineRule="auto"/>
        <w:jc w:val="both"/>
        <w:rPr>
          <w:rFonts w:ascii="Times New Roman" w:eastAsia="Times New Roman" w:hAnsi="Times New Roman"/>
        </w:rPr>
      </w:pPr>
    </w:p>
    <w:p w14:paraId="47D8AF91" w14:textId="22E3F80D" w:rsidR="00B344BD" w:rsidRPr="00565D98" w:rsidRDefault="00565D98" w:rsidP="00565D98">
      <w:pPr>
        <w:spacing w:after="220" w:line="240" w:lineRule="auto"/>
        <w:ind w:left="2160" w:hanging="360"/>
        <w:jc w:val="both"/>
        <w:rPr>
          <w:rFonts w:ascii="Times New Roman" w:eastAsia="Times New Roman" w:hAnsi="Times New Roman"/>
        </w:rPr>
      </w:pPr>
      <w:r>
        <w:rPr>
          <w:rFonts w:ascii="Times New Roman" w:eastAsia="Times New Roman" w:hAnsi="Times New Roman"/>
        </w:rPr>
        <w:t xml:space="preserve">iii. </w:t>
      </w:r>
      <w:r w:rsidR="00B344BD" w:rsidRPr="00565D98">
        <w:rPr>
          <w:rFonts w:ascii="Times New Roman" w:eastAsia="Times New Roman" w:hAnsi="Times New Roman"/>
        </w:rPr>
        <w:t xml:space="preserve">For a business segment with non-U.S. insureds, </w:t>
      </w:r>
      <w:r w:rsidR="00FF6332">
        <w:rPr>
          <w:rFonts w:ascii="Times New Roman" w:eastAsia="Times New Roman" w:hAnsi="Times New Roman"/>
        </w:rPr>
        <w:t>w</w:t>
      </w:r>
      <w:r w:rsidR="00FF6332" w:rsidRPr="00FF6332">
        <w:rPr>
          <w:rFonts w:ascii="Times New Roman" w:eastAsia="Times New Roman" w:hAnsi="Times New Roman"/>
        </w:rPr>
        <w:t>hen little or no experience or information is available on a business segment</w:t>
      </w:r>
      <w:r w:rsidR="002C5A5F">
        <w:rPr>
          <w:rFonts w:ascii="Times New Roman" w:eastAsia="Times New Roman" w:hAnsi="Times New Roman"/>
        </w:rPr>
        <w:t>,</w:t>
      </w:r>
      <w:r w:rsidR="00FF6332" w:rsidRPr="00FF6332">
        <w:rPr>
          <w:rFonts w:ascii="Times New Roman" w:eastAsia="Times New Roman" w:hAnsi="Times New Roman"/>
        </w:rPr>
        <w:t xml:space="preserve"> </w:t>
      </w:r>
      <w:r w:rsidR="00B344BD" w:rsidRPr="00565D98">
        <w:rPr>
          <w:rFonts w:ascii="Times New Roman" w:eastAsia="Times New Roman" w:hAnsi="Times New Roman"/>
        </w:rPr>
        <w:t xml:space="preserve">an established industry or national mortality table </w:t>
      </w:r>
      <w:r w:rsidR="00262387">
        <w:rPr>
          <w:rFonts w:ascii="Times New Roman" w:eastAsia="Times New Roman" w:hAnsi="Times New Roman"/>
        </w:rPr>
        <w:t xml:space="preserve">and mortality improvement scale </w:t>
      </w:r>
      <w:r w:rsidR="00B344BD" w:rsidRPr="00565D98">
        <w:rPr>
          <w:rFonts w:ascii="Times New Roman" w:eastAsia="Times New Roman" w:hAnsi="Times New Roman"/>
        </w:rPr>
        <w:t>may be used, with approval from the domiciliary commissioner.</w:t>
      </w:r>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w:t>
      </w:r>
      <w:r w:rsidRPr="000055F5">
        <w:rPr>
          <w:rFonts w:ascii="Times New Roman" w:eastAsia="Times New Roman" w:hAnsi="Times New Roman"/>
        </w:rPr>
        <w:lastRenderedPageBreak/>
        <w:t>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AD0E74">
      <w:pPr>
        <w:pStyle w:val="Heading2"/>
        <w:numPr>
          <w:ilvl w:val="0"/>
          <w:numId w:val="53"/>
        </w:numPr>
        <w:rPr>
          <w:sz w:val="22"/>
          <w:szCs w:val="22"/>
        </w:rPr>
      </w:pPr>
      <w:bookmarkStart w:id="157" w:name="_Toc77242176"/>
      <w:bookmarkStart w:id="158" w:name="_Toc137649823"/>
      <w:r w:rsidRPr="009E255A">
        <w:rPr>
          <w:sz w:val="22"/>
          <w:szCs w:val="22"/>
        </w:rPr>
        <w:t>Adjustment for Credibility to Determine Prudent Estimate Mortality</w:t>
      </w:r>
      <w:bookmarkEnd w:id="157"/>
      <w:bookmarkEnd w:id="158"/>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59" w:name="_Toc77242177"/>
      <w:bookmarkStart w:id="160" w:name="_Toc137649824"/>
      <w:r w:rsidRPr="009E255A">
        <w:rPr>
          <w:sz w:val="22"/>
          <w:szCs w:val="22"/>
        </w:rPr>
        <w:t>D.</w:t>
      </w:r>
      <w:r w:rsidRPr="009E255A">
        <w:rPr>
          <w:sz w:val="22"/>
          <w:szCs w:val="22"/>
        </w:rPr>
        <w:tab/>
        <w:t>Future Mortality Improvement</w:t>
      </w:r>
      <w:bookmarkEnd w:id="159"/>
      <w:bookmarkEnd w:id="160"/>
    </w:p>
    <w:p w14:paraId="6386E0B7" w14:textId="77777777" w:rsidR="0040376D" w:rsidRPr="0040376D" w:rsidRDefault="0040376D" w:rsidP="007E0EC6">
      <w:pPr>
        <w:spacing w:after="0"/>
      </w:pPr>
    </w:p>
    <w:p w14:paraId="62176EDE" w14:textId="39BEF3F0"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61" w:name="_Toc137649825"/>
      <w:bookmarkStart w:id="162" w:name="_Toc77242178"/>
      <w:r>
        <w:rPr>
          <w:sz w:val="24"/>
          <w:szCs w:val="24"/>
        </w:rPr>
        <w:lastRenderedPageBreak/>
        <w:t xml:space="preserve">Section 12: </w:t>
      </w:r>
      <w:r w:rsidR="00967921" w:rsidRPr="00967921">
        <w:rPr>
          <w:sz w:val="24"/>
          <w:szCs w:val="24"/>
        </w:rPr>
        <w:t>Other Guidance and Requirements for Assumptions</w:t>
      </w:r>
      <w:bookmarkEnd w:id="161"/>
    </w:p>
    <w:p w14:paraId="1F32F0FB" w14:textId="77777777" w:rsidR="00A2178E" w:rsidRDefault="00A2178E" w:rsidP="00270D21">
      <w:pPr>
        <w:jc w:val="both"/>
        <w:rPr>
          <w:rFonts w:ascii="Times New Roman" w:hAnsi="Times New Roman" w:cs="Times New Roman"/>
          <w:bCs/>
        </w:rPr>
      </w:pPr>
    </w:p>
    <w:p w14:paraId="0EEC53F2" w14:textId="12C4B3D0" w:rsidR="00270D21" w:rsidRPr="00A2178E" w:rsidRDefault="00270D21" w:rsidP="00270D21">
      <w:pPr>
        <w:jc w:val="both"/>
        <w:rPr>
          <w:rFonts w:ascii="Times New Roman" w:hAnsi="Times New Roman" w:cs="Times New Roman"/>
          <w:bCs/>
        </w:rPr>
      </w:pPr>
      <w:r w:rsidRPr="00A2178E">
        <w:rPr>
          <w:rFonts w:ascii="Times New Roman" w:hAnsi="Times New Roman" w:cs="Times New Roman"/>
          <w:bCs/>
        </w:rPr>
        <w:t>A. Overview</w:t>
      </w:r>
    </w:p>
    <w:p w14:paraId="611B54B4" w14:textId="588425F9" w:rsidR="00270D21" w:rsidRPr="00A2178E" w:rsidRDefault="00270D21" w:rsidP="00270D21">
      <w:pPr>
        <w:jc w:val="both"/>
        <w:rPr>
          <w:rFonts w:ascii="Times New Roman" w:hAnsi="Times New Roman" w:cs="Times New Roman"/>
          <w:bCs/>
        </w:rPr>
      </w:pPr>
      <w:r w:rsidRPr="00A2178E">
        <w:rPr>
          <w:rFonts w:ascii="Times New Roman" w:hAnsi="Times New Roman" w:cs="Times New Roman"/>
          <w:bCs/>
        </w:rPr>
        <w:t>This section provides guidance and requirements in general for setting prudent estimate assumptions when determining either the SR or DR.  It also provides specific guidance and requirements for expense assumptions.</w:t>
      </w:r>
    </w:p>
    <w:p w14:paraId="794CC49F" w14:textId="77777777" w:rsidR="00270D21" w:rsidRPr="00A2178E" w:rsidRDefault="00270D21" w:rsidP="00270D21">
      <w:pPr>
        <w:jc w:val="both"/>
        <w:rPr>
          <w:rFonts w:ascii="Times New Roman" w:hAnsi="Times New Roman" w:cs="Times New Roman"/>
        </w:rPr>
      </w:pPr>
      <w:r w:rsidRPr="00A2178E">
        <w:rPr>
          <w:rFonts w:ascii="Times New Roman" w:hAnsi="Times New Roman" w:cs="Times New Roman"/>
          <w:bCs/>
        </w:rPr>
        <w:t xml:space="preserve">B. </w:t>
      </w:r>
      <w:bookmarkStart w:id="163" w:name="_Hlk61002064"/>
      <w:r w:rsidRPr="00A2178E">
        <w:rPr>
          <w:rFonts w:ascii="Times New Roman" w:hAnsi="Times New Roman" w:cs="Times New Roman"/>
          <w:bCs/>
        </w:rPr>
        <w:t>General Assumption Requirements</w:t>
      </w:r>
    </w:p>
    <w:p w14:paraId="111FF1CA" w14:textId="77777777" w:rsidR="00270D21" w:rsidRPr="00B579A3" w:rsidRDefault="00270D21" w:rsidP="00270D21">
      <w:pPr>
        <w:pStyle w:val="BodyText"/>
        <w:spacing w:before="4"/>
      </w:pPr>
    </w:p>
    <w:p w14:paraId="118B86C3" w14:textId="77777777" w:rsidR="00270D21" w:rsidRPr="00270D21" w:rsidRDefault="00270D21" w:rsidP="00AD0E74">
      <w:pPr>
        <w:pStyle w:val="ListParagraph"/>
        <w:widowControl w:val="0"/>
        <w:numPr>
          <w:ilvl w:val="1"/>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AD0E74">
      <w:pPr>
        <w:pStyle w:val="ListParagraph"/>
        <w:widowControl w:val="0"/>
        <w:numPr>
          <w:ilvl w:val="1"/>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5E44A5A7"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AD0E74">
      <w:pPr>
        <w:pStyle w:val="ListParagraph"/>
        <w:widowControl w:val="0"/>
        <w:numPr>
          <w:ilvl w:val="4"/>
          <w:numId w:val="76"/>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AD0E74">
      <w:pPr>
        <w:pStyle w:val="ListParagraph"/>
        <w:widowControl w:val="0"/>
        <w:numPr>
          <w:ilvl w:val="4"/>
          <w:numId w:val="76"/>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AD0E74">
      <w:pPr>
        <w:pStyle w:val="ListParagraph"/>
        <w:widowControl w:val="0"/>
        <w:numPr>
          <w:ilvl w:val="0"/>
          <w:numId w:val="79"/>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AD0E74">
      <w:pPr>
        <w:pStyle w:val="ListParagraph"/>
        <w:widowControl w:val="0"/>
        <w:numPr>
          <w:ilvl w:val="0"/>
          <w:numId w:val="79"/>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AD0E74">
      <w:pPr>
        <w:pStyle w:val="ListParagraph"/>
        <w:widowControl w:val="0"/>
        <w:numPr>
          <w:ilvl w:val="0"/>
          <w:numId w:val="79"/>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AD0E74">
      <w:pPr>
        <w:pStyle w:val="ListParagraph"/>
        <w:widowControl w:val="0"/>
        <w:numPr>
          <w:ilvl w:val="4"/>
          <w:numId w:val="76"/>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AD0E74">
      <w:pPr>
        <w:pStyle w:val="ListParagraph"/>
        <w:widowControl w:val="0"/>
        <w:numPr>
          <w:ilvl w:val="1"/>
          <w:numId w:val="76"/>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AD0E74">
      <w:pPr>
        <w:pStyle w:val="ListParagraph"/>
        <w:widowControl w:val="0"/>
        <w:numPr>
          <w:ilvl w:val="0"/>
          <w:numId w:val="80"/>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727EAD">
      <w:pPr>
        <w:pStyle w:val="ListParagraph"/>
        <w:widowControl w:val="0"/>
        <w:numPr>
          <w:ilvl w:val="0"/>
          <w:numId w:val="80"/>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AD0E74">
      <w:pPr>
        <w:pStyle w:val="ListParagraph"/>
        <w:widowControl w:val="0"/>
        <w:numPr>
          <w:ilvl w:val="1"/>
          <w:numId w:val="76"/>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77777777" w:rsidR="00270D21" w:rsidRPr="00124145" w:rsidRDefault="00270D21" w:rsidP="00AD0E74">
      <w:pPr>
        <w:pStyle w:val="ListParagraph"/>
        <w:widowControl w:val="0"/>
        <w:numPr>
          <w:ilvl w:val="0"/>
          <w:numId w:val="76"/>
        </w:numPr>
        <w:tabs>
          <w:tab w:val="left" w:pos="2120"/>
          <w:tab w:val="left" w:pos="2121"/>
        </w:tabs>
        <w:autoSpaceDE w:val="0"/>
        <w:autoSpaceDN w:val="0"/>
        <w:spacing w:before="1" w:after="0" w:line="240" w:lineRule="auto"/>
        <w:contextualSpacing w:val="0"/>
        <w:jc w:val="left"/>
        <w:rPr>
          <w:rFonts w:ascii="Times New Roman" w:hAnsi="Times New Roman" w:cs="Times New Roman"/>
        </w:rPr>
      </w:pPr>
      <w:r w:rsidRPr="00124145">
        <w:rPr>
          <w:rFonts w:ascii="Times New Roman" w:hAnsi="Times New Roman" w:cs="Times New Roman"/>
        </w:rPr>
        <w:t>Assumption</w:t>
      </w:r>
      <w:r w:rsidRPr="00124145">
        <w:rPr>
          <w:rFonts w:ascii="Times New Roman" w:hAnsi="Times New Roman" w:cs="Times New Roman"/>
          <w:spacing w:val="-3"/>
        </w:rPr>
        <w:t xml:space="preserve"> </w:t>
      </w:r>
      <w:r w:rsidRPr="00124145">
        <w:rPr>
          <w:rFonts w:ascii="Times New Roman" w:hAnsi="Times New Roman" w:cs="Times New Roman"/>
        </w:rPr>
        <w:t>Margins</w:t>
      </w:r>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03CA495"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sidR="00124145">
        <w:rPr>
          <w:rFonts w:ascii="Times New Roman" w:hAnsi="Times New Roman" w:cs="Times New Roman"/>
        </w:rPr>
        <w:t>S</w:t>
      </w:r>
      <w:r w:rsidR="005573E0">
        <w:rPr>
          <w:rFonts w:ascii="Times New Roman" w:hAnsi="Times New Roman" w:cs="Times New Roman"/>
        </w:rPr>
        <w:t>R</w:t>
      </w:r>
      <w:r w:rsidR="00124145">
        <w:rPr>
          <w:rFonts w:ascii="Times New Roman" w:hAnsi="Times New Roman" w:cs="Times New Roman"/>
        </w:rPr>
        <w:t xml:space="preserve"> or DR</w:t>
      </w:r>
      <w:r w:rsidRPr="00124145">
        <w:rPr>
          <w:rFonts w:ascii="Times New Roman" w:hAnsi="Times New Roman" w:cs="Times New Roman"/>
        </w:rPr>
        <w:t xml:space="preserve"> 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AD0E74">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270D21">
      <w:pPr>
        <w:pStyle w:val="ListParagraph"/>
        <w:widowControl w:val="0"/>
        <w:numPr>
          <w:ilvl w:val="2"/>
          <w:numId w:val="76"/>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63"/>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51F4C">
      <w:pPr>
        <w:pStyle w:val="BodyText"/>
        <w:spacing w:before="1"/>
        <w:jc w:val="both"/>
        <w:rPr>
          <w:rFonts w:ascii="Times New Roman" w:hAnsi="Times New Roman" w:cs="Times New Roman"/>
        </w:rPr>
      </w:pPr>
      <w:r w:rsidRPr="00124145">
        <w:rPr>
          <w:rFonts w:ascii="Times New Roman" w:hAnsi="Times New Roman" w:cs="Times New Roman"/>
        </w:rPr>
        <w:t>D. Expense Assumptions</w:t>
      </w:r>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AD0E74">
      <w:pPr>
        <w:pStyle w:val="ListParagraph"/>
        <w:widowControl w:val="0"/>
        <w:numPr>
          <w:ilvl w:val="1"/>
          <w:numId w:val="75"/>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AD0E74">
      <w:pPr>
        <w:pStyle w:val="ListParagraph"/>
        <w:widowControl w:val="0"/>
        <w:numPr>
          <w:ilvl w:val="2"/>
          <w:numId w:val="75"/>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Care should be taken with regard to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727EAD">
      <w:pPr>
        <w:pStyle w:val="ListParagraph"/>
        <w:widowControl w:val="0"/>
        <w:numPr>
          <w:ilvl w:val="2"/>
          <w:numId w:val="75"/>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727EAD">
      <w:pPr>
        <w:pStyle w:val="ListParagraph"/>
        <w:widowControl w:val="0"/>
        <w:numPr>
          <w:ilvl w:val="2"/>
          <w:numId w:val="75"/>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AD0E74">
      <w:pPr>
        <w:pStyle w:val="ListParagraph"/>
        <w:widowControl w:val="0"/>
        <w:numPr>
          <w:ilvl w:val="2"/>
          <w:numId w:val="75"/>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AD0E74">
      <w:pPr>
        <w:pStyle w:val="ListParagraph"/>
        <w:widowControl w:val="0"/>
        <w:numPr>
          <w:ilvl w:val="2"/>
          <w:numId w:val="75"/>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AD0E74">
      <w:pPr>
        <w:pStyle w:val="ListParagraph"/>
        <w:widowControl w:val="0"/>
        <w:numPr>
          <w:ilvl w:val="0"/>
          <w:numId w:val="77"/>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AD0E74">
      <w:pPr>
        <w:pStyle w:val="ListParagraph"/>
        <w:widowControl w:val="0"/>
        <w:numPr>
          <w:ilvl w:val="0"/>
          <w:numId w:val="77"/>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AD0E74">
      <w:pPr>
        <w:pStyle w:val="ListParagraph"/>
        <w:widowControl w:val="0"/>
        <w:numPr>
          <w:ilvl w:val="0"/>
          <w:numId w:val="78"/>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AD0E74">
      <w:pPr>
        <w:pStyle w:val="ListParagraph"/>
        <w:widowControl w:val="0"/>
        <w:numPr>
          <w:ilvl w:val="0"/>
          <w:numId w:val="78"/>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AD0E74">
      <w:pPr>
        <w:pStyle w:val="ListParagraph"/>
        <w:widowControl w:val="0"/>
        <w:numPr>
          <w:ilvl w:val="0"/>
          <w:numId w:val="78"/>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AD0E74">
      <w:pPr>
        <w:pStyle w:val="ListParagraph"/>
        <w:widowControl w:val="0"/>
        <w:numPr>
          <w:ilvl w:val="3"/>
          <w:numId w:val="75"/>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AD0E74">
      <w:pPr>
        <w:pStyle w:val="ListParagraph"/>
        <w:widowControl w:val="0"/>
        <w:numPr>
          <w:ilvl w:val="3"/>
          <w:numId w:val="75"/>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64" w:name="_Toc137649826"/>
      <w:r>
        <w:rPr>
          <w:sz w:val="24"/>
          <w:szCs w:val="24"/>
        </w:rPr>
        <w:lastRenderedPageBreak/>
        <w:t xml:space="preserve">Section </w:t>
      </w:r>
      <w:r w:rsidR="00270D21">
        <w:rPr>
          <w:sz w:val="24"/>
          <w:szCs w:val="24"/>
        </w:rPr>
        <w:t>13</w:t>
      </w:r>
      <w:r>
        <w:rPr>
          <w:sz w:val="24"/>
          <w:szCs w:val="24"/>
        </w:rPr>
        <w:t>: Allocation of Aggregate Reserves to the Contract Level</w:t>
      </w:r>
      <w:bookmarkEnd w:id="162"/>
      <w:bookmarkEnd w:id="164"/>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69D07FD2"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7.B</w:t>
      </w:r>
      <w:r w:rsidRPr="000C2652">
        <w:rPr>
          <w:rFonts w:ascii="Times New Roman" w:eastAsia="Times New Roman" w:hAnsi="Times New Roman"/>
        </w:rPr>
        <w:t xml:space="preserve"> will not be included in the allocation of the aggregate reserve</w:t>
      </w:r>
      <w:r w:rsidR="003E432F" w:rsidRPr="000C2652">
        <w:rPr>
          <w:rFonts w:ascii="Times New Roman" w:eastAsia="Times New Roman" w:hAnsi="Times New Roman"/>
        </w:rPr>
        <w:t>; however, contracts for which the Deterministic Certification Option is elected in Section 7.E are subject to the allocation methodology described in this Section 1</w:t>
      </w:r>
      <w:r w:rsidR="00E20A58">
        <w:rPr>
          <w:rFonts w:ascii="Times New Roman" w:eastAsia="Times New Roman" w:hAnsi="Times New Roman"/>
        </w:rPr>
        <w:t>3</w:t>
      </w:r>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categories.</w:t>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A40B92A" w14:textId="1D5D1EEA" w:rsidR="00F93494" w:rsidRPr="000C2652" w:rsidRDefault="003E432F" w:rsidP="003E432F">
      <w:pPr>
        <w:keepNext/>
        <w:keepLines/>
        <w:spacing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A. </w:t>
      </w:r>
      <w:r w:rsidRPr="000C2652">
        <w:rPr>
          <w:rFonts w:ascii="Times New Roman" w:eastAsia="Times New Roman" w:hAnsi="Times New Roman" w:cs="Times New Roman"/>
        </w:rPr>
        <w:tab/>
      </w:r>
      <w:r w:rsidR="00F93494"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0430008C" w:rsidR="00F93494" w:rsidRPr="000C2652" w:rsidRDefault="003E432F" w:rsidP="00D1797A">
      <w:pPr>
        <w:pStyle w:val="ListParagraph"/>
        <w:keepNext/>
        <w:keepLines/>
        <w:numPr>
          <w:ilvl w:val="0"/>
          <w:numId w:val="57"/>
        </w:numPr>
        <w:spacing w:after="220" w:line="240" w:lineRule="auto"/>
        <w:ind w:left="720" w:hanging="720"/>
        <w:jc w:val="both"/>
        <w:rPr>
          <w:rFonts w:ascii="Times New Roman" w:eastAsia="Times New Roman" w:hAnsi="Times New Roman"/>
        </w:rPr>
      </w:pPr>
      <w:r w:rsidRPr="000C2652">
        <w:rPr>
          <w:rFonts w:ascii="Times New Roman" w:eastAsia="Times New Roman" w:hAnsi="Times New Roman"/>
        </w:rPr>
        <w:t>Scenario actuarial present value (APV)</w:t>
      </w:r>
    </w:p>
    <w:p w14:paraId="434238BC" w14:textId="47A27213" w:rsidR="006F62B7" w:rsidRDefault="003E432F" w:rsidP="00D1797A">
      <w:pPr>
        <w:widowControl w:val="0"/>
        <w:numPr>
          <w:ilvl w:val="0"/>
          <w:numId w:val="58"/>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For a group of contracts for which a company does not elect the Deterministic Certification Option in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6109E9">
      <w:pPr>
        <w:widowControl w:val="0"/>
        <w:numPr>
          <w:ilvl w:val="1"/>
          <w:numId w:val="58"/>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6109E9">
      <w:pPr>
        <w:widowControl w:val="0"/>
        <w:numPr>
          <w:ilvl w:val="1"/>
          <w:numId w:val="58"/>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w:t>
      </w:r>
      <w:r w:rsidRPr="007B5DD7">
        <w:rPr>
          <w:rFonts w:ascii="Times New Roman" w:eastAsia="Times New Roman" w:hAnsi="Times New Roman"/>
        </w:rPr>
        <w:lastRenderedPageBreak/>
        <w:t xml:space="preserve">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6109E9">
      <w:pPr>
        <w:widowControl w:val="0"/>
        <w:numPr>
          <w:ilvl w:val="2"/>
          <w:numId w:val="58"/>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6109E9">
      <w:pPr>
        <w:widowControl w:val="0"/>
        <w:numPr>
          <w:ilvl w:val="3"/>
          <w:numId w:val="58"/>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6109E9">
      <w:pPr>
        <w:widowControl w:val="0"/>
        <w:numPr>
          <w:ilvl w:val="3"/>
          <w:numId w:val="58"/>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6109E9">
      <w:pPr>
        <w:widowControl w:val="0"/>
        <w:numPr>
          <w:ilvl w:val="2"/>
          <w:numId w:val="58"/>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316A435A" w:rsidR="00EA60BE" w:rsidRPr="000C2652" w:rsidRDefault="009D0815" w:rsidP="009D0815">
      <w:pPr>
        <w:widowControl w:val="0"/>
        <w:numPr>
          <w:ilvl w:val="0"/>
          <w:numId w:val="58"/>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elects </w:t>
      </w:r>
      <w:r w:rsidR="00EA60BE" w:rsidRPr="000C2652">
        <w:rPr>
          <w:rFonts w:ascii="Times New Roman" w:eastAsia="Times New Roman" w:hAnsi="Times New Roman"/>
        </w:rPr>
        <w:t xml:space="preserve">the Deterministic Certification Option defined in Section 7.E </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9D0815">
      <w:pPr>
        <w:widowControl w:val="0"/>
        <w:numPr>
          <w:ilvl w:val="0"/>
          <w:numId w:val="58"/>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5DFD9157" w:rsidR="009D0815" w:rsidRDefault="009D0815" w:rsidP="009D0815">
      <w:pPr>
        <w:pStyle w:val="ListParagraph"/>
        <w:widowControl w:val="0"/>
        <w:numPr>
          <w:ilvl w:val="0"/>
          <w:numId w:val="57"/>
        </w:numPr>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Minimum allocation value (MAV)</w:t>
      </w:r>
    </w:p>
    <w:p w14:paraId="63BDAF50" w14:textId="77777777" w:rsidR="005366FF" w:rsidRPr="000C2652" w:rsidRDefault="005366FF" w:rsidP="005366FF">
      <w:pPr>
        <w:pStyle w:val="ListParagraph"/>
        <w:widowControl w:val="0"/>
        <w:spacing w:after="220" w:line="240" w:lineRule="auto"/>
        <w:ind w:left="1440"/>
        <w:jc w:val="both"/>
        <w:rPr>
          <w:rFonts w:ascii="Times New Roman" w:eastAsia="Times New Roman" w:hAnsi="Times New Roman" w:cs="Times New Roman"/>
        </w:rPr>
      </w:pPr>
    </w:p>
    <w:p w14:paraId="58810A01" w14:textId="46BC8E48" w:rsidR="009D0815" w:rsidRPr="000C2652" w:rsidRDefault="009D0815" w:rsidP="009D0815">
      <w:pPr>
        <w:pStyle w:val="ListParagraph"/>
        <w:widowControl w:val="0"/>
        <w:numPr>
          <w:ilvl w:val="1"/>
          <w:numId w:val="57"/>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9D0815">
      <w:pPr>
        <w:pStyle w:val="ListParagraph"/>
        <w:widowControl w:val="0"/>
        <w:numPr>
          <w:ilvl w:val="2"/>
          <w:numId w:val="57"/>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0C2652">
      <w:pPr>
        <w:pStyle w:val="ListParagraph"/>
        <w:widowControl w:val="0"/>
        <w:numPr>
          <w:ilvl w:val="2"/>
          <w:numId w:val="57"/>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0C2652" w:rsidRDefault="009D0815" w:rsidP="009D0815">
      <w:pPr>
        <w:pStyle w:val="ListParagraph"/>
        <w:widowControl w:val="0"/>
        <w:numPr>
          <w:ilvl w:val="1"/>
          <w:numId w:val="57"/>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3DF382E3" w14:textId="77777777" w:rsidR="009D0815" w:rsidRPr="000C2652" w:rsidRDefault="009D0815" w:rsidP="009D0815">
      <w:pPr>
        <w:tabs>
          <w:tab w:val="left" w:pos="720"/>
        </w:tabs>
        <w:ind w:left="1440" w:hanging="720"/>
        <w:rPr>
          <w:rFonts w:ascii="Times New Roman" w:hAnsi="Times New Roman" w:cs="Times New Roman"/>
        </w:rPr>
      </w:pPr>
      <w:r w:rsidRPr="000C2652">
        <w:rPr>
          <w:rFonts w:ascii="Times New Roman" w:hAnsi="Times New Roman" w:cs="Times New Roman"/>
        </w:rPr>
        <w:t xml:space="preserve">D. </w:t>
      </w:r>
      <w:r w:rsidRPr="000C2652">
        <w:rPr>
          <w:rFonts w:ascii="Times New Roman" w:hAnsi="Times New Roman" w:cs="Times New Roman"/>
        </w:rPr>
        <w:tab/>
        <w:t>Allocated excess reserve (AER)</w:t>
      </w:r>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 xml:space="preserve">For each contract in a group of contracts, the AER is determined by allocating the excess, if any, of the group’s aggregate reserve over the group’s aggregate </w:t>
      </w:r>
      <w:r w:rsidRPr="000C2652">
        <w:rPr>
          <w:rFonts w:ascii="Times New Roman" w:hAnsi="Times New Roman" w:cs="Times New Roman"/>
        </w:rPr>
        <w:lastRenderedPageBreak/>
        <w:t>MAV to the contract in proportion to the excess of the Scenario APV over the MAV for such contract.</w:t>
      </w:r>
    </w:p>
    <w:p w14:paraId="3AA55E33" w14:textId="7F4D0474" w:rsidR="00EB43D3" w:rsidRPr="000C2652" w:rsidRDefault="006F62B7" w:rsidP="000C2652">
      <w:pPr>
        <w:widowControl w:val="0"/>
        <w:numPr>
          <w:ilvl w:val="0"/>
          <w:numId w:val="93"/>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0C2652">
      <w:pPr>
        <w:pStyle w:val="ListParagraph"/>
        <w:keepNext/>
        <w:widowControl w:val="0"/>
        <w:numPr>
          <w:ilvl w:val="0"/>
          <w:numId w:val="93"/>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0C2652">
      <w:pPr>
        <w:pStyle w:val="ListParagraph"/>
        <w:keepNext/>
        <w:widowControl w:val="0"/>
        <w:numPr>
          <w:ilvl w:val="0"/>
          <w:numId w:val="93"/>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p>
    <w:p w14:paraId="0C3D3317" w14:textId="35132009" w:rsidR="00F93494" w:rsidRDefault="000C2652" w:rsidP="000C2652">
      <w:pPr>
        <w:widowControl w:val="0"/>
        <w:spacing w:after="220" w:line="240" w:lineRule="auto"/>
        <w:ind w:left="1440" w:hanging="720"/>
        <w:contextualSpacing/>
        <w:jc w:val="both"/>
        <w:rPr>
          <w:rFonts w:ascii="Times New Roman" w:eastAsia="Times New Roman" w:hAnsi="Times New Roman"/>
          <w:position w:val="-1"/>
        </w:rPr>
      </w:pPr>
      <w:r w:rsidRPr="000C2652">
        <w:rPr>
          <w:rFonts w:ascii="Times New Roman" w:eastAsia="Times New Roman" w:hAnsi="Times New Roman"/>
          <w:position w:val="-1"/>
        </w:rPr>
        <w:t xml:space="preserve">E. </w:t>
      </w:r>
      <w:r w:rsidRPr="000C2652">
        <w:rPr>
          <w:rFonts w:ascii="Times New Roman" w:eastAsia="Times New Roman" w:hAnsi="Times New Roman"/>
          <w:position w:val="-1"/>
        </w:rPr>
        <w:tab/>
      </w:r>
      <w:r w:rsidR="00F93494"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00F93494" w:rsidRPr="000C2652">
        <w:rPr>
          <w:rFonts w:ascii="Times New Roman" w:eastAsia="Times New Roman" w:hAnsi="Times New Roman"/>
          <w:position w:val="-1"/>
        </w:rPr>
        <w:t xml:space="preserve"> example, consider a company with the results of the following </w:t>
      </w:r>
      <w:r>
        <w:rPr>
          <w:rFonts w:ascii="Times New Roman" w:eastAsia="Times New Roman" w:hAnsi="Times New Roman"/>
          <w:position w:val="-1"/>
        </w:rPr>
        <w:t>eight</w:t>
      </w:r>
      <w:r w:rsidR="00F93494" w:rsidRPr="000C2652">
        <w:rPr>
          <w:rFonts w:ascii="Times New Roman" w:eastAsia="Times New Roman" w:hAnsi="Times New Roman"/>
          <w:position w:val="-1"/>
        </w:rPr>
        <w:t xml:space="preserve"> contracts</w:t>
      </w:r>
      <w:r>
        <w:rPr>
          <w:rFonts w:ascii="Times New Roman" w:eastAsia="Times New Roman" w:hAnsi="Times New Roman"/>
          <w:position w:val="-1"/>
        </w:rPr>
        <w:t xml:space="preserve"> in reserving categories</w:t>
      </w:r>
      <w:r w:rsidR="00F93494"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lastRenderedPageBreak/>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65"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65"/>
    </w:p>
    <w:p w14:paraId="4CCB1B7B" w14:textId="77777777" w:rsidR="00C90D7B" w:rsidRDefault="00C90D7B">
      <w:pPr>
        <w:rPr>
          <w:rFonts w:asciiTheme="majorHAnsi" w:eastAsiaTheme="majorEastAsia" w:hAnsiTheme="majorHAnsi" w:cstheme="majorBidi"/>
          <w:color w:val="365F91" w:themeColor="accent1" w:themeShade="BF"/>
          <w:sz w:val="24"/>
          <w:szCs w:val="24"/>
        </w:rPr>
      </w:pPr>
      <w:bookmarkStart w:id="166" w:name="_Toc77242179"/>
      <w:r>
        <w:rPr>
          <w:sz w:val="24"/>
          <w:szCs w:val="24"/>
        </w:rPr>
        <w:br w:type="page"/>
      </w:r>
    </w:p>
    <w:p w14:paraId="3B3A6C66" w14:textId="4D58FB5E" w:rsidR="004D1067" w:rsidRDefault="0034141A" w:rsidP="004D1067">
      <w:pPr>
        <w:pStyle w:val="Heading1"/>
        <w:rPr>
          <w:sz w:val="24"/>
          <w:szCs w:val="24"/>
        </w:rPr>
      </w:pPr>
      <w:bookmarkStart w:id="167" w:name="_Toc137649827"/>
      <w:r>
        <w:rPr>
          <w:sz w:val="24"/>
          <w:szCs w:val="24"/>
        </w:rPr>
        <w:lastRenderedPageBreak/>
        <w:t>VM-V</w:t>
      </w:r>
      <w:r w:rsidR="004D1067">
        <w:rPr>
          <w:sz w:val="24"/>
          <w:szCs w:val="24"/>
        </w:rPr>
        <w:t xml:space="preserve">: </w:t>
      </w:r>
      <w:r w:rsidR="004123A9">
        <w:rPr>
          <w:sz w:val="24"/>
          <w:szCs w:val="24"/>
        </w:rPr>
        <w:t>Statutory Maximum Valuation Interest Rates for Formulaic Reserves</w:t>
      </w:r>
      <w:bookmarkEnd w:id="166"/>
      <w:bookmarkEnd w:id="167"/>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68" w:name="_Toc137649828"/>
      <w:r>
        <w:rPr>
          <w:sz w:val="22"/>
          <w:szCs w:val="22"/>
        </w:rPr>
        <w:t>1. Income Annuities</w:t>
      </w:r>
      <w:bookmarkEnd w:id="168"/>
    </w:p>
    <w:p w14:paraId="002C6B19" w14:textId="6B3D99B7" w:rsidR="004123A9" w:rsidRPr="00465680" w:rsidRDefault="00E10BAE" w:rsidP="004123A9">
      <w:pPr>
        <w:pStyle w:val="Heading3"/>
        <w:spacing w:after="220"/>
        <w:rPr>
          <w:sz w:val="22"/>
          <w:szCs w:val="22"/>
        </w:rPr>
      </w:pPr>
      <w:bookmarkStart w:id="169" w:name="_Toc77242180"/>
      <w:bookmarkStart w:id="170" w:name="_Toc137649829"/>
      <w:r>
        <w:rPr>
          <w:sz w:val="22"/>
          <w:szCs w:val="22"/>
        </w:rPr>
        <w:t>A.</w:t>
      </w:r>
      <w:r w:rsidR="004123A9">
        <w:rPr>
          <w:sz w:val="22"/>
          <w:szCs w:val="22"/>
        </w:rPr>
        <w:t xml:space="preserve"> </w:t>
      </w:r>
      <w:r w:rsidR="004123A9" w:rsidRPr="00465680">
        <w:rPr>
          <w:sz w:val="22"/>
          <w:szCs w:val="22"/>
        </w:rPr>
        <w:t>Purpose and Scope</w:t>
      </w:r>
      <w:bookmarkEnd w:id="169"/>
      <w:bookmarkEnd w:id="170"/>
    </w:p>
    <w:p w14:paraId="7173FC4D" w14:textId="7EF1341A" w:rsidR="009627A8" w:rsidRPr="00465680" w:rsidRDefault="009627A8" w:rsidP="00AD0E74">
      <w:pPr>
        <w:pStyle w:val="TableParagraph"/>
        <w:numPr>
          <w:ilvl w:val="0"/>
          <w:numId w:val="36"/>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AD0E74">
      <w:pPr>
        <w:pStyle w:val="TableParagraph"/>
        <w:numPr>
          <w:ilvl w:val="0"/>
          <w:numId w:val="36"/>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AD0E74">
      <w:pPr>
        <w:pStyle w:val="TableParagraph"/>
        <w:numPr>
          <w:ilvl w:val="1"/>
          <w:numId w:val="36"/>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AD0E74">
      <w:pPr>
        <w:pStyle w:val="TableParagraph"/>
        <w:numPr>
          <w:ilvl w:val="1"/>
          <w:numId w:val="36"/>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AD0E74">
      <w:pPr>
        <w:pStyle w:val="TableParagraph"/>
        <w:numPr>
          <w:ilvl w:val="1"/>
          <w:numId w:val="36"/>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AD0E74">
      <w:pPr>
        <w:pStyle w:val="TableParagraph"/>
        <w:numPr>
          <w:ilvl w:val="1"/>
          <w:numId w:val="36"/>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AD0E74">
      <w:pPr>
        <w:pStyle w:val="TableParagraph"/>
        <w:numPr>
          <w:ilvl w:val="1"/>
          <w:numId w:val="36"/>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AD0E74">
      <w:pPr>
        <w:pStyle w:val="TableParagraph"/>
        <w:numPr>
          <w:ilvl w:val="1"/>
          <w:numId w:val="36"/>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AD0E74">
      <w:pPr>
        <w:pStyle w:val="TableParagraph"/>
        <w:numPr>
          <w:ilvl w:val="1"/>
          <w:numId w:val="36"/>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AD0E74">
      <w:pPr>
        <w:pStyle w:val="TableParagraph"/>
        <w:numPr>
          <w:ilvl w:val="1"/>
          <w:numId w:val="36"/>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AD0E74">
      <w:pPr>
        <w:pStyle w:val="TableParagraph"/>
        <w:numPr>
          <w:ilvl w:val="1"/>
          <w:numId w:val="36"/>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lastRenderedPageBreak/>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71" w:name="_Section_2._Definitions"/>
      <w:bookmarkStart w:id="172" w:name="_Toc77242181"/>
      <w:bookmarkStart w:id="173" w:name="_Toc137649830"/>
      <w:bookmarkEnd w:id="171"/>
      <w:r>
        <w:rPr>
          <w:sz w:val="22"/>
          <w:szCs w:val="22"/>
        </w:rPr>
        <w:t>B. Definitions</w:t>
      </w:r>
      <w:bookmarkEnd w:id="172"/>
      <w:bookmarkEnd w:id="173"/>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AD0E74">
      <w:pPr>
        <w:pStyle w:val="ListParagraph"/>
        <w:widowControl w:val="0"/>
        <w:numPr>
          <w:ilvl w:val="0"/>
          <w:numId w:val="36"/>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74" w:name="_Section_3._Determination_1"/>
      <w:bookmarkStart w:id="175" w:name="_Toc77242182"/>
      <w:bookmarkStart w:id="176" w:name="_Toc137649831"/>
      <w:bookmarkEnd w:id="174"/>
      <w:r w:rsidRPr="00E10BAE">
        <w:rPr>
          <w:rFonts w:eastAsiaTheme="minorHAnsi"/>
          <w:sz w:val="22"/>
          <w:szCs w:val="22"/>
        </w:rPr>
        <w:lastRenderedPageBreak/>
        <w:t>C. Determination of the Statutory Maximum Valuation Interest Rate</w:t>
      </w:r>
      <w:bookmarkEnd w:id="175"/>
      <w:bookmarkEnd w:id="176"/>
    </w:p>
    <w:p w14:paraId="2C4007F1" w14:textId="77777777" w:rsidR="009627A8" w:rsidRPr="00465680" w:rsidRDefault="009627A8" w:rsidP="00AD0E74">
      <w:pPr>
        <w:numPr>
          <w:ilvl w:val="0"/>
          <w:numId w:val="37"/>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AD0E74">
      <w:pPr>
        <w:numPr>
          <w:ilvl w:val="0"/>
          <w:numId w:val="40"/>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AD0E74">
      <w:pPr>
        <w:widowControl w:val="0"/>
        <w:numPr>
          <w:ilvl w:val="0"/>
          <w:numId w:val="37"/>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AD0E74">
      <w:pPr>
        <w:widowControl w:val="0"/>
        <w:numPr>
          <w:ilvl w:val="1"/>
          <w:numId w:val="43"/>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lastRenderedPageBreak/>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AD0E74">
      <w:pPr>
        <w:pStyle w:val="ListParagraph"/>
        <w:widowControl w:val="0"/>
        <w:numPr>
          <w:ilvl w:val="1"/>
          <w:numId w:val="43"/>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AD0E74">
      <w:pPr>
        <w:pStyle w:val="ListParagraph"/>
        <w:widowControl w:val="0"/>
        <w:numPr>
          <w:ilvl w:val="0"/>
          <w:numId w:val="37"/>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AD0E74">
      <w:pPr>
        <w:numPr>
          <w:ilvl w:val="2"/>
          <w:numId w:val="41"/>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CF21F8">
      <w:pPr>
        <w:numPr>
          <w:ilvl w:val="2"/>
          <w:numId w:val="41"/>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AD0E74">
      <w:pPr>
        <w:numPr>
          <w:ilvl w:val="0"/>
          <w:numId w:val="38"/>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AD0E74">
      <w:pPr>
        <w:numPr>
          <w:ilvl w:val="0"/>
          <w:numId w:val="39"/>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AD0E74">
      <w:pPr>
        <w:numPr>
          <w:ilvl w:val="0"/>
          <w:numId w:val="39"/>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AD0E74">
      <w:pPr>
        <w:numPr>
          <w:ilvl w:val="0"/>
          <w:numId w:val="39"/>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AD0E74">
      <w:pPr>
        <w:numPr>
          <w:ilvl w:val="0"/>
          <w:numId w:val="37"/>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lastRenderedPageBreak/>
        <w:t>Reference rates are updated quarterly as described below</w:t>
      </w:r>
      <w:r>
        <w:rPr>
          <w:rFonts w:ascii="Times New Roman" w:hAnsi="Times New Roman" w:cs="Times New Roman"/>
        </w:rPr>
        <w:t>:</w:t>
      </w:r>
    </w:p>
    <w:p w14:paraId="5324FD5D" w14:textId="77777777" w:rsidR="009627A8" w:rsidRPr="00540F42" w:rsidRDefault="009627A8" w:rsidP="00AD0E74">
      <w:pPr>
        <w:widowControl w:val="0"/>
        <w:numPr>
          <w:ilvl w:val="1"/>
          <w:numId w:val="44"/>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13">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AD0E74">
      <w:pPr>
        <w:widowControl w:val="0"/>
        <w:numPr>
          <w:ilvl w:val="1"/>
          <w:numId w:val="44"/>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AD0E74">
      <w:pPr>
        <w:widowControl w:val="0"/>
        <w:numPr>
          <w:ilvl w:val="0"/>
          <w:numId w:val="45"/>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AD0E74">
      <w:pPr>
        <w:widowControl w:val="0"/>
        <w:numPr>
          <w:ilvl w:val="0"/>
          <w:numId w:val="45"/>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7D945D15" w:rsidR="009627A8" w:rsidRPr="00465680" w:rsidRDefault="009627A8" w:rsidP="00AD0E74">
      <w:pPr>
        <w:widowControl w:val="0"/>
        <w:numPr>
          <w:ilvl w:val="0"/>
          <w:numId w:val="46"/>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14"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 or input the following web address: </w:t>
      </w:r>
      <w:r w:rsidRPr="00DE3FAD">
        <w:rPr>
          <w:rFonts w:ascii="Times New Roman" w:hAnsi="Times New Roman"/>
          <w:iCs/>
        </w:rPr>
        <w:t>https://research.stlouisfed.org/fred2/series/</w:t>
      </w:r>
      <w:r w:rsidRPr="00465680">
        <w:rPr>
          <w:rFonts w:ascii="Times New Roman" w:hAnsi="Times New Roman"/>
        </w:rPr>
        <w:t>[replace with series name from the table</w:t>
      </w:r>
      <w:r w:rsidRPr="00465680">
        <w:rPr>
          <w:rFonts w:ascii="Times New Roman" w:hAnsi="Times New Roman"/>
          <w:spacing w:val="-15"/>
        </w:rPr>
        <w:t xml:space="preserve"> </w:t>
      </w:r>
      <w:r w:rsidRPr="00465680">
        <w:rPr>
          <w:rFonts w:ascii="Times New Roman" w:hAnsi="Times New Roman"/>
        </w:rPr>
        <w:t>below].</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lastRenderedPageBreak/>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AD0E74">
      <w:pPr>
        <w:widowControl w:val="0"/>
        <w:numPr>
          <w:ilvl w:val="0"/>
          <w:numId w:val="46"/>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AD0E74">
      <w:pPr>
        <w:widowControl w:val="0"/>
        <w:numPr>
          <w:ilvl w:val="0"/>
          <w:numId w:val="48"/>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4143C465" w:rsidR="009627A8" w:rsidRPr="00540F42" w:rsidRDefault="009627A8" w:rsidP="00AD0E74">
      <w:pPr>
        <w:widowControl w:val="0"/>
        <w:numPr>
          <w:ilvl w:val="1"/>
          <w:numId w:val="46"/>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15">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inputting the name into the search box in the upper right corner, or input the following web address: </w:t>
      </w:r>
      <w:r w:rsidRPr="00DE3FAD">
        <w:rPr>
          <w:rFonts w:ascii="Times New Roman" w:hAnsi="Times New Roman"/>
        </w:rPr>
        <w:t>https://research.stlouisfed.org/fred2/series/</w:t>
      </w:r>
      <w:r w:rsidRPr="00540F42">
        <w:rPr>
          <w:rFonts w:ascii="Times New Roman" w:hAnsi="Times New Roman"/>
        </w:rPr>
        <w:t xml:space="preserve">[replace with series name from </w:t>
      </w:r>
      <w:r w:rsidR="00542283">
        <w:rPr>
          <w:rFonts w:ascii="Times New Roman" w:hAnsi="Times New Roman"/>
        </w:rPr>
        <w:t xml:space="preserve">VM-V </w:t>
      </w:r>
      <w:r w:rsidRPr="00540F42">
        <w:rPr>
          <w:rFonts w:ascii="Times New Roman" w:hAnsi="Times New Roman"/>
        </w:rPr>
        <w:t xml:space="preserve">Section </w:t>
      </w:r>
      <w:r w:rsidR="00451F4C" w:rsidRPr="00540F42">
        <w:rPr>
          <w:rFonts w:ascii="Times New Roman" w:hAnsi="Times New Roman"/>
        </w:rPr>
        <w:t>1</w:t>
      </w:r>
      <w:r w:rsidRPr="00540F42">
        <w:rPr>
          <w:rFonts w:ascii="Times New Roman" w:hAnsi="Times New Roman"/>
        </w:rPr>
        <w:t>.</w:t>
      </w:r>
      <w:r w:rsidR="00E7140E" w:rsidRPr="00540F42">
        <w:rPr>
          <w:rFonts w:ascii="Times New Roman" w:hAnsi="Times New Roman"/>
        </w:rPr>
        <w:t>C.7.a</w:t>
      </w:r>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AD0E74">
      <w:pPr>
        <w:widowControl w:val="0"/>
        <w:numPr>
          <w:ilvl w:val="1"/>
          <w:numId w:val="46"/>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AD0E74">
      <w:pPr>
        <w:pStyle w:val="ListParagraph"/>
        <w:widowControl w:val="0"/>
        <w:numPr>
          <w:ilvl w:val="0"/>
          <w:numId w:val="48"/>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lastRenderedPageBreak/>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AD0E74">
      <w:pPr>
        <w:pStyle w:val="ListParagraph"/>
        <w:widowControl w:val="0"/>
        <w:numPr>
          <w:ilvl w:val="1"/>
          <w:numId w:val="42"/>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AD0E74">
      <w:pPr>
        <w:pStyle w:val="ListParagraph"/>
        <w:widowControl w:val="0"/>
        <w:numPr>
          <w:ilvl w:val="2"/>
          <w:numId w:val="42"/>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AD0E74">
      <w:pPr>
        <w:pStyle w:val="ListParagraph"/>
        <w:widowControl w:val="0"/>
        <w:numPr>
          <w:ilvl w:val="3"/>
          <w:numId w:val="42"/>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16"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average cash flows are summed into four time period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AD0E74">
      <w:pPr>
        <w:pStyle w:val="ListParagraph"/>
        <w:widowControl w:val="0"/>
        <w:numPr>
          <w:ilvl w:val="1"/>
          <w:numId w:val="42"/>
        </w:numPr>
        <w:spacing w:after="220" w:line="240" w:lineRule="auto"/>
        <w:contextualSpacing w:val="0"/>
        <w:jc w:val="both"/>
        <w:rPr>
          <w:rFonts w:ascii="Times New Roman" w:hAnsi="Times New Roman"/>
        </w:rPr>
      </w:pPr>
      <w:r w:rsidRPr="00465680">
        <w:rPr>
          <w:rFonts w:ascii="Times New Roman" w:hAnsi="Times New Roman"/>
        </w:rPr>
        <w:lastRenderedPageBreak/>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AD0E74">
      <w:pPr>
        <w:widowControl w:val="0"/>
        <w:numPr>
          <w:ilvl w:val="0"/>
          <w:numId w:val="47"/>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AD0E74">
      <w:pPr>
        <w:widowControl w:val="0"/>
        <w:numPr>
          <w:ilvl w:val="0"/>
          <w:numId w:val="47"/>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AD0E74">
      <w:pPr>
        <w:widowControl w:val="0"/>
        <w:numPr>
          <w:ilvl w:val="0"/>
          <w:numId w:val="47"/>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AD0E74">
      <w:pPr>
        <w:widowControl w:val="0"/>
        <w:numPr>
          <w:ilvl w:val="1"/>
          <w:numId w:val="47"/>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AD0E74">
      <w:pPr>
        <w:pStyle w:val="ListParagraph"/>
        <w:widowControl w:val="0"/>
        <w:numPr>
          <w:ilvl w:val="0"/>
          <w:numId w:val="48"/>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AD0E74">
      <w:pPr>
        <w:widowControl w:val="0"/>
        <w:numPr>
          <w:ilvl w:val="1"/>
          <w:numId w:val="48"/>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AD0E74">
      <w:pPr>
        <w:widowControl w:val="0"/>
        <w:numPr>
          <w:ilvl w:val="1"/>
          <w:numId w:val="48"/>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5B4" w14:textId="77777777" w:rsidR="004D1DEA" w:rsidRDefault="004D1DEA" w:rsidP="0040376D">
      <w:pPr>
        <w:spacing w:after="0" w:line="240" w:lineRule="auto"/>
      </w:pPr>
      <w:r>
        <w:separator/>
      </w:r>
    </w:p>
  </w:endnote>
  <w:endnote w:type="continuationSeparator" w:id="0">
    <w:p w14:paraId="77B5E043" w14:textId="77777777" w:rsidR="004D1DEA" w:rsidRDefault="004D1DEA" w:rsidP="0040376D">
      <w:pPr>
        <w:spacing w:after="0" w:line="240" w:lineRule="auto"/>
      </w:pPr>
      <w:r>
        <w:continuationSeparator/>
      </w:r>
    </w:p>
  </w:endnote>
  <w:endnote w:type="continuationNotice" w:id="1">
    <w:p w14:paraId="425A05F8" w14:textId="77777777" w:rsidR="004D1DEA" w:rsidRDefault="004D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4697" w14:textId="77777777" w:rsidR="00105F9B" w:rsidRDefault="0010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F038" w14:textId="77777777" w:rsidR="004D1DEA" w:rsidRDefault="004D1DEA" w:rsidP="0040376D">
      <w:pPr>
        <w:spacing w:after="0" w:line="240" w:lineRule="auto"/>
      </w:pPr>
      <w:r>
        <w:separator/>
      </w:r>
    </w:p>
  </w:footnote>
  <w:footnote w:type="continuationSeparator" w:id="0">
    <w:p w14:paraId="1CD09CE4" w14:textId="77777777" w:rsidR="004D1DEA" w:rsidRDefault="004D1DEA" w:rsidP="0040376D">
      <w:pPr>
        <w:spacing w:after="0" w:line="240" w:lineRule="auto"/>
      </w:pPr>
      <w:r>
        <w:continuationSeparator/>
      </w:r>
    </w:p>
  </w:footnote>
  <w:footnote w:type="continuationNotice" w:id="1">
    <w:p w14:paraId="7BD50CC8" w14:textId="77777777" w:rsidR="004D1DEA" w:rsidRDefault="004D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DF9" w14:textId="77777777" w:rsidR="00105F9B" w:rsidRDefault="0010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E9FD" w14:textId="77777777" w:rsidR="00105F9B" w:rsidRDefault="00105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E5C" w14:textId="77777777" w:rsidR="00105F9B" w:rsidRDefault="0010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1808" w:hanging="154"/>
      </w:pPr>
      <w:rPr>
        <w:rFonts w:ascii="Times New Roman" w:hAnsi="Times New Roman" w:cs="Times New Roman"/>
        <w:b w:val="0"/>
        <w:bCs w:val="0"/>
        <w:strike/>
        <w:color w:val="C239B3"/>
        <w:w w:val="99"/>
        <w:sz w:val="22"/>
        <w:szCs w:val="22"/>
      </w:rPr>
    </w:lvl>
    <w:lvl w:ilvl="1">
      <w:numFmt w:val="bullet"/>
      <w:lvlText w:val="–"/>
      <w:lvlJc w:val="left"/>
      <w:pPr>
        <w:ind w:left="2168" w:hanging="172"/>
      </w:pPr>
      <w:rPr>
        <w:rFonts w:ascii="Times New Roman" w:hAnsi="Times New Roman" w:cs="Times New Roman"/>
        <w:b w:val="0"/>
        <w:bCs w:val="0"/>
        <w:strike/>
        <w:color w:val="C239B3"/>
        <w:w w:val="99"/>
        <w:sz w:val="22"/>
        <w:szCs w:val="22"/>
      </w:rPr>
    </w:lvl>
    <w:lvl w:ilvl="2">
      <w:numFmt w:val="bullet"/>
      <w:lvlText w:val="•"/>
      <w:lvlJc w:val="left"/>
      <w:pPr>
        <w:ind w:left="2980" w:hanging="172"/>
      </w:pPr>
    </w:lvl>
    <w:lvl w:ilvl="3">
      <w:numFmt w:val="bullet"/>
      <w:lvlText w:val="•"/>
      <w:lvlJc w:val="left"/>
      <w:pPr>
        <w:ind w:left="3800" w:hanging="172"/>
      </w:pPr>
    </w:lvl>
    <w:lvl w:ilvl="4">
      <w:numFmt w:val="bullet"/>
      <w:lvlText w:val="•"/>
      <w:lvlJc w:val="left"/>
      <w:pPr>
        <w:ind w:left="4620" w:hanging="172"/>
      </w:pPr>
    </w:lvl>
    <w:lvl w:ilvl="5">
      <w:numFmt w:val="bullet"/>
      <w:lvlText w:val="•"/>
      <w:lvlJc w:val="left"/>
      <w:pPr>
        <w:ind w:left="5440" w:hanging="172"/>
      </w:pPr>
    </w:lvl>
    <w:lvl w:ilvl="6">
      <w:numFmt w:val="bullet"/>
      <w:lvlText w:val="•"/>
      <w:lvlJc w:val="left"/>
      <w:pPr>
        <w:ind w:left="6260" w:hanging="172"/>
      </w:pPr>
    </w:lvl>
    <w:lvl w:ilvl="7">
      <w:numFmt w:val="bullet"/>
      <w:lvlText w:val="•"/>
      <w:lvlJc w:val="left"/>
      <w:pPr>
        <w:ind w:left="7080" w:hanging="172"/>
      </w:pPr>
    </w:lvl>
    <w:lvl w:ilvl="8">
      <w:numFmt w:val="bullet"/>
      <w:lvlText w:val="•"/>
      <w:lvlJc w:val="left"/>
      <w:pPr>
        <w:ind w:left="7900" w:hanging="172"/>
      </w:pPr>
    </w:lvl>
  </w:abstractNum>
  <w:abstractNum w:abstractNumId="2"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8" w15:restartNumberingAfterBreak="0">
    <w:nsid w:val="0E7C6748"/>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800118"/>
    <w:multiLevelType w:val="hybridMultilevel"/>
    <w:tmpl w:val="278A2D44"/>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FE1578"/>
    <w:multiLevelType w:val="hybridMultilevel"/>
    <w:tmpl w:val="9D4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8D4194"/>
    <w:multiLevelType w:val="hybridMultilevel"/>
    <w:tmpl w:val="E4D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0"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B62954"/>
    <w:multiLevelType w:val="hybridMultilevel"/>
    <w:tmpl w:val="7EDAEA68"/>
    <w:lvl w:ilvl="0" w:tplc="22DCD9F0">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1A590519"/>
    <w:multiLevelType w:val="hybridMultilevel"/>
    <w:tmpl w:val="C77430DA"/>
    <w:lvl w:ilvl="0" w:tplc="0326465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0E2232D"/>
    <w:multiLevelType w:val="hybridMultilevel"/>
    <w:tmpl w:val="6E5662EE"/>
    <w:lvl w:ilvl="0" w:tplc="4F8035B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D40002"/>
    <w:multiLevelType w:val="hybridMultilevel"/>
    <w:tmpl w:val="0380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48"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49"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3648A1"/>
    <w:multiLevelType w:val="hybridMultilevel"/>
    <w:tmpl w:val="376A2992"/>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59"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60"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00102B"/>
    <w:multiLevelType w:val="hybridMultilevel"/>
    <w:tmpl w:val="62DE6112"/>
    <w:lvl w:ilvl="0" w:tplc="1A2671B6">
      <w:start w:val="1"/>
      <w:numFmt w:val="decimal"/>
      <w:lvlText w:val="%1."/>
      <w:lvlJc w:val="left"/>
      <w:pPr>
        <w:ind w:left="941" w:hanging="221"/>
      </w:pPr>
      <w:rPr>
        <w:rFonts w:ascii="Times New Roman" w:eastAsia="Times New Roman" w:hAnsi="Times New Roman" w:cs="Times New Roman" w:hint="default"/>
        <w:w w:val="100"/>
        <w:sz w:val="22"/>
        <w:szCs w:val="22"/>
        <w:lang w:val="en-US" w:eastAsia="en-US" w:bidi="ar-SA"/>
      </w:rPr>
    </w:lvl>
    <w:lvl w:ilvl="1" w:tplc="B4907ABC">
      <w:numFmt w:val="bullet"/>
      <w:lvlText w:val="•"/>
      <w:lvlJc w:val="left"/>
      <w:pPr>
        <w:ind w:left="1858" w:hanging="221"/>
      </w:pPr>
      <w:rPr>
        <w:rFonts w:hint="default"/>
        <w:lang w:val="en-US" w:eastAsia="en-US" w:bidi="ar-SA"/>
      </w:rPr>
    </w:lvl>
    <w:lvl w:ilvl="2" w:tplc="F4CA9F4A">
      <w:numFmt w:val="bullet"/>
      <w:lvlText w:val="•"/>
      <w:lvlJc w:val="left"/>
      <w:pPr>
        <w:ind w:left="2862" w:hanging="221"/>
      </w:pPr>
      <w:rPr>
        <w:rFonts w:hint="default"/>
        <w:lang w:val="en-US" w:eastAsia="en-US" w:bidi="ar-SA"/>
      </w:rPr>
    </w:lvl>
    <w:lvl w:ilvl="3" w:tplc="7FF09FDC">
      <w:numFmt w:val="bullet"/>
      <w:lvlText w:val="•"/>
      <w:lvlJc w:val="left"/>
      <w:pPr>
        <w:ind w:left="3866" w:hanging="221"/>
      </w:pPr>
      <w:rPr>
        <w:rFonts w:hint="default"/>
        <w:lang w:val="en-US" w:eastAsia="en-US" w:bidi="ar-SA"/>
      </w:rPr>
    </w:lvl>
    <w:lvl w:ilvl="4" w:tplc="558415E6">
      <w:numFmt w:val="bullet"/>
      <w:lvlText w:val="•"/>
      <w:lvlJc w:val="left"/>
      <w:pPr>
        <w:ind w:left="4870" w:hanging="221"/>
      </w:pPr>
      <w:rPr>
        <w:rFonts w:hint="default"/>
        <w:lang w:val="en-US" w:eastAsia="en-US" w:bidi="ar-SA"/>
      </w:rPr>
    </w:lvl>
    <w:lvl w:ilvl="5" w:tplc="809ECD1E">
      <w:numFmt w:val="bullet"/>
      <w:lvlText w:val="•"/>
      <w:lvlJc w:val="left"/>
      <w:pPr>
        <w:ind w:left="5874" w:hanging="221"/>
      </w:pPr>
      <w:rPr>
        <w:rFonts w:hint="default"/>
        <w:lang w:val="en-US" w:eastAsia="en-US" w:bidi="ar-SA"/>
      </w:rPr>
    </w:lvl>
    <w:lvl w:ilvl="6" w:tplc="7A78E66A">
      <w:numFmt w:val="bullet"/>
      <w:lvlText w:val="•"/>
      <w:lvlJc w:val="left"/>
      <w:pPr>
        <w:ind w:left="6878" w:hanging="221"/>
      </w:pPr>
      <w:rPr>
        <w:rFonts w:hint="default"/>
        <w:lang w:val="en-US" w:eastAsia="en-US" w:bidi="ar-SA"/>
      </w:rPr>
    </w:lvl>
    <w:lvl w:ilvl="7" w:tplc="2158B39E">
      <w:numFmt w:val="bullet"/>
      <w:lvlText w:val="•"/>
      <w:lvlJc w:val="left"/>
      <w:pPr>
        <w:ind w:left="7882" w:hanging="221"/>
      </w:pPr>
      <w:rPr>
        <w:rFonts w:hint="default"/>
        <w:lang w:val="en-US" w:eastAsia="en-US" w:bidi="ar-SA"/>
      </w:rPr>
    </w:lvl>
    <w:lvl w:ilvl="8" w:tplc="5708369C">
      <w:numFmt w:val="bullet"/>
      <w:lvlText w:val="•"/>
      <w:lvlJc w:val="left"/>
      <w:pPr>
        <w:ind w:left="8886" w:hanging="221"/>
      </w:pPr>
      <w:rPr>
        <w:rFonts w:hint="default"/>
        <w:lang w:val="en-US" w:eastAsia="en-US" w:bidi="ar-SA"/>
      </w:rPr>
    </w:lvl>
  </w:abstractNum>
  <w:abstractNum w:abstractNumId="68"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0" w15:restartNumberingAfterBreak="0">
    <w:nsid w:val="599B689B"/>
    <w:multiLevelType w:val="hybridMultilevel"/>
    <w:tmpl w:val="8F32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5B2561"/>
    <w:multiLevelType w:val="hybridMultilevel"/>
    <w:tmpl w:val="76B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7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80"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1701C4"/>
    <w:multiLevelType w:val="hybridMultilevel"/>
    <w:tmpl w:val="D89A226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7"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8"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0"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93"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97"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555D48"/>
    <w:multiLevelType w:val="hybridMultilevel"/>
    <w:tmpl w:val="35044B70"/>
    <w:lvl w:ilvl="0" w:tplc="6EB6C394">
      <w:start w:val="1"/>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99"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0"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67D6B"/>
    <w:multiLevelType w:val="hybridMultilevel"/>
    <w:tmpl w:val="79D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157598">
    <w:abstractNumId w:val="44"/>
  </w:num>
  <w:num w:numId="2" w16cid:durableId="236600168">
    <w:abstractNumId w:val="30"/>
  </w:num>
  <w:num w:numId="3" w16cid:durableId="993148962">
    <w:abstractNumId w:val="101"/>
  </w:num>
  <w:num w:numId="4" w16cid:durableId="182060239">
    <w:abstractNumId w:val="51"/>
  </w:num>
  <w:num w:numId="5" w16cid:durableId="958100421">
    <w:abstractNumId w:val="21"/>
  </w:num>
  <w:num w:numId="6" w16cid:durableId="1786850449">
    <w:abstractNumId w:val="64"/>
  </w:num>
  <w:num w:numId="7" w16cid:durableId="497234066">
    <w:abstractNumId w:val="26"/>
  </w:num>
  <w:num w:numId="8" w16cid:durableId="1125929600">
    <w:abstractNumId w:val="68"/>
  </w:num>
  <w:num w:numId="9" w16cid:durableId="209417680">
    <w:abstractNumId w:val="86"/>
  </w:num>
  <w:num w:numId="10" w16cid:durableId="1800955906">
    <w:abstractNumId w:val="94"/>
  </w:num>
  <w:num w:numId="11" w16cid:durableId="1803037845">
    <w:abstractNumId w:val="76"/>
  </w:num>
  <w:num w:numId="12" w16cid:durableId="2132160844">
    <w:abstractNumId w:val="77"/>
  </w:num>
  <w:num w:numId="13" w16cid:durableId="14111231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099061">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421432">
    <w:abstractNumId w:val="0"/>
  </w:num>
  <w:num w:numId="16" w16cid:durableId="2084451222">
    <w:abstractNumId w:val="5"/>
  </w:num>
  <w:num w:numId="17" w16cid:durableId="1592469753">
    <w:abstractNumId w:val="14"/>
  </w:num>
  <w:num w:numId="18" w16cid:durableId="391583689">
    <w:abstractNumId w:val="69"/>
  </w:num>
  <w:num w:numId="19" w16cid:durableId="1967734927">
    <w:abstractNumId w:val="79"/>
  </w:num>
  <w:num w:numId="20" w16cid:durableId="2104572852">
    <w:abstractNumId w:val="74"/>
  </w:num>
  <w:num w:numId="21" w16cid:durableId="744886496">
    <w:abstractNumId w:val="81"/>
  </w:num>
  <w:num w:numId="22" w16cid:durableId="194076452">
    <w:abstractNumId w:val="49"/>
  </w:num>
  <w:num w:numId="23" w16cid:durableId="561982137">
    <w:abstractNumId w:val="17"/>
  </w:num>
  <w:num w:numId="24" w16cid:durableId="1932935228">
    <w:abstractNumId w:val="65"/>
  </w:num>
  <w:num w:numId="25" w16cid:durableId="1897087876">
    <w:abstractNumId w:val="32"/>
  </w:num>
  <w:num w:numId="26" w16cid:durableId="1234468805">
    <w:abstractNumId w:val="33"/>
  </w:num>
  <w:num w:numId="27" w16cid:durableId="1939360917">
    <w:abstractNumId w:val="80"/>
  </w:num>
  <w:num w:numId="28" w16cid:durableId="226307681">
    <w:abstractNumId w:val="95"/>
  </w:num>
  <w:num w:numId="29" w16cid:durableId="1274479691">
    <w:abstractNumId w:val="9"/>
  </w:num>
  <w:num w:numId="30" w16cid:durableId="669601091">
    <w:abstractNumId w:val="75"/>
  </w:num>
  <w:num w:numId="31" w16cid:durableId="786198093">
    <w:abstractNumId w:val="19"/>
  </w:num>
  <w:num w:numId="32" w16cid:durableId="666136974">
    <w:abstractNumId w:val="27"/>
  </w:num>
  <w:num w:numId="33" w16cid:durableId="1863546903">
    <w:abstractNumId w:val="82"/>
  </w:num>
  <w:num w:numId="34" w16cid:durableId="890504891">
    <w:abstractNumId w:val="40"/>
  </w:num>
  <w:num w:numId="35" w16cid:durableId="1718117959">
    <w:abstractNumId w:val="11"/>
  </w:num>
  <w:num w:numId="36" w16cid:durableId="1281834936">
    <w:abstractNumId w:val="78"/>
  </w:num>
  <w:num w:numId="37" w16cid:durableId="777262816">
    <w:abstractNumId w:val="22"/>
  </w:num>
  <w:num w:numId="38" w16cid:durableId="1005520302">
    <w:abstractNumId w:val="34"/>
  </w:num>
  <w:num w:numId="39" w16cid:durableId="976909378">
    <w:abstractNumId w:val="63"/>
  </w:num>
  <w:num w:numId="40" w16cid:durableId="21328578">
    <w:abstractNumId w:val="54"/>
  </w:num>
  <w:num w:numId="41" w16cid:durableId="1731147466">
    <w:abstractNumId w:val="7"/>
  </w:num>
  <w:num w:numId="42" w16cid:durableId="1858495687">
    <w:abstractNumId w:val="41"/>
  </w:num>
  <w:num w:numId="43" w16cid:durableId="1190607832">
    <w:abstractNumId w:val="58"/>
  </w:num>
  <w:num w:numId="44" w16cid:durableId="2084135838">
    <w:abstractNumId w:val="89"/>
  </w:num>
  <w:num w:numId="45" w16cid:durableId="1557665127">
    <w:abstractNumId w:val="52"/>
  </w:num>
  <w:num w:numId="46" w16cid:durableId="421531641">
    <w:abstractNumId w:val="43"/>
  </w:num>
  <w:num w:numId="47" w16cid:durableId="1392267202">
    <w:abstractNumId w:val="47"/>
  </w:num>
  <w:num w:numId="48" w16cid:durableId="51738308">
    <w:abstractNumId w:val="61"/>
  </w:num>
  <w:num w:numId="49" w16cid:durableId="1165826765">
    <w:abstractNumId w:val="99"/>
  </w:num>
  <w:num w:numId="50" w16cid:durableId="1948082151">
    <w:abstractNumId w:val="45"/>
  </w:num>
  <w:num w:numId="51" w16cid:durableId="301230537">
    <w:abstractNumId w:val="8"/>
  </w:num>
  <w:num w:numId="52" w16cid:durableId="1591087287">
    <w:abstractNumId w:val="46"/>
  </w:num>
  <w:num w:numId="53" w16cid:durableId="1551722850">
    <w:abstractNumId w:val="71"/>
  </w:num>
  <w:num w:numId="54" w16cid:durableId="173424759">
    <w:abstractNumId w:val="84"/>
  </w:num>
  <w:num w:numId="55" w16cid:durableId="777483936">
    <w:abstractNumId w:val="39"/>
  </w:num>
  <w:num w:numId="56" w16cid:durableId="1153911983">
    <w:abstractNumId w:val="12"/>
  </w:num>
  <w:num w:numId="57" w16cid:durableId="938681944">
    <w:abstractNumId w:val="37"/>
  </w:num>
  <w:num w:numId="58" w16cid:durableId="402410345">
    <w:abstractNumId w:val="60"/>
  </w:num>
  <w:num w:numId="59" w16cid:durableId="1674990272">
    <w:abstractNumId w:val="2"/>
  </w:num>
  <w:num w:numId="60" w16cid:durableId="465466072">
    <w:abstractNumId w:val="31"/>
  </w:num>
  <w:num w:numId="61" w16cid:durableId="418596137">
    <w:abstractNumId w:val="50"/>
  </w:num>
  <w:num w:numId="62" w16cid:durableId="1012147330">
    <w:abstractNumId w:val="13"/>
  </w:num>
  <w:num w:numId="63" w16cid:durableId="24331928">
    <w:abstractNumId w:val="25"/>
  </w:num>
  <w:num w:numId="64" w16cid:durableId="34623298">
    <w:abstractNumId w:val="66"/>
  </w:num>
  <w:num w:numId="65" w16cid:durableId="720178652">
    <w:abstractNumId w:val="10"/>
  </w:num>
  <w:num w:numId="66" w16cid:durableId="1226262472">
    <w:abstractNumId w:val="4"/>
  </w:num>
  <w:num w:numId="67" w16cid:durableId="2017537522">
    <w:abstractNumId w:val="97"/>
  </w:num>
  <w:num w:numId="68" w16cid:durableId="1115948199">
    <w:abstractNumId w:val="57"/>
  </w:num>
  <w:num w:numId="69" w16cid:durableId="69475156">
    <w:abstractNumId w:val="36"/>
  </w:num>
  <w:num w:numId="70" w16cid:durableId="445319064">
    <w:abstractNumId w:val="6"/>
  </w:num>
  <w:num w:numId="71" w16cid:durableId="419571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57474068">
    <w:abstractNumId w:val="18"/>
  </w:num>
  <w:num w:numId="73" w16cid:durableId="1627814710">
    <w:abstractNumId w:val="67"/>
  </w:num>
  <w:num w:numId="74" w16cid:durableId="1054550152">
    <w:abstractNumId w:val="55"/>
  </w:num>
  <w:num w:numId="75" w16cid:durableId="1705321706">
    <w:abstractNumId w:val="48"/>
  </w:num>
  <w:num w:numId="76" w16cid:durableId="1987273226">
    <w:abstractNumId w:val="92"/>
  </w:num>
  <w:num w:numId="77" w16cid:durableId="790511908">
    <w:abstractNumId w:val="88"/>
  </w:num>
  <w:num w:numId="78" w16cid:durableId="1592085159">
    <w:abstractNumId w:val="29"/>
  </w:num>
  <w:num w:numId="79" w16cid:durableId="1650667148">
    <w:abstractNumId w:val="59"/>
  </w:num>
  <w:num w:numId="80" w16cid:durableId="771246808">
    <w:abstractNumId w:val="72"/>
  </w:num>
  <w:num w:numId="81" w16cid:durableId="907761509">
    <w:abstractNumId w:val="1"/>
  </w:num>
  <w:num w:numId="82" w16cid:durableId="2106222216">
    <w:abstractNumId w:val="3"/>
  </w:num>
  <w:num w:numId="83" w16cid:durableId="310450413">
    <w:abstractNumId w:val="85"/>
  </w:num>
  <w:num w:numId="84" w16cid:durableId="1779987568">
    <w:abstractNumId w:val="73"/>
  </w:num>
  <w:num w:numId="85" w16cid:durableId="1618095682">
    <w:abstractNumId w:val="24"/>
  </w:num>
  <w:num w:numId="86" w16cid:durableId="550002496">
    <w:abstractNumId w:val="93"/>
  </w:num>
  <w:num w:numId="87" w16cid:durableId="1187717122">
    <w:abstractNumId w:val="62"/>
  </w:num>
  <w:num w:numId="88" w16cid:durableId="1076710321">
    <w:abstractNumId w:val="100"/>
  </w:num>
  <w:num w:numId="89" w16cid:durableId="1004166948">
    <w:abstractNumId w:val="35"/>
  </w:num>
  <w:num w:numId="90" w16cid:durableId="1403217469">
    <w:abstractNumId w:val="23"/>
  </w:num>
  <w:num w:numId="91" w16cid:durableId="1634214574">
    <w:abstractNumId w:val="16"/>
  </w:num>
  <w:num w:numId="92" w16cid:durableId="933440135">
    <w:abstractNumId w:val="15"/>
  </w:num>
  <w:num w:numId="93" w16cid:durableId="65543086">
    <w:abstractNumId w:val="83"/>
  </w:num>
  <w:num w:numId="94" w16cid:durableId="71393122">
    <w:abstractNumId w:val="56"/>
  </w:num>
  <w:num w:numId="95" w16cid:durableId="675811282">
    <w:abstractNumId w:val="91"/>
  </w:num>
  <w:num w:numId="96" w16cid:durableId="516891112">
    <w:abstractNumId w:val="42"/>
  </w:num>
  <w:num w:numId="97" w16cid:durableId="147214311">
    <w:abstractNumId w:val="53"/>
  </w:num>
  <w:num w:numId="98" w16cid:durableId="1412771478">
    <w:abstractNumId w:val="90"/>
  </w:num>
  <w:num w:numId="99" w16cid:durableId="636186765">
    <w:abstractNumId w:val="28"/>
  </w:num>
  <w:num w:numId="100" w16cid:durableId="1131901119">
    <w:abstractNumId w:val="70"/>
  </w:num>
  <w:num w:numId="101" w16cid:durableId="141233909">
    <w:abstractNumId w:val="20"/>
  </w:num>
  <w:num w:numId="102" w16cid:durableId="2095081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10405868">
    <w:abstractNumId w:val="9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B035B"/>
    <w:rsid w:val="000B07EA"/>
    <w:rsid w:val="000B0BEF"/>
    <w:rsid w:val="000B3393"/>
    <w:rsid w:val="000B3973"/>
    <w:rsid w:val="000B3F4B"/>
    <w:rsid w:val="000B402E"/>
    <w:rsid w:val="000B4216"/>
    <w:rsid w:val="000B4756"/>
    <w:rsid w:val="000B4795"/>
    <w:rsid w:val="000B4B4C"/>
    <w:rsid w:val="000B5398"/>
    <w:rsid w:val="000C035C"/>
    <w:rsid w:val="000C04AE"/>
    <w:rsid w:val="000C06D0"/>
    <w:rsid w:val="000C2652"/>
    <w:rsid w:val="000C3AAC"/>
    <w:rsid w:val="000C5050"/>
    <w:rsid w:val="000C575A"/>
    <w:rsid w:val="000C596D"/>
    <w:rsid w:val="000C5CE7"/>
    <w:rsid w:val="000C645C"/>
    <w:rsid w:val="000C73EB"/>
    <w:rsid w:val="000C77A2"/>
    <w:rsid w:val="000C7A52"/>
    <w:rsid w:val="000D006B"/>
    <w:rsid w:val="000D0339"/>
    <w:rsid w:val="000D080B"/>
    <w:rsid w:val="000D0C5D"/>
    <w:rsid w:val="000D1072"/>
    <w:rsid w:val="000D275B"/>
    <w:rsid w:val="000D3402"/>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608C"/>
    <w:rsid w:val="0018612A"/>
    <w:rsid w:val="00186B5F"/>
    <w:rsid w:val="001870A5"/>
    <w:rsid w:val="001904F3"/>
    <w:rsid w:val="00190D86"/>
    <w:rsid w:val="00191005"/>
    <w:rsid w:val="00191BC7"/>
    <w:rsid w:val="00191D99"/>
    <w:rsid w:val="001922DF"/>
    <w:rsid w:val="00193A28"/>
    <w:rsid w:val="00194D4A"/>
    <w:rsid w:val="00195A01"/>
    <w:rsid w:val="00195AB9"/>
    <w:rsid w:val="00195D26"/>
    <w:rsid w:val="001960FA"/>
    <w:rsid w:val="00196FFF"/>
    <w:rsid w:val="00197A4E"/>
    <w:rsid w:val="001A000C"/>
    <w:rsid w:val="001A02CB"/>
    <w:rsid w:val="001A0411"/>
    <w:rsid w:val="001A0CF1"/>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CA8"/>
    <w:rsid w:val="001D51DA"/>
    <w:rsid w:val="001D563B"/>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FA0"/>
    <w:rsid w:val="0047732C"/>
    <w:rsid w:val="00477568"/>
    <w:rsid w:val="00477998"/>
    <w:rsid w:val="00477BCE"/>
    <w:rsid w:val="00480660"/>
    <w:rsid w:val="00480867"/>
    <w:rsid w:val="00481533"/>
    <w:rsid w:val="00481CB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1084"/>
    <w:rsid w:val="004C17FF"/>
    <w:rsid w:val="004C50BB"/>
    <w:rsid w:val="004C56FE"/>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4096"/>
    <w:rsid w:val="005549B1"/>
    <w:rsid w:val="00554A7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5286"/>
    <w:rsid w:val="00685731"/>
    <w:rsid w:val="00685ADE"/>
    <w:rsid w:val="0068609A"/>
    <w:rsid w:val="006869E4"/>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B0174"/>
    <w:rsid w:val="006B12F0"/>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3296"/>
    <w:rsid w:val="0078475A"/>
    <w:rsid w:val="007849DF"/>
    <w:rsid w:val="00786357"/>
    <w:rsid w:val="0078713E"/>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D056F"/>
    <w:rsid w:val="007D159A"/>
    <w:rsid w:val="007D16C7"/>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BAF"/>
    <w:rsid w:val="00835D26"/>
    <w:rsid w:val="00835DDE"/>
    <w:rsid w:val="00836F16"/>
    <w:rsid w:val="008373B0"/>
    <w:rsid w:val="008376B1"/>
    <w:rsid w:val="008408C3"/>
    <w:rsid w:val="00840DEE"/>
    <w:rsid w:val="0084172E"/>
    <w:rsid w:val="00842479"/>
    <w:rsid w:val="00842A2B"/>
    <w:rsid w:val="008433C8"/>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D59"/>
    <w:rsid w:val="009D3E51"/>
    <w:rsid w:val="009D45AC"/>
    <w:rsid w:val="009D5295"/>
    <w:rsid w:val="009D531B"/>
    <w:rsid w:val="009D5ACC"/>
    <w:rsid w:val="009D5E2C"/>
    <w:rsid w:val="009D6132"/>
    <w:rsid w:val="009D6E54"/>
    <w:rsid w:val="009D743A"/>
    <w:rsid w:val="009E19B6"/>
    <w:rsid w:val="009E1E67"/>
    <w:rsid w:val="009E255A"/>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92B"/>
    <w:rsid w:val="00A5786F"/>
    <w:rsid w:val="00A578B1"/>
    <w:rsid w:val="00A57E42"/>
    <w:rsid w:val="00A60053"/>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B94"/>
    <w:rsid w:val="00AA1C0B"/>
    <w:rsid w:val="00AA203E"/>
    <w:rsid w:val="00AA2847"/>
    <w:rsid w:val="00AA2A84"/>
    <w:rsid w:val="00AA36B6"/>
    <w:rsid w:val="00AA38B3"/>
    <w:rsid w:val="00AA4B36"/>
    <w:rsid w:val="00AA4EC4"/>
    <w:rsid w:val="00AA50BD"/>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157C"/>
    <w:rsid w:val="00B61B21"/>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F0A"/>
    <w:rsid w:val="00C756B0"/>
    <w:rsid w:val="00C7575A"/>
    <w:rsid w:val="00C759AB"/>
    <w:rsid w:val="00C7611B"/>
    <w:rsid w:val="00C766A5"/>
    <w:rsid w:val="00C76815"/>
    <w:rsid w:val="00C77897"/>
    <w:rsid w:val="00C807D8"/>
    <w:rsid w:val="00C80E94"/>
    <w:rsid w:val="00C82538"/>
    <w:rsid w:val="00C82EFE"/>
    <w:rsid w:val="00C836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6317"/>
    <w:rsid w:val="00D36825"/>
    <w:rsid w:val="00D376C0"/>
    <w:rsid w:val="00D37A9D"/>
    <w:rsid w:val="00D37BDC"/>
    <w:rsid w:val="00D37CB7"/>
    <w:rsid w:val="00D4013A"/>
    <w:rsid w:val="00D402F8"/>
    <w:rsid w:val="00D40355"/>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924"/>
    <w:rsid w:val="00D74411"/>
    <w:rsid w:val="00D74A4E"/>
    <w:rsid w:val="00D74DC1"/>
    <w:rsid w:val="00D758B5"/>
    <w:rsid w:val="00D775C5"/>
    <w:rsid w:val="00D80591"/>
    <w:rsid w:val="00D80F8E"/>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78E"/>
    <w:rsid w:val="00F03A17"/>
    <w:rsid w:val="00F03C74"/>
    <w:rsid w:val="00F041C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DDF"/>
    <w:rsid w:val="00F5516C"/>
    <w:rsid w:val="00F552E2"/>
    <w:rsid w:val="00F55321"/>
    <w:rsid w:val="00F5549F"/>
    <w:rsid w:val="00F55C7B"/>
    <w:rsid w:val="00F56BF6"/>
    <w:rsid w:val="00F603C1"/>
    <w:rsid w:val="00F614A1"/>
    <w:rsid w:val="00F61A9C"/>
    <w:rsid w:val="00F62736"/>
    <w:rsid w:val="00F62BA7"/>
    <w:rsid w:val="00F63149"/>
    <w:rsid w:val="00F63861"/>
    <w:rsid w:val="00F647B2"/>
    <w:rsid w:val="00F65B99"/>
    <w:rsid w:val="00F66144"/>
    <w:rsid w:val="00F70672"/>
    <w:rsid w:val="00F70EE5"/>
    <w:rsid w:val="00F70F8F"/>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014393"/>
    <w:pPr>
      <w:tabs>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semiHidden/>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B45F1A"/>
    <w:rPr>
      <w:rFonts w:eastAsiaTheme="minorEastAsia"/>
      <w:sz w:val="20"/>
      <w:szCs w:val="20"/>
      <w:lang w:eastAsia="ja-JP"/>
    </w:rPr>
  </w:style>
  <w:style w:type="character" w:styleId="FootnoteReference">
    <w:name w:val="footnote reference"/>
    <w:basedOn w:val="DefaultParagraphFont"/>
    <w:uiPriority w:val="99"/>
    <w:semiHidden/>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34"/>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ed.stlouisfed.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red.stlouisfe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earch.stlouisfed.org/fred2/categories/3234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stlouisfed.org/fred2/categories/32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4.xml><?xml version="1.0" encoding="utf-8"?>
<ds:datastoreItem xmlns:ds="http://schemas.openxmlformats.org/officeDocument/2006/customXml" ds:itemID="{E4622D22-D2C9-42C4-BB61-98A5A8BD8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29468</Words>
  <Characters>167971</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3</cp:revision>
  <dcterms:created xsi:type="dcterms:W3CDTF">2023-07-25T16:41:00Z</dcterms:created>
  <dcterms:modified xsi:type="dcterms:W3CDTF">2023-07-26T19:58:00Z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ies>
</file>