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34B1D" w14:textId="72B618C7" w:rsidR="000D35E4" w:rsidRPr="000D35E4" w:rsidRDefault="000D35E4" w:rsidP="000D35E4">
      <w:pPr>
        <w:spacing w:after="0"/>
        <w:rPr>
          <w:rFonts w:ascii="Times New Roman" w:hAnsi="Times New Roman" w:cs="Times New Roman"/>
          <w:b/>
          <w:bCs/>
          <w:sz w:val="24"/>
          <w:szCs w:val="24"/>
        </w:rPr>
      </w:pPr>
      <w:bookmarkStart w:id="0" w:name="_Toc77242132"/>
      <w:bookmarkStart w:id="1" w:name="_Toc137649775"/>
      <w:bookmarkStart w:id="2" w:name="_Hlk121304778"/>
      <w:r w:rsidRPr="001A40B0">
        <w:rPr>
          <w:rFonts w:ascii="Times New Roman" w:hAnsi="Times New Roman" w:cs="Times New Roman"/>
          <w:b/>
          <w:bCs/>
          <w:sz w:val="24"/>
          <w:szCs w:val="24"/>
        </w:rPr>
        <w:t>VM-22 PBR: Requirements for Principle-Based Reserves for Non-Variable Annuities</w:t>
      </w:r>
    </w:p>
    <w:p w14:paraId="7CFB1EC4" w14:textId="792A5C49" w:rsidR="000D35E4" w:rsidRDefault="000D35E4" w:rsidP="000D35E4">
      <w:pPr>
        <w:pStyle w:val="Heading1"/>
        <w:spacing w:line="240" w:lineRule="auto"/>
        <w:rPr>
          <w:sz w:val="24"/>
          <w:szCs w:val="24"/>
        </w:rPr>
      </w:pPr>
      <w:r w:rsidRPr="002C726F">
        <w:rPr>
          <w:sz w:val="24"/>
          <w:szCs w:val="24"/>
        </w:rPr>
        <w:t>Section 3: Reserve Methodology</w:t>
      </w:r>
      <w:bookmarkEnd w:id="0"/>
      <w:bookmarkEnd w:id="1"/>
    </w:p>
    <w:bookmarkEnd w:id="2"/>
    <w:p w14:paraId="48D835D2" w14:textId="77777777" w:rsidR="000D35E4" w:rsidRDefault="000D35E4" w:rsidP="000D35E4">
      <w:pPr>
        <w:autoSpaceDE w:val="0"/>
        <w:autoSpaceDN w:val="0"/>
        <w:adjustRightInd w:val="0"/>
        <w:spacing w:after="0" w:line="240" w:lineRule="auto"/>
        <w:rPr>
          <w:rFonts w:ascii="Times New Roman" w:hAnsi="Times New Roman" w:cs="Times New Roman"/>
          <w:color w:val="000000"/>
        </w:rPr>
      </w:pPr>
    </w:p>
    <w:p w14:paraId="2995936E" w14:textId="77777777" w:rsidR="000D35E4" w:rsidRPr="00252E55" w:rsidRDefault="000D35E4" w:rsidP="000D35E4">
      <w:pPr>
        <w:pStyle w:val="Heading2"/>
        <w:rPr>
          <w:sz w:val="22"/>
          <w:szCs w:val="22"/>
        </w:rPr>
      </w:pPr>
      <w:bookmarkStart w:id="3" w:name="_Toc77242133"/>
      <w:bookmarkStart w:id="4" w:name="_Toc137649776"/>
      <w:r w:rsidRPr="00252E55">
        <w:rPr>
          <w:sz w:val="22"/>
          <w:szCs w:val="22"/>
        </w:rPr>
        <w:t>A. Aggregate Reserve</w:t>
      </w:r>
      <w:bookmarkEnd w:id="3"/>
      <w:bookmarkEnd w:id="4"/>
      <w:r w:rsidRPr="00252E55">
        <w:rPr>
          <w:sz w:val="22"/>
          <w:szCs w:val="22"/>
        </w:rPr>
        <w:t xml:space="preserve"> </w:t>
      </w:r>
    </w:p>
    <w:p w14:paraId="6A45AA24" w14:textId="77777777" w:rsidR="000D35E4" w:rsidRPr="0099068E" w:rsidRDefault="000D35E4" w:rsidP="000D35E4">
      <w:pPr>
        <w:autoSpaceDE w:val="0"/>
        <w:autoSpaceDN w:val="0"/>
        <w:adjustRightInd w:val="0"/>
        <w:spacing w:after="0" w:line="240" w:lineRule="auto"/>
        <w:rPr>
          <w:rFonts w:ascii="Times New Roman" w:hAnsi="Times New Roman" w:cs="Times New Roman"/>
          <w:color w:val="000000"/>
        </w:rPr>
      </w:pPr>
    </w:p>
    <w:p w14:paraId="0D9D165A" w14:textId="77777777" w:rsidR="000D35E4" w:rsidRDefault="000D35E4" w:rsidP="000D35E4">
      <w:pPr>
        <w:autoSpaceDE w:val="0"/>
        <w:autoSpaceDN w:val="0"/>
        <w:adjustRightInd w:val="0"/>
        <w:spacing w:after="0" w:line="240" w:lineRule="auto"/>
        <w:rPr>
          <w:rFonts w:ascii="Times New Roman" w:hAnsi="Times New Roman" w:cs="Times New Roman"/>
        </w:rPr>
      </w:pPr>
      <w:r w:rsidRPr="002514EA">
        <w:rPr>
          <w:rFonts w:ascii="Times New Roman" w:hAnsi="Times New Roman"/>
          <w:color w:val="000000" w:themeColor="text1"/>
        </w:rPr>
        <w:t xml:space="preserve">The aggregate reserve for contracts falling within the scope of these requirements shall equal the </w:t>
      </w:r>
      <w:r>
        <w:rPr>
          <w:rFonts w:ascii="Times New Roman" w:hAnsi="Times New Roman" w:cs="Times New Roman"/>
          <w:color w:val="000000" w:themeColor="text1"/>
        </w:rPr>
        <w:t>SR</w:t>
      </w:r>
      <w:r w:rsidRPr="002514EA">
        <w:rPr>
          <w:rFonts w:ascii="Times New Roman" w:hAnsi="Times New Roman"/>
          <w:color w:val="000000" w:themeColor="text1"/>
        </w:rPr>
        <w:t xml:space="preserve"> (following the requirements of Section 4)</w:t>
      </w:r>
      <w:r w:rsidRPr="6499665E">
        <w:rPr>
          <w:rFonts w:ascii="Times New Roman" w:hAnsi="Times New Roman" w:cs="Times New Roman"/>
          <w:color w:val="000000" w:themeColor="text1"/>
        </w:rPr>
        <w:t xml:space="preserve"> plus the additional standard projection amount (following the requirements of Section 6) </w:t>
      </w:r>
      <w:r>
        <w:rPr>
          <w:rFonts w:ascii="Times New Roman" w:hAnsi="Times New Roman" w:cs="Times New Roman"/>
          <w:color w:val="000000" w:themeColor="text1"/>
        </w:rPr>
        <w:t>plus the DR for those contracts satisfying the Deterministic Certification Option,</w:t>
      </w:r>
      <w:r w:rsidRPr="002514EA">
        <w:rPr>
          <w:rFonts w:ascii="Times New Roman" w:hAnsi="Times New Roman"/>
          <w:color w:val="000000" w:themeColor="text1"/>
        </w:rPr>
        <w:t xml:space="preserve"> less any applicable PIMR for all contracts not valued under</w:t>
      </w:r>
      <w:r w:rsidRPr="6499665E">
        <w:rPr>
          <w:rFonts w:ascii="Calibri" w:eastAsia="Times New Roman" w:hAnsi="Calibri"/>
        </w:rPr>
        <w:t xml:space="preserve"> </w:t>
      </w:r>
      <w:r w:rsidRPr="6499665E">
        <w:rPr>
          <w:rFonts w:ascii="Times New Roman" w:eastAsia="Times New Roman" w:hAnsi="Times New Roman" w:cs="Times New Roman"/>
        </w:rPr>
        <w:t>applicable requirements in VM-A and VM-C</w:t>
      </w:r>
      <w:r w:rsidRPr="002514EA">
        <w:rPr>
          <w:rFonts w:ascii="Times New Roman" w:hAnsi="Times New Roman"/>
          <w:color w:val="000000" w:themeColor="text1"/>
        </w:rPr>
        <w:t xml:space="preserve">, plus the reserve for any contracts valued under </w:t>
      </w:r>
      <w:r w:rsidRPr="6499665E">
        <w:rPr>
          <w:rFonts w:ascii="Times New Roman" w:eastAsia="Times New Roman" w:hAnsi="Times New Roman" w:cs="Times New Roman"/>
        </w:rPr>
        <w:t>applicable requirements in VM-A</w:t>
      </w:r>
      <w:r>
        <w:rPr>
          <w:rFonts w:ascii="Times New Roman" w:eastAsia="Times New Roman" w:hAnsi="Times New Roman" w:cs="Times New Roman"/>
        </w:rPr>
        <w:t>, VM-C,</w:t>
      </w:r>
      <w:r w:rsidRPr="6499665E">
        <w:rPr>
          <w:rFonts w:ascii="Times New Roman" w:eastAsia="Times New Roman" w:hAnsi="Times New Roman" w:cs="Times New Roman"/>
        </w:rPr>
        <w:t xml:space="preserve"> and VM-</w:t>
      </w:r>
      <w:r>
        <w:rPr>
          <w:rFonts w:ascii="Times New Roman" w:eastAsia="Times New Roman" w:hAnsi="Times New Roman" w:cs="Times New Roman"/>
        </w:rPr>
        <w:t>V</w:t>
      </w:r>
      <w:r w:rsidRPr="002514EA">
        <w:rPr>
          <w:rFonts w:ascii="Times New Roman" w:hAnsi="Times New Roman"/>
          <w:color w:val="000000" w:themeColor="text1"/>
        </w:rPr>
        <w:t>.</w:t>
      </w:r>
      <w:r>
        <w:rPr>
          <w:rFonts w:ascii="Times New Roman" w:hAnsi="Times New Roman" w:cs="Times New Roman"/>
        </w:rPr>
        <w:t xml:space="preserve"> Contracts valued under applicable requirements in VM-A and VM-C are ones that pass the exclusion test and elect to not model PBR SRs, per the requirements in Section 3.E.</w:t>
      </w:r>
    </w:p>
    <w:p w14:paraId="5E6F240E" w14:textId="77777777" w:rsidR="000D35E4" w:rsidRDefault="000D35E4" w:rsidP="000D35E4">
      <w:pPr>
        <w:autoSpaceDE w:val="0"/>
        <w:autoSpaceDN w:val="0"/>
        <w:adjustRightInd w:val="0"/>
        <w:spacing w:after="0" w:line="240" w:lineRule="auto"/>
        <w:rPr>
          <w:rFonts w:ascii="Times New Roman" w:hAnsi="Times New Roman" w:cs="Times New Roman"/>
        </w:rPr>
      </w:pPr>
    </w:p>
    <w:p w14:paraId="68C7111D" w14:textId="77777777" w:rsidR="000D35E4" w:rsidRPr="003B3B9B" w:rsidRDefault="000D35E4" w:rsidP="000D35E4">
      <w:pPr>
        <w:autoSpaceDE w:val="0"/>
        <w:autoSpaceDN w:val="0"/>
        <w:adjustRightInd w:val="0"/>
        <w:spacing w:after="0" w:line="240" w:lineRule="auto"/>
        <w:rPr>
          <w:rFonts w:ascii="Times New Roman" w:hAnsi="Times New Roman" w:cs="Times New Roman"/>
        </w:rPr>
      </w:pPr>
    </w:p>
    <w:p w14:paraId="37E8722F" w14:textId="77777777" w:rsidR="000D35E4" w:rsidRPr="0099068E" w:rsidRDefault="000D35E4" w:rsidP="000D35E4">
      <w:pPr>
        <w:autoSpaceDE w:val="0"/>
        <w:autoSpaceDN w:val="0"/>
        <w:adjustRightInd w:val="0"/>
        <w:spacing w:after="0" w:line="240" w:lineRule="auto"/>
        <w:rPr>
          <w:rFonts w:ascii="Times New Roman" w:hAnsi="Times New Roman" w:cs="Times New Roman"/>
          <w:color w:val="000000"/>
        </w:rPr>
      </w:pPr>
    </w:p>
    <w:p w14:paraId="6B713715" w14:textId="77777777" w:rsidR="000D35E4" w:rsidRPr="00252E55" w:rsidRDefault="000D35E4" w:rsidP="000D35E4">
      <w:pPr>
        <w:pStyle w:val="Heading2"/>
        <w:rPr>
          <w:sz w:val="22"/>
          <w:szCs w:val="22"/>
        </w:rPr>
      </w:pPr>
      <w:bookmarkStart w:id="5" w:name="_Toc77242134"/>
      <w:bookmarkStart w:id="6" w:name="_Toc137649777"/>
      <w:r w:rsidRPr="00252E55">
        <w:rPr>
          <w:sz w:val="22"/>
          <w:szCs w:val="22"/>
        </w:rPr>
        <w:t>B. Impact of Reinsurance Ceded</w:t>
      </w:r>
      <w:bookmarkEnd w:id="5"/>
      <w:bookmarkEnd w:id="6"/>
      <w:r w:rsidRPr="00252E55">
        <w:rPr>
          <w:sz w:val="22"/>
          <w:szCs w:val="22"/>
        </w:rPr>
        <w:t xml:space="preserve"> </w:t>
      </w:r>
    </w:p>
    <w:p w14:paraId="715B21CD" w14:textId="77777777" w:rsidR="000D35E4" w:rsidRPr="0099068E" w:rsidRDefault="000D35E4" w:rsidP="000D35E4">
      <w:pPr>
        <w:autoSpaceDE w:val="0"/>
        <w:autoSpaceDN w:val="0"/>
        <w:adjustRightInd w:val="0"/>
        <w:spacing w:after="0" w:line="240" w:lineRule="auto"/>
        <w:rPr>
          <w:rFonts w:ascii="Times New Roman" w:hAnsi="Times New Roman" w:cs="Times New Roman"/>
          <w:color w:val="000000"/>
        </w:rPr>
      </w:pPr>
    </w:p>
    <w:p w14:paraId="502CBB5E" w14:textId="77777777" w:rsidR="000D35E4" w:rsidRDefault="000D35E4" w:rsidP="000D35E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r w:rsidRPr="0099068E">
        <w:rPr>
          <w:rFonts w:ascii="Times New Roman" w:hAnsi="Times New Roman" w:cs="Times New Roman"/>
          <w:color w:val="000000"/>
        </w:rPr>
        <w:t xml:space="preserve">ll components in the aggregate reserve shall be determined post-reinsurance ceded, that is net of any reinsurance </w:t>
      </w:r>
      <w:r>
        <w:rPr>
          <w:rFonts w:ascii="Times New Roman" w:hAnsi="Times New Roman" w:cs="Times New Roman"/>
          <w:color w:val="000000"/>
        </w:rPr>
        <w:t xml:space="preserve">cash flows arising from </w:t>
      </w:r>
      <w:r w:rsidRPr="0099068E">
        <w:rPr>
          <w:rFonts w:ascii="Times New Roman" w:hAnsi="Times New Roman" w:cs="Times New Roman"/>
          <w:color w:val="000000"/>
        </w:rPr>
        <w:t>treaties that meet the statutory requirements that allow the treaty to be accounted for as reinsurance</w:t>
      </w:r>
      <w:r>
        <w:rPr>
          <w:rFonts w:ascii="Times New Roman" w:hAnsi="Times New Roman" w:cs="Times New Roman"/>
          <w:color w:val="000000"/>
        </w:rPr>
        <w:t>. A</w:t>
      </w:r>
      <w:r w:rsidRPr="0099068E">
        <w:rPr>
          <w:rFonts w:ascii="Times New Roman" w:hAnsi="Times New Roman" w:cs="Times New Roman"/>
          <w:color w:val="000000"/>
        </w:rPr>
        <w:t xml:space="preserve"> pre-reinsurance ceded</w:t>
      </w:r>
      <w:r>
        <w:rPr>
          <w:rFonts w:ascii="Times New Roman" w:hAnsi="Times New Roman" w:cs="Times New Roman"/>
          <w:color w:val="000000"/>
        </w:rPr>
        <w:t xml:space="preserve"> reserve also needs to be determined by</w:t>
      </w:r>
      <w:r w:rsidRPr="0099068E">
        <w:rPr>
          <w:rFonts w:ascii="Times New Roman" w:hAnsi="Times New Roman" w:cs="Times New Roman"/>
          <w:color w:val="000000"/>
        </w:rPr>
        <w:t xml:space="preserve"> ignoring </w:t>
      </w:r>
      <w:r>
        <w:rPr>
          <w:rFonts w:ascii="Times New Roman" w:hAnsi="Times New Roman" w:cs="Times New Roman"/>
          <w:color w:val="000000"/>
        </w:rPr>
        <w:t>all reinsurance cash flows (</w:t>
      </w:r>
      <w:r w:rsidRPr="0099068E">
        <w:rPr>
          <w:rFonts w:ascii="Times New Roman" w:hAnsi="Times New Roman" w:cs="Times New Roman"/>
          <w:color w:val="000000"/>
        </w:rPr>
        <w:t>costs and benefits</w:t>
      </w:r>
      <w:r>
        <w:rPr>
          <w:rFonts w:ascii="Times New Roman" w:hAnsi="Times New Roman" w:cs="Times New Roman"/>
          <w:color w:val="000000"/>
        </w:rPr>
        <w:t>) in the reserve calculation</w:t>
      </w:r>
      <w:r w:rsidRPr="0099068E">
        <w:rPr>
          <w:rFonts w:ascii="Times New Roman" w:hAnsi="Times New Roman" w:cs="Times New Roman"/>
          <w:color w:val="000000"/>
        </w:rPr>
        <w:t xml:space="preserve">. </w:t>
      </w:r>
    </w:p>
    <w:p w14:paraId="5F1CF5C4" w14:textId="77777777" w:rsidR="000D35E4" w:rsidRPr="0099068E" w:rsidRDefault="000D35E4" w:rsidP="000D35E4">
      <w:pPr>
        <w:autoSpaceDE w:val="0"/>
        <w:autoSpaceDN w:val="0"/>
        <w:adjustRightInd w:val="0"/>
        <w:spacing w:after="0" w:line="240" w:lineRule="auto"/>
        <w:rPr>
          <w:rFonts w:ascii="Times New Roman" w:hAnsi="Times New Roman" w:cs="Times New Roman"/>
          <w:color w:val="000000"/>
        </w:rPr>
      </w:pPr>
    </w:p>
    <w:p w14:paraId="750D3A44" w14:textId="77777777" w:rsidR="000D35E4" w:rsidRPr="00252E55" w:rsidRDefault="000D35E4" w:rsidP="000D35E4">
      <w:pPr>
        <w:pStyle w:val="Heading2"/>
        <w:rPr>
          <w:sz w:val="22"/>
          <w:szCs w:val="22"/>
        </w:rPr>
      </w:pPr>
      <w:bookmarkStart w:id="7" w:name="_Toc77242135"/>
      <w:bookmarkStart w:id="8" w:name="_Toc137649778"/>
      <w:r w:rsidRPr="0CC86E4D">
        <w:rPr>
          <w:sz w:val="22"/>
          <w:szCs w:val="22"/>
        </w:rPr>
        <w:t xml:space="preserve">C. </w:t>
      </w:r>
      <w:bookmarkEnd w:id="7"/>
      <w:r w:rsidRPr="0CC86E4D">
        <w:rPr>
          <w:sz w:val="22"/>
          <w:szCs w:val="22"/>
        </w:rPr>
        <w:t>The Additional Standard Projection Amount</w:t>
      </w:r>
      <w:bookmarkEnd w:id="8"/>
      <w:r w:rsidRPr="0CC86E4D">
        <w:rPr>
          <w:sz w:val="22"/>
          <w:szCs w:val="22"/>
        </w:rPr>
        <w:t xml:space="preserve"> </w:t>
      </w:r>
    </w:p>
    <w:p w14:paraId="17812948" w14:textId="77777777" w:rsidR="000D35E4" w:rsidRPr="0099068E" w:rsidRDefault="000D35E4" w:rsidP="000D35E4">
      <w:pPr>
        <w:autoSpaceDE w:val="0"/>
        <w:autoSpaceDN w:val="0"/>
        <w:adjustRightInd w:val="0"/>
        <w:spacing w:after="0" w:line="240" w:lineRule="auto"/>
        <w:rPr>
          <w:rFonts w:ascii="Times New Roman" w:hAnsi="Times New Roman" w:cs="Times New Roman"/>
          <w:color w:val="000000"/>
        </w:rPr>
      </w:pPr>
    </w:p>
    <w:p w14:paraId="51197C42" w14:textId="77777777" w:rsidR="000D35E4" w:rsidRDefault="000D35E4" w:rsidP="000D35E4">
      <w:pPr>
        <w:autoSpaceDE w:val="0"/>
        <w:autoSpaceDN w:val="0"/>
        <w:adjustRightInd w:val="0"/>
        <w:spacing w:after="0" w:line="240" w:lineRule="auto"/>
        <w:rPr>
          <w:rFonts w:ascii="Times New Roman" w:hAnsi="Times New Roman" w:cs="Times New Roman"/>
          <w:color w:val="000000"/>
        </w:rPr>
      </w:pPr>
      <w:r w:rsidRPr="0CC86E4D">
        <w:rPr>
          <w:rFonts w:ascii="Times New Roman" w:hAnsi="Times New Roman" w:cs="Times New Roman"/>
          <w:color w:val="000000" w:themeColor="text1"/>
        </w:rPr>
        <w:t xml:space="preserve">The additional standard projection amount is determined by applying one of the two standard projection methods defined in Section 6. The same method must be used for all contracts within a group of contracts that are aggregated together to determine the reserve. The company shall elect which method they will use to determine the additional standard projection amount. The company may not change that election for a future valuation without the approval of the domiciliary commissioner. </w:t>
      </w:r>
    </w:p>
    <w:p w14:paraId="59C0C64B" w14:textId="77777777" w:rsidR="000D35E4" w:rsidRPr="0099068E" w:rsidRDefault="000D35E4" w:rsidP="000D35E4">
      <w:pPr>
        <w:autoSpaceDE w:val="0"/>
        <w:autoSpaceDN w:val="0"/>
        <w:adjustRightInd w:val="0"/>
        <w:spacing w:after="0" w:line="240" w:lineRule="auto"/>
        <w:rPr>
          <w:rFonts w:ascii="Times New Roman" w:hAnsi="Times New Roman" w:cs="Times New Roman"/>
          <w:color w:val="000000"/>
        </w:rPr>
      </w:pPr>
    </w:p>
    <w:p w14:paraId="53840EAD" w14:textId="77777777" w:rsidR="000D35E4" w:rsidRDefault="000D35E4" w:rsidP="000D35E4">
      <w:pPr>
        <w:pStyle w:val="Heading2"/>
        <w:rPr>
          <w:sz w:val="22"/>
          <w:szCs w:val="22"/>
        </w:rPr>
      </w:pPr>
      <w:bookmarkStart w:id="9" w:name="_Toc137649779"/>
      <w:r w:rsidRPr="00252E55">
        <w:rPr>
          <w:sz w:val="22"/>
          <w:szCs w:val="22"/>
        </w:rPr>
        <w:t xml:space="preserve">D. The </w:t>
      </w:r>
      <w:r>
        <w:rPr>
          <w:sz w:val="22"/>
          <w:szCs w:val="22"/>
        </w:rPr>
        <w:t>SR</w:t>
      </w:r>
      <w:bookmarkEnd w:id="9"/>
      <w:r w:rsidRPr="00252E55">
        <w:rPr>
          <w:sz w:val="22"/>
          <w:szCs w:val="22"/>
        </w:rPr>
        <w:t xml:space="preserve"> </w:t>
      </w:r>
    </w:p>
    <w:p w14:paraId="0C33DE1D" w14:textId="77777777" w:rsidR="000D35E4" w:rsidRPr="000C73EB" w:rsidRDefault="000D35E4" w:rsidP="000D35E4">
      <w:pPr>
        <w:spacing w:after="0"/>
      </w:pPr>
    </w:p>
    <w:p w14:paraId="3CDCBB27" w14:textId="77777777" w:rsidR="000D35E4" w:rsidRPr="00A85B27" w:rsidRDefault="000D35E4" w:rsidP="000D35E4">
      <w:pPr>
        <w:pStyle w:val="ListParagraph"/>
        <w:numPr>
          <w:ilvl w:val="0"/>
          <w:numId w:val="4"/>
        </w:numPr>
        <w:autoSpaceDE w:val="0"/>
        <w:autoSpaceDN w:val="0"/>
        <w:adjustRightInd w:val="0"/>
        <w:spacing w:after="0" w:line="240" w:lineRule="auto"/>
        <w:rPr>
          <w:rFonts w:ascii="Times New Roman" w:hAnsi="Times New Roman" w:cs="Times New Roman"/>
          <w:color w:val="000000"/>
        </w:rPr>
      </w:pPr>
      <w:r w:rsidRPr="00A85B27">
        <w:rPr>
          <w:rFonts w:ascii="Times New Roman" w:hAnsi="Times New Roman" w:cs="Times New Roman"/>
          <w:color w:val="000000"/>
        </w:rPr>
        <w:t xml:space="preserve">The </w:t>
      </w:r>
      <w:r>
        <w:rPr>
          <w:rFonts w:ascii="Times New Roman" w:hAnsi="Times New Roman" w:cs="Times New Roman"/>
          <w:color w:val="000000"/>
        </w:rPr>
        <w:t>SR</w:t>
      </w:r>
      <w:r w:rsidRPr="00A85B27">
        <w:rPr>
          <w:rFonts w:ascii="Times New Roman" w:hAnsi="Times New Roman" w:cs="Times New Roman"/>
          <w:color w:val="000000"/>
        </w:rPr>
        <w:t xml:space="preserve"> shall be determined based on asset and liability projections for the contracts falling within the scope of </w:t>
      </w:r>
      <w:r>
        <w:rPr>
          <w:rFonts w:ascii="Times New Roman" w:hAnsi="Times New Roman" w:cs="Times New Roman"/>
          <w:color w:val="000000"/>
        </w:rPr>
        <w:t>VM-22</w:t>
      </w:r>
      <w:r w:rsidRPr="00A85B27">
        <w:rPr>
          <w:rFonts w:ascii="Times New Roman" w:hAnsi="Times New Roman" w:cs="Times New Roman"/>
          <w:color w:val="000000"/>
        </w:rPr>
        <w:t xml:space="preserve"> requirements, excluding those contracts valued using the </w:t>
      </w:r>
      <w:r w:rsidRPr="00A85B27">
        <w:rPr>
          <w:rFonts w:ascii="Times New Roman" w:hAnsi="Times New Roman" w:cs="Times New Roman"/>
        </w:rPr>
        <w:t>methodology pursuant to</w:t>
      </w:r>
      <w:r w:rsidRPr="00A85B27">
        <w:rPr>
          <w:rFonts w:ascii="Times New Roman" w:hAnsi="Times New Roman" w:cs="Times New Roman"/>
          <w:color w:val="000000"/>
        </w:rPr>
        <w:t xml:space="preserve"> </w:t>
      </w:r>
      <w:r w:rsidRPr="00A85B27">
        <w:rPr>
          <w:rFonts w:ascii="Times New Roman" w:eastAsia="Times New Roman" w:hAnsi="Times New Roman" w:cs="Times New Roman"/>
        </w:rPr>
        <w:t>applicable requirements in VM-A</w:t>
      </w:r>
      <w:r>
        <w:rPr>
          <w:rFonts w:ascii="Times New Roman" w:eastAsia="Times New Roman" w:hAnsi="Times New Roman" w:cs="Times New Roman"/>
        </w:rPr>
        <w:t>, VM-C,</w:t>
      </w:r>
      <w:r w:rsidRPr="00A85B27">
        <w:rPr>
          <w:rFonts w:ascii="Times New Roman" w:eastAsia="Times New Roman" w:hAnsi="Times New Roman" w:cs="Times New Roman"/>
        </w:rPr>
        <w:t xml:space="preserve"> and VM-</w:t>
      </w:r>
      <w:r>
        <w:rPr>
          <w:rFonts w:ascii="Times New Roman" w:eastAsia="Times New Roman" w:hAnsi="Times New Roman" w:cs="Times New Roman"/>
        </w:rPr>
        <w:t>V</w:t>
      </w:r>
      <w:r w:rsidRPr="00A85B27">
        <w:rPr>
          <w:rFonts w:ascii="Times New Roman" w:hAnsi="Times New Roman" w:cs="Times New Roman"/>
          <w:color w:val="000000"/>
        </w:rPr>
        <w:t>, over a broad range of stochastically generated projection scenarios described in Section 8 and using prudent estimate assumptions as required in Section 3.</w:t>
      </w:r>
      <w:r>
        <w:rPr>
          <w:rFonts w:ascii="Times New Roman" w:hAnsi="Times New Roman" w:cs="Times New Roman"/>
          <w:color w:val="000000"/>
        </w:rPr>
        <w:t>I</w:t>
      </w:r>
      <w:r w:rsidRPr="00A85B27">
        <w:rPr>
          <w:rFonts w:ascii="Times New Roman" w:hAnsi="Times New Roman" w:cs="Times New Roman"/>
          <w:color w:val="000000"/>
        </w:rPr>
        <w:t xml:space="preserve"> herein. </w:t>
      </w:r>
    </w:p>
    <w:p w14:paraId="7B049EFB" w14:textId="77777777" w:rsidR="000D35E4" w:rsidRDefault="000D35E4" w:rsidP="000D35E4">
      <w:pPr>
        <w:pStyle w:val="ListParagraph"/>
        <w:autoSpaceDE w:val="0"/>
        <w:autoSpaceDN w:val="0"/>
        <w:adjustRightInd w:val="0"/>
        <w:spacing w:after="0" w:line="240" w:lineRule="auto"/>
        <w:rPr>
          <w:rFonts w:ascii="Times New Roman" w:hAnsi="Times New Roman" w:cs="Times New Roman"/>
          <w:color w:val="000000"/>
        </w:rPr>
      </w:pPr>
    </w:p>
    <w:p w14:paraId="7B53FEE3" w14:textId="77777777" w:rsidR="000D35E4" w:rsidRPr="00EF42F6" w:rsidRDefault="000D35E4" w:rsidP="000D35E4">
      <w:pPr>
        <w:pStyle w:val="ListParagraph"/>
        <w:numPr>
          <w:ilvl w:val="0"/>
          <w:numId w:val="4"/>
        </w:numPr>
        <w:autoSpaceDE w:val="0"/>
        <w:autoSpaceDN w:val="0"/>
        <w:adjustRightInd w:val="0"/>
        <w:spacing w:after="0" w:line="240" w:lineRule="auto"/>
        <w:rPr>
          <w:rFonts w:ascii="Times New Roman" w:hAnsi="Times New Roman" w:cs="Times New Roman"/>
          <w:color w:val="000000"/>
        </w:rPr>
      </w:pPr>
      <w:r w:rsidRPr="002514EA">
        <w:rPr>
          <w:rFonts w:ascii="Times New Roman" w:hAnsi="Times New Roman"/>
          <w:color w:val="000000" w:themeColor="text1"/>
        </w:rPr>
        <w:t xml:space="preserve">The </w:t>
      </w:r>
      <w:r>
        <w:rPr>
          <w:rFonts w:ascii="Times New Roman" w:hAnsi="Times New Roman" w:cs="Times New Roman"/>
          <w:color w:val="000000" w:themeColor="text1"/>
        </w:rPr>
        <w:t>SR</w:t>
      </w:r>
      <w:r w:rsidRPr="002514EA">
        <w:rPr>
          <w:rFonts w:ascii="Times New Roman" w:hAnsi="Times New Roman"/>
          <w:color w:val="000000" w:themeColor="text1"/>
        </w:rPr>
        <w:t xml:space="preserve"> amount for any group of contracts shall be determined as CTE70 of the scenario reserves following the requirements of Section 4</w:t>
      </w:r>
      <w:r>
        <w:rPr>
          <w:rFonts w:ascii="Times New Roman" w:hAnsi="Times New Roman"/>
          <w:color w:val="000000" w:themeColor="text1"/>
        </w:rPr>
        <w:t>.</w:t>
      </w:r>
    </w:p>
    <w:p w14:paraId="60664678" w14:textId="77777777" w:rsidR="000D35E4" w:rsidRPr="00EF42F6" w:rsidRDefault="000D35E4" w:rsidP="000D35E4">
      <w:pPr>
        <w:pStyle w:val="ListParagraph"/>
        <w:rPr>
          <w:rFonts w:ascii="Times New Roman" w:hAnsi="Times New Roman"/>
          <w:color w:val="000000" w:themeColor="text1"/>
        </w:rPr>
      </w:pPr>
    </w:p>
    <w:p w14:paraId="4EAA5B1C" w14:textId="77777777" w:rsidR="000D35E4" w:rsidRDefault="000D35E4" w:rsidP="000D35E4">
      <w:pPr>
        <w:pStyle w:val="Heading2"/>
        <w:ind w:left="360" w:hanging="360"/>
        <w:rPr>
          <w:sz w:val="22"/>
          <w:szCs w:val="22"/>
        </w:rPr>
      </w:pPr>
      <w:bookmarkStart w:id="10" w:name="_Toc137649780"/>
      <w:r>
        <w:rPr>
          <w:sz w:val="22"/>
          <w:szCs w:val="22"/>
        </w:rPr>
        <w:t>E</w:t>
      </w:r>
      <w:r w:rsidRPr="00252E55">
        <w:rPr>
          <w:sz w:val="22"/>
          <w:szCs w:val="22"/>
        </w:rPr>
        <w:t xml:space="preserve">. The </w:t>
      </w:r>
      <w:r>
        <w:rPr>
          <w:sz w:val="22"/>
          <w:szCs w:val="22"/>
        </w:rPr>
        <w:t>DR</w:t>
      </w:r>
      <w:bookmarkEnd w:id="10"/>
      <w:r w:rsidRPr="00252E55">
        <w:rPr>
          <w:sz w:val="22"/>
          <w:szCs w:val="22"/>
        </w:rPr>
        <w:t xml:space="preserve"> </w:t>
      </w:r>
    </w:p>
    <w:p w14:paraId="78762220" w14:textId="77777777" w:rsidR="000D35E4" w:rsidRDefault="000D35E4" w:rsidP="000D35E4">
      <w:pPr>
        <w:autoSpaceDE w:val="0"/>
        <w:autoSpaceDN w:val="0"/>
        <w:adjustRightInd w:val="0"/>
        <w:spacing w:after="0" w:line="240" w:lineRule="auto"/>
        <w:rPr>
          <w:rFonts w:ascii="Times New Roman" w:hAnsi="Times New Roman"/>
          <w:color w:val="000000" w:themeColor="text1"/>
        </w:rPr>
      </w:pPr>
    </w:p>
    <w:p w14:paraId="67082779" w14:textId="77777777" w:rsidR="000D35E4" w:rsidRPr="000E2B2C" w:rsidRDefault="000D35E4" w:rsidP="000D35E4">
      <w:pPr>
        <w:autoSpaceDE w:val="0"/>
        <w:autoSpaceDN w:val="0"/>
        <w:adjustRightInd w:val="0"/>
        <w:spacing w:after="0" w:line="240" w:lineRule="auto"/>
        <w:rPr>
          <w:rFonts w:ascii="Times New Roman" w:hAnsi="Times New Roman"/>
          <w:color w:val="000000" w:themeColor="text1"/>
        </w:rPr>
      </w:pPr>
      <w:r w:rsidRPr="00EF42F6">
        <w:rPr>
          <w:rFonts w:ascii="Times New Roman" w:hAnsi="Times New Roman"/>
          <w:color w:val="000000" w:themeColor="text1"/>
        </w:rPr>
        <w:t xml:space="preserve">The DR for groups of contracts for which a company elects the Deterministic Certification Option in Section 7.E shall be determined as the </w:t>
      </w:r>
      <w:r w:rsidRPr="00EF42F6">
        <w:rPr>
          <w:rFonts w:ascii="Times New Roman" w:hAnsi="Times New Roman" w:cs="Times New Roman"/>
          <w:color w:val="000000" w:themeColor="text1"/>
        </w:rPr>
        <w:t xml:space="preserve">DR </w:t>
      </w:r>
      <w:r w:rsidRPr="00EF42F6">
        <w:rPr>
          <w:rFonts w:ascii="Times New Roman" w:hAnsi="Times New Roman"/>
          <w:color w:val="000000" w:themeColor="text1"/>
        </w:rPr>
        <w:t>following the requirements of Section 4.</w:t>
      </w:r>
      <w:r>
        <w:rPr>
          <w:rFonts w:ascii="Times New Roman" w:hAnsi="Times New Roman"/>
          <w:color w:val="000000" w:themeColor="text1"/>
        </w:rPr>
        <w:t xml:space="preserve"> </w:t>
      </w:r>
    </w:p>
    <w:p w14:paraId="3EDF44EB" w14:textId="77777777" w:rsidR="000D35E4" w:rsidRPr="00EF42F6" w:rsidRDefault="000D35E4" w:rsidP="000D35E4">
      <w:pPr>
        <w:pStyle w:val="ListParagraph"/>
        <w:rPr>
          <w:rFonts w:ascii="Times New Roman" w:hAnsi="Times New Roman" w:cs="Times New Roman"/>
          <w:color w:val="000000" w:themeColor="text1"/>
        </w:rPr>
      </w:pPr>
    </w:p>
    <w:p w14:paraId="1663BDCC" w14:textId="77777777" w:rsidR="000D35E4" w:rsidRDefault="000D35E4" w:rsidP="000D35E4">
      <w:pPr>
        <w:pStyle w:val="Heading2"/>
        <w:ind w:left="360" w:hanging="360"/>
        <w:rPr>
          <w:sz w:val="22"/>
          <w:szCs w:val="22"/>
        </w:rPr>
      </w:pPr>
      <w:bookmarkStart w:id="11" w:name="_Toc137649781"/>
      <w:r>
        <w:rPr>
          <w:sz w:val="22"/>
          <w:szCs w:val="22"/>
        </w:rPr>
        <w:lastRenderedPageBreak/>
        <w:t>F</w:t>
      </w:r>
      <w:r w:rsidRPr="00252E55">
        <w:rPr>
          <w:sz w:val="22"/>
          <w:szCs w:val="22"/>
        </w:rPr>
        <w:t xml:space="preserve">. </w:t>
      </w:r>
      <w:r>
        <w:rPr>
          <w:sz w:val="22"/>
          <w:szCs w:val="22"/>
        </w:rPr>
        <w:t>Aggregation of Contracts for the DR and SR</w:t>
      </w:r>
      <w:r w:rsidRPr="00252E55">
        <w:rPr>
          <w:sz w:val="22"/>
          <w:szCs w:val="22"/>
        </w:rPr>
        <w:t xml:space="preserve"> </w:t>
      </w:r>
      <w:bookmarkEnd w:id="11"/>
    </w:p>
    <w:p w14:paraId="0B74E719" w14:textId="77777777" w:rsidR="000D35E4" w:rsidRDefault="000D35E4" w:rsidP="000D35E4">
      <w:pPr>
        <w:autoSpaceDE w:val="0"/>
        <w:autoSpaceDN w:val="0"/>
        <w:adjustRightInd w:val="0"/>
        <w:spacing w:after="0" w:line="240" w:lineRule="auto"/>
        <w:rPr>
          <w:rFonts w:ascii="Times New Roman" w:hAnsi="Times New Roman" w:cs="Times New Roman"/>
          <w:color w:val="000000" w:themeColor="text1"/>
        </w:rPr>
      </w:pPr>
    </w:p>
    <w:p w14:paraId="1ED24F19" w14:textId="77777777" w:rsidR="000D35E4" w:rsidRPr="009503FD" w:rsidRDefault="000D35E4" w:rsidP="000D35E4">
      <w:pPr>
        <w:pStyle w:val="ListParagraph"/>
        <w:numPr>
          <w:ilvl w:val="0"/>
          <w:numId w:val="7"/>
        </w:numPr>
        <w:autoSpaceDE w:val="0"/>
        <w:autoSpaceDN w:val="0"/>
        <w:adjustRightInd w:val="0"/>
        <w:spacing w:after="0" w:line="240" w:lineRule="auto"/>
        <w:rPr>
          <w:rFonts w:ascii="Times New Roman" w:hAnsi="Times New Roman"/>
          <w:color w:val="000000" w:themeColor="text1"/>
        </w:rPr>
      </w:pPr>
      <w:r w:rsidRPr="009503FD">
        <w:rPr>
          <w:rFonts w:ascii="Times New Roman" w:hAnsi="Times New Roman" w:cs="Times New Roman"/>
          <w:color w:val="000000" w:themeColor="text1"/>
        </w:rPr>
        <w:t>Groups of contracts within different Reserving Categories may not be aggregated together in determining the SR or DR. For the purposes of VM-22, Reserving Categories are classified as the following:</w:t>
      </w:r>
    </w:p>
    <w:p w14:paraId="05314196" w14:textId="77777777" w:rsidR="000D35E4" w:rsidRPr="00344B08" w:rsidRDefault="000D35E4" w:rsidP="000D35E4">
      <w:pPr>
        <w:pStyle w:val="ListParagraph"/>
        <w:rPr>
          <w:rFonts w:ascii="Times New Roman" w:hAnsi="Times New Roman"/>
          <w:color w:val="000000" w:themeColor="text1"/>
        </w:rPr>
      </w:pPr>
    </w:p>
    <w:p w14:paraId="4DADC041" w14:textId="77777777" w:rsidR="000D35E4" w:rsidRPr="00C91AB0" w:rsidRDefault="000D35E4" w:rsidP="000D35E4">
      <w:pPr>
        <w:pStyle w:val="ListParagraph"/>
        <w:numPr>
          <w:ilvl w:val="1"/>
          <w:numId w:val="5"/>
        </w:numPr>
        <w:kinsoku w:val="0"/>
        <w:overflowPunct w:val="0"/>
        <w:spacing w:before="2" w:after="160" w:line="259" w:lineRule="auto"/>
        <w:ind w:left="2160" w:hanging="720"/>
        <w:rPr>
          <w:rFonts w:ascii="Times New Roman" w:hAnsi="Times New Roman"/>
          <w:color w:val="000000" w:themeColor="text1"/>
        </w:rPr>
      </w:pPr>
      <w:r w:rsidRPr="00C91AB0">
        <w:rPr>
          <w:rFonts w:ascii="Times New Roman" w:hAnsi="Times New Roman"/>
          <w:color w:val="000000" w:themeColor="text1"/>
        </w:rPr>
        <w:t xml:space="preserve">The “Payout Annuity Reserving Category” includes the following categories of contracts, certificates and contract features, whether group or individual, including both life contingent and term certain only contracts, directly written or assumed through reinsurance, </w:t>
      </w:r>
      <w:proofErr w:type="gramStart"/>
      <w:r w:rsidRPr="00C91AB0">
        <w:rPr>
          <w:rFonts w:ascii="Times New Roman" w:hAnsi="Times New Roman"/>
          <w:color w:val="000000" w:themeColor="text1"/>
        </w:rPr>
        <w:t>with the exception of</w:t>
      </w:r>
      <w:proofErr w:type="gramEnd"/>
      <w:r w:rsidRPr="00C91AB0">
        <w:rPr>
          <w:rFonts w:ascii="Times New Roman" w:hAnsi="Times New Roman"/>
          <w:color w:val="000000" w:themeColor="text1"/>
        </w:rPr>
        <w:t xml:space="preserve"> benefits provided by variable annuities:</w:t>
      </w:r>
    </w:p>
    <w:p w14:paraId="1DB55043" w14:textId="77777777" w:rsidR="000D35E4" w:rsidRPr="00C91AB0" w:rsidRDefault="000D35E4" w:rsidP="000D35E4">
      <w:pPr>
        <w:numPr>
          <w:ilvl w:val="0"/>
          <w:numId w:val="6"/>
        </w:numPr>
        <w:tabs>
          <w:tab w:val="left" w:pos="2880"/>
        </w:tabs>
        <w:kinsoku w:val="0"/>
        <w:overflowPunct w:val="0"/>
        <w:autoSpaceDE w:val="0"/>
        <w:autoSpaceDN w:val="0"/>
        <w:adjustRightInd w:val="0"/>
        <w:spacing w:before="47" w:after="0" w:line="240" w:lineRule="auto"/>
        <w:ind w:left="2880" w:right="111" w:hanging="720"/>
        <w:rPr>
          <w:rFonts w:ascii="Times New Roman" w:eastAsia="Calibri" w:hAnsi="Times New Roman" w:cs="Times New Roman"/>
        </w:rPr>
      </w:pPr>
      <w:r>
        <w:rPr>
          <w:rFonts w:ascii="Times New Roman" w:eastAsia="Calibri" w:hAnsi="Times New Roman" w:cs="Times New Roman"/>
        </w:rPr>
        <w:t>Single Premium I</w:t>
      </w:r>
      <w:r w:rsidRPr="00C91AB0">
        <w:rPr>
          <w:rFonts w:ascii="Times New Roman" w:eastAsia="Calibri" w:hAnsi="Times New Roman" w:cs="Times New Roman"/>
        </w:rPr>
        <w:t xml:space="preserve">mmediate </w:t>
      </w:r>
      <w:r>
        <w:rPr>
          <w:rFonts w:ascii="Times New Roman" w:eastAsia="Calibri" w:hAnsi="Times New Roman" w:cs="Times New Roman"/>
        </w:rPr>
        <w:t>Annuity</w:t>
      </w:r>
      <w:r w:rsidRPr="00C91AB0">
        <w:rPr>
          <w:rFonts w:ascii="Times New Roman" w:eastAsia="Calibri" w:hAnsi="Times New Roman" w:cs="Times New Roman"/>
          <w:spacing w:val="-3"/>
        </w:rPr>
        <w:t xml:space="preserve"> </w:t>
      </w:r>
      <w:proofErr w:type="gramStart"/>
      <w:r w:rsidRPr="00C91AB0">
        <w:rPr>
          <w:rFonts w:ascii="Times New Roman" w:eastAsia="Calibri" w:hAnsi="Times New Roman" w:cs="Times New Roman"/>
        </w:rPr>
        <w:t>contracts;</w:t>
      </w:r>
      <w:proofErr w:type="gramEnd"/>
    </w:p>
    <w:p w14:paraId="4FD4DB3A" w14:textId="77777777" w:rsidR="000D35E4" w:rsidRPr="00C91AB0" w:rsidRDefault="000D35E4" w:rsidP="000D35E4">
      <w:pPr>
        <w:tabs>
          <w:tab w:val="left" w:pos="2880"/>
        </w:tabs>
        <w:kinsoku w:val="0"/>
        <w:overflowPunct w:val="0"/>
        <w:autoSpaceDE w:val="0"/>
        <w:autoSpaceDN w:val="0"/>
        <w:adjustRightInd w:val="0"/>
        <w:spacing w:before="11" w:after="0" w:line="240" w:lineRule="auto"/>
        <w:ind w:left="2880" w:hanging="720"/>
        <w:rPr>
          <w:rFonts w:ascii="Times New Roman" w:eastAsia="Calibri" w:hAnsi="Times New Roman" w:cs="Times New Roman"/>
        </w:rPr>
      </w:pPr>
    </w:p>
    <w:p w14:paraId="33EB2573" w14:textId="77777777" w:rsidR="000D35E4" w:rsidRPr="00C91AB0" w:rsidRDefault="000D35E4" w:rsidP="000D35E4">
      <w:pPr>
        <w:numPr>
          <w:ilvl w:val="0"/>
          <w:numId w:val="6"/>
        </w:numPr>
        <w:tabs>
          <w:tab w:val="left" w:pos="1546"/>
          <w:tab w:val="left" w:pos="2880"/>
        </w:tabs>
        <w:kinsoku w:val="0"/>
        <w:overflowPunct w:val="0"/>
        <w:autoSpaceDE w:val="0"/>
        <w:autoSpaceDN w:val="0"/>
        <w:adjustRightInd w:val="0"/>
        <w:spacing w:before="47" w:after="0" w:line="240" w:lineRule="auto"/>
        <w:ind w:left="2880" w:right="111" w:hanging="720"/>
        <w:rPr>
          <w:rFonts w:ascii="Times New Roman" w:eastAsia="Calibri" w:hAnsi="Times New Roman" w:cs="Times New Roman"/>
        </w:rPr>
      </w:pPr>
      <w:r w:rsidRPr="00C91AB0">
        <w:rPr>
          <w:rFonts w:ascii="Times New Roman" w:eastAsia="Calibri" w:hAnsi="Times New Roman" w:cs="Times New Roman"/>
        </w:rPr>
        <w:t>Deferred</w:t>
      </w:r>
      <w:r w:rsidRPr="00C91AB0">
        <w:rPr>
          <w:rFonts w:ascii="Times New Roman" w:eastAsia="Calibri" w:hAnsi="Times New Roman" w:cs="Times New Roman"/>
          <w:spacing w:val="2"/>
        </w:rPr>
        <w:t xml:space="preserve"> </w:t>
      </w:r>
      <w:r>
        <w:rPr>
          <w:rFonts w:ascii="Times New Roman" w:eastAsia="Calibri" w:hAnsi="Times New Roman" w:cs="Times New Roman"/>
        </w:rPr>
        <w:t>I</w:t>
      </w:r>
      <w:r w:rsidRPr="00C91AB0">
        <w:rPr>
          <w:rFonts w:ascii="Times New Roman" w:eastAsia="Calibri" w:hAnsi="Times New Roman" w:cs="Times New Roman"/>
        </w:rPr>
        <w:t xml:space="preserve">ncome </w:t>
      </w:r>
      <w:r>
        <w:rPr>
          <w:rFonts w:ascii="Times New Roman" w:eastAsia="Calibri" w:hAnsi="Times New Roman" w:cs="Times New Roman"/>
        </w:rPr>
        <w:t>Annuity</w:t>
      </w:r>
      <w:r w:rsidRPr="00C91AB0">
        <w:rPr>
          <w:rFonts w:ascii="Times New Roman" w:eastAsia="Calibri" w:hAnsi="Times New Roman" w:cs="Times New Roman"/>
          <w:spacing w:val="2"/>
        </w:rPr>
        <w:t xml:space="preserve"> </w:t>
      </w:r>
      <w:proofErr w:type="gramStart"/>
      <w:r w:rsidRPr="00C91AB0">
        <w:rPr>
          <w:rFonts w:ascii="Times New Roman" w:eastAsia="Calibri" w:hAnsi="Times New Roman" w:cs="Times New Roman"/>
        </w:rPr>
        <w:t>contracts;</w:t>
      </w:r>
      <w:proofErr w:type="gramEnd"/>
    </w:p>
    <w:p w14:paraId="5F087D66" w14:textId="77777777" w:rsidR="000D35E4" w:rsidRPr="00C91AB0" w:rsidRDefault="000D35E4" w:rsidP="000D35E4">
      <w:pPr>
        <w:tabs>
          <w:tab w:val="left" w:pos="2880"/>
        </w:tabs>
        <w:kinsoku w:val="0"/>
        <w:overflowPunct w:val="0"/>
        <w:autoSpaceDE w:val="0"/>
        <w:autoSpaceDN w:val="0"/>
        <w:adjustRightInd w:val="0"/>
        <w:spacing w:before="3" w:after="0" w:line="240" w:lineRule="auto"/>
        <w:ind w:left="2880" w:hanging="720"/>
        <w:rPr>
          <w:rFonts w:ascii="Times New Roman" w:eastAsia="Calibri" w:hAnsi="Times New Roman" w:cs="Times New Roman"/>
        </w:rPr>
      </w:pPr>
    </w:p>
    <w:p w14:paraId="63BF9CFA" w14:textId="77777777" w:rsidR="000D35E4" w:rsidRPr="00C91AB0" w:rsidRDefault="000D35E4" w:rsidP="000D35E4">
      <w:pPr>
        <w:numPr>
          <w:ilvl w:val="0"/>
          <w:numId w:val="6"/>
        </w:numPr>
        <w:tabs>
          <w:tab w:val="left" w:pos="1546"/>
          <w:tab w:val="left" w:pos="2880"/>
        </w:tabs>
        <w:kinsoku w:val="0"/>
        <w:overflowPunct w:val="0"/>
        <w:autoSpaceDE w:val="0"/>
        <w:autoSpaceDN w:val="0"/>
        <w:adjustRightInd w:val="0"/>
        <w:spacing w:before="1" w:after="0" w:line="240" w:lineRule="auto"/>
        <w:ind w:left="2880" w:right="111" w:hanging="720"/>
        <w:rPr>
          <w:rFonts w:ascii="Times New Roman" w:eastAsia="Calibri" w:hAnsi="Times New Roman" w:cs="Times New Roman"/>
        </w:rPr>
      </w:pPr>
      <w:r w:rsidRPr="00C91AB0">
        <w:rPr>
          <w:rFonts w:ascii="Times New Roman" w:eastAsia="Calibri" w:hAnsi="Times New Roman" w:cs="Times New Roman"/>
        </w:rPr>
        <w:t>Structured</w:t>
      </w:r>
      <w:r w:rsidRPr="00C91AB0">
        <w:rPr>
          <w:rFonts w:ascii="Times New Roman" w:eastAsia="Calibri" w:hAnsi="Times New Roman" w:cs="Times New Roman"/>
          <w:spacing w:val="2"/>
        </w:rPr>
        <w:t xml:space="preserve"> </w:t>
      </w:r>
      <w:r>
        <w:rPr>
          <w:rFonts w:ascii="Times New Roman" w:eastAsia="Calibri" w:hAnsi="Times New Roman" w:cs="Times New Roman"/>
        </w:rPr>
        <w:t>S</w:t>
      </w:r>
      <w:r w:rsidRPr="00C91AB0">
        <w:rPr>
          <w:rFonts w:ascii="Times New Roman" w:eastAsia="Calibri" w:hAnsi="Times New Roman" w:cs="Times New Roman"/>
        </w:rPr>
        <w:t>ettlement</w:t>
      </w:r>
      <w:r>
        <w:rPr>
          <w:rFonts w:ascii="Times New Roman" w:eastAsia="Calibri" w:hAnsi="Times New Roman" w:cs="Times New Roman"/>
        </w:rPr>
        <w:t xml:space="preserve"> Contracts</w:t>
      </w:r>
      <w:r w:rsidRPr="00C91AB0">
        <w:rPr>
          <w:rFonts w:ascii="Times New Roman" w:eastAsia="Calibri" w:hAnsi="Times New Roman" w:cs="Times New Roman"/>
          <w:spacing w:val="-2"/>
        </w:rPr>
        <w:t xml:space="preserve"> </w:t>
      </w:r>
      <w:r w:rsidRPr="00C91AB0">
        <w:rPr>
          <w:rFonts w:ascii="Times New Roman" w:eastAsia="Calibri" w:hAnsi="Times New Roman" w:cs="Times New Roman"/>
        </w:rPr>
        <w:t>in</w:t>
      </w:r>
      <w:r w:rsidRPr="00C91AB0">
        <w:rPr>
          <w:rFonts w:ascii="Times New Roman" w:eastAsia="Calibri" w:hAnsi="Times New Roman" w:cs="Times New Roman"/>
          <w:spacing w:val="-3"/>
        </w:rPr>
        <w:t xml:space="preserve"> </w:t>
      </w:r>
      <w:r w:rsidRPr="00C91AB0">
        <w:rPr>
          <w:rFonts w:ascii="Times New Roman" w:eastAsia="Calibri" w:hAnsi="Times New Roman" w:cs="Times New Roman"/>
        </w:rPr>
        <w:t>payout</w:t>
      </w:r>
      <w:r w:rsidRPr="00C91AB0">
        <w:rPr>
          <w:rFonts w:ascii="Times New Roman" w:eastAsia="Calibri" w:hAnsi="Times New Roman" w:cs="Times New Roman"/>
          <w:spacing w:val="-2"/>
        </w:rPr>
        <w:t xml:space="preserve"> </w:t>
      </w:r>
      <w:r w:rsidRPr="00C91AB0">
        <w:rPr>
          <w:rFonts w:ascii="Times New Roman" w:eastAsia="Calibri" w:hAnsi="Times New Roman" w:cs="Times New Roman"/>
        </w:rPr>
        <w:t>or deferred</w:t>
      </w:r>
      <w:r w:rsidRPr="00C91AB0">
        <w:rPr>
          <w:rFonts w:ascii="Times New Roman" w:eastAsia="Calibri" w:hAnsi="Times New Roman" w:cs="Times New Roman"/>
          <w:spacing w:val="2"/>
        </w:rPr>
        <w:t xml:space="preserve"> </w:t>
      </w:r>
      <w:proofErr w:type="gramStart"/>
      <w:r w:rsidRPr="00C91AB0">
        <w:rPr>
          <w:rFonts w:ascii="Times New Roman" w:eastAsia="Calibri" w:hAnsi="Times New Roman" w:cs="Times New Roman"/>
        </w:rPr>
        <w:t>status;</w:t>
      </w:r>
      <w:proofErr w:type="gramEnd"/>
    </w:p>
    <w:p w14:paraId="48F60460" w14:textId="77777777" w:rsidR="000D35E4" w:rsidRPr="00C91AB0" w:rsidRDefault="000D35E4" w:rsidP="000D35E4">
      <w:pPr>
        <w:tabs>
          <w:tab w:val="left" w:pos="2880"/>
        </w:tabs>
        <w:kinsoku w:val="0"/>
        <w:overflowPunct w:val="0"/>
        <w:autoSpaceDE w:val="0"/>
        <w:autoSpaceDN w:val="0"/>
        <w:adjustRightInd w:val="0"/>
        <w:spacing w:before="10" w:after="0" w:line="240" w:lineRule="auto"/>
        <w:ind w:left="2880" w:hanging="720"/>
        <w:rPr>
          <w:rFonts w:ascii="Times New Roman" w:eastAsia="Calibri" w:hAnsi="Times New Roman" w:cs="Times New Roman"/>
        </w:rPr>
      </w:pPr>
    </w:p>
    <w:p w14:paraId="2112C3BF" w14:textId="77777777" w:rsidR="000D35E4" w:rsidRPr="00C91AB0" w:rsidRDefault="000D35E4" w:rsidP="000D35E4">
      <w:pPr>
        <w:numPr>
          <w:ilvl w:val="0"/>
          <w:numId w:val="6"/>
        </w:numPr>
        <w:tabs>
          <w:tab w:val="left" w:pos="1546"/>
          <w:tab w:val="left" w:pos="2880"/>
        </w:tabs>
        <w:kinsoku w:val="0"/>
        <w:overflowPunct w:val="0"/>
        <w:autoSpaceDE w:val="0"/>
        <w:autoSpaceDN w:val="0"/>
        <w:adjustRightInd w:val="0"/>
        <w:spacing w:before="47" w:after="0" w:line="240" w:lineRule="auto"/>
        <w:ind w:left="2880" w:right="114" w:hanging="720"/>
        <w:rPr>
          <w:rFonts w:ascii="Times New Roman" w:eastAsia="Calibri" w:hAnsi="Times New Roman" w:cs="Times New Roman"/>
        </w:rPr>
      </w:pPr>
      <w:r w:rsidRPr="00C91AB0">
        <w:rPr>
          <w:rFonts w:ascii="Times New Roman" w:eastAsia="Calibri" w:hAnsi="Times New Roman" w:cs="Times New Roman"/>
        </w:rPr>
        <w:t>Fixed</w:t>
      </w:r>
      <w:r w:rsidRPr="00C91AB0">
        <w:rPr>
          <w:rFonts w:ascii="Times New Roman" w:eastAsia="Calibri" w:hAnsi="Times New Roman" w:cs="Times New Roman"/>
          <w:spacing w:val="-8"/>
        </w:rPr>
        <w:t xml:space="preserve"> </w:t>
      </w:r>
      <w:r w:rsidRPr="00C91AB0">
        <w:rPr>
          <w:rFonts w:ascii="Times New Roman" w:eastAsia="Calibri" w:hAnsi="Times New Roman" w:cs="Times New Roman"/>
        </w:rPr>
        <w:t>income payment streams</w:t>
      </w:r>
      <w:r w:rsidRPr="00C91AB0">
        <w:rPr>
          <w:rFonts w:ascii="Times New Roman" w:eastAsia="Calibri" w:hAnsi="Times New Roman" w:cs="Times New Roman"/>
          <w:spacing w:val="-12"/>
        </w:rPr>
        <w:t xml:space="preserve"> </w:t>
      </w:r>
      <w:r w:rsidRPr="00C91AB0">
        <w:rPr>
          <w:rFonts w:ascii="Times New Roman" w:eastAsia="Calibri" w:hAnsi="Times New Roman" w:cs="Times New Roman"/>
        </w:rPr>
        <w:t>resulting</w:t>
      </w:r>
      <w:r w:rsidRPr="00C91AB0">
        <w:rPr>
          <w:rFonts w:ascii="Times New Roman" w:eastAsia="Calibri" w:hAnsi="Times New Roman" w:cs="Times New Roman"/>
          <w:spacing w:val="-12"/>
        </w:rPr>
        <w:t xml:space="preserve"> </w:t>
      </w:r>
      <w:r w:rsidRPr="00C91AB0">
        <w:rPr>
          <w:rFonts w:ascii="Times New Roman" w:eastAsia="Calibri" w:hAnsi="Times New Roman" w:cs="Times New Roman"/>
        </w:rPr>
        <w:t>from</w:t>
      </w:r>
      <w:r w:rsidRPr="00C91AB0">
        <w:rPr>
          <w:rFonts w:ascii="Times New Roman" w:eastAsia="Calibri" w:hAnsi="Times New Roman" w:cs="Times New Roman"/>
          <w:spacing w:val="-9"/>
        </w:rPr>
        <w:t xml:space="preserve"> </w:t>
      </w:r>
      <w:r w:rsidRPr="00C91AB0">
        <w:rPr>
          <w:rFonts w:ascii="Times New Roman" w:eastAsia="Calibri" w:hAnsi="Times New Roman" w:cs="Times New Roman"/>
        </w:rPr>
        <w:t>the</w:t>
      </w:r>
      <w:r w:rsidRPr="00C91AB0">
        <w:rPr>
          <w:rFonts w:ascii="Times New Roman" w:eastAsia="Calibri" w:hAnsi="Times New Roman" w:cs="Times New Roman"/>
          <w:spacing w:val="-11"/>
        </w:rPr>
        <w:t xml:space="preserve"> </w:t>
      </w:r>
      <w:r w:rsidRPr="00C91AB0">
        <w:rPr>
          <w:rFonts w:ascii="Times New Roman" w:eastAsia="Calibri" w:hAnsi="Times New Roman" w:cs="Times New Roman"/>
        </w:rPr>
        <w:t>exercise</w:t>
      </w:r>
      <w:r w:rsidRPr="00C91AB0">
        <w:rPr>
          <w:rFonts w:ascii="Times New Roman" w:eastAsia="Calibri" w:hAnsi="Times New Roman" w:cs="Times New Roman"/>
          <w:spacing w:val="-9"/>
        </w:rPr>
        <w:t xml:space="preserve"> </w:t>
      </w:r>
      <w:r w:rsidRPr="00C91AB0">
        <w:rPr>
          <w:rFonts w:ascii="Times New Roman" w:eastAsia="Calibri" w:hAnsi="Times New Roman" w:cs="Times New Roman"/>
        </w:rPr>
        <w:t>of</w:t>
      </w:r>
      <w:r w:rsidRPr="00C91AB0">
        <w:rPr>
          <w:rFonts w:ascii="Times New Roman" w:eastAsia="Calibri" w:hAnsi="Times New Roman" w:cs="Times New Roman"/>
          <w:spacing w:val="-13"/>
        </w:rPr>
        <w:t xml:space="preserve"> </w:t>
      </w:r>
      <w:r w:rsidRPr="00C91AB0">
        <w:rPr>
          <w:rFonts w:ascii="Times New Roman" w:eastAsia="Calibri" w:hAnsi="Times New Roman" w:cs="Times New Roman"/>
        </w:rPr>
        <w:t>settlement</w:t>
      </w:r>
      <w:r w:rsidRPr="00C91AB0">
        <w:rPr>
          <w:rFonts w:ascii="Times New Roman" w:eastAsia="Calibri" w:hAnsi="Times New Roman" w:cs="Times New Roman"/>
          <w:spacing w:val="-11"/>
        </w:rPr>
        <w:t xml:space="preserve"> </w:t>
      </w:r>
      <w:r w:rsidRPr="00C91AB0">
        <w:rPr>
          <w:rFonts w:ascii="Times New Roman" w:eastAsia="Calibri" w:hAnsi="Times New Roman" w:cs="Times New Roman"/>
        </w:rPr>
        <w:t>options</w:t>
      </w:r>
      <w:r w:rsidRPr="00C91AB0">
        <w:rPr>
          <w:rFonts w:ascii="Times New Roman" w:eastAsia="Calibri" w:hAnsi="Times New Roman" w:cs="Times New Roman"/>
          <w:spacing w:val="-7"/>
        </w:rPr>
        <w:t xml:space="preserve"> </w:t>
      </w:r>
      <w:r w:rsidRPr="00C91AB0">
        <w:rPr>
          <w:rFonts w:ascii="Times New Roman" w:eastAsia="Calibri" w:hAnsi="Times New Roman" w:cs="Times New Roman"/>
        </w:rPr>
        <w:t>or</w:t>
      </w:r>
      <w:r w:rsidRPr="00C91AB0">
        <w:rPr>
          <w:rFonts w:ascii="Times New Roman" w:eastAsia="Calibri" w:hAnsi="Times New Roman" w:cs="Times New Roman"/>
          <w:spacing w:val="-14"/>
        </w:rPr>
        <w:t xml:space="preserve"> </w:t>
      </w:r>
      <w:r w:rsidRPr="00C91AB0">
        <w:rPr>
          <w:rFonts w:ascii="Times New Roman" w:eastAsia="Calibri" w:hAnsi="Times New Roman" w:cs="Times New Roman"/>
        </w:rPr>
        <w:t>annuitizations</w:t>
      </w:r>
      <w:r w:rsidRPr="00C91AB0">
        <w:rPr>
          <w:rFonts w:ascii="Times New Roman" w:eastAsia="Calibri" w:hAnsi="Times New Roman" w:cs="Times New Roman"/>
          <w:spacing w:val="-9"/>
        </w:rPr>
        <w:t xml:space="preserve"> </w:t>
      </w:r>
      <w:r w:rsidRPr="00C91AB0">
        <w:rPr>
          <w:rFonts w:ascii="Times New Roman" w:eastAsia="Calibri" w:hAnsi="Times New Roman" w:cs="Times New Roman"/>
        </w:rPr>
        <w:t>of</w:t>
      </w:r>
      <w:r w:rsidRPr="00C91AB0">
        <w:rPr>
          <w:rFonts w:ascii="Times New Roman" w:eastAsia="Calibri" w:hAnsi="Times New Roman" w:cs="Times New Roman"/>
          <w:spacing w:val="-14"/>
        </w:rPr>
        <w:t xml:space="preserve"> </w:t>
      </w:r>
      <w:r w:rsidRPr="00C91AB0">
        <w:rPr>
          <w:rFonts w:ascii="Times New Roman" w:eastAsia="Calibri" w:hAnsi="Times New Roman" w:cs="Times New Roman"/>
        </w:rPr>
        <w:t>host</w:t>
      </w:r>
      <w:r w:rsidRPr="00C91AB0">
        <w:rPr>
          <w:rFonts w:ascii="Times New Roman" w:eastAsia="Calibri" w:hAnsi="Times New Roman" w:cs="Times New Roman"/>
          <w:spacing w:val="1"/>
        </w:rPr>
        <w:t xml:space="preserve"> </w:t>
      </w:r>
      <w:r w:rsidRPr="00C91AB0">
        <w:rPr>
          <w:rFonts w:ascii="Times New Roman" w:eastAsia="Calibri" w:hAnsi="Times New Roman" w:cs="Times New Roman"/>
        </w:rPr>
        <w:t>contracts</w:t>
      </w:r>
      <w:r w:rsidRPr="00C91AB0">
        <w:rPr>
          <w:rFonts w:ascii="Times New Roman" w:eastAsia="Calibri" w:hAnsi="Times New Roman" w:cs="Times New Roman"/>
          <w:spacing w:val="2"/>
        </w:rPr>
        <w:t xml:space="preserve"> </w:t>
      </w:r>
      <w:proofErr w:type="gramStart"/>
      <w:r w:rsidRPr="00C91AB0">
        <w:rPr>
          <w:rFonts w:ascii="Times New Roman" w:eastAsia="Calibri" w:hAnsi="Times New Roman" w:cs="Times New Roman"/>
        </w:rPr>
        <w:t>issued;</w:t>
      </w:r>
      <w:proofErr w:type="gramEnd"/>
    </w:p>
    <w:p w14:paraId="67EC4D4D" w14:textId="77777777" w:rsidR="000D35E4" w:rsidRPr="00C91AB0" w:rsidRDefault="000D35E4" w:rsidP="000D35E4">
      <w:pPr>
        <w:tabs>
          <w:tab w:val="left" w:pos="2880"/>
        </w:tabs>
        <w:kinsoku w:val="0"/>
        <w:overflowPunct w:val="0"/>
        <w:autoSpaceDE w:val="0"/>
        <w:autoSpaceDN w:val="0"/>
        <w:adjustRightInd w:val="0"/>
        <w:spacing w:before="1" w:after="0" w:line="240" w:lineRule="auto"/>
        <w:ind w:left="2880" w:hanging="720"/>
        <w:rPr>
          <w:rFonts w:ascii="Times New Roman" w:eastAsia="Calibri" w:hAnsi="Times New Roman" w:cs="Times New Roman"/>
        </w:rPr>
      </w:pPr>
    </w:p>
    <w:p w14:paraId="6F5E77C9" w14:textId="77777777" w:rsidR="000D35E4" w:rsidRPr="00C91AB0" w:rsidRDefault="000D35E4" w:rsidP="000D35E4">
      <w:pPr>
        <w:tabs>
          <w:tab w:val="left" w:pos="2880"/>
        </w:tabs>
        <w:kinsoku w:val="0"/>
        <w:overflowPunct w:val="0"/>
        <w:autoSpaceDE w:val="0"/>
        <w:autoSpaceDN w:val="0"/>
        <w:adjustRightInd w:val="0"/>
        <w:spacing w:before="1" w:after="0" w:line="240" w:lineRule="auto"/>
        <w:ind w:left="2880" w:hanging="720"/>
        <w:rPr>
          <w:rFonts w:ascii="Times New Roman" w:eastAsia="Calibri" w:hAnsi="Times New Roman" w:cs="Times New Roman"/>
        </w:rPr>
      </w:pPr>
    </w:p>
    <w:p w14:paraId="16263AAE" w14:textId="77777777" w:rsidR="000D35E4" w:rsidRPr="00C91AB0" w:rsidRDefault="000D35E4" w:rsidP="000D35E4">
      <w:pPr>
        <w:numPr>
          <w:ilvl w:val="0"/>
          <w:numId w:val="6"/>
        </w:numPr>
        <w:tabs>
          <w:tab w:val="left" w:pos="1546"/>
          <w:tab w:val="left" w:pos="2880"/>
        </w:tabs>
        <w:kinsoku w:val="0"/>
        <w:overflowPunct w:val="0"/>
        <w:autoSpaceDE w:val="0"/>
        <w:autoSpaceDN w:val="0"/>
        <w:adjustRightInd w:val="0"/>
        <w:spacing w:before="1" w:after="0" w:line="240" w:lineRule="auto"/>
        <w:ind w:left="2880" w:right="122" w:hanging="720"/>
        <w:rPr>
          <w:rFonts w:ascii="Times New Roman" w:eastAsia="Calibri" w:hAnsi="Times New Roman" w:cs="Times New Roman"/>
        </w:rPr>
      </w:pPr>
      <w:r w:rsidRPr="00C91AB0">
        <w:rPr>
          <w:rFonts w:ascii="Times New Roman" w:eastAsia="Calibri" w:hAnsi="Times New Roman" w:cs="Times New Roman"/>
        </w:rPr>
        <w:t>Supplementary</w:t>
      </w:r>
      <w:r w:rsidRPr="00C91AB0">
        <w:rPr>
          <w:rFonts w:ascii="Times New Roman" w:eastAsia="Calibri" w:hAnsi="Times New Roman" w:cs="Times New Roman"/>
          <w:spacing w:val="26"/>
        </w:rPr>
        <w:t xml:space="preserve"> </w:t>
      </w:r>
      <w:r w:rsidRPr="00C91AB0">
        <w:rPr>
          <w:rFonts w:ascii="Times New Roman" w:eastAsia="Calibri" w:hAnsi="Times New Roman" w:cs="Times New Roman"/>
        </w:rPr>
        <w:t>contracts,</w:t>
      </w:r>
      <w:r w:rsidRPr="00C91AB0">
        <w:rPr>
          <w:rFonts w:ascii="Times New Roman" w:eastAsia="Calibri" w:hAnsi="Times New Roman" w:cs="Times New Roman"/>
          <w:spacing w:val="29"/>
        </w:rPr>
        <w:t xml:space="preserve"> </w:t>
      </w:r>
      <w:r w:rsidRPr="00C91AB0">
        <w:rPr>
          <w:rFonts w:ascii="Times New Roman" w:eastAsia="Calibri" w:hAnsi="Times New Roman" w:cs="Times New Roman"/>
        </w:rPr>
        <w:t>excluding</w:t>
      </w:r>
      <w:r w:rsidRPr="00C91AB0">
        <w:rPr>
          <w:rFonts w:ascii="Times New Roman" w:eastAsia="Calibri" w:hAnsi="Times New Roman" w:cs="Times New Roman"/>
          <w:spacing w:val="20"/>
        </w:rPr>
        <w:t xml:space="preserve"> </w:t>
      </w:r>
      <w:r w:rsidRPr="00C91AB0">
        <w:rPr>
          <w:rFonts w:ascii="Times New Roman" w:eastAsia="Calibri" w:hAnsi="Times New Roman" w:cs="Times New Roman"/>
        </w:rPr>
        <w:t>contracts</w:t>
      </w:r>
      <w:r w:rsidRPr="00C91AB0">
        <w:rPr>
          <w:rFonts w:ascii="Times New Roman" w:eastAsia="Calibri" w:hAnsi="Times New Roman" w:cs="Times New Roman"/>
          <w:spacing w:val="26"/>
        </w:rPr>
        <w:t xml:space="preserve"> </w:t>
      </w:r>
      <w:r w:rsidRPr="00C91AB0">
        <w:rPr>
          <w:rFonts w:ascii="Times New Roman" w:eastAsia="Calibri" w:hAnsi="Times New Roman" w:cs="Times New Roman"/>
        </w:rPr>
        <w:t>with</w:t>
      </w:r>
      <w:r w:rsidRPr="00C91AB0">
        <w:rPr>
          <w:rFonts w:ascii="Times New Roman" w:eastAsia="Calibri" w:hAnsi="Times New Roman" w:cs="Times New Roman"/>
          <w:spacing w:val="26"/>
        </w:rPr>
        <w:t xml:space="preserve"> </w:t>
      </w:r>
      <w:r w:rsidRPr="00C91AB0">
        <w:rPr>
          <w:rFonts w:ascii="Times New Roman" w:eastAsia="Calibri" w:hAnsi="Times New Roman" w:cs="Times New Roman"/>
        </w:rPr>
        <w:t>no</w:t>
      </w:r>
      <w:r w:rsidRPr="00C91AB0">
        <w:rPr>
          <w:rFonts w:ascii="Times New Roman" w:eastAsia="Calibri" w:hAnsi="Times New Roman" w:cs="Times New Roman"/>
          <w:spacing w:val="21"/>
        </w:rPr>
        <w:t xml:space="preserve"> </w:t>
      </w:r>
      <w:r w:rsidRPr="00C91AB0">
        <w:rPr>
          <w:rFonts w:ascii="Times New Roman" w:eastAsia="Calibri" w:hAnsi="Times New Roman" w:cs="Times New Roman"/>
        </w:rPr>
        <w:t>scheduled</w:t>
      </w:r>
      <w:r w:rsidRPr="00C91AB0">
        <w:rPr>
          <w:rFonts w:ascii="Times New Roman" w:eastAsia="Calibri" w:hAnsi="Times New Roman" w:cs="Times New Roman"/>
          <w:spacing w:val="26"/>
        </w:rPr>
        <w:t xml:space="preserve"> </w:t>
      </w:r>
      <w:r w:rsidRPr="00C91AB0">
        <w:rPr>
          <w:rFonts w:ascii="Times New Roman" w:eastAsia="Calibri" w:hAnsi="Times New Roman" w:cs="Times New Roman"/>
        </w:rPr>
        <w:t>payments</w:t>
      </w:r>
      <w:r w:rsidRPr="00C91AB0">
        <w:rPr>
          <w:rFonts w:ascii="Times New Roman" w:eastAsia="Calibri" w:hAnsi="Times New Roman" w:cs="Times New Roman"/>
          <w:spacing w:val="26"/>
        </w:rPr>
        <w:t xml:space="preserve"> </w:t>
      </w:r>
      <w:r w:rsidRPr="00C91AB0">
        <w:rPr>
          <w:rFonts w:ascii="Times New Roman" w:eastAsia="Calibri" w:hAnsi="Times New Roman" w:cs="Times New Roman"/>
        </w:rPr>
        <w:t>(such</w:t>
      </w:r>
      <w:r w:rsidRPr="00C91AB0">
        <w:rPr>
          <w:rFonts w:ascii="Times New Roman" w:eastAsia="Calibri" w:hAnsi="Times New Roman" w:cs="Times New Roman"/>
          <w:spacing w:val="26"/>
        </w:rPr>
        <w:t xml:space="preserve"> </w:t>
      </w:r>
      <w:r w:rsidRPr="00C91AB0">
        <w:rPr>
          <w:rFonts w:ascii="Times New Roman" w:eastAsia="Calibri" w:hAnsi="Times New Roman" w:cs="Times New Roman"/>
        </w:rPr>
        <w:t>as</w:t>
      </w:r>
      <w:r w:rsidRPr="00C91AB0">
        <w:rPr>
          <w:rFonts w:ascii="Times New Roman" w:eastAsia="Calibri" w:hAnsi="Times New Roman" w:cs="Times New Roman"/>
          <w:spacing w:val="26"/>
        </w:rPr>
        <w:t xml:space="preserve"> </w:t>
      </w:r>
      <w:r w:rsidRPr="00C91AB0">
        <w:rPr>
          <w:rFonts w:ascii="Times New Roman" w:eastAsia="Calibri" w:hAnsi="Times New Roman" w:cs="Times New Roman"/>
        </w:rPr>
        <w:t>retained</w:t>
      </w:r>
      <w:r w:rsidRPr="00C91AB0">
        <w:rPr>
          <w:rFonts w:ascii="Times New Roman" w:eastAsia="Calibri" w:hAnsi="Times New Roman" w:cs="Times New Roman"/>
          <w:spacing w:val="1"/>
        </w:rPr>
        <w:t xml:space="preserve"> </w:t>
      </w:r>
      <w:r w:rsidRPr="00C91AB0">
        <w:rPr>
          <w:rFonts w:ascii="Times New Roman" w:eastAsia="Calibri" w:hAnsi="Times New Roman" w:cs="Times New Roman"/>
        </w:rPr>
        <w:t>asset</w:t>
      </w:r>
      <w:r w:rsidRPr="00C91AB0">
        <w:rPr>
          <w:rFonts w:ascii="Times New Roman" w:eastAsia="Calibri" w:hAnsi="Times New Roman" w:cs="Times New Roman"/>
          <w:spacing w:val="3"/>
        </w:rPr>
        <w:t xml:space="preserve"> </w:t>
      </w:r>
      <w:r w:rsidRPr="00C91AB0">
        <w:rPr>
          <w:rFonts w:ascii="Times New Roman" w:eastAsia="Calibri" w:hAnsi="Times New Roman" w:cs="Times New Roman"/>
        </w:rPr>
        <w:t>accounts</w:t>
      </w:r>
      <w:r w:rsidRPr="00C91AB0">
        <w:rPr>
          <w:rFonts w:ascii="Times New Roman" w:eastAsia="Calibri" w:hAnsi="Times New Roman" w:cs="Times New Roman"/>
          <w:spacing w:val="2"/>
        </w:rPr>
        <w:t xml:space="preserve"> </w:t>
      </w:r>
      <w:r w:rsidRPr="00C91AB0">
        <w:rPr>
          <w:rFonts w:ascii="Times New Roman" w:eastAsia="Calibri" w:hAnsi="Times New Roman" w:cs="Times New Roman"/>
        </w:rPr>
        <w:t>and</w:t>
      </w:r>
      <w:r w:rsidRPr="00C91AB0">
        <w:rPr>
          <w:rFonts w:ascii="Times New Roman" w:eastAsia="Calibri" w:hAnsi="Times New Roman" w:cs="Times New Roman"/>
          <w:spacing w:val="2"/>
        </w:rPr>
        <w:t xml:space="preserve"> </w:t>
      </w:r>
      <w:r w:rsidRPr="00C91AB0">
        <w:rPr>
          <w:rFonts w:ascii="Times New Roman" w:eastAsia="Calibri" w:hAnsi="Times New Roman" w:cs="Times New Roman"/>
        </w:rPr>
        <w:t>settlements</w:t>
      </w:r>
      <w:r w:rsidRPr="00C91AB0">
        <w:rPr>
          <w:rFonts w:ascii="Times New Roman" w:eastAsia="Calibri" w:hAnsi="Times New Roman" w:cs="Times New Roman"/>
          <w:spacing w:val="2"/>
        </w:rPr>
        <w:t xml:space="preserve"> </w:t>
      </w:r>
      <w:r w:rsidRPr="00C91AB0">
        <w:rPr>
          <w:rFonts w:ascii="Times New Roman" w:eastAsia="Calibri" w:hAnsi="Times New Roman" w:cs="Times New Roman"/>
        </w:rPr>
        <w:t>at</w:t>
      </w:r>
      <w:r w:rsidRPr="00C91AB0">
        <w:rPr>
          <w:rFonts w:ascii="Times New Roman" w:eastAsia="Calibri" w:hAnsi="Times New Roman" w:cs="Times New Roman"/>
          <w:spacing w:val="-2"/>
        </w:rPr>
        <w:t xml:space="preserve"> </w:t>
      </w:r>
      <w:r w:rsidRPr="00C91AB0">
        <w:rPr>
          <w:rFonts w:ascii="Times New Roman" w:eastAsia="Calibri" w:hAnsi="Times New Roman" w:cs="Times New Roman"/>
        </w:rPr>
        <w:t>interest</w:t>
      </w:r>
      <w:proofErr w:type="gramStart"/>
      <w:r w:rsidRPr="00C91AB0">
        <w:rPr>
          <w:rFonts w:ascii="Times New Roman" w:eastAsia="Calibri" w:hAnsi="Times New Roman" w:cs="Times New Roman"/>
        </w:rPr>
        <w:t>);</w:t>
      </w:r>
      <w:proofErr w:type="gramEnd"/>
    </w:p>
    <w:p w14:paraId="53A5E4F9" w14:textId="77777777" w:rsidR="000D35E4" w:rsidRPr="00C91AB0" w:rsidRDefault="000D35E4" w:rsidP="000D35E4">
      <w:pPr>
        <w:tabs>
          <w:tab w:val="left" w:pos="2880"/>
        </w:tabs>
        <w:kinsoku w:val="0"/>
        <w:overflowPunct w:val="0"/>
        <w:autoSpaceDE w:val="0"/>
        <w:autoSpaceDN w:val="0"/>
        <w:adjustRightInd w:val="0"/>
        <w:spacing w:before="5" w:after="0" w:line="240" w:lineRule="auto"/>
        <w:ind w:left="2880" w:hanging="720"/>
        <w:rPr>
          <w:rFonts w:ascii="Times New Roman" w:eastAsia="Calibri" w:hAnsi="Times New Roman" w:cs="Times New Roman"/>
        </w:rPr>
      </w:pPr>
    </w:p>
    <w:p w14:paraId="1E4E1467" w14:textId="77777777" w:rsidR="000D35E4" w:rsidRPr="00C91AB0" w:rsidRDefault="000D35E4" w:rsidP="000D35E4">
      <w:pPr>
        <w:tabs>
          <w:tab w:val="left" w:pos="2880"/>
        </w:tabs>
        <w:kinsoku w:val="0"/>
        <w:overflowPunct w:val="0"/>
        <w:autoSpaceDE w:val="0"/>
        <w:autoSpaceDN w:val="0"/>
        <w:adjustRightInd w:val="0"/>
        <w:spacing w:before="2" w:after="0" w:line="240" w:lineRule="auto"/>
        <w:ind w:left="2880" w:hanging="720"/>
        <w:rPr>
          <w:rFonts w:ascii="Times New Roman" w:eastAsia="Calibri" w:hAnsi="Times New Roman" w:cs="Times New Roman"/>
        </w:rPr>
      </w:pPr>
    </w:p>
    <w:p w14:paraId="34717522" w14:textId="77777777" w:rsidR="000D35E4" w:rsidRPr="00C91AB0" w:rsidRDefault="000D35E4" w:rsidP="000D35E4">
      <w:pPr>
        <w:numPr>
          <w:ilvl w:val="0"/>
          <w:numId w:val="6"/>
        </w:numPr>
        <w:tabs>
          <w:tab w:val="left" w:pos="1546"/>
          <w:tab w:val="left" w:pos="2880"/>
        </w:tabs>
        <w:kinsoku w:val="0"/>
        <w:overflowPunct w:val="0"/>
        <w:autoSpaceDE w:val="0"/>
        <w:autoSpaceDN w:val="0"/>
        <w:adjustRightInd w:val="0"/>
        <w:spacing w:before="47" w:after="0" w:line="240" w:lineRule="auto"/>
        <w:ind w:left="2880" w:right="115" w:hanging="720"/>
        <w:rPr>
          <w:rFonts w:ascii="Times New Roman" w:eastAsia="Calibri" w:hAnsi="Times New Roman" w:cs="Times New Roman"/>
        </w:rPr>
      </w:pPr>
      <w:r w:rsidRPr="00C91AB0">
        <w:rPr>
          <w:rFonts w:ascii="Times New Roman" w:eastAsia="Calibri" w:hAnsi="Times New Roman" w:cs="Times New Roman"/>
        </w:rPr>
        <w:t>Certificates,</w:t>
      </w:r>
      <w:r w:rsidRPr="00C91AB0">
        <w:rPr>
          <w:rFonts w:ascii="Times New Roman" w:eastAsia="Calibri" w:hAnsi="Times New Roman" w:cs="Times New Roman"/>
          <w:spacing w:val="53"/>
        </w:rPr>
        <w:t xml:space="preserve"> </w:t>
      </w:r>
      <w:r w:rsidRPr="00C91AB0">
        <w:rPr>
          <w:rFonts w:ascii="Times New Roman" w:eastAsia="Calibri" w:hAnsi="Times New Roman" w:cs="Times New Roman"/>
        </w:rPr>
        <w:t>emanating</w:t>
      </w:r>
      <w:r w:rsidRPr="00C91AB0">
        <w:rPr>
          <w:rFonts w:ascii="Times New Roman" w:eastAsia="Calibri" w:hAnsi="Times New Roman" w:cs="Times New Roman"/>
          <w:spacing w:val="50"/>
        </w:rPr>
        <w:t xml:space="preserve"> </w:t>
      </w:r>
      <w:r w:rsidRPr="00C91AB0">
        <w:rPr>
          <w:rFonts w:ascii="Times New Roman" w:eastAsia="Calibri" w:hAnsi="Times New Roman" w:cs="Times New Roman"/>
        </w:rPr>
        <w:t>from</w:t>
      </w:r>
      <w:r w:rsidRPr="00C91AB0">
        <w:rPr>
          <w:rFonts w:ascii="Times New Roman" w:eastAsia="Calibri" w:hAnsi="Times New Roman" w:cs="Times New Roman"/>
          <w:spacing w:val="46"/>
        </w:rPr>
        <w:t xml:space="preserve"> </w:t>
      </w:r>
      <w:r w:rsidRPr="00C91AB0">
        <w:rPr>
          <w:rFonts w:ascii="Times New Roman" w:eastAsia="Calibri" w:hAnsi="Times New Roman" w:cs="Times New Roman"/>
        </w:rPr>
        <w:t>non-</w:t>
      </w:r>
      <w:r w:rsidRPr="00C91AB0">
        <w:rPr>
          <w:rFonts w:ascii="Times New Roman" w:eastAsia="Calibri" w:hAnsi="Times New Roman" w:cs="Times New Roman"/>
          <w:spacing w:val="1"/>
        </w:rPr>
        <w:t xml:space="preserve"> </w:t>
      </w:r>
      <w:r w:rsidRPr="00C91AB0">
        <w:rPr>
          <w:rFonts w:ascii="Times New Roman" w:eastAsia="Calibri" w:hAnsi="Times New Roman" w:cs="Times New Roman"/>
        </w:rPr>
        <w:t>variable</w:t>
      </w:r>
      <w:r w:rsidRPr="00C91AB0">
        <w:rPr>
          <w:rFonts w:ascii="Times New Roman" w:eastAsia="Calibri" w:hAnsi="Times New Roman" w:cs="Times New Roman"/>
          <w:spacing w:val="29"/>
        </w:rPr>
        <w:t xml:space="preserve"> </w:t>
      </w:r>
      <w:r w:rsidRPr="00C91AB0">
        <w:rPr>
          <w:rFonts w:ascii="Times New Roman" w:eastAsia="Calibri" w:hAnsi="Times New Roman" w:cs="Times New Roman"/>
        </w:rPr>
        <w:t>group</w:t>
      </w:r>
      <w:r w:rsidRPr="00C91AB0">
        <w:rPr>
          <w:rFonts w:ascii="Times New Roman" w:eastAsia="Calibri" w:hAnsi="Times New Roman" w:cs="Times New Roman"/>
          <w:spacing w:val="31"/>
        </w:rPr>
        <w:t xml:space="preserve"> </w:t>
      </w:r>
      <w:r w:rsidRPr="00C91AB0">
        <w:rPr>
          <w:rFonts w:ascii="Times New Roman" w:eastAsia="Calibri" w:hAnsi="Times New Roman" w:cs="Times New Roman"/>
        </w:rPr>
        <w:t>annuity</w:t>
      </w:r>
      <w:r w:rsidRPr="00C91AB0">
        <w:rPr>
          <w:rFonts w:ascii="Times New Roman" w:eastAsia="Calibri" w:hAnsi="Times New Roman" w:cs="Times New Roman"/>
          <w:spacing w:val="31"/>
        </w:rPr>
        <w:t xml:space="preserve"> </w:t>
      </w:r>
      <w:r w:rsidRPr="00C91AB0">
        <w:rPr>
          <w:rFonts w:ascii="Times New Roman" w:eastAsia="Calibri" w:hAnsi="Times New Roman" w:cs="Times New Roman"/>
        </w:rPr>
        <w:t>contracts</w:t>
      </w:r>
      <w:r w:rsidRPr="00C91AB0">
        <w:rPr>
          <w:rFonts w:ascii="Times New Roman" w:eastAsia="Calibri" w:hAnsi="Times New Roman" w:cs="Times New Roman"/>
          <w:spacing w:val="31"/>
        </w:rPr>
        <w:t xml:space="preserve"> </w:t>
      </w:r>
      <w:r w:rsidRPr="00C91AB0">
        <w:rPr>
          <w:rFonts w:ascii="Times New Roman" w:eastAsia="Calibri" w:hAnsi="Times New Roman" w:cs="Times New Roman"/>
        </w:rPr>
        <w:t>specified</w:t>
      </w:r>
      <w:r w:rsidRPr="00C91AB0">
        <w:rPr>
          <w:rFonts w:ascii="Times New Roman" w:eastAsia="Calibri" w:hAnsi="Times New Roman" w:cs="Times New Roman"/>
          <w:spacing w:val="31"/>
        </w:rPr>
        <w:t xml:space="preserve"> </w:t>
      </w:r>
      <w:r w:rsidRPr="00C91AB0">
        <w:rPr>
          <w:rFonts w:ascii="Times New Roman" w:eastAsia="Calibri" w:hAnsi="Times New Roman" w:cs="Times New Roman"/>
        </w:rPr>
        <w:t>in</w:t>
      </w:r>
      <w:r w:rsidRPr="00C91AB0">
        <w:rPr>
          <w:rFonts w:ascii="Times New Roman" w:eastAsia="Calibri" w:hAnsi="Times New Roman" w:cs="Times New Roman"/>
          <w:spacing w:val="31"/>
        </w:rPr>
        <w:t xml:space="preserve"> </w:t>
      </w:r>
      <w:r w:rsidRPr="00C91AB0">
        <w:rPr>
          <w:rFonts w:ascii="Times New Roman" w:eastAsia="Calibri" w:hAnsi="Times New Roman" w:cs="Times New Roman"/>
        </w:rPr>
        <w:t>Model</w:t>
      </w:r>
      <w:r w:rsidRPr="00C91AB0">
        <w:rPr>
          <w:rFonts w:ascii="Times New Roman" w:eastAsia="Calibri" w:hAnsi="Times New Roman" w:cs="Times New Roman"/>
          <w:spacing w:val="32"/>
        </w:rPr>
        <w:t xml:space="preserve"> </w:t>
      </w:r>
      <w:r w:rsidRPr="00C91AB0">
        <w:rPr>
          <w:rFonts w:ascii="Times New Roman" w:eastAsia="Calibri" w:hAnsi="Times New Roman" w:cs="Times New Roman"/>
        </w:rPr>
        <w:t>#820,</w:t>
      </w:r>
      <w:r w:rsidRPr="00C91AB0">
        <w:rPr>
          <w:rFonts w:ascii="Times New Roman" w:eastAsia="Calibri" w:hAnsi="Times New Roman" w:cs="Times New Roman"/>
          <w:spacing w:val="33"/>
        </w:rPr>
        <w:t xml:space="preserve"> </w:t>
      </w:r>
      <w:r w:rsidRPr="00C91AB0">
        <w:rPr>
          <w:rFonts w:ascii="Times New Roman" w:eastAsia="Calibri" w:hAnsi="Times New Roman" w:cs="Times New Roman"/>
        </w:rPr>
        <w:t>Section</w:t>
      </w:r>
      <w:r w:rsidRPr="00C91AB0">
        <w:rPr>
          <w:rFonts w:ascii="Times New Roman" w:eastAsia="Calibri" w:hAnsi="Times New Roman" w:cs="Times New Roman"/>
          <w:spacing w:val="31"/>
        </w:rPr>
        <w:t xml:space="preserve"> </w:t>
      </w:r>
      <w:r w:rsidRPr="00C91AB0">
        <w:rPr>
          <w:rFonts w:ascii="Times New Roman" w:eastAsia="Calibri" w:hAnsi="Times New Roman" w:cs="Times New Roman"/>
        </w:rPr>
        <w:t>5.C.2,</w:t>
      </w:r>
      <w:r w:rsidRPr="00C91AB0">
        <w:rPr>
          <w:rFonts w:ascii="Times New Roman" w:eastAsia="Calibri" w:hAnsi="Times New Roman" w:cs="Times New Roman"/>
          <w:spacing w:val="33"/>
        </w:rPr>
        <w:t xml:space="preserve"> </w:t>
      </w:r>
      <w:r w:rsidRPr="00C91AB0">
        <w:rPr>
          <w:rFonts w:ascii="Times New Roman" w:eastAsia="Calibri" w:hAnsi="Times New Roman" w:cs="Times New Roman"/>
        </w:rPr>
        <w:t>purchased</w:t>
      </w:r>
      <w:r w:rsidRPr="00C91AB0">
        <w:rPr>
          <w:rFonts w:ascii="Times New Roman" w:eastAsia="Calibri" w:hAnsi="Times New Roman" w:cs="Times New Roman"/>
          <w:spacing w:val="31"/>
        </w:rPr>
        <w:t xml:space="preserve"> </w:t>
      </w:r>
      <w:r w:rsidRPr="00C91AB0">
        <w:rPr>
          <w:rFonts w:ascii="Times New Roman" w:eastAsia="Calibri" w:hAnsi="Times New Roman" w:cs="Times New Roman"/>
        </w:rPr>
        <w:t>for</w:t>
      </w:r>
      <w:r w:rsidRPr="00C91AB0">
        <w:rPr>
          <w:rFonts w:ascii="Times New Roman" w:eastAsia="Calibri" w:hAnsi="Times New Roman" w:cs="Times New Roman"/>
          <w:spacing w:val="29"/>
        </w:rPr>
        <w:t xml:space="preserve"> </w:t>
      </w:r>
      <w:r w:rsidRPr="00C91AB0">
        <w:rPr>
          <w:rFonts w:ascii="Times New Roman" w:eastAsia="Calibri" w:hAnsi="Times New Roman" w:cs="Times New Roman"/>
        </w:rPr>
        <w:t>the purpose of providing</w:t>
      </w:r>
      <w:r w:rsidRPr="00C91AB0">
        <w:rPr>
          <w:rFonts w:ascii="Times New Roman" w:eastAsia="Calibri" w:hAnsi="Times New Roman" w:cs="Times New Roman"/>
          <w:spacing w:val="2"/>
        </w:rPr>
        <w:t xml:space="preserve"> </w:t>
      </w:r>
      <w:r w:rsidRPr="00C91AB0">
        <w:rPr>
          <w:rFonts w:ascii="Times New Roman" w:eastAsia="Calibri" w:hAnsi="Times New Roman" w:cs="Times New Roman"/>
        </w:rPr>
        <w:t>certificate holders</w:t>
      </w:r>
      <w:r w:rsidRPr="00C91AB0">
        <w:rPr>
          <w:rFonts w:ascii="Times New Roman" w:eastAsia="Calibri" w:hAnsi="Times New Roman" w:cs="Times New Roman"/>
          <w:spacing w:val="2"/>
        </w:rPr>
        <w:t xml:space="preserve"> </w:t>
      </w:r>
      <w:r w:rsidRPr="00C91AB0">
        <w:rPr>
          <w:rFonts w:ascii="Times New Roman" w:eastAsia="Calibri" w:hAnsi="Times New Roman" w:cs="Times New Roman"/>
        </w:rPr>
        <w:t>fixed income payment</w:t>
      </w:r>
      <w:r w:rsidRPr="00C91AB0">
        <w:rPr>
          <w:rFonts w:ascii="Times New Roman" w:eastAsia="Calibri" w:hAnsi="Times New Roman" w:cs="Times New Roman"/>
          <w:spacing w:val="-2"/>
        </w:rPr>
        <w:t xml:space="preserve"> streams </w:t>
      </w:r>
      <w:r w:rsidRPr="00C91AB0">
        <w:rPr>
          <w:rFonts w:ascii="Times New Roman" w:eastAsia="Calibri" w:hAnsi="Times New Roman" w:cs="Times New Roman"/>
        </w:rPr>
        <w:t>upon</w:t>
      </w:r>
      <w:r w:rsidRPr="00C91AB0">
        <w:rPr>
          <w:rFonts w:ascii="Times New Roman" w:eastAsia="Calibri" w:hAnsi="Times New Roman" w:cs="Times New Roman"/>
          <w:spacing w:val="-3"/>
        </w:rPr>
        <w:t xml:space="preserve"> </w:t>
      </w:r>
      <w:r w:rsidRPr="00C91AB0">
        <w:rPr>
          <w:rFonts w:ascii="Times New Roman" w:eastAsia="Calibri" w:hAnsi="Times New Roman" w:cs="Times New Roman"/>
        </w:rPr>
        <w:t>their retirement; and</w:t>
      </w:r>
    </w:p>
    <w:p w14:paraId="7FA7584A" w14:textId="77777777" w:rsidR="000D35E4" w:rsidRPr="00C91AB0" w:rsidRDefault="000D35E4" w:rsidP="000D35E4">
      <w:pPr>
        <w:tabs>
          <w:tab w:val="left" w:pos="2880"/>
        </w:tabs>
        <w:autoSpaceDE w:val="0"/>
        <w:autoSpaceDN w:val="0"/>
        <w:adjustRightInd w:val="0"/>
        <w:spacing w:before="47" w:after="0" w:line="240" w:lineRule="auto"/>
        <w:ind w:left="2880" w:right="111" w:hanging="720"/>
        <w:rPr>
          <w:rFonts w:ascii="Times New Roman" w:eastAsia="Calibri" w:hAnsi="Times New Roman" w:cs="Times New Roman"/>
        </w:rPr>
      </w:pPr>
    </w:p>
    <w:p w14:paraId="51F2FEE6" w14:textId="77777777" w:rsidR="000D35E4" w:rsidRPr="00C91AB0" w:rsidRDefault="000D35E4" w:rsidP="000D35E4">
      <w:pPr>
        <w:numPr>
          <w:ilvl w:val="0"/>
          <w:numId w:val="6"/>
        </w:numPr>
        <w:tabs>
          <w:tab w:val="left" w:pos="1546"/>
          <w:tab w:val="left" w:pos="2880"/>
        </w:tabs>
        <w:kinsoku w:val="0"/>
        <w:overflowPunct w:val="0"/>
        <w:autoSpaceDE w:val="0"/>
        <w:autoSpaceDN w:val="0"/>
        <w:adjustRightInd w:val="0"/>
        <w:spacing w:before="47" w:after="0" w:line="240" w:lineRule="auto"/>
        <w:ind w:left="2880" w:right="115" w:hanging="720"/>
        <w:rPr>
          <w:rFonts w:ascii="Times New Roman" w:eastAsia="Calibri" w:hAnsi="Times New Roman" w:cs="Times New Roman"/>
        </w:rPr>
      </w:pPr>
      <w:r w:rsidRPr="00C91AB0">
        <w:rPr>
          <w:rFonts w:ascii="Times New Roman" w:eastAsia="Calibri" w:hAnsi="Times New Roman" w:cs="Times New Roman"/>
        </w:rPr>
        <w:t xml:space="preserve"> Pension Risk Transfer Annuities</w:t>
      </w:r>
      <w:r>
        <w:rPr>
          <w:rFonts w:ascii="Times New Roman" w:eastAsia="Calibri" w:hAnsi="Times New Roman" w:cs="Times New Roman"/>
        </w:rPr>
        <w:t>.</w:t>
      </w:r>
    </w:p>
    <w:p w14:paraId="7229ACAC" w14:textId="77777777" w:rsidR="000D35E4" w:rsidRPr="00C91AB0" w:rsidRDefault="000D35E4" w:rsidP="000D35E4">
      <w:pPr>
        <w:tabs>
          <w:tab w:val="left" w:pos="1546"/>
          <w:tab w:val="left" w:pos="2880"/>
        </w:tabs>
        <w:kinsoku w:val="0"/>
        <w:overflowPunct w:val="0"/>
        <w:autoSpaceDE w:val="0"/>
        <w:autoSpaceDN w:val="0"/>
        <w:adjustRightInd w:val="0"/>
        <w:spacing w:before="47" w:after="0" w:line="240" w:lineRule="auto"/>
        <w:ind w:left="2880" w:right="115" w:hanging="720"/>
        <w:rPr>
          <w:rFonts w:ascii="Times New Roman" w:eastAsia="Calibri" w:hAnsi="Times New Roman" w:cs="Times New Roman"/>
        </w:rPr>
      </w:pPr>
    </w:p>
    <w:p w14:paraId="43D22AA3" w14:textId="77777777" w:rsidR="000D35E4" w:rsidRPr="00E40BD4" w:rsidRDefault="000D35E4" w:rsidP="000D35E4">
      <w:pPr>
        <w:pStyle w:val="ListParagraph"/>
        <w:numPr>
          <w:ilvl w:val="1"/>
          <w:numId w:val="5"/>
        </w:numPr>
        <w:tabs>
          <w:tab w:val="left" w:pos="1546"/>
          <w:tab w:val="left" w:pos="2160"/>
        </w:tabs>
        <w:kinsoku w:val="0"/>
        <w:overflowPunct w:val="0"/>
        <w:autoSpaceDE w:val="0"/>
        <w:autoSpaceDN w:val="0"/>
        <w:adjustRightInd w:val="0"/>
        <w:spacing w:before="47" w:after="0" w:line="240" w:lineRule="auto"/>
        <w:ind w:left="2160" w:right="115" w:hanging="720"/>
        <w:jc w:val="both"/>
        <w:rPr>
          <w:rFonts w:ascii="Times New Roman" w:eastAsia="Calibri" w:hAnsi="Times New Roman" w:cs="Times New Roman"/>
          <w:sz w:val="24"/>
          <w:szCs w:val="24"/>
        </w:rPr>
      </w:pPr>
      <w:r w:rsidRPr="00503B56">
        <w:rPr>
          <w:rFonts w:ascii="Times New Roman" w:eastAsia="Calibri" w:hAnsi="Times New Roman" w:cs="Times New Roman"/>
        </w:rPr>
        <w:t xml:space="preserve">The term “Longevity Reinsurance Reserving Category” refers </w:t>
      </w:r>
      <w:proofErr w:type="gramStart"/>
      <w:r w:rsidRPr="00503B56">
        <w:rPr>
          <w:rFonts w:ascii="Times New Roman" w:eastAsia="Calibri" w:hAnsi="Times New Roman" w:cs="Times New Roman"/>
        </w:rPr>
        <w:t>to</w:t>
      </w:r>
      <w:r>
        <w:rPr>
          <w:rFonts w:ascii="Times New Roman" w:eastAsia="Calibri" w:hAnsi="Times New Roman" w:cs="Times New Roman"/>
        </w:rPr>
        <w:t xml:space="preserve"> </w:t>
      </w:r>
      <w:r w:rsidRPr="00503B56">
        <w:rPr>
          <w:rFonts w:ascii="Times New Roman" w:eastAsia="Calibri" w:hAnsi="Times New Roman" w:cs="Times New Roman"/>
        </w:rPr>
        <w:t>include</w:t>
      </w:r>
      <w:proofErr w:type="gramEnd"/>
      <w:r w:rsidRPr="00503B56">
        <w:rPr>
          <w:rFonts w:ascii="Times New Roman" w:eastAsia="Calibri" w:hAnsi="Times New Roman" w:cs="Times New Roman"/>
        </w:rPr>
        <w:t xml:space="preserve"> Longevity Reinsurance as defined under the definition provided in VM-01. of the Valuation Manual</w:t>
      </w:r>
      <w:r w:rsidRPr="00E40BD4">
        <w:rPr>
          <w:rFonts w:ascii="Times New Roman" w:eastAsia="Calibri" w:hAnsi="Times New Roman" w:cs="Times New Roman"/>
          <w:sz w:val="24"/>
          <w:szCs w:val="24"/>
        </w:rPr>
        <w:t>.</w:t>
      </w:r>
    </w:p>
    <w:p w14:paraId="70BA7545" w14:textId="77777777" w:rsidR="000D35E4" w:rsidRDefault="000D35E4" w:rsidP="000D35E4">
      <w:pPr>
        <w:tabs>
          <w:tab w:val="left" w:pos="1546"/>
        </w:tabs>
        <w:kinsoku w:val="0"/>
        <w:overflowPunct w:val="0"/>
        <w:autoSpaceDE w:val="0"/>
        <w:autoSpaceDN w:val="0"/>
        <w:adjustRightInd w:val="0"/>
        <w:spacing w:before="47" w:after="0" w:line="240" w:lineRule="auto"/>
        <w:ind w:right="115"/>
        <w:jc w:val="both"/>
        <w:rPr>
          <w:rFonts w:ascii="Times New Roman" w:eastAsia="Calibri" w:hAnsi="Times New Roman" w:cs="Times New Roman"/>
          <w:sz w:val="24"/>
          <w:szCs w:val="24"/>
        </w:rPr>
      </w:pPr>
    </w:p>
    <w:p w14:paraId="3C31D1E6" w14:textId="77777777" w:rsidR="000D35E4" w:rsidRPr="00503B56" w:rsidRDefault="000D35E4" w:rsidP="000D35E4">
      <w:pPr>
        <w:pStyle w:val="ListParagraph"/>
        <w:numPr>
          <w:ilvl w:val="1"/>
          <w:numId w:val="5"/>
        </w:numPr>
        <w:autoSpaceDE w:val="0"/>
        <w:autoSpaceDN w:val="0"/>
        <w:adjustRightInd w:val="0"/>
        <w:spacing w:before="2" w:after="0" w:line="240" w:lineRule="auto"/>
        <w:ind w:left="2160" w:hanging="720"/>
        <w:rPr>
          <w:rFonts w:ascii="Times New Roman" w:hAnsi="Times New Roman" w:cs="Times New Roman"/>
          <w:color w:val="000000"/>
        </w:rPr>
      </w:pPr>
      <w:r w:rsidRPr="00C91AB0">
        <w:rPr>
          <w:rFonts w:ascii="Times New Roman" w:eastAsia="Calibri" w:hAnsi="Times New Roman" w:cs="Times New Roman"/>
        </w:rPr>
        <w:t xml:space="preserve">The “Accumulation Reserving Category” </w:t>
      </w:r>
      <w:r w:rsidRPr="00503B56">
        <w:rPr>
          <w:rFonts w:ascii="Times New Roman" w:eastAsia="Calibri" w:hAnsi="Times New Roman" w:cs="Times New Roman"/>
        </w:rPr>
        <w:t>includes all annuities within scope of VM-22 that are not in the “Payout Reserving Category” or “Longevity Reinsurance Reserving Category”.</w:t>
      </w:r>
    </w:p>
    <w:p w14:paraId="5E4E4BE1" w14:textId="77777777" w:rsidR="000D35E4" w:rsidRPr="00503B56" w:rsidRDefault="000D35E4" w:rsidP="000D35E4">
      <w:pPr>
        <w:pStyle w:val="ListParagraph"/>
        <w:rPr>
          <w:rFonts w:ascii="Times New Roman" w:eastAsia="Calibri" w:hAnsi="Times New Roman" w:cs="Times New Roman"/>
        </w:rPr>
      </w:pPr>
    </w:p>
    <w:p w14:paraId="7CC1E315" w14:textId="77777777" w:rsidR="000D35E4" w:rsidRPr="00EF42F6" w:rsidRDefault="000D35E4" w:rsidP="000D35E4">
      <w:pPr>
        <w:pStyle w:val="ListParagraph"/>
        <w:numPr>
          <w:ilvl w:val="2"/>
          <w:numId w:val="5"/>
        </w:numPr>
        <w:autoSpaceDE w:val="0"/>
        <w:autoSpaceDN w:val="0"/>
        <w:adjustRightInd w:val="0"/>
        <w:spacing w:before="2" w:after="0" w:line="240" w:lineRule="auto"/>
        <w:ind w:left="2880" w:hanging="720"/>
        <w:rPr>
          <w:rFonts w:ascii="Times New Roman" w:hAnsi="Times New Roman" w:cs="Times New Roman"/>
          <w:color w:val="000000"/>
        </w:rPr>
      </w:pPr>
      <w:r>
        <w:rPr>
          <w:rFonts w:ascii="Times New Roman" w:eastAsia="Calibri" w:hAnsi="Times New Roman" w:cs="Times New Roman"/>
        </w:rPr>
        <w:t>Note this category shall include f</w:t>
      </w:r>
      <w:r w:rsidRPr="00C91AB0">
        <w:rPr>
          <w:rFonts w:ascii="Times New Roman" w:eastAsia="Calibri" w:hAnsi="Times New Roman" w:cs="Times New Roman"/>
        </w:rPr>
        <w:t>ixed</w:t>
      </w:r>
      <w:r w:rsidRPr="00C91AB0">
        <w:rPr>
          <w:rFonts w:ascii="Times New Roman" w:eastAsia="Calibri" w:hAnsi="Times New Roman" w:cs="Times New Roman"/>
          <w:spacing w:val="6"/>
        </w:rPr>
        <w:t xml:space="preserve"> </w:t>
      </w:r>
      <w:r w:rsidRPr="00C91AB0">
        <w:rPr>
          <w:rFonts w:ascii="Times New Roman" w:eastAsia="Calibri" w:hAnsi="Times New Roman" w:cs="Times New Roman"/>
        </w:rPr>
        <w:t>income</w:t>
      </w:r>
      <w:r w:rsidRPr="00C91AB0">
        <w:rPr>
          <w:rFonts w:ascii="Times New Roman" w:eastAsia="Calibri" w:hAnsi="Times New Roman" w:cs="Times New Roman"/>
          <w:spacing w:val="4"/>
        </w:rPr>
        <w:t xml:space="preserve"> </w:t>
      </w:r>
      <w:r w:rsidRPr="00C91AB0">
        <w:rPr>
          <w:rFonts w:ascii="Times New Roman" w:eastAsia="Calibri" w:hAnsi="Times New Roman" w:cs="Times New Roman"/>
        </w:rPr>
        <w:t>payment</w:t>
      </w:r>
      <w:r w:rsidRPr="00C91AB0">
        <w:rPr>
          <w:rFonts w:ascii="Times New Roman" w:eastAsia="Calibri" w:hAnsi="Times New Roman" w:cs="Times New Roman"/>
          <w:spacing w:val="6"/>
        </w:rPr>
        <w:t xml:space="preserve"> </w:t>
      </w:r>
      <w:r w:rsidRPr="00C91AB0">
        <w:rPr>
          <w:rFonts w:ascii="Times New Roman" w:eastAsia="Calibri" w:hAnsi="Times New Roman" w:cs="Times New Roman"/>
        </w:rPr>
        <w:t>streams</w:t>
      </w:r>
      <w:r w:rsidRPr="00C91AB0">
        <w:rPr>
          <w:rFonts w:ascii="Times New Roman" w:eastAsia="Calibri" w:hAnsi="Times New Roman" w:cs="Times New Roman"/>
          <w:spacing w:val="6"/>
        </w:rPr>
        <w:t xml:space="preserve"> </w:t>
      </w:r>
      <w:r w:rsidRPr="00C91AB0">
        <w:rPr>
          <w:rFonts w:ascii="Times New Roman" w:eastAsia="Calibri" w:hAnsi="Times New Roman" w:cs="Times New Roman"/>
        </w:rPr>
        <w:t>attributable</w:t>
      </w:r>
      <w:r>
        <w:rPr>
          <w:rFonts w:ascii="Times New Roman" w:eastAsia="Calibri" w:hAnsi="Times New Roman" w:cs="Times New Roman"/>
        </w:rPr>
        <w:t xml:space="preserve"> </w:t>
      </w:r>
      <w:r w:rsidRPr="00C91AB0">
        <w:rPr>
          <w:rFonts w:ascii="Times New Roman" w:eastAsia="Calibri" w:hAnsi="Times New Roman" w:cs="Times New Roman"/>
        </w:rPr>
        <w:t>to</w:t>
      </w:r>
      <w:r w:rsidRPr="00C91AB0">
        <w:rPr>
          <w:rFonts w:ascii="Times New Roman" w:eastAsia="Calibri" w:hAnsi="Times New Roman" w:cs="Times New Roman"/>
          <w:spacing w:val="8"/>
        </w:rPr>
        <w:t xml:space="preserve"> </w:t>
      </w:r>
      <w:r w:rsidRPr="00C91AB0">
        <w:rPr>
          <w:rFonts w:ascii="Times New Roman" w:eastAsia="Calibri" w:hAnsi="Times New Roman" w:cs="Times New Roman"/>
        </w:rPr>
        <w:t>guaranteed</w:t>
      </w:r>
      <w:r w:rsidRPr="00C91AB0">
        <w:rPr>
          <w:rFonts w:ascii="Times New Roman" w:eastAsia="Calibri" w:hAnsi="Times New Roman" w:cs="Times New Roman"/>
          <w:spacing w:val="6"/>
        </w:rPr>
        <w:t xml:space="preserve"> </w:t>
      </w:r>
      <w:r w:rsidRPr="00C91AB0">
        <w:rPr>
          <w:rFonts w:ascii="Times New Roman" w:eastAsia="Calibri" w:hAnsi="Times New Roman" w:cs="Times New Roman"/>
        </w:rPr>
        <w:t>living</w:t>
      </w:r>
      <w:r w:rsidRPr="00C91AB0">
        <w:rPr>
          <w:rFonts w:ascii="Times New Roman" w:eastAsia="Calibri" w:hAnsi="Times New Roman" w:cs="Times New Roman"/>
          <w:spacing w:val="7"/>
        </w:rPr>
        <w:t xml:space="preserve"> </w:t>
      </w:r>
      <w:r w:rsidRPr="00C91AB0">
        <w:rPr>
          <w:rFonts w:ascii="Times New Roman" w:eastAsia="Calibri" w:hAnsi="Times New Roman" w:cs="Times New Roman"/>
        </w:rPr>
        <w:t>benefits</w:t>
      </w:r>
      <w:r w:rsidRPr="00C91AB0">
        <w:rPr>
          <w:rFonts w:ascii="Times New Roman" w:eastAsia="Calibri" w:hAnsi="Times New Roman" w:cs="Times New Roman"/>
          <w:spacing w:val="2"/>
        </w:rPr>
        <w:t xml:space="preserve"> </w:t>
      </w:r>
      <w:r w:rsidRPr="00C91AB0">
        <w:rPr>
          <w:rFonts w:ascii="Times New Roman" w:eastAsia="Calibri" w:hAnsi="Times New Roman" w:cs="Times New Roman"/>
        </w:rPr>
        <w:t>associated</w:t>
      </w:r>
      <w:r w:rsidRPr="00C91AB0">
        <w:rPr>
          <w:rFonts w:ascii="Times New Roman" w:eastAsia="Calibri" w:hAnsi="Times New Roman" w:cs="Times New Roman"/>
          <w:spacing w:val="6"/>
        </w:rPr>
        <w:t xml:space="preserve"> </w:t>
      </w:r>
      <w:r w:rsidRPr="00C91AB0">
        <w:rPr>
          <w:rFonts w:ascii="Times New Roman" w:eastAsia="Calibri" w:hAnsi="Times New Roman" w:cs="Times New Roman"/>
        </w:rPr>
        <w:t>with deferred</w:t>
      </w:r>
      <w:r w:rsidRPr="00C91AB0">
        <w:rPr>
          <w:rFonts w:ascii="Times New Roman" w:eastAsia="Calibri" w:hAnsi="Times New Roman" w:cs="Times New Roman"/>
          <w:spacing w:val="21"/>
        </w:rPr>
        <w:t xml:space="preserve"> </w:t>
      </w:r>
      <w:r w:rsidRPr="00C91AB0">
        <w:rPr>
          <w:rFonts w:ascii="Times New Roman" w:eastAsia="Calibri" w:hAnsi="Times New Roman" w:cs="Times New Roman"/>
        </w:rPr>
        <w:t>annuity</w:t>
      </w:r>
      <w:r w:rsidRPr="00C91AB0">
        <w:rPr>
          <w:rFonts w:ascii="Times New Roman" w:eastAsia="Calibri" w:hAnsi="Times New Roman" w:cs="Times New Roman"/>
          <w:spacing w:val="16"/>
        </w:rPr>
        <w:t xml:space="preserve"> </w:t>
      </w:r>
      <w:r w:rsidRPr="00C91AB0">
        <w:rPr>
          <w:rFonts w:ascii="Times New Roman" w:eastAsia="Calibri" w:hAnsi="Times New Roman" w:cs="Times New Roman"/>
        </w:rPr>
        <w:t>contracts,</w:t>
      </w:r>
      <w:r w:rsidRPr="00C91AB0">
        <w:rPr>
          <w:rFonts w:ascii="Times New Roman" w:eastAsia="Calibri" w:hAnsi="Times New Roman" w:cs="Times New Roman"/>
          <w:spacing w:val="15"/>
        </w:rPr>
        <w:t xml:space="preserve"> </w:t>
      </w:r>
      <w:r w:rsidRPr="00C91AB0">
        <w:rPr>
          <w:rFonts w:ascii="Times New Roman" w:eastAsia="Calibri" w:hAnsi="Times New Roman" w:cs="Times New Roman"/>
        </w:rPr>
        <w:t>once</w:t>
      </w:r>
      <w:r w:rsidRPr="00C91AB0">
        <w:rPr>
          <w:rFonts w:ascii="Times New Roman" w:eastAsia="Calibri" w:hAnsi="Times New Roman" w:cs="Times New Roman"/>
          <w:spacing w:val="19"/>
        </w:rPr>
        <w:t xml:space="preserve"> </w:t>
      </w:r>
      <w:r w:rsidRPr="00C91AB0">
        <w:rPr>
          <w:rFonts w:ascii="Times New Roman" w:eastAsia="Calibri" w:hAnsi="Times New Roman" w:cs="Times New Roman"/>
        </w:rPr>
        <w:t>the</w:t>
      </w:r>
      <w:r w:rsidRPr="00C91AB0">
        <w:rPr>
          <w:rFonts w:ascii="Times New Roman" w:eastAsia="Calibri" w:hAnsi="Times New Roman" w:cs="Times New Roman"/>
          <w:spacing w:val="19"/>
        </w:rPr>
        <w:t xml:space="preserve"> </w:t>
      </w:r>
      <w:r w:rsidRPr="00C91AB0">
        <w:rPr>
          <w:rFonts w:ascii="Times New Roman" w:eastAsia="Calibri" w:hAnsi="Times New Roman" w:cs="Times New Roman"/>
        </w:rPr>
        <w:t>contract</w:t>
      </w:r>
      <w:r w:rsidRPr="00C91AB0">
        <w:rPr>
          <w:rFonts w:ascii="Times New Roman" w:eastAsia="Calibri" w:hAnsi="Times New Roman" w:cs="Times New Roman"/>
          <w:spacing w:val="17"/>
        </w:rPr>
        <w:t xml:space="preserve"> </w:t>
      </w:r>
      <w:r w:rsidRPr="00C91AB0">
        <w:rPr>
          <w:rFonts w:ascii="Times New Roman" w:eastAsia="Calibri" w:hAnsi="Times New Roman" w:cs="Times New Roman"/>
        </w:rPr>
        <w:t>funds</w:t>
      </w:r>
      <w:r w:rsidRPr="00C91AB0">
        <w:rPr>
          <w:rFonts w:ascii="Times New Roman" w:eastAsia="Calibri" w:hAnsi="Times New Roman" w:cs="Times New Roman"/>
          <w:spacing w:val="17"/>
        </w:rPr>
        <w:t xml:space="preserve"> </w:t>
      </w:r>
      <w:r w:rsidRPr="00C91AB0">
        <w:rPr>
          <w:rFonts w:ascii="Times New Roman" w:eastAsia="Calibri" w:hAnsi="Times New Roman" w:cs="Times New Roman"/>
        </w:rPr>
        <w:t>are</w:t>
      </w:r>
      <w:r w:rsidRPr="00C91AB0">
        <w:rPr>
          <w:rFonts w:ascii="Times New Roman" w:eastAsia="Calibri" w:hAnsi="Times New Roman" w:cs="Times New Roman"/>
          <w:spacing w:val="19"/>
        </w:rPr>
        <w:t xml:space="preserve"> </w:t>
      </w:r>
      <w:r w:rsidRPr="00C91AB0">
        <w:rPr>
          <w:rFonts w:ascii="Times New Roman" w:eastAsia="Calibri" w:hAnsi="Times New Roman" w:cs="Times New Roman"/>
        </w:rPr>
        <w:t>exhausted</w:t>
      </w:r>
    </w:p>
    <w:p w14:paraId="35318F7F" w14:textId="77777777" w:rsidR="000D35E4" w:rsidRPr="00C91AB0" w:rsidRDefault="000D35E4" w:rsidP="000D35E4">
      <w:pPr>
        <w:pStyle w:val="ListParagraph"/>
        <w:autoSpaceDE w:val="0"/>
        <w:autoSpaceDN w:val="0"/>
        <w:adjustRightInd w:val="0"/>
        <w:spacing w:before="2" w:after="0" w:line="240" w:lineRule="auto"/>
        <w:ind w:left="2160"/>
        <w:rPr>
          <w:rFonts w:ascii="Times New Roman" w:hAnsi="Times New Roman" w:cs="Times New Roman"/>
          <w:color w:val="000000"/>
        </w:rPr>
      </w:pPr>
    </w:p>
    <w:p w14:paraId="495AC025" w14:textId="77777777" w:rsidR="000D35E4" w:rsidRDefault="000D35E4" w:rsidP="000D35E4">
      <w:pPr>
        <w:autoSpaceDE w:val="0"/>
        <w:autoSpaceDN w:val="0"/>
        <w:adjustRightInd w:val="0"/>
        <w:spacing w:after="0" w:line="240" w:lineRule="auto"/>
        <w:ind w:left="720" w:hanging="360"/>
        <w:rPr>
          <w:rFonts w:ascii="Times New Roman" w:hAnsi="Times New Roman"/>
          <w:color w:val="000000" w:themeColor="text1"/>
        </w:rPr>
      </w:pPr>
      <w:r>
        <w:rPr>
          <w:rFonts w:ascii="Times New Roman" w:hAnsi="Times New Roman"/>
          <w:color w:val="000000" w:themeColor="text1"/>
        </w:rPr>
        <w:t>2</w:t>
      </w:r>
      <w:r w:rsidRPr="002514EA">
        <w:rPr>
          <w:rFonts w:ascii="Times New Roman" w:hAnsi="Times New Roman"/>
          <w:color w:val="000000" w:themeColor="text1"/>
        </w:rPr>
        <w:t xml:space="preserve">. </w:t>
      </w:r>
      <w:r w:rsidRPr="002514EA">
        <w:tab/>
      </w:r>
      <w:r>
        <w:rPr>
          <w:rFonts w:ascii="Times New Roman" w:hAnsi="Times New Roman"/>
          <w:color w:val="000000" w:themeColor="text1"/>
        </w:rPr>
        <w:t>For the purposes of calculating stochastic reserves, the stochastic exclusion test, and determining the final VM-22 reserves, d</w:t>
      </w:r>
      <w:r w:rsidRPr="002514EA">
        <w:rPr>
          <w:rFonts w:ascii="Times New Roman" w:hAnsi="Times New Roman"/>
          <w:color w:val="000000" w:themeColor="text1"/>
        </w:rPr>
        <w:t xml:space="preserve">o not aggregate groups of contracts for which the company elects to </w:t>
      </w:r>
      <w:r w:rsidRPr="002514EA">
        <w:rPr>
          <w:rFonts w:ascii="Times New Roman" w:hAnsi="Times New Roman"/>
          <w:color w:val="000000" w:themeColor="text1"/>
        </w:rPr>
        <w:lastRenderedPageBreak/>
        <w:t>use the Deterministic Certification Option in Section 7.E with any groups of contracts that do not use such option.</w:t>
      </w:r>
    </w:p>
    <w:p w14:paraId="398A3072" w14:textId="77777777" w:rsidR="000D35E4" w:rsidRDefault="000D35E4" w:rsidP="000D35E4">
      <w:pPr>
        <w:autoSpaceDE w:val="0"/>
        <w:autoSpaceDN w:val="0"/>
        <w:adjustRightInd w:val="0"/>
        <w:spacing w:after="0" w:line="240" w:lineRule="auto"/>
        <w:ind w:left="720" w:hanging="360"/>
        <w:rPr>
          <w:rFonts w:ascii="Times New Roman" w:hAnsi="Times New Roman" w:cs="Times New Roman"/>
          <w:color w:val="000000"/>
        </w:rPr>
      </w:pPr>
    </w:p>
    <w:p w14:paraId="05715990" w14:textId="77777777" w:rsidR="000D35E4" w:rsidRPr="00AD4154" w:rsidRDefault="000D35E4" w:rsidP="000D35E4">
      <w:pPr>
        <w:pStyle w:val="ListParagraph"/>
        <w:numPr>
          <w:ilvl w:val="0"/>
          <w:numId w:val="8"/>
        </w:numPr>
        <w:autoSpaceDE w:val="0"/>
        <w:autoSpaceDN w:val="0"/>
        <w:adjustRightInd w:val="0"/>
        <w:spacing w:after="0" w:line="240" w:lineRule="auto"/>
        <w:rPr>
          <w:rFonts w:ascii="Times New Roman" w:hAnsi="Times New Roman" w:cs="Times New Roman"/>
          <w:color w:val="000000"/>
        </w:rPr>
      </w:pPr>
      <w:r w:rsidRPr="000E2B2C">
        <w:rPr>
          <w:rFonts w:ascii="Times New Roman" w:hAnsi="Times New Roman"/>
          <w:color w:val="000000" w:themeColor="text1"/>
        </w:rPr>
        <w:t xml:space="preserve">The reserve may be determined in aggregate across various groups of contracts within each Reserving Category as a single model segment when determining the </w:t>
      </w:r>
      <w:r w:rsidRPr="000E2B2C">
        <w:rPr>
          <w:rFonts w:ascii="Times New Roman" w:hAnsi="Times New Roman" w:cs="Times New Roman"/>
          <w:color w:val="000000" w:themeColor="text1"/>
        </w:rPr>
        <w:t>SR</w:t>
      </w:r>
      <w:r>
        <w:rPr>
          <w:rFonts w:ascii="Times New Roman" w:hAnsi="Times New Roman" w:cs="Times New Roman"/>
          <w:color w:val="000000" w:themeColor="text1"/>
        </w:rPr>
        <w:t xml:space="preserve"> or DR</w:t>
      </w:r>
      <w:r w:rsidRPr="000E2B2C">
        <w:rPr>
          <w:rFonts w:ascii="Times New Roman" w:hAnsi="Times New Roman" w:cs="Times New Roman"/>
          <w:color w:val="000000" w:themeColor="text1"/>
        </w:rPr>
        <w:t>.</w:t>
      </w:r>
    </w:p>
    <w:p w14:paraId="68859C1D" w14:textId="77777777" w:rsidR="000D35E4" w:rsidRDefault="000D35E4" w:rsidP="000D35E4">
      <w:pPr>
        <w:autoSpaceDE w:val="0"/>
        <w:autoSpaceDN w:val="0"/>
        <w:adjustRightInd w:val="0"/>
        <w:spacing w:after="0" w:line="240" w:lineRule="auto"/>
        <w:rPr>
          <w:rFonts w:ascii="Times New Roman" w:hAnsi="Times New Roman" w:cs="Times New Roman"/>
          <w:color w:val="000000"/>
        </w:rPr>
      </w:pPr>
    </w:p>
    <w:p w14:paraId="68C2E437" w14:textId="77777777" w:rsidR="000D35E4" w:rsidRDefault="000D35E4" w:rsidP="000D35E4">
      <w:pPr>
        <w:pStyle w:val="ListParagraph"/>
        <w:numPr>
          <w:ilvl w:val="0"/>
          <w:numId w:val="8"/>
        </w:numPr>
        <w:autoSpaceDE w:val="0"/>
        <w:autoSpaceDN w:val="0"/>
        <w:adjustRightInd w:val="0"/>
        <w:spacing w:after="0" w:line="240" w:lineRule="auto"/>
        <w:rPr>
          <w:rFonts w:ascii="Times New Roman" w:hAnsi="Times New Roman"/>
          <w:color w:val="000000" w:themeColor="text1"/>
        </w:rPr>
      </w:pPr>
      <w:r w:rsidRPr="0006576E">
        <w:rPr>
          <w:rFonts w:ascii="Times New Roman" w:hAnsi="Times New Roman"/>
          <w:color w:val="000000" w:themeColor="text1"/>
        </w:rPr>
        <w:t xml:space="preserve">To the extent that aggregation </w:t>
      </w:r>
      <w:r w:rsidRPr="0006576E">
        <w:rPr>
          <w:rFonts w:ascii="Times New Roman" w:hAnsi="Times New Roman" w:cs="Times New Roman"/>
          <w:color w:val="000000" w:themeColor="text1"/>
        </w:rPr>
        <w:t>results</w:t>
      </w:r>
      <w:r w:rsidRPr="0006576E">
        <w:rPr>
          <w:rFonts w:ascii="Times New Roman" w:hAnsi="Times New Roman"/>
          <w:color w:val="000000" w:themeColor="text1"/>
        </w:rPr>
        <w:t xml:space="preserve"> in more than one model segment, the </w:t>
      </w:r>
      <w:r w:rsidRPr="0006576E">
        <w:rPr>
          <w:rFonts w:ascii="Times New Roman" w:hAnsi="Times New Roman" w:cs="Times New Roman"/>
          <w:color w:val="000000" w:themeColor="text1"/>
        </w:rPr>
        <w:t>aggregate reserve</w:t>
      </w:r>
      <w:r w:rsidRPr="0006576E">
        <w:rPr>
          <w:rFonts w:ascii="Times New Roman" w:hAnsi="Times New Roman"/>
          <w:color w:val="000000" w:themeColor="text1"/>
        </w:rPr>
        <w:t xml:space="preserve"> shall equal the sum of the </w:t>
      </w:r>
      <w:r w:rsidRPr="0006576E">
        <w:rPr>
          <w:rFonts w:ascii="Times New Roman" w:hAnsi="Times New Roman" w:cs="Times New Roman"/>
          <w:color w:val="000000" w:themeColor="text1"/>
        </w:rPr>
        <w:t>SR</w:t>
      </w:r>
      <w:r w:rsidRPr="0006576E">
        <w:rPr>
          <w:rFonts w:ascii="Times New Roman" w:hAnsi="Times New Roman"/>
          <w:color w:val="000000" w:themeColor="text1"/>
        </w:rPr>
        <w:t xml:space="preserve"> amounts computed for each model segment and </w:t>
      </w:r>
      <w:r w:rsidRPr="0006576E">
        <w:rPr>
          <w:rFonts w:ascii="Times New Roman" w:hAnsi="Times New Roman" w:cs="Times New Roman"/>
          <w:color w:val="000000" w:themeColor="text1"/>
        </w:rPr>
        <w:t xml:space="preserve">DR </w:t>
      </w:r>
      <w:r w:rsidRPr="0006576E">
        <w:rPr>
          <w:rFonts w:ascii="Times New Roman" w:hAnsi="Times New Roman"/>
          <w:color w:val="000000" w:themeColor="text1"/>
        </w:rPr>
        <w:t xml:space="preserve">amounts computed for each model segment for which the company elects to use the Deterministic Certification Option in Section 7.E. </w:t>
      </w:r>
    </w:p>
    <w:p w14:paraId="17BA1076" w14:textId="77777777" w:rsidR="000D35E4" w:rsidRPr="0006576E" w:rsidRDefault="000D35E4" w:rsidP="000D35E4">
      <w:pPr>
        <w:pStyle w:val="ListParagraph"/>
        <w:autoSpaceDE w:val="0"/>
        <w:autoSpaceDN w:val="0"/>
        <w:adjustRightInd w:val="0"/>
        <w:spacing w:after="0" w:line="240" w:lineRule="auto"/>
        <w:rPr>
          <w:rFonts w:ascii="Times New Roman" w:hAnsi="Times New Roman"/>
          <w:color w:val="000000" w:themeColor="text1"/>
        </w:rPr>
      </w:pPr>
    </w:p>
    <w:p w14:paraId="581649B8" w14:textId="77777777" w:rsidR="000D35E4" w:rsidRDefault="000D35E4" w:rsidP="000D35E4">
      <w:pPr>
        <w:pStyle w:val="ListParagraph"/>
        <w:numPr>
          <w:ilvl w:val="0"/>
          <w:numId w:val="8"/>
        </w:numPr>
        <w:autoSpaceDE w:val="0"/>
        <w:autoSpaceDN w:val="0"/>
        <w:adjustRightInd w:val="0"/>
        <w:spacing w:after="0" w:line="240" w:lineRule="auto"/>
        <w:rPr>
          <w:rFonts w:ascii="Times New Roman" w:hAnsi="Times New Roman" w:cs="Times New Roman"/>
          <w:strike/>
          <w:color w:val="FF0000"/>
        </w:rPr>
      </w:pPr>
      <w:r w:rsidRPr="004C6FB7">
        <w:rPr>
          <w:rFonts w:ascii="Times New Roman" w:hAnsi="Times New Roman" w:cs="Times New Roman"/>
          <w:strike/>
          <w:color w:val="FF0000"/>
        </w:rPr>
        <w:t>The reserve for each longevity reinsurance contract within the “Longevity Reinsurance Reserving Category” shall be floored at zero.</w:t>
      </w:r>
    </w:p>
    <w:p w14:paraId="620D948C" w14:textId="7980A22D" w:rsidR="004C6FB7" w:rsidRPr="00394613" w:rsidRDefault="006F6FA0" w:rsidP="00394613">
      <w:pPr>
        <w:pStyle w:val="ListParagraph"/>
        <w:rPr>
          <w:rFonts w:ascii="Times New Roman" w:hAnsi="Times New Roman" w:cs="Times New Roman"/>
          <w:color w:val="70AD47" w:themeColor="accent6"/>
        </w:rPr>
      </w:pPr>
      <w:r w:rsidRPr="00347A94">
        <w:rPr>
          <w:rFonts w:ascii="Times New Roman" w:hAnsi="Times New Roman" w:cs="Times New Roman"/>
          <w:color w:val="00B0F0"/>
        </w:rPr>
        <w:t>{</w:t>
      </w:r>
      <w:r w:rsidR="003E1BFD" w:rsidRPr="003E1BFD">
        <w:rPr>
          <w:rFonts w:ascii="Times New Roman" w:hAnsi="Times New Roman" w:cs="Times New Roman"/>
          <w:color w:val="00B0F0"/>
        </w:rPr>
        <w:t>The reserve for each longevity reinsurance contract within the “Longevity Reinsurance Reserving Category” shall be floored at 2% of the scheduled longevity benefits payable by the benefit provider within the next 12 months from the date of valuation. For the deals structured on a net basis, where the reinsurer covers only the benefits exceeding a predetermined reference benefit schedule, the floor will still be calculated based on the scheduled longevity benefits payable by the benefit provider withing the next 12 months from the date of valuation</w:t>
      </w:r>
      <w:r w:rsidR="003E1BFD">
        <w:rPr>
          <w:color w:val="00B0F0"/>
          <w:sz w:val="20"/>
          <w:szCs w:val="20"/>
        </w:rPr>
        <w:t>.</w:t>
      </w:r>
      <w:r w:rsidR="00530ACF">
        <w:rPr>
          <w:rFonts w:ascii="Times New Roman" w:hAnsi="Times New Roman" w:cs="Times New Roman"/>
          <w:color w:val="00B0F0"/>
        </w:rPr>
        <w:t>}</w:t>
      </w:r>
      <w:r w:rsidR="000F24E8">
        <w:rPr>
          <w:rFonts w:ascii="Times New Roman" w:hAnsi="Times New Roman" w:cs="Times New Roman"/>
          <w:color w:val="00B0F0"/>
        </w:rPr>
        <w:t xml:space="preserve">  </w:t>
      </w:r>
      <w:r w:rsidR="00347A94" w:rsidRPr="00347A94">
        <w:rPr>
          <w:rFonts w:ascii="Times New Roman" w:hAnsi="Times New Roman" w:cs="Times New Roman"/>
          <w:color w:val="00B0F0"/>
        </w:rPr>
        <w:t xml:space="preserve"> </w:t>
      </w:r>
      <w:r w:rsidR="00280840" w:rsidRPr="00347A94">
        <w:rPr>
          <w:rFonts w:ascii="Times New Roman" w:hAnsi="Times New Roman" w:cs="Times New Roman"/>
          <w:color w:val="00B0F0"/>
        </w:rPr>
        <w:t xml:space="preserve"> </w:t>
      </w:r>
    </w:p>
    <w:p w14:paraId="6A17034A" w14:textId="77777777" w:rsidR="000D35E4" w:rsidRPr="0099068E" w:rsidRDefault="000D35E4" w:rsidP="000D35E4">
      <w:pPr>
        <w:autoSpaceDE w:val="0"/>
        <w:autoSpaceDN w:val="0"/>
        <w:adjustRightInd w:val="0"/>
        <w:spacing w:after="0" w:line="240" w:lineRule="auto"/>
        <w:rPr>
          <w:rFonts w:ascii="Times New Roman" w:hAnsi="Times New Roman" w:cs="Times New Roman"/>
          <w:color w:val="000000"/>
        </w:rPr>
      </w:pPr>
    </w:p>
    <w:p w14:paraId="0FE619DC" w14:textId="77777777" w:rsidR="000D35E4" w:rsidRPr="00252E55" w:rsidRDefault="000D35E4" w:rsidP="000D35E4">
      <w:pPr>
        <w:pStyle w:val="Heading2"/>
        <w:ind w:left="360" w:hanging="360"/>
        <w:rPr>
          <w:sz w:val="22"/>
          <w:szCs w:val="22"/>
        </w:rPr>
      </w:pPr>
      <w:bookmarkStart w:id="12" w:name="_Toc77242137"/>
      <w:bookmarkStart w:id="13" w:name="_Toc137649782"/>
      <w:bookmarkStart w:id="14" w:name="_Hlk67501838"/>
      <w:r>
        <w:rPr>
          <w:sz w:val="22"/>
          <w:szCs w:val="22"/>
        </w:rPr>
        <w:t>G</w:t>
      </w:r>
      <w:r w:rsidRPr="00DE21E7">
        <w:rPr>
          <w:sz w:val="22"/>
          <w:szCs w:val="22"/>
        </w:rPr>
        <w:t xml:space="preserve">. </w:t>
      </w:r>
      <w:r>
        <w:rPr>
          <w:sz w:val="22"/>
          <w:szCs w:val="22"/>
        </w:rPr>
        <w:t xml:space="preserve">Stochastic </w:t>
      </w:r>
      <w:r w:rsidRPr="00DE21E7">
        <w:rPr>
          <w:sz w:val="22"/>
          <w:szCs w:val="22"/>
        </w:rPr>
        <w:t>Exclusion Test</w:t>
      </w:r>
      <w:bookmarkEnd w:id="12"/>
      <w:bookmarkEnd w:id="13"/>
      <w:r w:rsidRPr="00252E55">
        <w:rPr>
          <w:sz w:val="22"/>
          <w:szCs w:val="22"/>
        </w:rPr>
        <w:t xml:space="preserve"> </w:t>
      </w:r>
    </w:p>
    <w:p w14:paraId="097AB696" w14:textId="77777777" w:rsidR="000D35E4" w:rsidRDefault="000D35E4" w:rsidP="000D35E4">
      <w:pPr>
        <w:autoSpaceDE w:val="0"/>
        <w:autoSpaceDN w:val="0"/>
        <w:adjustRightInd w:val="0"/>
        <w:spacing w:after="0" w:line="240" w:lineRule="auto"/>
        <w:rPr>
          <w:rFonts w:ascii="Times New Roman" w:hAnsi="Times New Roman" w:cs="Times New Roman"/>
        </w:rPr>
      </w:pPr>
      <w:r w:rsidRPr="0099068E">
        <w:rPr>
          <w:rFonts w:ascii="Times New Roman" w:hAnsi="Times New Roman" w:cs="Times New Roman"/>
        </w:rPr>
        <w:t xml:space="preserve"> </w:t>
      </w:r>
    </w:p>
    <w:p w14:paraId="43BB4BAB" w14:textId="77777777" w:rsidR="000D35E4" w:rsidRDefault="000D35E4" w:rsidP="000D35E4">
      <w:pPr>
        <w:pStyle w:val="ListParagraph"/>
        <w:numPr>
          <w:ilvl w:val="0"/>
          <w:numId w:val="3"/>
        </w:numPr>
        <w:autoSpaceDE w:val="0"/>
        <w:autoSpaceDN w:val="0"/>
        <w:adjustRightInd w:val="0"/>
        <w:spacing w:after="0" w:line="240" w:lineRule="auto"/>
        <w:rPr>
          <w:rFonts w:ascii="Times New Roman" w:hAnsi="Times New Roman" w:cs="Times New Roman"/>
        </w:rPr>
      </w:pPr>
      <w:r w:rsidRPr="002E7DE6">
        <w:rPr>
          <w:rFonts w:ascii="Times New Roman" w:hAnsi="Times New Roman" w:cs="Times New Roman"/>
        </w:rPr>
        <w:t xml:space="preserve">To the extent that certain groups of contracts pass </w:t>
      </w:r>
      <w:r>
        <w:rPr>
          <w:rFonts w:ascii="Times New Roman" w:hAnsi="Times New Roman" w:cs="Times New Roman"/>
        </w:rPr>
        <w:t>the</w:t>
      </w:r>
      <w:r w:rsidRPr="002E7DE6">
        <w:rPr>
          <w:rFonts w:ascii="Times New Roman" w:hAnsi="Times New Roman" w:cs="Times New Roman"/>
        </w:rPr>
        <w:t xml:space="preserve"> </w:t>
      </w:r>
      <w:r>
        <w:rPr>
          <w:rFonts w:ascii="Times New Roman" w:hAnsi="Times New Roman" w:cs="Times New Roman"/>
        </w:rPr>
        <w:t>stochastic e</w:t>
      </w:r>
      <w:r w:rsidRPr="002E7DE6">
        <w:rPr>
          <w:rFonts w:ascii="Times New Roman" w:hAnsi="Times New Roman" w:cs="Times New Roman"/>
        </w:rPr>
        <w:t xml:space="preserve">xclusion </w:t>
      </w:r>
      <w:r>
        <w:rPr>
          <w:rFonts w:ascii="Times New Roman" w:hAnsi="Times New Roman" w:cs="Times New Roman"/>
        </w:rPr>
        <w:t>t</w:t>
      </w:r>
      <w:r w:rsidRPr="002E7DE6">
        <w:rPr>
          <w:rFonts w:ascii="Times New Roman" w:hAnsi="Times New Roman" w:cs="Times New Roman"/>
        </w:rPr>
        <w:t>est in Section 7</w:t>
      </w:r>
      <w:r>
        <w:rPr>
          <w:rFonts w:ascii="Times New Roman" w:hAnsi="Times New Roman" w:cs="Times New Roman"/>
        </w:rPr>
        <w:t>.B</w:t>
      </w:r>
      <w:r w:rsidRPr="002E7DE6">
        <w:rPr>
          <w:rFonts w:ascii="Times New Roman" w:hAnsi="Times New Roman" w:cs="Times New Roman"/>
        </w:rPr>
        <w:t xml:space="preserve">, these groups of contracts may be valued using the </w:t>
      </w:r>
      <w:bookmarkStart w:id="15" w:name="_Hlk59534784"/>
      <w:r w:rsidRPr="002E7DE6">
        <w:rPr>
          <w:rFonts w:ascii="Times New Roman" w:hAnsi="Times New Roman" w:cs="Times New Roman"/>
        </w:rPr>
        <w:t>methodology</w:t>
      </w:r>
      <w:r>
        <w:rPr>
          <w:rFonts w:ascii="Times New Roman" w:hAnsi="Times New Roman" w:cs="Times New Roman"/>
        </w:rPr>
        <w:t xml:space="preserve"> and statutory maximum valuation rate</w:t>
      </w:r>
      <w:r w:rsidRPr="002E7DE6">
        <w:rPr>
          <w:rFonts w:ascii="Times New Roman" w:hAnsi="Times New Roman" w:cs="Times New Roman"/>
        </w:rPr>
        <w:t xml:space="preserve"> pursuant to</w:t>
      </w:r>
      <w:r w:rsidRPr="002E7DE6">
        <w:rPr>
          <w:rFonts w:ascii="Times New Roman" w:hAnsi="Times New Roman" w:cs="Times New Roman"/>
          <w:color w:val="000000"/>
        </w:rPr>
        <w:t xml:space="preserve"> </w:t>
      </w:r>
      <w:r w:rsidRPr="002E7DE6">
        <w:rPr>
          <w:rFonts w:ascii="Times New Roman" w:eastAsia="Times New Roman" w:hAnsi="Times New Roman" w:cs="Times New Roman"/>
        </w:rPr>
        <w:t>applicable requirements in VM-A</w:t>
      </w:r>
      <w:r>
        <w:rPr>
          <w:rFonts w:ascii="Times New Roman" w:eastAsia="Times New Roman" w:hAnsi="Times New Roman" w:cs="Times New Roman"/>
        </w:rPr>
        <w:t>,</w:t>
      </w:r>
      <w:r w:rsidRPr="002E7DE6">
        <w:rPr>
          <w:rFonts w:ascii="Times New Roman" w:eastAsia="Times New Roman" w:hAnsi="Times New Roman" w:cs="Times New Roman"/>
        </w:rPr>
        <w:t xml:space="preserve"> VM-C</w:t>
      </w:r>
      <w:bookmarkEnd w:id="15"/>
      <w:r w:rsidRPr="002E7DE6">
        <w:rPr>
          <w:rFonts w:ascii="Times New Roman" w:eastAsia="Times New Roman" w:hAnsi="Times New Roman" w:cs="Times New Roman"/>
        </w:rPr>
        <w:t xml:space="preserve">, </w:t>
      </w:r>
      <w:r>
        <w:rPr>
          <w:rFonts w:ascii="Times New Roman" w:eastAsia="Times New Roman" w:hAnsi="Times New Roman" w:cs="Times New Roman"/>
        </w:rPr>
        <w:t>and VM-V</w:t>
      </w:r>
      <w:r w:rsidRPr="002E7DE6">
        <w:rPr>
          <w:rFonts w:ascii="Times New Roman" w:hAnsi="Times New Roman" w:cs="Times New Roman"/>
        </w:rPr>
        <w:t>.</w:t>
      </w:r>
    </w:p>
    <w:p w14:paraId="0352BB49" w14:textId="77777777" w:rsidR="000D35E4" w:rsidRPr="00EF42F6" w:rsidRDefault="000D35E4" w:rsidP="000D35E4">
      <w:pPr>
        <w:pStyle w:val="ListParagraph"/>
        <w:autoSpaceDE w:val="0"/>
        <w:autoSpaceDN w:val="0"/>
        <w:adjustRightInd w:val="0"/>
        <w:spacing w:after="0" w:line="240" w:lineRule="auto"/>
        <w:ind w:left="1440"/>
        <w:rPr>
          <w:rFonts w:ascii="Times New Roman" w:hAnsi="Times New Roman" w:cs="Times New Roman"/>
        </w:rPr>
      </w:pPr>
    </w:p>
    <w:p w14:paraId="17E7A308" w14:textId="77777777" w:rsidR="000D35E4" w:rsidRDefault="000D35E4" w:rsidP="000D35E4">
      <w:pPr>
        <w:autoSpaceDE w:val="0"/>
        <w:autoSpaceDN w:val="0"/>
        <w:adjustRightInd w:val="0"/>
        <w:spacing w:after="0" w:line="240" w:lineRule="auto"/>
        <w:rPr>
          <w:rFonts w:ascii="Times New Roman" w:hAnsi="Times New Roman" w:cs="Times New Roman"/>
        </w:rPr>
      </w:pPr>
    </w:p>
    <w:p w14:paraId="2C6636A3" w14:textId="77777777" w:rsidR="000D35E4" w:rsidRDefault="000D35E4" w:rsidP="000D35E4">
      <w:pPr>
        <w:pStyle w:val="ListParagraph"/>
        <w:numPr>
          <w:ilvl w:val="0"/>
          <w:numId w:val="3"/>
        </w:numPr>
        <w:autoSpaceDE w:val="0"/>
        <w:autoSpaceDN w:val="0"/>
        <w:adjustRightInd w:val="0"/>
        <w:spacing w:after="0" w:line="240" w:lineRule="auto"/>
        <w:rPr>
          <w:rFonts w:ascii="Times New Roman" w:hAnsi="Times New Roman" w:cs="Times New Roman"/>
        </w:rPr>
      </w:pPr>
      <w:r w:rsidRPr="00EF42F6">
        <w:rPr>
          <w:rFonts w:ascii="Times New Roman" w:hAnsi="Times New Roman" w:cs="Times New Roman"/>
        </w:rPr>
        <w:t>For dividend-paying contracts</w:t>
      </w:r>
      <w:r>
        <w:rPr>
          <w:rFonts w:ascii="Times New Roman" w:hAnsi="Times New Roman" w:cs="Times New Roman"/>
        </w:rPr>
        <w:t xml:space="preserve"> that pass the Stochastic Exclusion Test</w:t>
      </w:r>
      <w:r w:rsidRPr="00EF42F6">
        <w:rPr>
          <w:rFonts w:ascii="Times New Roman" w:hAnsi="Times New Roman" w:cs="Times New Roman"/>
        </w:rPr>
        <w:t>, a dividend liability shall be established following requirements in VM-A and VM-C, as described above, for the base contract.</w:t>
      </w:r>
    </w:p>
    <w:p w14:paraId="684AD5B1" w14:textId="77777777" w:rsidR="000D35E4" w:rsidRDefault="000D35E4" w:rsidP="000D35E4">
      <w:pPr>
        <w:pStyle w:val="ListParagraph"/>
        <w:autoSpaceDE w:val="0"/>
        <w:autoSpaceDN w:val="0"/>
        <w:adjustRightInd w:val="0"/>
        <w:spacing w:after="0" w:line="240" w:lineRule="auto"/>
        <w:rPr>
          <w:rFonts w:ascii="Times New Roman" w:hAnsi="Times New Roman" w:cs="Times New Roman"/>
        </w:rPr>
      </w:pPr>
    </w:p>
    <w:p w14:paraId="19F4D646" w14:textId="77777777" w:rsidR="000D35E4" w:rsidRPr="0080364C" w:rsidRDefault="000D35E4" w:rsidP="000D35E4">
      <w:pPr>
        <w:pStyle w:val="ListParagraph"/>
        <w:numPr>
          <w:ilvl w:val="0"/>
          <w:numId w:val="3"/>
        </w:numPr>
        <w:autoSpaceDE w:val="0"/>
        <w:autoSpaceDN w:val="0"/>
        <w:adjustRightInd w:val="0"/>
        <w:spacing w:after="0" w:line="240" w:lineRule="auto"/>
        <w:rPr>
          <w:rFonts w:ascii="Times New Roman" w:hAnsi="Times New Roman" w:cs="Times New Roman"/>
        </w:rPr>
      </w:pPr>
      <w:r w:rsidRPr="0080364C">
        <w:rPr>
          <w:rFonts w:ascii="Times New Roman" w:hAnsi="Times New Roman" w:cs="Times New Roman"/>
        </w:rPr>
        <w:t>The company may not group together contract types with significantly</w:t>
      </w:r>
      <w:r>
        <w:rPr>
          <w:rFonts w:ascii="Times New Roman" w:hAnsi="Times New Roman" w:cs="Times New Roman"/>
        </w:rPr>
        <w:t xml:space="preserve"> </w:t>
      </w:r>
      <w:r w:rsidRPr="0080364C">
        <w:rPr>
          <w:rFonts w:ascii="Times New Roman" w:hAnsi="Times New Roman" w:cs="Times New Roman"/>
        </w:rPr>
        <w:t>different risk profiles</w:t>
      </w:r>
      <w:r>
        <w:rPr>
          <w:rFonts w:ascii="Times New Roman" w:hAnsi="Times New Roman" w:cs="Times New Roman"/>
        </w:rPr>
        <w:t xml:space="preserve"> when performing the exclusion test.</w:t>
      </w:r>
    </w:p>
    <w:p w14:paraId="60CCEF47" w14:textId="77777777" w:rsidR="000D35E4" w:rsidRPr="0099068E" w:rsidRDefault="000D35E4" w:rsidP="000D35E4">
      <w:pPr>
        <w:autoSpaceDE w:val="0"/>
        <w:autoSpaceDN w:val="0"/>
        <w:adjustRightInd w:val="0"/>
        <w:spacing w:after="0" w:line="240" w:lineRule="auto"/>
        <w:rPr>
          <w:rFonts w:ascii="Times New Roman" w:hAnsi="Times New Roman" w:cs="Times New Roman"/>
        </w:rPr>
      </w:pPr>
    </w:p>
    <w:p w14:paraId="31046B4F" w14:textId="77777777" w:rsidR="000D35E4" w:rsidRPr="00252E55" w:rsidRDefault="000D35E4" w:rsidP="000D35E4">
      <w:pPr>
        <w:pStyle w:val="Heading2"/>
        <w:rPr>
          <w:sz w:val="22"/>
          <w:szCs w:val="22"/>
        </w:rPr>
      </w:pPr>
      <w:bookmarkStart w:id="16" w:name="_Toc77242138"/>
      <w:bookmarkStart w:id="17" w:name="_Toc137649783"/>
      <w:bookmarkEnd w:id="14"/>
      <w:r>
        <w:rPr>
          <w:sz w:val="22"/>
          <w:szCs w:val="22"/>
        </w:rPr>
        <w:t>H</w:t>
      </w:r>
      <w:r w:rsidRPr="00252E55">
        <w:rPr>
          <w:sz w:val="22"/>
          <w:szCs w:val="22"/>
        </w:rPr>
        <w:t>. Allocation of the Aggregate Reserve to Contracts</w:t>
      </w:r>
      <w:bookmarkEnd w:id="16"/>
      <w:bookmarkEnd w:id="17"/>
      <w:r w:rsidRPr="00252E55">
        <w:rPr>
          <w:sz w:val="22"/>
          <w:szCs w:val="22"/>
        </w:rPr>
        <w:t xml:space="preserve"> </w:t>
      </w:r>
    </w:p>
    <w:p w14:paraId="11957A7D" w14:textId="77777777" w:rsidR="000D35E4" w:rsidRPr="0099068E" w:rsidRDefault="000D35E4" w:rsidP="000D35E4">
      <w:pPr>
        <w:autoSpaceDE w:val="0"/>
        <w:autoSpaceDN w:val="0"/>
        <w:adjustRightInd w:val="0"/>
        <w:spacing w:after="0" w:line="240" w:lineRule="auto"/>
        <w:rPr>
          <w:rFonts w:ascii="Times New Roman" w:hAnsi="Times New Roman" w:cs="Times New Roman"/>
        </w:rPr>
      </w:pPr>
    </w:p>
    <w:p w14:paraId="2E88B726" w14:textId="77777777" w:rsidR="000D35E4" w:rsidRDefault="000D35E4" w:rsidP="000D35E4">
      <w:pPr>
        <w:autoSpaceDE w:val="0"/>
        <w:autoSpaceDN w:val="0"/>
        <w:adjustRightInd w:val="0"/>
        <w:spacing w:after="0" w:line="240" w:lineRule="auto"/>
        <w:rPr>
          <w:rFonts w:ascii="Times New Roman" w:hAnsi="Times New Roman" w:cs="Times New Roman"/>
        </w:rPr>
      </w:pPr>
      <w:r w:rsidRPr="0099068E">
        <w:rPr>
          <w:rFonts w:ascii="Times New Roman" w:hAnsi="Times New Roman" w:cs="Times New Roman"/>
        </w:rPr>
        <w:t>The aggregate reserve shall be allocated to the contracts falling within the scope of these requirements using the method outlined in Section 1</w:t>
      </w:r>
      <w:r>
        <w:rPr>
          <w:rFonts w:ascii="Times New Roman" w:hAnsi="Times New Roman" w:cs="Times New Roman"/>
        </w:rPr>
        <w:t xml:space="preserve">3, </w:t>
      </w:r>
      <w:proofErr w:type="gramStart"/>
      <w:r>
        <w:rPr>
          <w:rFonts w:ascii="Times New Roman" w:hAnsi="Times New Roman" w:cs="Times New Roman"/>
        </w:rPr>
        <w:t>with the exception of</w:t>
      </w:r>
      <w:proofErr w:type="gramEnd"/>
      <w:r>
        <w:rPr>
          <w:rFonts w:ascii="Times New Roman" w:hAnsi="Times New Roman" w:cs="Times New Roman"/>
        </w:rPr>
        <w:t xml:space="preserve"> contracts valued under VM-A, VM-C, or VM-V following Section 3.G which are to be calculated on a seriatim basis</w:t>
      </w:r>
      <w:r w:rsidRPr="0099068E">
        <w:rPr>
          <w:rFonts w:ascii="Times New Roman" w:hAnsi="Times New Roman" w:cs="Times New Roman"/>
        </w:rPr>
        <w:t xml:space="preserve">. </w:t>
      </w:r>
    </w:p>
    <w:p w14:paraId="4DE6E6F3" w14:textId="77777777" w:rsidR="000D35E4" w:rsidRDefault="000D35E4" w:rsidP="000D35E4">
      <w:pPr>
        <w:autoSpaceDE w:val="0"/>
        <w:autoSpaceDN w:val="0"/>
        <w:adjustRightInd w:val="0"/>
        <w:spacing w:after="0" w:line="240" w:lineRule="auto"/>
        <w:rPr>
          <w:rFonts w:ascii="Times New Roman" w:hAnsi="Times New Roman" w:cs="Times New Roman"/>
        </w:rPr>
      </w:pPr>
    </w:p>
    <w:p w14:paraId="2E36D052" w14:textId="77777777" w:rsidR="000D35E4" w:rsidRPr="0000507A" w:rsidRDefault="000D35E4" w:rsidP="000D35E4">
      <w:pPr>
        <w:pStyle w:val="Heading2"/>
        <w:numPr>
          <w:ilvl w:val="2"/>
          <w:numId w:val="1"/>
        </w:numPr>
      </w:pPr>
      <w:bookmarkStart w:id="18" w:name="_Toc77242139"/>
      <w:bookmarkStart w:id="19" w:name="_Toc137649784"/>
      <w:r w:rsidRPr="0CC86E4D">
        <w:rPr>
          <w:sz w:val="22"/>
          <w:szCs w:val="22"/>
        </w:rPr>
        <w:t>Prudent Estimate Assumptions</w:t>
      </w:r>
      <w:bookmarkEnd w:id="18"/>
      <w:bookmarkEnd w:id="19"/>
    </w:p>
    <w:p w14:paraId="07E29DAE" w14:textId="77777777" w:rsidR="000D35E4" w:rsidRPr="00010E14" w:rsidRDefault="000D35E4" w:rsidP="000D35E4">
      <w:pPr>
        <w:pStyle w:val="ListParagraph"/>
        <w:rPr>
          <w:rFonts w:ascii="Times New Roman" w:hAnsi="Times New Roman"/>
          <w:color w:val="FF0000"/>
        </w:rPr>
      </w:pPr>
    </w:p>
    <w:p w14:paraId="1BC7BF0E" w14:textId="77777777" w:rsidR="000D35E4" w:rsidRPr="000443ED" w:rsidRDefault="000D35E4" w:rsidP="000D35E4">
      <w:pPr>
        <w:pStyle w:val="ListParagraph"/>
        <w:numPr>
          <w:ilvl w:val="0"/>
          <w:numId w:val="2"/>
        </w:numPr>
        <w:spacing w:after="160" w:line="259" w:lineRule="auto"/>
        <w:ind w:left="1440" w:hanging="720"/>
        <w:rPr>
          <w:rFonts w:ascii="Times New Roman" w:hAnsi="Times New Roman"/>
        </w:rPr>
      </w:pPr>
      <w:r w:rsidRPr="118BD2E7">
        <w:rPr>
          <w:rFonts w:ascii="Times New Roman" w:eastAsia="Times New Roman" w:hAnsi="Times New Roman"/>
        </w:rPr>
        <w:t xml:space="preserve">With respect to the </w:t>
      </w:r>
      <w:r>
        <w:rPr>
          <w:rFonts w:ascii="Times New Roman" w:eastAsia="Times New Roman" w:hAnsi="Times New Roman"/>
        </w:rPr>
        <w:t>SR</w:t>
      </w:r>
      <w:r w:rsidRPr="118BD2E7">
        <w:rPr>
          <w:rFonts w:ascii="Times New Roman" w:eastAsia="Times New Roman" w:hAnsi="Times New Roman"/>
        </w:rPr>
        <w:t xml:space="preserve"> in Section 3.</w:t>
      </w:r>
      <w:r>
        <w:rPr>
          <w:rFonts w:ascii="Times New Roman" w:eastAsia="Times New Roman" w:hAnsi="Times New Roman"/>
        </w:rPr>
        <w:t>D</w:t>
      </w:r>
      <w:r w:rsidRPr="118BD2E7">
        <w:rPr>
          <w:rFonts w:ascii="Times New Roman" w:eastAsia="Times New Roman" w:hAnsi="Times New Roman"/>
        </w:rPr>
        <w:t xml:space="preserve">, the company shall establish the prudent estimate assumption for each risk factor in compliance with the requirements in Section 12 of Model #820 and must </w:t>
      </w:r>
      <w:r>
        <w:rPr>
          <w:rFonts w:ascii="Times New Roman" w:eastAsia="Times New Roman" w:hAnsi="Times New Roman"/>
        </w:rPr>
        <w:t>annually</w:t>
      </w:r>
      <w:r w:rsidRPr="118BD2E7">
        <w:rPr>
          <w:rFonts w:ascii="Times New Roman" w:eastAsia="Times New Roman" w:hAnsi="Times New Roman"/>
        </w:rPr>
        <w:t xml:space="preserve"> review and update the assumptions as appropriate</w:t>
      </w:r>
      <w:r>
        <w:rPr>
          <w:rFonts w:ascii="Times New Roman" w:eastAsia="Times New Roman" w:hAnsi="Times New Roman"/>
        </w:rPr>
        <w:t xml:space="preserve"> </w:t>
      </w:r>
      <w:r w:rsidRPr="118BD2E7">
        <w:rPr>
          <w:rFonts w:ascii="Times New Roman" w:eastAsia="Times New Roman" w:hAnsi="Times New Roman"/>
        </w:rPr>
        <w:t>in accordance with these requirements.</w:t>
      </w:r>
    </w:p>
    <w:p w14:paraId="58F94152" w14:textId="77777777" w:rsidR="000D35E4" w:rsidRPr="000443ED" w:rsidRDefault="000D35E4" w:rsidP="000D35E4">
      <w:pPr>
        <w:pBdr>
          <w:top w:val="single" w:sz="4" w:space="1" w:color="auto"/>
          <w:left w:val="single" w:sz="4" w:space="4" w:color="auto"/>
          <w:bottom w:val="single" w:sz="4" w:space="1" w:color="auto"/>
          <w:right w:val="single" w:sz="4" w:space="4" w:color="auto"/>
        </w:pBdr>
        <w:spacing w:after="160" w:line="259" w:lineRule="auto"/>
        <w:ind w:left="1440"/>
        <w:rPr>
          <w:rFonts w:ascii="Times New Roman" w:hAnsi="Times New Roman"/>
        </w:rPr>
      </w:pPr>
      <w:r w:rsidRPr="000443ED">
        <w:rPr>
          <w:rFonts w:ascii="Times New Roman" w:hAnsi="Times New Roman"/>
          <w:b/>
          <w:bCs/>
        </w:rPr>
        <w:lastRenderedPageBreak/>
        <w:t>Drafting Note:</w:t>
      </w:r>
      <w:r w:rsidRPr="000443ED">
        <w:rPr>
          <w:rFonts w:ascii="Times New Roman" w:hAnsi="Times New Roman"/>
        </w:rPr>
        <w:t xml:space="preserve"> Consider </w:t>
      </w:r>
      <w:r>
        <w:rPr>
          <w:rFonts w:ascii="Times New Roman" w:hAnsi="Times New Roman"/>
        </w:rPr>
        <w:t>whether to provide specific requirements on the frequency of doing a full experience study, rather than only providing requirements on the frequency of conducting a review</w:t>
      </w:r>
      <w:r w:rsidRPr="000443ED">
        <w:rPr>
          <w:rFonts w:ascii="Times New Roman" w:hAnsi="Times New Roman"/>
        </w:rPr>
        <w:t>.</w:t>
      </w:r>
    </w:p>
    <w:p w14:paraId="6D4BBA55" w14:textId="77777777" w:rsidR="000D35E4" w:rsidRPr="00010E14" w:rsidRDefault="000D35E4" w:rsidP="000D35E4">
      <w:pPr>
        <w:pStyle w:val="ListParagraph"/>
        <w:ind w:left="1080" w:hanging="720"/>
        <w:rPr>
          <w:rFonts w:ascii="Times New Roman" w:hAnsi="Times New Roman"/>
          <w:color w:val="FF0000"/>
        </w:rPr>
      </w:pPr>
    </w:p>
    <w:p w14:paraId="0D383D07" w14:textId="77777777" w:rsidR="000D35E4" w:rsidRPr="004A6B87" w:rsidRDefault="000D35E4" w:rsidP="000D35E4">
      <w:pPr>
        <w:pStyle w:val="ListParagraph"/>
        <w:numPr>
          <w:ilvl w:val="0"/>
          <w:numId w:val="2"/>
        </w:numPr>
        <w:spacing w:after="160" w:line="259" w:lineRule="auto"/>
        <w:ind w:left="1440" w:hanging="720"/>
        <w:rPr>
          <w:rFonts w:ascii="Times New Roman" w:hAnsi="Times New Roman"/>
          <w:color w:val="FF0000"/>
        </w:rPr>
      </w:pPr>
      <w:r w:rsidRPr="6A893740">
        <w:rPr>
          <w:rFonts w:ascii="Times New Roman" w:eastAsia="Times New Roman" w:hAnsi="Times New Roman"/>
        </w:rPr>
        <w:t xml:space="preserve">The qualified actuary, to whom responsibility for </w:t>
      </w:r>
      <w:r>
        <w:rPr>
          <w:rFonts w:ascii="Times New Roman" w:eastAsia="Times New Roman" w:hAnsi="Times New Roman"/>
        </w:rPr>
        <w:t>a given</w:t>
      </w:r>
      <w:r w:rsidRPr="6A893740">
        <w:rPr>
          <w:rFonts w:ascii="Times New Roman" w:eastAsia="Times New Roman" w:hAnsi="Times New Roman"/>
        </w:rPr>
        <w:t xml:space="preserve"> group of </w:t>
      </w:r>
      <w:r w:rsidRPr="6A893740">
        <w:rPr>
          <w:rFonts w:ascii="Times New Roman" w:hAnsi="Times New Roman" w:cs="Times New Roman"/>
        </w:rPr>
        <w:t>contracts</w:t>
      </w:r>
      <w:r w:rsidRPr="6A893740">
        <w:rPr>
          <w:rFonts w:ascii="Times New Roman" w:eastAsia="Times New Roman" w:hAnsi="Times New Roman"/>
        </w:rPr>
        <w:t xml:space="preserve"> is assigned, shall annually review relevant emerging experience for the purpose of assessing the appropriateness of the anticipated experience assumption. If the results of </w:t>
      </w:r>
      <w:r>
        <w:rPr>
          <w:rFonts w:ascii="Times New Roman" w:eastAsia="Times New Roman" w:hAnsi="Times New Roman"/>
        </w:rPr>
        <w:t>the review</w:t>
      </w:r>
      <w:r w:rsidRPr="6A893740">
        <w:rPr>
          <w:rFonts w:ascii="Times New Roman" w:eastAsia="Times New Roman" w:hAnsi="Times New Roman"/>
        </w:rPr>
        <w:t xml:space="preserve"> indicate that </w:t>
      </w:r>
      <w:proofErr w:type="gramStart"/>
      <w:r w:rsidRPr="6A893740">
        <w:rPr>
          <w:rFonts w:ascii="Times New Roman" w:eastAsia="Times New Roman" w:hAnsi="Times New Roman"/>
        </w:rPr>
        <w:t>previously</w:t>
      </w:r>
      <w:proofErr w:type="gramEnd"/>
      <w:r w:rsidRPr="6A893740">
        <w:rPr>
          <w:rFonts w:ascii="Times New Roman" w:eastAsia="Times New Roman" w:hAnsi="Times New Roman"/>
        </w:rPr>
        <w:t xml:space="preserve"> anticipated experience for a given factor is inadequate, then the </w:t>
      </w:r>
      <w:r>
        <w:rPr>
          <w:rFonts w:ascii="Times New Roman" w:eastAsia="Times New Roman" w:hAnsi="Times New Roman"/>
        </w:rPr>
        <w:t>company</w:t>
      </w:r>
      <w:r w:rsidRPr="6A893740">
        <w:rPr>
          <w:rFonts w:ascii="Times New Roman" w:eastAsia="Times New Roman" w:hAnsi="Times New Roman"/>
        </w:rPr>
        <w:t xml:space="preserve"> shall set a new, adequate, anticipated experience assumption for the factor.</w:t>
      </w:r>
    </w:p>
    <w:p w14:paraId="4189E99E" w14:textId="77777777" w:rsidR="000D35E4" w:rsidRPr="004A6B87" w:rsidRDefault="000D35E4" w:rsidP="000D35E4">
      <w:pPr>
        <w:pStyle w:val="ListParagraph"/>
        <w:rPr>
          <w:rFonts w:ascii="Times New Roman" w:hAnsi="Times New Roman"/>
          <w:color w:val="FF0000"/>
        </w:rPr>
      </w:pPr>
    </w:p>
    <w:p w14:paraId="62D43574" w14:textId="77777777" w:rsidR="000D35E4" w:rsidRPr="00A85B27" w:rsidRDefault="000D35E4" w:rsidP="000D35E4">
      <w:pPr>
        <w:pStyle w:val="ListParagraph"/>
        <w:numPr>
          <w:ilvl w:val="0"/>
          <w:numId w:val="2"/>
        </w:numPr>
        <w:spacing w:after="160" w:line="259" w:lineRule="auto"/>
        <w:ind w:left="1440" w:hanging="720"/>
        <w:rPr>
          <w:rFonts w:ascii="Times New Roman" w:hAnsi="Times New Roman" w:cs="Times New Roman"/>
        </w:rPr>
      </w:pPr>
      <w:r w:rsidRPr="0CC86E4D">
        <w:rPr>
          <w:rFonts w:ascii="Times New Roman" w:hAnsi="Times New Roman"/>
        </w:rPr>
        <w:t xml:space="preserve">To determine the prudent estimate assumptions, the </w:t>
      </w:r>
      <w:r>
        <w:rPr>
          <w:rFonts w:ascii="Times New Roman" w:hAnsi="Times New Roman"/>
        </w:rPr>
        <w:t>SR</w:t>
      </w:r>
      <w:r w:rsidRPr="0CC86E4D">
        <w:rPr>
          <w:rFonts w:ascii="Times New Roman" w:hAnsi="Times New Roman"/>
        </w:rPr>
        <w:t xml:space="preserve"> shall also follow the requirements in Sections 4 and </w:t>
      </w:r>
      <w:r>
        <w:rPr>
          <w:rFonts w:ascii="Times New Roman" w:hAnsi="Times New Roman"/>
        </w:rPr>
        <w:t xml:space="preserve">general assumptions including Section </w:t>
      </w:r>
      <w:r w:rsidRPr="0CC86E4D">
        <w:rPr>
          <w:rFonts w:ascii="Times New Roman" w:hAnsi="Times New Roman"/>
        </w:rPr>
        <w:t xml:space="preserve">9 for </w:t>
      </w:r>
      <w:r>
        <w:rPr>
          <w:rFonts w:ascii="Times New Roman" w:hAnsi="Times New Roman"/>
        </w:rPr>
        <w:t>hedging</w:t>
      </w:r>
      <w:r w:rsidRPr="0CC86E4D">
        <w:rPr>
          <w:rFonts w:ascii="Times New Roman" w:hAnsi="Times New Roman"/>
        </w:rPr>
        <w:t xml:space="preserve"> assumptions, Section 10 for </w:t>
      </w:r>
      <w:r>
        <w:rPr>
          <w:rFonts w:ascii="Times New Roman" w:hAnsi="Times New Roman"/>
        </w:rPr>
        <w:t xml:space="preserve">contract </w:t>
      </w:r>
      <w:r w:rsidRPr="0CC86E4D">
        <w:rPr>
          <w:rFonts w:ascii="Times New Roman" w:hAnsi="Times New Roman"/>
        </w:rPr>
        <w:t>holder behavior assumptions, Section 11 for mortality assumptions</w:t>
      </w:r>
      <w:r>
        <w:rPr>
          <w:rFonts w:ascii="Times New Roman" w:hAnsi="Times New Roman"/>
        </w:rPr>
        <w:t>, and Section 12 for general guidance and expense assumptions</w:t>
      </w:r>
      <w:r w:rsidRPr="0CC86E4D">
        <w:rPr>
          <w:rFonts w:ascii="Times New Roman" w:hAnsi="Times New Roman"/>
        </w:rPr>
        <w:t>.</w:t>
      </w:r>
      <w:r w:rsidRPr="0CC86E4D">
        <w:rPr>
          <w:rFonts w:ascii="Times New Roman" w:hAnsi="Times New Roman" w:cs="Times New Roman"/>
        </w:rPr>
        <w:t xml:space="preserve"> </w:t>
      </w:r>
    </w:p>
    <w:p w14:paraId="021381EE" w14:textId="77777777" w:rsidR="000D35E4" w:rsidRPr="004101C0" w:rsidRDefault="000D35E4" w:rsidP="000D35E4">
      <w:pPr>
        <w:pStyle w:val="Heading2"/>
        <w:numPr>
          <w:ilvl w:val="2"/>
          <w:numId w:val="1"/>
        </w:numPr>
        <w:rPr>
          <w:rFonts w:ascii="Times New Roman" w:hAnsi="Times New Roman" w:cs="Times New Roman"/>
          <w:sz w:val="22"/>
          <w:szCs w:val="22"/>
        </w:rPr>
      </w:pPr>
      <w:bookmarkStart w:id="20" w:name="_Toc137649785"/>
      <w:r w:rsidRPr="004937D7">
        <w:rPr>
          <w:sz w:val="22"/>
          <w:szCs w:val="22"/>
        </w:rPr>
        <w:t>Approximations, Simplifications, and Modeling Efficiency Techniques</w:t>
      </w:r>
      <w:bookmarkEnd w:id="20"/>
      <w:r w:rsidRPr="00252E55">
        <w:rPr>
          <w:sz w:val="22"/>
          <w:szCs w:val="22"/>
        </w:rPr>
        <w:t xml:space="preserve"> </w:t>
      </w:r>
    </w:p>
    <w:p w14:paraId="416C3252" w14:textId="77777777" w:rsidR="000D35E4" w:rsidRDefault="000D35E4" w:rsidP="000D35E4">
      <w:pPr>
        <w:pStyle w:val="ListParagraph"/>
        <w:rPr>
          <w:rFonts w:ascii="Times New Roman" w:hAnsi="Times New Roman" w:cs="Times New Roman"/>
        </w:rPr>
      </w:pPr>
    </w:p>
    <w:p w14:paraId="6ED349BB" w14:textId="77777777" w:rsidR="000D35E4" w:rsidRPr="00010E14" w:rsidRDefault="000D35E4" w:rsidP="000D35E4">
      <w:pPr>
        <w:pStyle w:val="ListParagraph"/>
        <w:rPr>
          <w:rFonts w:ascii="Times New Roman" w:hAnsi="Times New Roman"/>
          <w:color w:val="FF0000"/>
        </w:rPr>
      </w:pPr>
      <w:r w:rsidRPr="004101C0">
        <w:rPr>
          <w:rFonts w:ascii="Times New Roman" w:hAnsi="Times New Roman" w:cs="Times New Roman"/>
        </w:rPr>
        <w:t xml:space="preserve">A company may use simplifications, approximations, and modeling efficiency techniques to calculate the </w:t>
      </w:r>
      <w:r>
        <w:rPr>
          <w:rFonts w:ascii="Times New Roman" w:hAnsi="Times New Roman" w:cs="Times New Roman"/>
        </w:rPr>
        <w:t>SR</w:t>
      </w:r>
      <w:r w:rsidRPr="004101C0">
        <w:rPr>
          <w:rFonts w:ascii="Times New Roman" w:hAnsi="Times New Roman" w:cs="Times New Roman"/>
        </w:rPr>
        <w:t xml:space="preserve"> and/or the additional standard projection amount required by this section if the company can demonstrate that the use of such techniques does not understate </w:t>
      </w:r>
      <w:r>
        <w:rPr>
          <w:rFonts w:ascii="Times New Roman" w:hAnsi="Times New Roman" w:cs="Times New Roman"/>
        </w:rPr>
        <w:t xml:space="preserve">the reserve </w:t>
      </w:r>
      <w:r w:rsidRPr="004101C0">
        <w:rPr>
          <w:rFonts w:ascii="Times New Roman" w:hAnsi="Times New Roman" w:cs="Times New Roman"/>
        </w:rPr>
        <w:t xml:space="preserve">by a material amount, and the expected value of </w:t>
      </w:r>
      <w:r>
        <w:rPr>
          <w:rFonts w:ascii="Times New Roman" w:hAnsi="Times New Roman" w:cs="Times New Roman"/>
        </w:rPr>
        <w:t>the reserve</w:t>
      </w:r>
      <w:r w:rsidRPr="004101C0">
        <w:rPr>
          <w:rFonts w:ascii="Times New Roman" w:hAnsi="Times New Roman" w:cs="Times New Roman"/>
        </w:rPr>
        <w:t xml:space="preserve"> calculated using simplifications, approximations, and modeling efficiency techniques is not less than the expected value of </w:t>
      </w:r>
      <w:r>
        <w:rPr>
          <w:rFonts w:ascii="Times New Roman" w:hAnsi="Times New Roman" w:cs="Times New Roman"/>
        </w:rPr>
        <w:t>the reserve</w:t>
      </w:r>
      <w:r w:rsidRPr="004101C0">
        <w:rPr>
          <w:rFonts w:ascii="Times New Roman" w:hAnsi="Times New Roman" w:cs="Times New Roman"/>
        </w:rPr>
        <w:t xml:space="preserve"> calculated that does not use them.</w:t>
      </w:r>
    </w:p>
    <w:p w14:paraId="3AC088E4" w14:textId="77777777" w:rsidR="000D35E4" w:rsidRPr="00A230A4" w:rsidRDefault="000D35E4" w:rsidP="000D35E4">
      <w:pPr>
        <w:pBdr>
          <w:top w:val="single" w:sz="4" w:space="1" w:color="auto"/>
          <w:left w:val="single" w:sz="4" w:space="4" w:color="auto"/>
          <w:bottom w:val="single" w:sz="4" w:space="1" w:color="auto"/>
          <w:right w:val="single" w:sz="4" w:space="4" w:color="auto"/>
        </w:pBdr>
        <w:spacing w:before="30"/>
        <w:ind w:left="720"/>
        <w:rPr>
          <w:rFonts w:ascii="Times New Roman" w:hAnsi="Times New Roman" w:cs="Times New Roman"/>
          <w:b/>
        </w:rPr>
      </w:pPr>
      <w:bookmarkStart w:id="21" w:name="_Hlk60116030"/>
      <w:bookmarkStart w:id="22" w:name="_Hlk60116031"/>
      <w:r w:rsidRPr="00A230A4">
        <w:rPr>
          <w:rFonts w:ascii="Times New Roman" w:hAnsi="Times New Roman" w:cs="Times New Roman"/>
          <w:b/>
        </w:rPr>
        <w:t>Guidance Note:</w:t>
      </w:r>
    </w:p>
    <w:p w14:paraId="07505358" w14:textId="77777777" w:rsidR="000D35E4" w:rsidRPr="00A230A4" w:rsidRDefault="000D35E4" w:rsidP="000D35E4">
      <w:pPr>
        <w:pBdr>
          <w:top w:val="single" w:sz="4" w:space="1" w:color="auto"/>
          <w:left w:val="single" w:sz="4" w:space="4" w:color="auto"/>
          <w:bottom w:val="single" w:sz="4" w:space="1" w:color="auto"/>
          <w:right w:val="single" w:sz="4" w:space="4" w:color="auto"/>
        </w:pBdr>
        <w:spacing w:before="203"/>
        <w:ind w:left="720"/>
        <w:rPr>
          <w:rFonts w:ascii="Times New Roman" w:hAnsi="Times New Roman" w:cs="Times New Roman"/>
        </w:rPr>
      </w:pPr>
      <w:r w:rsidRPr="00A230A4">
        <w:rPr>
          <w:rFonts w:ascii="Times New Roman" w:hAnsi="Times New Roman" w:cs="Times New Roman"/>
        </w:rPr>
        <w:t>Examples of modeling efficiency techniques include, but are not limited to:</w:t>
      </w:r>
    </w:p>
    <w:p w14:paraId="2F9A1982" w14:textId="77777777" w:rsidR="000D35E4" w:rsidRPr="00A230A4" w:rsidRDefault="000D35E4" w:rsidP="000D35E4">
      <w:pPr>
        <w:pBdr>
          <w:top w:val="single" w:sz="4" w:space="1" w:color="auto"/>
          <w:left w:val="single" w:sz="4" w:space="4" w:color="auto"/>
          <w:bottom w:val="single" w:sz="4" w:space="1" w:color="auto"/>
          <w:right w:val="single" w:sz="4" w:space="4" w:color="auto"/>
        </w:pBdr>
        <w:spacing w:before="198"/>
        <w:ind w:left="936" w:hanging="216"/>
        <w:jc w:val="both"/>
        <w:rPr>
          <w:rFonts w:ascii="Times New Roman" w:hAnsi="Times New Roman" w:cs="Times New Roman"/>
        </w:rPr>
      </w:pPr>
      <w:r w:rsidRPr="00A230A4">
        <w:rPr>
          <w:rFonts w:ascii="Times New Roman" w:hAnsi="Times New Roman" w:cs="Times New Roman"/>
        </w:rPr>
        <w:t>1. Choosing a reduced set of scenarios from a larger set consistent with prescribed models and parameters.</w:t>
      </w:r>
      <w:bookmarkStart w:id="23" w:name="_Hlk60116014"/>
      <w:bookmarkEnd w:id="21"/>
      <w:bookmarkEnd w:id="22"/>
    </w:p>
    <w:p w14:paraId="45D14F17" w14:textId="77777777" w:rsidR="000D35E4" w:rsidRPr="00A230A4" w:rsidRDefault="000D35E4" w:rsidP="000D35E4">
      <w:pPr>
        <w:pBdr>
          <w:top w:val="single" w:sz="4" w:space="1" w:color="auto"/>
          <w:left w:val="single" w:sz="4" w:space="4" w:color="auto"/>
          <w:bottom w:val="single" w:sz="4" w:space="1" w:color="auto"/>
          <w:right w:val="single" w:sz="4" w:space="4" w:color="auto"/>
        </w:pBdr>
        <w:spacing w:before="198"/>
        <w:ind w:left="936" w:hanging="216"/>
        <w:jc w:val="both"/>
        <w:rPr>
          <w:rFonts w:ascii="Times New Roman" w:hAnsi="Times New Roman" w:cs="Times New Roman"/>
        </w:rPr>
      </w:pPr>
      <w:r w:rsidRPr="00A230A4">
        <w:rPr>
          <w:rFonts w:ascii="Times New Roman" w:hAnsi="Times New Roman" w:cs="Times New Roman"/>
        </w:rPr>
        <w:t>2. Generating a smaller liability or asset model to represent the full seriatim model using grouping compression techniques or other similar simplifications.</w:t>
      </w:r>
    </w:p>
    <w:p w14:paraId="09D40E69" w14:textId="77777777" w:rsidR="000D35E4" w:rsidRDefault="000D35E4" w:rsidP="000D35E4">
      <w:pPr>
        <w:pBdr>
          <w:top w:val="single" w:sz="4" w:space="1" w:color="auto"/>
          <w:left w:val="single" w:sz="4" w:space="4" w:color="auto"/>
          <w:bottom w:val="single" w:sz="4" w:space="1" w:color="auto"/>
          <w:right w:val="single" w:sz="4" w:space="4" w:color="auto"/>
        </w:pBdr>
        <w:spacing w:before="198"/>
        <w:ind w:left="720"/>
        <w:jc w:val="both"/>
        <w:rPr>
          <w:rFonts w:ascii="Times New Roman" w:hAnsi="Times New Roman" w:cs="Times New Roman"/>
        </w:rPr>
      </w:pPr>
      <w:r w:rsidRPr="00A230A4">
        <w:rPr>
          <w:rFonts w:ascii="Times New Roman" w:hAnsi="Times New Roman" w:cs="Times New Roman"/>
        </w:rPr>
        <w:t>There are multiple ways of providing the demonstration required by Section 3.</w:t>
      </w:r>
      <w:r>
        <w:rPr>
          <w:rFonts w:ascii="Times New Roman" w:hAnsi="Times New Roman" w:cs="Times New Roman"/>
        </w:rPr>
        <w:t>J</w:t>
      </w:r>
      <w:r w:rsidRPr="00A230A4">
        <w:rPr>
          <w:rFonts w:ascii="Times New Roman" w:hAnsi="Times New Roman" w:cs="Times New Roman"/>
        </w:rPr>
        <w:t>. The complexity of the demonstration depends upon the simplifications, approximations or modeling efficiency techniques used. Examples include, but are not limited to:</w:t>
      </w:r>
    </w:p>
    <w:p w14:paraId="27397896" w14:textId="77777777" w:rsidR="000D35E4" w:rsidRDefault="000D35E4" w:rsidP="000D35E4">
      <w:pPr>
        <w:pStyle w:val="ListParagraph"/>
        <w:numPr>
          <w:ilvl w:val="0"/>
          <w:numId w:val="9"/>
        </w:num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rPr>
      </w:pPr>
      <w:r w:rsidRPr="0065547F">
        <w:rPr>
          <w:rFonts w:ascii="Times New Roman" w:hAnsi="Times New Roman" w:cs="Times New Roman"/>
        </w:rPr>
        <w:t>Rounding</w:t>
      </w:r>
      <w:r w:rsidRPr="0065547F">
        <w:rPr>
          <w:rFonts w:ascii="Times New Roman" w:hAnsi="Times New Roman" w:cs="Times New Roman"/>
          <w:spacing w:val="-1"/>
        </w:rPr>
        <w:t xml:space="preserve"> </w:t>
      </w:r>
      <w:r w:rsidRPr="0065547F">
        <w:rPr>
          <w:rFonts w:ascii="Times New Roman" w:hAnsi="Times New Roman" w:cs="Times New Roman"/>
        </w:rPr>
        <w:t>at</w:t>
      </w:r>
      <w:r w:rsidRPr="0065547F">
        <w:rPr>
          <w:rFonts w:ascii="Times New Roman" w:hAnsi="Times New Roman" w:cs="Times New Roman"/>
          <w:spacing w:val="-4"/>
        </w:rPr>
        <w:t xml:space="preserve"> </w:t>
      </w:r>
      <w:r w:rsidRPr="0065547F">
        <w:rPr>
          <w:rFonts w:ascii="Times New Roman" w:hAnsi="Times New Roman" w:cs="Times New Roman"/>
        </w:rPr>
        <w:t>a</w:t>
      </w:r>
      <w:r w:rsidRPr="0065547F">
        <w:rPr>
          <w:rFonts w:ascii="Times New Roman" w:hAnsi="Times New Roman" w:cs="Times New Roman"/>
          <w:spacing w:val="-7"/>
        </w:rPr>
        <w:t xml:space="preserve"> </w:t>
      </w:r>
      <w:r w:rsidRPr="0065547F">
        <w:rPr>
          <w:rFonts w:ascii="Times New Roman" w:hAnsi="Times New Roman" w:cs="Times New Roman"/>
        </w:rPr>
        <w:t>transactional level</w:t>
      </w:r>
      <w:r w:rsidRPr="0065547F">
        <w:rPr>
          <w:rFonts w:ascii="Times New Roman" w:hAnsi="Times New Roman" w:cs="Times New Roman"/>
          <w:spacing w:val="-4"/>
        </w:rPr>
        <w:t xml:space="preserve"> </w:t>
      </w:r>
      <w:r w:rsidRPr="0065547F">
        <w:rPr>
          <w:rFonts w:ascii="Times New Roman" w:hAnsi="Times New Roman" w:cs="Times New Roman"/>
        </w:rPr>
        <w:t>in</w:t>
      </w:r>
      <w:r w:rsidRPr="0065547F">
        <w:rPr>
          <w:rFonts w:ascii="Times New Roman" w:hAnsi="Times New Roman" w:cs="Times New Roman"/>
          <w:spacing w:val="-5"/>
        </w:rPr>
        <w:t xml:space="preserve"> </w:t>
      </w:r>
      <w:r w:rsidRPr="0065547F">
        <w:rPr>
          <w:rFonts w:ascii="Times New Roman" w:hAnsi="Times New Roman" w:cs="Times New Roman"/>
        </w:rPr>
        <w:t>a</w:t>
      </w:r>
      <w:r w:rsidRPr="0065547F">
        <w:rPr>
          <w:rFonts w:ascii="Times New Roman" w:hAnsi="Times New Roman" w:cs="Times New Roman"/>
          <w:spacing w:val="-3"/>
        </w:rPr>
        <w:t xml:space="preserve"> </w:t>
      </w:r>
      <w:r w:rsidRPr="0065547F">
        <w:rPr>
          <w:rFonts w:ascii="Times New Roman" w:hAnsi="Times New Roman" w:cs="Times New Roman"/>
        </w:rPr>
        <w:t>direction</w:t>
      </w:r>
      <w:r w:rsidRPr="0065547F">
        <w:rPr>
          <w:rFonts w:ascii="Times New Roman" w:hAnsi="Times New Roman" w:cs="Times New Roman"/>
          <w:spacing w:val="-3"/>
        </w:rPr>
        <w:t xml:space="preserve"> </w:t>
      </w:r>
      <w:r w:rsidRPr="0065547F">
        <w:rPr>
          <w:rFonts w:ascii="Times New Roman" w:hAnsi="Times New Roman" w:cs="Times New Roman"/>
        </w:rPr>
        <w:t>that</w:t>
      </w:r>
      <w:r w:rsidRPr="0065547F">
        <w:rPr>
          <w:rFonts w:ascii="Times New Roman" w:hAnsi="Times New Roman" w:cs="Times New Roman"/>
          <w:spacing w:val="-3"/>
        </w:rPr>
        <w:t xml:space="preserve"> </w:t>
      </w:r>
      <w:r w:rsidRPr="0065547F">
        <w:rPr>
          <w:rFonts w:ascii="Times New Roman" w:hAnsi="Times New Roman" w:cs="Times New Roman"/>
        </w:rPr>
        <w:t>is</w:t>
      </w:r>
      <w:r w:rsidRPr="0065547F">
        <w:rPr>
          <w:rFonts w:ascii="Times New Roman" w:hAnsi="Times New Roman" w:cs="Times New Roman"/>
          <w:spacing w:val="-5"/>
        </w:rPr>
        <w:t xml:space="preserve"> </w:t>
      </w:r>
      <w:r w:rsidRPr="0065547F">
        <w:rPr>
          <w:rFonts w:ascii="Times New Roman" w:hAnsi="Times New Roman" w:cs="Times New Roman"/>
        </w:rPr>
        <w:t>clearly and</w:t>
      </w:r>
      <w:r w:rsidRPr="0065547F">
        <w:rPr>
          <w:rFonts w:ascii="Times New Roman" w:hAnsi="Times New Roman" w:cs="Times New Roman"/>
          <w:spacing w:val="-1"/>
        </w:rPr>
        <w:t xml:space="preserve"> </w:t>
      </w:r>
      <w:r w:rsidRPr="0065547F">
        <w:rPr>
          <w:rFonts w:ascii="Times New Roman" w:hAnsi="Times New Roman" w:cs="Times New Roman"/>
        </w:rPr>
        <w:t>consistently conservative</w:t>
      </w:r>
      <w:r w:rsidRPr="0065547F">
        <w:rPr>
          <w:rFonts w:ascii="Times New Roman" w:hAnsi="Times New Roman" w:cs="Times New Roman"/>
          <w:spacing w:val="-7"/>
        </w:rPr>
        <w:t xml:space="preserve"> </w:t>
      </w:r>
      <w:r w:rsidRPr="0065547F">
        <w:rPr>
          <w:rFonts w:ascii="Times New Roman" w:hAnsi="Times New Roman" w:cs="Times New Roman"/>
        </w:rPr>
        <w:t>or</w:t>
      </w:r>
      <w:r w:rsidRPr="0065547F">
        <w:rPr>
          <w:rFonts w:ascii="Times New Roman" w:hAnsi="Times New Roman" w:cs="Times New Roman"/>
          <w:spacing w:val="-2"/>
        </w:rPr>
        <w:t xml:space="preserve"> </w:t>
      </w:r>
      <w:r w:rsidRPr="0065547F">
        <w:rPr>
          <w:rFonts w:ascii="Times New Roman" w:hAnsi="Times New Roman" w:cs="Times New Roman"/>
        </w:rPr>
        <w:t>is clearly and consistently unbiased with an obviously immaterial impact on the result (e.g., rounding to the nearest dollar) would satisfy 3.J without needing a demonstration. However, rounding to too few significant digits relative to the quantity being rounded, even in an unbiased way, may be material and in that event, the company may need to provide a demonstration that the rounding would not produce a material understatement of the reserve.</w:t>
      </w:r>
    </w:p>
    <w:p w14:paraId="62D3CCEF" w14:textId="77777777" w:rsidR="000D35E4" w:rsidRPr="0065547F" w:rsidRDefault="000D35E4" w:rsidP="000D35E4">
      <w:pPr>
        <w:pBdr>
          <w:top w:val="single" w:sz="4" w:space="1" w:color="auto"/>
          <w:left w:val="single" w:sz="4" w:space="4" w:color="auto"/>
          <w:bottom w:val="single" w:sz="4" w:space="1" w:color="auto"/>
          <w:right w:val="single" w:sz="4" w:space="4" w:color="auto"/>
        </w:pBdr>
        <w:spacing w:after="0"/>
        <w:ind w:left="720"/>
        <w:jc w:val="both"/>
        <w:rPr>
          <w:rFonts w:ascii="Times New Roman" w:hAnsi="Times New Roman" w:cs="Times New Roman"/>
        </w:rPr>
      </w:pPr>
    </w:p>
    <w:p w14:paraId="6235AD43" w14:textId="75BBC919" w:rsidR="00701DE8" w:rsidRPr="00701DE8" w:rsidRDefault="000D35E4" w:rsidP="00701DE8">
      <w:pPr>
        <w:pStyle w:val="ListParagraph"/>
        <w:numPr>
          <w:ilvl w:val="0"/>
          <w:numId w:val="9"/>
        </w:num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rPr>
      </w:pPr>
      <w:r w:rsidRPr="0065547F">
        <w:rPr>
          <w:rFonts w:ascii="Times New Roman" w:hAnsi="Times New Roman" w:cs="Times New Roman"/>
        </w:rPr>
        <w:lastRenderedPageBreak/>
        <w:t xml:space="preserve">A brute force demonstration involves </w:t>
      </w:r>
      <w:bookmarkEnd w:id="23"/>
      <w:r w:rsidRPr="0065547F">
        <w:rPr>
          <w:rFonts w:ascii="Times New Roman" w:hAnsi="Times New Roman" w:cs="Times New Roman"/>
        </w:rPr>
        <w:t>calculating the minimum reserve both with and without the simplification, approximation or modeling efficiency technique, and making a direct comparison between the resulting reserve. Regardless of the specific simplification, approximation</w:t>
      </w:r>
      <w:r w:rsidRPr="0065547F">
        <w:rPr>
          <w:rFonts w:ascii="Times New Roman" w:hAnsi="Times New Roman" w:cs="Times New Roman"/>
          <w:spacing w:val="-7"/>
        </w:rPr>
        <w:t xml:space="preserve"> </w:t>
      </w:r>
      <w:r w:rsidRPr="0065547F">
        <w:rPr>
          <w:rFonts w:ascii="Times New Roman" w:hAnsi="Times New Roman" w:cs="Times New Roman"/>
        </w:rPr>
        <w:t>or</w:t>
      </w:r>
      <w:r w:rsidRPr="0065547F">
        <w:rPr>
          <w:rFonts w:ascii="Times New Roman" w:hAnsi="Times New Roman" w:cs="Times New Roman"/>
          <w:spacing w:val="-12"/>
        </w:rPr>
        <w:t xml:space="preserve"> </w:t>
      </w:r>
      <w:r w:rsidRPr="0065547F">
        <w:rPr>
          <w:rFonts w:ascii="Times New Roman" w:hAnsi="Times New Roman" w:cs="Times New Roman"/>
        </w:rPr>
        <w:t>modeling</w:t>
      </w:r>
      <w:r w:rsidRPr="0065547F">
        <w:rPr>
          <w:rFonts w:ascii="Times New Roman" w:hAnsi="Times New Roman" w:cs="Times New Roman"/>
          <w:spacing w:val="-6"/>
        </w:rPr>
        <w:t xml:space="preserve"> </w:t>
      </w:r>
      <w:r w:rsidRPr="0065547F">
        <w:rPr>
          <w:rFonts w:ascii="Times New Roman" w:hAnsi="Times New Roman" w:cs="Times New Roman"/>
        </w:rPr>
        <w:t>efficiency</w:t>
      </w:r>
      <w:r w:rsidRPr="0065547F">
        <w:rPr>
          <w:rFonts w:ascii="Times New Roman" w:hAnsi="Times New Roman" w:cs="Times New Roman"/>
          <w:spacing w:val="-6"/>
        </w:rPr>
        <w:t xml:space="preserve"> </w:t>
      </w:r>
      <w:r w:rsidRPr="0065547F">
        <w:rPr>
          <w:rFonts w:ascii="Times New Roman" w:hAnsi="Times New Roman" w:cs="Times New Roman"/>
        </w:rPr>
        <w:t>technique</w:t>
      </w:r>
      <w:r w:rsidRPr="0065547F">
        <w:rPr>
          <w:rFonts w:ascii="Times New Roman" w:hAnsi="Times New Roman" w:cs="Times New Roman"/>
          <w:spacing w:val="-9"/>
        </w:rPr>
        <w:t xml:space="preserve"> </w:t>
      </w:r>
      <w:r w:rsidRPr="0065547F">
        <w:rPr>
          <w:rFonts w:ascii="Times New Roman" w:hAnsi="Times New Roman" w:cs="Times New Roman"/>
        </w:rPr>
        <w:t>used,</w:t>
      </w:r>
      <w:r w:rsidRPr="0065547F">
        <w:rPr>
          <w:rFonts w:ascii="Times New Roman" w:hAnsi="Times New Roman" w:cs="Times New Roman"/>
          <w:spacing w:val="-4"/>
        </w:rPr>
        <w:t xml:space="preserve"> </w:t>
      </w:r>
      <w:r w:rsidRPr="0065547F">
        <w:rPr>
          <w:rFonts w:ascii="Times New Roman" w:hAnsi="Times New Roman" w:cs="Times New Roman"/>
        </w:rPr>
        <w:t>brute</w:t>
      </w:r>
      <w:r w:rsidRPr="0065547F">
        <w:rPr>
          <w:rFonts w:ascii="Times New Roman" w:hAnsi="Times New Roman" w:cs="Times New Roman"/>
          <w:spacing w:val="-8"/>
        </w:rPr>
        <w:t xml:space="preserve"> </w:t>
      </w:r>
      <w:r w:rsidRPr="0065547F">
        <w:rPr>
          <w:rFonts w:ascii="Times New Roman" w:hAnsi="Times New Roman" w:cs="Times New Roman"/>
        </w:rPr>
        <w:t>force</w:t>
      </w:r>
      <w:r w:rsidRPr="0065547F">
        <w:rPr>
          <w:rFonts w:ascii="Times New Roman" w:hAnsi="Times New Roman" w:cs="Times New Roman"/>
          <w:spacing w:val="-8"/>
        </w:rPr>
        <w:t xml:space="preserve"> </w:t>
      </w:r>
      <w:r w:rsidRPr="0065547F">
        <w:rPr>
          <w:rFonts w:ascii="Times New Roman" w:hAnsi="Times New Roman" w:cs="Times New Roman"/>
        </w:rPr>
        <w:t>demonstrations</w:t>
      </w:r>
      <w:r w:rsidRPr="0065547F">
        <w:rPr>
          <w:rFonts w:ascii="Times New Roman" w:hAnsi="Times New Roman" w:cs="Times New Roman"/>
          <w:spacing w:val="-6"/>
        </w:rPr>
        <w:t xml:space="preserve"> </w:t>
      </w:r>
      <w:r w:rsidRPr="0065547F">
        <w:rPr>
          <w:rFonts w:ascii="Times New Roman" w:hAnsi="Times New Roman" w:cs="Times New Roman"/>
        </w:rPr>
        <w:t>always</w:t>
      </w:r>
      <w:r w:rsidRPr="0065547F">
        <w:rPr>
          <w:rFonts w:ascii="Times New Roman" w:hAnsi="Times New Roman" w:cs="Times New Roman"/>
          <w:spacing w:val="-10"/>
        </w:rPr>
        <w:t xml:space="preserve"> </w:t>
      </w:r>
      <w:r w:rsidRPr="0065547F">
        <w:rPr>
          <w:rFonts w:ascii="Times New Roman" w:hAnsi="Times New Roman" w:cs="Times New Roman"/>
        </w:rPr>
        <w:t>satisfy the requirements of Section 3.J.</w:t>
      </w:r>
    </w:p>
    <w:p w14:paraId="6C3FAF51" w14:textId="77777777" w:rsidR="00701DE8" w:rsidRPr="00701DE8" w:rsidRDefault="00701DE8" w:rsidP="00701DE8">
      <w:pPr>
        <w:pBdr>
          <w:top w:val="single" w:sz="4" w:space="1" w:color="auto"/>
          <w:left w:val="single" w:sz="4" w:space="4" w:color="auto"/>
          <w:bottom w:val="single" w:sz="4" w:space="1" w:color="auto"/>
          <w:right w:val="single" w:sz="4" w:space="4" w:color="auto"/>
        </w:pBdr>
        <w:spacing w:after="0"/>
        <w:ind w:left="720"/>
        <w:jc w:val="both"/>
        <w:rPr>
          <w:rFonts w:ascii="Times New Roman" w:hAnsi="Times New Roman" w:cs="Times New Roman"/>
        </w:rPr>
      </w:pPr>
    </w:p>
    <w:p w14:paraId="5819BB7A" w14:textId="57D84373" w:rsidR="00701DE8" w:rsidRPr="0086122D" w:rsidRDefault="009B542E" w:rsidP="00701DE8">
      <w:pPr>
        <w:pStyle w:val="ListParagraph"/>
        <w:numPr>
          <w:ilvl w:val="0"/>
          <w:numId w:val="9"/>
        </w:num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color w:val="00B0F0"/>
        </w:rPr>
      </w:pPr>
      <w:r w:rsidRPr="009B542E">
        <w:rPr>
          <w:rFonts w:ascii="Times New Roman" w:hAnsi="Times New Roman" w:cs="Times New Roman"/>
          <w:color w:val="00B0F0"/>
        </w:rPr>
        <w:t xml:space="preserve">Calculate the minimum reserve by flooring the reserve amount at 2% of the scheduled longevity benefits payable by the benefit provider within </w:t>
      </w:r>
      <w:proofErr w:type="gramStart"/>
      <w:r w:rsidRPr="009B542E">
        <w:rPr>
          <w:rFonts w:ascii="Times New Roman" w:hAnsi="Times New Roman" w:cs="Times New Roman"/>
          <w:color w:val="00B0F0"/>
        </w:rPr>
        <w:t>next</w:t>
      </w:r>
      <w:proofErr w:type="gramEnd"/>
      <w:r w:rsidRPr="009B542E">
        <w:rPr>
          <w:rFonts w:ascii="Times New Roman" w:hAnsi="Times New Roman" w:cs="Times New Roman"/>
          <w:color w:val="00B0F0"/>
        </w:rPr>
        <w:t xml:space="preserve"> 12 months from the date of valuation. For the deals structured on a net basis, where the reinsurer covers only the benefits exceeding a predetermined reference benefit schedule, the floor will still be calculated based on the scheduled longevity benefits payable by the benefit provider within the next 12 months from the valuation date. This flooring results in satisfying the requirements of Section 3.J.</w:t>
      </w:r>
    </w:p>
    <w:p w14:paraId="62DF8C6C" w14:textId="77777777" w:rsidR="000D35E4" w:rsidRPr="0065547F" w:rsidRDefault="000D35E4" w:rsidP="000D35E4">
      <w:pPr>
        <w:pBdr>
          <w:top w:val="single" w:sz="4" w:space="1" w:color="auto"/>
          <w:left w:val="single" w:sz="4" w:space="4" w:color="auto"/>
          <w:bottom w:val="single" w:sz="4" w:space="1" w:color="auto"/>
          <w:right w:val="single" w:sz="4" w:space="4" w:color="auto"/>
        </w:pBdr>
        <w:spacing w:after="0"/>
        <w:ind w:left="720"/>
        <w:jc w:val="both"/>
        <w:rPr>
          <w:rFonts w:ascii="Times New Roman" w:hAnsi="Times New Roman" w:cs="Times New Roman"/>
        </w:rPr>
      </w:pPr>
    </w:p>
    <w:p w14:paraId="351AFC74" w14:textId="77777777" w:rsidR="000D35E4" w:rsidRPr="0065547F" w:rsidRDefault="000D35E4" w:rsidP="000D35E4">
      <w:pPr>
        <w:pStyle w:val="ListParagraph"/>
        <w:numPr>
          <w:ilvl w:val="0"/>
          <w:numId w:val="9"/>
        </w:num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rPr>
      </w:pPr>
      <w:r w:rsidRPr="0065547F">
        <w:rPr>
          <w:rFonts w:ascii="Times New Roman" w:hAnsi="Times New Roman" w:cs="Times New Roman"/>
        </w:rPr>
        <w:t>Choosing a reduced set of scenarios from a larger set consistent with prescribed models and parameters and providing a detailed demonstration of why it did not understate the reserve by a material</w:t>
      </w:r>
      <w:r w:rsidRPr="0065547F">
        <w:rPr>
          <w:rFonts w:ascii="Times New Roman" w:hAnsi="Times New Roman" w:cs="Times New Roman"/>
          <w:spacing w:val="-3"/>
        </w:rPr>
        <w:t xml:space="preserve"> </w:t>
      </w:r>
      <w:r w:rsidRPr="0065547F">
        <w:rPr>
          <w:rFonts w:ascii="Times New Roman" w:hAnsi="Times New Roman" w:cs="Times New Roman"/>
        </w:rPr>
        <w:t>amount</w:t>
      </w:r>
      <w:r w:rsidRPr="0065547F">
        <w:rPr>
          <w:rFonts w:ascii="Times New Roman" w:hAnsi="Times New Roman" w:cs="Times New Roman"/>
          <w:spacing w:val="-3"/>
        </w:rPr>
        <w:t xml:space="preserve"> </w:t>
      </w:r>
      <w:r w:rsidRPr="0065547F">
        <w:rPr>
          <w:rFonts w:ascii="Times New Roman" w:hAnsi="Times New Roman" w:cs="Times New Roman"/>
        </w:rPr>
        <w:t>and</w:t>
      </w:r>
      <w:r w:rsidRPr="0065547F">
        <w:rPr>
          <w:rFonts w:ascii="Times New Roman" w:hAnsi="Times New Roman" w:cs="Times New Roman"/>
          <w:spacing w:val="-4"/>
        </w:rPr>
        <w:t xml:space="preserve"> </w:t>
      </w:r>
      <w:r w:rsidRPr="0065547F">
        <w:rPr>
          <w:rFonts w:ascii="Times New Roman" w:hAnsi="Times New Roman" w:cs="Times New Roman"/>
        </w:rPr>
        <w:t>the</w:t>
      </w:r>
      <w:r w:rsidRPr="0065547F">
        <w:rPr>
          <w:rFonts w:ascii="Times New Roman" w:hAnsi="Times New Roman" w:cs="Times New Roman"/>
          <w:spacing w:val="-6"/>
        </w:rPr>
        <w:t xml:space="preserve"> </w:t>
      </w:r>
      <w:r w:rsidRPr="0065547F">
        <w:rPr>
          <w:rFonts w:ascii="Times New Roman" w:hAnsi="Times New Roman" w:cs="Times New Roman"/>
        </w:rPr>
        <w:t>expected</w:t>
      </w:r>
      <w:r w:rsidRPr="0065547F">
        <w:rPr>
          <w:rFonts w:ascii="Times New Roman" w:hAnsi="Times New Roman" w:cs="Times New Roman"/>
          <w:spacing w:val="-4"/>
        </w:rPr>
        <w:t xml:space="preserve"> </w:t>
      </w:r>
      <w:r w:rsidRPr="0065547F">
        <w:rPr>
          <w:rFonts w:ascii="Times New Roman" w:hAnsi="Times New Roman" w:cs="Times New Roman"/>
        </w:rPr>
        <w:t>value</w:t>
      </w:r>
      <w:r w:rsidRPr="0065547F">
        <w:rPr>
          <w:rFonts w:ascii="Times New Roman" w:hAnsi="Times New Roman" w:cs="Times New Roman"/>
          <w:spacing w:val="-6"/>
        </w:rPr>
        <w:t xml:space="preserve"> </w:t>
      </w:r>
      <w:r w:rsidRPr="0065547F">
        <w:rPr>
          <w:rFonts w:ascii="Times New Roman" w:hAnsi="Times New Roman" w:cs="Times New Roman"/>
        </w:rPr>
        <w:t>of</w:t>
      </w:r>
      <w:r w:rsidRPr="0065547F">
        <w:rPr>
          <w:rFonts w:ascii="Times New Roman" w:hAnsi="Times New Roman" w:cs="Times New Roman"/>
          <w:spacing w:val="-5"/>
        </w:rPr>
        <w:t xml:space="preserve"> the reserve </w:t>
      </w:r>
      <w:r w:rsidRPr="0065547F">
        <w:rPr>
          <w:rFonts w:ascii="Times New Roman" w:hAnsi="Times New Roman" w:cs="Times New Roman"/>
        </w:rPr>
        <w:t>would</w:t>
      </w:r>
      <w:r w:rsidRPr="0065547F">
        <w:rPr>
          <w:rFonts w:ascii="Times New Roman" w:hAnsi="Times New Roman" w:cs="Times New Roman"/>
          <w:spacing w:val="-4"/>
        </w:rPr>
        <w:t xml:space="preserve"> </w:t>
      </w:r>
      <w:r w:rsidRPr="0065547F">
        <w:rPr>
          <w:rFonts w:ascii="Times New Roman" w:hAnsi="Times New Roman" w:cs="Times New Roman"/>
        </w:rPr>
        <w:t>not</w:t>
      </w:r>
      <w:r w:rsidRPr="0065547F">
        <w:rPr>
          <w:rFonts w:ascii="Times New Roman" w:hAnsi="Times New Roman" w:cs="Times New Roman"/>
          <w:spacing w:val="-3"/>
        </w:rPr>
        <w:t xml:space="preserve"> </w:t>
      </w:r>
      <w:r w:rsidRPr="0065547F">
        <w:rPr>
          <w:rFonts w:ascii="Times New Roman" w:hAnsi="Times New Roman" w:cs="Times New Roman"/>
        </w:rPr>
        <w:t>be</w:t>
      </w:r>
      <w:r w:rsidRPr="0065547F">
        <w:rPr>
          <w:rFonts w:ascii="Times New Roman" w:hAnsi="Times New Roman" w:cs="Times New Roman"/>
          <w:spacing w:val="-6"/>
        </w:rPr>
        <w:t xml:space="preserve"> </w:t>
      </w:r>
      <w:r w:rsidRPr="0065547F">
        <w:rPr>
          <w:rFonts w:ascii="Times New Roman" w:hAnsi="Times New Roman" w:cs="Times New Roman"/>
        </w:rPr>
        <w:t>less</w:t>
      </w:r>
      <w:r w:rsidRPr="0065547F">
        <w:rPr>
          <w:rFonts w:ascii="Times New Roman" w:hAnsi="Times New Roman" w:cs="Times New Roman"/>
          <w:spacing w:val="-8"/>
        </w:rPr>
        <w:t xml:space="preserve"> </w:t>
      </w:r>
      <w:r w:rsidRPr="0065547F">
        <w:rPr>
          <w:rFonts w:ascii="Times New Roman" w:hAnsi="Times New Roman" w:cs="Times New Roman"/>
        </w:rPr>
        <w:t>than</w:t>
      </w:r>
      <w:r w:rsidRPr="0065547F">
        <w:rPr>
          <w:rFonts w:ascii="Times New Roman" w:hAnsi="Times New Roman" w:cs="Times New Roman"/>
          <w:spacing w:val="-4"/>
        </w:rPr>
        <w:t xml:space="preserve"> </w:t>
      </w:r>
      <w:r w:rsidRPr="0065547F">
        <w:rPr>
          <w:rFonts w:ascii="Times New Roman" w:hAnsi="Times New Roman" w:cs="Times New Roman"/>
        </w:rPr>
        <w:t>the</w:t>
      </w:r>
      <w:r w:rsidRPr="0065547F">
        <w:rPr>
          <w:rFonts w:ascii="Times New Roman" w:hAnsi="Times New Roman" w:cs="Times New Roman"/>
          <w:spacing w:val="-5"/>
        </w:rPr>
        <w:t xml:space="preserve"> </w:t>
      </w:r>
      <w:r w:rsidRPr="0065547F">
        <w:rPr>
          <w:rFonts w:ascii="Times New Roman" w:hAnsi="Times New Roman" w:cs="Times New Roman"/>
        </w:rPr>
        <w:t>expected</w:t>
      </w:r>
      <w:r w:rsidRPr="0065547F">
        <w:rPr>
          <w:rFonts w:ascii="Times New Roman" w:hAnsi="Times New Roman" w:cs="Times New Roman"/>
          <w:spacing w:val="-4"/>
        </w:rPr>
        <w:t xml:space="preserve"> </w:t>
      </w:r>
      <w:r w:rsidRPr="0065547F">
        <w:rPr>
          <w:rFonts w:ascii="Times New Roman" w:hAnsi="Times New Roman" w:cs="Times New Roman"/>
        </w:rPr>
        <w:t>value of the reserve that would otherwise be calculated. This demonstration may be a theoretical, statistical or mathematical argument establishing, to the satisfaction of the insurance commissioner, general bounds on the potential deviation in the reserve estimate rather than a brute force</w:t>
      </w:r>
      <w:r w:rsidRPr="0065547F">
        <w:rPr>
          <w:rFonts w:ascii="Times New Roman" w:hAnsi="Times New Roman" w:cs="Times New Roman"/>
          <w:spacing w:val="-1"/>
        </w:rPr>
        <w:t xml:space="preserve"> </w:t>
      </w:r>
      <w:r w:rsidRPr="0065547F">
        <w:rPr>
          <w:rFonts w:ascii="Times New Roman" w:hAnsi="Times New Roman" w:cs="Times New Roman"/>
        </w:rPr>
        <w:t>demonstration.</w:t>
      </w:r>
    </w:p>
    <w:p w14:paraId="6753B339" w14:textId="77777777" w:rsidR="000D35E4" w:rsidRDefault="000D35E4" w:rsidP="000D35E4">
      <w:pPr>
        <w:pStyle w:val="Heading2"/>
        <w:rPr>
          <w:rFonts w:ascii="Times New Roman" w:hAnsi="Times New Roman"/>
        </w:rPr>
      </w:pPr>
    </w:p>
    <w:p w14:paraId="110F7DAF" w14:textId="77777777" w:rsidR="000D35E4" w:rsidRDefault="000D35E4" w:rsidP="000D35E4">
      <w:pPr>
        <w:autoSpaceDE w:val="0"/>
        <w:autoSpaceDN w:val="0"/>
        <w:adjustRightInd w:val="0"/>
        <w:spacing w:after="0" w:line="240" w:lineRule="auto"/>
        <w:rPr>
          <w:rFonts w:ascii="Times New Roman" w:hAnsi="Times New Roman" w:cs="Times New Roman"/>
        </w:rPr>
      </w:pPr>
    </w:p>
    <w:p w14:paraId="1A554C3D" w14:textId="77777777" w:rsidR="000D35E4" w:rsidRDefault="000D35E4" w:rsidP="000D35E4">
      <w:pPr>
        <w:pBdr>
          <w:top w:val="single" w:sz="4" w:space="1" w:color="auto"/>
          <w:left w:val="single" w:sz="4" w:space="4" w:color="auto"/>
          <w:bottom w:val="single" w:sz="4" w:space="1" w:color="auto"/>
          <w:right w:val="single" w:sz="4" w:space="4" w:color="auto"/>
        </w:pBdr>
        <w:ind w:left="630"/>
        <w:rPr>
          <w:rFonts w:ascii="Times New Roman" w:hAnsi="Times New Roman" w:cs="Times New Roman"/>
        </w:rPr>
      </w:pPr>
      <w:r w:rsidRPr="001E64E7">
        <w:rPr>
          <w:rFonts w:ascii="Times New Roman" w:hAnsi="Times New Roman" w:cs="Times New Roman"/>
          <w:b/>
          <w:bCs/>
        </w:rPr>
        <w:t>Drafting Note:</w:t>
      </w:r>
      <w:r>
        <w:rPr>
          <w:rFonts w:ascii="Times New Roman" w:hAnsi="Times New Roman" w:cs="Times New Roman"/>
        </w:rPr>
        <w:t xml:space="preserve"> Add back in the WDCM method example in the above guidance note if VM-22 uses this method for the SPA calculation.</w:t>
      </w:r>
    </w:p>
    <w:p w14:paraId="78268CC8" w14:textId="77777777" w:rsidR="00ED6AC0" w:rsidRDefault="00ED6AC0">
      <w:pPr>
        <w:spacing w:after="160" w:line="259" w:lineRule="auto"/>
        <w:rPr>
          <w:rFonts w:ascii="Times New Roman" w:eastAsiaTheme="majorEastAsia" w:hAnsi="Times New Roman" w:cs="Times New Roman"/>
          <w:color w:val="2F5496" w:themeColor="accent1" w:themeShade="BF"/>
          <w:sz w:val="24"/>
          <w:szCs w:val="24"/>
        </w:rPr>
      </w:pPr>
      <w:bookmarkStart w:id="24" w:name="_Toc77242140"/>
      <w:bookmarkStart w:id="25" w:name="_Toc137649786"/>
      <w:bookmarkStart w:id="26" w:name="_Hlk121311600"/>
      <w:r>
        <w:rPr>
          <w:rFonts w:ascii="Times New Roman" w:hAnsi="Times New Roman" w:cs="Times New Roman"/>
          <w:sz w:val="24"/>
          <w:szCs w:val="24"/>
        </w:rPr>
        <w:br w:type="page"/>
      </w:r>
    </w:p>
    <w:p w14:paraId="59962E93" w14:textId="6DD0A3BD" w:rsidR="00ED6AC0" w:rsidRPr="000443ED" w:rsidRDefault="00ED6AC0" w:rsidP="00ED6AC0">
      <w:pPr>
        <w:pStyle w:val="Heading1"/>
        <w:rPr>
          <w:rFonts w:ascii="Times New Roman" w:hAnsi="Times New Roman" w:cs="Times New Roman"/>
          <w:sz w:val="24"/>
          <w:szCs w:val="24"/>
        </w:rPr>
      </w:pPr>
      <w:r>
        <w:rPr>
          <w:rFonts w:ascii="Times New Roman" w:hAnsi="Times New Roman" w:cs="Times New Roman"/>
          <w:sz w:val="24"/>
          <w:szCs w:val="24"/>
        </w:rPr>
        <w:lastRenderedPageBreak/>
        <w:t>S</w:t>
      </w:r>
      <w:r w:rsidRPr="004937D7">
        <w:rPr>
          <w:rFonts w:ascii="Times New Roman" w:hAnsi="Times New Roman" w:cs="Times New Roman"/>
          <w:sz w:val="24"/>
          <w:szCs w:val="24"/>
        </w:rPr>
        <w:t xml:space="preserve">ection 4: Determination of </w:t>
      </w:r>
      <w:bookmarkEnd w:id="24"/>
      <w:r w:rsidRPr="004937D7">
        <w:rPr>
          <w:rFonts w:ascii="Times New Roman" w:hAnsi="Times New Roman" w:cs="Times New Roman"/>
          <w:sz w:val="24"/>
          <w:szCs w:val="24"/>
        </w:rPr>
        <w:t xml:space="preserve">SR </w:t>
      </w:r>
      <w:bookmarkEnd w:id="25"/>
    </w:p>
    <w:p w14:paraId="7185B416" w14:textId="77777777" w:rsidR="00ED6AC0" w:rsidRPr="00E17D51" w:rsidRDefault="00ED6AC0" w:rsidP="00ED6AC0">
      <w:pPr>
        <w:pStyle w:val="Heading2"/>
        <w:numPr>
          <w:ilvl w:val="0"/>
          <w:numId w:val="19"/>
        </w:numPr>
        <w:tabs>
          <w:tab w:val="num" w:pos="360"/>
        </w:tabs>
        <w:ind w:left="0" w:firstLine="0"/>
        <w:rPr>
          <w:sz w:val="22"/>
          <w:szCs w:val="22"/>
        </w:rPr>
      </w:pPr>
      <w:bookmarkStart w:id="27" w:name="_Toc77242141"/>
      <w:bookmarkStart w:id="28" w:name="_Toc137649787"/>
      <w:bookmarkEnd w:id="26"/>
      <w:r w:rsidRPr="00E17D51">
        <w:rPr>
          <w:sz w:val="22"/>
          <w:szCs w:val="22"/>
        </w:rPr>
        <w:t>Projection of Accumulated Deficiencies</w:t>
      </w:r>
      <w:bookmarkEnd w:id="27"/>
      <w:bookmarkEnd w:id="28"/>
    </w:p>
    <w:p w14:paraId="315AA568" w14:textId="3A6E8DAA" w:rsidR="00ED6AC0" w:rsidRPr="004B39F7" w:rsidRDefault="00ED6AC0" w:rsidP="00ED6AC0">
      <w:pPr>
        <w:spacing w:after="0"/>
        <w:rPr>
          <w:rFonts w:ascii="Times" w:eastAsia="Times New Roman" w:hAnsi="Times" w:cs="Times New Roman"/>
        </w:rPr>
      </w:pPr>
    </w:p>
    <w:p w14:paraId="7D885288" w14:textId="77777777" w:rsidR="00ED6AC0" w:rsidRPr="004B39F7" w:rsidRDefault="00ED6AC0" w:rsidP="00ED6AC0">
      <w:pPr>
        <w:pStyle w:val="ListParagraph"/>
        <w:numPr>
          <w:ilvl w:val="0"/>
          <w:numId w:val="11"/>
        </w:numPr>
        <w:spacing w:after="0" w:line="240" w:lineRule="auto"/>
        <w:ind w:left="1440" w:hanging="720"/>
        <w:rPr>
          <w:rFonts w:ascii="Times" w:eastAsia="Times New Roman" w:hAnsi="Times" w:cs="Times New Roman"/>
        </w:rPr>
      </w:pPr>
      <w:r w:rsidRPr="004B39F7">
        <w:rPr>
          <w:rFonts w:ascii="Times" w:eastAsia="Times New Roman" w:hAnsi="Times" w:cs="Times New Roman"/>
        </w:rPr>
        <w:t xml:space="preserve">General Description of Projection </w:t>
      </w:r>
    </w:p>
    <w:p w14:paraId="71D31DBE" w14:textId="77777777" w:rsidR="00ED6AC0" w:rsidRPr="004B39F7" w:rsidRDefault="00ED6AC0" w:rsidP="00ED6AC0">
      <w:pPr>
        <w:pStyle w:val="ListParagraph"/>
        <w:rPr>
          <w:rFonts w:ascii="Times" w:eastAsia="Times New Roman" w:hAnsi="Times" w:cs="Times New Roman"/>
        </w:rPr>
      </w:pPr>
    </w:p>
    <w:p w14:paraId="4B29096B" w14:textId="77777777" w:rsidR="00ED6AC0" w:rsidRDefault="00ED6AC0" w:rsidP="00ED6AC0">
      <w:pPr>
        <w:pStyle w:val="ListParagraph"/>
        <w:ind w:left="1440"/>
        <w:jc w:val="both"/>
        <w:rPr>
          <w:rFonts w:ascii="Times New Roman" w:hAnsi="Times New Roman" w:cs="Times New Roman"/>
        </w:rPr>
      </w:pPr>
      <w:r w:rsidRPr="2BB44510">
        <w:rPr>
          <w:rFonts w:ascii="Times" w:eastAsia="Times New Roman" w:hAnsi="Times" w:cs="Times New Roman"/>
        </w:rPr>
        <w:t>The projection of accumulated deficiencies shall be made ignoring federal income tax in both cash flows and discount rates, and it shall reflect the dynamics of the expected cash flows for the entire group of contracts, reflecting all product features, including any guarantees provided under the contracts using prudent estimate liability assumptions defined in Sections 10</w:t>
      </w:r>
      <w:r>
        <w:rPr>
          <w:rFonts w:ascii="Times" w:eastAsia="Times New Roman" w:hAnsi="Times" w:cs="Times New Roman"/>
        </w:rPr>
        <w:t>, 11,</w:t>
      </w:r>
      <w:r w:rsidRPr="2BB44510">
        <w:rPr>
          <w:rFonts w:ascii="Times" w:eastAsia="Times New Roman" w:hAnsi="Times" w:cs="Times New Roman"/>
        </w:rPr>
        <w:t xml:space="preserve"> and 1</w:t>
      </w:r>
      <w:r>
        <w:rPr>
          <w:rFonts w:ascii="Times" w:eastAsia="Times New Roman" w:hAnsi="Times" w:cs="Times New Roman"/>
        </w:rPr>
        <w:t>2</w:t>
      </w:r>
      <w:r w:rsidRPr="2BB44510">
        <w:rPr>
          <w:rFonts w:ascii="Times" w:eastAsia="Times New Roman" w:hAnsi="Times" w:cs="Times New Roman"/>
        </w:rPr>
        <w:t xml:space="preserve"> and asset assumptions defined in Section</w:t>
      </w:r>
      <w:r>
        <w:rPr>
          <w:rFonts w:ascii="Times" w:eastAsia="Times New Roman" w:hAnsi="Times" w:cs="Times New Roman"/>
        </w:rPr>
        <w:t>s</w:t>
      </w:r>
      <w:r w:rsidRPr="2BB44510">
        <w:rPr>
          <w:rFonts w:ascii="Times" w:eastAsia="Times New Roman" w:hAnsi="Times" w:cs="Times New Roman"/>
        </w:rPr>
        <w:t xml:space="preserve"> 4</w:t>
      </w:r>
      <w:r>
        <w:rPr>
          <w:rFonts w:ascii="Times" w:eastAsia="Times New Roman" w:hAnsi="Times" w:cs="Times New Roman"/>
        </w:rPr>
        <w:t xml:space="preserve"> and 9</w:t>
      </w:r>
      <w:r w:rsidRPr="2BB44510">
        <w:rPr>
          <w:rFonts w:ascii="Times" w:eastAsia="Times New Roman" w:hAnsi="Times" w:cs="Times New Roman"/>
        </w:rPr>
        <w:t>.</w:t>
      </w:r>
      <w:r w:rsidRPr="2BB44510">
        <w:rPr>
          <w:rFonts w:ascii="Times New Roman" w:eastAsia="Times New Roman" w:hAnsi="Times New Roman" w:cs="Times New Roman"/>
        </w:rPr>
        <w:t xml:space="preserve"> </w:t>
      </w:r>
      <w:r w:rsidRPr="2BB44510">
        <w:rPr>
          <w:rFonts w:ascii="Times New Roman" w:hAnsi="Times New Roman" w:cs="Times New Roman"/>
        </w:rPr>
        <w:t>The company shall project cash flows including the following:</w:t>
      </w:r>
    </w:p>
    <w:p w14:paraId="005B3068" w14:textId="77777777" w:rsidR="00ED6AC0" w:rsidRPr="003E2579" w:rsidRDefault="00ED6AC0" w:rsidP="00ED6AC0">
      <w:pPr>
        <w:pStyle w:val="ListParagraph"/>
        <w:ind w:left="1440"/>
        <w:jc w:val="both"/>
        <w:rPr>
          <w:rFonts w:ascii="Times New Roman" w:hAnsi="Times New Roman" w:cs="Times New Roman"/>
          <w:sz w:val="12"/>
          <w:szCs w:val="12"/>
        </w:rPr>
      </w:pPr>
    </w:p>
    <w:p w14:paraId="455CB3CA" w14:textId="70460802" w:rsidR="00ED6AC0" w:rsidRPr="00ED6AC0" w:rsidRDefault="00ED6AC0" w:rsidP="00ED6AC0">
      <w:pPr>
        <w:pStyle w:val="ListParagraph"/>
        <w:numPr>
          <w:ilvl w:val="0"/>
          <w:numId w:val="22"/>
        </w:numPr>
        <w:ind w:hanging="720"/>
        <w:jc w:val="both"/>
        <w:rPr>
          <w:rFonts w:ascii="Times" w:eastAsia="Times New Roman" w:hAnsi="Times" w:cs="Times New Roman"/>
          <w:strike/>
          <w:color w:val="FF0000"/>
        </w:rPr>
      </w:pPr>
      <w:r>
        <w:rPr>
          <w:rFonts w:ascii="Times" w:eastAsia="Times New Roman" w:hAnsi="Times" w:cs="Times New Roman"/>
        </w:rPr>
        <w:t xml:space="preserve">a. </w:t>
      </w:r>
      <w:r>
        <w:rPr>
          <w:rFonts w:ascii="Times" w:eastAsia="Times New Roman" w:hAnsi="Times" w:cs="Times New Roman"/>
        </w:rPr>
        <w:t>Gross premium</w:t>
      </w:r>
      <w:r w:rsidRPr="007958E0">
        <w:rPr>
          <w:rFonts w:ascii="Times" w:eastAsia="Times New Roman" w:hAnsi="Times" w:cs="Times New Roman"/>
        </w:rPr>
        <w:t xml:space="preserve"> received by the company from the</w:t>
      </w:r>
      <w:r>
        <w:rPr>
          <w:rFonts w:ascii="Times" w:eastAsia="Times New Roman" w:hAnsi="Times" w:cs="Times New Roman"/>
        </w:rPr>
        <w:t xml:space="preserve"> contract </w:t>
      </w:r>
      <w:r w:rsidRPr="007958E0">
        <w:rPr>
          <w:rFonts w:ascii="Times" w:eastAsia="Times New Roman" w:hAnsi="Times" w:cs="Times New Roman"/>
        </w:rPr>
        <w:t xml:space="preserve">holder </w:t>
      </w:r>
      <w:r w:rsidRPr="00F35623">
        <w:rPr>
          <w:rFonts w:ascii="Times" w:eastAsia="Times New Roman" w:hAnsi="Times" w:cs="Times New Roman"/>
        </w:rPr>
        <w:t xml:space="preserve">or the ceding company in the case of reinsurance </w:t>
      </w:r>
      <w:r w:rsidRPr="007958E0">
        <w:rPr>
          <w:rFonts w:ascii="Times" w:eastAsia="Times New Roman" w:hAnsi="Times" w:cs="Times New Roman"/>
        </w:rPr>
        <w:t>(including any due premiums as of the projected start date).</w:t>
      </w:r>
      <w:r w:rsidRPr="00E40BD4">
        <w:rPr>
          <w:rFonts w:ascii="Times" w:eastAsia="Times New Roman" w:hAnsi="Times" w:cs="Times New Roman"/>
        </w:rPr>
        <w:t xml:space="preserve"> </w:t>
      </w:r>
      <w:r w:rsidRPr="00ED6AC0">
        <w:rPr>
          <w:rFonts w:ascii="Times" w:eastAsia="Times New Roman" w:hAnsi="Times" w:cs="Times New Roman"/>
          <w:strike/>
          <w:color w:val="FF0000"/>
        </w:rPr>
        <w:t>For purposes of Longevity Reinsurance, net premium shall be used in the projection and defined as the gross premium multiplied by a “K-factor,” where the K-factor is determined as:</w:t>
      </w:r>
    </w:p>
    <w:p w14:paraId="106A1418" w14:textId="77777777" w:rsidR="00ED6AC0" w:rsidRPr="00ED6AC0" w:rsidRDefault="00ED6AC0" w:rsidP="00ED6AC0">
      <w:pPr>
        <w:pStyle w:val="ListParagraph"/>
        <w:numPr>
          <w:ilvl w:val="1"/>
          <w:numId w:val="24"/>
        </w:numPr>
        <w:jc w:val="both"/>
        <w:rPr>
          <w:rFonts w:ascii="Times" w:eastAsia="Times New Roman" w:hAnsi="Times" w:cs="Times New Roman"/>
          <w:strike/>
          <w:color w:val="FF0000"/>
        </w:rPr>
      </w:pPr>
      <w:r w:rsidRPr="00ED6AC0">
        <w:rPr>
          <w:rFonts w:ascii="Times" w:eastAsia="Times New Roman" w:hAnsi="Times" w:cs="Times New Roman"/>
          <w:strike/>
          <w:color w:val="FF0000"/>
        </w:rPr>
        <w:t>The present value of the expected future benefits and expenses at contract inception or reinsurance effective date in the case of reinsurance using the prudent estimate assumptions determined at contract inception and an interest rate equal to the prescribed interest rate under VM-A and VM-C, divided by item ii immediately below.</w:t>
      </w:r>
    </w:p>
    <w:p w14:paraId="50919810" w14:textId="77777777" w:rsidR="00ED6AC0" w:rsidRPr="00ED6AC0" w:rsidRDefault="00ED6AC0" w:rsidP="00ED6AC0">
      <w:pPr>
        <w:pStyle w:val="ListParagraph"/>
        <w:numPr>
          <w:ilvl w:val="1"/>
          <w:numId w:val="24"/>
        </w:numPr>
        <w:jc w:val="both"/>
        <w:rPr>
          <w:rFonts w:ascii="Times" w:eastAsia="Times New Roman" w:hAnsi="Times" w:cs="Times New Roman"/>
          <w:strike/>
          <w:color w:val="FF0000"/>
        </w:rPr>
      </w:pPr>
      <w:r w:rsidRPr="00ED6AC0">
        <w:rPr>
          <w:rFonts w:ascii="Times" w:eastAsia="Times New Roman" w:hAnsi="Times" w:cs="Times New Roman"/>
          <w:strike/>
          <w:color w:val="FF0000"/>
        </w:rPr>
        <w:t>The present value of the expected future gross premiums at contract inception or reinsurance effective date in the case of reinsurance using the prudent estimate assumptions determined at contract inception or reinsurance effective date and an interest rate equal to the prescribed interest rate under VM-A and VM-C.</w:t>
      </w:r>
    </w:p>
    <w:p w14:paraId="7C837241" w14:textId="77777777" w:rsidR="00ED6AC0" w:rsidRPr="00ED6AC0" w:rsidRDefault="00ED6AC0" w:rsidP="00ED6AC0">
      <w:pPr>
        <w:pStyle w:val="ListParagraph"/>
        <w:numPr>
          <w:ilvl w:val="1"/>
          <w:numId w:val="24"/>
        </w:numPr>
        <w:jc w:val="both"/>
        <w:rPr>
          <w:rFonts w:ascii="Times" w:eastAsia="Times New Roman" w:hAnsi="Times" w:cs="Times New Roman"/>
          <w:strike/>
          <w:color w:val="FF0000"/>
        </w:rPr>
      </w:pPr>
      <w:r w:rsidRPr="00ED6AC0">
        <w:rPr>
          <w:rFonts w:ascii="Times" w:eastAsia="Times New Roman" w:hAnsi="Times" w:cs="Times New Roman"/>
          <w:strike/>
          <w:color w:val="FF0000"/>
        </w:rPr>
        <w:t>The resulting amount is capped at 1, in other words the application of the K-factor shall not result in the net premium exceeding the gross premium.</w:t>
      </w:r>
    </w:p>
    <w:p w14:paraId="59C31CA6" w14:textId="77777777" w:rsidR="00ED6AC0" w:rsidRDefault="00ED6AC0" w:rsidP="00ED6AC0">
      <w:pPr>
        <w:pStyle w:val="ListParagraph"/>
        <w:ind w:left="2160"/>
        <w:jc w:val="both"/>
        <w:rPr>
          <w:rFonts w:ascii="Times" w:eastAsia="Times New Roman" w:hAnsi="Times" w:cs="Times New Roman"/>
        </w:rPr>
      </w:pPr>
    </w:p>
    <w:p w14:paraId="2D2F0205" w14:textId="77777777" w:rsidR="00ED6AC0" w:rsidRPr="00EF3D95" w:rsidRDefault="00ED6AC0" w:rsidP="00ED6AC0">
      <w:pPr>
        <w:pStyle w:val="ListParagraph"/>
        <w:pBdr>
          <w:top w:val="single" w:sz="4" w:space="1" w:color="auto"/>
          <w:left w:val="single" w:sz="4" w:space="4" w:color="auto"/>
          <w:bottom w:val="single" w:sz="4" w:space="1" w:color="auto"/>
          <w:right w:val="single" w:sz="4" w:space="4" w:color="auto"/>
        </w:pBdr>
        <w:ind w:left="2160"/>
        <w:rPr>
          <w:rFonts w:ascii="Times New Roman" w:hAnsi="Times New Roman" w:cs="Times New Roman"/>
        </w:rPr>
      </w:pPr>
      <w:r w:rsidRPr="00EF3D95">
        <w:rPr>
          <w:rFonts w:ascii="Times New Roman" w:hAnsi="Times New Roman" w:cs="Times New Roman"/>
          <w:b/>
          <w:bCs/>
        </w:rPr>
        <w:t>Guidance Note</w:t>
      </w:r>
      <w:r w:rsidRPr="00EF3D95">
        <w:rPr>
          <w:rFonts w:ascii="Times New Roman" w:hAnsi="Times New Roman" w:cs="Times New Roman"/>
        </w:rPr>
        <w:t xml:space="preserve">: If due premiums are modeled, the final reported reserve needs to be adjusted by adding the due premium asset. </w:t>
      </w:r>
    </w:p>
    <w:p w14:paraId="7F6D3B00" w14:textId="77777777" w:rsidR="00ED6AC0" w:rsidRDefault="00ED6AC0" w:rsidP="00ED6AC0">
      <w:pPr>
        <w:pStyle w:val="ListParagraph"/>
        <w:ind w:left="2160"/>
        <w:jc w:val="both"/>
        <w:rPr>
          <w:rFonts w:ascii="Times" w:eastAsia="Times New Roman" w:hAnsi="Times" w:cs="Times New Roman"/>
        </w:rPr>
      </w:pPr>
    </w:p>
    <w:p w14:paraId="1C7D7041" w14:textId="66824463" w:rsidR="00ED6AC0" w:rsidRPr="00ED6AC0" w:rsidRDefault="00ED6AC0" w:rsidP="00ED6AC0">
      <w:pPr>
        <w:pStyle w:val="ListParagraph"/>
        <w:numPr>
          <w:ilvl w:val="0"/>
          <w:numId w:val="22"/>
        </w:numPr>
        <w:ind w:hanging="720"/>
        <w:jc w:val="both"/>
        <w:rPr>
          <w:rFonts w:ascii="Times" w:eastAsia="Times New Roman" w:hAnsi="Times" w:cs="Times New Roman"/>
          <w:strike/>
          <w:color w:val="FF0000"/>
        </w:rPr>
      </w:pPr>
      <w:r>
        <w:rPr>
          <w:rFonts w:ascii="Times" w:eastAsia="Times New Roman" w:hAnsi="Times" w:cs="Times New Roman"/>
        </w:rPr>
        <w:t xml:space="preserve">b. </w:t>
      </w:r>
      <w:proofErr w:type="gramStart"/>
      <w:r>
        <w:rPr>
          <w:rFonts w:ascii="Times" w:eastAsia="Times New Roman" w:hAnsi="Times" w:cs="Times New Roman"/>
        </w:rPr>
        <w:t>Other</w:t>
      </w:r>
      <w:proofErr w:type="gramEnd"/>
      <w:r>
        <w:rPr>
          <w:rFonts w:ascii="Times" w:eastAsia="Times New Roman" w:hAnsi="Times" w:cs="Times New Roman"/>
        </w:rPr>
        <w:t xml:space="preserve"> revenues, including </w:t>
      </w:r>
      <w:r w:rsidRPr="2BB44510">
        <w:rPr>
          <w:rFonts w:ascii="Times" w:eastAsia="Times New Roman" w:hAnsi="Times" w:cs="Times New Roman"/>
        </w:rPr>
        <w:t>contractual fees and charges, and revenue-sharing income received by the company (net of applicable expenses)</w:t>
      </w:r>
      <w:r>
        <w:rPr>
          <w:rFonts w:ascii="Times" w:eastAsia="Times New Roman" w:hAnsi="Times" w:cs="Times New Roman"/>
        </w:rPr>
        <w:t>.</w:t>
      </w:r>
      <w:r w:rsidRPr="00E40BD4">
        <w:rPr>
          <w:rFonts w:ascii="Times" w:eastAsia="Times New Roman" w:hAnsi="Times" w:cs="Times New Roman"/>
        </w:rPr>
        <w:t xml:space="preserve"> </w:t>
      </w:r>
      <w:r w:rsidRPr="00ED6AC0">
        <w:rPr>
          <w:rFonts w:ascii="Times" w:eastAsia="Times New Roman" w:hAnsi="Times" w:cs="Times New Roman"/>
          <w:strike/>
          <w:color w:val="FF0000"/>
        </w:rPr>
        <w:t xml:space="preserve">For </w:t>
      </w:r>
      <w:proofErr w:type="gramStart"/>
      <w:r w:rsidRPr="00ED6AC0">
        <w:rPr>
          <w:rFonts w:ascii="Times" w:eastAsia="Times New Roman" w:hAnsi="Times" w:cs="Times New Roman"/>
          <w:strike/>
          <w:color w:val="FF0000"/>
        </w:rPr>
        <w:t>purposes</w:t>
      </w:r>
      <w:proofErr w:type="gramEnd"/>
      <w:r w:rsidRPr="00ED6AC0">
        <w:rPr>
          <w:rFonts w:ascii="Times" w:eastAsia="Times New Roman" w:hAnsi="Times" w:cs="Times New Roman"/>
          <w:strike/>
          <w:color w:val="FF0000"/>
        </w:rPr>
        <w:t xml:space="preserve"> of Longevity Reinsurance, it is not expected that any such other revenues will apply.  To the extent there are other revenues, they should be included with item ii </w:t>
      </w:r>
      <w:proofErr w:type="gramStart"/>
      <w:r w:rsidRPr="00ED6AC0">
        <w:rPr>
          <w:rFonts w:ascii="Times" w:eastAsia="Times New Roman" w:hAnsi="Times" w:cs="Times New Roman"/>
          <w:strike/>
          <w:color w:val="FF0000"/>
        </w:rPr>
        <w:t>under  a.</w:t>
      </w:r>
      <w:proofErr w:type="gramEnd"/>
      <w:r w:rsidRPr="00ED6AC0">
        <w:rPr>
          <w:rFonts w:ascii="Times" w:eastAsia="Times New Roman" w:hAnsi="Times" w:cs="Times New Roman"/>
          <w:strike/>
          <w:color w:val="FF0000"/>
        </w:rPr>
        <w:t xml:space="preserve"> immediately above so that the calculation of the K-factor includes all expected future revenues from the contract holder.</w:t>
      </w:r>
    </w:p>
    <w:p w14:paraId="13482DD4" w14:textId="77777777" w:rsidR="00ED6AC0" w:rsidRPr="002514EA" w:rsidRDefault="00ED6AC0" w:rsidP="00ED6AC0">
      <w:pPr>
        <w:pStyle w:val="ListParagraph"/>
        <w:ind w:left="2160"/>
        <w:jc w:val="both"/>
        <w:rPr>
          <w:rFonts w:ascii="Times" w:hAnsi="Times"/>
        </w:rPr>
      </w:pPr>
    </w:p>
    <w:p w14:paraId="5312EB0B" w14:textId="77777777" w:rsidR="00ED6AC0" w:rsidRPr="0005345E" w:rsidRDefault="00ED6AC0" w:rsidP="00ED6AC0">
      <w:pPr>
        <w:pStyle w:val="ListParagraph"/>
        <w:numPr>
          <w:ilvl w:val="0"/>
          <w:numId w:val="22"/>
        </w:numPr>
        <w:ind w:hanging="720"/>
        <w:jc w:val="both"/>
        <w:rPr>
          <w:rFonts w:ascii="Times" w:eastAsia="Times New Roman" w:hAnsi="Times" w:cs="Times New Roman"/>
        </w:rPr>
      </w:pPr>
      <w:r w:rsidRPr="0005345E">
        <w:rPr>
          <w:rFonts w:ascii="Times" w:eastAsia="Times New Roman" w:hAnsi="Times" w:cs="Times New Roman"/>
        </w:rPr>
        <w:t xml:space="preserve">All material benefits projected to be paid to contract holders—including, but not limited to, death claims, surrender benefits and withdrawal benefits—reflecting the impact of all guarantees and adjusted to </w:t>
      </w:r>
      <w:proofErr w:type="gramStart"/>
      <w:r w:rsidRPr="0005345E">
        <w:rPr>
          <w:rFonts w:ascii="Times" w:eastAsia="Times New Roman" w:hAnsi="Times" w:cs="Times New Roman"/>
        </w:rPr>
        <w:t>take into account</w:t>
      </w:r>
      <w:proofErr w:type="gramEnd"/>
      <w:r w:rsidRPr="0005345E">
        <w:rPr>
          <w:rFonts w:ascii="Times" w:eastAsia="Times New Roman" w:hAnsi="Times" w:cs="Times New Roman"/>
        </w:rPr>
        <w:t xml:space="preserve"> amounts projected to be charged to account values on general account business. Any guarantees, in addition </w:t>
      </w:r>
      <w:r w:rsidRPr="0005345E">
        <w:rPr>
          <w:rFonts w:ascii="Times" w:eastAsia="Times New Roman" w:hAnsi="Times" w:cs="Times New Roman"/>
        </w:rPr>
        <w:lastRenderedPageBreak/>
        <w:t xml:space="preserve">to market value adjustments assessed on projected withdrawals or surrenders, shall be </w:t>
      </w:r>
      <w:proofErr w:type="gramStart"/>
      <w:r w:rsidRPr="0005345E">
        <w:rPr>
          <w:rFonts w:ascii="Times" w:eastAsia="Times New Roman" w:hAnsi="Times" w:cs="Times New Roman"/>
        </w:rPr>
        <w:t>taken into account</w:t>
      </w:r>
      <w:proofErr w:type="gramEnd"/>
      <w:r w:rsidRPr="0005345E">
        <w:rPr>
          <w:rFonts w:ascii="Times" w:eastAsia="Times New Roman" w:hAnsi="Times" w:cs="Times New Roman"/>
        </w:rPr>
        <w:t>.</w:t>
      </w:r>
    </w:p>
    <w:p w14:paraId="17CFD459" w14:textId="77777777" w:rsidR="00ED6AC0" w:rsidRDefault="00ED6AC0" w:rsidP="00ED6AC0">
      <w:pPr>
        <w:pStyle w:val="ListParagraph"/>
        <w:numPr>
          <w:ilvl w:val="0"/>
          <w:numId w:val="22"/>
        </w:numPr>
        <w:ind w:hanging="720"/>
        <w:jc w:val="both"/>
        <w:rPr>
          <w:rFonts w:ascii="Times" w:eastAsia="Times New Roman" w:hAnsi="Times" w:cs="Times New Roman"/>
        </w:rPr>
      </w:pPr>
      <w:r>
        <w:rPr>
          <w:rFonts w:ascii="Times" w:eastAsia="Times New Roman" w:hAnsi="Times" w:cs="Times New Roman"/>
        </w:rPr>
        <w:t>Non-Guaranteed Elements (NGE) cash flows as described in Section 10.I.</w:t>
      </w:r>
    </w:p>
    <w:p w14:paraId="1B121B86" w14:textId="77777777" w:rsidR="00ED6AC0" w:rsidRPr="003E2579" w:rsidRDefault="00ED6AC0" w:rsidP="00ED6AC0">
      <w:pPr>
        <w:pStyle w:val="ListParagraph"/>
        <w:ind w:left="2160"/>
        <w:jc w:val="both"/>
        <w:rPr>
          <w:rFonts w:ascii="Times" w:eastAsia="Times New Roman" w:hAnsi="Times" w:cs="Times New Roman"/>
          <w:sz w:val="12"/>
          <w:szCs w:val="12"/>
        </w:rPr>
      </w:pPr>
    </w:p>
    <w:p w14:paraId="20B69835" w14:textId="77777777" w:rsidR="00ED6AC0" w:rsidRPr="003E2579" w:rsidRDefault="00ED6AC0" w:rsidP="00ED6AC0">
      <w:pPr>
        <w:pStyle w:val="ListParagraph"/>
        <w:numPr>
          <w:ilvl w:val="0"/>
          <w:numId w:val="22"/>
        </w:numPr>
        <w:ind w:hanging="720"/>
        <w:jc w:val="both"/>
        <w:rPr>
          <w:rFonts w:ascii="Times" w:eastAsia="Times New Roman" w:hAnsi="Times" w:cs="Times New Roman"/>
        </w:rPr>
      </w:pPr>
      <w:r w:rsidRPr="2BB44510">
        <w:rPr>
          <w:rFonts w:ascii="Times" w:eastAsia="Times New Roman" w:hAnsi="Times" w:cs="Times New Roman"/>
        </w:rPr>
        <w:t xml:space="preserve">Insurance company expenses (including overhead and </w:t>
      </w:r>
      <w:r>
        <w:rPr>
          <w:rFonts w:ascii="Times" w:eastAsia="Times New Roman" w:hAnsi="Times" w:cs="Times New Roman"/>
        </w:rPr>
        <w:t>maintenance</w:t>
      </w:r>
      <w:r w:rsidRPr="2BB44510">
        <w:rPr>
          <w:rFonts w:ascii="Times" w:eastAsia="Times New Roman" w:hAnsi="Times" w:cs="Times New Roman"/>
        </w:rPr>
        <w:t xml:space="preserve"> </w:t>
      </w:r>
      <w:proofErr w:type="gramStart"/>
      <w:r w:rsidRPr="2BB44510">
        <w:rPr>
          <w:rFonts w:ascii="Times" w:eastAsia="Times New Roman" w:hAnsi="Times" w:cs="Times New Roman"/>
        </w:rPr>
        <w:t>expense</w:t>
      </w:r>
      <w:proofErr w:type="gramEnd"/>
      <w:r w:rsidRPr="2BB44510">
        <w:rPr>
          <w:rFonts w:ascii="Times" w:eastAsia="Times New Roman" w:hAnsi="Times" w:cs="Times New Roman"/>
        </w:rPr>
        <w:t xml:space="preserve">), </w:t>
      </w:r>
      <w:r w:rsidRPr="0C8DFB6E">
        <w:rPr>
          <w:rFonts w:ascii="Times" w:eastAsia="Times New Roman" w:hAnsi="Times" w:cs="Times New Roman"/>
        </w:rPr>
        <w:t>commissions</w:t>
      </w:r>
      <w:r>
        <w:rPr>
          <w:rFonts w:ascii="Times" w:eastAsia="Times New Roman" w:hAnsi="Times" w:cs="Times New Roman"/>
        </w:rPr>
        <w:t xml:space="preserve"> and other acquisition expenses associated with business inforce as of the valuation </w:t>
      </w:r>
      <w:proofErr w:type="gramStart"/>
      <w:r>
        <w:rPr>
          <w:rFonts w:ascii="Times" w:eastAsia="Times New Roman" w:hAnsi="Times" w:cs="Times New Roman"/>
        </w:rPr>
        <w:t>date</w:t>
      </w:r>
      <w:r w:rsidRPr="2BB44510">
        <w:rPr>
          <w:rFonts w:ascii="Times" w:eastAsia="Times New Roman" w:hAnsi="Times" w:cs="Times New Roman"/>
        </w:rPr>
        <w:t>,</w:t>
      </w:r>
      <w:r w:rsidRPr="0C8DFB6E">
        <w:rPr>
          <w:rFonts w:ascii="Times" w:eastAsia="Times New Roman" w:hAnsi="Times" w:cs="Times New Roman"/>
        </w:rPr>
        <w:t>.</w:t>
      </w:r>
      <w:proofErr w:type="gramEnd"/>
    </w:p>
    <w:p w14:paraId="17F9E965" w14:textId="77777777" w:rsidR="00ED6AC0" w:rsidRPr="003E2579" w:rsidRDefault="00ED6AC0" w:rsidP="00ED6AC0">
      <w:pPr>
        <w:pStyle w:val="ListParagraph"/>
        <w:ind w:left="2160"/>
        <w:jc w:val="both"/>
        <w:rPr>
          <w:rFonts w:ascii="Times" w:eastAsia="Times New Roman" w:hAnsi="Times" w:cs="Times New Roman"/>
          <w:sz w:val="12"/>
          <w:szCs w:val="12"/>
        </w:rPr>
      </w:pPr>
    </w:p>
    <w:p w14:paraId="697B8DBF" w14:textId="77777777" w:rsidR="00ED6AC0" w:rsidRDefault="00ED6AC0" w:rsidP="00ED6AC0">
      <w:pPr>
        <w:pStyle w:val="ListParagraph"/>
        <w:numPr>
          <w:ilvl w:val="0"/>
          <w:numId w:val="22"/>
        </w:numPr>
        <w:ind w:hanging="720"/>
        <w:jc w:val="both"/>
        <w:rPr>
          <w:rFonts w:ascii="Times" w:eastAsia="Times New Roman" w:hAnsi="Times" w:cs="Times New Roman"/>
        </w:rPr>
      </w:pPr>
      <w:r>
        <w:rPr>
          <w:rFonts w:ascii="Times" w:eastAsia="Times New Roman" w:hAnsi="Times" w:cs="Times New Roman"/>
        </w:rPr>
        <w:t>C</w:t>
      </w:r>
      <w:r w:rsidRPr="003E2579">
        <w:rPr>
          <w:rFonts w:ascii="Times" w:eastAsia="Times New Roman" w:hAnsi="Times" w:cs="Times New Roman"/>
        </w:rPr>
        <w:t>ash flows associated with any reinsurance</w:t>
      </w:r>
      <w:r>
        <w:rPr>
          <w:rFonts w:ascii="Times" w:eastAsia="Times New Roman" w:hAnsi="Times" w:cs="Times New Roman"/>
        </w:rPr>
        <w:t xml:space="preserve">, </w:t>
      </w:r>
      <w:r w:rsidRPr="00E40BD4">
        <w:rPr>
          <w:rFonts w:ascii="Times" w:eastAsia="Times New Roman" w:hAnsi="Times" w:cs="Times New Roman"/>
        </w:rPr>
        <w:t>to the extent not already covered above (for example, for longevity reinsurance).</w:t>
      </w:r>
    </w:p>
    <w:p w14:paraId="43F9D238" w14:textId="77777777" w:rsidR="00ED6AC0" w:rsidRPr="003E2579" w:rsidRDefault="00ED6AC0" w:rsidP="00ED6AC0">
      <w:pPr>
        <w:pStyle w:val="ListParagraph"/>
        <w:ind w:left="2160"/>
        <w:jc w:val="both"/>
        <w:rPr>
          <w:rFonts w:ascii="Times" w:eastAsia="Times New Roman" w:hAnsi="Times" w:cs="Times New Roman"/>
          <w:sz w:val="12"/>
          <w:szCs w:val="12"/>
        </w:rPr>
      </w:pPr>
    </w:p>
    <w:p w14:paraId="62029585" w14:textId="77777777" w:rsidR="00ED6AC0" w:rsidRDefault="00ED6AC0" w:rsidP="00ED6AC0">
      <w:pPr>
        <w:pStyle w:val="ListParagraph"/>
        <w:numPr>
          <w:ilvl w:val="0"/>
          <w:numId w:val="22"/>
        </w:numPr>
        <w:ind w:hanging="720"/>
        <w:jc w:val="both"/>
        <w:rPr>
          <w:rFonts w:ascii="Times" w:eastAsia="Times New Roman" w:hAnsi="Times" w:cs="Times New Roman"/>
        </w:rPr>
      </w:pPr>
      <w:r>
        <w:rPr>
          <w:rFonts w:ascii="Times" w:eastAsia="Times New Roman" w:hAnsi="Times" w:cs="Times New Roman"/>
        </w:rPr>
        <w:t xml:space="preserve">Cash flows from </w:t>
      </w:r>
      <w:r w:rsidRPr="003E2579">
        <w:rPr>
          <w:rFonts w:ascii="Times" w:eastAsia="Times New Roman" w:hAnsi="Times" w:cs="Times New Roman"/>
        </w:rPr>
        <w:t>hedging instruments</w:t>
      </w:r>
      <w:r>
        <w:rPr>
          <w:rFonts w:ascii="Times" w:eastAsia="Times New Roman" w:hAnsi="Times" w:cs="Times New Roman"/>
        </w:rPr>
        <w:t xml:space="preserve"> as described in Section 4 and Section 9.</w:t>
      </w:r>
    </w:p>
    <w:p w14:paraId="182EEDBB" w14:textId="77777777" w:rsidR="00ED6AC0" w:rsidRPr="003E2579" w:rsidRDefault="00ED6AC0" w:rsidP="00ED6AC0">
      <w:pPr>
        <w:pStyle w:val="ListParagraph"/>
        <w:ind w:left="2160"/>
        <w:jc w:val="both"/>
        <w:rPr>
          <w:rFonts w:ascii="Times" w:eastAsia="Times New Roman" w:hAnsi="Times" w:cs="Times New Roman"/>
          <w:sz w:val="12"/>
          <w:szCs w:val="12"/>
        </w:rPr>
      </w:pPr>
    </w:p>
    <w:p w14:paraId="5B62CD50" w14:textId="77777777" w:rsidR="00ED6AC0" w:rsidRDefault="00ED6AC0" w:rsidP="00ED6AC0">
      <w:pPr>
        <w:pStyle w:val="ListParagraph"/>
        <w:numPr>
          <w:ilvl w:val="0"/>
          <w:numId w:val="22"/>
        </w:numPr>
        <w:ind w:hanging="720"/>
        <w:jc w:val="both"/>
        <w:rPr>
          <w:rFonts w:ascii="Times" w:eastAsia="Times New Roman" w:hAnsi="Times" w:cs="Times New Roman"/>
        </w:rPr>
      </w:pPr>
      <w:r w:rsidRPr="003E2579">
        <w:rPr>
          <w:rFonts w:ascii="Times" w:eastAsia="Times New Roman" w:hAnsi="Times" w:cs="Times New Roman"/>
        </w:rPr>
        <w:t xml:space="preserve">Cash receipts or disbursements associated with invested assets (other than policy loans) as described in Section </w:t>
      </w:r>
      <w:r>
        <w:rPr>
          <w:rFonts w:ascii="Times" w:eastAsia="Times New Roman" w:hAnsi="Times" w:cs="Times New Roman"/>
        </w:rPr>
        <w:t>4</w:t>
      </w:r>
      <w:r w:rsidRPr="003E2579">
        <w:rPr>
          <w:rFonts w:ascii="Times" w:eastAsia="Times New Roman" w:hAnsi="Times" w:cs="Times New Roman"/>
        </w:rPr>
        <w:t>.</w:t>
      </w:r>
      <w:r>
        <w:rPr>
          <w:rFonts w:ascii="Times" w:eastAsia="Times New Roman" w:hAnsi="Times" w:cs="Times New Roman"/>
        </w:rPr>
        <w:t>D.4</w:t>
      </w:r>
      <w:r w:rsidRPr="003E2579">
        <w:rPr>
          <w:rFonts w:ascii="Times" w:eastAsia="Times New Roman" w:hAnsi="Times" w:cs="Times New Roman"/>
        </w:rPr>
        <w:t>, including investment income, realized capital gains and losses, principal repayments, asset default costs, investment expenses, asset prepayments, and asset sales.</w:t>
      </w:r>
    </w:p>
    <w:p w14:paraId="786B609B" w14:textId="77777777" w:rsidR="00ED6AC0" w:rsidRPr="003E2579" w:rsidRDefault="00ED6AC0" w:rsidP="00ED6AC0">
      <w:pPr>
        <w:pStyle w:val="ListParagraph"/>
        <w:ind w:left="2160" w:hanging="720"/>
        <w:rPr>
          <w:rFonts w:ascii="Times New Roman" w:hAnsi="Times New Roman" w:cs="Times New Roman"/>
          <w:sz w:val="12"/>
          <w:szCs w:val="12"/>
        </w:rPr>
      </w:pPr>
    </w:p>
    <w:p w14:paraId="4A6625C0" w14:textId="77777777" w:rsidR="00ED6AC0" w:rsidRDefault="00ED6AC0" w:rsidP="00ED6AC0">
      <w:pPr>
        <w:pStyle w:val="ListParagraph"/>
        <w:numPr>
          <w:ilvl w:val="0"/>
          <w:numId w:val="22"/>
        </w:numPr>
        <w:ind w:hanging="720"/>
        <w:jc w:val="both"/>
        <w:rPr>
          <w:rFonts w:ascii="Times New Roman" w:hAnsi="Times New Roman" w:cs="Times New Roman"/>
        </w:rPr>
      </w:pPr>
      <w:r w:rsidRPr="003E2579">
        <w:rPr>
          <w:rFonts w:ascii="Times New Roman" w:hAnsi="Times New Roman" w:cs="Times New Roman"/>
        </w:rPr>
        <w:t>If modeled explicitly, cash flows related to policy loans as described in Section</w:t>
      </w:r>
      <w:r>
        <w:rPr>
          <w:rFonts w:ascii="Times New Roman" w:hAnsi="Times New Roman" w:cs="Times New Roman"/>
        </w:rPr>
        <w:t xml:space="preserve"> 10.H.2</w:t>
      </w:r>
      <w:r w:rsidRPr="00667CC0">
        <w:rPr>
          <w:rFonts w:ascii="Times New Roman" w:hAnsi="Times New Roman" w:cs="Times New Roman"/>
        </w:rPr>
        <w:t>, including interest income, new loan payments and principal repayments.</w:t>
      </w:r>
      <w:r w:rsidRPr="00AF5FFF">
        <w:rPr>
          <w:rFonts w:ascii="Times New Roman" w:hAnsi="Times New Roman" w:cs="Times New Roman"/>
        </w:rPr>
        <w:t xml:space="preserve"> </w:t>
      </w:r>
    </w:p>
    <w:p w14:paraId="4BC311F0" w14:textId="77777777" w:rsidR="00ED6AC0" w:rsidRPr="000D661F" w:rsidRDefault="00ED6AC0" w:rsidP="00ED6AC0">
      <w:pPr>
        <w:pStyle w:val="ListParagraph"/>
        <w:rPr>
          <w:rFonts w:ascii="Times New Roman" w:hAnsi="Times New Roman" w:cs="Times New Roman"/>
        </w:rPr>
      </w:pPr>
    </w:p>
    <w:p w14:paraId="15940034" w14:textId="77777777" w:rsidR="00ED6AC0" w:rsidRPr="00AF5FFF" w:rsidRDefault="00ED6AC0" w:rsidP="00ED6AC0">
      <w:pPr>
        <w:pStyle w:val="ListParagraph"/>
        <w:pBdr>
          <w:top w:val="single" w:sz="4" w:space="1" w:color="auto"/>
          <w:left w:val="single" w:sz="4" w:space="4" w:color="auto"/>
          <w:bottom w:val="single" w:sz="4" w:space="1" w:color="auto"/>
          <w:right w:val="single" w:sz="4" w:space="4" w:color="auto"/>
        </w:pBdr>
        <w:ind w:left="1440"/>
        <w:jc w:val="both"/>
        <w:rPr>
          <w:rFonts w:ascii="Times New Roman" w:hAnsi="Times New Roman" w:cs="Times New Roman"/>
        </w:rPr>
      </w:pPr>
      <w:r w:rsidRPr="00EB30A9">
        <w:rPr>
          <w:rFonts w:ascii="Times New Roman" w:hAnsi="Times New Roman" w:cs="Times New Roman"/>
          <w:b/>
          <w:bCs/>
        </w:rPr>
        <w:t>Guidance Note:</w:t>
      </w:r>
      <w:r w:rsidRPr="000D661F">
        <w:rPr>
          <w:rFonts w:ascii="Times New Roman" w:hAnsi="Times New Roman" w:cs="Times New Roman"/>
        </w:rPr>
        <w:t xml:space="preserve"> Future net policy loan cash flows include: policy loan interest paid in cash plus</w:t>
      </w:r>
      <w:r>
        <w:rPr>
          <w:rFonts w:ascii="Times New Roman" w:hAnsi="Times New Roman" w:cs="Times New Roman"/>
        </w:rPr>
        <w:t xml:space="preserve"> </w:t>
      </w:r>
      <w:r w:rsidRPr="000D661F">
        <w:rPr>
          <w:rFonts w:ascii="Times New Roman" w:hAnsi="Times New Roman" w:cs="Times New Roman"/>
        </w:rPr>
        <w:t>repayments of policy loan principal, including repayments occurring at death or surrender (note</w:t>
      </w:r>
      <w:r>
        <w:rPr>
          <w:rFonts w:ascii="Times New Roman" w:hAnsi="Times New Roman" w:cs="Times New Roman"/>
        </w:rPr>
        <w:t xml:space="preserve"> </w:t>
      </w:r>
      <w:r w:rsidRPr="000D661F">
        <w:rPr>
          <w:rFonts w:ascii="Times New Roman" w:hAnsi="Times New Roman" w:cs="Times New Roman"/>
        </w:rPr>
        <w:t>that the future benefits in Section 4.A.</w:t>
      </w:r>
      <w:r>
        <w:rPr>
          <w:rFonts w:ascii="Times New Roman" w:hAnsi="Times New Roman" w:cs="Times New Roman"/>
        </w:rPr>
        <w:t>1.c</w:t>
      </w:r>
      <w:r w:rsidRPr="000D661F">
        <w:rPr>
          <w:rFonts w:ascii="Times New Roman" w:hAnsi="Times New Roman" w:cs="Times New Roman"/>
        </w:rPr>
        <w:t xml:space="preserve"> are before consideration of policy loans), less additional</w:t>
      </w:r>
      <w:r>
        <w:rPr>
          <w:rFonts w:ascii="Times New Roman" w:hAnsi="Times New Roman" w:cs="Times New Roman"/>
        </w:rPr>
        <w:t xml:space="preserve"> </w:t>
      </w:r>
      <w:r w:rsidRPr="000D661F">
        <w:rPr>
          <w:rFonts w:ascii="Times New Roman" w:hAnsi="Times New Roman" w:cs="Times New Roman"/>
        </w:rPr>
        <w:t>policy loan principal (but excluding policy loan interest that is added to the policy loan principal balance).</w:t>
      </w:r>
      <w:r w:rsidRPr="00AF5FFF" w:rsidDel="00B65B2E">
        <w:rPr>
          <w:rFonts w:ascii="Times New Roman" w:hAnsi="Times New Roman" w:cs="Times New Roman"/>
        </w:rPr>
        <w:t xml:space="preserve"> </w:t>
      </w:r>
    </w:p>
    <w:p w14:paraId="69D88076" w14:textId="77777777" w:rsidR="00ED6AC0" w:rsidRPr="004B39F7" w:rsidRDefault="00ED6AC0" w:rsidP="00ED6AC0">
      <w:pPr>
        <w:pStyle w:val="ListParagraph"/>
        <w:ind w:left="1350"/>
        <w:jc w:val="both"/>
        <w:rPr>
          <w:rFonts w:ascii="Times" w:eastAsia="Times New Roman" w:hAnsi="Times" w:cs="Times New Roman"/>
        </w:rPr>
      </w:pPr>
    </w:p>
    <w:p w14:paraId="31C52A33" w14:textId="77777777" w:rsidR="00ED6AC0" w:rsidRPr="004B39F7" w:rsidRDefault="00ED6AC0" w:rsidP="00ED6AC0">
      <w:pPr>
        <w:pStyle w:val="ListParagraph"/>
        <w:numPr>
          <w:ilvl w:val="0"/>
          <w:numId w:val="11"/>
        </w:numPr>
        <w:spacing w:after="0" w:line="240" w:lineRule="auto"/>
        <w:ind w:left="1440" w:hanging="720"/>
        <w:rPr>
          <w:rFonts w:ascii="Times" w:eastAsia="Times New Roman" w:hAnsi="Times" w:cs="Times New Roman"/>
        </w:rPr>
      </w:pPr>
      <w:r w:rsidRPr="00F23505">
        <w:rPr>
          <w:rFonts w:ascii="Times" w:eastAsia="Times New Roman" w:hAnsi="Times" w:cs="Times New Roman"/>
        </w:rPr>
        <w:t xml:space="preserve">Grouping of </w:t>
      </w:r>
      <w:r>
        <w:rPr>
          <w:rFonts w:ascii="Times" w:eastAsia="Times New Roman" w:hAnsi="Times" w:cs="Times New Roman"/>
        </w:rPr>
        <w:t>Index Crediting Strategies</w:t>
      </w:r>
    </w:p>
    <w:p w14:paraId="73F0BF9D" w14:textId="77777777" w:rsidR="00ED6AC0" w:rsidRPr="00667CC0" w:rsidRDefault="00ED6AC0" w:rsidP="00ED6AC0">
      <w:pPr>
        <w:pStyle w:val="ListParagraph"/>
        <w:spacing w:after="0" w:line="240" w:lineRule="auto"/>
        <w:ind w:left="1440"/>
        <w:rPr>
          <w:rFonts w:ascii="Times New Roman" w:eastAsia="Times New Roman" w:hAnsi="Times New Roman" w:cs="Times New Roman"/>
        </w:rPr>
      </w:pPr>
    </w:p>
    <w:p w14:paraId="75F3E91C" w14:textId="77777777" w:rsidR="00ED6AC0" w:rsidRDefault="00ED6AC0" w:rsidP="00ED6AC0">
      <w:pPr>
        <w:pStyle w:val="Default"/>
        <w:ind w:left="1440"/>
        <w:jc w:val="both"/>
        <w:rPr>
          <w:rFonts w:eastAsia="Times New Roman"/>
          <w:color w:val="auto"/>
          <w:sz w:val="22"/>
          <w:szCs w:val="22"/>
        </w:rPr>
      </w:pPr>
      <w:r w:rsidRPr="00667CC0">
        <w:rPr>
          <w:rFonts w:eastAsia="Times New Roman"/>
          <w:color w:val="auto"/>
          <w:sz w:val="22"/>
          <w:szCs w:val="22"/>
        </w:rPr>
        <w:t xml:space="preserve">Index </w:t>
      </w:r>
      <w:r>
        <w:rPr>
          <w:rFonts w:eastAsia="Times New Roman"/>
          <w:color w:val="auto"/>
          <w:sz w:val="22"/>
          <w:szCs w:val="22"/>
        </w:rPr>
        <w:t>crediting s</w:t>
      </w:r>
      <w:r w:rsidRPr="00667CC0">
        <w:rPr>
          <w:rFonts w:eastAsia="Times New Roman"/>
          <w:color w:val="auto"/>
          <w:sz w:val="22"/>
          <w:szCs w:val="22"/>
        </w:rPr>
        <w:t xml:space="preserve">trategies </w:t>
      </w:r>
      <w:r>
        <w:rPr>
          <w:rFonts w:eastAsia="Times New Roman"/>
          <w:color w:val="auto"/>
          <w:sz w:val="22"/>
          <w:szCs w:val="22"/>
        </w:rPr>
        <w:t xml:space="preserve">for non-variable annuities </w:t>
      </w:r>
      <w:r w:rsidRPr="00667CC0">
        <w:rPr>
          <w:rFonts w:eastAsia="Times New Roman"/>
          <w:color w:val="auto"/>
          <w:sz w:val="22"/>
          <w:szCs w:val="22"/>
        </w:rPr>
        <w:t>may be grouped for modeling using an approach that recognizes the objectives of each index</w:t>
      </w:r>
      <w:r>
        <w:rPr>
          <w:rFonts w:eastAsia="Times New Roman"/>
          <w:color w:val="auto"/>
          <w:sz w:val="22"/>
          <w:szCs w:val="22"/>
        </w:rPr>
        <w:t xml:space="preserve"> crediting strategy</w:t>
      </w:r>
      <w:r w:rsidRPr="00667CC0">
        <w:rPr>
          <w:rFonts w:eastAsia="Times New Roman"/>
          <w:color w:val="auto"/>
          <w:sz w:val="22"/>
          <w:szCs w:val="22"/>
        </w:rPr>
        <w:t xml:space="preserve">. In assigning each </w:t>
      </w:r>
      <w:r>
        <w:rPr>
          <w:rFonts w:eastAsia="Times New Roman"/>
          <w:color w:val="auto"/>
          <w:sz w:val="22"/>
          <w:szCs w:val="22"/>
        </w:rPr>
        <w:t>i</w:t>
      </w:r>
      <w:r w:rsidRPr="00667CC0">
        <w:rPr>
          <w:rFonts w:eastAsia="Times New Roman"/>
          <w:color w:val="auto"/>
          <w:sz w:val="22"/>
          <w:szCs w:val="22"/>
        </w:rPr>
        <w:t xml:space="preserve">ndex </w:t>
      </w:r>
      <w:r>
        <w:rPr>
          <w:rFonts w:eastAsia="Times New Roman"/>
          <w:color w:val="auto"/>
          <w:sz w:val="22"/>
          <w:szCs w:val="22"/>
        </w:rPr>
        <w:t>crediting strategy</w:t>
      </w:r>
      <w:r w:rsidRPr="00667CC0">
        <w:rPr>
          <w:rFonts w:eastAsia="Times New Roman"/>
          <w:color w:val="auto"/>
          <w:sz w:val="22"/>
          <w:szCs w:val="22"/>
        </w:rPr>
        <w:t xml:space="preserve"> to a grouping for projection purposes, the fundamental characteristics of the </w:t>
      </w:r>
      <w:r>
        <w:rPr>
          <w:rFonts w:eastAsia="Times New Roman"/>
          <w:color w:val="auto"/>
          <w:sz w:val="22"/>
          <w:szCs w:val="22"/>
        </w:rPr>
        <w:t>i</w:t>
      </w:r>
      <w:r w:rsidRPr="00667CC0">
        <w:rPr>
          <w:rFonts w:eastAsia="Times New Roman"/>
          <w:color w:val="auto"/>
          <w:sz w:val="22"/>
          <w:szCs w:val="22"/>
        </w:rPr>
        <w:t xml:space="preserve">ndex </w:t>
      </w:r>
      <w:r>
        <w:rPr>
          <w:rFonts w:eastAsia="Times New Roman"/>
          <w:color w:val="auto"/>
          <w:sz w:val="22"/>
          <w:szCs w:val="22"/>
        </w:rPr>
        <w:t>crediting</w:t>
      </w:r>
      <w:r w:rsidRPr="00667CC0">
        <w:rPr>
          <w:rFonts w:eastAsia="Times New Roman"/>
          <w:color w:val="auto"/>
          <w:sz w:val="22"/>
          <w:szCs w:val="22"/>
        </w:rPr>
        <w:t xml:space="preserve"> </w:t>
      </w:r>
      <w:r>
        <w:rPr>
          <w:rFonts w:eastAsia="Times New Roman"/>
          <w:color w:val="auto"/>
          <w:sz w:val="22"/>
          <w:szCs w:val="22"/>
        </w:rPr>
        <w:t>s</w:t>
      </w:r>
      <w:r w:rsidRPr="00667CC0">
        <w:rPr>
          <w:rFonts w:eastAsia="Times New Roman"/>
          <w:color w:val="auto"/>
          <w:sz w:val="22"/>
          <w:szCs w:val="22"/>
        </w:rPr>
        <w:t xml:space="preserve">trategy shall be reflected, and the parameters shall have the appropriate relationship to the stochastically generated projection scenarios described in Section </w:t>
      </w:r>
      <w:r>
        <w:rPr>
          <w:rFonts w:eastAsia="Times New Roman"/>
          <w:color w:val="auto"/>
          <w:sz w:val="22"/>
          <w:szCs w:val="22"/>
        </w:rPr>
        <w:t>8</w:t>
      </w:r>
      <w:r w:rsidRPr="00667CC0">
        <w:rPr>
          <w:rFonts w:eastAsia="Times New Roman"/>
          <w:color w:val="auto"/>
          <w:sz w:val="22"/>
          <w:szCs w:val="22"/>
        </w:rPr>
        <w:t xml:space="preserve">. The grouping shall reflect characteristics of the efficient frontier (i.e., returns generally cannot be increased without assuming additional risk). </w:t>
      </w:r>
    </w:p>
    <w:p w14:paraId="2942D9C6" w14:textId="77777777" w:rsidR="00ED6AC0" w:rsidRPr="00667CC0" w:rsidRDefault="00ED6AC0" w:rsidP="00ED6AC0">
      <w:pPr>
        <w:pStyle w:val="Default"/>
        <w:ind w:left="1440"/>
        <w:jc w:val="both"/>
        <w:rPr>
          <w:rFonts w:eastAsia="Times New Roman"/>
          <w:color w:val="auto"/>
          <w:sz w:val="22"/>
          <w:szCs w:val="22"/>
        </w:rPr>
      </w:pPr>
    </w:p>
    <w:p w14:paraId="04A94B7D" w14:textId="77777777" w:rsidR="00ED6AC0" w:rsidRPr="004B39F7" w:rsidRDefault="00ED6AC0" w:rsidP="00ED6AC0">
      <w:pPr>
        <w:pStyle w:val="ListParagraph"/>
        <w:ind w:left="1440"/>
        <w:jc w:val="both"/>
        <w:rPr>
          <w:rFonts w:ascii="Times" w:eastAsia="Times New Roman" w:hAnsi="Times" w:cs="Times New Roman"/>
        </w:rPr>
      </w:pPr>
      <w:r w:rsidRPr="00667CC0">
        <w:rPr>
          <w:rFonts w:ascii="Times New Roman" w:eastAsia="Times New Roman" w:hAnsi="Times New Roman" w:cs="Times New Roman"/>
        </w:rPr>
        <w:t xml:space="preserve">Index </w:t>
      </w:r>
      <w:r>
        <w:rPr>
          <w:rFonts w:ascii="Times New Roman" w:eastAsia="Times New Roman" w:hAnsi="Times New Roman" w:cs="Times New Roman"/>
        </w:rPr>
        <w:t>a</w:t>
      </w:r>
      <w:r w:rsidRPr="00667CC0">
        <w:rPr>
          <w:rFonts w:ascii="Times New Roman" w:eastAsia="Times New Roman" w:hAnsi="Times New Roman" w:cs="Times New Roman"/>
        </w:rPr>
        <w:t xml:space="preserve">ccounts sharing similar </w:t>
      </w:r>
      <w:r>
        <w:rPr>
          <w:rFonts w:ascii="Times New Roman" w:eastAsia="Times New Roman" w:hAnsi="Times New Roman" w:cs="Times New Roman"/>
        </w:rPr>
        <w:t>i</w:t>
      </w:r>
      <w:r w:rsidRPr="00667CC0">
        <w:rPr>
          <w:rFonts w:ascii="Times New Roman" w:eastAsia="Times New Roman" w:hAnsi="Times New Roman" w:cs="Times New Roman"/>
        </w:rPr>
        <w:t xml:space="preserve">ndex </w:t>
      </w:r>
      <w:r>
        <w:rPr>
          <w:rFonts w:ascii="Times New Roman" w:eastAsia="Times New Roman" w:hAnsi="Times New Roman" w:cs="Times New Roman"/>
        </w:rPr>
        <w:t>crediting s</w:t>
      </w:r>
      <w:r w:rsidRPr="00667CC0">
        <w:rPr>
          <w:rFonts w:ascii="Times New Roman" w:eastAsia="Times New Roman" w:hAnsi="Times New Roman" w:cs="Times New Roman"/>
        </w:rPr>
        <w:t>trategies may also be grouped for modeling to an appropriately</w:t>
      </w:r>
      <w:r w:rsidRPr="00D97AE2">
        <w:rPr>
          <w:rFonts w:ascii="Times" w:eastAsia="Times New Roman" w:hAnsi="Times" w:cs="Times New Roman"/>
        </w:rPr>
        <w:t xml:space="preserve"> crafted proxy strategy</w:t>
      </w:r>
      <w:r>
        <w:rPr>
          <w:rFonts w:ascii="Times" w:eastAsia="Times New Roman" w:hAnsi="Times" w:cs="Times New Roman"/>
        </w:rPr>
        <w:t xml:space="preserve"> </w:t>
      </w:r>
      <w:r w:rsidRPr="00D97AE2">
        <w:rPr>
          <w:rFonts w:ascii="Times" w:eastAsia="Times New Roman" w:hAnsi="Times" w:cs="Times New Roman"/>
        </w:rPr>
        <w:t>normally expressed as a linear combination of recognized market indices, sub-indices or</w:t>
      </w:r>
      <w:r>
        <w:rPr>
          <w:rFonts w:ascii="Times" w:eastAsia="Times New Roman" w:hAnsi="Times" w:cs="Times New Roman"/>
        </w:rPr>
        <w:t xml:space="preserve"> </w:t>
      </w:r>
      <w:r w:rsidRPr="00D97AE2">
        <w:rPr>
          <w:rFonts w:ascii="Times" w:eastAsia="Times New Roman" w:hAnsi="Times" w:cs="Times New Roman"/>
        </w:rPr>
        <w:t xml:space="preserve">funds, </w:t>
      </w:r>
      <w:proofErr w:type="gramStart"/>
      <w:r w:rsidRPr="00D97AE2">
        <w:rPr>
          <w:rFonts w:ascii="Times" w:eastAsia="Times New Roman" w:hAnsi="Times" w:cs="Times New Roman"/>
        </w:rPr>
        <w:t>in order to</w:t>
      </w:r>
      <w:proofErr w:type="gramEnd"/>
      <w:r w:rsidRPr="00D97AE2">
        <w:rPr>
          <w:rFonts w:ascii="Times" w:eastAsia="Times New Roman" w:hAnsi="Times" w:cs="Times New Roman"/>
        </w:rPr>
        <w:t xml:space="preserve"> develop the investment return paths and associated interest crediting. Each </w:t>
      </w:r>
      <w:r>
        <w:rPr>
          <w:rFonts w:ascii="Times" w:eastAsia="Times New Roman" w:hAnsi="Times" w:cs="Times New Roman"/>
        </w:rPr>
        <w:t>i</w:t>
      </w:r>
      <w:r w:rsidRPr="00D97AE2">
        <w:rPr>
          <w:rFonts w:ascii="Times" w:eastAsia="Times New Roman" w:hAnsi="Times" w:cs="Times New Roman"/>
        </w:rPr>
        <w:t xml:space="preserve">ndex </w:t>
      </w:r>
      <w:r>
        <w:rPr>
          <w:rFonts w:ascii="Times" w:eastAsia="Times New Roman" w:hAnsi="Times" w:cs="Times New Roman"/>
        </w:rPr>
        <w:t>crediting s</w:t>
      </w:r>
      <w:r w:rsidRPr="00D97AE2">
        <w:rPr>
          <w:rFonts w:ascii="Times" w:eastAsia="Times New Roman" w:hAnsi="Times" w:cs="Times New Roman"/>
        </w:rPr>
        <w:t xml:space="preserve">trategy’s specific risk characteristics, associated </w:t>
      </w:r>
      <w:r>
        <w:rPr>
          <w:rFonts w:ascii="Times" w:eastAsia="Times New Roman" w:hAnsi="Times" w:cs="Times New Roman"/>
        </w:rPr>
        <w:t xml:space="preserve">index </w:t>
      </w:r>
      <w:r w:rsidRPr="00D97AE2">
        <w:rPr>
          <w:rFonts w:ascii="Times" w:eastAsia="Times New Roman" w:hAnsi="Times" w:cs="Times New Roman"/>
        </w:rPr>
        <w:t>parameters</w:t>
      </w:r>
      <w:r>
        <w:rPr>
          <w:rFonts w:ascii="Times" w:eastAsia="Times New Roman" w:hAnsi="Times" w:cs="Times New Roman"/>
        </w:rPr>
        <w:t>,</w:t>
      </w:r>
      <w:r w:rsidRPr="00704324">
        <w:rPr>
          <w:rFonts w:ascii="Times" w:eastAsia="Times New Roman" w:hAnsi="Times" w:cs="Times New Roman"/>
        </w:rPr>
        <w:t xml:space="preserve"> </w:t>
      </w:r>
      <w:r w:rsidRPr="00A10A4C">
        <w:rPr>
          <w:rFonts w:ascii="Times" w:eastAsia="Times New Roman" w:hAnsi="Times" w:cs="Times New Roman"/>
        </w:rPr>
        <w:t xml:space="preserve">and relationship to the stochastically generated scenarios in </w:t>
      </w:r>
      <w:r w:rsidRPr="00EA74F6">
        <w:rPr>
          <w:rFonts w:ascii="Times" w:eastAsia="Times New Roman" w:hAnsi="Times" w:cs="Times New Roman"/>
        </w:rPr>
        <w:t xml:space="preserve">Section </w:t>
      </w:r>
      <w:r>
        <w:rPr>
          <w:rFonts w:ascii="Times" w:eastAsia="Times New Roman" w:hAnsi="Times" w:cs="Times New Roman"/>
        </w:rPr>
        <w:t>8</w:t>
      </w:r>
      <w:r w:rsidRPr="008F5DBD">
        <w:rPr>
          <w:rFonts w:ascii="Times" w:eastAsia="Times New Roman" w:hAnsi="Times" w:cs="Times New Roman"/>
        </w:rPr>
        <w:t xml:space="preserve"> should be considered before grouping or assigning to a proxy strategy.</w:t>
      </w:r>
      <w:r w:rsidRPr="00D97AE2">
        <w:rPr>
          <w:rFonts w:ascii="Times" w:eastAsia="Times New Roman" w:hAnsi="Times" w:cs="Times New Roman"/>
        </w:rPr>
        <w:t xml:space="preserve"> Grouping and</w:t>
      </w:r>
      <w:r>
        <w:rPr>
          <w:rFonts w:ascii="Times" w:eastAsia="Times New Roman" w:hAnsi="Times" w:cs="Times New Roman"/>
        </w:rPr>
        <w:t>/</w:t>
      </w:r>
      <w:r w:rsidRPr="00D97AE2">
        <w:rPr>
          <w:rFonts w:ascii="Times" w:eastAsia="Times New Roman" w:hAnsi="Times" w:cs="Times New Roman"/>
        </w:rPr>
        <w:t xml:space="preserve">or development of a proxy strategy </w:t>
      </w:r>
      <w:r w:rsidRPr="004B39F7">
        <w:rPr>
          <w:rFonts w:ascii="Times" w:eastAsia="Times New Roman" w:hAnsi="Times" w:cs="Times New Roman"/>
        </w:rPr>
        <w:t xml:space="preserve">may not be done in a manner that intentionally understates the resulting reserve. </w:t>
      </w:r>
    </w:p>
    <w:p w14:paraId="6DC1A39E" w14:textId="77777777" w:rsidR="00ED6AC0" w:rsidRPr="004B39F7" w:rsidRDefault="00ED6AC0" w:rsidP="00ED6AC0">
      <w:pPr>
        <w:pStyle w:val="ListParagraph"/>
        <w:numPr>
          <w:ilvl w:val="0"/>
          <w:numId w:val="11"/>
        </w:numPr>
        <w:spacing w:after="0" w:line="240" w:lineRule="auto"/>
        <w:ind w:left="1440" w:hanging="720"/>
        <w:jc w:val="both"/>
        <w:rPr>
          <w:rFonts w:ascii="Times" w:eastAsia="Times New Roman" w:hAnsi="Times" w:cs="Times New Roman"/>
        </w:rPr>
      </w:pPr>
      <w:r w:rsidRPr="004B39F7">
        <w:rPr>
          <w:rFonts w:ascii="Times" w:eastAsia="Times New Roman" w:hAnsi="Times" w:cs="Times New Roman"/>
        </w:rPr>
        <w:t xml:space="preserve">Model Cells </w:t>
      </w:r>
    </w:p>
    <w:p w14:paraId="38AEE0DB" w14:textId="77777777" w:rsidR="00ED6AC0" w:rsidRPr="004B39F7" w:rsidRDefault="00ED6AC0" w:rsidP="00ED6AC0">
      <w:pPr>
        <w:pStyle w:val="ListParagraph"/>
        <w:jc w:val="both"/>
        <w:rPr>
          <w:rFonts w:ascii="Times" w:eastAsia="Times New Roman" w:hAnsi="Times" w:cs="Times New Roman"/>
        </w:rPr>
      </w:pPr>
    </w:p>
    <w:p w14:paraId="27F50029" w14:textId="77777777" w:rsidR="00ED6AC0" w:rsidRDefault="00ED6AC0" w:rsidP="00ED6AC0">
      <w:pPr>
        <w:pStyle w:val="ListParagraph"/>
        <w:ind w:left="1440"/>
        <w:jc w:val="both"/>
        <w:rPr>
          <w:rFonts w:ascii="Times" w:eastAsia="Times New Roman" w:hAnsi="Times" w:cs="Times New Roman"/>
        </w:rPr>
      </w:pPr>
      <w:r w:rsidRPr="004B39F7">
        <w:rPr>
          <w:rFonts w:ascii="Times" w:eastAsia="Times New Roman" w:hAnsi="Times" w:cs="Times New Roman"/>
        </w:rPr>
        <w:lastRenderedPageBreak/>
        <w:t xml:space="preserve">Projections may be performed for each contract in force on the date of valuation or by assigning contracts into representative cells of model plans using all characteristics and criteria having a material impact on the size of the reserve. Assigning contracts to model cells </w:t>
      </w:r>
      <w:bookmarkStart w:id="29" w:name="_Hlk51670933"/>
      <w:r w:rsidRPr="004B39F7">
        <w:rPr>
          <w:rFonts w:ascii="Times" w:eastAsia="Times New Roman" w:hAnsi="Times" w:cs="Times New Roman"/>
        </w:rPr>
        <w:t xml:space="preserve">may not be done in a manner that intentionally understates the resulting reserve. </w:t>
      </w:r>
    </w:p>
    <w:p w14:paraId="7D13ED1F" w14:textId="77777777" w:rsidR="00ED6AC0" w:rsidRPr="004B39F7" w:rsidRDefault="00ED6AC0" w:rsidP="00ED6AC0">
      <w:pPr>
        <w:pStyle w:val="ListParagraph"/>
        <w:spacing w:after="0"/>
        <w:ind w:left="1440"/>
        <w:jc w:val="both"/>
        <w:rPr>
          <w:rFonts w:ascii="Times" w:eastAsia="Times New Roman" w:hAnsi="Times" w:cs="Times New Roman"/>
        </w:rPr>
      </w:pPr>
    </w:p>
    <w:bookmarkEnd w:id="29"/>
    <w:p w14:paraId="007CC25D" w14:textId="77777777" w:rsidR="00ED6AC0" w:rsidRDefault="00ED6AC0" w:rsidP="00ED6AC0">
      <w:pPr>
        <w:spacing w:after="220"/>
        <w:ind w:left="1440" w:hanging="720"/>
        <w:jc w:val="both"/>
        <w:rPr>
          <w:rFonts w:ascii="Times New Roman" w:eastAsia="Times New Roman" w:hAnsi="Times New Roman"/>
        </w:rPr>
      </w:pPr>
      <w:r>
        <w:rPr>
          <w:rFonts w:ascii="Times New Roman" w:eastAsia="Times New Roman" w:hAnsi="Times New Roman"/>
        </w:rPr>
        <w:t>4.</w:t>
      </w:r>
      <w:r>
        <w:rPr>
          <w:rFonts w:ascii="Times New Roman" w:eastAsia="Times New Roman" w:hAnsi="Times New Roman"/>
        </w:rPr>
        <w:tab/>
        <w:t>Modeling of Hedges</w:t>
      </w:r>
    </w:p>
    <w:p w14:paraId="4D392640" w14:textId="77777777" w:rsidR="00ED6AC0" w:rsidRDefault="00ED6AC0" w:rsidP="00ED6AC0">
      <w:pPr>
        <w:spacing w:after="220"/>
        <w:ind w:left="2160" w:hanging="720"/>
        <w:jc w:val="both"/>
        <w:rPr>
          <w:rFonts w:ascii="Times New Roman" w:eastAsia="Times New Roman" w:hAnsi="Times New Roman"/>
        </w:rPr>
      </w:pPr>
      <w:r w:rsidRPr="2BB44510">
        <w:rPr>
          <w:rFonts w:ascii="Times New Roman" w:eastAsia="Times New Roman" w:hAnsi="Times New Roman"/>
        </w:rPr>
        <w:t>a.</w:t>
      </w:r>
      <w:r w:rsidRPr="00D31106">
        <w:tab/>
      </w:r>
      <w:r w:rsidRPr="2BB44510">
        <w:rPr>
          <w:rFonts w:ascii="Times New Roman" w:eastAsia="Times New Roman" w:hAnsi="Times New Roman"/>
        </w:rPr>
        <w:t xml:space="preserve">For a company that does not have a future hedging </w:t>
      </w:r>
      <w:r>
        <w:rPr>
          <w:rFonts w:ascii="Times New Roman" w:eastAsia="Times New Roman" w:hAnsi="Times New Roman"/>
        </w:rPr>
        <w:t>strategy supporting</w:t>
      </w:r>
      <w:r w:rsidRPr="2BB44510">
        <w:rPr>
          <w:rFonts w:ascii="Times New Roman" w:eastAsia="Times New Roman" w:hAnsi="Times New Roman"/>
        </w:rPr>
        <w:t xml:space="preserve"> the contracts:</w:t>
      </w:r>
    </w:p>
    <w:p w14:paraId="247D557F" w14:textId="77777777" w:rsidR="00ED6AC0" w:rsidRDefault="00ED6AC0" w:rsidP="00ED6AC0">
      <w:pPr>
        <w:spacing w:after="220"/>
        <w:ind w:left="2880" w:hanging="720"/>
        <w:jc w:val="both"/>
        <w:rPr>
          <w:rFonts w:ascii="Times New Roman" w:eastAsia="Times New Roman" w:hAnsi="Times New Roman"/>
        </w:rPr>
      </w:pPr>
      <w:proofErr w:type="spellStart"/>
      <w:r>
        <w:rPr>
          <w:rFonts w:ascii="Times New Roman" w:eastAsia="Times New Roman" w:hAnsi="Times New Roman"/>
        </w:rPr>
        <w:t>i</w:t>
      </w:r>
      <w:proofErr w:type="spellEnd"/>
      <w:r>
        <w:rPr>
          <w:rFonts w:ascii="Times New Roman" w:eastAsia="Times New Roman" w:hAnsi="Times New Roman"/>
        </w:rPr>
        <w:t>.</w:t>
      </w:r>
      <w:r>
        <w:rPr>
          <w:rFonts w:ascii="Times New Roman" w:eastAsia="Times New Roman" w:hAnsi="Times New Roman"/>
        </w:rPr>
        <w:tab/>
        <w:t>The company shall not consider the cash flows from any future hedge purchases or any rebalancing of existing hedge assets in its modeling</w:t>
      </w:r>
      <w:r w:rsidRPr="00BC4806">
        <w:rPr>
          <w:rFonts w:ascii="Times New Roman" w:eastAsia="Times New Roman" w:hAnsi="Times New Roman"/>
        </w:rPr>
        <w:t>, since they are not included in the company’s investment strategy supporting the contracts</w:t>
      </w:r>
      <w:r>
        <w:rPr>
          <w:rFonts w:ascii="Times New Roman" w:eastAsia="Times New Roman" w:hAnsi="Times New Roman"/>
        </w:rPr>
        <w:t>.</w:t>
      </w:r>
    </w:p>
    <w:p w14:paraId="7745ABD2" w14:textId="77777777" w:rsidR="00ED6AC0" w:rsidRDefault="00ED6AC0" w:rsidP="00ED6AC0">
      <w:pPr>
        <w:spacing w:after="220"/>
        <w:ind w:left="2880" w:hanging="720"/>
        <w:jc w:val="both"/>
        <w:rPr>
          <w:rFonts w:ascii="Times New Roman" w:eastAsia="Times New Roman" w:hAnsi="Times New Roman"/>
        </w:rPr>
      </w:pPr>
      <w:r>
        <w:rPr>
          <w:rFonts w:ascii="Times New Roman" w:eastAsia="Times New Roman" w:hAnsi="Times New Roman"/>
        </w:rPr>
        <w:t>ii.</w:t>
      </w:r>
      <w:r>
        <w:rPr>
          <w:rFonts w:ascii="Times New Roman" w:eastAsia="Times New Roman" w:hAnsi="Times New Roman"/>
        </w:rPr>
        <w:tab/>
        <w:t xml:space="preserve">Existing hedging instruments that are currently held by the company in support of </w:t>
      </w:r>
      <w:proofErr w:type="gramStart"/>
      <w:r>
        <w:rPr>
          <w:rFonts w:ascii="Times New Roman" w:eastAsia="Times New Roman" w:hAnsi="Times New Roman"/>
        </w:rPr>
        <w:t>the contracts</w:t>
      </w:r>
      <w:proofErr w:type="gramEnd"/>
      <w:r>
        <w:rPr>
          <w:rFonts w:ascii="Times New Roman" w:eastAsia="Times New Roman" w:hAnsi="Times New Roman"/>
        </w:rPr>
        <w:t xml:space="preserve"> falling under the scope of these requirements shall be included in the starting assets.</w:t>
      </w:r>
    </w:p>
    <w:p w14:paraId="46DD8A74" w14:textId="77777777" w:rsidR="00ED6AC0" w:rsidRDefault="00ED6AC0" w:rsidP="00ED6AC0">
      <w:pPr>
        <w:spacing w:after="220"/>
        <w:ind w:left="2160" w:hanging="720"/>
        <w:jc w:val="both"/>
        <w:rPr>
          <w:rFonts w:ascii="Times New Roman" w:eastAsia="Times New Roman" w:hAnsi="Times New Roman"/>
        </w:rPr>
      </w:pPr>
      <w:r>
        <w:rPr>
          <w:rFonts w:ascii="Times New Roman" w:eastAsia="Times New Roman" w:hAnsi="Times New Roman"/>
        </w:rPr>
        <w:t>b.</w:t>
      </w:r>
      <w:r>
        <w:rPr>
          <w:rFonts w:ascii="Times New Roman" w:eastAsia="Times New Roman" w:hAnsi="Times New Roman"/>
        </w:rPr>
        <w:tab/>
        <w:t>For a company that has one or more future hedging strategies supporting the contracts:</w:t>
      </w:r>
    </w:p>
    <w:p w14:paraId="3C156506" w14:textId="77777777" w:rsidR="00ED6AC0" w:rsidRDefault="00ED6AC0" w:rsidP="00ED6AC0">
      <w:pPr>
        <w:spacing w:after="220"/>
        <w:ind w:left="2880" w:hanging="720"/>
        <w:jc w:val="both"/>
        <w:rPr>
          <w:rFonts w:ascii="Times New Roman" w:eastAsia="Times New Roman" w:hAnsi="Times New Roman"/>
        </w:rPr>
      </w:pPr>
      <w:proofErr w:type="spellStart"/>
      <w:r>
        <w:rPr>
          <w:rFonts w:ascii="Times New Roman" w:eastAsia="Times New Roman" w:hAnsi="Times New Roman"/>
        </w:rPr>
        <w:t>i</w:t>
      </w:r>
      <w:proofErr w:type="spellEnd"/>
      <w:r>
        <w:rPr>
          <w:rFonts w:ascii="Times New Roman" w:eastAsia="Times New Roman" w:hAnsi="Times New Roman"/>
        </w:rPr>
        <w:t>.</w:t>
      </w:r>
      <w:r>
        <w:rPr>
          <w:rFonts w:ascii="Times New Roman" w:eastAsia="Times New Roman" w:hAnsi="Times New Roman"/>
        </w:rPr>
        <w:tab/>
        <w:t xml:space="preserve">For a hedging program with hedge payoffs that offset index credits associated with indexed interest strategies (index credits): </w:t>
      </w:r>
    </w:p>
    <w:p w14:paraId="1BD16BB4" w14:textId="77777777" w:rsidR="00ED6AC0" w:rsidRDefault="00ED6AC0" w:rsidP="00ED6AC0">
      <w:pPr>
        <w:spacing w:after="220"/>
        <w:ind w:left="3600" w:hanging="720"/>
        <w:jc w:val="both"/>
        <w:rPr>
          <w:rFonts w:ascii="Times New Roman" w:eastAsia="Times New Roman" w:hAnsi="Times New Roman"/>
        </w:rPr>
      </w:pPr>
      <w:r>
        <w:rPr>
          <w:rFonts w:ascii="Times New Roman" w:eastAsia="Times New Roman" w:hAnsi="Times New Roman"/>
        </w:rPr>
        <w:t>a)</w:t>
      </w:r>
      <w:r>
        <w:rPr>
          <w:rFonts w:ascii="Times New Roman" w:eastAsia="Times New Roman" w:hAnsi="Times New Roman"/>
        </w:rPr>
        <w:tab/>
        <w:t>In modeling cash flows, the company shall include the cash flows from future hedge purchases or any rebalancing of existing hedge assets that are intended solely to offset index credits to contract holders.</w:t>
      </w:r>
    </w:p>
    <w:p w14:paraId="4C1D87AC" w14:textId="77777777" w:rsidR="00ED6AC0" w:rsidRDefault="00ED6AC0" w:rsidP="00ED6AC0">
      <w:pPr>
        <w:spacing w:after="220"/>
        <w:ind w:left="3600" w:hanging="720"/>
        <w:jc w:val="both"/>
        <w:rPr>
          <w:rFonts w:ascii="Times New Roman" w:eastAsia="Times New Roman" w:hAnsi="Times New Roman"/>
        </w:rPr>
      </w:pPr>
      <w:r>
        <w:rPr>
          <w:rFonts w:ascii="Times New Roman" w:eastAsia="Times New Roman" w:hAnsi="Times New Roman"/>
        </w:rPr>
        <w:t>b)</w:t>
      </w:r>
      <w:r w:rsidRPr="00D31106">
        <w:tab/>
      </w:r>
      <w:r w:rsidRPr="00950B6B">
        <w:rPr>
          <w:rFonts w:ascii="Times New Roman" w:eastAsia="Times New Roman" w:hAnsi="Times New Roman"/>
        </w:rPr>
        <w:t xml:space="preserve">Existing hedging instruments that are currently held by the company for </w:t>
      </w:r>
      <w:r>
        <w:rPr>
          <w:rFonts w:ascii="Times New Roman" w:eastAsia="Times New Roman" w:hAnsi="Times New Roman"/>
        </w:rPr>
        <w:t>offsetting the index credits</w:t>
      </w:r>
      <w:r w:rsidRPr="00950B6B">
        <w:rPr>
          <w:rFonts w:ascii="Times New Roman" w:eastAsia="Times New Roman" w:hAnsi="Times New Roman"/>
        </w:rPr>
        <w:t xml:space="preserve"> in support of the contracts falling under the scope of these requirements shall be included in the starting assets.</w:t>
      </w:r>
    </w:p>
    <w:p w14:paraId="23EA9C91" w14:textId="77777777" w:rsidR="00ED6AC0" w:rsidRPr="002C44AE" w:rsidRDefault="00ED6AC0" w:rsidP="00ED6AC0">
      <w:pPr>
        <w:spacing w:after="220"/>
        <w:ind w:left="3600" w:hanging="720"/>
        <w:jc w:val="both"/>
        <w:rPr>
          <w:rFonts w:ascii="Times New Roman" w:eastAsia="Times New Roman" w:hAnsi="Times New Roman"/>
        </w:rPr>
      </w:pPr>
      <w:r w:rsidRPr="6BD5544E">
        <w:rPr>
          <w:rFonts w:ascii="Times New Roman" w:eastAsia="Times New Roman" w:hAnsi="Times New Roman"/>
        </w:rPr>
        <w:t>c)</w:t>
      </w:r>
      <w:r w:rsidRPr="00D31106">
        <w:tab/>
      </w:r>
      <w:r w:rsidRPr="6BD5544E">
        <w:rPr>
          <w:rFonts w:ascii="Times New Roman" w:eastAsia="Times New Roman" w:hAnsi="Times New Roman"/>
        </w:rPr>
        <w:t xml:space="preserve">An Index Credit Hedge Margin for these </w:t>
      </w:r>
      <w:r>
        <w:rPr>
          <w:rFonts w:ascii="Times New Roman" w:eastAsia="Times New Roman" w:hAnsi="Times New Roman"/>
        </w:rPr>
        <w:t xml:space="preserve">hedge </w:t>
      </w:r>
      <w:r w:rsidRPr="6BD5544E">
        <w:rPr>
          <w:rFonts w:ascii="Times New Roman" w:eastAsia="Times New Roman" w:hAnsi="Times New Roman"/>
        </w:rPr>
        <w:t xml:space="preserve">instruments shall be reflected </w:t>
      </w:r>
      <w:r>
        <w:rPr>
          <w:rFonts w:ascii="Times New Roman" w:eastAsia="Times New Roman" w:hAnsi="Times New Roman"/>
        </w:rPr>
        <w:t xml:space="preserve">in both the “best efforts” and the “adjusted” runs, as applicable, </w:t>
      </w:r>
      <w:r w:rsidRPr="6BD5544E">
        <w:rPr>
          <w:rFonts w:ascii="Times New Roman" w:eastAsia="Times New Roman" w:hAnsi="Times New Roman"/>
        </w:rPr>
        <w:t xml:space="preserve">by reducing index credit hedge payoffs by a margin multiple that shall be justified by sufficient and credible company experience and be no less than </w:t>
      </w:r>
      <w:r>
        <w:rPr>
          <w:rFonts w:ascii="Times New Roman" w:eastAsia="Times New Roman" w:hAnsi="Times New Roman"/>
        </w:rPr>
        <w:t>1.5</w:t>
      </w:r>
      <w:r w:rsidRPr="6BD5544E">
        <w:rPr>
          <w:rFonts w:ascii="Times New Roman" w:eastAsia="Times New Roman" w:hAnsi="Times New Roman"/>
        </w:rPr>
        <w:t xml:space="preserve">% multiplicatively of the </w:t>
      </w:r>
      <w:r>
        <w:rPr>
          <w:rFonts w:ascii="Times New Roman" w:eastAsia="Times New Roman" w:hAnsi="Times New Roman"/>
        </w:rPr>
        <w:t xml:space="preserve">portion of </w:t>
      </w:r>
      <w:r w:rsidRPr="6BD5544E">
        <w:rPr>
          <w:rFonts w:ascii="Times New Roman" w:eastAsia="Times New Roman" w:hAnsi="Times New Roman"/>
        </w:rPr>
        <w:t>in</w:t>
      </w:r>
      <w:r>
        <w:rPr>
          <w:rFonts w:ascii="Times New Roman" w:eastAsia="Times New Roman" w:hAnsi="Times New Roman"/>
        </w:rPr>
        <w:t>dex</w:t>
      </w:r>
      <w:r w:rsidRPr="6BD5544E">
        <w:rPr>
          <w:rFonts w:ascii="Times New Roman" w:eastAsia="Times New Roman" w:hAnsi="Times New Roman"/>
        </w:rPr>
        <w:t xml:space="preserve"> credit</w:t>
      </w:r>
      <w:r>
        <w:rPr>
          <w:rFonts w:ascii="Times New Roman" w:eastAsia="Times New Roman" w:hAnsi="Times New Roman"/>
        </w:rPr>
        <w:t xml:space="preserve"> that is hedged</w:t>
      </w:r>
      <w:r w:rsidRPr="6BD5544E">
        <w:rPr>
          <w:rFonts w:ascii="Times New Roman" w:eastAsia="Times New Roman" w:hAnsi="Times New Roman"/>
        </w:rPr>
        <w:t xml:space="preserve">. </w:t>
      </w:r>
      <w:r>
        <w:rPr>
          <w:rFonts w:ascii="Times New Roman" w:eastAsia="Times New Roman" w:hAnsi="Times New Roman"/>
        </w:rPr>
        <w:t xml:space="preserve">This margin is intended to cover sources of potential </w:t>
      </w:r>
      <w:r w:rsidRPr="0033439F">
        <w:rPr>
          <w:rFonts w:ascii="Times New Roman" w:eastAsia="Times New Roman" w:hAnsi="Times New Roman"/>
        </w:rPr>
        <w:t xml:space="preserve">error </w:t>
      </w:r>
      <w:proofErr w:type="gramStart"/>
      <w:r>
        <w:rPr>
          <w:rFonts w:ascii="Times New Roman" w:eastAsia="Times New Roman" w:hAnsi="Times New Roman"/>
        </w:rPr>
        <w:t>due</w:t>
      </w:r>
      <w:proofErr w:type="gramEnd"/>
      <w:r w:rsidRPr="0033439F">
        <w:rPr>
          <w:rFonts w:ascii="Times New Roman" w:eastAsia="Times New Roman" w:hAnsi="Times New Roman"/>
        </w:rPr>
        <w:t xml:space="preserve"> the hedging itself</w:t>
      </w:r>
      <w:r>
        <w:rPr>
          <w:rFonts w:ascii="Times New Roman" w:eastAsia="Times New Roman" w:hAnsi="Times New Roman"/>
        </w:rPr>
        <w:t xml:space="preserve"> and the ability for the company</w:t>
      </w:r>
      <w:r w:rsidRPr="0033439F">
        <w:rPr>
          <w:rFonts w:ascii="Times New Roman" w:eastAsia="Times New Roman" w:hAnsi="Times New Roman"/>
        </w:rPr>
        <w:t xml:space="preserve"> to accurately model it</w:t>
      </w:r>
      <w:r>
        <w:rPr>
          <w:rFonts w:ascii="Times New Roman" w:eastAsia="Times New Roman" w:hAnsi="Times New Roman"/>
        </w:rPr>
        <w:t>.</w:t>
      </w:r>
      <w:r w:rsidRPr="0033439F">
        <w:rPr>
          <w:rFonts w:ascii="Times New Roman" w:eastAsia="Times New Roman" w:hAnsi="Times New Roman"/>
        </w:rPr>
        <w:t xml:space="preserve"> </w:t>
      </w:r>
      <w:r w:rsidRPr="6BD5544E">
        <w:rPr>
          <w:rFonts w:ascii="Times New Roman" w:eastAsia="Times New Roman" w:hAnsi="Times New Roman"/>
        </w:rPr>
        <w:t xml:space="preserve">In the absence of sufficient and credible company experience, a margin of </w:t>
      </w:r>
      <w:r>
        <w:rPr>
          <w:rFonts w:ascii="Times New Roman" w:eastAsia="Times New Roman" w:hAnsi="Times New Roman"/>
        </w:rPr>
        <w:t>20</w:t>
      </w:r>
      <w:r w:rsidRPr="6BD5544E">
        <w:rPr>
          <w:rFonts w:ascii="Times New Roman" w:eastAsia="Times New Roman" w:hAnsi="Times New Roman"/>
        </w:rPr>
        <w:t xml:space="preserve">% shall be assumed. There is no cap on the index credit hedge margin if </w:t>
      </w:r>
      <w:r w:rsidRPr="6BD5544E">
        <w:rPr>
          <w:rFonts w:ascii="Times New Roman" w:eastAsia="Times New Roman" w:hAnsi="Times New Roman"/>
        </w:rPr>
        <w:lastRenderedPageBreak/>
        <w:t xml:space="preserve">company experience indicates actual error is greater than </w:t>
      </w:r>
      <w:r>
        <w:rPr>
          <w:rFonts w:ascii="Times New Roman" w:eastAsia="Times New Roman" w:hAnsi="Times New Roman"/>
        </w:rPr>
        <w:t>these minimums</w:t>
      </w:r>
      <w:r w:rsidRPr="6BD5544E">
        <w:rPr>
          <w:rFonts w:ascii="Times New Roman" w:eastAsia="Times New Roman" w:hAnsi="Times New Roman"/>
        </w:rPr>
        <w:t>.</w:t>
      </w:r>
    </w:p>
    <w:p w14:paraId="7A851A4C" w14:textId="77777777" w:rsidR="00ED6AC0" w:rsidRDefault="00ED6AC0" w:rsidP="00ED6AC0">
      <w:pPr>
        <w:spacing w:after="220"/>
        <w:ind w:left="2880" w:hanging="720"/>
        <w:jc w:val="both"/>
        <w:rPr>
          <w:rFonts w:ascii="Times New Roman" w:eastAsia="Times New Roman" w:hAnsi="Times New Roman"/>
        </w:rPr>
      </w:pPr>
      <w:r>
        <w:rPr>
          <w:rFonts w:ascii="Times New Roman" w:eastAsia="Times New Roman" w:hAnsi="Times New Roman"/>
        </w:rPr>
        <w:t xml:space="preserve">ii. </w:t>
      </w:r>
      <w:r>
        <w:rPr>
          <w:rFonts w:ascii="Times New Roman" w:eastAsia="Times New Roman" w:hAnsi="Times New Roman"/>
        </w:rPr>
        <w:tab/>
        <w:t>For a company with any future hedging strategies that hedge any contractual obligation or risks other than index credits, the detailed requirements for the modeling of hedges are defined in Section 9. The following requirements do not supersede the detailed requirements.</w:t>
      </w:r>
    </w:p>
    <w:p w14:paraId="5F4EDB94" w14:textId="77777777" w:rsidR="00ED6AC0" w:rsidRDefault="00ED6AC0" w:rsidP="00ED6AC0">
      <w:pPr>
        <w:spacing w:after="220"/>
        <w:ind w:left="3600" w:hanging="720"/>
        <w:jc w:val="both"/>
        <w:rPr>
          <w:rFonts w:ascii="Times New Roman" w:eastAsia="Times New Roman" w:hAnsi="Times New Roman"/>
        </w:rPr>
      </w:pPr>
      <w:r>
        <w:rPr>
          <w:rFonts w:ascii="Times New Roman" w:eastAsia="Times New Roman" w:hAnsi="Times New Roman"/>
        </w:rPr>
        <w:t>a)</w:t>
      </w:r>
      <w:r w:rsidDel="003C5FC3">
        <w:rPr>
          <w:rFonts w:ascii="Times New Roman" w:eastAsia="Times New Roman" w:hAnsi="Times New Roman"/>
        </w:rPr>
        <w:t xml:space="preserve"> </w:t>
      </w:r>
      <w:r w:rsidRPr="00D31106">
        <w:tab/>
      </w:r>
      <w:r>
        <w:rPr>
          <w:rFonts w:ascii="Times New Roman" w:eastAsia="Times New Roman" w:hAnsi="Times New Roman"/>
        </w:rPr>
        <w:t xml:space="preserve">The appropriate costs and benefits of hedging instruments that are currently held by the company in support of the contracts falling under the scope of these requirements shall be included in the projections used in the determination of the SR. </w:t>
      </w:r>
    </w:p>
    <w:p w14:paraId="6F4AB446" w14:textId="77777777" w:rsidR="00ED6AC0" w:rsidRDefault="00ED6AC0" w:rsidP="00ED6AC0">
      <w:pPr>
        <w:spacing w:after="220"/>
        <w:ind w:left="3600" w:hanging="720"/>
        <w:jc w:val="both"/>
        <w:rPr>
          <w:rFonts w:ascii="Times New Roman" w:eastAsia="Times New Roman" w:hAnsi="Times New Roman"/>
        </w:rPr>
      </w:pPr>
      <w:r>
        <w:rPr>
          <w:rFonts w:ascii="Times New Roman" w:eastAsia="Times New Roman" w:hAnsi="Times New Roman"/>
        </w:rPr>
        <w:t xml:space="preserve">b) </w:t>
      </w:r>
      <w:r w:rsidRPr="00D31106">
        <w:tab/>
      </w:r>
      <w:r>
        <w:rPr>
          <w:rFonts w:ascii="Times New Roman" w:eastAsia="Times New Roman" w:hAnsi="Times New Roman"/>
        </w:rPr>
        <w:t xml:space="preserve">The projections shall </w:t>
      </w:r>
      <w:proofErr w:type="gramStart"/>
      <w:r>
        <w:rPr>
          <w:rFonts w:ascii="Times New Roman" w:eastAsia="Times New Roman" w:hAnsi="Times New Roman"/>
        </w:rPr>
        <w:t>take into account</w:t>
      </w:r>
      <w:proofErr w:type="gramEnd"/>
      <w:r>
        <w:rPr>
          <w:rFonts w:ascii="Times New Roman" w:eastAsia="Times New Roman" w:hAnsi="Times New Roman"/>
        </w:rPr>
        <w:t xml:space="preserve"> the appropriate costs and benefits of hedge positions expected to be held in the future through the execution of the future hedging strategies supporting the contracts. Because models do not always accurately portray the results of hedge programs, the company shall, through </w:t>
      </w:r>
      <w:proofErr w:type="gramStart"/>
      <w:r>
        <w:rPr>
          <w:rFonts w:ascii="Times New Roman" w:eastAsia="Times New Roman" w:hAnsi="Times New Roman"/>
        </w:rPr>
        <w:t>back-testing</w:t>
      </w:r>
      <w:proofErr w:type="gramEnd"/>
      <w:r>
        <w:rPr>
          <w:rFonts w:ascii="Times New Roman" w:eastAsia="Times New Roman" w:hAnsi="Times New Roman"/>
        </w:rPr>
        <w:t xml:space="preserve"> and other means, assess the accuracy of the hedge modeling. The company shall determine a SR as the weighted average of two CTE values; first, a CTE70 (“best efforts”) representing the company’s projection of </w:t>
      </w:r>
      <w:proofErr w:type="gramStart"/>
      <w:r>
        <w:rPr>
          <w:rFonts w:ascii="Times New Roman" w:eastAsia="Times New Roman" w:hAnsi="Times New Roman"/>
        </w:rPr>
        <w:t>all of</w:t>
      </w:r>
      <w:proofErr w:type="gramEnd"/>
      <w:r>
        <w:rPr>
          <w:rFonts w:ascii="Times New Roman" w:eastAsia="Times New Roman" w:hAnsi="Times New Roman"/>
        </w:rPr>
        <w:t xml:space="preserve"> the hedge cash flows, including future hedge purchases, and a second CTE70 (“adjusted”) which shall use only hedge assets held by the company on the valuation date and only future hedge purchases associated solely with index credits. These are discussed in greater detail in Section 9. </w:t>
      </w:r>
      <w:r w:rsidRPr="004F3847">
        <w:rPr>
          <w:rFonts w:ascii="Times New Roman" w:eastAsia="Times New Roman" w:hAnsi="Times New Roman"/>
        </w:rPr>
        <w:t>The SR shall be the weighted average of the two CTE70 values, where the weights reflect the error factor (E) determined following the guidance of Section 9.C.4.</w:t>
      </w:r>
    </w:p>
    <w:p w14:paraId="1FF2D6C5" w14:textId="77777777" w:rsidR="00ED6AC0" w:rsidRDefault="00ED6AC0" w:rsidP="00ED6AC0">
      <w:pPr>
        <w:spacing w:after="220"/>
        <w:ind w:left="3600" w:hanging="720"/>
        <w:jc w:val="both"/>
        <w:rPr>
          <w:rFonts w:ascii="Times New Roman" w:eastAsia="Times New Roman" w:hAnsi="Times New Roman"/>
        </w:rPr>
      </w:pPr>
      <w:r>
        <w:rPr>
          <w:rFonts w:ascii="Times New Roman" w:eastAsia="Times New Roman" w:hAnsi="Times New Roman"/>
        </w:rPr>
        <w:t>c)</w:t>
      </w:r>
      <w:r>
        <w:rPr>
          <w:rFonts w:ascii="Times New Roman" w:eastAsia="Times New Roman" w:hAnsi="Times New Roman"/>
        </w:rPr>
        <w:tab/>
      </w:r>
      <w:r w:rsidRPr="003A6FBC">
        <w:rPr>
          <w:rFonts w:ascii="Times New Roman" w:eastAsia="Times New Roman" w:hAnsi="Times New Roman"/>
        </w:rPr>
        <w:t>c)</w:t>
      </w:r>
      <w:r w:rsidRPr="003A6FBC">
        <w:rPr>
          <w:rFonts w:ascii="Times New Roman" w:eastAsia="Times New Roman" w:hAnsi="Times New Roman"/>
        </w:rPr>
        <w:tab/>
        <w:t>The company is responsible for verifying compliance with all requirements in Section 9 for all hedging instruments included in the projections</w:t>
      </w:r>
      <w:r>
        <w:rPr>
          <w:rFonts w:ascii="Times New Roman" w:eastAsia="Times New Roman" w:hAnsi="Times New Roman"/>
        </w:rPr>
        <w:t>.</w:t>
      </w:r>
    </w:p>
    <w:p w14:paraId="4226086D" w14:textId="77777777" w:rsidR="00ED6AC0" w:rsidRDefault="00ED6AC0" w:rsidP="00ED6AC0">
      <w:pPr>
        <w:tabs>
          <w:tab w:val="left" w:pos="1540"/>
        </w:tabs>
        <w:spacing w:after="220"/>
        <w:ind w:left="3600" w:hanging="720"/>
        <w:jc w:val="both"/>
        <w:rPr>
          <w:rFonts w:ascii="Times New Roman" w:eastAsia="Times New Roman" w:hAnsi="Times New Roman"/>
        </w:rPr>
      </w:pPr>
      <w:r w:rsidRPr="2BB44510">
        <w:rPr>
          <w:rFonts w:ascii="Times New Roman" w:eastAsia="Times New Roman" w:hAnsi="Times New Roman"/>
        </w:rPr>
        <w:t>d)</w:t>
      </w:r>
      <w:r w:rsidRPr="00D31106">
        <w:tab/>
      </w:r>
      <w:r w:rsidRPr="2BB44510">
        <w:rPr>
          <w:rFonts w:ascii="Times New Roman" w:eastAsia="Times New Roman" w:hAnsi="Times New Roman"/>
        </w:rPr>
        <w:t xml:space="preserve">The use of products not falling under the scope of </w:t>
      </w:r>
      <w:r>
        <w:rPr>
          <w:rFonts w:ascii="Times New Roman" w:eastAsia="Times New Roman" w:hAnsi="Times New Roman"/>
        </w:rPr>
        <w:t xml:space="preserve">VM-22 (e.g., variable annuities) </w:t>
      </w:r>
      <w:r w:rsidRPr="2BB44510">
        <w:rPr>
          <w:rFonts w:ascii="Times New Roman" w:eastAsia="Times New Roman" w:hAnsi="Times New Roman"/>
        </w:rPr>
        <w:t>as a hedge shall not be recognized in the determination of accumulated deficiencies.</w:t>
      </w:r>
    </w:p>
    <w:p w14:paraId="481E14AA" w14:textId="77777777" w:rsidR="00ED6AC0" w:rsidRPr="007D0456" w:rsidRDefault="00ED6AC0" w:rsidP="00ED6AC0">
      <w:pPr>
        <w:tabs>
          <w:tab w:val="left" w:pos="2880"/>
        </w:tabs>
        <w:spacing w:after="220"/>
        <w:ind w:left="2880" w:hanging="720"/>
        <w:jc w:val="both"/>
        <w:rPr>
          <w:rFonts w:ascii="Times" w:eastAsia="Times New Roman" w:hAnsi="Times" w:cs="Times New Roman"/>
        </w:rPr>
      </w:pPr>
      <w:r w:rsidRPr="003A6FBC">
        <w:rPr>
          <w:rFonts w:ascii="Times New Roman" w:eastAsia="Times New Roman" w:hAnsi="Times New Roman"/>
        </w:rPr>
        <w:t>iii.</w:t>
      </w:r>
      <w:r w:rsidRPr="003A6FBC">
        <w:rPr>
          <w:rFonts w:ascii="Times New Roman" w:eastAsia="Times New Roman" w:hAnsi="Times New Roman"/>
        </w:rPr>
        <w:tab/>
        <w:t>If a company has a more comprehensive hedge strategy combining index credits with guaranteed benefit</w:t>
      </w:r>
      <w:r>
        <w:rPr>
          <w:rFonts w:ascii="Times New Roman" w:eastAsia="Times New Roman" w:hAnsi="Times New Roman"/>
        </w:rPr>
        <w:t>s</w:t>
      </w:r>
      <w:r w:rsidRPr="003A6FBC">
        <w:rPr>
          <w:rFonts w:ascii="Times New Roman" w:eastAsia="Times New Roman" w:hAnsi="Times New Roman"/>
        </w:rPr>
        <w:t xml:space="preserve"> and/or other risks (e.g., full fair value or economic hedging), no portion of this hedge strategy is eligible for the treatment described in section 4.A.4.b.i</w:t>
      </w:r>
      <w:r>
        <w:rPr>
          <w:rFonts w:ascii="Times New Roman" w:eastAsia="Times New Roman" w:hAnsi="Times New Roman"/>
        </w:rPr>
        <w:t>.</w:t>
      </w:r>
      <w:r w:rsidRPr="004B39F7">
        <w:rPr>
          <w:rFonts w:ascii="Times" w:eastAsia="Times New Roman" w:hAnsi="Times" w:cs="Times New Roman"/>
        </w:rPr>
        <w:t xml:space="preserve"> </w:t>
      </w:r>
    </w:p>
    <w:p w14:paraId="450B9A25" w14:textId="77777777" w:rsidR="00ED6AC0" w:rsidRDefault="00ED6AC0" w:rsidP="00ED6AC0">
      <w:pPr>
        <w:pStyle w:val="ListParagraph"/>
        <w:spacing w:after="0" w:line="240" w:lineRule="auto"/>
        <w:jc w:val="both"/>
        <w:rPr>
          <w:rFonts w:ascii="Times" w:eastAsia="Times New Roman" w:hAnsi="Times" w:cs="Times New Roman"/>
        </w:rPr>
      </w:pPr>
    </w:p>
    <w:p w14:paraId="692555DB" w14:textId="77777777" w:rsidR="00ED6AC0" w:rsidRDefault="00ED6AC0" w:rsidP="00ED6AC0">
      <w:pPr>
        <w:pStyle w:val="ListParagraph"/>
        <w:numPr>
          <w:ilvl w:val="0"/>
          <w:numId w:val="21"/>
        </w:numPr>
        <w:spacing w:after="0" w:line="240" w:lineRule="auto"/>
        <w:jc w:val="both"/>
        <w:rPr>
          <w:rFonts w:ascii="Times" w:eastAsia="Times New Roman" w:hAnsi="Times" w:cs="Times New Roman"/>
        </w:rPr>
      </w:pPr>
      <w:r w:rsidRPr="004B39F7">
        <w:rPr>
          <w:rFonts w:ascii="Times" w:eastAsia="Times New Roman" w:hAnsi="Times" w:cs="Times New Roman"/>
        </w:rPr>
        <w:t>Revenue Sharing</w:t>
      </w:r>
    </w:p>
    <w:p w14:paraId="585B9949" w14:textId="77777777" w:rsidR="00ED6AC0" w:rsidRPr="00EE7469" w:rsidRDefault="00ED6AC0" w:rsidP="00ED6AC0">
      <w:pPr>
        <w:pStyle w:val="ListParagraph"/>
        <w:spacing w:after="0" w:line="240" w:lineRule="auto"/>
        <w:jc w:val="both"/>
        <w:rPr>
          <w:rFonts w:ascii="Times" w:eastAsia="Times New Roman" w:hAnsi="Times" w:cs="Times New Roman"/>
        </w:rPr>
      </w:pPr>
    </w:p>
    <w:p w14:paraId="4D14607B" w14:textId="77777777" w:rsidR="00ED6AC0" w:rsidRPr="004B39F7" w:rsidRDefault="00ED6AC0" w:rsidP="00ED6AC0">
      <w:pPr>
        <w:ind w:left="1440"/>
        <w:jc w:val="both"/>
        <w:rPr>
          <w:rFonts w:ascii="Times" w:eastAsia="Times New Roman" w:hAnsi="Times" w:cs="Times New Roman"/>
        </w:rPr>
      </w:pPr>
      <w:r w:rsidRPr="2BB44510">
        <w:rPr>
          <w:rFonts w:ascii="Times" w:eastAsia="Times New Roman" w:hAnsi="Times" w:cs="Times New Roman"/>
        </w:rPr>
        <w:lastRenderedPageBreak/>
        <w:t xml:space="preserve">If applicable, projections of accumulated deficiencies may include income from projected future revenue sharing, net of applicable projected expenses (net revenue-sharing income) </w:t>
      </w:r>
      <w:r>
        <w:rPr>
          <w:rFonts w:ascii="Times" w:eastAsia="Times New Roman" w:hAnsi="Times" w:cs="Times New Roman"/>
        </w:rPr>
        <w:t xml:space="preserve">by </w:t>
      </w:r>
      <w:r w:rsidRPr="2BB44510">
        <w:rPr>
          <w:rFonts w:ascii="Times" w:eastAsia="Times New Roman" w:hAnsi="Times" w:cs="Times New Roman"/>
        </w:rPr>
        <w:t xml:space="preserve">following </w:t>
      </w:r>
      <w:r>
        <w:rPr>
          <w:rFonts w:ascii="Times" w:eastAsia="Times New Roman" w:hAnsi="Times" w:cs="Times New Roman"/>
        </w:rPr>
        <w:t xml:space="preserve">the </w:t>
      </w:r>
      <w:r w:rsidRPr="2BB44510">
        <w:rPr>
          <w:rFonts w:ascii="Times" w:eastAsia="Times New Roman" w:hAnsi="Times" w:cs="Times New Roman"/>
        </w:rPr>
        <w:t>requirements set forth in VM</w:t>
      </w:r>
      <w:r>
        <w:rPr>
          <w:rFonts w:ascii="Times" w:eastAsia="Times New Roman" w:hAnsi="Times" w:cs="Times New Roman"/>
        </w:rPr>
        <w:t>-</w:t>
      </w:r>
      <w:r w:rsidRPr="2BB44510">
        <w:rPr>
          <w:rFonts w:ascii="Times" w:eastAsia="Times New Roman" w:hAnsi="Times" w:cs="Times New Roman"/>
        </w:rPr>
        <w:t>21 Section</w:t>
      </w:r>
      <w:r>
        <w:rPr>
          <w:rFonts w:ascii="Times" w:eastAsia="Times New Roman" w:hAnsi="Times" w:cs="Times New Roman"/>
        </w:rPr>
        <w:t>s</w:t>
      </w:r>
      <w:r w:rsidRPr="2BB44510">
        <w:rPr>
          <w:rFonts w:ascii="Times" w:eastAsia="Times New Roman" w:hAnsi="Times" w:cs="Times New Roman"/>
        </w:rPr>
        <w:t xml:space="preserve"> 4.A.5</w:t>
      </w:r>
      <w:r>
        <w:rPr>
          <w:rFonts w:ascii="Times" w:eastAsia="Times New Roman" w:hAnsi="Times" w:cs="Times New Roman"/>
        </w:rPr>
        <w:t>.a through 4.a.5.f</w:t>
      </w:r>
      <w:r w:rsidRPr="2BB44510">
        <w:rPr>
          <w:rFonts w:ascii="Times" w:eastAsia="Times New Roman" w:hAnsi="Times" w:cs="Times New Roman"/>
        </w:rPr>
        <w:t>.</w:t>
      </w:r>
      <w:r w:rsidRPr="004B39F7">
        <w:rPr>
          <w:rFonts w:ascii="Times" w:eastAsia="Times New Roman" w:hAnsi="Times" w:cs="Times New Roman"/>
        </w:rPr>
        <w:t xml:space="preserve"> </w:t>
      </w:r>
    </w:p>
    <w:p w14:paraId="21C63C28" w14:textId="77777777" w:rsidR="00ED6AC0" w:rsidRPr="004B39F7" w:rsidRDefault="00ED6AC0" w:rsidP="00ED6AC0">
      <w:pPr>
        <w:pStyle w:val="ListParagraph"/>
        <w:numPr>
          <w:ilvl w:val="0"/>
          <w:numId w:val="21"/>
        </w:numPr>
        <w:spacing w:after="0" w:line="240" w:lineRule="auto"/>
        <w:ind w:left="1440" w:hanging="720"/>
        <w:rPr>
          <w:rFonts w:ascii="Times" w:eastAsia="Times New Roman" w:hAnsi="Times" w:cs="Times New Roman"/>
        </w:rPr>
      </w:pPr>
      <w:r w:rsidRPr="004B39F7">
        <w:rPr>
          <w:rFonts w:ascii="Times" w:eastAsia="Times New Roman" w:hAnsi="Times" w:cs="Times New Roman"/>
        </w:rPr>
        <w:t xml:space="preserve">Length of Projections </w:t>
      </w:r>
    </w:p>
    <w:p w14:paraId="4CFE8C78" w14:textId="77777777" w:rsidR="00ED6AC0" w:rsidRDefault="00ED6AC0" w:rsidP="00ED6AC0">
      <w:pPr>
        <w:pStyle w:val="ListParagraph"/>
        <w:ind w:left="1440"/>
        <w:jc w:val="both"/>
        <w:rPr>
          <w:rFonts w:ascii="Times" w:eastAsia="Times New Roman" w:hAnsi="Times" w:cs="Times New Roman"/>
        </w:rPr>
      </w:pPr>
    </w:p>
    <w:p w14:paraId="5C5FAB70" w14:textId="77777777" w:rsidR="00ED6AC0" w:rsidRPr="004B39F7" w:rsidRDefault="00ED6AC0" w:rsidP="00ED6AC0">
      <w:pPr>
        <w:pStyle w:val="ListParagraph"/>
        <w:ind w:left="1440"/>
        <w:jc w:val="both"/>
        <w:rPr>
          <w:rFonts w:ascii="Times" w:eastAsia="Times New Roman" w:hAnsi="Times" w:cs="Times New Roman"/>
        </w:rPr>
      </w:pPr>
      <w:r w:rsidRPr="004B39F7">
        <w:rPr>
          <w:rFonts w:ascii="Times" w:eastAsia="Times New Roman" w:hAnsi="Times" w:cs="Times New Roman"/>
        </w:rPr>
        <w:t xml:space="preserve">Projections of accumulated deficiencies shall be run for as many future years as needed so that no </w:t>
      </w:r>
      <w:r>
        <w:rPr>
          <w:rFonts w:ascii="Times" w:eastAsia="Times New Roman" w:hAnsi="Times" w:cs="Times New Roman"/>
        </w:rPr>
        <w:t>obligations remain at the end of the</w:t>
      </w:r>
      <w:r w:rsidRPr="004B39F7">
        <w:rPr>
          <w:rFonts w:ascii="Times" w:eastAsia="Times New Roman" w:hAnsi="Times" w:cs="Times New Roman"/>
        </w:rPr>
        <w:t xml:space="preserve"> projection periods.</w:t>
      </w:r>
      <w:r>
        <w:rPr>
          <w:rFonts w:ascii="Times" w:eastAsia="Times New Roman" w:hAnsi="Times" w:cs="Times New Roman"/>
        </w:rPr>
        <w:t xml:space="preserve">  </w:t>
      </w:r>
    </w:p>
    <w:p w14:paraId="5D40CB57" w14:textId="77777777" w:rsidR="00ED6AC0" w:rsidRPr="004B39F7" w:rsidRDefault="00ED6AC0" w:rsidP="00ED6AC0">
      <w:pPr>
        <w:pStyle w:val="ListParagraph"/>
        <w:ind w:left="1440"/>
        <w:jc w:val="both"/>
        <w:rPr>
          <w:rFonts w:ascii="Times" w:eastAsia="Times New Roman" w:hAnsi="Times" w:cs="Times New Roman"/>
        </w:rPr>
      </w:pPr>
    </w:p>
    <w:p w14:paraId="19C5B8C7" w14:textId="77777777" w:rsidR="00ED6AC0" w:rsidRPr="004B39F7" w:rsidRDefault="00ED6AC0" w:rsidP="00ED6AC0">
      <w:pPr>
        <w:pStyle w:val="ListParagraph"/>
        <w:numPr>
          <w:ilvl w:val="0"/>
          <w:numId w:val="21"/>
        </w:numPr>
        <w:spacing w:after="0" w:line="240" w:lineRule="auto"/>
        <w:ind w:left="1440" w:hanging="720"/>
        <w:jc w:val="both"/>
        <w:rPr>
          <w:rFonts w:ascii="Times" w:eastAsia="Times New Roman" w:hAnsi="Times" w:cs="Times New Roman"/>
        </w:rPr>
      </w:pPr>
      <w:r w:rsidRPr="004B39F7">
        <w:rPr>
          <w:rFonts w:ascii="Times" w:eastAsia="Times New Roman" w:hAnsi="Times" w:cs="Times New Roman"/>
        </w:rPr>
        <w:t xml:space="preserve">Interest Maintenance Reserve (IMR) </w:t>
      </w:r>
    </w:p>
    <w:p w14:paraId="514E5A8C" w14:textId="77777777" w:rsidR="00ED6AC0" w:rsidRPr="004B39F7" w:rsidRDefault="00ED6AC0" w:rsidP="00ED6AC0">
      <w:pPr>
        <w:pStyle w:val="ListParagraph"/>
        <w:ind w:left="2880"/>
        <w:jc w:val="both"/>
        <w:rPr>
          <w:rFonts w:ascii="Times" w:eastAsia="Times New Roman" w:hAnsi="Times" w:cs="Times New Roman"/>
        </w:rPr>
      </w:pPr>
    </w:p>
    <w:p w14:paraId="45F485CD" w14:textId="77777777" w:rsidR="00ED6AC0" w:rsidRPr="004B39F7" w:rsidRDefault="00ED6AC0" w:rsidP="00ED6AC0">
      <w:pPr>
        <w:pStyle w:val="ListParagraph"/>
        <w:ind w:left="1440"/>
        <w:jc w:val="both"/>
        <w:rPr>
          <w:rFonts w:ascii="Times" w:eastAsia="Times New Roman" w:hAnsi="Times" w:cs="Times New Roman"/>
        </w:rPr>
      </w:pPr>
      <w:r w:rsidRPr="004B39F7">
        <w:rPr>
          <w:rFonts w:ascii="Times" w:eastAsia="Times New Roman" w:hAnsi="Times" w:cs="Times New Roman"/>
        </w:rPr>
        <w:t xml:space="preserve">The IMR shall be handled consistently with the treatment in the company’s cash flow testing, and the amounts should be adjusted to a pre-tax basis. </w:t>
      </w:r>
    </w:p>
    <w:p w14:paraId="50BDD440" w14:textId="77777777" w:rsidR="00ED6AC0" w:rsidRPr="004B39F7" w:rsidRDefault="00ED6AC0" w:rsidP="00ED6AC0">
      <w:pPr>
        <w:pStyle w:val="ListParagraph"/>
        <w:spacing w:after="0"/>
        <w:ind w:left="2880"/>
        <w:rPr>
          <w:rFonts w:ascii="Times" w:eastAsia="Times New Roman" w:hAnsi="Times" w:cs="Times New Roman"/>
        </w:rPr>
      </w:pPr>
    </w:p>
    <w:p w14:paraId="1D847FBB" w14:textId="77777777" w:rsidR="00ED6AC0" w:rsidRPr="00E17D51" w:rsidRDefault="00ED6AC0" w:rsidP="00ED6AC0">
      <w:pPr>
        <w:pStyle w:val="Heading2"/>
        <w:numPr>
          <w:ilvl w:val="0"/>
          <w:numId w:val="19"/>
        </w:numPr>
        <w:tabs>
          <w:tab w:val="num" w:pos="360"/>
        </w:tabs>
        <w:ind w:left="0" w:firstLine="0"/>
        <w:rPr>
          <w:sz w:val="22"/>
          <w:szCs w:val="22"/>
        </w:rPr>
      </w:pPr>
      <w:bookmarkStart w:id="30" w:name="_Toc77242142"/>
      <w:bookmarkStart w:id="31" w:name="_Toc137649788"/>
      <w:r w:rsidRPr="00E17D51">
        <w:rPr>
          <w:sz w:val="22"/>
          <w:szCs w:val="22"/>
        </w:rPr>
        <w:t>Determination of Scenario Reserve</w:t>
      </w:r>
      <w:bookmarkEnd w:id="30"/>
      <w:bookmarkEnd w:id="31"/>
      <w:r w:rsidRPr="00E17D51">
        <w:rPr>
          <w:sz w:val="22"/>
          <w:szCs w:val="22"/>
        </w:rPr>
        <w:t xml:space="preserve"> </w:t>
      </w:r>
    </w:p>
    <w:p w14:paraId="7F24F2A9" w14:textId="77777777" w:rsidR="00ED6AC0" w:rsidRPr="004B39F7" w:rsidRDefault="00ED6AC0" w:rsidP="00ED6AC0">
      <w:pPr>
        <w:pStyle w:val="ListParagraph"/>
        <w:jc w:val="both"/>
        <w:rPr>
          <w:rFonts w:ascii="Times" w:eastAsia="Times New Roman" w:hAnsi="Times" w:cs="Times New Roman"/>
        </w:rPr>
      </w:pPr>
    </w:p>
    <w:p w14:paraId="477E3368" w14:textId="77777777" w:rsidR="00ED6AC0" w:rsidRPr="00147627" w:rsidRDefault="00ED6AC0" w:rsidP="00ED6AC0">
      <w:pPr>
        <w:pStyle w:val="ListParagraph"/>
        <w:numPr>
          <w:ilvl w:val="2"/>
          <w:numId w:val="12"/>
        </w:numPr>
        <w:spacing w:after="0" w:line="240" w:lineRule="auto"/>
        <w:ind w:left="1440" w:hanging="720"/>
        <w:jc w:val="both"/>
        <w:rPr>
          <w:rFonts w:ascii="Times" w:eastAsia="Times New Roman" w:hAnsi="Times" w:cs="Times New Roman"/>
        </w:rPr>
      </w:pPr>
      <w:r w:rsidRPr="00147627">
        <w:rPr>
          <w:rFonts w:ascii="Times" w:eastAsia="Times New Roman" w:hAnsi="Times" w:cs="Times New Roman"/>
        </w:rPr>
        <w:t>For a given scenario, the scenario reserve shall be determined using one of two methods described below:</w:t>
      </w:r>
    </w:p>
    <w:p w14:paraId="4F86F9EB" w14:textId="77777777" w:rsidR="00ED6AC0" w:rsidRPr="004B39F7" w:rsidRDefault="00ED6AC0" w:rsidP="00ED6AC0">
      <w:pPr>
        <w:pStyle w:val="ListParagraph"/>
        <w:ind w:left="2880"/>
        <w:jc w:val="both"/>
        <w:rPr>
          <w:rFonts w:ascii="Times" w:eastAsia="Times New Roman" w:hAnsi="Times" w:cs="Times New Roman"/>
        </w:rPr>
      </w:pPr>
    </w:p>
    <w:p w14:paraId="082E7DBF" w14:textId="77777777" w:rsidR="00ED6AC0" w:rsidRDefault="00ED6AC0" w:rsidP="00ED6AC0">
      <w:pPr>
        <w:pStyle w:val="ListParagraph"/>
        <w:numPr>
          <w:ilvl w:val="1"/>
          <w:numId w:val="10"/>
        </w:numPr>
        <w:spacing w:after="0" w:line="240" w:lineRule="auto"/>
        <w:ind w:left="2160" w:hanging="720"/>
        <w:jc w:val="both"/>
        <w:rPr>
          <w:rFonts w:ascii="Times" w:eastAsia="Times New Roman" w:hAnsi="Times" w:cs="Times New Roman"/>
        </w:rPr>
      </w:pPr>
      <w:r w:rsidRPr="004B39F7">
        <w:rPr>
          <w:rFonts w:ascii="Times" w:eastAsia="Times New Roman" w:hAnsi="Times" w:cs="Times New Roman"/>
        </w:rPr>
        <w:t xml:space="preserve">The </w:t>
      </w:r>
      <w:r>
        <w:rPr>
          <w:rFonts w:ascii="Times" w:eastAsia="Times New Roman" w:hAnsi="Times" w:cs="Times New Roman"/>
        </w:rPr>
        <w:t xml:space="preserve">starting asset amount plus the </w:t>
      </w:r>
      <w:r w:rsidRPr="004B39F7">
        <w:rPr>
          <w:rFonts w:ascii="Times" w:eastAsia="Times New Roman" w:hAnsi="Times" w:cs="Times New Roman"/>
        </w:rPr>
        <w:t xml:space="preserve">greatest present value, as of the projection start date, of the projected accumulated deficiencies; </w:t>
      </w:r>
      <w:r>
        <w:rPr>
          <w:rFonts w:ascii="Times" w:eastAsia="Times New Roman" w:hAnsi="Times" w:cs="Times New Roman"/>
        </w:rPr>
        <w:t>or</w:t>
      </w:r>
    </w:p>
    <w:p w14:paraId="7A9AC5E6" w14:textId="77777777" w:rsidR="00ED6AC0" w:rsidRPr="00EA74F6" w:rsidRDefault="00ED6AC0" w:rsidP="00ED6AC0">
      <w:pPr>
        <w:pStyle w:val="ListParagraph"/>
        <w:spacing w:after="0" w:line="240" w:lineRule="auto"/>
        <w:ind w:left="2160"/>
        <w:jc w:val="both"/>
        <w:rPr>
          <w:rFonts w:ascii="Times" w:eastAsia="Times New Roman" w:hAnsi="Times" w:cs="Times New Roman"/>
        </w:rPr>
      </w:pPr>
    </w:p>
    <w:p w14:paraId="1EA70DA1" w14:textId="77777777" w:rsidR="00ED6AC0" w:rsidRPr="00EE7469" w:rsidRDefault="00ED6AC0" w:rsidP="00ED6AC0">
      <w:pPr>
        <w:pBdr>
          <w:top w:val="single" w:sz="4" w:space="1" w:color="auto"/>
          <w:left w:val="single" w:sz="4" w:space="4" w:color="auto"/>
          <w:bottom w:val="single" w:sz="4" w:space="1" w:color="auto"/>
          <w:right w:val="single" w:sz="4" w:space="4" w:color="auto"/>
        </w:pBdr>
        <w:jc w:val="both"/>
        <w:rPr>
          <w:rFonts w:ascii="Times" w:eastAsia="Times New Roman" w:hAnsi="Times" w:cs="Times New Roman"/>
        </w:rPr>
      </w:pPr>
      <w:r w:rsidRPr="008E7586">
        <w:rPr>
          <w:rFonts w:ascii="Times" w:eastAsia="Times New Roman" w:hAnsi="Times" w:cs="Times New Roman"/>
          <w:b/>
        </w:rPr>
        <w:t>Guidance Note</w:t>
      </w:r>
      <w:r>
        <w:rPr>
          <w:rFonts w:ascii="Times" w:eastAsia="Times New Roman" w:hAnsi="Times" w:cs="Times New Roman"/>
        </w:rPr>
        <w:t>: The greatest present value of accumulated deficiencies can be negative.</w:t>
      </w:r>
    </w:p>
    <w:p w14:paraId="09C2A3BF" w14:textId="77777777" w:rsidR="00ED6AC0" w:rsidRPr="00A85B27" w:rsidRDefault="00ED6AC0" w:rsidP="00ED6AC0">
      <w:pPr>
        <w:pStyle w:val="ListParagraph"/>
        <w:numPr>
          <w:ilvl w:val="1"/>
          <w:numId w:val="10"/>
        </w:numPr>
        <w:spacing w:after="0" w:line="240" w:lineRule="auto"/>
        <w:ind w:left="2160" w:hanging="720"/>
        <w:jc w:val="both"/>
        <w:rPr>
          <w:rFonts w:ascii="Times" w:eastAsia="Times New Roman" w:hAnsi="Times" w:cs="Times New Roman"/>
        </w:rPr>
      </w:pPr>
      <w:r w:rsidRPr="00A85B27">
        <w:rPr>
          <w:rFonts w:ascii="Times" w:eastAsia="Times New Roman" w:hAnsi="Times" w:cs="Times New Roman"/>
        </w:rPr>
        <w:t xml:space="preserve">The </w:t>
      </w:r>
      <w:r>
        <w:rPr>
          <w:rFonts w:ascii="Times" w:eastAsia="Times New Roman" w:hAnsi="Times" w:cs="Times New Roman"/>
        </w:rPr>
        <w:t>d</w:t>
      </w:r>
      <w:r w:rsidRPr="00A85B27">
        <w:rPr>
          <w:rFonts w:ascii="Times" w:eastAsia="Times New Roman" w:hAnsi="Times" w:cs="Times New Roman"/>
        </w:rPr>
        <w:t xml:space="preserve">irect </w:t>
      </w:r>
      <w:r>
        <w:rPr>
          <w:rFonts w:ascii="Times" w:eastAsia="Times New Roman" w:hAnsi="Times" w:cs="Times New Roman"/>
        </w:rPr>
        <w:t>i</w:t>
      </w:r>
      <w:r w:rsidRPr="00A85B27">
        <w:rPr>
          <w:rFonts w:ascii="Times" w:eastAsia="Times New Roman" w:hAnsi="Times" w:cs="Times New Roman"/>
        </w:rPr>
        <w:t xml:space="preserve">teration </w:t>
      </w:r>
      <w:r>
        <w:rPr>
          <w:rFonts w:ascii="Times" w:eastAsia="Times New Roman" w:hAnsi="Times" w:cs="Times New Roman"/>
        </w:rPr>
        <w:t>m</w:t>
      </w:r>
      <w:r w:rsidRPr="00A85B27">
        <w:rPr>
          <w:rFonts w:ascii="Times" w:eastAsia="Times New Roman" w:hAnsi="Times" w:cs="Times New Roman"/>
        </w:rPr>
        <w:t xml:space="preserve">ethod, where the scenario reserve is determined by solving </w:t>
      </w:r>
      <w:proofErr w:type="gramStart"/>
      <w:r w:rsidRPr="00A85B27">
        <w:rPr>
          <w:rFonts w:ascii="Times" w:eastAsia="Times New Roman" w:hAnsi="Times" w:cs="Times New Roman"/>
        </w:rPr>
        <w:t>for the amount of</w:t>
      </w:r>
      <w:proofErr w:type="gramEnd"/>
      <w:r w:rsidRPr="00A85B27">
        <w:rPr>
          <w:rFonts w:ascii="Times" w:eastAsia="Times New Roman" w:hAnsi="Times" w:cs="Times New Roman"/>
        </w:rPr>
        <w:t xml:space="preserve"> starting assets which, when projected along with all contract cash flows, result in the </w:t>
      </w:r>
      <w:proofErr w:type="spellStart"/>
      <w:r w:rsidRPr="00A85B27">
        <w:rPr>
          <w:rFonts w:ascii="Times" w:eastAsia="Times New Roman" w:hAnsi="Times" w:cs="Times New Roman"/>
        </w:rPr>
        <w:t>defeasement</w:t>
      </w:r>
      <w:proofErr w:type="spellEnd"/>
      <w:r w:rsidRPr="00A85B27">
        <w:rPr>
          <w:rFonts w:ascii="Times" w:eastAsia="Times New Roman" w:hAnsi="Times" w:cs="Times New Roman"/>
        </w:rPr>
        <w:t xml:space="preserve"> of all projected future benefits and expenses at the end of the projection horizon with no positive accumulated deficiencies at the end of any projection year during the projection period. </w:t>
      </w:r>
    </w:p>
    <w:p w14:paraId="0B108A17" w14:textId="77777777" w:rsidR="00ED6AC0" w:rsidRDefault="00ED6AC0" w:rsidP="00ED6AC0">
      <w:pPr>
        <w:spacing w:after="0"/>
        <w:ind w:left="720"/>
        <w:jc w:val="both"/>
        <w:rPr>
          <w:rFonts w:ascii="Times" w:eastAsia="Times New Roman" w:hAnsi="Times" w:cs="Times New Roman"/>
        </w:rPr>
      </w:pPr>
    </w:p>
    <w:p w14:paraId="148E5492" w14:textId="77777777" w:rsidR="00ED6AC0" w:rsidRDefault="00ED6AC0" w:rsidP="00ED6AC0">
      <w:pPr>
        <w:ind w:left="1530"/>
        <w:jc w:val="both"/>
        <w:rPr>
          <w:rFonts w:ascii="Times" w:eastAsia="Times New Roman" w:hAnsi="Times" w:cs="Times New Roman"/>
        </w:rPr>
      </w:pPr>
      <w:r w:rsidRPr="2BB44510">
        <w:rPr>
          <w:rFonts w:ascii="Times" w:eastAsia="Times New Roman" w:hAnsi="Times" w:cs="Times New Roman"/>
        </w:rPr>
        <w:t>The scenario reserve for any given scenario shall not be less than the cash surrender value</w:t>
      </w:r>
      <w:r>
        <w:rPr>
          <w:rFonts w:ascii="Times" w:eastAsia="Times New Roman" w:hAnsi="Times" w:cs="Times New Roman"/>
        </w:rPr>
        <w:t xml:space="preserve"> </w:t>
      </w:r>
      <w:r w:rsidRPr="2BB44510">
        <w:rPr>
          <w:rFonts w:ascii="Times" w:eastAsia="Times New Roman" w:hAnsi="Times" w:cs="Times New Roman"/>
        </w:rPr>
        <w:t xml:space="preserve">in aggregate on the valuation date for the group of contracts modeled in the projection. </w:t>
      </w:r>
      <w:r>
        <w:rPr>
          <w:rFonts w:ascii="Times" w:eastAsia="Times New Roman" w:hAnsi="Times" w:cs="Times New Roman"/>
        </w:rPr>
        <w:t>In the case where all assets supporting the liability are held at market value, the market value adjustment shall also be applied to the cash surrender value.</w:t>
      </w:r>
    </w:p>
    <w:p w14:paraId="334F3211" w14:textId="77777777" w:rsidR="00ED6AC0" w:rsidRPr="00A85B27" w:rsidRDefault="00ED6AC0" w:rsidP="00ED6AC0">
      <w:pPr>
        <w:pBdr>
          <w:top w:val="single" w:sz="4" w:space="1" w:color="auto"/>
          <w:left w:val="single" w:sz="4" w:space="4" w:color="auto"/>
          <w:bottom w:val="single" w:sz="4" w:space="1" w:color="auto"/>
          <w:right w:val="single" w:sz="4" w:space="4" w:color="auto"/>
        </w:pBdr>
        <w:spacing w:after="0"/>
        <w:ind w:left="1440"/>
        <w:jc w:val="both"/>
        <w:rPr>
          <w:rFonts w:ascii="Times" w:eastAsia="Times New Roman" w:hAnsi="Times" w:cs="Times New Roman"/>
        </w:rPr>
      </w:pPr>
      <w:r w:rsidRPr="004B39F7">
        <w:rPr>
          <w:rFonts w:ascii="Times" w:eastAsia="Times New Roman" w:hAnsi="Times" w:cs="Times New Roman"/>
          <w:b/>
        </w:rPr>
        <w:t>Guidance Note:</w:t>
      </w:r>
      <w:r>
        <w:rPr>
          <w:rFonts w:ascii="Times" w:eastAsia="Times New Roman" w:hAnsi="Times" w:cs="Times New Roman"/>
          <w:b/>
        </w:rPr>
        <w:t xml:space="preserve"> </w:t>
      </w:r>
      <w:r>
        <w:rPr>
          <w:rFonts w:ascii="Times" w:eastAsia="Times New Roman" w:hAnsi="Times" w:cs="Times New Roman"/>
        </w:rPr>
        <w:t>Refer to NAIC Model #200 “Separate Accounts Funding Guaranteed Minimum Benefits under Group Contracts Model Regulation” and Model #255 “Modified Guaranteed Annuity Model Regulation” for assets held in separate accounts.</w:t>
      </w:r>
    </w:p>
    <w:p w14:paraId="00408587" w14:textId="77777777" w:rsidR="00ED6AC0" w:rsidRPr="004B39F7" w:rsidRDefault="00ED6AC0" w:rsidP="00ED6AC0">
      <w:pPr>
        <w:pStyle w:val="ListParagraph"/>
        <w:ind w:left="2880"/>
        <w:jc w:val="both"/>
        <w:rPr>
          <w:rFonts w:ascii="Times" w:eastAsia="Times New Roman" w:hAnsi="Times" w:cs="Times New Roman"/>
        </w:rPr>
      </w:pPr>
    </w:p>
    <w:p w14:paraId="464F4D3B" w14:textId="77777777" w:rsidR="00ED6AC0" w:rsidRPr="004B39F7" w:rsidRDefault="00ED6AC0" w:rsidP="00ED6AC0">
      <w:pPr>
        <w:pStyle w:val="ListParagraph"/>
        <w:numPr>
          <w:ilvl w:val="2"/>
          <w:numId w:val="12"/>
        </w:numPr>
        <w:spacing w:after="0" w:line="240" w:lineRule="auto"/>
        <w:ind w:left="1440" w:hanging="720"/>
        <w:jc w:val="both"/>
        <w:rPr>
          <w:rFonts w:ascii="Times" w:eastAsia="Times New Roman" w:hAnsi="Times" w:cs="Times New Roman"/>
        </w:rPr>
      </w:pPr>
      <w:r w:rsidRPr="004B39F7">
        <w:rPr>
          <w:rFonts w:ascii="Times" w:eastAsia="Times New Roman" w:hAnsi="Times" w:cs="Times New Roman"/>
        </w:rPr>
        <w:t xml:space="preserve">Discount Rates </w:t>
      </w:r>
    </w:p>
    <w:p w14:paraId="6B52AB52" w14:textId="77777777" w:rsidR="00ED6AC0" w:rsidRDefault="00ED6AC0" w:rsidP="00ED6AC0">
      <w:pPr>
        <w:spacing w:after="0"/>
        <w:ind w:left="1440"/>
        <w:jc w:val="both"/>
        <w:rPr>
          <w:rFonts w:ascii="Times" w:eastAsia="Times New Roman" w:hAnsi="Times" w:cs="Times New Roman"/>
        </w:rPr>
      </w:pPr>
    </w:p>
    <w:p w14:paraId="5D835DAD" w14:textId="77777777" w:rsidR="00ED6AC0" w:rsidRPr="004B39F7" w:rsidRDefault="00ED6AC0" w:rsidP="00ED6AC0">
      <w:pPr>
        <w:spacing w:after="0"/>
        <w:ind w:left="1440"/>
        <w:jc w:val="both"/>
        <w:rPr>
          <w:rFonts w:ascii="Times" w:eastAsia="Times New Roman" w:hAnsi="Times" w:cs="Times New Roman"/>
        </w:rPr>
      </w:pPr>
      <w:r w:rsidRPr="004B39F7">
        <w:rPr>
          <w:rFonts w:ascii="Times" w:eastAsia="Times New Roman" w:hAnsi="Times" w:cs="Times New Roman"/>
        </w:rPr>
        <w:t xml:space="preserve">In determining the scenario reserve, </w:t>
      </w:r>
      <w:r>
        <w:rPr>
          <w:rFonts w:ascii="Times" w:eastAsia="Times New Roman" w:hAnsi="Times" w:cs="Times New Roman"/>
        </w:rPr>
        <w:t xml:space="preserve">unless using the direct iteration method pursuant to Section 4.B.1.b, the </w:t>
      </w:r>
      <w:r w:rsidRPr="004B39F7">
        <w:rPr>
          <w:rFonts w:ascii="Times" w:eastAsia="Times New Roman" w:hAnsi="Times" w:cs="Times New Roman"/>
        </w:rPr>
        <w:t xml:space="preserve">accumulated deficiencies shall be discounted at the NAER on additional assets, as defined in </w:t>
      </w:r>
      <w:r w:rsidRPr="00A65C93">
        <w:rPr>
          <w:rFonts w:ascii="Times" w:eastAsia="Times New Roman" w:hAnsi="Times" w:cs="Times New Roman"/>
        </w:rPr>
        <w:t>Section 4.B.3</w:t>
      </w:r>
      <w:r w:rsidRPr="004B39F7">
        <w:rPr>
          <w:rFonts w:ascii="Times" w:eastAsia="Times New Roman" w:hAnsi="Times" w:cs="Times New Roman"/>
        </w:rPr>
        <w:t xml:space="preserve">. </w:t>
      </w:r>
    </w:p>
    <w:p w14:paraId="13AD9D7A" w14:textId="77777777" w:rsidR="00ED6AC0" w:rsidRPr="004B39F7" w:rsidRDefault="00ED6AC0" w:rsidP="00ED6AC0">
      <w:pPr>
        <w:spacing w:after="0"/>
        <w:jc w:val="both"/>
        <w:rPr>
          <w:rFonts w:ascii="Times" w:eastAsia="Times New Roman" w:hAnsi="Times" w:cs="Times New Roman"/>
        </w:rPr>
      </w:pPr>
    </w:p>
    <w:p w14:paraId="067F0CD1" w14:textId="77777777" w:rsidR="00ED6AC0" w:rsidRPr="004B39F7" w:rsidRDefault="00ED6AC0" w:rsidP="00ED6AC0">
      <w:pPr>
        <w:pStyle w:val="ListParagraph"/>
        <w:numPr>
          <w:ilvl w:val="2"/>
          <w:numId w:val="12"/>
        </w:numPr>
        <w:spacing w:after="0" w:line="240" w:lineRule="auto"/>
        <w:ind w:left="1440" w:hanging="720"/>
        <w:jc w:val="both"/>
        <w:rPr>
          <w:rFonts w:ascii="Times" w:eastAsia="Times New Roman" w:hAnsi="Times" w:cs="Times New Roman"/>
        </w:rPr>
      </w:pPr>
      <w:r w:rsidRPr="004B39F7">
        <w:rPr>
          <w:rFonts w:ascii="Times" w:eastAsia="Times New Roman" w:hAnsi="Times" w:cs="Times New Roman"/>
        </w:rPr>
        <w:t xml:space="preserve">Determination of NAER on Additional Invested Asset Portfolio </w:t>
      </w:r>
    </w:p>
    <w:p w14:paraId="531B69F1" w14:textId="77777777" w:rsidR="00ED6AC0" w:rsidRPr="004B39F7" w:rsidRDefault="00ED6AC0" w:rsidP="00ED6AC0">
      <w:pPr>
        <w:pStyle w:val="ListParagraph"/>
        <w:ind w:left="4140"/>
        <w:jc w:val="both"/>
        <w:rPr>
          <w:rFonts w:ascii="Times" w:eastAsia="Times New Roman" w:hAnsi="Times" w:cs="Times New Roman"/>
        </w:rPr>
      </w:pPr>
    </w:p>
    <w:p w14:paraId="5DBC2F58" w14:textId="77777777" w:rsidR="00ED6AC0" w:rsidRDefault="00ED6AC0" w:rsidP="00ED6AC0">
      <w:pPr>
        <w:pStyle w:val="ListParagraph"/>
        <w:numPr>
          <w:ilvl w:val="0"/>
          <w:numId w:val="13"/>
        </w:numPr>
        <w:spacing w:after="0" w:line="240" w:lineRule="auto"/>
        <w:ind w:left="2160" w:hanging="720"/>
        <w:jc w:val="both"/>
        <w:rPr>
          <w:rFonts w:ascii="Times" w:eastAsia="Times New Roman" w:hAnsi="Times" w:cs="Times New Roman"/>
        </w:rPr>
      </w:pPr>
      <w:r w:rsidRPr="004B39F7">
        <w:rPr>
          <w:rFonts w:ascii="Times" w:eastAsia="Times New Roman" w:hAnsi="Times" w:cs="Times New Roman"/>
        </w:rPr>
        <w:t>The additional invested asset portfolio for a scenario is a portfolio of general account assets as of the valuation date, outside of the starting asset portfolio, that is required in that projection scenario so that the projection would not have a positive accumulated deficiency at the end of any projection year. This portfolio may include only (</w:t>
      </w:r>
      <w:proofErr w:type="spellStart"/>
      <w:r w:rsidRPr="004B39F7">
        <w:rPr>
          <w:rFonts w:ascii="Times" w:eastAsia="Times New Roman" w:hAnsi="Times" w:cs="Times New Roman"/>
        </w:rPr>
        <w:t>i</w:t>
      </w:r>
      <w:proofErr w:type="spellEnd"/>
      <w:r w:rsidRPr="004B39F7">
        <w:rPr>
          <w:rFonts w:ascii="Times" w:eastAsia="Times New Roman" w:hAnsi="Times" w:cs="Times New Roman"/>
        </w:rPr>
        <w:t xml:space="preserve">) </w:t>
      </w:r>
      <w:r>
        <w:rPr>
          <w:rFonts w:ascii="Times" w:eastAsia="Times New Roman" w:hAnsi="Times" w:cs="Times New Roman"/>
        </w:rPr>
        <w:t>G</w:t>
      </w:r>
      <w:r w:rsidRPr="004B39F7">
        <w:rPr>
          <w:rFonts w:ascii="Times" w:eastAsia="Times New Roman" w:hAnsi="Times" w:cs="Times New Roman"/>
        </w:rPr>
        <w:t xml:space="preserve">eneral </w:t>
      </w:r>
      <w:r>
        <w:rPr>
          <w:rFonts w:ascii="Times" w:eastAsia="Times New Roman" w:hAnsi="Times" w:cs="Times New Roman"/>
        </w:rPr>
        <w:t>A</w:t>
      </w:r>
      <w:r w:rsidRPr="004B39F7">
        <w:rPr>
          <w:rFonts w:ascii="Times" w:eastAsia="Times New Roman" w:hAnsi="Times" w:cs="Times New Roman"/>
        </w:rPr>
        <w:t xml:space="preserve">ccount assets available to the company on the valuation date that do not constitute part of the starting asset portfolio; and (ii) cash assets. </w:t>
      </w:r>
    </w:p>
    <w:p w14:paraId="17713949" w14:textId="77777777" w:rsidR="00ED6AC0" w:rsidRPr="00A65C93" w:rsidRDefault="00ED6AC0" w:rsidP="00ED6AC0">
      <w:pPr>
        <w:pStyle w:val="ListParagraph"/>
        <w:spacing w:after="0" w:line="240" w:lineRule="auto"/>
        <w:ind w:left="2160"/>
        <w:jc w:val="both"/>
        <w:rPr>
          <w:rFonts w:ascii="Times" w:eastAsia="Times New Roman" w:hAnsi="Times" w:cs="Times New Roman"/>
        </w:rPr>
      </w:pPr>
    </w:p>
    <w:p w14:paraId="6DAF51BA" w14:textId="77777777" w:rsidR="00ED6AC0" w:rsidRDefault="00ED6AC0" w:rsidP="00ED6AC0">
      <w:pPr>
        <w:pBdr>
          <w:top w:val="single" w:sz="4" w:space="1" w:color="auto"/>
          <w:left w:val="single" w:sz="4" w:space="4" w:color="auto"/>
          <w:bottom w:val="single" w:sz="4" w:space="1" w:color="auto"/>
          <w:right w:val="single" w:sz="4" w:space="4" w:color="auto"/>
        </w:pBdr>
        <w:spacing w:after="0"/>
        <w:jc w:val="both"/>
        <w:rPr>
          <w:rFonts w:ascii="Times" w:eastAsia="Times New Roman" w:hAnsi="Times" w:cs="Times New Roman"/>
        </w:rPr>
      </w:pPr>
      <w:r w:rsidRPr="004B39F7">
        <w:rPr>
          <w:rFonts w:ascii="Times" w:eastAsia="Times New Roman" w:hAnsi="Times" w:cs="Times New Roman"/>
          <w:b/>
        </w:rPr>
        <w:t>Guidance Note:</w:t>
      </w:r>
    </w:p>
    <w:p w14:paraId="79DF2CDA" w14:textId="77777777" w:rsidR="00ED6AC0" w:rsidRDefault="00ED6AC0" w:rsidP="00ED6AC0">
      <w:pPr>
        <w:pBdr>
          <w:top w:val="single" w:sz="4" w:space="1" w:color="auto"/>
          <w:left w:val="single" w:sz="4" w:space="4" w:color="auto"/>
          <w:bottom w:val="single" w:sz="4" w:space="1" w:color="auto"/>
          <w:right w:val="single" w:sz="4" w:space="4" w:color="auto"/>
        </w:pBdr>
        <w:spacing w:after="0"/>
        <w:jc w:val="both"/>
        <w:rPr>
          <w:rFonts w:ascii="Times" w:eastAsia="Times New Roman" w:hAnsi="Times" w:cs="Times New Roman"/>
        </w:rPr>
      </w:pPr>
    </w:p>
    <w:p w14:paraId="01C890C6" w14:textId="77777777" w:rsidR="00ED6AC0" w:rsidRDefault="00ED6AC0" w:rsidP="00ED6AC0">
      <w:pPr>
        <w:pBdr>
          <w:top w:val="single" w:sz="4" w:space="1" w:color="auto"/>
          <w:left w:val="single" w:sz="4" w:space="4" w:color="auto"/>
          <w:bottom w:val="single" w:sz="4" w:space="1" w:color="auto"/>
          <w:right w:val="single" w:sz="4" w:space="4" w:color="auto"/>
        </w:pBdr>
        <w:spacing w:after="0"/>
        <w:jc w:val="both"/>
        <w:rPr>
          <w:rFonts w:ascii="Times" w:eastAsia="Times New Roman" w:hAnsi="Times" w:cs="Times New Roman"/>
        </w:rPr>
      </w:pPr>
      <w:r w:rsidRPr="004B39F7">
        <w:rPr>
          <w:rFonts w:ascii="Times" w:eastAsia="Times New Roman" w:hAnsi="Times" w:cs="Times New Roman"/>
        </w:rPr>
        <w:t>Additional invested assets should be selected in a manner such that if the starting asset portfolio were revised to include the additional invested assets, the projection would not be expected to experience any positive accumulated deficiencies at the end of any projection year.</w:t>
      </w:r>
    </w:p>
    <w:p w14:paraId="0666ACDD" w14:textId="77777777" w:rsidR="00ED6AC0" w:rsidRDefault="00ED6AC0" w:rsidP="00ED6AC0">
      <w:pPr>
        <w:pBdr>
          <w:top w:val="single" w:sz="4" w:space="1" w:color="auto"/>
          <w:left w:val="single" w:sz="4" w:space="4" w:color="auto"/>
          <w:bottom w:val="single" w:sz="4" w:space="1" w:color="auto"/>
          <w:right w:val="single" w:sz="4" w:space="4" w:color="auto"/>
        </w:pBdr>
        <w:spacing w:after="0"/>
        <w:jc w:val="both"/>
        <w:rPr>
          <w:rFonts w:ascii="Times" w:eastAsia="Times New Roman" w:hAnsi="Times" w:cs="Times New Roman"/>
        </w:rPr>
      </w:pPr>
    </w:p>
    <w:p w14:paraId="2C023EDB" w14:textId="77777777" w:rsidR="00ED6AC0" w:rsidRPr="004B39F7" w:rsidRDefault="00ED6AC0" w:rsidP="00ED6AC0">
      <w:pPr>
        <w:pBdr>
          <w:top w:val="single" w:sz="4" w:space="1" w:color="auto"/>
          <w:left w:val="single" w:sz="4" w:space="4" w:color="auto"/>
          <w:bottom w:val="single" w:sz="4" w:space="1" w:color="auto"/>
          <w:right w:val="single" w:sz="4" w:space="4" w:color="auto"/>
        </w:pBdr>
        <w:spacing w:after="0"/>
        <w:jc w:val="both"/>
        <w:rPr>
          <w:rFonts w:ascii="Times" w:eastAsia="Times New Roman" w:hAnsi="Times" w:cs="Times New Roman"/>
        </w:rPr>
      </w:pPr>
      <w:r w:rsidRPr="004B39F7">
        <w:rPr>
          <w:rFonts w:ascii="Times" w:eastAsia="Times New Roman" w:hAnsi="Times" w:cs="Times New Roman"/>
        </w:rPr>
        <w:t>It is assumed that the accumulated deficiencies for this scenario projection are known.</w:t>
      </w:r>
    </w:p>
    <w:p w14:paraId="6D32143D" w14:textId="77777777" w:rsidR="00ED6AC0" w:rsidRDefault="00ED6AC0" w:rsidP="00ED6AC0">
      <w:pPr>
        <w:pStyle w:val="ListParagraph"/>
        <w:spacing w:after="0" w:line="240" w:lineRule="auto"/>
        <w:ind w:left="2160"/>
        <w:jc w:val="both"/>
        <w:rPr>
          <w:rFonts w:ascii="Times" w:eastAsia="Times New Roman" w:hAnsi="Times" w:cs="Times New Roman"/>
        </w:rPr>
      </w:pPr>
    </w:p>
    <w:p w14:paraId="353F5E10" w14:textId="77777777" w:rsidR="00ED6AC0" w:rsidRPr="004B39F7" w:rsidRDefault="00ED6AC0" w:rsidP="00ED6AC0">
      <w:pPr>
        <w:pStyle w:val="ListParagraph"/>
        <w:numPr>
          <w:ilvl w:val="0"/>
          <w:numId w:val="13"/>
        </w:numPr>
        <w:spacing w:after="0" w:line="240" w:lineRule="auto"/>
        <w:ind w:left="2160" w:hanging="720"/>
        <w:jc w:val="both"/>
        <w:rPr>
          <w:rFonts w:ascii="Times" w:eastAsia="Times New Roman" w:hAnsi="Times" w:cs="Times New Roman"/>
        </w:rPr>
      </w:pPr>
      <w:r w:rsidRPr="004B39F7">
        <w:rPr>
          <w:rFonts w:ascii="Times" w:eastAsia="Times New Roman" w:hAnsi="Times" w:cs="Times New Roman"/>
        </w:rPr>
        <w:t xml:space="preserve">To determine the NAER on additional invested assets for a given scenario: </w:t>
      </w:r>
    </w:p>
    <w:p w14:paraId="5B084B47" w14:textId="77777777" w:rsidR="00ED6AC0" w:rsidRPr="004B39F7" w:rsidRDefault="00ED6AC0" w:rsidP="00ED6AC0">
      <w:pPr>
        <w:pStyle w:val="ListParagraph"/>
        <w:ind w:left="2160"/>
        <w:jc w:val="both"/>
        <w:rPr>
          <w:rFonts w:ascii="Times" w:eastAsia="Times New Roman" w:hAnsi="Times" w:cs="Times New Roman"/>
        </w:rPr>
      </w:pPr>
    </w:p>
    <w:p w14:paraId="683CB6DC" w14:textId="77777777" w:rsidR="00ED6AC0" w:rsidRPr="004B39F7" w:rsidRDefault="00ED6AC0" w:rsidP="00ED6AC0">
      <w:pPr>
        <w:pStyle w:val="ListParagraph"/>
        <w:numPr>
          <w:ilvl w:val="0"/>
          <w:numId w:val="14"/>
        </w:numPr>
        <w:spacing w:after="0" w:line="240" w:lineRule="auto"/>
        <w:ind w:left="2880" w:hanging="720"/>
        <w:jc w:val="both"/>
        <w:rPr>
          <w:rFonts w:ascii="Times" w:eastAsia="Times New Roman" w:hAnsi="Times" w:cs="Times New Roman"/>
        </w:rPr>
      </w:pPr>
      <w:r w:rsidRPr="004B39F7">
        <w:rPr>
          <w:rFonts w:ascii="Times" w:eastAsia="Times New Roman" w:hAnsi="Times" w:cs="Times New Roman"/>
        </w:rPr>
        <w:t xml:space="preserve">Project the additional invested asset portfolio as of the valuation date to the end of the projection period, </w:t>
      </w:r>
    </w:p>
    <w:p w14:paraId="7C400E7A" w14:textId="77777777" w:rsidR="00ED6AC0" w:rsidRPr="004B39F7" w:rsidRDefault="00ED6AC0" w:rsidP="00ED6AC0">
      <w:pPr>
        <w:pStyle w:val="ListParagraph"/>
        <w:ind w:left="2520"/>
        <w:jc w:val="both"/>
        <w:rPr>
          <w:rFonts w:ascii="Times" w:eastAsia="Times New Roman" w:hAnsi="Times" w:cs="Times New Roman"/>
        </w:rPr>
      </w:pPr>
    </w:p>
    <w:p w14:paraId="4078687D" w14:textId="77777777" w:rsidR="00ED6AC0" w:rsidRPr="004B39F7" w:rsidRDefault="00ED6AC0" w:rsidP="00ED6AC0">
      <w:pPr>
        <w:pStyle w:val="ListParagraph"/>
        <w:numPr>
          <w:ilvl w:val="0"/>
          <w:numId w:val="15"/>
        </w:numPr>
        <w:spacing w:after="0" w:line="240" w:lineRule="auto"/>
        <w:ind w:left="3600" w:hanging="720"/>
        <w:jc w:val="both"/>
        <w:rPr>
          <w:rFonts w:ascii="Times" w:eastAsia="Times New Roman" w:hAnsi="Times" w:cs="Times New Roman"/>
        </w:rPr>
      </w:pPr>
      <w:r w:rsidRPr="004B39F7">
        <w:rPr>
          <w:rFonts w:ascii="Times" w:eastAsia="Times New Roman" w:hAnsi="Times" w:cs="Times New Roman"/>
        </w:rPr>
        <w:t xml:space="preserve">Investing any cash in the portfolio and reinvesting all investment proceeds using the company’s investment policy. </w:t>
      </w:r>
    </w:p>
    <w:p w14:paraId="664D5B26" w14:textId="77777777" w:rsidR="00ED6AC0" w:rsidRPr="004B39F7" w:rsidRDefault="00ED6AC0" w:rsidP="00ED6AC0">
      <w:pPr>
        <w:pStyle w:val="ListParagraph"/>
        <w:ind w:left="3600" w:hanging="720"/>
        <w:jc w:val="both"/>
        <w:rPr>
          <w:rFonts w:ascii="Times" w:eastAsia="Times New Roman" w:hAnsi="Times" w:cs="Times New Roman"/>
        </w:rPr>
      </w:pPr>
    </w:p>
    <w:p w14:paraId="40AEB58B" w14:textId="77777777" w:rsidR="00ED6AC0" w:rsidRPr="004B39F7" w:rsidRDefault="00ED6AC0" w:rsidP="00ED6AC0">
      <w:pPr>
        <w:pStyle w:val="ListParagraph"/>
        <w:numPr>
          <w:ilvl w:val="0"/>
          <w:numId w:val="15"/>
        </w:numPr>
        <w:spacing w:after="0" w:line="240" w:lineRule="auto"/>
        <w:ind w:left="3600" w:hanging="720"/>
        <w:jc w:val="both"/>
        <w:rPr>
          <w:rFonts w:ascii="Times" w:eastAsia="Times New Roman" w:hAnsi="Times" w:cs="Times New Roman"/>
        </w:rPr>
      </w:pPr>
      <w:r w:rsidRPr="004B39F7">
        <w:rPr>
          <w:rFonts w:ascii="Times" w:eastAsia="Times New Roman" w:hAnsi="Times" w:cs="Times New Roman"/>
        </w:rPr>
        <w:t>Excluding any liability cash flows.</w:t>
      </w:r>
    </w:p>
    <w:p w14:paraId="09776F30" w14:textId="77777777" w:rsidR="00ED6AC0" w:rsidRPr="004B39F7" w:rsidRDefault="00ED6AC0" w:rsidP="00ED6AC0">
      <w:pPr>
        <w:ind w:left="3600" w:hanging="720"/>
        <w:jc w:val="both"/>
        <w:rPr>
          <w:rFonts w:ascii="Times" w:eastAsia="Times New Roman" w:hAnsi="Times" w:cs="Times New Roman"/>
        </w:rPr>
      </w:pPr>
    </w:p>
    <w:p w14:paraId="45F1482C" w14:textId="77777777" w:rsidR="00ED6AC0" w:rsidRPr="004B39F7" w:rsidRDefault="00ED6AC0" w:rsidP="00ED6AC0">
      <w:pPr>
        <w:pStyle w:val="ListParagraph"/>
        <w:numPr>
          <w:ilvl w:val="0"/>
          <w:numId w:val="15"/>
        </w:numPr>
        <w:spacing w:after="0" w:line="240" w:lineRule="auto"/>
        <w:ind w:left="3600" w:hanging="720"/>
        <w:jc w:val="both"/>
        <w:rPr>
          <w:rFonts w:ascii="Times" w:eastAsia="Times New Roman" w:hAnsi="Times" w:cs="Times New Roman"/>
        </w:rPr>
      </w:pPr>
      <w:r w:rsidRPr="004B39F7">
        <w:rPr>
          <w:rFonts w:ascii="Times" w:eastAsia="Times New Roman" w:hAnsi="Times" w:cs="Times New Roman"/>
        </w:rPr>
        <w:t>Incorporating the appropriate returns, defaults and investment expenses for the given scenario.</w:t>
      </w:r>
    </w:p>
    <w:p w14:paraId="546AA19D" w14:textId="77777777" w:rsidR="00ED6AC0" w:rsidRPr="004B39F7" w:rsidRDefault="00ED6AC0" w:rsidP="00ED6AC0">
      <w:pPr>
        <w:spacing w:after="0"/>
        <w:jc w:val="both"/>
        <w:rPr>
          <w:rFonts w:ascii="Times" w:eastAsia="Times New Roman" w:hAnsi="Times" w:cs="Times New Roman"/>
        </w:rPr>
      </w:pPr>
    </w:p>
    <w:p w14:paraId="19C6F7E0" w14:textId="77777777" w:rsidR="00ED6AC0" w:rsidRPr="004B39F7" w:rsidRDefault="00ED6AC0" w:rsidP="00ED6AC0">
      <w:pPr>
        <w:pStyle w:val="ListParagraph"/>
        <w:numPr>
          <w:ilvl w:val="0"/>
          <w:numId w:val="14"/>
        </w:numPr>
        <w:spacing w:after="0" w:line="240" w:lineRule="auto"/>
        <w:ind w:left="2880" w:hanging="720"/>
        <w:jc w:val="both"/>
        <w:rPr>
          <w:rFonts w:ascii="Times" w:eastAsia="Times New Roman" w:hAnsi="Times" w:cs="Times New Roman"/>
        </w:rPr>
      </w:pPr>
      <w:r w:rsidRPr="004B39F7">
        <w:rPr>
          <w:rFonts w:ascii="Times" w:eastAsia="Times New Roman" w:hAnsi="Times" w:cs="Times New Roman"/>
        </w:rPr>
        <w:t xml:space="preserve">If the value of the projected additional invested asset portfolio does not equal or exceed the accumulated deficiencies at the end of each projection year for the scenario, increase the size of the initial additional invested asset portfolio as of the valuation date, and repeat the preceding step. </w:t>
      </w:r>
    </w:p>
    <w:p w14:paraId="01201F2D" w14:textId="77777777" w:rsidR="00ED6AC0" w:rsidRPr="004B39F7" w:rsidRDefault="00ED6AC0" w:rsidP="00ED6AC0">
      <w:pPr>
        <w:pStyle w:val="ListParagraph"/>
        <w:ind w:left="2880"/>
        <w:jc w:val="both"/>
        <w:rPr>
          <w:rFonts w:ascii="Times" w:eastAsia="Times New Roman" w:hAnsi="Times" w:cs="Times New Roman"/>
        </w:rPr>
      </w:pPr>
    </w:p>
    <w:p w14:paraId="4858A9CF" w14:textId="77777777" w:rsidR="00ED6AC0" w:rsidRDefault="00ED6AC0" w:rsidP="00ED6AC0">
      <w:pPr>
        <w:pStyle w:val="ListParagraph"/>
        <w:numPr>
          <w:ilvl w:val="0"/>
          <w:numId w:val="14"/>
        </w:numPr>
        <w:spacing w:after="0" w:line="240" w:lineRule="auto"/>
        <w:ind w:left="2880" w:hanging="720"/>
        <w:jc w:val="both"/>
        <w:rPr>
          <w:rFonts w:ascii="Times" w:eastAsia="Times New Roman" w:hAnsi="Times" w:cs="Times New Roman"/>
        </w:rPr>
      </w:pPr>
      <w:r w:rsidRPr="004B39F7">
        <w:rPr>
          <w:rFonts w:ascii="Times" w:eastAsia="Times New Roman" w:hAnsi="Times" w:cs="Times New Roman"/>
        </w:rPr>
        <w:t xml:space="preserve">Determine a vector of annual earned rates that replicates the growth in the additional invested asset portfolio from the valuation date to the end of the projection period for the scenario. This vector will be the NAER for the given scenario. </w:t>
      </w:r>
    </w:p>
    <w:p w14:paraId="0C774757" w14:textId="77777777" w:rsidR="00ED6AC0" w:rsidRPr="00652ED1" w:rsidRDefault="00ED6AC0" w:rsidP="00ED6AC0">
      <w:pPr>
        <w:pStyle w:val="ListParagraph"/>
        <w:rPr>
          <w:rFonts w:ascii="Times" w:eastAsia="Times New Roman" w:hAnsi="Times" w:cs="Times New Roman"/>
        </w:rPr>
      </w:pPr>
    </w:p>
    <w:p w14:paraId="56F88B14" w14:textId="77777777" w:rsidR="00ED6AC0" w:rsidRPr="004B39F7" w:rsidRDefault="00ED6AC0" w:rsidP="00ED6AC0">
      <w:pPr>
        <w:pStyle w:val="ListParagraph"/>
        <w:numPr>
          <w:ilvl w:val="0"/>
          <w:numId w:val="14"/>
        </w:numPr>
        <w:spacing w:after="0" w:line="240" w:lineRule="auto"/>
        <w:ind w:left="2880" w:hanging="720"/>
        <w:jc w:val="both"/>
        <w:rPr>
          <w:rFonts w:ascii="Times" w:eastAsia="Times New Roman" w:hAnsi="Times" w:cs="Times New Roman"/>
        </w:rPr>
      </w:pPr>
      <w:r w:rsidRPr="2BB44510">
        <w:rPr>
          <w:rFonts w:ascii="Times" w:eastAsia="Times New Roman" w:hAnsi="Times" w:cs="Times New Roman"/>
        </w:rPr>
        <w:t xml:space="preserve">If the projection results </w:t>
      </w:r>
      <w:r>
        <w:rPr>
          <w:rFonts w:ascii="Times" w:eastAsia="Times New Roman" w:hAnsi="Times" w:cs="Times New Roman"/>
        </w:rPr>
        <w:t>contain</w:t>
      </w:r>
      <w:r w:rsidRPr="2BB44510">
        <w:rPr>
          <w:rFonts w:ascii="Times" w:eastAsia="Times New Roman" w:hAnsi="Times" w:cs="Times New Roman"/>
        </w:rPr>
        <w:t xml:space="preserve"> an</w:t>
      </w:r>
      <w:r>
        <w:rPr>
          <w:rFonts w:ascii="Times" w:eastAsia="Times New Roman" w:hAnsi="Times" w:cs="Times New Roman"/>
        </w:rPr>
        <w:t>y</w:t>
      </w:r>
      <w:r w:rsidRPr="2BB44510">
        <w:rPr>
          <w:rFonts w:ascii="Times" w:eastAsia="Times New Roman" w:hAnsi="Times" w:cs="Times New Roman"/>
        </w:rPr>
        <w:t xml:space="preserve"> </w:t>
      </w:r>
      <w:r>
        <w:rPr>
          <w:rFonts w:ascii="Times" w:eastAsia="Times New Roman" w:hAnsi="Times" w:cs="Times New Roman"/>
        </w:rPr>
        <w:t>extremely</w:t>
      </w:r>
      <w:r w:rsidRPr="2BB44510">
        <w:rPr>
          <w:rFonts w:ascii="Times" w:eastAsia="Times New Roman" w:hAnsi="Times" w:cs="Times New Roman"/>
        </w:rPr>
        <w:t xml:space="preserve"> negative </w:t>
      </w:r>
      <w:r>
        <w:rPr>
          <w:rFonts w:ascii="Times" w:eastAsia="Times New Roman" w:hAnsi="Times" w:cs="Times New Roman"/>
        </w:rPr>
        <w:t xml:space="preserve">or positive </w:t>
      </w:r>
      <w:r w:rsidRPr="2BB44510">
        <w:rPr>
          <w:rFonts w:ascii="Times" w:eastAsia="Times New Roman" w:hAnsi="Times" w:cs="Times New Roman"/>
        </w:rPr>
        <w:t xml:space="preserve">NAER </w:t>
      </w:r>
      <w:r>
        <w:rPr>
          <w:rFonts w:ascii="Times" w:eastAsia="Times New Roman" w:hAnsi="Times" w:cs="Times New Roman"/>
        </w:rPr>
        <w:t>due to the depletion of assets in the denominator</w:t>
      </w:r>
      <w:r w:rsidRPr="2BB44510">
        <w:rPr>
          <w:rFonts w:ascii="Times" w:eastAsia="Times New Roman" w:hAnsi="Times" w:cs="Times New Roman"/>
        </w:rPr>
        <w:t xml:space="preserve">, the NAER </w:t>
      </w:r>
      <w:r>
        <w:rPr>
          <w:rFonts w:ascii="Times" w:eastAsia="Times New Roman" w:hAnsi="Times" w:cs="Times New Roman"/>
        </w:rPr>
        <w:t>shall</w:t>
      </w:r>
      <w:r w:rsidRPr="2BB44510">
        <w:rPr>
          <w:rFonts w:ascii="Times" w:eastAsia="Times New Roman" w:hAnsi="Times" w:cs="Times New Roman"/>
        </w:rPr>
        <w:t xml:space="preserve"> be </w:t>
      </w:r>
      <w:r>
        <w:rPr>
          <w:rFonts w:ascii="Times" w:eastAsia="Times New Roman" w:hAnsi="Times" w:cs="Times New Roman"/>
        </w:rPr>
        <w:t>re</w:t>
      </w:r>
      <w:r w:rsidRPr="2BB44510">
        <w:rPr>
          <w:rFonts w:ascii="Times" w:eastAsia="Times New Roman" w:hAnsi="Times" w:cs="Times New Roman"/>
        </w:rPr>
        <w:t>set to</w:t>
      </w:r>
      <w:r>
        <w:rPr>
          <w:rFonts w:ascii="Times" w:eastAsia="Times New Roman" w:hAnsi="Times" w:cs="Times New Roman"/>
        </w:rPr>
        <w:t xml:space="preserve"> a more appropriate discount rate, which may be carried out by imposing upper/lower limits or by using another approach, subject to actuarial judgement, that is appropriately prudent for statutory valuation</w:t>
      </w:r>
      <w:r w:rsidRPr="2BB44510">
        <w:rPr>
          <w:rFonts w:ascii="Times" w:eastAsia="Times New Roman" w:hAnsi="Times" w:cs="Times New Roman"/>
        </w:rPr>
        <w:t>.</w:t>
      </w:r>
    </w:p>
    <w:p w14:paraId="17FC5A21" w14:textId="77777777" w:rsidR="00ED6AC0" w:rsidRPr="004B39F7" w:rsidRDefault="00ED6AC0" w:rsidP="00ED6AC0">
      <w:pPr>
        <w:spacing w:after="0"/>
        <w:jc w:val="both"/>
        <w:rPr>
          <w:rFonts w:ascii="Times" w:eastAsia="Times New Roman" w:hAnsi="Times" w:cs="Times New Roman"/>
        </w:rPr>
      </w:pPr>
    </w:p>
    <w:p w14:paraId="471A71FD" w14:textId="77777777" w:rsidR="00ED6AC0" w:rsidRPr="004B39F7" w:rsidRDefault="00ED6AC0" w:rsidP="00ED6AC0">
      <w:pPr>
        <w:pBdr>
          <w:top w:val="single" w:sz="4" w:space="1" w:color="auto"/>
          <w:left w:val="single" w:sz="4" w:space="4" w:color="auto"/>
          <w:bottom w:val="single" w:sz="4" w:space="1" w:color="auto"/>
          <w:right w:val="single" w:sz="4" w:space="4" w:color="auto"/>
        </w:pBdr>
        <w:spacing w:after="0"/>
        <w:jc w:val="both"/>
        <w:rPr>
          <w:rFonts w:ascii="Times" w:eastAsia="Times New Roman" w:hAnsi="Times" w:cs="Times New Roman"/>
        </w:rPr>
      </w:pPr>
      <w:r w:rsidRPr="004B39F7">
        <w:rPr>
          <w:rFonts w:ascii="Times" w:eastAsia="Times New Roman" w:hAnsi="Times" w:cs="Times New Roman"/>
          <w:b/>
        </w:rPr>
        <w:lastRenderedPageBreak/>
        <w:t>Guidance Note:</w:t>
      </w:r>
      <w:r w:rsidRPr="004B39F7">
        <w:rPr>
          <w:rFonts w:ascii="Times" w:eastAsia="Times New Roman" w:hAnsi="Times" w:cs="Times New Roman"/>
        </w:rPr>
        <w:t xml:space="preserve"> There are multiple ways to select the additional invested asset portfolio at the valuation date. Similarly, there are multiple ways to determine the earned rate vector. The company shall be consistent in its choice of methods, from one valuation to the next. </w:t>
      </w:r>
    </w:p>
    <w:p w14:paraId="5C93D41F" w14:textId="77777777" w:rsidR="00ED6AC0" w:rsidRDefault="00ED6AC0" w:rsidP="00ED6AC0">
      <w:pPr>
        <w:pStyle w:val="ListParagraph"/>
        <w:spacing w:after="0" w:line="240" w:lineRule="auto"/>
        <w:ind w:left="1440"/>
        <w:jc w:val="both"/>
        <w:rPr>
          <w:rFonts w:ascii="Times" w:eastAsia="Times New Roman" w:hAnsi="Times" w:cs="Times New Roman"/>
        </w:rPr>
      </w:pPr>
    </w:p>
    <w:p w14:paraId="2E3D819B" w14:textId="77777777" w:rsidR="00ED6AC0" w:rsidRDefault="00ED6AC0" w:rsidP="00ED6AC0">
      <w:pPr>
        <w:pStyle w:val="Heading2"/>
        <w:rPr>
          <w:sz w:val="22"/>
          <w:szCs w:val="22"/>
        </w:rPr>
      </w:pPr>
      <w:bookmarkStart w:id="32" w:name="_Toc77242143"/>
      <w:bookmarkStart w:id="33" w:name="_Toc137649789"/>
      <w:r w:rsidRPr="00E17D51">
        <w:rPr>
          <w:sz w:val="22"/>
          <w:szCs w:val="22"/>
        </w:rPr>
        <w:t>C.</w:t>
      </w:r>
      <w:r>
        <w:rPr>
          <w:sz w:val="22"/>
          <w:szCs w:val="22"/>
        </w:rPr>
        <w:tab/>
      </w:r>
      <w:r w:rsidRPr="00E17D51">
        <w:rPr>
          <w:sz w:val="22"/>
          <w:szCs w:val="22"/>
        </w:rPr>
        <w:t>Projection Scenarios</w:t>
      </w:r>
      <w:bookmarkEnd w:id="32"/>
      <w:bookmarkEnd w:id="33"/>
    </w:p>
    <w:p w14:paraId="08A1D0B5" w14:textId="77777777" w:rsidR="00ED6AC0" w:rsidRDefault="00ED6AC0" w:rsidP="00ED6AC0">
      <w:pPr>
        <w:pStyle w:val="ListParagraph"/>
        <w:spacing w:after="0" w:line="240" w:lineRule="auto"/>
        <w:ind w:left="1440"/>
        <w:jc w:val="both"/>
        <w:rPr>
          <w:rFonts w:ascii="Times" w:eastAsia="Times New Roman" w:hAnsi="Times" w:cs="Times New Roman"/>
        </w:rPr>
      </w:pPr>
    </w:p>
    <w:p w14:paraId="42D0687A" w14:textId="77777777" w:rsidR="00ED6AC0" w:rsidRPr="004B39F7" w:rsidRDefault="00ED6AC0" w:rsidP="00ED6AC0">
      <w:pPr>
        <w:pStyle w:val="ListParagraph"/>
        <w:numPr>
          <w:ilvl w:val="2"/>
          <w:numId w:val="13"/>
        </w:numPr>
        <w:spacing w:after="0" w:line="240" w:lineRule="auto"/>
        <w:ind w:left="1440" w:hanging="720"/>
        <w:jc w:val="both"/>
        <w:rPr>
          <w:rFonts w:ascii="Times" w:eastAsia="Times New Roman" w:hAnsi="Times" w:cs="Times New Roman"/>
        </w:rPr>
      </w:pPr>
      <w:r w:rsidRPr="004B39F7">
        <w:rPr>
          <w:rFonts w:ascii="Times" w:eastAsia="Times New Roman" w:hAnsi="Times" w:cs="Times New Roman"/>
        </w:rPr>
        <w:t xml:space="preserve">Number of Scenarios </w:t>
      </w:r>
    </w:p>
    <w:p w14:paraId="5044D70D" w14:textId="77777777" w:rsidR="00ED6AC0" w:rsidRPr="004B39F7" w:rsidRDefault="00ED6AC0" w:rsidP="00ED6AC0">
      <w:pPr>
        <w:pStyle w:val="ListParagraph"/>
        <w:ind w:left="1080"/>
        <w:jc w:val="both"/>
        <w:rPr>
          <w:rFonts w:ascii="Times" w:eastAsia="Times New Roman" w:hAnsi="Times" w:cs="Times New Roman"/>
        </w:rPr>
      </w:pPr>
    </w:p>
    <w:p w14:paraId="7BFAF98B" w14:textId="77777777" w:rsidR="00ED6AC0" w:rsidRPr="004B39F7" w:rsidRDefault="00ED6AC0" w:rsidP="00ED6AC0">
      <w:pPr>
        <w:pStyle w:val="ListParagraph"/>
        <w:ind w:left="1440"/>
        <w:jc w:val="both"/>
        <w:rPr>
          <w:rFonts w:ascii="Times" w:eastAsia="Times New Roman" w:hAnsi="Times" w:cs="Times New Roman"/>
        </w:rPr>
      </w:pPr>
      <w:r w:rsidRPr="004B39F7">
        <w:rPr>
          <w:rFonts w:ascii="Times" w:eastAsia="Times New Roman" w:hAnsi="Times" w:cs="Times New Roman"/>
        </w:rPr>
        <w:t xml:space="preserve">The number of scenarios for which the scenario reserve shall be computed shall be the responsibility of the company, and it shall </w:t>
      </w:r>
      <w:proofErr w:type="gramStart"/>
      <w:r w:rsidRPr="004B39F7">
        <w:rPr>
          <w:rFonts w:ascii="Times" w:eastAsia="Times New Roman" w:hAnsi="Times" w:cs="Times New Roman"/>
        </w:rPr>
        <w:t>be considered to be</w:t>
      </w:r>
      <w:proofErr w:type="gramEnd"/>
      <w:r w:rsidRPr="004B39F7">
        <w:rPr>
          <w:rFonts w:ascii="Times" w:eastAsia="Times New Roman" w:hAnsi="Times" w:cs="Times New Roman"/>
        </w:rPr>
        <w:t xml:space="preserve"> sufficient if any resulting understatement in the </w:t>
      </w:r>
      <w:r>
        <w:rPr>
          <w:rFonts w:ascii="Times" w:eastAsia="Times New Roman" w:hAnsi="Times" w:cs="Times New Roman"/>
        </w:rPr>
        <w:t>SR</w:t>
      </w:r>
      <w:r w:rsidRPr="004B39F7">
        <w:rPr>
          <w:rFonts w:ascii="Times" w:eastAsia="Times New Roman" w:hAnsi="Times" w:cs="Times New Roman"/>
        </w:rPr>
        <w:t xml:space="preserve">, as compared with that resulting from running additional scenarios, is not material. </w:t>
      </w:r>
    </w:p>
    <w:p w14:paraId="664431F2" w14:textId="77777777" w:rsidR="00ED6AC0" w:rsidRPr="004B39F7" w:rsidRDefault="00ED6AC0" w:rsidP="00ED6AC0">
      <w:pPr>
        <w:pStyle w:val="ListParagraph"/>
        <w:ind w:left="4140"/>
        <w:jc w:val="both"/>
        <w:rPr>
          <w:rFonts w:ascii="Times" w:eastAsia="Times New Roman" w:hAnsi="Times" w:cs="Times New Roman"/>
        </w:rPr>
      </w:pPr>
    </w:p>
    <w:p w14:paraId="613CF2D8" w14:textId="77777777" w:rsidR="00ED6AC0" w:rsidRPr="004B39F7" w:rsidRDefault="00ED6AC0" w:rsidP="00ED6AC0">
      <w:pPr>
        <w:pStyle w:val="ListParagraph"/>
        <w:numPr>
          <w:ilvl w:val="2"/>
          <w:numId w:val="13"/>
        </w:numPr>
        <w:spacing w:after="0" w:line="240" w:lineRule="auto"/>
        <w:ind w:left="1440" w:hanging="720"/>
        <w:jc w:val="both"/>
        <w:rPr>
          <w:rFonts w:ascii="Times" w:eastAsia="Times New Roman" w:hAnsi="Times" w:cs="Times New Roman"/>
        </w:rPr>
      </w:pPr>
      <w:r w:rsidRPr="004B39F7">
        <w:rPr>
          <w:rFonts w:ascii="Times" w:eastAsia="Times New Roman" w:hAnsi="Times" w:cs="Times New Roman"/>
        </w:rPr>
        <w:t xml:space="preserve">Economic Scenario Generation </w:t>
      </w:r>
    </w:p>
    <w:p w14:paraId="7A3D31D1" w14:textId="77777777" w:rsidR="00ED6AC0" w:rsidRDefault="00ED6AC0" w:rsidP="00ED6AC0">
      <w:pPr>
        <w:spacing w:after="0"/>
        <w:ind w:left="1440"/>
        <w:jc w:val="both"/>
        <w:rPr>
          <w:rFonts w:ascii="Times" w:eastAsia="Times New Roman" w:hAnsi="Times" w:cs="Times New Roman"/>
        </w:rPr>
      </w:pPr>
    </w:p>
    <w:p w14:paraId="18AD079A" w14:textId="77777777" w:rsidR="00ED6AC0" w:rsidRPr="004B39F7" w:rsidRDefault="00ED6AC0" w:rsidP="00ED6AC0">
      <w:pPr>
        <w:spacing w:after="0"/>
        <w:ind w:left="1440"/>
        <w:jc w:val="both"/>
        <w:rPr>
          <w:rFonts w:ascii="Times" w:eastAsia="Times New Roman" w:hAnsi="Times" w:cs="Times New Roman"/>
        </w:rPr>
      </w:pPr>
      <w:proofErr w:type="gramStart"/>
      <w:r w:rsidRPr="2BB44510">
        <w:rPr>
          <w:rFonts w:ascii="Times" w:eastAsia="Times New Roman" w:hAnsi="Times" w:cs="Times New Roman"/>
        </w:rPr>
        <w:t>Treasury</w:t>
      </w:r>
      <w:proofErr w:type="gramEnd"/>
      <w:r w:rsidRPr="2BB44510">
        <w:rPr>
          <w:rFonts w:ascii="Times" w:eastAsia="Times New Roman" w:hAnsi="Times" w:cs="Times New Roman"/>
        </w:rPr>
        <w:t xml:space="preserve"> Department interest rate curves, as well as investment return paths for index funds, equities, and fixed income assets shall be determined on a stochastic basis using the methodology described in Section 8. If the company uses a proprietary generator to develop scenarios, the company shall demonstrate that the resulting scenarios meet the requirements described in Section 8. </w:t>
      </w:r>
    </w:p>
    <w:p w14:paraId="41096F58" w14:textId="77777777" w:rsidR="00ED6AC0" w:rsidRPr="004B39F7" w:rsidRDefault="00ED6AC0" w:rsidP="00ED6AC0">
      <w:pPr>
        <w:spacing w:after="0"/>
        <w:jc w:val="both"/>
        <w:rPr>
          <w:rFonts w:ascii="Times" w:eastAsia="Times New Roman" w:hAnsi="Times" w:cs="Times New Roman"/>
        </w:rPr>
      </w:pPr>
    </w:p>
    <w:p w14:paraId="220158FD" w14:textId="77777777" w:rsidR="00ED6AC0" w:rsidRPr="00E17D51" w:rsidRDefault="00ED6AC0" w:rsidP="00ED6AC0">
      <w:pPr>
        <w:pStyle w:val="Heading2"/>
        <w:numPr>
          <w:ilvl w:val="0"/>
          <w:numId w:val="20"/>
        </w:numPr>
        <w:tabs>
          <w:tab w:val="num" w:pos="360"/>
        </w:tabs>
        <w:ind w:left="0" w:firstLine="0"/>
        <w:rPr>
          <w:sz w:val="22"/>
          <w:szCs w:val="22"/>
        </w:rPr>
      </w:pPr>
      <w:bookmarkStart w:id="34" w:name="_Toc77242144"/>
      <w:bookmarkStart w:id="35" w:name="_Toc137649790"/>
      <w:r w:rsidRPr="00E17D51">
        <w:rPr>
          <w:sz w:val="22"/>
          <w:szCs w:val="22"/>
        </w:rPr>
        <w:t>Projection of Assets</w:t>
      </w:r>
      <w:bookmarkEnd w:id="34"/>
      <w:bookmarkEnd w:id="35"/>
      <w:r w:rsidRPr="00E17D51">
        <w:rPr>
          <w:sz w:val="22"/>
          <w:szCs w:val="22"/>
        </w:rPr>
        <w:t xml:space="preserve"> </w:t>
      </w:r>
    </w:p>
    <w:p w14:paraId="28BFA978" w14:textId="77777777" w:rsidR="00ED6AC0" w:rsidRPr="004B39F7" w:rsidRDefault="00ED6AC0" w:rsidP="00ED6AC0">
      <w:pPr>
        <w:pStyle w:val="ListParagraph"/>
        <w:ind w:left="360"/>
        <w:jc w:val="both"/>
        <w:rPr>
          <w:rFonts w:ascii="Times" w:eastAsia="Times New Roman" w:hAnsi="Times" w:cs="Times New Roman"/>
        </w:rPr>
      </w:pPr>
    </w:p>
    <w:p w14:paraId="5BD525FA" w14:textId="77777777" w:rsidR="00ED6AC0" w:rsidRPr="004B39F7" w:rsidRDefault="00ED6AC0" w:rsidP="00ED6AC0">
      <w:pPr>
        <w:pStyle w:val="ListParagraph"/>
        <w:numPr>
          <w:ilvl w:val="0"/>
          <w:numId w:val="16"/>
        </w:numPr>
        <w:spacing w:after="0" w:line="240" w:lineRule="auto"/>
        <w:ind w:left="1440" w:hanging="720"/>
        <w:jc w:val="both"/>
        <w:rPr>
          <w:rFonts w:ascii="Times" w:eastAsia="Times New Roman" w:hAnsi="Times" w:cs="Times New Roman"/>
        </w:rPr>
      </w:pPr>
      <w:r w:rsidRPr="004B39F7">
        <w:rPr>
          <w:rFonts w:ascii="Times" w:eastAsia="Times New Roman" w:hAnsi="Times" w:cs="Times New Roman"/>
        </w:rPr>
        <w:t xml:space="preserve">Starting Asset Amount </w:t>
      </w:r>
    </w:p>
    <w:p w14:paraId="1B1EC94E" w14:textId="77777777" w:rsidR="00ED6AC0" w:rsidRPr="004B39F7" w:rsidRDefault="00ED6AC0" w:rsidP="00ED6AC0">
      <w:pPr>
        <w:pStyle w:val="ListParagraph"/>
        <w:ind w:left="1440"/>
        <w:jc w:val="both"/>
        <w:rPr>
          <w:rFonts w:ascii="Times" w:eastAsia="Times New Roman" w:hAnsi="Times" w:cs="Times New Roman"/>
        </w:rPr>
      </w:pPr>
    </w:p>
    <w:p w14:paraId="071D74E1" w14:textId="77777777" w:rsidR="00ED6AC0" w:rsidRPr="004B39F7" w:rsidRDefault="00ED6AC0" w:rsidP="00ED6AC0">
      <w:pPr>
        <w:pStyle w:val="ListParagraph"/>
        <w:numPr>
          <w:ilvl w:val="1"/>
          <w:numId w:val="16"/>
        </w:numPr>
        <w:spacing w:after="0" w:line="240" w:lineRule="auto"/>
        <w:ind w:left="2160" w:hanging="720"/>
        <w:jc w:val="both"/>
        <w:rPr>
          <w:rFonts w:ascii="Times" w:eastAsia="Times New Roman" w:hAnsi="Times" w:cs="Times New Roman"/>
        </w:rPr>
      </w:pPr>
      <w:r w:rsidRPr="004B39F7">
        <w:rPr>
          <w:rFonts w:ascii="Times" w:eastAsia="Times New Roman" w:hAnsi="Times" w:cs="Times New Roman"/>
        </w:rPr>
        <w:t xml:space="preserve">For the projections of accumulated deficiencies, the value of assets at the start of the projection shall be set equal to the approximate value of statutory reserves at the start of the projection plus the allocated amount of PIMR attributable to the assets selected. Assets shall be valued consistently with their annual statement values. The amount of such asset values shall equal the sum of the following items, all as of the start of the projection: </w:t>
      </w:r>
    </w:p>
    <w:p w14:paraId="1019906B" w14:textId="77777777" w:rsidR="00ED6AC0" w:rsidRPr="004B39F7" w:rsidRDefault="00ED6AC0" w:rsidP="00ED6AC0">
      <w:pPr>
        <w:pStyle w:val="ListParagraph"/>
        <w:ind w:left="2880"/>
        <w:jc w:val="both"/>
        <w:rPr>
          <w:rFonts w:ascii="Times" w:eastAsia="Times New Roman" w:hAnsi="Times" w:cs="Times New Roman"/>
        </w:rPr>
      </w:pPr>
    </w:p>
    <w:p w14:paraId="3FC60095" w14:textId="77777777" w:rsidR="00ED6AC0" w:rsidRPr="004B39F7" w:rsidRDefault="00ED6AC0" w:rsidP="00ED6AC0">
      <w:pPr>
        <w:pStyle w:val="ListParagraph"/>
        <w:numPr>
          <w:ilvl w:val="2"/>
          <w:numId w:val="16"/>
        </w:numPr>
        <w:spacing w:after="0" w:line="240" w:lineRule="auto"/>
        <w:ind w:left="2880" w:hanging="720"/>
        <w:jc w:val="both"/>
        <w:rPr>
          <w:rFonts w:ascii="Times" w:eastAsia="Times New Roman" w:hAnsi="Times" w:cs="Times New Roman"/>
        </w:rPr>
      </w:pPr>
      <w:r w:rsidRPr="004B39F7">
        <w:rPr>
          <w:rFonts w:ascii="Times" w:eastAsia="Times New Roman" w:hAnsi="Times" w:cs="Times New Roman"/>
        </w:rPr>
        <w:t>Any hedge instruments held in support of the contracts being valued; and</w:t>
      </w:r>
    </w:p>
    <w:p w14:paraId="2A11384F" w14:textId="77777777" w:rsidR="00ED6AC0" w:rsidRPr="004B39F7" w:rsidRDefault="00ED6AC0" w:rsidP="00ED6AC0">
      <w:pPr>
        <w:jc w:val="both"/>
        <w:rPr>
          <w:rFonts w:ascii="Times" w:eastAsia="Times New Roman" w:hAnsi="Times" w:cs="Times New Roman"/>
        </w:rPr>
      </w:pPr>
    </w:p>
    <w:p w14:paraId="71AA02EA" w14:textId="77777777" w:rsidR="00ED6AC0" w:rsidRPr="004B39F7" w:rsidRDefault="00ED6AC0" w:rsidP="00ED6AC0">
      <w:pPr>
        <w:pStyle w:val="ListParagraph"/>
        <w:numPr>
          <w:ilvl w:val="2"/>
          <w:numId w:val="16"/>
        </w:numPr>
        <w:spacing w:after="0" w:line="240" w:lineRule="auto"/>
        <w:ind w:left="2880" w:hanging="720"/>
        <w:jc w:val="both"/>
        <w:rPr>
          <w:rFonts w:ascii="Times" w:eastAsia="Times New Roman" w:hAnsi="Times" w:cs="Times New Roman"/>
        </w:rPr>
      </w:pPr>
      <w:proofErr w:type="gramStart"/>
      <w:r w:rsidRPr="004B39F7">
        <w:rPr>
          <w:rFonts w:ascii="Times" w:eastAsia="Times New Roman" w:hAnsi="Times" w:cs="Times New Roman"/>
        </w:rPr>
        <w:t>An</w:t>
      </w:r>
      <w:proofErr w:type="gramEnd"/>
      <w:r w:rsidRPr="004B39F7">
        <w:rPr>
          <w:rFonts w:ascii="Times" w:eastAsia="Times New Roman" w:hAnsi="Times" w:cs="Times New Roman"/>
        </w:rPr>
        <w:t xml:space="preserve"> amount of assets held in the general account equal to the approximate value of statutory reserves as of the start of the projections less the amount in (</w:t>
      </w:r>
      <w:proofErr w:type="spellStart"/>
      <w:r w:rsidRPr="004B39F7">
        <w:rPr>
          <w:rFonts w:ascii="Times" w:eastAsia="Times New Roman" w:hAnsi="Times" w:cs="Times New Roman"/>
        </w:rPr>
        <w:t>i</w:t>
      </w:r>
      <w:proofErr w:type="spellEnd"/>
      <w:r w:rsidRPr="004B39F7">
        <w:rPr>
          <w:rFonts w:ascii="Times" w:eastAsia="Times New Roman" w:hAnsi="Times" w:cs="Times New Roman"/>
        </w:rPr>
        <w:t xml:space="preserve">). </w:t>
      </w:r>
    </w:p>
    <w:p w14:paraId="223ED182" w14:textId="77777777" w:rsidR="00ED6AC0" w:rsidRPr="004B39F7" w:rsidRDefault="00ED6AC0" w:rsidP="00ED6AC0">
      <w:pPr>
        <w:jc w:val="both"/>
        <w:rPr>
          <w:rFonts w:ascii="Times" w:eastAsia="Times New Roman" w:hAnsi="Times" w:cs="Times New Roman"/>
        </w:rPr>
      </w:pPr>
    </w:p>
    <w:p w14:paraId="5EF81D80" w14:textId="77777777" w:rsidR="00ED6AC0" w:rsidRPr="004B39F7" w:rsidRDefault="00ED6AC0" w:rsidP="00ED6AC0">
      <w:pPr>
        <w:pStyle w:val="ListParagraph"/>
        <w:numPr>
          <w:ilvl w:val="1"/>
          <w:numId w:val="16"/>
        </w:numPr>
        <w:spacing w:after="0" w:line="240" w:lineRule="auto"/>
        <w:ind w:left="2160" w:hanging="720"/>
        <w:jc w:val="both"/>
        <w:rPr>
          <w:rFonts w:ascii="Times" w:eastAsia="Times New Roman" w:hAnsi="Times" w:cs="Times New Roman"/>
        </w:rPr>
      </w:pPr>
      <w:r w:rsidRPr="004B39F7">
        <w:rPr>
          <w:rFonts w:ascii="Times" w:eastAsia="Times New Roman" w:hAnsi="Times" w:cs="Times New Roman"/>
        </w:rPr>
        <w:t>If the amount of initial general account assets is negative, the model should reflect a projected interest expense. General account assets chosen for use as described above shall be selected on a consistent basis from one reserve valuation hereunder to the next.</w:t>
      </w:r>
    </w:p>
    <w:p w14:paraId="6F9096F5" w14:textId="77777777" w:rsidR="00ED6AC0" w:rsidRDefault="00ED6AC0" w:rsidP="00ED6AC0">
      <w:pPr>
        <w:pStyle w:val="ListParagraph"/>
        <w:spacing w:after="0" w:line="240" w:lineRule="auto"/>
        <w:ind w:left="1440"/>
        <w:jc w:val="both"/>
        <w:rPr>
          <w:rFonts w:ascii="Times" w:eastAsia="Times New Roman" w:hAnsi="Times" w:cs="Times New Roman"/>
        </w:rPr>
      </w:pPr>
    </w:p>
    <w:p w14:paraId="18FC1E95" w14:textId="77777777" w:rsidR="00ED6AC0" w:rsidRPr="004B39F7" w:rsidRDefault="00ED6AC0" w:rsidP="00ED6AC0">
      <w:pPr>
        <w:pStyle w:val="ListParagraph"/>
        <w:numPr>
          <w:ilvl w:val="0"/>
          <w:numId w:val="16"/>
        </w:numPr>
        <w:spacing w:after="0" w:line="240" w:lineRule="auto"/>
        <w:ind w:left="1440" w:hanging="720"/>
        <w:jc w:val="both"/>
        <w:rPr>
          <w:rFonts w:ascii="Times" w:eastAsia="Times New Roman" w:hAnsi="Times" w:cs="Times New Roman"/>
        </w:rPr>
      </w:pPr>
      <w:r w:rsidRPr="004B39F7">
        <w:rPr>
          <w:rFonts w:ascii="Times" w:eastAsia="Times New Roman" w:hAnsi="Times" w:cs="Times New Roman"/>
        </w:rPr>
        <w:t xml:space="preserve">Valuation of Projected Assets </w:t>
      </w:r>
    </w:p>
    <w:p w14:paraId="1B2DEB0F" w14:textId="77777777" w:rsidR="00ED6AC0" w:rsidRPr="004B39F7" w:rsidRDefault="00ED6AC0" w:rsidP="00ED6AC0">
      <w:pPr>
        <w:pStyle w:val="ListParagraph"/>
        <w:jc w:val="both"/>
        <w:rPr>
          <w:rFonts w:ascii="Times" w:eastAsia="Times New Roman" w:hAnsi="Times" w:cs="Times New Roman"/>
        </w:rPr>
      </w:pPr>
    </w:p>
    <w:p w14:paraId="4B9F6961" w14:textId="77777777" w:rsidR="00ED6AC0" w:rsidRDefault="00ED6AC0" w:rsidP="00ED6AC0">
      <w:pPr>
        <w:pStyle w:val="ListParagraph"/>
        <w:ind w:left="1440"/>
        <w:jc w:val="both"/>
        <w:rPr>
          <w:rFonts w:ascii="Times" w:eastAsia="Times New Roman" w:hAnsi="Times" w:cs="Times New Roman"/>
        </w:rPr>
      </w:pPr>
      <w:r w:rsidRPr="004B39F7">
        <w:rPr>
          <w:rFonts w:ascii="Times" w:eastAsia="Times New Roman" w:hAnsi="Times" w:cs="Times New Roman"/>
        </w:rPr>
        <w:lastRenderedPageBreak/>
        <w:t xml:space="preserve">For </w:t>
      </w:r>
      <w:proofErr w:type="gramStart"/>
      <w:r w:rsidRPr="004B39F7">
        <w:rPr>
          <w:rFonts w:ascii="Times" w:eastAsia="Times New Roman" w:hAnsi="Times" w:cs="Times New Roman"/>
        </w:rPr>
        <w:t>purposes</w:t>
      </w:r>
      <w:proofErr w:type="gramEnd"/>
      <w:r w:rsidRPr="004B39F7">
        <w:rPr>
          <w:rFonts w:ascii="Times" w:eastAsia="Times New Roman" w:hAnsi="Times" w:cs="Times New Roman"/>
        </w:rPr>
        <w:t xml:space="preserve"> of determining the projected accumulated deficiencies, the value of projected assets shall be determined in a manner consistent with their value at the start of the projection. For assets assumed to be purchased during a projection, the value shall be determined in a manner consistent with the value of assets at the start of the projection that have similar investment characteristics. However, for derivative instruments that are used in hedging and are not assumed to be sold during a particular projection interval, the company may account for them at an amortized cost in an appropriate manner </w:t>
      </w:r>
      <w:proofErr w:type="gramStart"/>
      <w:r w:rsidRPr="004B39F7">
        <w:rPr>
          <w:rFonts w:ascii="Times" w:eastAsia="Times New Roman" w:hAnsi="Times" w:cs="Times New Roman"/>
        </w:rPr>
        <w:t>elected</w:t>
      </w:r>
      <w:proofErr w:type="gramEnd"/>
      <w:r w:rsidRPr="004B39F7">
        <w:rPr>
          <w:rFonts w:ascii="Times" w:eastAsia="Times New Roman" w:hAnsi="Times" w:cs="Times New Roman"/>
        </w:rPr>
        <w:t xml:space="preserve"> by the company.</w:t>
      </w:r>
    </w:p>
    <w:p w14:paraId="3D9A7A4A" w14:textId="77777777" w:rsidR="00ED6AC0" w:rsidRDefault="00ED6AC0" w:rsidP="00ED6AC0">
      <w:pPr>
        <w:pStyle w:val="ListParagraph"/>
        <w:ind w:left="1440"/>
        <w:jc w:val="both"/>
        <w:rPr>
          <w:rFonts w:ascii="Times" w:eastAsia="Times New Roman" w:hAnsi="Times" w:cs="Times New Roman"/>
        </w:rPr>
      </w:pPr>
    </w:p>
    <w:p w14:paraId="6A5250BB" w14:textId="77777777" w:rsidR="00ED6AC0" w:rsidRPr="004B39F7" w:rsidRDefault="00ED6AC0" w:rsidP="00ED6AC0">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rFonts w:ascii="Times" w:eastAsia="Times New Roman" w:hAnsi="Times" w:cs="Times New Roman"/>
        </w:rPr>
      </w:pPr>
      <w:r w:rsidRPr="001E5F3B">
        <w:rPr>
          <w:rFonts w:ascii="Times" w:eastAsia="Times New Roman" w:hAnsi="Times" w:cs="Times New Roman"/>
          <w:b/>
        </w:rPr>
        <w:t>Guidance Note</w:t>
      </w:r>
      <w:r>
        <w:rPr>
          <w:rFonts w:ascii="Times" w:eastAsia="Times New Roman" w:hAnsi="Times" w:cs="Times New Roman"/>
        </w:rPr>
        <w:t>: Accounting for hedge assets should recognize any methodology prescribed by a company’s state of domicile.</w:t>
      </w:r>
    </w:p>
    <w:p w14:paraId="72F00CB1" w14:textId="77777777" w:rsidR="00ED6AC0" w:rsidRPr="004B39F7" w:rsidRDefault="00ED6AC0" w:rsidP="00ED6AC0">
      <w:pPr>
        <w:pStyle w:val="ListParagraph"/>
        <w:jc w:val="both"/>
        <w:rPr>
          <w:rFonts w:ascii="Times" w:eastAsia="Times New Roman" w:hAnsi="Times" w:cs="Times New Roman"/>
        </w:rPr>
      </w:pPr>
    </w:p>
    <w:p w14:paraId="7E23DEAE" w14:textId="77777777" w:rsidR="00ED6AC0" w:rsidRPr="004B39F7" w:rsidRDefault="00ED6AC0" w:rsidP="00ED6AC0">
      <w:pPr>
        <w:pStyle w:val="ListParagraph"/>
        <w:numPr>
          <w:ilvl w:val="0"/>
          <w:numId w:val="16"/>
        </w:numPr>
        <w:spacing w:after="0" w:line="240" w:lineRule="auto"/>
        <w:ind w:left="1440" w:hanging="720"/>
        <w:jc w:val="both"/>
        <w:rPr>
          <w:rFonts w:ascii="Times" w:eastAsia="Times New Roman" w:hAnsi="Times" w:cs="Times New Roman"/>
        </w:rPr>
      </w:pPr>
      <w:r w:rsidRPr="004B39F7">
        <w:rPr>
          <w:rFonts w:ascii="Times" w:eastAsia="Times New Roman" w:hAnsi="Times" w:cs="Times New Roman"/>
        </w:rPr>
        <w:t xml:space="preserve">General Account Assets </w:t>
      </w:r>
    </w:p>
    <w:p w14:paraId="4122A722" w14:textId="77777777" w:rsidR="00ED6AC0" w:rsidRPr="004B39F7" w:rsidRDefault="00ED6AC0" w:rsidP="00ED6AC0">
      <w:pPr>
        <w:pStyle w:val="ListParagraph"/>
        <w:jc w:val="both"/>
        <w:rPr>
          <w:rFonts w:ascii="Times" w:eastAsia="Times New Roman" w:hAnsi="Times" w:cs="Times New Roman"/>
        </w:rPr>
      </w:pPr>
    </w:p>
    <w:p w14:paraId="697288CF" w14:textId="77777777" w:rsidR="00ED6AC0" w:rsidRPr="004B39F7" w:rsidRDefault="00ED6AC0" w:rsidP="00ED6AC0">
      <w:pPr>
        <w:pStyle w:val="ListParagraph"/>
        <w:numPr>
          <w:ilvl w:val="1"/>
          <w:numId w:val="16"/>
        </w:numPr>
        <w:spacing w:after="0" w:line="240" w:lineRule="auto"/>
        <w:ind w:left="2160" w:hanging="720"/>
        <w:jc w:val="both"/>
        <w:rPr>
          <w:rFonts w:ascii="Times" w:eastAsia="Times New Roman" w:hAnsi="Times" w:cs="Times New Roman"/>
        </w:rPr>
      </w:pPr>
      <w:r w:rsidRPr="004B39F7">
        <w:rPr>
          <w:rFonts w:ascii="Times" w:eastAsia="Times New Roman" w:hAnsi="Times" w:cs="Times New Roman"/>
        </w:rPr>
        <w:t>General account assets shall be projected, net of projected defaults, using assumed investment returns consistent with their book value and expected to be realized in future periods as of the date of valuation. Initial assets that mature during the projection and positive cash flows projected for future periods shall be invested in a manner that is representative of and consistent with the company’s investment policy, subject to the following requirements:</w:t>
      </w:r>
    </w:p>
    <w:p w14:paraId="69F755A6" w14:textId="77777777" w:rsidR="00ED6AC0" w:rsidRPr="004B39F7" w:rsidRDefault="00ED6AC0" w:rsidP="00ED6AC0">
      <w:pPr>
        <w:pStyle w:val="ListParagraph"/>
        <w:ind w:left="2160"/>
        <w:jc w:val="both"/>
        <w:rPr>
          <w:rFonts w:ascii="Times" w:eastAsia="Times New Roman" w:hAnsi="Times" w:cs="Times New Roman"/>
        </w:rPr>
      </w:pPr>
    </w:p>
    <w:p w14:paraId="509DA316" w14:textId="77777777" w:rsidR="00ED6AC0" w:rsidRPr="004B39F7" w:rsidRDefault="00ED6AC0" w:rsidP="00ED6AC0">
      <w:pPr>
        <w:pStyle w:val="ListParagraph"/>
        <w:numPr>
          <w:ilvl w:val="2"/>
          <w:numId w:val="16"/>
        </w:numPr>
        <w:spacing w:after="0" w:line="240" w:lineRule="auto"/>
        <w:ind w:left="2880" w:hanging="720"/>
        <w:jc w:val="both"/>
        <w:rPr>
          <w:rFonts w:ascii="Times" w:eastAsia="Times New Roman" w:hAnsi="Times" w:cs="Times New Roman"/>
        </w:rPr>
      </w:pPr>
      <w:r w:rsidRPr="004B39F7">
        <w:rPr>
          <w:rFonts w:ascii="Times" w:eastAsia="Times New Roman" w:hAnsi="Times" w:cs="Times New Roman"/>
        </w:rPr>
        <w:t xml:space="preserve">The final maturities and cash flow structures of assets purchased in the model, such as the patterns of gross investment income and principal repayments or a fixed or floating rate interest basis, shall be determined by the company as part of the model </w:t>
      </w:r>
      <w:proofErr w:type="gramStart"/>
      <w:r w:rsidRPr="004B39F7">
        <w:rPr>
          <w:rFonts w:ascii="Times" w:eastAsia="Times New Roman" w:hAnsi="Times" w:cs="Times New Roman"/>
        </w:rPr>
        <w:t>representation;</w:t>
      </w:r>
      <w:proofErr w:type="gramEnd"/>
    </w:p>
    <w:p w14:paraId="4A865E68" w14:textId="77777777" w:rsidR="00ED6AC0" w:rsidRPr="004B39F7" w:rsidRDefault="00ED6AC0" w:rsidP="00ED6AC0">
      <w:pPr>
        <w:pStyle w:val="ListParagraph"/>
        <w:ind w:left="2880" w:hanging="720"/>
        <w:jc w:val="both"/>
        <w:rPr>
          <w:rFonts w:ascii="Times" w:eastAsia="Times New Roman" w:hAnsi="Times" w:cs="Times New Roman"/>
        </w:rPr>
      </w:pPr>
    </w:p>
    <w:p w14:paraId="1FE08656" w14:textId="77777777" w:rsidR="00ED6AC0" w:rsidRPr="004B39F7" w:rsidRDefault="00ED6AC0" w:rsidP="00ED6AC0">
      <w:pPr>
        <w:pStyle w:val="ListParagraph"/>
        <w:numPr>
          <w:ilvl w:val="2"/>
          <w:numId w:val="16"/>
        </w:numPr>
        <w:spacing w:after="0" w:line="240" w:lineRule="auto"/>
        <w:ind w:left="2880" w:hanging="720"/>
        <w:jc w:val="both"/>
        <w:rPr>
          <w:rFonts w:ascii="Times" w:eastAsia="Times New Roman" w:hAnsi="Times" w:cs="Times New Roman"/>
        </w:rPr>
      </w:pPr>
      <w:r w:rsidRPr="00353C4A">
        <w:rPr>
          <w:rFonts w:ascii="Times" w:eastAsia="Times New Roman" w:hAnsi="Times" w:cs="Times New Roman"/>
        </w:rPr>
        <w:t>T</w:t>
      </w:r>
      <w:r w:rsidRPr="004B39F7">
        <w:rPr>
          <w:rFonts w:ascii="Times" w:eastAsia="Times New Roman" w:hAnsi="Times" w:cs="Times New Roman"/>
        </w:rPr>
        <w:t xml:space="preserve">he combination of price and structure for fixed income investments and derivative instruments associated with fixed income investments shall appropriately reflect the projected Treasury Department curve along the relevant scenario and the requirements for gross asset spread assumptions stated </w:t>
      </w:r>
      <w:proofErr w:type="gramStart"/>
      <w:r w:rsidRPr="004B39F7">
        <w:rPr>
          <w:rFonts w:ascii="Times" w:eastAsia="Times New Roman" w:hAnsi="Times" w:cs="Times New Roman"/>
        </w:rPr>
        <w:t>below;</w:t>
      </w:r>
      <w:proofErr w:type="gramEnd"/>
    </w:p>
    <w:p w14:paraId="038E60D2" w14:textId="77777777" w:rsidR="00ED6AC0" w:rsidRPr="004B39F7" w:rsidRDefault="00ED6AC0" w:rsidP="00ED6AC0">
      <w:pPr>
        <w:spacing w:after="0"/>
        <w:ind w:left="2880" w:hanging="720"/>
        <w:jc w:val="both"/>
        <w:rPr>
          <w:rFonts w:ascii="Times" w:eastAsia="Times New Roman" w:hAnsi="Times" w:cs="Times New Roman"/>
        </w:rPr>
      </w:pPr>
    </w:p>
    <w:p w14:paraId="08250806" w14:textId="77777777" w:rsidR="00ED6AC0" w:rsidRPr="004B39F7" w:rsidRDefault="00ED6AC0" w:rsidP="00ED6AC0">
      <w:pPr>
        <w:pStyle w:val="ListParagraph"/>
        <w:numPr>
          <w:ilvl w:val="2"/>
          <w:numId w:val="16"/>
        </w:numPr>
        <w:spacing w:after="0" w:line="240" w:lineRule="auto"/>
        <w:ind w:left="2880" w:hanging="720"/>
        <w:jc w:val="both"/>
        <w:rPr>
          <w:rFonts w:ascii="Times" w:eastAsia="Times New Roman" w:hAnsi="Times" w:cs="Times New Roman"/>
        </w:rPr>
      </w:pPr>
      <w:r w:rsidRPr="004B39F7">
        <w:rPr>
          <w:rFonts w:ascii="Times" w:eastAsia="Times New Roman" w:hAnsi="Times" w:cs="Times New Roman"/>
        </w:rPr>
        <w:t xml:space="preserve">For purchases of public non-callable corporate bonds, follow the requirements defined in VM-20 Sections 7.E, 7.F and 9.F. The prescribed spreads reflect current market conditions as of the model start date and grade to long-term conditions based on historical data at the start of projection year </w:t>
      </w:r>
      <w:proofErr w:type="gramStart"/>
      <w:r w:rsidRPr="004B39F7">
        <w:rPr>
          <w:rFonts w:ascii="Times" w:eastAsia="Times New Roman" w:hAnsi="Times" w:cs="Times New Roman"/>
        </w:rPr>
        <w:t>four;</w:t>
      </w:r>
      <w:proofErr w:type="gramEnd"/>
    </w:p>
    <w:p w14:paraId="0FB17658" w14:textId="77777777" w:rsidR="00ED6AC0" w:rsidRPr="004B39F7" w:rsidRDefault="00ED6AC0" w:rsidP="00ED6AC0">
      <w:pPr>
        <w:spacing w:after="0"/>
        <w:ind w:left="2880" w:hanging="720"/>
        <w:jc w:val="both"/>
        <w:rPr>
          <w:rFonts w:ascii="Times" w:eastAsia="Times New Roman" w:hAnsi="Times" w:cs="Times New Roman"/>
        </w:rPr>
      </w:pPr>
    </w:p>
    <w:p w14:paraId="2615CF3C" w14:textId="77777777" w:rsidR="00ED6AC0" w:rsidRPr="004B39F7" w:rsidRDefault="00ED6AC0" w:rsidP="00ED6AC0">
      <w:pPr>
        <w:pStyle w:val="ListParagraph"/>
        <w:numPr>
          <w:ilvl w:val="2"/>
          <w:numId w:val="16"/>
        </w:numPr>
        <w:spacing w:after="0" w:line="240" w:lineRule="auto"/>
        <w:ind w:left="2880" w:hanging="720"/>
        <w:jc w:val="both"/>
        <w:rPr>
          <w:rFonts w:ascii="Times" w:eastAsia="Times New Roman" w:hAnsi="Times" w:cs="Times New Roman"/>
        </w:rPr>
      </w:pPr>
      <w:r w:rsidRPr="004B39F7">
        <w:rPr>
          <w:rFonts w:ascii="Times" w:eastAsia="Times New Roman" w:hAnsi="Times" w:cs="Times New Roman"/>
        </w:rPr>
        <w:t xml:space="preserve">For transactions of derivative instruments associated with fixed income investments, reflect the prescribed assumptions in VM-20 Section 9.F for interest rate swap </w:t>
      </w:r>
      <w:proofErr w:type="gramStart"/>
      <w:r w:rsidRPr="004B39F7">
        <w:rPr>
          <w:rFonts w:ascii="Times" w:eastAsia="Times New Roman" w:hAnsi="Times" w:cs="Times New Roman"/>
        </w:rPr>
        <w:t>spreads;</w:t>
      </w:r>
      <w:proofErr w:type="gramEnd"/>
      <w:r w:rsidRPr="004B39F7">
        <w:rPr>
          <w:rFonts w:ascii="Times" w:eastAsia="Times New Roman" w:hAnsi="Times" w:cs="Times New Roman"/>
        </w:rPr>
        <w:t xml:space="preserve"> </w:t>
      </w:r>
    </w:p>
    <w:p w14:paraId="2DBBEC4B" w14:textId="77777777" w:rsidR="00ED6AC0" w:rsidRPr="004B39F7" w:rsidRDefault="00ED6AC0" w:rsidP="00ED6AC0">
      <w:pPr>
        <w:spacing w:after="0"/>
        <w:ind w:left="2880" w:hanging="720"/>
        <w:jc w:val="both"/>
        <w:rPr>
          <w:rFonts w:ascii="Times" w:eastAsia="Times New Roman" w:hAnsi="Times" w:cs="Times New Roman"/>
        </w:rPr>
      </w:pPr>
    </w:p>
    <w:p w14:paraId="1D64B544" w14:textId="77777777" w:rsidR="00ED6AC0" w:rsidRPr="004B39F7" w:rsidRDefault="00ED6AC0" w:rsidP="00ED6AC0">
      <w:pPr>
        <w:pStyle w:val="ListParagraph"/>
        <w:numPr>
          <w:ilvl w:val="2"/>
          <w:numId w:val="16"/>
        </w:numPr>
        <w:spacing w:after="0" w:line="240" w:lineRule="auto"/>
        <w:ind w:left="2880" w:hanging="720"/>
        <w:jc w:val="both"/>
        <w:rPr>
          <w:rFonts w:ascii="Times" w:eastAsia="Times New Roman" w:hAnsi="Times" w:cs="Times New Roman"/>
        </w:rPr>
      </w:pPr>
      <w:r w:rsidRPr="004B39F7">
        <w:rPr>
          <w:rFonts w:ascii="Times" w:eastAsia="Times New Roman" w:hAnsi="Times" w:cs="Times New Roman"/>
        </w:rPr>
        <w:t xml:space="preserve">For purchases of other fixed income investments, if included in </w:t>
      </w:r>
      <w:r w:rsidRPr="00542C96">
        <w:rPr>
          <w:rFonts w:ascii="Times" w:eastAsia="Times New Roman" w:hAnsi="Times" w:cs="Times New Roman"/>
        </w:rPr>
        <w:t>modeled company investment strategy</w:t>
      </w:r>
      <w:r w:rsidRPr="004B39F7">
        <w:rPr>
          <w:rFonts w:ascii="Times" w:eastAsia="Times New Roman" w:hAnsi="Times" w:cs="Times New Roman"/>
        </w:rPr>
        <w:t xml:space="preserve">, set assumed gross asset spreads over U.S. Treasuries in a manner that is consistent with, and results in reasonable relationships to, the prescribed spreads for public non-callable corporate bonds and interest rate swaps. </w:t>
      </w:r>
    </w:p>
    <w:p w14:paraId="3B8AB823" w14:textId="77777777" w:rsidR="00ED6AC0" w:rsidRPr="004B39F7" w:rsidRDefault="00ED6AC0" w:rsidP="00ED6AC0">
      <w:pPr>
        <w:pStyle w:val="ListParagraph"/>
        <w:ind w:left="2880" w:hanging="720"/>
        <w:jc w:val="both"/>
        <w:rPr>
          <w:rFonts w:ascii="Times" w:eastAsia="Times New Roman" w:hAnsi="Times" w:cs="Times New Roman"/>
        </w:rPr>
      </w:pPr>
    </w:p>
    <w:p w14:paraId="53C6E6AA" w14:textId="77777777" w:rsidR="00ED6AC0" w:rsidRDefault="00ED6AC0" w:rsidP="00ED6AC0">
      <w:pPr>
        <w:pStyle w:val="ListParagraph"/>
        <w:numPr>
          <w:ilvl w:val="1"/>
          <w:numId w:val="16"/>
        </w:numPr>
        <w:spacing w:after="0" w:line="240" w:lineRule="auto"/>
        <w:ind w:left="2160" w:hanging="720"/>
        <w:jc w:val="both"/>
        <w:rPr>
          <w:rFonts w:ascii="Times" w:eastAsia="Times New Roman" w:hAnsi="Times" w:cs="Times New Roman"/>
        </w:rPr>
      </w:pPr>
      <w:r w:rsidRPr="004B39F7">
        <w:rPr>
          <w:rFonts w:ascii="Times" w:eastAsia="Times New Roman" w:hAnsi="Times" w:cs="Times New Roman"/>
        </w:rPr>
        <w:lastRenderedPageBreak/>
        <w:t xml:space="preserve">Notwithstanding the above requirements, the </w:t>
      </w:r>
      <w:r>
        <w:rPr>
          <w:rFonts w:ascii="Times" w:eastAsia="Times New Roman" w:hAnsi="Times" w:cs="Times New Roman"/>
        </w:rPr>
        <w:t xml:space="preserve">aggregate reserve shall be the higher of that produced by the </w:t>
      </w:r>
      <w:r w:rsidRPr="004B39F7">
        <w:rPr>
          <w:rFonts w:ascii="Times" w:eastAsia="Times New Roman" w:hAnsi="Times" w:cs="Times New Roman"/>
        </w:rPr>
        <w:t>model</w:t>
      </w:r>
      <w:r>
        <w:rPr>
          <w:rFonts w:ascii="Times" w:eastAsia="Times New Roman" w:hAnsi="Times" w:cs="Times New Roman"/>
        </w:rPr>
        <w:t>ed company</w:t>
      </w:r>
      <w:r w:rsidRPr="004B39F7">
        <w:rPr>
          <w:rFonts w:ascii="Times" w:eastAsia="Times New Roman" w:hAnsi="Times" w:cs="Times New Roman"/>
        </w:rPr>
        <w:t xml:space="preserve"> investment strategy and</w:t>
      </w:r>
      <w:r>
        <w:rPr>
          <w:rFonts w:ascii="Times" w:eastAsia="Times New Roman" w:hAnsi="Times" w:cs="Times New Roman"/>
        </w:rPr>
        <w:t xml:space="preserve"> that produced</w:t>
      </w:r>
      <w:r w:rsidRPr="004B39F7">
        <w:rPr>
          <w:rFonts w:ascii="Times" w:eastAsia="Times New Roman" w:hAnsi="Times" w:cs="Times New Roman"/>
        </w:rPr>
        <w:t xml:space="preserve"> by substituting an alternative investment strategy in which </w:t>
      </w:r>
      <w:r>
        <w:rPr>
          <w:rFonts w:ascii="Times" w:eastAsia="Times New Roman" w:hAnsi="Times" w:cs="Times New Roman"/>
        </w:rPr>
        <w:t>the</w:t>
      </w:r>
      <w:r w:rsidRPr="004B39F7">
        <w:rPr>
          <w:rFonts w:ascii="Times" w:eastAsia="Times New Roman" w:hAnsi="Times" w:cs="Times New Roman"/>
        </w:rPr>
        <w:t xml:space="preserve"> fixed income reinvestment assets </w:t>
      </w:r>
      <w:r>
        <w:rPr>
          <w:rFonts w:ascii="Times" w:eastAsia="Times New Roman" w:hAnsi="Times" w:cs="Times New Roman"/>
        </w:rPr>
        <w:t xml:space="preserve">have the same weighted average life (WAL) as the reinvestment assets in the modeled company investment strategy and </w:t>
      </w:r>
      <w:r w:rsidRPr="004B39F7">
        <w:rPr>
          <w:rFonts w:ascii="Times" w:eastAsia="Times New Roman" w:hAnsi="Times" w:cs="Times New Roman"/>
        </w:rPr>
        <w:t>are</w:t>
      </w:r>
      <w:r>
        <w:rPr>
          <w:rFonts w:ascii="Times" w:eastAsia="Times New Roman" w:hAnsi="Times" w:cs="Times New Roman"/>
        </w:rPr>
        <w:t xml:space="preserve"> all</w:t>
      </w:r>
      <w:r w:rsidRPr="004B39F7">
        <w:rPr>
          <w:rFonts w:ascii="Times" w:eastAsia="Times New Roman" w:hAnsi="Times" w:cs="Times New Roman"/>
        </w:rPr>
        <w:t xml:space="preserve"> public non</w:t>
      </w:r>
      <w:r>
        <w:rPr>
          <w:rFonts w:ascii="Times" w:eastAsia="Times New Roman" w:hAnsi="Times" w:cs="Times New Roman"/>
        </w:rPr>
        <w:t>-</w:t>
      </w:r>
      <w:r w:rsidRPr="004B39F7">
        <w:rPr>
          <w:rFonts w:ascii="Times" w:eastAsia="Times New Roman" w:hAnsi="Times" w:cs="Times New Roman"/>
        </w:rPr>
        <w:t>callable corporate bonds with gross asset spreads, asset default costs, and investment expenses by projection year that are consistent with a credit quality blend of</w:t>
      </w:r>
      <w:r>
        <w:rPr>
          <w:rFonts w:ascii="Times" w:eastAsia="Times New Roman" w:hAnsi="Times" w:cs="Times New Roman"/>
        </w:rPr>
        <w:t>:</w:t>
      </w:r>
    </w:p>
    <w:p w14:paraId="108BDA55" w14:textId="77777777" w:rsidR="00ED6AC0" w:rsidRDefault="00ED6AC0" w:rsidP="00ED6AC0">
      <w:pPr>
        <w:pStyle w:val="ListParagraph"/>
        <w:ind w:left="2160"/>
        <w:jc w:val="both"/>
        <w:rPr>
          <w:rFonts w:ascii="Times" w:eastAsia="Times New Roman" w:hAnsi="Times" w:cs="Times New Roman"/>
        </w:rPr>
      </w:pPr>
    </w:p>
    <w:p w14:paraId="6043A8CC" w14:textId="77777777" w:rsidR="00ED6AC0" w:rsidRPr="0065547F" w:rsidRDefault="00ED6AC0" w:rsidP="00ED6AC0">
      <w:pPr>
        <w:pStyle w:val="ListParagraph"/>
        <w:numPr>
          <w:ilvl w:val="2"/>
          <w:numId w:val="16"/>
        </w:numPr>
        <w:spacing w:after="0" w:line="240" w:lineRule="auto"/>
        <w:ind w:left="2880" w:hanging="720"/>
        <w:jc w:val="both"/>
        <w:rPr>
          <w:rFonts w:ascii="Times" w:eastAsia="Times New Roman" w:hAnsi="Times" w:cs="Times New Roman"/>
          <w:highlight w:val="yellow"/>
        </w:rPr>
      </w:pPr>
      <w:r w:rsidRPr="0065547F">
        <w:rPr>
          <w:rFonts w:ascii="Times" w:eastAsia="Times New Roman" w:hAnsi="Times" w:cs="Times New Roman"/>
          <w:highlight w:val="yellow"/>
        </w:rPr>
        <w:t>5% Treasury</w:t>
      </w:r>
    </w:p>
    <w:p w14:paraId="1EAF839C" w14:textId="77777777" w:rsidR="00ED6AC0" w:rsidRPr="0065547F" w:rsidRDefault="00ED6AC0" w:rsidP="00ED6AC0">
      <w:pPr>
        <w:jc w:val="both"/>
        <w:rPr>
          <w:rFonts w:ascii="Times" w:eastAsia="Times New Roman" w:hAnsi="Times" w:cs="Times New Roman"/>
          <w:strike/>
          <w:highlight w:val="yellow"/>
        </w:rPr>
      </w:pPr>
    </w:p>
    <w:p w14:paraId="4E58C7EB" w14:textId="77777777" w:rsidR="00ED6AC0" w:rsidRPr="0065547F" w:rsidRDefault="00ED6AC0" w:rsidP="00ED6AC0">
      <w:pPr>
        <w:pStyle w:val="ListParagraph"/>
        <w:numPr>
          <w:ilvl w:val="2"/>
          <w:numId w:val="16"/>
        </w:numPr>
        <w:spacing w:after="0" w:line="240" w:lineRule="auto"/>
        <w:ind w:left="2880" w:hanging="720"/>
        <w:jc w:val="both"/>
        <w:rPr>
          <w:rFonts w:ascii="Times" w:eastAsia="Times New Roman" w:hAnsi="Times" w:cs="Times New Roman"/>
          <w:highlight w:val="yellow"/>
        </w:rPr>
      </w:pPr>
      <w:r w:rsidRPr="0065547F">
        <w:rPr>
          <w:rFonts w:ascii="Times" w:eastAsia="Times New Roman" w:hAnsi="Times" w:cs="Times New Roman"/>
          <w:highlight w:val="yellow"/>
        </w:rPr>
        <w:t>15% PBR credit rating 3 (Aa2/AA)</w:t>
      </w:r>
    </w:p>
    <w:p w14:paraId="3EFA70D1" w14:textId="77777777" w:rsidR="00ED6AC0" w:rsidRPr="0065547F" w:rsidRDefault="00ED6AC0" w:rsidP="00ED6AC0">
      <w:pPr>
        <w:jc w:val="both"/>
        <w:rPr>
          <w:rFonts w:ascii="Times" w:eastAsia="Times New Roman" w:hAnsi="Times" w:cs="Times New Roman"/>
          <w:highlight w:val="yellow"/>
        </w:rPr>
      </w:pPr>
    </w:p>
    <w:p w14:paraId="28C6D1BA" w14:textId="77777777" w:rsidR="00ED6AC0" w:rsidRPr="0065547F" w:rsidRDefault="00ED6AC0" w:rsidP="00ED6AC0">
      <w:pPr>
        <w:pStyle w:val="ListParagraph"/>
        <w:numPr>
          <w:ilvl w:val="2"/>
          <w:numId w:val="16"/>
        </w:numPr>
        <w:spacing w:after="0" w:line="240" w:lineRule="auto"/>
        <w:ind w:left="2880" w:hanging="720"/>
        <w:jc w:val="both"/>
        <w:rPr>
          <w:rFonts w:ascii="Times" w:eastAsia="Times New Roman" w:hAnsi="Times" w:cs="Times New Roman"/>
          <w:highlight w:val="yellow"/>
        </w:rPr>
      </w:pPr>
      <w:r w:rsidRPr="0065547F">
        <w:rPr>
          <w:rFonts w:ascii="Times" w:eastAsia="Times New Roman" w:hAnsi="Times" w:cs="Times New Roman"/>
          <w:highlight w:val="yellow"/>
        </w:rPr>
        <w:t>80% PBR credit rating 6 (A2/A)</w:t>
      </w:r>
    </w:p>
    <w:p w14:paraId="6E689134" w14:textId="77777777" w:rsidR="00ED6AC0" w:rsidRPr="004B39F7" w:rsidRDefault="00ED6AC0" w:rsidP="00ED6AC0"/>
    <w:p w14:paraId="3C97606B" w14:textId="77777777" w:rsidR="00ED6AC0" w:rsidRPr="00185D70" w:rsidRDefault="00ED6AC0" w:rsidP="00ED6AC0">
      <w:pPr>
        <w:pStyle w:val="ListParagraph"/>
        <w:numPr>
          <w:ilvl w:val="1"/>
          <w:numId w:val="16"/>
        </w:numPr>
        <w:ind w:left="2160" w:hanging="720"/>
        <w:jc w:val="both"/>
      </w:pPr>
      <w:r w:rsidRPr="00CC724D">
        <w:rPr>
          <w:rFonts w:ascii="Times" w:eastAsia="Times New Roman" w:hAnsi="Times" w:cs="Times New Roman"/>
        </w:rPr>
        <w:t xml:space="preserve">Any disinvestment shall be modeled in a manner that is consistent with the company’s investment policy and that reflects the company’s cost of borrowing where applicable, provided that the assumed cost of borrowing is not lower than the rate at which positive cash flows are reinvested in the same </w:t>
      </w:r>
      <w:proofErr w:type="gramStart"/>
      <w:r w:rsidRPr="00CC724D">
        <w:rPr>
          <w:rFonts w:ascii="Times" w:eastAsia="Times New Roman" w:hAnsi="Times" w:cs="Times New Roman"/>
        </w:rPr>
        <w:t>time period</w:t>
      </w:r>
      <w:proofErr w:type="gramEnd"/>
      <w:r w:rsidRPr="00CC724D">
        <w:rPr>
          <w:rFonts w:ascii="Times" w:eastAsia="Times New Roman" w:hAnsi="Times" w:cs="Times New Roman"/>
        </w:rPr>
        <w:t>, taking into account duration, ratings, and other attributes of the borrowing mechanism.  Gross asset spreads used in computing market values of assets sold in the model shall be consistent with, but not necessarily the same as, the gross asset spreads in Section 4.D.</w:t>
      </w:r>
      <w:r>
        <w:rPr>
          <w:rFonts w:ascii="Times" w:eastAsia="Times New Roman" w:hAnsi="Times" w:cs="Times New Roman"/>
        </w:rPr>
        <w:t>3</w:t>
      </w:r>
      <w:r w:rsidRPr="00CC724D">
        <w:rPr>
          <w:rFonts w:ascii="Times" w:eastAsia="Times New Roman" w:hAnsi="Times" w:cs="Times New Roman"/>
        </w:rPr>
        <w:t>.a.ii</w:t>
      </w:r>
      <w:r>
        <w:rPr>
          <w:rFonts w:ascii="Times" w:eastAsia="Times New Roman" w:hAnsi="Times" w:cs="Times New Roman"/>
        </w:rPr>
        <w:t>i</w:t>
      </w:r>
      <w:r w:rsidRPr="00CC724D">
        <w:rPr>
          <w:rFonts w:ascii="Times" w:eastAsia="Times New Roman" w:hAnsi="Times" w:cs="Times New Roman"/>
        </w:rPr>
        <w:t xml:space="preserve"> and Section 4.D.</w:t>
      </w:r>
      <w:r>
        <w:rPr>
          <w:rFonts w:ascii="Times" w:eastAsia="Times New Roman" w:hAnsi="Times" w:cs="Times New Roman"/>
        </w:rPr>
        <w:t>3</w:t>
      </w:r>
      <w:r w:rsidRPr="00CC724D">
        <w:rPr>
          <w:rFonts w:ascii="Times" w:eastAsia="Times New Roman" w:hAnsi="Times" w:cs="Times New Roman"/>
        </w:rPr>
        <w:t>.a.v, recognizing that initial assets that mature during the projection may have different characteristics than modeled reinvestment assets.</w:t>
      </w:r>
    </w:p>
    <w:p w14:paraId="165AAB56" w14:textId="77777777" w:rsidR="00ED6AC0" w:rsidRPr="004B39F7" w:rsidRDefault="00ED6AC0" w:rsidP="00ED6AC0">
      <w:pPr>
        <w:pStyle w:val="ListParagraph"/>
        <w:ind w:left="2160"/>
        <w:jc w:val="both"/>
        <w:rPr>
          <w:rFonts w:ascii="Times" w:eastAsia="Times New Roman" w:hAnsi="Times" w:cs="Times New Roman"/>
        </w:rPr>
      </w:pPr>
    </w:p>
    <w:p w14:paraId="2F6BBA24" w14:textId="77777777" w:rsidR="00ED6AC0" w:rsidRPr="004B39F7" w:rsidRDefault="00ED6AC0" w:rsidP="00ED6AC0">
      <w:pPr>
        <w:pStyle w:val="ListParagraph"/>
        <w:pBdr>
          <w:top w:val="single" w:sz="4" w:space="1" w:color="auto"/>
          <w:left w:val="single" w:sz="4" w:space="4" w:color="auto"/>
          <w:bottom w:val="single" w:sz="4" w:space="1" w:color="auto"/>
          <w:right w:val="single" w:sz="4" w:space="4" w:color="auto"/>
        </w:pBdr>
        <w:ind w:left="0"/>
        <w:jc w:val="both"/>
        <w:rPr>
          <w:rFonts w:ascii="Times" w:eastAsia="Times New Roman" w:hAnsi="Times" w:cs="Times New Roman"/>
        </w:rPr>
      </w:pPr>
      <w:r w:rsidRPr="004B39F7">
        <w:rPr>
          <w:rFonts w:ascii="Times" w:eastAsia="Times New Roman" w:hAnsi="Times" w:cs="Times New Roman"/>
          <w:b/>
        </w:rPr>
        <w:t>Guidance Note:</w:t>
      </w:r>
      <w:r w:rsidRPr="004B39F7">
        <w:rPr>
          <w:rFonts w:ascii="Times" w:eastAsia="Times New Roman" w:hAnsi="Times" w:cs="Times New Roman"/>
        </w:rPr>
        <w:t xml:space="preserve"> This limitation is being referred to Life Actuarial (A) Task Force for review. The simple language above </w:t>
      </w:r>
      <w:r>
        <w:rPr>
          <w:rFonts w:ascii="Times" w:eastAsia="Times New Roman" w:hAnsi="Times" w:cs="Times New Roman"/>
        </w:rPr>
        <w:t>“</w:t>
      </w:r>
      <w:r w:rsidRPr="004B39F7">
        <w:rPr>
          <w:rFonts w:ascii="Times" w:eastAsia="Times New Roman" w:hAnsi="Times" w:cs="Times New Roman"/>
        </w:rPr>
        <w:t>provided that the assumed cost of borrowing is not lower than the rate at which positive cash flows are reinvested in the same time period</w:t>
      </w:r>
      <w:r>
        <w:rPr>
          <w:rFonts w:ascii="Times" w:eastAsia="Times New Roman" w:hAnsi="Times" w:cs="Times New Roman"/>
        </w:rPr>
        <w:t>”</w:t>
      </w:r>
      <w:r w:rsidRPr="004B39F7">
        <w:rPr>
          <w:rFonts w:ascii="Times" w:eastAsia="Times New Roman" w:hAnsi="Times" w:cs="Times New Roman"/>
        </w:rPr>
        <w:t xml:space="preserve"> is not intended to impose a literal requirement. It is intended to reflect a general concept to prevent excessively optimistic borrowing assumptions. It is recognized that borrowing parameters and rules can be complicated, such that modeling limitations may not allow for literal compliance, in every time step, </w:t>
      </w:r>
      <w:proofErr w:type="gramStart"/>
      <w:r w:rsidRPr="004B39F7">
        <w:rPr>
          <w:rFonts w:ascii="Times" w:eastAsia="Times New Roman" w:hAnsi="Times" w:cs="Times New Roman"/>
        </w:rPr>
        <w:t>as long as</w:t>
      </w:r>
      <w:proofErr w:type="gramEnd"/>
      <w:r w:rsidRPr="004B39F7">
        <w:rPr>
          <w:rFonts w:ascii="Times" w:eastAsia="Times New Roman" w:hAnsi="Times" w:cs="Times New Roman"/>
        </w:rPr>
        <w:t xml:space="preserve"> the reserve is not materially affected. However, if the company is unable to fully apply this restriction, prudence dictates that a company shall not allow borrowing assumptions to materially reduce the reserve.</w:t>
      </w:r>
    </w:p>
    <w:p w14:paraId="52D0BDE2" w14:textId="77777777" w:rsidR="00ED6AC0" w:rsidRPr="004B39F7" w:rsidRDefault="00ED6AC0" w:rsidP="00ED6AC0">
      <w:pPr>
        <w:pStyle w:val="ListParagraph"/>
        <w:ind w:left="1440"/>
        <w:jc w:val="both"/>
        <w:rPr>
          <w:rFonts w:ascii="Times" w:eastAsia="Times New Roman" w:hAnsi="Times" w:cs="Times New Roman"/>
        </w:rPr>
      </w:pPr>
    </w:p>
    <w:p w14:paraId="2D1179E5" w14:textId="77777777" w:rsidR="00ED6AC0" w:rsidRPr="004B39F7" w:rsidRDefault="00ED6AC0" w:rsidP="00ED6AC0">
      <w:pPr>
        <w:pStyle w:val="ListParagraph"/>
        <w:numPr>
          <w:ilvl w:val="0"/>
          <w:numId w:val="16"/>
        </w:numPr>
        <w:spacing w:after="0" w:line="240" w:lineRule="auto"/>
        <w:ind w:left="1440" w:hanging="720"/>
        <w:jc w:val="both"/>
        <w:rPr>
          <w:rFonts w:ascii="Times" w:eastAsia="Times New Roman" w:hAnsi="Times" w:cs="Times New Roman"/>
        </w:rPr>
      </w:pPr>
      <w:r w:rsidRPr="004B39F7">
        <w:rPr>
          <w:rFonts w:ascii="Times" w:eastAsia="Times New Roman" w:hAnsi="Times" w:cs="Times New Roman"/>
        </w:rPr>
        <w:t>Cash Flows from Invested Assets</w:t>
      </w:r>
    </w:p>
    <w:p w14:paraId="127E0429" w14:textId="77777777" w:rsidR="00ED6AC0" w:rsidRPr="004B39F7" w:rsidRDefault="00ED6AC0" w:rsidP="00ED6AC0">
      <w:pPr>
        <w:pStyle w:val="ListParagraph"/>
        <w:jc w:val="both"/>
        <w:rPr>
          <w:rFonts w:ascii="Times" w:eastAsia="Times New Roman" w:hAnsi="Times" w:cs="Times New Roman"/>
        </w:rPr>
      </w:pPr>
    </w:p>
    <w:p w14:paraId="077254B1" w14:textId="77777777" w:rsidR="00ED6AC0" w:rsidRPr="004B39F7" w:rsidRDefault="00ED6AC0" w:rsidP="00ED6AC0">
      <w:pPr>
        <w:pStyle w:val="ListParagraph"/>
        <w:numPr>
          <w:ilvl w:val="1"/>
          <w:numId w:val="16"/>
        </w:numPr>
        <w:spacing w:after="0" w:line="240" w:lineRule="auto"/>
        <w:ind w:left="2160" w:hanging="720"/>
        <w:jc w:val="both"/>
        <w:rPr>
          <w:rFonts w:ascii="Times" w:eastAsia="Times New Roman" w:hAnsi="Times" w:cs="Times New Roman"/>
        </w:rPr>
      </w:pPr>
      <w:r w:rsidRPr="004B39F7">
        <w:rPr>
          <w:rFonts w:ascii="Times" w:eastAsia="Times New Roman" w:hAnsi="Times" w:cs="Times New Roman"/>
        </w:rPr>
        <w:t xml:space="preserve">Cash flows from general account fixed income assets, including starting and reinvestment assets, shall be reflected in the projection as follows: </w:t>
      </w:r>
    </w:p>
    <w:p w14:paraId="4827BBD4" w14:textId="77777777" w:rsidR="00ED6AC0" w:rsidRPr="004B39F7" w:rsidRDefault="00ED6AC0" w:rsidP="00ED6AC0">
      <w:pPr>
        <w:pStyle w:val="ListParagraph"/>
        <w:ind w:left="2160"/>
        <w:jc w:val="both"/>
        <w:rPr>
          <w:rFonts w:ascii="Times" w:eastAsia="Times New Roman" w:hAnsi="Times" w:cs="Times New Roman"/>
        </w:rPr>
      </w:pPr>
    </w:p>
    <w:p w14:paraId="375D9054" w14:textId="77777777" w:rsidR="00ED6AC0" w:rsidRPr="004B39F7" w:rsidRDefault="00ED6AC0" w:rsidP="00ED6AC0">
      <w:pPr>
        <w:pStyle w:val="ListParagraph"/>
        <w:numPr>
          <w:ilvl w:val="2"/>
          <w:numId w:val="16"/>
        </w:numPr>
        <w:spacing w:after="0" w:line="240" w:lineRule="auto"/>
        <w:ind w:left="2880" w:hanging="720"/>
        <w:jc w:val="both"/>
        <w:rPr>
          <w:rFonts w:ascii="Times" w:eastAsia="Times New Roman" w:hAnsi="Times" w:cs="Times New Roman"/>
        </w:rPr>
      </w:pPr>
      <w:r w:rsidRPr="004B39F7">
        <w:rPr>
          <w:rFonts w:ascii="Times" w:eastAsia="Times New Roman" w:hAnsi="Times" w:cs="Times New Roman"/>
        </w:rPr>
        <w:t>Model gross investment income and principal repayments in accordance with the contractual provisions of each asset and in a manner consistent with each scenario.</w:t>
      </w:r>
    </w:p>
    <w:p w14:paraId="1B76B7F7" w14:textId="77777777" w:rsidR="00ED6AC0" w:rsidRPr="004B39F7" w:rsidRDefault="00ED6AC0" w:rsidP="00ED6AC0">
      <w:pPr>
        <w:pStyle w:val="ListParagraph"/>
        <w:ind w:left="2880" w:hanging="720"/>
        <w:jc w:val="both"/>
        <w:rPr>
          <w:rFonts w:ascii="Times" w:eastAsia="Times New Roman" w:hAnsi="Times" w:cs="Times New Roman"/>
        </w:rPr>
      </w:pPr>
    </w:p>
    <w:p w14:paraId="347C4337" w14:textId="77777777" w:rsidR="00ED6AC0" w:rsidRPr="004B39F7" w:rsidRDefault="00ED6AC0" w:rsidP="00ED6AC0">
      <w:pPr>
        <w:pStyle w:val="ListParagraph"/>
        <w:numPr>
          <w:ilvl w:val="2"/>
          <w:numId w:val="16"/>
        </w:numPr>
        <w:spacing w:after="0" w:line="240" w:lineRule="auto"/>
        <w:ind w:left="2880" w:hanging="720"/>
        <w:jc w:val="both"/>
        <w:rPr>
          <w:rFonts w:ascii="Times" w:eastAsia="Times New Roman" w:hAnsi="Times" w:cs="Times New Roman"/>
        </w:rPr>
      </w:pPr>
      <w:r w:rsidRPr="004B39F7">
        <w:rPr>
          <w:rFonts w:ascii="Times" w:eastAsia="Times New Roman" w:hAnsi="Times" w:cs="Times New Roman"/>
        </w:rPr>
        <w:lastRenderedPageBreak/>
        <w:t>Reflect asset default costs as prescribed in VM-20 Section 9.F and anticipated investment expenses through deductions to the gross investment income.</w:t>
      </w:r>
    </w:p>
    <w:p w14:paraId="1E2B6F92" w14:textId="77777777" w:rsidR="00ED6AC0" w:rsidRPr="004B39F7" w:rsidRDefault="00ED6AC0" w:rsidP="00ED6AC0">
      <w:pPr>
        <w:pStyle w:val="ListParagraph"/>
        <w:ind w:left="2880" w:hanging="720"/>
        <w:jc w:val="both"/>
        <w:rPr>
          <w:rFonts w:ascii="Times" w:eastAsia="Times New Roman" w:hAnsi="Times" w:cs="Times New Roman"/>
        </w:rPr>
      </w:pPr>
    </w:p>
    <w:p w14:paraId="0363FEAC" w14:textId="77777777" w:rsidR="00ED6AC0" w:rsidRPr="004B39F7" w:rsidRDefault="00ED6AC0" w:rsidP="00ED6AC0">
      <w:pPr>
        <w:pStyle w:val="ListParagraph"/>
        <w:numPr>
          <w:ilvl w:val="2"/>
          <w:numId w:val="16"/>
        </w:numPr>
        <w:spacing w:after="0" w:line="240" w:lineRule="auto"/>
        <w:ind w:left="2880" w:hanging="720"/>
        <w:jc w:val="both"/>
        <w:rPr>
          <w:rFonts w:ascii="Times" w:eastAsia="Times New Roman" w:hAnsi="Times" w:cs="Times New Roman"/>
        </w:rPr>
      </w:pPr>
      <w:r w:rsidRPr="004B39F7">
        <w:rPr>
          <w:rFonts w:ascii="Times" w:eastAsia="Times New Roman" w:hAnsi="Times" w:cs="Times New Roman"/>
        </w:rPr>
        <w:t>Model the proceeds arising from modeled asset sales and determine the portion representing any realized capital gains and losses.</w:t>
      </w:r>
    </w:p>
    <w:p w14:paraId="2E2DBCAA" w14:textId="77777777" w:rsidR="00ED6AC0" w:rsidRPr="004B39F7" w:rsidRDefault="00ED6AC0" w:rsidP="00ED6AC0">
      <w:pPr>
        <w:pStyle w:val="ListParagraph"/>
        <w:ind w:left="2880" w:hanging="720"/>
        <w:jc w:val="both"/>
        <w:rPr>
          <w:rFonts w:ascii="Times" w:eastAsia="Times New Roman" w:hAnsi="Times" w:cs="Times New Roman"/>
        </w:rPr>
      </w:pPr>
    </w:p>
    <w:p w14:paraId="2BAB97BB" w14:textId="77777777" w:rsidR="00ED6AC0" w:rsidRPr="004B39F7" w:rsidRDefault="00ED6AC0" w:rsidP="00ED6AC0">
      <w:pPr>
        <w:pStyle w:val="ListParagraph"/>
        <w:numPr>
          <w:ilvl w:val="2"/>
          <w:numId w:val="16"/>
        </w:numPr>
        <w:spacing w:after="0" w:line="240" w:lineRule="auto"/>
        <w:ind w:left="2880" w:hanging="720"/>
        <w:jc w:val="both"/>
        <w:rPr>
          <w:rFonts w:ascii="Times" w:eastAsia="Times New Roman" w:hAnsi="Times" w:cs="Times New Roman"/>
        </w:rPr>
      </w:pPr>
      <w:r w:rsidRPr="004B39F7">
        <w:rPr>
          <w:rFonts w:ascii="Times" w:eastAsia="Times New Roman" w:hAnsi="Times" w:cs="Times New Roman"/>
        </w:rPr>
        <w:t xml:space="preserve">Reflect any uncertainty in the timing and amounts of asset cash flows related to the paths of interest rates, equity returns or other economic values directly in the projection of asset cash flows. Asset defaults are not subject to this requirement, since asset default assumptions must be determined by the prescribed method </w:t>
      </w:r>
      <w:r>
        <w:rPr>
          <w:rFonts w:ascii="Times" w:eastAsia="Times New Roman" w:hAnsi="Times" w:cs="Times New Roman"/>
        </w:rPr>
        <w:t>as noted in Section 4.a.ii above</w:t>
      </w:r>
      <w:r w:rsidRPr="004B39F7">
        <w:rPr>
          <w:rFonts w:ascii="Times" w:eastAsia="Times New Roman" w:hAnsi="Times" w:cs="Times New Roman"/>
        </w:rPr>
        <w:t>.</w:t>
      </w:r>
    </w:p>
    <w:p w14:paraId="70E8AFD5" w14:textId="77777777" w:rsidR="00ED6AC0" w:rsidRPr="004B39F7" w:rsidRDefault="00ED6AC0" w:rsidP="00ED6AC0">
      <w:pPr>
        <w:pStyle w:val="ListParagraph"/>
        <w:ind w:left="2160"/>
        <w:jc w:val="both"/>
        <w:rPr>
          <w:rFonts w:ascii="Times" w:eastAsia="Times New Roman" w:hAnsi="Times" w:cs="Times New Roman"/>
        </w:rPr>
      </w:pPr>
    </w:p>
    <w:p w14:paraId="29AE627C" w14:textId="77777777" w:rsidR="00ED6AC0" w:rsidRPr="004B39F7" w:rsidRDefault="00ED6AC0" w:rsidP="00ED6AC0">
      <w:pPr>
        <w:pStyle w:val="ListParagraph"/>
        <w:numPr>
          <w:ilvl w:val="1"/>
          <w:numId w:val="16"/>
        </w:numPr>
        <w:spacing w:after="0" w:line="240" w:lineRule="auto"/>
        <w:ind w:left="2160" w:hanging="720"/>
        <w:jc w:val="both"/>
        <w:rPr>
          <w:rFonts w:ascii="Times" w:eastAsia="Times New Roman" w:hAnsi="Times" w:cs="Times New Roman"/>
        </w:rPr>
      </w:pPr>
      <w:r w:rsidRPr="004B39F7">
        <w:rPr>
          <w:rFonts w:ascii="Times" w:eastAsia="Times New Roman" w:hAnsi="Times" w:cs="Times New Roman"/>
        </w:rPr>
        <w:t xml:space="preserve">Cash flows from </w:t>
      </w:r>
      <w:r>
        <w:rPr>
          <w:rFonts w:ascii="Times" w:eastAsia="Times New Roman" w:hAnsi="Times" w:cs="Times New Roman"/>
        </w:rPr>
        <w:t xml:space="preserve">index funds and </w:t>
      </w:r>
      <w:r w:rsidRPr="004B39F7">
        <w:rPr>
          <w:rFonts w:ascii="Times" w:eastAsia="Times New Roman" w:hAnsi="Times" w:cs="Times New Roman"/>
        </w:rPr>
        <w:t>general account equity assets—i.e., non-fixed income assets having substantial volatility of returns, such as common stocks and real estate— including starting and reinvestment assets, shall be reflected in the projection as follows:</w:t>
      </w:r>
    </w:p>
    <w:p w14:paraId="2204FC4D" w14:textId="77777777" w:rsidR="00ED6AC0" w:rsidRPr="004B39F7" w:rsidRDefault="00ED6AC0" w:rsidP="00ED6AC0">
      <w:pPr>
        <w:pStyle w:val="ListParagraph"/>
        <w:ind w:left="1440"/>
        <w:jc w:val="both"/>
        <w:rPr>
          <w:rFonts w:ascii="Times" w:eastAsia="Times New Roman" w:hAnsi="Times" w:cs="Times New Roman"/>
        </w:rPr>
      </w:pPr>
    </w:p>
    <w:p w14:paraId="344FD3DD" w14:textId="77777777" w:rsidR="00ED6AC0" w:rsidRPr="004B39F7" w:rsidRDefault="00ED6AC0" w:rsidP="00ED6AC0">
      <w:pPr>
        <w:pStyle w:val="ListParagraph"/>
        <w:numPr>
          <w:ilvl w:val="2"/>
          <w:numId w:val="16"/>
        </w:numPr>
        <w:spacing w:after="0" w:line="240" w:lineRule="auto"/>
        <w:ind w:left="2880" w:hanging="720"/>
        <w:jc w:val="both"/>
        <w:rPr>
          <w:rFonts w:ascii="Times" w:eastAsia="Times New Roman" w:hAnsi="Times" w:cs="Times New Roman"/>
        </w:rPr>
      </w:pPr>
      <w:r w:rsidRPr="004B39F7">
        <w:rPr>
          <w:rFonts w:ascii="Times" w:eastAsia="Times New Roman" w:hAnsi="Times" w:cs="Times New Roman"/>
        </w:rPr>
        <w:t xml:space="preserve">Determine the grouping for asset categories and the allocation of specific assets to each category in a manner that is consistent with that used for </w:t>
      </w:r>
      <w:r>
        <w:rPr>
          <w:rFonts w:ascii="Times" w:eastAsia="Times New Roman" w:hAnsi="Times" w:cs="Times New Roman"/>
        </w:rPr>
        <w:t>index crediting strategies</w:t>
      </w:r>
      <w:r w:rsidRPr="004B39F7">
        <w:rPr>
          <w:rFonts w:ascii="Times" w:eastAsia="Times New Roman" w:hAnsi="Times" w:cs="Times New Roman"/>
        </w:rPr>
        <w:t>, as discussed in Section 4.A.2.</w:t>
      </w:r>
    </w:p>
    <w:p w14:paraId="757FA078" w14:textId="77777777" w:rsidR="00ED6AC0" w:rsidRPr="004B39F7" w:rsidRDefault="00ED6AC0" w:rsidP="00ED6AC0">
      <w:pPr>
        <w:pStyle w:val="ListParagraph"/>
        <w:ind w:left="2880" w:hanging="720"/>
        <w:jc w:val="both"/>
        <w:rPr>
          <w:rFonts w:ascii="Times" w:eastAsia="Times New Roman" w:hAnsi="Times" w:cs="Times New Roman"/>
        </w:rPr>
      </w:pPr>
    </w:p>
    <w:p w14:paraId="3C3C1DF8" w14:textId="77777777" w:rsidR="00ED6AC0" w:rsidRPr="004B39F7" w:rsidRDefault="00ED6AC0" w:rsidP="00ED6AC0">
      <w:pPr>
        <w:pStyle w:val="ListParagraph"/>
        <w:numPr>
          <w:ilvl w:val="2"/>
          <w:numId w:val="16"/>
        </w:numPr>
        <w:spacing w:after="0" w:line="240" w:lineRule="auto"/>
        <w:ind w:left="2880" w:hanging="720"/>
        <w:jc w:val="both"/>
        <w:rPr>
          <w:rFonts w:ascii="Times" w:eastAsia="Times New Roman" w:hAnsi="Times" w:cs="Times New Roman"/>
        </w:rPr>
      </w:pPr>
      <w:r w:rsidRPr="004B39F7">
        <w:rPr>
          <w:rFonts w:ascii="Times" w:eastAsia="Times New Roman" w:hAnsi="Times" w:cs="Times New Roman"/>
        </w:rPr>
        <w:t>Project the gross investment return including realized and unrealized capital gains in a manner that is consistent with the stochastically generated scenarios.</w:t>
      </w:r>
    </w:p>
    <w:p w14:paraId="69568F07" w14:textId="77777777" w:rsidR="00ED6AC0" w:rsidRPr="004B39F7" w:rsidRDefault="00ED6AC0" w:rsidP="00ED6AC0">
      <w:pPr>
        <w:ind w:left="2880" w:hanging="720"/>
        <w:jc w:val="both"/>
        <w:rPr>
          <w:rFonts w:ascii="Times" w:eastAsia="Times New Roman" w:hAnsi="Times" w:cs="Times New Roman"/>
        </w:rPr>
      </w:pPr>
    </w:p>
    <w:p w14:paraId="38B9FAE0" w14:textId="77777777" w:rsidR="00ED6AC0" w:rsidRPr="009D0C1E" w:rsidRDefault="00ED6AC0" w:rsidP="00ED6AC0">
      <w:pPr>
        <w:pStyle w:val="ListParagraph"/>
        <w:numPr>
          <w:ilvl w:val="2"/>
          <w:numId w:val="16"/>
        </w:numPr>
        <w:spacing w:after="0" w:line="240" w:lineRule="auto"/>
        <w:ind w:left="2880" w:hanging="720"/>
        <w:jc w:val="both"/>
        <w:rPr>
          <w:rFonts w:ascii="Times New Roman" w:eastAsia="Times New Roman" w:hAnsi="Times New Roman" w:cs="Times New Roman"/>
        </w:rPr>
      </w:pPr>
      <w:r w:rsidRPr="004B39F7">
        <w:rPr>
          <w:rFonts w:ascii="Times" w:eastAsia="Times New Roman" w:hAnsi="Times" w:cs="Times New Roman"/>
        </w:rPr>
        <w:t>Model the timing of an asset sale in a manner that is consistent with the investment policy of the company for that type of asset. Reflect expenses through a deduction to the gross investment return using prudent estimate assumptions.</w:t>
      </w:r>
    </w:p>
    <w:p w14:paraId="51DA3C77" w14:textId="77777777" w:rsidR="00ED6AC0" w:rsidRPr="009D0C1E" w:rsidRDefault="00ED6AC0" w:rsidP="00ED6AC0">
      <w:pPr>
        <w:spacing w:after="0"/>
        <w:jc w:val="both"/>
        <w:rPr>
          <w:rFonts w:ascii="Times New Roman" w:eastAsia="Times New Roman" w:hAnsi="Times New Roman" w:cs="Times New Roman"/>
        </w:rPr>
      </w:pPr>
    </w:p>
    <w:p w14:paraId="3C4E79F2" w14:textId="77777777" w:rsidR="00ED6AC0" w:rsidRPr="000C73EB" w:rsidRDefault="00ED6AC0" w:rsidP="00ED6AC0">
      <w:pPr>
        <w:pStyle w:val="ListParagraph"/>
        <w:numPr>
          <w:ilvl w:val="1"/>
          <w:numId w:val="16"/>
        </w:numPr>
        <w:spacing w:after="0" w:line="240" w:lineRule="auto"/>
        <w:ind w:left="2160" w:hanging="720"/>
        <w:jc w:val="both"/>
        <w:rPr>
          <w:rFonts w:ascii="Times New Roman" w:eastAsia="Times New Roman" w:hAnsi="Times New Roman" w:cs="Times New Roman"/>
        </w:rPr>
      </w:pPr>
      <w:r>
        <w:rPr>
          <w:rFonts w:ascii="Times New Roman" w:hAnsi="Times New Roman" w:cs="Times New Roman"/>
        </w:rPr>
        <w:t>C</w:t>
      </w:r>
      <w:r w:rsidRPr="009D0C1E">
        <w:rPr>
          <w:rFonts w:ascii="Times New Roman" w:hAnsi="Times New Roman" w:cs="Times New Roman"/>
        </w:rPr>
        <w:t xml:space="preserve">ash flows for each projection interval for policy loan assets </w:t>
      </w:r>
      <w:r>
        <w:rPr>
          <w:rFonts w:ascii="Times New Roman" w:hAnsi="Times New Roman" w:cs="Times New Roman"/>
        </w:rPr>
        <w:t>shall follow the requirements in Section 10.H.</w:t>
      </w:r>
    </w:p>
    <w:p w14:paraId="29A91527" w14:textId="77777777" w:rsidR="00ED6AC0" w:rsidRPr="000C73EB" w:rsidRDefault="00ED6AC0" w:rsidP="00ED6AC0">
      <w:pPr>
        <w:spacing w:after="0" w:line="240" w:lineRule="auto"/>
        <w:jc w:val="both"/>
        <w:rPr>
          <w:rFonts w:ascii="Times New Roman" w:eastAsia="Times New Roman" w:hAnsi="Times New Roman" w:cs="Times New Roman"/>
        </w:rPr>
      </w:pPr>
    </w:p>
    <w:p w14:paraId="569D43A5" w14:textId="77777777" w:rsidR="00ED6AC0" w:rsidRPr="00E17D51" w:rsidRDefault="00ED6AC0" w:rsidP="00ED6AC0">
      <w:pPr>
        <w:pStyle w:val="ListParagraph"/>
        <w:numPr>
          <w:ilvl w:val="0"/>
          <w:numId w:val="20"/>
        </w:numPr>
        <w:spacing w:after="0" w:line="240" w:lineRule="auto"/>
        <w:jc w:val="both"/>
        <w:rPr>
          <w:rFonts w:ascii="Times" w:eastAsia="Times New Roman" w:hAnsi="Times" w:cs="Times New Roman"/>
        </w:rPr>
      </w:pPr>
      <w:bookmarkStart w:id="36" w:name="_Toc77242145"/>
      <w:bookmarkStart w:id="37" w:name="_Toc137649791"/>
      <w:r w:rsidRPr="00E17D51">
        <w:rPr>
          <w:rStyle w:val="Heading2Char"/>
          <w:rFonts w:eastAsiaTheme="minorHAnsi"/>
        </w:rPr>
        <w:t>Projection of Annuitization Benefits</w:t>
      </w:r>
      <w:bookmarkEnd w:id="36"/>
      <w:bookmarkEnd w:id="37"/>
      <w:r w:rsidRPr="00E17D51">
        <w:rPr>
          <w:rFonts w:ascii="Times" w:eastAsia="Times New Roman" w:hAnsi="Times" w:cs="Times New Roman"/>
        </w:rPr>
        <w:t xml:space="preserve"> </w:t>
      </w:r>
    </w:p>
    <w:p w14:paraId="6A38FFE8" w14:textId="77777777" w:rsidR="00ED6AC0" w:rsidRPr="00E17D51" w:rsidRDefault="00ED6AC0" w:rsidP="00ED6AC0">
      <w:pPr>
        <w:spacing w:after="0" w:line="240" w:lineRule="auto"/>
        <w:jc w:val="both"/>
        <w:rPr>
          <w:rFonts w:ascii="Times" w:eastAsia="Times New Roman" w:hAnsi="Times" w:cs="Times New Roman"/>
        </w:rPr>
      </w:pPr>
    </w:p>
    <w:p w14:paraId="27BE67DC" w14:textId="77777777" w:rsidR="00ED6AC0" w:rsidRPr="004B39F7" w:rsidRDefault="00ED6AC0" w:rsidP="00ED6AC0">
      <w:pPr>
        <w:pStyle w:val="ListParagraph"/>
        <w:numPr>
          <w:ilvl w:val="3"/>
          <w:numId w:val="16"/>
        </w:numPr>
        <w:spacing w:after="0" w:line="240" w:lineRule="auto"/>
        <w:ind w:left="1440" w:hanging="720"/>
        <w:jc w:val="both"/>
        <w:rPr>
          <w:rFonts w:ascii="Times" w:eastAsia="Times New Roman" w:hAnsi="Times" w:cs="Times New Roman"/>
        </w:rPr>
      </w:pPr>
      <w:r w:rsidRPr="004B39F7">
        <w:rPr>
          <w:rFonts w:ascii="Times" w:eastAsia="Times New Roman" w:hAnsi="Times" w:cs="Times New Roman"/>
        </w:rPr>
        <w:t>Assumed Annuitization Purchase Rates</w:t>
      </w:r>
    </w:p>
    <w:p w14:paraId="4EA33112" w14:textId="77777777" w:rsidR="00ED6AC0" w:rsidRPr="004B39F7" w:rsidRDefault="00ED6AC0" w:rsidP="00ED6AC0">
      <w:pPr>
        <w:pStyle w:val="ListParagraph"/>
        <w:ind w:left="2880"/>
        <w:jc w:val="both"/>
        <w:rPr>
          <w:rFonts w:ascii="Times" w:eastAsia="Times New Roman" w:hAnsi="Times" w:cs="Times New Roman"/>
        </w:rPr>
      </w:pPr>
    </w:p>
    <w:p w14:paraId="659E6AAF" w14:textId="77777777" w:rsidR="00ED6AC0" w:rsidRDefault="00ED6AC0" w:rsidP="00ED6AC0">
      <w:pPr>
        <w:pStyle w:val="ListParagraph"/>
        <w:numPr>
          <w:ilvl w:val="0"/>
          <w:numId w:val="18"/>
        </w:numPr>
        <w:spacing w:after="0" w:line="240" w:lineRule="auto"/>
        <w:ind w:hanging="720"/>
        <w:jc w:val="both"/>
        <w:rPr>
          <w:rFonts w:ascii="Times" w:eastAsia="Times New Roman" w:hAnsi="Times" w:cs="Times New Roman"/>
        </w:rPr>
      </w:pPr>
      <w:r>
        <w:rPr>
          <w:rFonts w:ascii="Times" w:eastAsia="Times New Roman" w:hAnsi="Times" w:cs="Times New Roman"/>
        </w:rPr>
        <w:t>For payouts specified at issue (such as single premium immediate annuities, deferred income annuities, and certain structured settlements), such purchase rates shall reflect the payout rate specified in the contract.</w:t>
      </w:r>
    </w:p>
    <w:p w14:paraId="096FB20A" w14:textId="77777777" w:rsidR="00ED6AC0" w:rsidRDefault="00ED6AC0" w:rsidP="00ED6AC0">
      <w:pPr>
        <w:pStyle w:val="ListParagraph"/>
        <w:ind w:left="2160"/>
        <w:jc w:val="both"/>
        <w:rPr>
          <w:rFonts w:ascii="Times" w:eastAsia="Times New Roman" w:hAnsi="Times" w:cs="Times New Roman"/>
        </w:rPr>
      </w:pPr>
    </w:p>
    <w:p w14:paraId="1D0DE3C8" w14:textId="77777777" w:rsidR="00ED6AC0" w:rsidRPr="004B39F7" w:rsidRDefault="00ED6AC0" w:rsidP="00ED6AC0">
      <w:pPr>
        <w:pStyle w:val="ListParagraph"/>
        <w:numPr>
          <w:ilvl w:val="0"/>
          <w:numId w:val="18"/>
        </w:numPr>
        <w:spacing w:after="0" w:line="240" w:lineRule="auto"/>
        <w:ind w:hanging="720"/>
        <w:jc w:val="both"/>
        <w:rPr>
          <w:rFonts w:ascii="Times" w:eastAsia="Times New Roman" w:hAnsi="Times" w:cs="Times New Roman"/>
        </w:rPr>
      </w:pPr>
      <w:r w:rsidRPr="2BB44510">
        <w:rPr>
          <w:rFonts w:ascii="Times" w:eastAsia="Times New Roman" w:hAnsi="Times" w:cs="Times New Roman"/>
        </w:rPr>
        <w:t>For purposes of projecting future elective annuitization benefits (including annuitizations stemming from the election of a GMIB) and withdrawal amounts from GMWBs, the projected annuitization purchase rates shall be determined assuming that market interest rates available at the time of election are the interest rates used to project general account assets, as determined in Section 4.D.</w:t>
      </w:r>
      <w:r>
        <w:rPr>
          <w:rFonts w:ascii="Times" w:eastAsia="Times New Roman" w:hAnsi="Times" w:cs="Times New Roman"/>
        </w:rPr>
        <w:t>3</w:t>
      </w:r>
      <w:r w:rsidRPr="2BB44510">
        <w:rPr>
          <w:rFonts w:ascii="Times" w:eastAsia="Times New Roman" w:hAnsi="Times" w:cs="Times New Roman"/>
        </w:rPr>
        <w:t xml:space="preserve">. </w:t>
      </w:r>
    </w:p>
    <w:p w14:paraId="38E82156" w14:textId="77777777" w:rsidR="00ED6AC0" w:rsidRPr="004B39F7" w:rsidRDefault="00ED6AC0" w:rsidP="00ED6AC0">
      <w:pPr>
        <w:pStyle w:val="ListParagraph"/>
        <w:ind w:left="2880"/>
        <w:jc w:val="both"/>
        <w:rPr>
          <w:rFonts w:ascii="Times" w:eastAsia="Times New Roman" w:hAnsi="Times" w:cs="Times New Roman"/>
        </w:rPr>
      </w:pPr>
    </w:p>
    <w:p w14:paraId="3C53A421" w14:textId="77777777" w:rsidR="00ED6AC0" w:rsidRPr="004B39F7" w:rsidRDefault="00ED6AC0" w:rsidP="00ED6AC0">
      <w:pPr>
        <w:pStyle w:val="ListParagraph"/>
        <w:numPr>
          <w:ilvl w:val="3"/>
          <w:numId w:val="16"/>
        </w:numPr>
        <w:spacing w:after="0" w:line="240" w:lineRule="auto"/>
        <w:ind w:left="1440" w:hanging="720"/>
        <w:jc w:val="both"/>
        <w:rPr>
          <w:rFonts w:ascii="Times" w:eastAsia="Times New Roman" w:hAnsi="Times" w:cs="Times New Roman"/>
        </w:rPr>
      </w:pPr>
      <w:r w:rsidRPr="2BB44510">
        <w:rPr>
          <w:rFonts w:ascii="Times" w:eastAsia="Times New Roman" w:hAnsi="Times" w:cs="Times New Roman"/>
        </w:rPr>
        <w:lastRenderedPageBreak/>
        <w:t>Projected Election of GMIBs, GMWBs and Other Annuitization Options</w:t>
      </w:r>
    </w:p>
    <w:p w14:paraId="6FCC4F31" w14:textId="77777777" w:rsidR="00ED6AC0" w:rsidRPr="004B39F7" w:rsidRDefault="00ED6AC0" w:rsidP="00ED6AC0">
      <w:pPr>
        <w:pStyle w:val="ListParagraph"/>
        <w:spacing w:after="0"/>
        <w:ind w:left="1440"/>
        <w:jc w:val="both"/>
        <w:rPr>
          <w:rFonts w:ascii="Times" w:eastAsia="Times New Roman" w:hAnsi="Times" w:cs="Times New Roman"/>
        </w:rPr>
      </w:pPr>
    </w:p>
    <w:p w14:paraId="0C06F667" w14:textId="77777777" w:rsidR="00ED6AC0" w:rsidRPr="004B39F7" w:rsidRDefault="00ED6AC0" w:rsidP="00ED6AC0">
      <w:pPr>
        <w:pStyle w:val="ListParagraph"/>
        <w:numPr>
          <w:ilvl w:val="0"/>
          <w:numId w:val="23"/>
        </w:numPr>
        <w:spacing w:after="0"/>
        <w:ind w:left="2160" w:hanging="720"/>
        <w:jc w:val="both"/>
        <w:rPr>
          <w:rFonts w:ascii="Times" w:eastAsia="Times New Roman" w:hAnsi="Times" w:cs="Times New Roman"/>
        </w:rPr>
      </w:pPr>
      <w:r w:rsidRPr="2BB44510">
        <w:rPr>
          <w:rFonts w:ascii="Times New Roman" w:eastAsia="Times New Roman" w:hAnsi="Times New Roman" w:cs="Times New Roman"/>
        </w:rPr>
        <w:t xml:space="preserve">For contracts projected to elect future annuitization options (including annuitizations stemming from the election of a GMIB) or for projections of GMWB benefits once the account value has been depleted, the projections </w:t>
      </w:r>
      <w:r>
        <w:rPr>
          <w:rFonts w:ascii="Times New Roman" w:eastAsia="Times New Roman" w:hAnsi="Times New Roman" w:cs="Times New Roman"/>
        </w:rPr>
        <w:t xml:space="preserve">shall </w:t>
      </w:r>
      <w:r w:rsidRPr="2BB44510">
        <w:rPr>
          <w:rFonts w:ascii="Times New Roman" w:eastAsia="Times New Roman" w:hAnsi="Times New Roman" w:cs="Times New Roman"/>
        </w:rPr>
        <w:t xml:space="preserve">assume </w:t>
      </w:r>
      <w:r w:rsidRPr="00CC724D">
        <w:rPr>
          <w:rFonts w:ascii="Times New Roman" w:hAnsi="Times New Roman" w:cs="Times New Roman"/>
        </w:rPr>
        <w:t xml:space="preserve">the contract </w:t>
      </w:r>
      <w:r>
        <w:rPr>
          <w:rFonts w:ascii="Times New Roman" w:hAnsi="Times New Roman" w:cs="Times New Roman"/>
        </w:rPr>
        <w:t xml:space="preserve">will </w:t>
      </w:r>
      <w:r w:rsidRPr="00CC724D">
        <w:rPr>
          <w:rFonts w:ascii="Times New Roman" w:hAnsi="Times New Roman" w:cs="Times New Roman"/>
        </w:rPr>
        <w:t>stay in force, the projected periodic payments are paid, and the associated maintenance expenses are incurred.</w:t>
      </w:r>
    </w:p>
    <w:p w14:paraId="02277A9B" w14:textId="77777777" w:rsidR="00ED6AC0" w:rsidRPr="009E255A" w:rsidRDefault="00ED6AC0" w:rsidP="00ED6AC0">
      <w:pPr>
        <w:pStyle w:val="Heading2"/>
        <w:numPr>
          <w:ilvl w:val="0"/>
          <w:numId w:val="20"/>
        </w:numPr>
        <w:tabs>
          <w:tab w:val="num" w:pos="360"/>
        </w:tabs>
        <w:ind w:left="0" w:firstLine="0"/>
        <w:rPr>
          <w:sz w:val="22"/>
          <w:szCs w:val="22"/>
        </w:rPr>
      </w:pPr>
      <w:bookmarkStart w:id="38" w:name="_Toc77242146"/>
      <w:bookmarkStart w:id="39" w:name="_Toc137649792"/>
      <w:r w:rsidRPr="009E255A">
        <w:rPr>
          <w:sz w:val="22"/>
          <w:szCs w:val="22"/>
        </w:rPr>
        <w:t>Frequency of Projection</w:t>
      </w:r>
      <w:bookmarkEnd w:id="38"/>
      <w:bookmarkEnd w:id="39"/>
    </w:p>
    <w:p w14:paraId="3F972DBA" w14:textId="77777777" w:rsidR="00ED6AC0" w:rsidRPr="004B39F7" w:rsidRDefault="00ED6AC0" w:rsidP="00ED6AC0">
      <w:pPr>
        <w:pStyle w:val="ListParagraph"/>
        <w:ind w:left="360"/>
        <w:jc w:val="both"/>
        <w:rPr>
          <w:rFonts w:ascii="Times" w:eastAsia="Times New Roman" w:hAnsi="Times" w:cs="Times New Roman"/>
        </w:rPr>
      </w:pPr>
    </w:p>
    <w:p w14:paraId="25C212DD" w14:textId="77777777" w:rsidR="00ED6AC0" w:rsidRPr="004B39F7" w:rsidRDefault="00ED6AC0" w:rsidP="00ED6AC0">
      <w:pPr>
        <w:pStyle w:val="ListParagraph"/>
        <w:numPr>
          <w:ilvl w:val="0"/>
          <w:numId w:val="17"/>
        </w:numPr>
        <w:spacing w:after="0" w:line="240" w:lineRule="auto"/>
        <w:ind w:left="1440" w:hanging="720"/>
        <w:jc w:val="both"/>
        <w:rPr>
          <w:rFonts w:ascii="Times" w:eastAsia="Times New Roman" w:hAnsi="Times" w:cs="Times New Roman"/>
        </w:rPr>
      </w:pPr>
      <w:r w:rsidRPr="004B39F7">
        <w:rPr>
          <w:rFonts w:ascii="Times" w:eastAsia="Times New Roman" w:hAnsi="Times" w:cs="Times New Roman"/>
        </w:rPr>
        <w:t>Use of an annual cash-flow frequency (“timestep”) is generally acceptable for benefits/features that are not sensitive to projection frequency. The lack of sensitivity to projection frequency should be validated by testing wherein the company should determine that the use of a more frequent—i.e., shorter—time step does not materially increase reserves. A more frequent time increment should always be used when the product features are sensitive to projection period frequency.</w:t>
      </w:r>
    </w:p>
    <w:p w14:paraId="215A6E0C" w14:textId="77777777" w:rsidR="00ED6AC0" w:rsidRDefault="00ED6AC0" w:rsidP="00ED6AC0">
      <w:pPr>
        <w:pStyle w:val="Heading2"/>
        <w:ind w:left="720"/>
        <w:rPr>
          <w:sz w:val="22"/>
          <w:szCs w:val="22"/>
        </w:rPr>
      </w:pPr>
      <w:bookmarkStart w:id="40" w:name="_Toc77242147"/>
      <w:bookmarkStart w:id="41" w:name="_Toc137649793"/>
    </w:p>
    <w:p w14:paraId="253C79F5" w14:textId="77777777" w:rsidR="00ED6AC0" w:rsidRPr="009E255A" w:rsidRDefault="00ED6AC0" w:rsidP="00ED6AC0">
      <w:pPr>
        <w:pStyle w:val="Heading2"/>
        <w:numPr>
          <w:ilvl w:val="0"/>
          <w:numId w:val="20"/>
        </w:numPr>
        <w:tabs>
          <w:tab w:val="num" w:pos="360"/>
        </w:tabs>
        <w:ind w:left="0" w:firstLine="0"/>
        <w:rPr>
          <w:sz w:val="22"/>
          <w:szCs w:val="22"/>
        </w:rPr>
      </w:pPr>
      <w:r w:rsidRPr="009E255A">
        <w:rPr>
          <w:sz w:val="22"/>
          <w:szCs w:val="22"/>
        </w:rPr>
        <w:t>Compliance with ASOPs</w:t>
      </w:r>
      <w:bookmarkEnd w:id="40"/>
      <w:bookmarkEnd w:id="41"/>
      <w:r w:rsidRPr="009E255A">
        <w:rPr>
          <w:sz w:val="22"/>
          <w:szCs w:val="22"/>
        </w:rPr>
        <w:t xml:space="preserve"> </w:t>
      </w:r>
    </w:p>
    <w:p w14:paraId="1C1F7D4E" w14:textId="77777777" w:rsidR="00ED6AC0" w:rsidRPr="004B39F7" w:rsidRDefault="00ED6AC0" w:rsidP="00ED6AC0">
      <w:pPr>
        <w:pStyle w:val="ListParagraph"/>
        <w:ind w:left="360"/>
        <w:jc w:val="both"/>
        <w:rPr>
          <w:rFonts w:ascii="Times" w:eastAsia="Times New Roman" w:hAnsi="Times" w:cs="Times New Roman"/>
        </w:rPr>
      </w:pPr>
    </w:p>
    <w:p w14:paraId="7F16CFE1" w14:textId="77777777" w:rsidR="00ED6AC0" w:rsidRPr="004B39F7" w:rsidRDefault="00ED6AC0" w:rsidP="00ED6AC0">
      <w:pPr>
        <w:pStyle w:val="ListParagraph"/>
        <w:jc w:val="both"/>
        <w:rPr>
          <w:rFonts w:ascii="Times" w:eastAsia="Times New Roman" w:hAnsi="Times" w:cs="Times New Roman"/>
        </w:rPr>
      </w:pPr>
      <w:r w:rsidRPr="004B39F7">
        <w:rPr>
          <w:rFonts w:ascii="Times" w:eastAsia="Times New Roman" w:hAnsi="Times" w:cs="Times New Roman"/>
        </w:rPr>
        <w:t xml:space="preserve">When determining a </w:t>
      </w:r>
      <w:r>
        <w:rPr>
          <w:rFonts w:ascii="Times" w:eastAsia="Times New Roman" w:hAnsi="Times" w:cs="Times New Roman"/>
        </w:rPr>
        <w:t>SR</w:t>
      </w:r>
      <w:r w:rsidRPr="004B39F7">
        <w:rPr>
          <w:rFonts w:ascii="Times" w:eastAsia="Times New Roman" w:hAnsi="Times" w:cs="Times New Roman"/>
        </w:rPr>
        <w:t xml:space="preserve">, the analysis shall conform to the ASOPs as promulgated from time to time by the ASB. </w:t>
      </w:r>
    </w:p>
    <w:p w14:paraId="2931F3EF" w14:textId="77777777" w:rsidR="00ED6AC0" w:rsidRPr="004B39F7" w:rsidRDefault="00ED6AC0" w:rsidP="00ED6AC0">
      <w:pPr>
        <w:pStyle w:val="ListParagraph"/>
        <w:jc w:val="both"/>
        <w:rPr>
          <w:rFonts w:ascii="Times" w:eastAsia="Times New Roman" w:hAnsi="Times" w:cs="Times New Roman"/>
        </w:rPr>
      </w:pPr>
    </w:p>
    <w:p w14:paraId="7C67E1C6" w14:textId="77777777" w:rsidR="00ED6AC0" w:rsidRPr="004B39F7" w:rsidRDefault="00ED6AC0" w:rsidP="00ED6AC0">
      <w:pPr>
        <w:pStyle w:val="ListParagraph"/>
        <w:jc w:val="both"/>
        <w:rPr>
          <w:rFonts w:ascii="Times" w:eastAsia="Times New Roman" w:hAnsi="Times" w:cs="Times New Roman"/>
        </w:rPr>
      </w:pPr>
      <w:r w:rsidRPr="004B39F7">
        <w:rPr>
          <w:rFonts w:ascii="Times" w:eastAsia="Times New Roman" w:hAnsi="Times" w:cs="Times New Roman"/>
        </w:rPr>
        <w:t>Under these requirements, an actuary will make various determinations, verifications and certifications. The company shall provide the actuary with the necessary information sufficient to permit the actuary to fulfill the responsibilities set forth in these requirements and responsibilities arising from each applicable ASOP.</w:t>
      </w:r>
    </w:p>
    <w:p w14:paraId="384D73D9" w14:textId="77777777" w:rsidR="00ED6AC0" w:rsidRPr="001B0381" w:rsidRDefault="00ED6AC0" w:rsidP="00ED6AC0">
      <w:pPr>
        <w:jc w:val="both"/>
      </w:pPr>
    </w:p>
    <w:p w14:paraId="0E621CAF" w14:textId="77777777" w:rsidR="00ED6AC0" w:rsidRDefault="00ED6AC0" w:rsidP="00ED6AC0">
      <w:r>
        <w:br w:type="page"/>
      </w:r>
    </w:p>
    <w:p w14:paraId="12EB0AFC" w14:textId="266C8C27" w:rsidR="00D84BAE" w:rsidRPr="000D35E4" w:rsidRDefault="00D84BAE">
      <w:pPr>
        <w:rPr>
          <w:rFonts w:ascii="Times New Roman" w:hAnsi="Times New Roman" w:cs="Times New Roman"/>
        </w:rPr>
      </w:pPr>
    </w:p>
    <w:sectPr w:rsidR="00D84BAE" w:rsidRPr="000D35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931DB" w14:textId="77777777" w:rsidR="009F598E" w:rsidRDefault="009F598E" w:rsidP="00ED6AC0">
      <w:pPr>
        <w:spacing w:after="0" w:line="240" w:lineRule="auto"/>
      </w:pPr>
      <w:r>
        <w:separator/>
      </w:r>
    </w:p>
  </w:endnote>
  <w:endnote w:type="continuationSeparator" w:id="0">
    <w:p w14:paraId="399940C0" w14:textId="77777777" w:rsidR="009F598E" w:rsidRDefault="009F598E" w:rsidP="00ED6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14B19" w14:textId="77777777" w:rsidR="009F598E" w:rsidRDefault="009F598E" w:rsidP="00ED6AC0">
      <w:pPr>
        <w:spacing w:after="0" w:line="240" w:lineRule="auto"/>
      </w:pPr>
      <w:r>
        <w:separator/>
      </w:r>
    </w:p>
  </w:footnote>
  <w:footnote w:type="continuationSeparator" w:id="0">
    <w:p w14:paraId="3D5BD46C" w14:textId="77777777" w:rsidR="009F598E" w:rsidRDefault="009F598E" w:rsidP="00ED6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0CC8"/>
    <w:multiLevelType w:val="hybridMultilevel"/>
    <w:tmpl w:val="E4D8D432"/>
    <w:lvl w:ilvl="0" w:tplc="18A287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F4126"/>
    <w:multiLevelType w:val="hybridMultilevel"/>
    <w:tmpl w:val="1E72470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1800118"/>
    <w:multiLevelType w:val="hybridMultilevel"/>
    <w:tmpl w:val="278A2D44"/>
    <w:lvl w:ilvl="0" w:tplc="74626E9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624A3"/>
    <w:multiLevelType w:val="hybridMultilevel"/>
    <w:tmpl w:val="62001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37FAC"/>
    <w:multiLevelType w:val="hybridMultilevel"/>
    <w:tmpl w:val="0E4E302C"/>
    <w:lvl w:ilvl="0" w:tplc="04090019">
      <w:start w:val="1"/>
      <w:numFmt w:val="lowerLetter"/>
      <w:lvlText w:val="%1."/>
      <w:lvlJc w:val="left"/>
      <w:pPr>
        <w:ind w:left="2520" w:hanging="360"/>
      </w:pPr>
    </w:lvl>
    <w:lvl w:ilvl="1" w:tplc="04090017">
      <w:start w:val="1"/>
      <w:numFmt w:val="lowerLetter"/>
      <w:lvlText w:val="%2)"/>
      <w:lvlJc w:val="left"/>
      <w:pPr>
        <w:ind w:left="3240" w:hanging="360"/>
      </w:pPr>
    </w:lvl>
    <w:lvl w:ilvl="2" w:tplc="ABAC75A2">
      <w:start w:val="1"/>
      <w:numFmt w:val="decimal"/>
      <w:lvlText w:val="%3."/>
      <w:lvlJc w:val="left"/>
      <w:pPr>
        <w:ind w:left="4140" w:hanging="36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8075CCA"/>
    <w:multiLevelType w:val="hybridMultilevel"/>
    <w:tmpl w:val="83DAD0CA"/>
    <w:lvl w:ilvl="0" w:tplc="52A86992">
      <w:start w:val="1"/>
      <w:numFmt w:val="decimal"/>
      <w:lvlText w:val="%1."/>
      <w:lvlJc w:val="left"/>
      <w:pPr>
        <w:ind w:left="288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B873FA"/>
    <w:multiLevelType w:val="hybridMultilevel"/>
    <w:tmpl w:val="7068B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0D0037"/>
    <w:multiLevelType w:val="hybridMultilevel"/>
    <w:tmpl w:val="13DAD520"/>
    <w:lvl w:ilvl="0" w:tplc="04090015">
      <w:start w:val="1"/>
      <w:numFmt w:val="upperLetter"/>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3648A1"/>
    <w:multiLevelType w:val="hybridMultilevel"/>
    <w:tmpl w:val="376A2992"/>
    <w:lvl w:ilvl="0" w:tplc="04090019">
      <w:start w:val="1"/>
      <w:numFmt w:val="lowerLetter"/>
      <w:lvlText w:val="%1."/>
      <w:lvlJc w:val="left"/>
      <w:pPr>
        <w:ind w:left="2160" w:hanging="360"/>
      </w:pPr>
    </w:lvl>
    <w:lvl w:ilvl="1" w:tplc="0409001B">
      <w:start w:val="1"/>
      <w:numFmt w:val="lowerRoman"/>
      <w:lvlText w:val="%2."/>
      <w:lvlJc w:val="righ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469630A8"/>
    <w:multiLevelType w:val="hybridMultilevel"/>
    <w:tmpl w:val="E9CE32A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566ACC"/>
    <w:multiLevelType w:val="hybridMultilevel"/>
    <w:tmpl w:val="72000568"/>
    <w:lvl w:ilvl="0" w:tplc="0409001B">
      <w:start w:val="1"/>
      <w:numFmt w:val="lowerRoman"/>
      <w:lvlText w:val="%1."/>
      <w:lvlJc w:val="right"/>
      <w:pPr>
        <w:ind w:left="2520" w:hanging="360"/>
      </w:pPr>
    </w:lvl>
    <w:lvl w:ilvl="1" w:tplc="04090017">
      <w:start w:val="1"/>
      <w:numFmt w:val="lowerLetter"/>
      <w:lvlText w:val="%2)"/>
      <w:lvlJc w:val="left"/>
      <w:pPr>
        <w:ind w:left="3240" w:hanging="360"/>
      </w:pPr>
    </w:lvl>
    <w:lvl w:ilvl="2" w:tplc="ABAC75A2">
      <w:start w:val="1"/>
      <w:numFmt w:val="decimal"/>
      <w:lvlText w:val="%3."/>
      <w:lvlJc w:val="left"/>
      <w:pPr>
        <w:ind w:left="4140" w:hanging="36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34D7D23"/>
    <w:multiLevelType w:val="hybridMultilevel"/>
    <w:tmpl w:val="D250E288"/>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5D5207E"/>
    <w:multiLevelType w:val="hybridMultilevel"/>
    <w:tmpl w:val="90C69468"/>
    <w:lvl w:ilvl="0" w:tplc="0409000F">
      <w:start w:val="1"/>
      <w:numFmt w:val="decimal"/>
      <w:lvlText w:val="%1."/>
      <w:lvlJc w:val="left"/>
      <w:pPr>
        <w:ind w:left="1880" w:hanging="360"/>
      </w:pPr>
      <w:rPr>
        <w:rFonts w:hint="default"/>
      </w:rPr>
    </w:lvl>
    <w:lvl w:ilvl="1" w:tplc="04090019">
      <w:start w:val="1"/>
      <w:numFmt w:val="lowerLetter"/>
      <w:lvlText w:val="%2."/>
      <w:lvlJc w:val="left"/>
      <w:pPr>
        <w:ind w:left="2600" w:hanging="360"/>
      </w:pPr>
    </w:lvl>
    <w:lvl w:ilvl="2" w:tplc="7DD4B27A">
      <w:start w:val="9"/>
      <w:numFmt w:val="upperLetter"/>
      <w:lvlText w:val="%3."/>
      <w:lvlJc w:val="left"/>
      <w:pPr>
        <w:ind w:left="360" w:hanging="360"/>
      </w:pPr>
      <w:rPr>
        <w:rFonts w:hint="default"/>
        <w:sz w:val="22"/>
        <w:szCs w:val="22"/>
      </w:r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13" w15:restartNumberingAfterBreak="0">
    <w:nsid w:val="599B689B"/>
    <w:multiLevelType w:val="hybridMultilevel"/>
    <w:tmpl w:val="8F321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604F80"/>
    <w:multiLevelType w:val="hybridMultilevel"/>
    <w:tmpl w:val="55B47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271682"/>
    <w:multiLevelType w:val="hybridMultilevel"/>
    <w:tmpl w:val="82266F9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5984702"/>
    <w:multiLevelType w:val="hybridMultilevel"/>
    <w:tmpl w:val="B7388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173943"/>
    <w:multiLevelType w:val="hybridMultilevel"/>
    <w:tmpl w:val="DCD67A92"/>
    <w:lvl w:ilvl="0" w:tplc="7BEA4C6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4638B4"/>
    <w:multiLevelType w:val="hybridMultilevel"/>
    <w:tmpl w:val="1C7C2B9A"/>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73642500"/>
    <w:multiLevelType w:val="hybridMultilevel"/>
    <w:tmpl w:val="3DBCBB2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7425728E"/>
    <w:multiLevelType w:val="hybridMultilevel"/>
    <w:tmpl w:val="1592ED44"/>
    <w:lvl w:ilvl="0" w:tplc="0409000F">
      <w:start w:val="1"/>
      <w:numFmt w:val="decimal"/>
      <w:lvlText w:val="%1."/>
      <w:lvlJc w:val="left"/>
      <w:pPr>
        <w:ind w:left="720" w:hanging="360"/>
      </w:pPr>
    </w:lvl>
    <w:lvl w:ilvl="1" w:tplc="A5A09454">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720" w:hanging="360"/>
      </w:pPr>
      <w:rPr>
        <w:rFonts w:ascii="Symbol" w:hAnsi="Symbol"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535569"/>
    <w:multiLevelType w:val="hybridMultilevel"/>
    <w:tmpl w:val="8F02C754"/>
    <w:lvl w:ilvl="0" w:tplc="5ECC2242">
      <w:start w:val="4"/>
      <w:numFmt w:val="upperLetter"/>
      <w:lvlText w:val="%1."/>
      <w:lvlJc w:val="left"/>
      <w:pPr>
        <w:ind w:left="720" w:hanging="360"/>
      </w:pPr>
      <w:rPr>
        <w:rFonts w:asciiTheme="majorHAnsi" w:hAnsiTheme="majorHAnsi" w:hint="default"/>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312700"/>
    <w:multiLevelType w:val="hybridMultilevel"/>
    <w:tmpl w:val="761A5808"/>
    <w:lvl w:ilvl="0" w:tplc="04090001">
      <w:start w:val="1"/>
      <w:numFmt w:val="bullet"/>
      <w:lvlText w:val=""/>
      <w:lvlJc w:val="left"/>
      <w:pPr>
        <w:ind w:left="941" w:hanging="221"/>
      </w:pPr>
      <w:rPr>
        <w:rFonts w:ascii="Symbol" w:hAnsi="Symbol" w:hint="default"/>
        <w:w w:val="100"/>
        <w:sz w:val="22"/>
        <w:szCs w:val="22"/>
        <w:lang w:val="en-US" w:eastAsia="en-US" w:bidi="ar-SA"/>
      </w:rPr>
    </w:lvl>
    <w:lvl w:ilvl="1" w:tplc="FFFFFFFF">
      <w:numFmt w:val="bullet"/>
      <w:lvlText w:val="•"/>
      <w:lvlJc w:val="left"/>
      <w:pPr>
        <w:ind w:left="1858" w:hanging="221"/>
      </w:pPr>
      <w:rPr>
        <w:rFonts w:hint="default"/>
        <w:lang w:val="en-US" w:eastAsia="en-US" w:bidi="ar-SA"/>
      </w:rPr>
    </w:lvl>
    <w:lvl w:ilvl="2" w:tplc="FFFFFFFF">
      <w:numFmt w:val="bullet"/>
      <w:lvlText w:val="•"/>
      <w:lvlJc w:val="left"/>
      <w:pPr>
        <w:ind w:left="2862" w:hanging="221"/>
      </w:pPr>
      <w:rPr>
        <w:rFonts w:hint="default"/>
        <w:lang w:val="en-US" w:eastAsia="en-US" w:bidi="ar-SA"/>
      </w:rPr>
    </w:lvl>
    <w:lvl w:ilvl="3" w:tplc="FFFFFFFF">
      <w:numFmt w:val="bullet"/>
      <w:lvlText w:val="•"/>
      <w:lvlJc w:val="left"/>
      <w:pPr>
        <w:ind w:left="3866" w:hanging="221"/>
      </w:pPr>
      <w:rPr>
        <w:rFonts w:hint="default"/>
        <w:lang w:val="en-US" w:eastAsia="en-US" w:bidi="ar-SA"/>
      </w:rPr>
    </w:lvl>
    <w:lvl w:ilvl="4" w:tplc="FFFFFFFF">
      <w:numFmt w:val="bullet"/>
      <w:lvlText w:val="•"/>
      <w:lvlJc w:val="left"/>
      <w:pPr>
        <w:ind w:left="4870" w:hanging="221"/>
      </w:pPr>
      <w:rPr>
        <w:rFonts w:hint="default"/>
        <w:lang w:val="en-US" w:eastAsia="en-US" w:bidi="ar-SA"/>
      </w:rPr>
    </w:lvl>
    <w:lvl w:ilvl="5" w:tplc="FFFFFFFF">
      <w:numFmt w:val="bullet"/>
      <w:lvlText w:val="•"/>
      <w:lvlJc w:val="left"/>
      <w:pPr>
        <w:ind w:left="5874" w:hanging="221"/>
      </w:pPr>
      <w:rPr>
        <w:rFonts w:hint="default"/>
        <w:lang w:val="en-US" w:eastAsia="en-US" w:bidi="ar-SA"/>
      </w:rPr>
    </w:lvl>
    <w:lvl w:ilvl="6" w:tplc="FFFFFFFF">
      <w:numFmt w:val="bullet"/>
      <w:lvlText w:val="•"/>
      <w:lvlJc w:val="left"/>
      <w:pPr>
        <w:ind w:left="6878" w:hanging="221"/>
      </w:pPr>
      <w:rPr>
        <w:rFonts w:hint="default"/>
        <w:lang w:val="en-US" w:eastAsia="en-US" w:bidi="ar-SA"/>
      </w:rPr>
    </w:lvl>
    <w:lvl w:ilvl="7" w:tplc="FFFFFFFF">
      <w:numFmt w:val="bullet"/>
      <w:lvlText w:val="•"/>
      <w:lvlJc w:val="left"/>
      <w:pPr>
        <w:ind w:left="7882" w:hanging="221"/>
      </w:pPr>
      <w:rPr>
        <w:rFonts w:hint="default"/>
        <w:lang w:val="en-US" w:eastAsia="en-US" w:bidi="ar-SA"/>
      </w:rPr>
    </w:lvl>
    <w:lvl w:ilvl="8" w:tplc="FFFFFFFF">
      <w:numFmt w:val="bullet"/>
      <w:lvlText w:val="•"/>
      <w:lvlJc w:val="left"/>
      <w:pPr>
        <w:ind w:left="8886" w:hanging="221"/>
      </w:pPr>
      <w:rPr>
        <w:rFonts w:hint="default"/>
        <w:lang w:val="en-US" w:eastAsia="en-US" w:bidi="ar-SA"/>
      </w:rPr>
    </w:lvl>
  </w:abstractNum>
  <w:abstractNum w:abstractNumId="23" w15:restartNumberingAfterBreak="0">
    <w:nsid w:val="7E12439B"/>
    <w:multiLevelType w:val="hybridMultilevel"/>
    <w:tmpl w:val="F1E6919A"/>
    <w:lvl w:ilvl="0" w:tplc="3DFEA268">
      <w:start w:val="1"/>
      <w:numFmt w:val="lowerRoman"/>
      <w:lvlText w:val="%1."/>
      <w:lvlJc w:val="righ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583689">
    <w:abstractNumId w:val="12"/>
  </w:num>
  <w:num w:numId="2" w16cid:durableId="890504891">
    <w:abstractNumId w:val="5"/>
  </w:num>
  <w:num w:numId="3" w16cid:durableId="1591087287">
    <w:abstractNumId w:val="6"/>
  </w:num>
  <w:num w:numId="4" w16cid:durableId="1674990272">
    <w:abstractNumId w:val="0"/>
  </w:num>
  <w:num w:numId="5" w16cid:durableId="1187717122">
    <w:abstractNumId w:val="9"/>
  </w:num>
  <w:num w:numId="6" w16cid:durableId="1076710321">
    <w:abstractNumId w:val="23"/>
  </w:num>
  <w:num w:numId="7" w16cid:durableId="1131901119">
    <w:abstractNumId w:val="13"/>
  </w:num>
  <w:num w:numId="8" w16cid:durableId="141233909">
    <w:abstractNumId w:val="2"/>
  </w:num>
  <w:num w:numId="9" w16cid:durableId="2010405868">
    <w:abstractNumId w:val="22"/>
  </w:num>
  <w:num w:numId="10" w16cid:durableId="182060239">
    <w:abstractNumId w:val="7"/>
  </w:num>
  <w:num w:numId="11" w16cid:durableId="958100421">
    <w:abstractNumId w:val="3"/>
  </w:num>
  <w:num w:numId="12" w16cid:durableId="1786850449">
    <w:abstractNumId w:val="10"/>
  </w:num>
  <w:num w:numId="13" w16cid:durableId="497234066">
    <w:abstractNumId w:val="4"/>
  </w:num>
  <w:num w:numId="14" w16cid:durableId="1125929600">
    <w:abstractNumId w:val="11"/>
  </w:num>
  <w:num w:numId="15" w16cid:durableId="209417680">
    <w:abstractNumId w:val="18"/>
  </w:num>
  <w:num w:numId="16" w16cid:durableId="1800955906">
    <w:abstractNumId w:val="20"/>
  </w:num>
  <w:num w:numId="17" w16cid:durableId="1803037845">
    <w:abstractNumId w:val="14"/>
  </w:num>
  <w:num w:numId="18" w16cid:durableId="2132160844">
    <w:abstractNumId w:val="15"/>
  </w:num>
  <w:num w:numId="19" w16cid:durableId="1939360917">
    <w:abstractNumId w:val="16"/>
  </w:num>
  <w:num w:numId="20" w16cid:durableId="226307681">
    <w:abstractNumId w:val="21"/>
  </w:num>
  <w:num w:numId="21" w16cid:durableId="1863546903">
    <w:abstractNumId w:val="17"/>
  </w:num>
  <w:num w:numId="22" w16cid:durableId="1718117959">
    <w:abstractNumId w:val="1"/>
  </w:num>
  <w:num w:numId="23" w16cid:durableId="550002496">
    <w:abstractNumId w:val="19"/>
  </w:num>
  <w:num w:numId="24" w16cid:durableId="713931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5E4"/>
    <w:rsid w:val="000D35E4"/>
    <w:rsid w:val="000F24E8"/>
    <w:rsid w:val="001D644E"/>
    <w:rsid w:val="00223681"/>
    <w:rsid w:val="00234B4E"/>
    <w:rsid w:val="00280840"/>
    <w:rsid w:val="002B6875"/>
    <w:rsid w:val="002E66B5"/>
    <w:rsid w:val="00347A94"/>
    <w:rsid w:val="003841AA"/>
    <w:rsid w:val="00394613"/>
    <w:rsid w:val="003D1FA4"/>
    <w:rsid w:val="003E1BFD"/>
    <w:rsid w:val="003E303C"/>
    <w:rsid w:val="004216AD"/>
    <w:rsid w:val="004C6FB7"/>
    <w:rsid w:val="00530ACF"/>
    <w:rsid w:val="005931A9"/>
    <w:rsid w:val="005B1031"/>
    <w:rsid w:val="005D5D69"/>
    <w:rsid w:val="00656A40"/>
    <w:rsid w:val="00690264"/>
    <w:rsid w:val="006F6FA0"/>
    <w:rsid w:val="00701DE8"/>
    <w:rsid w:val="0086122D"/>
    <w:rsid w:val="009668AF"/>
    <w:rsid w:val="009A2443"/>
    <w:rsid w:val="009B542E"/>
    <w:rsid w:val="009F598E"/>
    <w:rsid w:val="00A14C07"/>
    <w:rsid w:val="00A83F6F"/>
    <w:rsid w:val="00AD3027"/>
    <w:rsid w:val="00B61197"/>
    <w:rsid w:val="00C2342C"/>
    <w:rsid w:val="00C32CDA"/>
    <w:rsid w:val="00C502E6"/>
    <w:rsid w:val="00C55809"/>
    <w:rsid w:val="00C80938"/>
    <w:rsid w:val="00CF6480"/>
    <w:rsid w:val="00D366D0"/>
    <w:rsid w:val="00D84BAE"/>
    <w:rsid w:val="00D96C20"/>
    <w:rsid w:val="00DA670C"/>
    <w:rsid w:val="00E06258"/>
    <w:rsid w:val="00E25F05"/>
    <w:rsid w:val="00E4191F"/>
    <w:rsid w:val="00ED6AC0"/>
    <w:rsid w:val="00EF39A6"/>
    <w:rsid w:val="00F361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707F0"/>
  <w15:chartTrackingRefBased/>
  <w15:docId w15:val="{4A141C30-2408-44A3-9481-37849EC1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5E4"/>
    <w:pPr>
      <w:spacing w:after="200" w:line="276" w:lineRule="auto"/>
    </w:pPr>
    <w:rPr>
      <w:kern w:val="0"/>
      <w14:ligatures w14:val="none"/>
    </w:rPr>
  </w:style>
  <w:style w:type="paragraph" w:styleId="Heading1">
    <w:name w:val="heading 1"/>
    <w:basedOn w:val="Normal"/>
    <w:next w:val="Normal"/>
    <w:link w:val="Heading1Char"/>
    <w:uiPriority w:val="9"/>
    <w:qFormat/>
    <w:rsid w:val="000D35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35E4"/>
    <w:pPr>
      <w:keepNext/>
      <w:keepLines/>
      <w:spacing w:before="40" w:after="0"/>
      <w:outlineLvl w:val="1"/>
    </w:pPr>
    <w:rPr>
      <w:rFonts w:asciiTheme="majorHAnsi" w:eastAsia="Times New Roman"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5E4"/>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0D35E4"/>
    <w:rPr>
      <w:rFonts w:asciiTheme="majorHAnsi" w:eastAsia="Times New Roman" w:hAnsiTheme="majorHAnsi" w:cstheme="majorBidi"/>
      <w:color w:val="2F5496" w:themeColor="accent1" w:themeShade="BF"/>
      <w:kern w:val="0"/>
      <w:sz w:val="26"/>
      <w:szCs w:val="26"/>
      <w14:ligatures w14:val="none"/>
    </w:rPr>
  </w:style>
  <w:style w:type="paragraph" w:styleId="ListParagraph">
    <w:name w:val="List Paragraph"/>
    <w:aliases w:val="Bullet Point"/>
    <w:basedOn w:val="Normal"/>
    <w:link w:val="ListParagraphChar"/>
    <w:uiPriority w:val="34"/>
    <w:qFormat/>
    <w:rsid w:val="000D35E4"/>
    <w:pPr>
      <w:ind w:left="720"/>
      <w:contextualSpacing/>
    </w:pPr>
  </w:style>
  <w:style w:type="character" w:customStyle="1" w:styleId="ListParagraphChar">
    <w:name w:val="List Paragraph Char"/>
    <w:aliases w:val="Bullet Point Char"/>
    <w:basedOn w:val="DefaultParagraphFont"/>
    <w:link w:val="ListParagraph"/>
    <w:uiPriority w:val="34"/>
    <w:rsid w:val="000D35E4"/>
    <w:rPr>
      <w:kern w:val="0"/>
      <w14:ligatures w14:val="none"/>
    </w:rPr>
  </w:style>
  <w:style w:type="character" w:styleId="CommentReference">
    <w:name w:val="annotation reference"/>
    <w:basedOn w:val="DefaultParagraphFont"/>
    <w:uiPriority w:val="99"/>
    <w:semiHidden/>
    <w:unhideWhenUsed/>
    <w:rsid w:val="00A83F6F"/>
    <w:rPr>
      <w:sz w:val="16"/>
      <w:szCs w:val="16"/>
    </w:rPr>
  </w:style>
  <w:style w:type="paragraph" w:styleId="CommentText">
    <w:name w:val="annotation text"/>
    <w:basedOn w:val="Normal"/>
    <w:link w:val="CommentTextChar"/>
    <w:uiPriority w:val="99"/>
    <w:unhideWhenUsed/>
    <w:rsid w:val="00A83F6F"/>
    <w:pPr>
      <w:spacing w:line="240" w:lineRule="auto"/>
    </w:pPr>
    <w:rPr>
      <w:sz w:val="20"/>
      <w:szCs w:val="20"/>
    </w:rPr>
  </w:style>
  <w:style w:type="character" w:customStyle="1" w:styleId="CommentTextChar">
    <w:name w:val="Comment Text Char"/>
    <w:basedOn w:val="DefaultParagraphFont"/>
    <w:link w:val="CommentText"/>
    <w:uiPriority w:val="99"/>
    <w:rsid w:val="00A83F6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83F6F"/>
    <w:rPr>
      <w:b/>
      <w:bCs/>
    </w:rPr>
  </w:style>
  <w:style w:type="character" w:customStyle="1" w:styleId="CommentSubjectChar">
    <w:name w:val="Comment Subject Char"/>
    <w:basedOn w:val="CommentTextChar"/>
    <w:link w:val="CommentSubject"/>
    <w:uiPriority w:val="99"/>
    <w:semiHidden/>
    <w:rsid w:val="00A83F6F"/>
    <w:rPr>
      <w:b/>
      <w:bCs/>
      <w:kern w:val="0"/>
      <w:sz w:val="20"/>
      <w:szCs w:val="20"/>
      <w14:ligatures w14:val="none"/>
    </w:rPr>
  </w:style>
  <w:style w:type="paragraph" w:styleId="Header">
    <w:name w:val="header"/>
    <w:basedOn w:val="Normal"/>
    <w:link w:val="HeaderChar"/>
    <w:uiPriority w:val="99"/>
    <w:unhideWhenUsed/>
    <w:rsid w:val="00ED6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AC0"/>
    <w:rPr>
      <w:kern w:val="0"/>
      <w14:ligatures w14:val="none"/>
    </w:rPr>
  </w:style>
  <w:style w:type="paragraph" w:styleId="Footer">
    <w:name w:val="footer"/>
    <w:basedOn w:val="Normal"/>
    <w:link w:val="FooterChar"/>
    <w:uiPriority w:val="99"/>
    <w:unhideWhenUsed/>
    <w:rsid w:val="00ED6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AC0"/>
    <w:rPr>
      <w:kern w:val="0"/>
      <w14:ligatures w14:val="none"/>
    </w:rPr>
  </w:style>
  <w:style w:type="paragraph" w:customStyle="1" w:styleId="Default">
    <w:name w:val="Default"/>
    <w:rsid w:val="00ED6AC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Revision">
    <w:name w:val="Revision"/>
    <w:hidden/>
    <w:uiPriority w:val="99"/>
    <w:semiHidden/>
    <w:rsid w:val="00D366D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5480</Words>
  <Characters>31240</Characters>
  <Application>Microsoft Office Word</Application>
  <DocSecurity>0</DocSecurity>
  <Lines>260</Lines>
  <Paragraphs>73</Paragraphs>
  <ScaleCrop>false</ScaleCrop>
  <Company>RSM</Company>
  <LinksUpToDate>false</LinksUpToDate>
  <CharactersWithSpaces>36647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Patil, Sandeep</dc:creator>
  <cp:keywords/>
  <dc:description/>
  <cp:lastModifiedBy>Seong-min Eom</cp:lastModifiedBy>
  <cp:revision>4</cp:revision>
  <dcterms:created xsi:type="dcterms:W3CDTF">2024-11-05T18:07:00Z</dcterms:created>
  <dcterms:modified xsi:type="dcterms:W3CDTF">2024-11-05T18:26:00Z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Normal.dotm</vt:lpwstr>
  </property>
</Properties>
</file>