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0" w:name="_Hlk184942"/>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34A0B99C" w14:textId="5B53D7EF" w:rsidR="004E50B6" w:rsidRDefault="005F48C0">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D31106">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D31106">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D31106">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D31106">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D31106">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D31106">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D31106">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D31106">
          <w:pPr>
            <w:pStyle w:val="TOC1"/>
            <w:tabs>
              <w:tab w:val="left" w:pos="440"/>
            </w:tabs>
            <w:rPr>
              <w:rFonts w:asciiTheme="minorHAnsi" w:hAnsiTheme="minorHAnsi" w:cstheme="minorBidi"/>
            </w:rPr>
          </w:pPr>
          <w:hyperlink w:anchor="_Toc115705805" w:history="1">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hyperlink>
        </w:p>
        <w:p w14:paraId="5C57C270" w14:textId="45F54C5B" w:rsidR="004E50B6" w:rsidRDefault="00D31106">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D31106">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D31106">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D31106">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D31106">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D31106">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D31106">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D31106">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D31106">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D31106">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D31106">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D31106">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D31106">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D31106">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D31106">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D31106">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D31106">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D31106">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D31106">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D31106">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D31106">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D31106">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D31106">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D31106">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D31106">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D31106">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D31106">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D31106">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D31106">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D31106">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D31106">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D31106">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D31106">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D31106">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D31106">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D31106">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D31106">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D31106">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D31106">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D31106">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D31106">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D31106">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D31106">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D31106">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D31106">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D31106">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D31106">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D31106">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D31106">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D31106">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D31106">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D31106">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D31106">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D31106">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D31106">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D31106">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D31106">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D31106">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D31106">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D31106">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sdtContent>
    </w:sdt>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1" w:name="_Toc77242183"/>
      <w:bookmarkStart w:id="2"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1"/>
      <w:bookmarkEnd w:id="2"/>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3" w:name="_Toc77242184"/>
      <w:bookmarkStart w:id="4" w:name="_Toc115705797"/>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3"/>
      <w:bookmarkEnd w:id="4"/>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3CD4E1F5" w14:textId="19C15FC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4F05EB2E"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with the exception of Guaranteed Investment Contracts, Synthetic Guaranteed Investment Contracts, and other stable value contracts which shall follow the requirements found in VM-A and VM-C</w:t>
      </w:r>
      <w:r>
        <w:rPr>
          <w:rFonts w:ascii="Times New Roman" w:eastAsia="Times New Roman" w:hAnsi="Times New Roman"/>
        </w:rPr>
        <w:t>.</w:t>
      </w:r>
    </w:p>
    <w:p w14:paraId="095CB28E" w14:textId="77777777" w:rsidR="00D069C9" w:rsidRPr="002C5A5F" w:rsidRDefault="00D069C9" w:rsidP="00D069C9">
      <w:pPr>
        <w:pStyle w:val="ListParagraph"/>
        <w:rPr>
          <w:rFonts w:ascii="Times New Roman" w:eastAsia="Times New Roman" w:hAnsi="Times New Roman"/>
        </w:rPr>
      </w:pPr>
    </w:p>
    <w:p w14:paraId="7522DCC9" w14:textId="1FC8CED6" w:rsidR="00D069C9" w:rsidRPr="007F053D"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Pr>
          <w:rFonts w:ascii="Times New Roman" w:eastAsia="Times New Roman" w:hAnsi="Times New Roman"/>
        </w:rPr>
        <w:t xml:space="preserve">The requirements in this section are still considered a part of PBR requirements and therefore are applicable to VM-G. </w:t>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4DD5163D"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2.D.2 below may file a statement of exemption for annuity contracts or certificates, except for contracts or certificates in Subsection 2.D.3 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Subsection 2.D.2 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meet either condition in Subsection 2.D.2 below; 2) the contracts contain those in Subsection 2.D.3 below; or 3) the domiciliary commissioner contacts the company prior </w:t>
      </w:r>
      <w:r w:rsidRPr="00F47DE4">
        <w:rPr>
          <w:rFonts w:ascii="Times New Roman" w:hAnsi="Times New Roman" w:cs="Times New Roman"/>
        </w:rPr>
        <w:lastRenderedPageBreak/>
        <w:t xml:space="preserve">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7DAE69C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than </w:t>
      </w:r>
      <w:r>
        <w:rPr>
          <w:rFonts w:ascii="Times New Roman" w:hAnsi="Times New Roman" w:cs="Times New Roman"/>
        </w:rPr>
        <w:t>[</w:t>
      </w:r>
      <w:r w:rsidRPr="00F47DE4">
        <w:rPr>
          <w:rFonts w:ascii="Times New Roman" w:hAnsi="Times New Roman" w:cs="Times New Roman"/>
        </w:rPr>
        <w:t>$</w:t>
      </w:r>
      <w:r>
        <w:rPr>
          <w:rFonts w:ascii="Times New Roman" w:hAnsi="Times New Roman" w:cs="Times New Roman"/>
        </w:rPr>
        <w:t>0.5</w:t>
      </w:r>
      <w:r w:rsidRPr="00F47DE4">
        <w:rPr>
          <w:rFonts w:ascii="Times New Roman" w:hAnsi="Times New Roman" w:cs="Times New Roman"/>
        </w:rPr>
        <w:t xml:space="preserve"> billion</w:t>
      </w:r>
      <w:r>
        <w:rPr>
          <w:rFonts w:ascii="Times New Roman" w:hAnsi="Times New Roman" w:cs="Times New Roman"/>
        </w:rPr>
        <w:t>]</w:t>
      </w:r>
      <w:r w:rsidRPr="00F47DE4">
        <w:rPr>
          <w:rFonts w:ascii="Times New Roman" w:hAnsi="Times New Roman" w:cs="Times New Roman"/>
        </w:rPr>
        <w:t xml:space="preserve"> 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$6 billion: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7FBF14AD" w:rsidR="007F053D" w:rsidRPr="00F47DE4"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Request feedback on </w:t>
      </w:r>
      <w:r>
        <w:rPr>
          <w:rFonts w:ascii="Times New Roman" w:hAnsi="Times New Roman" w:cs="Times New Roman"/>
        </w:rPr>
        <w:t>whether the reserve threshold for the Annuity PBR Exemption should be determined on a gross of reinsurance or net of reinsurance basis.</w:t>
      </w:r>
    </w:p>
    <w:p w14:paraId="4F6AA71A" w14:textId="77777777" w:rsidR="007F053D" w:rsidRDefault="007F053D" w:rsidP="007F053D">
      <w:pPr>
        <w:spacing w:after="0"/>
        <w:rPr>
          <w:rFonts w:ascii="Times New Roman" w:hAnsi="Times New Roman" w:cs="Times New Roman"/>
        </w:rPr>
      </w:pPr>
    </w:p>
    <w:p w14:paraId="3D259AF2" w14:textId="53E36E40" w:rsidR="009E2BB5" w:rsidRPr="00F47DE4"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00C56099">
        <w:rPr>
          <w:rFonts w:ascii="Times New Roman" w:hAnsi="Times New Roman" w:cs="Times New Roman"/>
        </w:rPr>
        <w:t>Request feedback 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t>
      </w:r>
    </w:p>
    <w:p w14:paraId="0197604A" w14:textId="202C0050"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 xml:space="preserve">Exemption reserves are determined as follows: </w:t>
      </w:r>
    </w:p>
    <w:p w14:paraId="2755ADE2" w14:textId="5E4C244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2 (“Fixed Annuities”), line 1</w:t>
      </w:r>
      <w:r>
        <w:rPr>
          <w:rFonts w:ascii="Times New Roman" w:hAnsi="Times New Roman" w:cs="Times New Roman"/>
        </w:rPr>
        <w:t>6</w:t>
      </w:r>
      <w:r w:rsidRPr="00F47DE4">
        <w:rPr>
          <w:rFonts w:ascii="Times New Roman" w:hAnsi="Times New Roman" w:cs="Times New Roman"/>
        </w:rPr>
        <w:t xml:space="preserve">; plus </w:t>
      </w:r>
    </w:p>
    <w:p w14:paraId="1CFC7705" w14:textId="6DA49745"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3 (“Indexed Annuities”), line 1</w:t>
      </w:r>
      <w:r>
        <w:rPr>
          <w:rFonts w:ascii="Times New Roman" w:hAnsi="Times New Roman" w:cs="Times New Roman"/>
        </w:rPr>
        <w:t>6</w:t>
      </w:r>
      <w:r w:rsidRPr="00F47DE4">
        <w:rPr>
          <w:rFonts w:ascii="Times New Roman" w:hAnsi="Times New Roman" w:cs="Times New Roman"/>
        </w:rPr>
        <w:t xml:space="preserve">; plus </w:t>
      </w:r>
    </w:p>
    <w:p w14:paraId="1C6EB779" w14:textId="2A17CAED"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6 (“Life Contingent Payout (Immediate and Annuitizations)”), line 1</w:t>
      </w:r>
      <w:r>
        <w:rPr>
          <w:rFonts w:ascii="Times New Roman" w:hAnsi="Times New Roman" w:cs="Times New Roman"/>
        </w:rPr>
        <w:t>6</w:t>
      </w:r>
      <w:r w:rsidRPr="00F47DE4">
        <w:rPr>
          <w:rFonts w:ascii="Times New Roman" w:hAnsi="Times New Roman" w:cs="Times New Roman"/>
        </w:rPr>
        <w:t xml:space="preserve">; plus </w:t>
      </w:r>
    </w:p>
    <w:p w14:paraId="5E816513" w14:textId="6DD09C7E"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Year-Group Annuities, Column 2 (“Fixed Annuities”), line 1</w:t>
      </w:r>
      <w:r>
        <w:rPr>
          <w:rFonts w:ascii="Times New Roman" w:hAnsi="Times New Roman" w:cs="Times New Roman"/>
        </w:rPr>
        <w:t>6</w:t>
      </w:r>
      <w:r w:rsidRPr="00F47DE4">
        <w:rPr>
          <w:rFonts w:ascii="Times New Roman" w:hAnsi="Times New Roman" w:cs="Times New Roman"/>
        </w:rPr>
        <w:t xml:space="preserve">; plus </w:t>
      </w:r>
    </w:p>
    <w:p w14:paraId="250F705E" w14:textId="6C072B53"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Year-Group Annuities, Column 3 (“Indexed Annuities”), line 1</w:t>
      </w:r>
      <w:r>
        <w:rPr>
          <w:rFonts w:ascii="Times New Roman" w:hAnsi="Times New Roman" w:cs="Times New Roman"/>
        </w:rPr>
        <w:t>6</w:t>
      </w:r>
      <w:r w:rsidRPr="00F47DE4">
        <w:rPr>
          <w:rFonts w:ascii="Times New Roman" w:hAnsi="Times New Roman" w:cs="Times New Roman"/>
        </w:rPr>
        <w:t xml:space="preserve">; plus </w:t>
      </w:r>
    </w:p>
    <w:p w14:paraId="3AEB44AE" w14:textId="6A15EDDC" w:rsidR="009E2BB5"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lastRenderedPageBreak/>
        <w:t>The amount reported in the prior calendar year life/health annual statement, Analysis of Increase in Reserves During the Year-Group Annuities, Column 6 (“Life Contingent Payout (Immediate and Annuitizations)”), line 15.</w:t>
      </w:r>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Request feedback on whether to include “Other Annuities” from the Analysis of Increase in Reserve exhibit in the Annual Statement?</w:t>
      </w: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Contracts or certificates with guaranteed living benefits (GMIBs, GMABs, GMMBs, GLWBs).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Pr>
          <w:rFonts w:ascii="Times New Roman" w:hAnsi="Times New Roman" w:cs="Times New Roman"/>
          <w:sz w:val="22"/>
          <w:szCs w:val="22"/>
        </w:rPr>
        <w:t>Request feedback on whether to render guaranteed living benefits eligible or ineligible for the Annuity PBR Exemption. In addition, feedback is requested for how to treat contracts with guaranteed living benefits where only the guaranteed living benefits are reinsured.</w:t>
      </w:r>
    </w:p>
    <w:p w14:paraId="04F8D461" w14:textId="76E9BEA1"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Each exemption, or lack of an exemption, outlined in Subsection 2.D.1 – Subsection 2.D.3 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7C2A85B9"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r w:rsidR="00BB35D9">
        <w:rPr>
          <w:rFonts w:ascii="Times New Roman" w:eastAsia="Times New Roman" w:hAnsi="Times New Roman"/>
        </w:rPr>
        <w:t xml:space="preserve">paragraphs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26EA9ED7" w:rsidR="00D069C9" w:rsidRPr="00400DF2"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rFonts w:ascii="Times New Roman" w:eastAsia="Times New Roman" w:hAnsi="Times New Roman"/>
        </w:rPr>
      </w:pPr>
      <w:r>
        <w:rPr>
          <w:rFonts w:ascii="Times New Roman" w:eastAsia="Times New Roman" w:hAnsi="Times New Roman"/>
          <w:b/>
          <w:bCs/>
        </w:rPr>
        <w:t xml:space="preserve">Drafting Note: </w:t>
      </w:r>
      <w:r>
        <w:rPr>
          <w:rFonts w:ascii="Times New Roman" w:eastAsia="Times New Roman" w:hAnsi="Times New Roman"/>
        </w:rPr>
        <w:t>Request feedback on whether the below principles should be phrased as “are generally expected to follow” or “shall follow”.</w:t>
      </w:r>
    </w:p>
    <w:p w14:paraId="386806E6" w14:textId="1D7BD7BA"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r>
        <w:rPr>
          <w:rFonts w:ascii="Times New Roman" w:eastAsia="Times New Roman" w:hAnsi="Times New Roman"/>
        </w:rPr>
        <w:t>are</w:t>
      </w:r>
      <w:r w:rsidR="000625A1">
        <w:rPr>
          <w:rFonts w:ascii="Times New Roman" w:eastAsia="Times New Roman" w:hAnsi="Times New Roman"/>
        </w:rPr>
        <w:t xml:space="preserve"> generally expected to follow the requirements in Paragraph B of this subsection </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059F3FFA"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r>
        <w:rPr>
          <w:rFonts w:ascii="Times New Roman" w:eastAsia="Times New Roman" w:hAnsi="Times New Roman"/>
        </w:rPr>
        <w:t>are generally expected to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25D560CA"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falling under the definition of Index-Linked Variable Annuities provided in VM-01 are generally expected to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4D68FACA" w:rsidR="00D069C9" w:rsidRPr="005F34D1" w:rsidRDefault="00520ADF" w:rsidP="007F053D">
      <w:pPr>
        <w:pStyle w:val="ListParagraph"/>
      </w:pPr>
      <w:r>
        <w:rPr>
          <w:rFonts w:ascii="Times New Roman" w:eastAsia="Times New Roman" w:hAnsi="Times New Roman"/>
        </w:rPr>
        <w:t xml:space="preserve">All annuity contracts that do not fall under E.1, E.2, or E.3 in this subsection are generally expected to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4DDC59CA" w14:textId="77777777" w:rsidR="00D069C9" w:rsidRDefault="00D069C9" w:rsidP="00D069C9">
      <w:pPr>
        <w:pStyle w:val="Heading1"/>
        <w:spacing w:before="0" w:line="240" w:lineRule="auto"/>
        <w:rPr>
          <w:sz w:val="24"/>
          <w:szCs w:val="24"/>
        </w:rPr>
      </w:pPr>
      <w:bookmarkStart w:id="5" w:name="_Toc77242185"/>
      <w:bookmarkStart w:id="6" w:name="_Toc115705798"/>
      <w:r w:rsidRPr="00E17D51">
        <w:rPr>
          <w:sz w:val="22"/>
          <w:szCs w:val="22"/>
        </w:rPr>
        <w:lastRenderedPageBreak/>
        <w:t>Subsection 6: Riders and Supplemental Benefits</w:t>
      </w:r>
      <w:bookmarkEnd w:id="5"/>
      <w:bookmarkEnd w:id="6"/>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16F90889"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contract under VM-20, VM-21, VM-22, VM-A, and/or VM-C, as applicable.</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78D26B88"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Pr>
          <w:rFonts w:ascii="Times New Roman" w:hAnsi="Times New Roman" w:cs="Times New Roman"/>
        </w:rPr>
        <w:t>P</w:t>
      </w:r>
      <w:r w:rsidRPr="00903AB6">
        <w:rPr>
          <w:rFonts w:ascii="Times New Roman" w:hAnsi="Times New Roman" w:cs="Times New Roman"/>
        </w:rPr>
        <w:t>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w:t>
      </w:r>
      <w:r w:rsidRPr="00903AB6">
        <w:rPr>
          <w:rFonts w:ascii="Times New Roman" w:hAnsi="Times New Roman" w:cs="Times New Roman"/>
        </w:rPr>
        <w:lastRenderedPageBreak/>
        <w:t xml:space="preserve">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69A891E2"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Any supplemental benefits and riders offered on life insurance policies or annuity contracts that would have a material impact on the reserve (for VM-20 and VM-22) or TAR (for VM-21) if elected later in the contract life, such as joint income benefits, nursing home benefits,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r w:rsidR="00A16BAE">
        <w:rPr>
          <w:rFonts w:ascii="Times New Roman" w:hAnsi="Times New Roman" w:cs="Times New Roman"/>
        </w:rPr>
        <w:t>may</w:t>
      </w:r>
      <w:r w:rsidR="00A16BAE" w:rsidRPr="00157EDD">
        <w:rPr>
          <w:rFonts w:ascii="Times New Roman" w:hAnsi="Times New Roman" w:cs="Times New Roman"/>
        </w:rPr>
        <w:t xml:space="preserve"> </w:t>
      </w:r>
      <w:r w:rsidRPr="00157EDD">
        <w:rPr>
          <w:rFonts w:ascii="Times New Roman" w:hAnsi="Times New Roman" w:cs="Times New Roman"/>
        </w:rPr>
        <w:t>generally 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7" w:name="_Toc115705799"/>
      <w:r w:rsidRPr="00D64C27">
        <w:rPr>
          <w:sz w:val="24"/>
          <w:szCs w:val="24"/>
        </w:rPr>
        <w:lastRenderedPageBreak/>
        <w:t>V</w:t>
      </w:r>
      <w:r w:rsidRPr="00857E17">
        <w:rPr>
          <w:sz w:val="24"/>
          <w:szCs w:val="24"/>
        </w:rPr>
        <w:t>M-01: Definitions for Terms in Requirements</w:t>
      </w:r>
      <w:bookmarkEnd w:id="7"/>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5C61F9D4"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payments begin 13 months or later from the issue date if the contract holder 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7777777"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“guaranteed minimum death benefit”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1AEE9961" w:rsidR="00D069C9" w:rsidRPr="00351D3F"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income benefit”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65757039"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4D547C0F" w:rsidR="00FD7DB1"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accidents, medical malpractice, and other causes.</w:t>
      </w:r>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79A5EEA9"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8"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9"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8"/>
      <w:bookmarkEnd w:id="9"/>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0" w:name="_Toc77242125"/>
      <w:bookmarkStart w:id="11" w:name="_Toc115705801"/>
      <w:bookmarkEnd w:id="0"/>
      <w:r w:rsidRPr="00226660">
        <w:rPr>
          <w:rFonts w:ascii="Times New Roman" w:hAnsi="Times New Roman" w:cs="Times New Roman"/>
          <w:sz w:val="22"/>
          <w:szCs w:val="22"/>
        </w:rPr>
        <w:t>Purpose</w:t>
      </w:r>
      <w:bookmarkEnd w:id="10"/>
      <w:bookmarkEnd w:id="11"/>
    </w:p>
    <w:p w14:paraId="265E37AD" w14:textId="77777777" w:rsidR="000C73EB" w:rsidRPr="000C73EB" w:rsidRDefault="000C73EB" w:rsidP="000C73EB">
      <w:pPr>
        <w:spacing w:after="0"/>
      </w:pPr>
    </w:p>
    <w:p w14:paraId="668F3292" w14:textId="740B9A24"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issued on or after </w:t>
      </w:r>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02B25574"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VM-21 explains 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12" w:name="_Toc77242126"/>
      <w:bookmarkStart w:id="13" w:name="_Toc115705802"/>
      <w:r w:rsidRPr="00226660">
        <w:rPr>
          <w:rFonts w:ascii="Times New Roman" w:hAnsi="Times New Roman" w:cs="Times New Roman"/>
          <w:sz w:val="22"/>
          <w:szCs w:val="22"/>
        </w:rPr>
        <w:t>Principles</w:t>
      </w:r>
      <w:bookmarkEnd w:id="12"/>
      <w:bookmarkEnd w:id="13"/>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69DB7C4B"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can completely quantify a company’s exposure to risk.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14" w:name="_Toc77242127"/>
      <w:bookmarkStart w:id="15" w:name="_Toc115705803"/>
      <w:r w:rsidRPr="000B4756">
        <w:rPr>
          <w:rFonts w:ascii="Times New Roman" w:hAnsi="Times New Roman" w:cs="Times New Roman"/>
          <w:sz w:val="22"/>
          <w:szCs w:val="22"/>
        </w:rPr>
        <w:t>Risks Reflected</w:t>
      </w:r>
      <w:bookmarkEnd w:id="14"/>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15"/>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r w:rsidRPr="00723D43" w:rsidDel="009E3569">
        <w:rPr>
          <w:rFonts w:ascii="Times New Roman" w:eastAsia="Times New Roman" w:hAnsi="Times New Roman" w:cs="Times New Roman"/>
        </w:rPr>
        <w:t>Separate account fund performance.</w:t>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Feedback welcome on whether to remove reference to separate accounts in VM-22. Whether references to separate accounts are retained or removed, consider making the treatment of such references consistent throughout VM-22.</w:t>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16" w:name="_Toc115705805"/>
      <w:r>
        <w:rPr>
          <w:rFonts w:ascii="Times New Roman" w:hAnsi="Times New Roman" w:cs="Times New Roman"/>
          <w:sz w:val="22"/>
          <w:szCs w:val="22"/>
        </w:rPr>
        <w:t>Materiality</w:t>
      </w:r>
      <w:bookmarkEnd w:id="16"/>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lastRenderedPageBreak/>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17" w:name="_Toc115705806"/>
      <w:r w:rsidRPr="002C726F">
        <w:rPr>
          <w:rFonts w:ascii="Times New Roman" w:hAnsi="Times New Roman" w:cs="Times New Roman"/>
          <w:sz w:val="24"/>
          <w:szCs w:val="24"/>
        </w:rPr>
        <w:t>Section 2:  Scope and Effective Date</w:t>
      </w:r>
      <w:bookmarkEnd w:id="17"/>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18" w:name="_Toc77242130"/>
      <w:bookmarkStart w:id="19" w:name="_Toc115705807"/>
      <w:r w:rsidRPr="00226660">
        <w:rPr>
          <w:rFonts w:ascii="Times New Roman" w:hAnsi="Times New Roman" w:cs="Times New Roman"/>
          <w:sz w:val="22"/>
          <w:szCs w:val="22"/>
        </w:rPr>
        <w:t>Scope</w:t>
      </w:r>
      <w:bookmarkEnd w:id="18"/>
      <w:bookmarkEnd w:id="19"/>
    </w:p>
    <w:p w14:paraId="50441F40" w14:textId="77777777" w:rsidR="000C73EB" w:rsidRPr="000C73EB" w:rsidRDefault="000C73EB" w:rsidP="000C73EB">
      <w:pPr>
        <w:spacing w:after="0"/>
      </w:pPr>
    </w:p>
    <w:p w14:paraId="13AF984F" w14:textId="0C584E6E" w:rsidR="007A4A72" w:rsidRDefault="007A4A72" w:rsidP="007A4A7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Non-variable annuity contracts specified in VM Section II, Subsection 2 “Annuity Contracts”, Paragraph D are subject to VM-22 requirements.</w:t>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20" w:name="_Toc77242131"/>
      <w:bookmarkStart w:id="21"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20"/>
      <w:r w:rsidR="00226660" w:rsidRPr="00226660">
        <w:rPr>
          <w:rFonts w:ascii="Times New Roman" w:hAnsi="Times New Roman" w:cs="Times New Roman"/>
          <w:sz w:val="22"/>
          <w:szCs w:val="22"/>
        </w:rPr>
        <w:t xml:space="preserve"> </w:t>
      </w:r>
      <w:bookmarkEnd w:id="21"/>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333A3AF0" w:rsidR="002C726F" w:rsidRDefault="00330F6C" w:rsidP="00DF2B8E">
      <w:pPr>
        <w:pStyle w:val="Default"/>
        <w:spacing w:after="220"/>
        <w:ind w:left="720"/>
        <w:jc w:val="both"/>
        <w:rPr>
          <w:sz w:val="22"/>
          <w:szCs w:val="22"/>
        </w:rPr>
      </w:pPr>
      <w:r w:rsidRPr="6499665E">
        <w:rPr>
          <w:sz w:val="22"/>
          <w:szCs w:val="22"/>
        </w:rPr>
        <w:t>A company may elect to establish minimum reserves pursuant to applicable requirements in VM-A and VM-C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22" w:name="_Toc77242132"/>
      <w:bookmarkStart w:id="23" w:name="_Toc115705809"/>
      <w:r w:rsidRPr="002C726F">
        <w:rPr>
          <w:sz w:val="24"/>
          <w:szCs w:val="24"/>
        </w:rPr>
        <w:lastRenderedPageBreak/>
        <w:t>Section 3: Reserve Methodology</w:t>
      </w:r>
      <w:bookmarkEnd w:id="22"/>
      <w:bookmarkEnd w:id="23"/>
    </w:p>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24" w:name="_Toc77242133"/>
      <w:bookmarkStart w:id="25" w:name="_Toc115705810"/>
      <w:r w:rsidRPr="00252E55">
        <w:rPr>
          <w:sz w:val="22"/>
          <w:szCs w:val="22"/>
        </w:rPr>
        <w:t>A. Aggregate Reserve</w:t>
      </w:r>
      <w:bookmarkEnd w:id="24"/>
      <w:bookmarkEnd w:id="25"/>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5339D602"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plus the DR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6CD3EAEF"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26" w:name="_Toc77242134"/>
      <w:bookmarkStart w:id="27" w:name="_Toc115705811"/>
      <w:r w:rsidRPr="00252E55">
        <w:rPr>
          <w:sz w:val="22"/>
          <w:szCs w:val="22"/>
        </w:rPr>
        <w:t>B. Impact of Reinsurance Ceded</w:t>
      </w:r>
      <w:bookmarkEnd w:id="26"/>
      <w:r w:rsidRPr="00252E55">
        <w:rPr>
          <w:sz w:val="22"/>
          <w:szCs w:val="22"/>
        </w:rPr>
        <w:t xml:space="preserve"> </w:t>
      </w:r>
      <w:bookmarkEnd w:id="27"/>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28" w:name="_Toc77242135"/>
      <w:bookmarkStart w:id="29" w:name="_Toc115705812"/>
      <w:r w:rsidRPr="0CC86E4D">
        <w:rPr>
          <w:sz w:val="22"/>
          <w:szCs w:val="22"/>
        </w:rPr>
        <w:t xml:space="preserve">C. </w:t>
      </w:r>
      <w:bookmarkEnd w:id="28"/>
      <w:r w:rsidRPr="0CC86E4D">
        <w:rPr>
          <w:sz w:val="22"/>
          <w:szCs w:val="22"/>
        </w:rPr>
        <w:t>The Additional Standard Projection Amount</w:t>
      </w:r>
      <w:bookmarkEnd w:id="29"/>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30" w:name="_Toc115705813"/>
      <w:r w:rsidRPr="00252E55">
        <w:rPr>
          <w:sz w:val="22"/>
          <w:szCs w:val="22"/>
        </w:rPr>
        <w:t xml:space="preserve">D. The </w:t>
      </w:r>
      <w:r w:rsidR="0018608C">
        <w:rPr>
          <w:sz w:val="22"/>
          <w:szCs w:val="22"/>
        </w:rPr>
        <w:t>SR</w:t>
      </w:r>
      <w:bookmarkEnd w:id="30"/>
      <w:r w:rsidRPr="00252E55">
        <w:rPr>
          <w:sz w:val="22"/>
          <w:szCs w:val="22"/>
        </w:rPr>
        <w:t xml:space="preserve"> </w:t>
      </w:r>
    </w:p>
    <w:p w14:paraId="57400888" w14:textId="77777777" w:rsidR="000C73EB" w:rsidRPr="000C73EB" w:rsidRDefault="000C73EB" w:rsidP="000C73EB">
      <w:pPr>
        <w:spacing w:after="0"/>
      </w:pPr>
    </w:p>
    <w:p w14:paraId="7B5594AF" w14:textId="226DFB16"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3.</w:t>
      </w:r>
      <w:r w:rsidR="00271E94">
        <w:rPr>
          <w:rFonts w:ascii="Times New Roman" w:hAnsi="Times New Roman" w:cs="Times New Roman"/>
          <w:color w:val="000000"/>
        </w:rPr>
        <w:t>G</w:t>
      </w:r>
      <w:r w:rsidRPr="00A85B27">
        <w:rPr>
          <w:rFonts w:ascii="Times New Roman" w:hAnsi="Times New Roman" w:cs="Times New Roman"/>
          <w:color w:val="000000"/>
        </w:rPr>
        <w:t xml:space="preserve"> 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31" w:name="_Toc115705814"/>
      <w:r>
        <w:rPr>
          <w:sz w:val="22"/>
          <w:szCs w:val="22"/>
        </w:rPr>
        <w:t>E</w:t>
      </w:r>
      <w:r w:rsidRPr="00252E55">
        <w:rPr>
          <w:sz w:val="22"/>
          <w:szCs w:val="22"/>
        </w:rPr>
        <w:t xml:space="preserve">. The </w:t>
      </w:r>
      <w:r>
        <w:rPr>
          <w:sz w:val="22"/>
          <w:szCs w:val="22"/>
        </w:rPr>
        <w:t>DR</w:t>
      </w:r>
      <w:bookmarkEnd w:id="31"/>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721B79E4" w:rsidR="00EB30A9" w:rsidRPr="00EF42F6" w:rsidRDefault="00EF42F6" w:rsidP="00EF42F6">
      <w:pPr>
        <w:autoSpaceDE w:val="0"/>
        <w:autoSpaceDN w:val="0"/>
        <w:adjustRightInd w:val="0"/>
        <w:spacing w:after="0" w:line="240" w:lineRule="auto"/>
        <w:rPr>
          <w:rFonts w:ascii="Times New Roman" w:hAnsi="Times New Roman" w:cs="Times New Roman"/>
          <w:color w:val="000000"/>
        </w:rPr>
      </w:pPr>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219C6A30" w:rsidR="00EF42F6" w:rsidRPr="00EF42F6" w:rsidRDefault="00654E2C" w:rsidP="00AD0E74">
      <w:pPr>
        <w:pStyle w:val="ListParagraph"/>
        <w:numPr>
          <w:ilvl w:val="0"/>
          <w:numId w:val="59"/>
        </w:numPr>
        <w:autoSpaceDE w:val="0"/>
        <w:autoSpaceDN w:val="0"/>
        <w:adjustRightInd w:val="0"/>
        <w:spacing w:after="0" w:line="240" w:lineRule="auto"/>
        <w:rPr>
          <w:rFonts w:ascii="Times New Roman" w:hAnsi="Times New Roman"/>
          <w:color w:val="000000" w:themeColor="text1"/>
        </w:rPr>
      </w:pPr>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r w:rsidR="00344B08">
        <w:rPr>
          <w:rFonts w:ascii="Times New Roman" w:hAnsi="Times New Roman"/>
          <w:color w:val="000000" w:themeColor="text1"/>
        </w:rPr>
        <w:t xml:space="preserve">within each Reserving Category </w:t>
      </w:r>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r w:rsidR="0018608C">
        <w:rPr>
          <w:rFonts w:ascii="Times New Roman" w:hAnsi="Times New Roman" w:cs="Times New Roman"/>
          <w:color w:val="000000" w:themeColor="text1"/>
        </w:rPr>
        <w:t>SR</w:t>
      </w:r>
      <w:r w:rsidR="00344B08">
        <w:rPr>
          <w:rFonts w:ascii="Times New Roman" w:hAnsi="Times New Roman" w:cs="Times New Roman"/>
          <w:color w:val="000000" w:themeColor="text1"/>
        </w:rPr>
        <w:t>.</w:t>
      </w:r>
    </w:p>
    <w:p w14:paraId="03AB15F3" w14:textId="77777777" w:rsidR="00EF42F6" w:rsidRPr="00EF42F6" w:rsidRDefault="00EF42F6" w:rsidP="00EF42F6">
      <w:pPr>
        <w:pStyle w:val="ListParagraph"/>
        <w:rPr>
          <w:rFonts w:ascii="Times New Roman" w:hAnsi="Times New Roman" w:cs="Times New Roman"/>
          <w:color w:val="000000" w:themeColor="text1"/>
        </w:rPr>
      </w:pPr>
    </w:p>
    <w:p w14:paraId="66CF4183" w14:textId="5A4F2A9F" w:rsidR="00EF42F6" w:rsidRDefault="005D637E" w:rsidP="005D637E">
      <w:pPr>
        <w:pStyle w:val="Heading2"/>
        <w:ind w:left="360" w:hanging="360"/>
        <w:rPr>
          <w:sz w:val="22"/>
          <w:szCs w:val="22"/>
        </w:rPr>
      </w:pPr>
      <w:bookmarkStart w:id="32" w:name="_Toc115705815"/>
      <w:r>
        <w:rPr>
          <w:sz w:val="22"/>
          <w:szCs w:val="22"/>
        </w:rPr>
        <w:t>F</w:t>
      </w:r>
      <w:r w:rsidR="00EF42F6" w:rsidRPr="00252E55">
        <w:rPr>
          <w:sz w:val="22"/>
          <w:szCs w:val="22"/>
        </w:rPr>
        <w:t xml:space="preserve">. </w:t>
      </w:r>
      <w:r w:rsidR="00EF42F6">
        <w:rPr>
          <w:sz w:val="22"/>
          <w:szCs w:val="22"/>
        </w:rPr>
        <w:t>Aggregation of Contracts for the DR and SR</w:t>
      </w:r>
      <w:bookmarkEnd w:id="32"/>
      <w:r w:rsidR="00EF42F6" w:rsidRPr="00252E55">
        <w:rPr>
          <w:sz w:val="22"/>
          <w:szCs w:val="22"/>
        </w:rPr>
        <w:t xml:space="preserve"> </w:t>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rFonts w:ascii="Times New Roman" w:hAnsi="Times New Roman"/>
          <w:color w:val="000000" w:themeColor="text1"/>
        </w:rPr>
      </w:pPr>
      <w:r>
        <w:rPr>
          <w:rFonts w:ascii="Times New Roman" w:hAnsi="Times New Roman" w:cs="Times New Roman"/>
          <w:color w:val="000000" w:themeColor="text1"/>
        </w:rPr>
        <w:lastRenderedPageBreak/>
        <w:t>G</w:t>
      </w:r>
      <w:r w:rsidR="00344B08" w:rsidRPr="00EF42F6">
        <w:rPr>
          <w:rFonts w:ascii="Times New Roman" w:hAnsi="Times New Roman" w:cs="Times New Roman"/>
          <w:color w:val="000000" w:themeColor="text1"/>
        </w:rPr>
        <w:t>roups of contracts within different Reserving Categories may not be aggregated together in determining the SR</w:t>
      </w:r>
      <w:r w:rsidRPr="00EF42F6">
        <w:rPr>
          <w:rFonts w:ascii="Times New Roman" w:hAnsi="Times New Roman" w:cs="Times New Roman"/>
          <w:color w:val="000000" w:themeColor="text1"/>
        </w:rPr>
        <w:t xml:space="preserve"> or DR</w:t>
      </w:r>
      <w:r w:rsidR="00344B08" w:rsidRPr="00EF42F6">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p>
    <w:p w14:paraId="2B4584F8" w14:textId="32942E68"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Single premium i</w:t>
      </w:r>
      <w:r w:rsidR="00344B08" w:rsidRPr="00C91AB0">
        <w:rPr>
          <w:rFonts w:ascii="Times New Roman" w:eastAsia="Calibri" w:hAnsi="Times New Roman" w:cs="Times New Roman"/>
        </w:rPr>
        <w:t>mmediate annuity</w:t>
      </w:r>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r>
        <w:rPr>
          <w:rFonts w:ascii="Times New Roman" w:eastAsia="Calibri" w:hAnsi="Times New Roman" w:cs="Times New Roman"/>
          <w:b/>
          <w:bCs/>
          <w:u w:val="single"/>
        </w:rPr>
        <w:t>Drafting Note:</w:t>
      </w:r>
      <w:r>
        <w:rPr>
          <w:rFonts w:ascii="Times New Roman" w:eastAsia="Calibri" w:hAnsi="Times New Roman" w:cs="Times New Roman"/>
        </w:rPr>
        <w:t xml:space="preserve"> Additional feedback is welcome for whether to permit optionality for categorizing guaranteed living benefit contracts with depleted fund value as either in the payout or accumulation reserving category. </w:t>
      </w:r>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69944BD0"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E40BD4">
        <w:rPr>
          <w:rFonts w:ascii="Times New Roman" w:eastAsia="Calibri" w:hAnsi="Times New Roman" w:cs="Times New Roman"/>
          <w:sz w:val="24"/>
          <w:szCs w:val="24"/>
        </w:rPr>
        <w:t>The term “Longevity Reinsurance Reserving Category” refers to Longevity Reinsurance under the definition provided in VM-01 of the Valuation Manual.</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A868231" w14:textId="00F0560F"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rFonts w:ascii="Times New Roman" w:hAnsi="Times New Roman" w:cs="Times New Roman"/>
          <w:color w:val="000000"/>
        </w:rPr>
      </w:pPr>
      <w:r w:rsidRPr="00C91AB0">
        <w:rPr>
          <w:rFonts w:ascii="Times New Roman" w:eastAsia="Calibri" w:hAnsi="Times New Roman" w:cs="Times New Roman"/>
        </w:rPr>
        <w:t>The “Accumulation Reserving Category” are all annuities within scope of VM-22 under Section II of the NAIC Valuation Manual that are not in the “Payout Reserving Category”</w:t>
      </w:r>
      <w:r w:rsidR="00E40BD4">
        <w:rPr>
          <w:rFonts w:ascii="Times New Roman" w:eastAsia="Calibri" w:hAnsi="Times New Roman" w:cs="Times New Roman"/>
        </w:rPr>
        <w:t xml:space="preserve"> </w:t>
      </w:r>
      <w:r w:rsidR="00E40BD4">
        <w:rPr>
          <w:rFonts w:ascii="Times New Roman" w:eastAsia="Calibri" w:hAnsi="Times New Roman" w:cs="Times New Roman"/>
          <w:sz w:val="24"/>
          <w:szCs w:val="24"/>
        </w:rPr>
        <w:t>or “Longevity Reinsurance Reserving Category”</w:t>
      </w:r>
      <w:r w:rsidRPr="00C91AB0">
        <w:rPr>
          <w:rFonts w:ascii="Times New Roman" w:eastAsia="Calibri" w:hAnsi="Times New Roman" w:cs="Times New Roman"/>
        </w:rPr>
        <w:t>.</w:t>
      </w:r>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Do not aggregate groups of contracts for which the company elects to use the Deterministic Certification Option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CD241E3"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themeColor="text1"/>
        </w:rPr>
        <w:t>5.</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w:t>
      </w:r>
      <w:r w:rsidR="02F5FCAC" w:rsidRPr="002514EA">
        <w:rPr>
          <w:rFonts w:ascii="Times New Roman" w:hAnsi="Times New Roman"/>
          <w:color w:val="000000" w:themeColor="text1"/>
        </w:rPr>
        <w:lastRenderedPageBreak/>
        <w:t xml:space="preserve">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33" w:name="_Toc77242137"/>
      <w:bookmarkStart w:id="34" w:name="_Toc115705816"/>
      <w:bookmarkStart w:id="35"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33"/>
      <w:r w:rsidR="00252E55" w:rsidRPr="00252E55">
        <w:rPr>
          <w:sz w:val="22"/>
          <w:szCs w:val="22"/>
        </w:rPr>
        <w:t xml:space="preserve"> </w:t>
      </w:r>
      <w:bookmarkEnd w:id="34"/>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36"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36"/>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EF42F6">
        <w:rPr>
          <w:rFonts w:ascii="Times New Roman" w:hAnsi="Times New Roman" w:cs="Times New Roman"/>
        </w:rPr>
        <w:t>For dividend-paying contracts, a dividend liability shall be established following requirements in VM-A and VM-C, as described above, for the base contract.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37" w:name="_Toc77242138"/>
      <w:bookmarkStart w:id="38" w:name="_Toc115705817"/>
      <w:bookmarkEnd w:id="35"/>
      <w:r>
        <w:rPr>
          <w:sz w:val="22"/>
          <w:szCs w:val="22"/>
        </w:rPr>
        <w:t>H</w:t>
      </w:r>
      <w:r w:rsidR="00252E55" w:rsidRPr="00252E55">
        <w:rPr>
          <w:sz w:val="22"/>
          <w:szCs w:val="22"/>
        </w:rPr>
        <w:t>. Allocation of the Aggregate Reserve to Contracts</w:t>
      </w:r>
      <w:bookmarkEnd w:id="37"/>
      <w:bookmarkEnd w:id="38"/>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4577AA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with the exception of contract following Section 3.E 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39" w:name="_Toc77242139"/>
      <w:bookmarkStart w:id="40" w:name="_Toc115705818"/>
      <w:r w:rsidRPr="0CC86E4D">
        <w:rPr>
          <w:sz w:val="22"/>
          <w:szCs w:val="22"/>
        </w:rPr>
        <w:t>Prudent Estimate Assumptions</w:t>
      </w:r>
      <w:bookmarkEnd w:id="39"/>
      <w:bookmarkEnd w:id="40"/>
    </w:p>
    <w:p w14:paraId="5595F2A7" w14:textId="77777777" w:rsidR="004A6B87" w:rsidRPr="00010E14" w:rsidRDefault="004A6B87" w:rsidP="004A6B87">
      <w:pPr>
        <w:pStyle w:val="ListParagraph"/>
        <w:rPr>
          <w:rFonts w:ascii="Times New Roman" w:hAnsi="Times New Roman"/>
          <w:color w:val="FF0000"/>
        </w:rPr>
      </w:pPr>
    </w:p>
    <w:p w14:paraId="748ACA21" w14:textId="41AB9CC0"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r w:rsidRPr="118BD2E7">
        <w:rPr>
          <w:rFonts w:ascii="Times New Roman" w:eastAsia="Times New Roman" w:hAnsi="Times New Roman"/>
        </w:rPr>
        <w:t xml:space="preserve"> review and update the assumptions as appropriate in accordance with these requirements.</w:t>
      </w:r>
    </w:p>
    <w:p w14:paraId="5FB14885" w14:textId="0D294193"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replacing “periodically” with “at least every 3 years in the paragraph above upon adoption of a similar APF for VM-20/VM-21.</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6774D9BA"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shall annually review 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r w:rsidR="005126AE">
        <w:rPr>
          <w:rFonts w:ascii="Times New Roman" w:eastAsia="Times New Roman" w:hAnsi="Times New Roman"/>
        </w:rPr>
        <w:t>Company</w:t>
      </w:r>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08C02E2"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asset assumptions,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41" w:name="_Toc115705819"/>
      <w:r w:rsidRPr="004937D7">
        <w:rPr>
          <w:sz w:val="22"/>
          <w:szCs w:val="22"/>
        </w:rPr>
        <w:t>Approximations, Simplifications, and Modeling Efficiency Techniques</w:t>
      </w:r>
      <w:bookmarkEnd w:id="41"/>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w:t>
      </w:r>
      <w:r w:rsidRPr="004101C0">
        <w:rPr>
          <w:rFonts w:ascii="Times New Roman" w:hAnsi="Times New Roman" w:cs="Times New Roman"/>
        </w:rPr>
        <w:lastRenderedPageBreak/>
        <w:t xml:space="preserve">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42" w:name="_Hlk60116030"/>
      <w:bookmarkStart w:id="43"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44" w:name="_Hlk60116014"/>
      <w:bookmarkEnd w:id="42"/>
      <w:bookmarkEnd w:id="43"/>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44"/>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45" w:name="_Toc77242140"/>
      <w:bookmarkStart w:id="46" w:name="_Toc115705820"/>
      <w:r w:rsidRPr="004937D7">
        <w:rPr>
          <w:rFonts w:ascii="Times New Roman" w:hAnsi="Times New Roman" w:cs="Times New Roman"/>
          <w:sz w:val="24"/>
          <w:szCs w:val="24"/>
        </w:rPr>
        <w:t xml:space="preserve">Section 4: Determination of </w:t>
      </w:r>
      <w:bookmarkEnd w:id="45"/>
      <w:r w:rsidR="0018608C" w:rsidRPr="004937D7">
        <w:rPr>
          <w:rFonts w:ascii="Times New Roman" w:hAnsi="Times New Roman" w:cs="Times New Roman"/>
          <w:sz w:val="24"/>
          <w:szCs w:val="24"/>
        </w:rPr>
        <w:t>SR</w:t>
      </w:r>
      <w:bookmarkEnd w:id="46"/>
      <w:r w:rsidR="005E6BF8" w:rsidRPr="004937D7">
        <w:rPr>
          <w:rFonts w:ascii="Times New Roman" w:hAnsi="Times New Roman" w:cs="Times New Roman"/>
          <w:sz w:val="24"/>
          <w:szCs w:val="24"/>
        </w:rPr>
        <w:t xml:space="preserve"> </w:t>
      </w:r>
    </w:p>
    <w:p w14:paraId="496AA800" w14:textId="00E14BDC" w:rsidR="00BB3078" w:rsidRPr="00E17D51" w:rsidRDefault="00BB3078" w:rsidP="00AD0E74">
      <w:pPr>
        <w:pStyle w:val="Heading2"/>
        <w:numPr>
          <w:ilvl w:val="0"/>
          <w:numId w:val="27"/>
        </w:numPr>
        <w:rPr>
          <w:sz w:val="22"/>
          <w:szCs w:val="22"/>
        </w:rPr>
      </w:pPr>
      <w:bookmarkStart w:id="47" w:name="_Toc77242141"/>
      <w:bookmarkStart w:id="48" w:name="_Toc115705821"/>
      <w:r w:rsidRPr="00E17D51">
        <w:rPr>
          <w:sz w:val="22"/>
          <w:szCs w:val="22"/>
        </w:rPr>
        <w:t>Projection of Accumulated Deficiencies</w:t>
      </w:r>
      <w:bookmarkEnd w:id="47"/>
      <w:bookmarkEnd w:id="48"/>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6BACAC5E"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71683ECF" w:rsidR="00E40BD4" w:rsidRPr="00793E82" w:rsidRDefault="007565C1" w:rsidP="00E40BD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holder (including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77777777"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and expenses at contract inception 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77777777" w:rsidR="00E40BD4"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The present value of the expected future gross premiums at contract inception using the prudent estimate assumptions determined at contract inception and an interest rate equal to the prescribed interest rate under VM-A and VM-C.</w:t>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473E7BBE" w:rsidR="00EF3D95" w:rsidRPr="00EF3D95" w:rsidRDefault="007958E0" w:rsidP="00EF3D95">
      <w:pPr>
        <w:pStyle w:val="ListParagraph"/>
        <w:ind w:left="216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r w:rsidR="00EF3D95">
        <w:rPr>
          <w:rFonts w:ascii="Times" w:eastAsia="Times New Roman" w:hAnsi="Times" w:cs="Times New Roman"/>
        </w:rPr>
        <w:t xml:space="preserve">contract </w:t>
      </w:r>
      <w:r w:rsidRPr="007958E0">
        <w:rPr>
          <w:rFonts w:ascii="Times" w:eastAsia="Times New Roman" w:hAnsi="Times" w:cs="Times New Roman"/>
        </w:rPr>
        <w:t>holders—including,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r w:rsidRPr="00617117">
        <w:rPr>
          <w:rFonts w:ascii="Times" w:eastAsia="Times New Roman" w:hAnsi="Times" w:cs="Times New Roman"/>
        </w:rPr>
        <w:t>taken into account</w:t>
      </w:r>
      <w:r w:rsidRPr="007958E0">
        <w:rPr>
          <w:rFonts w:ascii="Times" w:eastAsia="Times New Roman" w:hAnsi="Times" w:cs="Times New Roman"/>
        </w:rPr>
        <w:t>.</w:t>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lastRenderedPageBreak/>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49"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49"/>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Modeling of Hedges</w:t>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lastRenderedPageBreak/>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300ACC6B"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r w:rsidR="00392BC5">
        <w:rPr>
          <w:rFonts w:ascii="Times New Roman" w:eastAsia="Times New Roman" w:hAnsi="Times New Roman"/>
        </w:rPr>
        <w:t xml:space="preserve">not for </w:t>
      </w:r>
      <w:r w:rsidR="008A7F4A">
        <w:rPr>
          <w:rFonts w:ascii="Times New Roman" w:eastAsia="Times New Roman" w:hAnsi="Times New Roman"/>
        </w:rPr>
        <w:t xml:space="preserve"> </w:t>
      </w:r>
      <w:r w:rsidR="00392BC5">
        <w:rPr>
          <w:rFonts w:ascii="Times New Roman" w:eastAsia="Times New Roman" w:hAnsi="Times New Roman"/>
        </w:rPr>
        <w:t>offsetting the indexed credits</w:t>
      </w:r>
      <w:r w:rsidRPr="00950B6B">
        <w:rPr>
          <w:rFonts w:ascii="Times New Roman" w:eastAsia="Times New Roman" w:hAnsi="Times New Roman"/>
        </w:rPr>
        <w:t xml:space="preserve"> 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p>
    <w:p w14:paraId="522533F4" w14:textId="4DF44E34"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w:t>
      </w:r>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w:t>
      </w:r>
      <w:r>
        <w:rPr>
          <w:rFonts w:ascii="Times New Roman" w:eastAsia="Times New Roman" w:hAnsi="Times New Roman"/>
        </w:rPr>
        <w:lastRenderedPageBreak/>
        <w:t xml:space="preserve">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195EEBD9"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take into account the appropriate costs and benefits of hedge positions expected to be held in the future. Because models do not always accurately portray the results of hedge programs, the company shall, through back-testing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The SR shall be the weighted average of the two CTE70 values, where the weights reflect the error factor (E)I 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4E354C9"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r w:rsidR="002C5DCD">
        <w:rPr>
          <w:rFonts w:ascii="Times New Roman" w:eastAsia="Times New Roman" w:hAnsi="Times New Roman"/>
        </w:rPr>
        <w:t xml:space="preserve">VM-22 </w:t>
      </w:r>
      <w:r w:rsidR="002D35B5">
        <w:rPr>
          <w:rFonts w:ascii="Times New Roman" w:eastAsia="Times New Roman" w:hAnsi="Times New Roman"/>
        </w:rPr>
        <w:t>Section 1 through 13</w:t>
      </w:r>
      <w:r w:rsidR="002C5DCD" w:rsidRPr="2BB44510">
        <w:rPr>
          <w:rFonts w:ascii="Times New Roman" w:eastAsia="Times New Roman" w:hAnsi="Times New Roman"/>
        </w:rPr>
        <w:t xml:space="preserve"> </w:t>
      </w:r>
      <w:r w:rsidRPr="2BB44510">
        <w:rPr>
          <w:rFonts w:ascii="Times New Roman" w:eastAsia="Times New Roman" w:hAnsi="Times New Roman"/>
        </w:rPr>
        <w:t>requirements</w:t>
      </w:r>
      <w:r w:rsidR="00863728">
        <w:rPr>
          <w:rFonts w:ascii="Times New Roman" w:eastAsia="Times New Roman" w:hAnsi="Times New Roman"/>
        </w:rPr>
        <w:t xml:space="preserve"> </w:t>
      </w:r>
      <w:r w:rsidR="004C17FF">
        <w:rPr>
          <w:rFonts w:ascii="Times New Roman" w:eastAsia="Times New Roman" w:hAnsi="Times New Roman"/>
        </w:rPr>
        <w:t xml:space="preserve">(e.g., variable annuities) </w:t>
      </w:r>
      <w:r w:rsidR="00863728" w:rsidRPr="002514EA">
        <w:rPr>
          <w:rFonts w:ascii="Times New Roman" w:eastAsia="Times New Roman" w:hAnsi="Times New Roman"/>
          <w:strike/>
        </w:rPr>
        <w:t>(e.g., equity-indexed annuities)</w:t>
      </w:r>
      <w:r w:rsidRPr="2BB44510">
        <w:rPr>
          <w:rFonts w:ascii="Times New Roman" w:eastAsia="Times New Roman" w:hAnsi="Times New Roman"/>
        </w:rPr>
        <w:t xml:space="preserve"> 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lastRenderedPageBreak/>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requirements set forth in VM</w:t>
      </w:r>
      <w:r w:rsidR="004C17FF">
        <w:rPr>
          <w:rFonts w:ascii="Times" w:eastAsia="Times New Roman" w:hAnsi="Times" w:cs="Times New Roman"/>
        </w:rPr>
        <w:t>-</w:t>
      </w:r>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7B8267C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no </w:t>
      </w:r>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50" w:name="_Toc77242142"/>
      <w:bookmarkStart w:id="51" w:name="_Toc115705822"/>
      <w:r w:rsidRPr="00E17D51">
        <w:rPr>
          <w:sz w:val="22"/>
          <w:szCs w:val="22"/>
        </w:rPr>
        <w:t>Determination of Scenario Reserve</w:t>
      </w:r>
      <w:bookmarkEnd w:id="50"/>
      <w:r w:rsidRPr="00E17D51">
        <w:rPr>
          <w:sz w:val="22"/>
          <w:szCs w:val="22"/>
        </w:rPr>
        <w:t xml:space="preserve"> </w:t>
      </w:r>
      <w:bookmarkEnd w:id="51"/>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23EC4DDC"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In the case where assets supporting the liability are held at market value, the market value adjustment shall also be applied to the cash surrender value.</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w:t>
      </w:r>
      <w:r w:rsidRPr="004B39F7">
        <w:rPr>
          <w:rFonts w:ascii="Times" w:eastAsia="Times New Roman" w:hAnsi="Times" w:cs="Times New Roman"/>
        </w:rPr>
        <w:lastRenderedPageBreak/>
        <w:t xml:space="preserve">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52" w:name="_Toc77242143"/>
      <w:bookmarkStart w:id="53" w:name="_Toc115705823"/>
      <w:r w:rsidRPr="00E17D51">
        <w:rPr>
          <w:sz w:val="22"/>
          <w:szCs w:val="22"/>
        </w:rPr>
        <w:t>C.</w:t>
      </w:r>
      <w:r>
        <w:rPr>
          <w:sz w:val="22"/>
          <w:szCs w:val="22"/>
        </w:rPr>
        <w:tab/>
      </w:r>
      <w:r w:rsidR="00BB3078" w:rsidRPr="00E17D51">
        <w:rPr>
          <w:sz w:val="22"/>
          <w:szCs w:val="22"/>
        </w:rPr>
        <w:t>Projection Scenarios</w:t>
      </w:r>
      <w:bookmarkEnd w:id="52"/>
      <w:bookmarkEnd w:id="53"/>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lastRenderedPageBreak/>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54" w:name="_Toc77242144"/>
      <w:bookmarkStart w:id="55" w:name="_Toc115705824"/>
      <w:r w:rsidRPr="00E17D51">
        <w:rPr>
          <w:sz w:val="22"/>
          <w:szCs w:val="22"/>
        </w:rPr>
        <w:t>Projection of Assets</w:t>
      </w:r>
      <w:bookmarkEnd w:id="54"/>
      <w:bookmarkEnd w:id="55"/>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lastRenderedPageBreak/>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lastRenderedPageBreak/>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5E47DF8"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Section 4.D.4.a.ii</w:t>
      </w:r>
      <w:r w:rsidR="004C17FF">
        <w:rPr>
          <w:rFonts w:ascii="Times" w:eastAsia="Times New Roman" w:hAnsi="Times" w:cs="Times New Roman"/>
        </w:rPr>
        <w:t>i</w:t>
      </w:r>
      <w:r w:rsidRPr="00CC724D">
        <w:rPr>
          <w:rFonts w:ascii="Times" w:eastAsia="Times New Roman" w:hAnsi="Times" w:cs="Times New Roman"/>
        </w:rPr>
        <w:t xml:space="preserve"> and Section 4.D.4.a.v,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19C167E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lastRenderedPageBreak/>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56" w:name="_Toc77242145"/>
      <w:bookmarkStart w:id="57" w:name="_Toc115705825"/>
      <w:r w:rsidRPr="00E17D51">
        <w:rPr>
          <w:rStyle w:val="Heading2Char"/>
          <w:rFonts w:eastAsiaTheme="minorHAnsi"/>
          <w:sz w:val="22"/>
          <w:szCs w:val="22"/>
        </w:rPr>
        <w:t>Projection of Annuitization Benefits</w:t>
      </w:r>
      <w:bookmarkEnd w:id="56"/>
      <w:bookmarkEnd w:id="57"/>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C3BFB21"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Section 4.D.4.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58" w:name="_Toc77242146"/>
      <w:bookmarkStart w:id="59" w:name="_Toc115705826"/>
      <w:r w:rsidRPr="009E255A">
        <w:rPr>
          <w:sz w:val="22"/>
          <w:szCs w:val="22"/>
        </w:rPr>
        <w:t>Frequency of Projection</w:t>
      </w:r>
      <w:bookmarkEnd w:id="58"/>
      <w:bookmarkEnd w:id="59"/>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46EC4A9B"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For example, recognizing fee income at the end of each period after market movements, but prior to persistency decrements, would normally be an inappropriate assumption. It is also important that the frequency of the investment return model be linked appropriately to the projection horizon in the liability model. </w:t>
      </w:r>
    </w:p>
    <w:p w14:paraId="44B34406" w14:textId="61753C51" w:rsidR="00BB3078" w:rsidRPr="009E255A" w:rsidRDefault="00BB3078" w:rsidP="00AD0E74">
      <w:pPr>
        <w:pStyle w:val="Heading2"/>
        <w:numPr>
          <w:ilvl w:val="0"/>
          <w:numId w:val="28"/>
        </w:numPr>
        <w:rPr>
          <w:sz w:val="22"/>
          <w:szCs w:val="22"/>
        </w:rPr>
      </w:pPr>
      <w:bookmarkStart w:id="60" w:name="_Toc77242147"/>
      <w:bookmarkStart w:id="61" w:name="_Toc115705827"/>
      <w:r w:rsidRPr="009E255A">
        <w:rPr>
          <w:sz w:val="22"/>
          <w:szCs w:val="22"/>
        </w:rPr>
        <w:t>Compliance with ASOPs</w:t>
      </w:r>
      <w:bookmarkEnd w:id="60"/>
      <w:bookmarkEnd w:id="61"/>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62" w:name="_Toc77242148"/>
      <w:bookmarkStart w:id="63" w:name="_Toc115705828"/>
      <w:r>
        <w:rPr>
          <w:sz w:val="24"/>
          <w:szCs w:val="24"/>
        </w:rPr>
        <w:lastRenderedPageBreak/>
        <w:t>Section 5: Reinsurance</w:t>
      </w:r>
      <w:bookmarkEnd w:id="62"/>
      <w:bookmarkEnd w:id="63"/>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64" w:name="_Toc77242149"/>
      <w:bookmarkStart w:id="65" w:name="_Toc115705829"/>
      <w:r w:rsidRPr="009E255A">
        <w:rPr>
          <w:sz w:val="22"/>
          <w:szCs w:val="22"/>
        </w:rPr>
        <w:t>A. Treatment of Reinsurance in the Aggregate Reserve</w:t>
      </w:r>
      <w:bookmarkEnd w:id="64"/>
      <w:bookmarkEnd w:id="65"/>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51535205"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SR, DR,</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Reflection of Reinsurance Cash Flows in the DR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SR and DR</w:t>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66"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66"/>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6696FB39"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r w:rsidR="00BD4A3E">
        <w:rPr>
          <w:rFonts w:ascii="Times New Roman" w:hAnsi="Times New Roman"/>
          <w:color w:val="000000" w:themeColor="text1"/>
        </w:rPr>
        <w:t>stochastic</w:t>
      </w:r>
      <w:r w:rsidRPr="002514EA">
        <w:rPr>
          <w:rFonts w:ascii="Times New Roman" w:hAnsi="Times New Roman"/>
          <w:color w:val="000000" w:themeColor="text1"/>
        </w:rPr>
        <w:t xml:space="preserve"> reserve 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093AF15F"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r>
        <w:rPr>
          <w:rFonts w:ascii="Times New Roman" w:hAnsi="Times New Roman" w:cs="Times New Roman"/>
          <w:color w:val="000000"/>
        </w:rPr>
        <w:t xml:space="preserve">longevity </w:t>
      </w:r>
      <w:r w:rsidRPr="005D637E">
        <w:rPr>
          <w:rFonts w:ascii="Times New Roman" w:hAnsi="Times New Roman" w:cs="Times New Roman"/>
          <w:color w:val="000000"/>
        </w:rPr>
        <w:t>reinsurance.</w:t>
      </w: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67"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67"/>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68" w:name="_Toc77242151"/>
      <w:bookmarkStart w:id="69" w:name="_Toc115705831"/>
      <w:r w:rsidRPr="004B45D3">
        <w:rPr>
          <w:sz w:val="24"/>
          <w:szCs w:val="24"/>
        </w:rPr>
        <w:lastRenderedPageBreak/>
        <w:t>Section 7: Exclusion Testing</w:t>
      </w:r>
      <w:bookmarkEnd w:id="68"/>
      <w:bookmarkEnd w:id="69"/>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70" w:name="_Toc77242152"/>
      <w:bookmarkStart w:id="71" w:name="_Toc115705832"/>
      <w:r>
        <w:rPr>
          <w:sz w:val="22"/>
          <w:szCs w:val="22"/>
        </w:rPr>
        <w:t>Stochastic Exclusion Test Requirement Overview</w:t>
      </w:r>
      <w:bookmarkEnd w:id="70"/>
      <w:bookmarkEnd w:id="71"/>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57AD660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72" w:name="_Hlk50829377"/>
      <w:r w:rsidRPr="00FD4E7D">
        <w:rPr>
          <w:rFonts w:ascii="Times New Roman" w:eastAsia="Times New Roman" w:hAnsi="Times New Roman" w:cs="Times New Roman"/>
        </w:rPr>
        <w:t>, with the exception of hedging programs solely supporting index credits</w:t>
      </w:r>
      <w:bookmarkEnd w:id="72"/>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780644D7" w:rsidR="00912D51" w:rsidRPr="00912D51" w:rsidRDefault="00912D51" w:rsidP="00AD0E74">
      <w:pPr>
        <w:pStyle w:val="xmsonormal"/>
        <w:numPr>
          <w:ilvl w:val="1"/>
          <w:numId w:val="31"/>
        </w:numPr>
        <w:rPr>
          <w:rFonts w:ascii="Times New Roman" w:hAnsi="Times New Roman" w:cs="Times New Roman"/>
        </w:rPr>
      </w:pPr>
      <w:r w:rsidRPr="00912D51">
        <w:rPr>
          <w:rFonts w:ascii="Times New Roman" w:hAnsi="Times New Roman" w:cs="Times New Roman"/>
        </w:rPr>
        <w:t>A company may elect to automatically exclude one or more groups of policies from the stochastic reserve calculation without passing the stochastic exclusion test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7B56FFC8" w:rsidR="00912D51" w:rsidRDefault="00912D51" w:rsidP="00AD0E74">
      <w:pPr>
        <w:pStyle w:val="xmsolistparagraph"/>
        <w:numPr>
          <w:ilvl w:val="4"/>
          <w:numId w:val="82"/>
        </w:numPr>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Pr>
          <w:rFonts w:ascii="Times New Roman" w:eastAsia="Times New Roman" w:hAnsi="Times New Roman" w:cs="Times New Roman"/>
        </w:rPr>
        <w:t>,</w:t>
      </w:r>
    </w:p>
    <w:p w14:paraId="3986367D" w14:textId="77777777" w:rsidR="00912D51" w:rsidRDefault="00912D51" w:rsidP="00AD0E74">
      <w:pPr>
        <w:pStyle w:val="xmsolistparagraph"/>
        <w:numPr>
          <w:ilvl w:val="4"/>
          <w:numId w:val="82"/>
        </w:numPr>
        <w:rPr>
          <w:rFonts w:ascii="Times New Roman" w:eastAsia="Times New Roman" w:hAnsi="Times New Roman" w:cs="Times New Roman"/>
        </w:rPr>
      </w:pPr>
      <w:r w:rsidRPr="00912D51">
        <w:rPr>
          <w:rFonts w:ascii="Times New Roman" w:eastAsia="Times New Roman" w:hAnsi="Times New Roman" w:cs="Times New Roman"/>
        </w:rPr>
        <w:t>Term Certain Payout Annuities, or</w:t>
      </w:r>
    </w:p>
    <w:p w14:paraId="0A94EB22" w14:textId="763DF213" w:rsidR="00912D51" w:rsidRPr="00912D51" w:rsidRDefault="00912D51" w:rsidP="00AD0E74">
      <w:pPr>
        <w:pStyle w:val="xmsolistparagraph"/>
        <w:numPr>
          <w:ilvl w:val="4"/>
          <w:numId w:val="82"/>
        </w:numPr>
        <w:rPr>
          <w:rFonts w:ascii="Times New Roman" w:eastAsia="Times New Roman" w:hAnsi="Times New Roman" w:cs="Times New Roman"/>
        </w:rPr>
      </w:pPr>
      <w:r w:rsidRPr="00912D51">
        <w:rPr>
          <w:rFonts w:ascii="Times New Roman" w:eastAsia="Times New Roman" w:hAnsi="Times New Roman" w:cs="Times New Roman"/>
        </w:rPr>
        <w:t>Structured Settlement Contracts</w:t>
      </w:r>
      <w:r>
        <w:rPr>
          <w:rFonts w:ascii="Times New Roman" w:eastAsia="Times New Roman" w:hAnsi="Times New Roman" w:cs="Times New Roman"/>
        </w:rPr>
        <w:t>;</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None of the contracts are pension risk transfer annuities (PRT) or are covered under a longevity reinsurance agreement</w:t>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6E922241" w:rsidR="00912D51" w:rsidRDefault="00912D51" w:rsidP="00AD0E74">
      <w:pPr>
        <w:pStyle w:val="xmsolistparagraph"/>
        <w:numPr>
          <w:ilvl w:val="2"/>
          <w:numId w:val="10"/>
        </w:numPr>
        <w:ind w:left="2880" w:hanging="720"/>
        <w:rPr>
          <w:rFonts w:ascii="Times New Roman" w:eastAsia="Times New Roman" w:hAnsi="Times New Roman" w:cs="Times New Roman"/>
        </w:rPr>
      </w:pPr>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time;</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There is either no or an immaterial level of policyholder options permitted within the contracts</w:t>
      </w:r>
      <w:r>
        <w:rPr>
          <w:rFonts w:ascii="Times New Roman" w:eastAsia="Times New Roman" w:hAnsi="Times New Roman" w:cs="Times New Roman"/>
        </w:rPr>
        <w:t>;</w:t>
      </w:r>
      <w:r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 xml:space="preserve">The average </w:t>
      </w:r>
      <w:r w:rsidRPr="00912D51">
        <w:rPr>
          <w:rFonts w:ascii="Times New Roman" w:eastAsia="Times New Roman" w:hAnsi="Times New Roman" w:cs="Times New Roman"/>
          <w:highlight w:val="yellow"/>
        </w:rPr>
        <w:t>[Macauley duration]</w:t>
      </w:r>
      <w:r w:rsidRPr="00912D51">
        <w:rPr>
          <w:rFonts w:ascii="Times New Roman" w:eastAsia="Times New Roman" w:hAnsi="Times New Roman" w:cs="Times New Roman"/>
        </w:rPr>
        <w:t xml:space="preserve"> of the liabilities of the contracts as measured from the issue date (or premium determination date) is less than </w:t>
      </w:r>
      <w:r w:rsidRPr="00912D51">
        <w:rPr>
          <w:rFonts w:ascii="Times New Roman" w:eastAsia="Times New Roman" w:hAnsi="Times New Roman" w:cs="Times New Roman"/>
          <w:highlight w:val="yellow"/>
        </w:rPr>
        <w:t>[X]</w:t>
      </w:r>
      <w:r w:rsidRPr="00912D51">
        <w:rPr>
          <w:rFonts w:ascii="Times New Roman" w:eastAsia="Times New Roman" w:hAnsi="Times New Roman" w:cs="Times New Roman"/>
        </w:rPr>
        <w:t>.</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73" w:name="_Toc77242153"/>
      <w:bookmarkStart w:id="74" w:name="_Toc115705833"/>
      <w:r>
        <w:rPr>
          <w:sz w:val="22"/>
          <w:szCs w:val="22"/>
        </w:rPr>
        <w:t>Requirement to Pass the</w:t>
      </w:r>
      <w:r w:rsidR="001904F3" w:rsidRPr="009D26DB">
        <w:rPr>
          <w:sz w:val="22"/>
          <w:szCs w:val="22"/>
        </w:rPr>
        <w:t xml:space="preserve"> Stochastic Exclusion Tests</w:t>
      </w:r>
      <w:bookmarkEnd w:id="73"/>
      <w:bookmarkEnd w:id="74"/>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6D57ED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r w:rsidRPr="00FD4E7D">
        <w:rPr>
          <w:rFonts w:ascii="Times New Roman" w:hAnsi="Times New Roman" w:cs="Times New Roman"/>
        </w:rPr>
        <w:t>across 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477E682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VM-A and VM-C </w:t>
      </w:r>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75" w:name="_Toc77242154"/>
      <w:bookmarkStart w:id="76" w:name="_Toc115705834"/>
      <w:r>
        <w:rPr>
          <w:sz w:val="22"/>
          <w:szCs w:val="22"/>
        </w:rPr>
        <w:t xml:space="preserve">Stochastic Exclusion </w:t>
      </w:r>
      <w:r w:rsidR="00EA60BE">
        <w:rPr>
          <w:sz w:val="22"/>
          <w:szCs w:val="22"/>
        </w:rPr>
        <w:t xml:space="preserve">Ratio </w:t>
      </w:r>
      <w:r>
        <w:rPr>
          <w:sz w:val="22"/>
          <w:szCs w:val="22"/>
        </w:rPr>
        <w:t>Test</w:t>
      </w:r>
      <w:bookmarkEnd w:id="75"/>
      <w:bookmarkEnd w:id="76"/>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206007A9"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economic scenario 9</w:t>
      </w:r>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r w:rsidR="008858A9" w:rsidRPr="00FD4E7D">
        <w:rPr>
          <w:rFonts w:ascii="Times New Roman" w:hAnsi="Times New Roman" w:cs="Times New Roman"/>
        </w:rPr>
        <w:t>, 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73B8869D"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w:t>
      </w:r>
      <w:r w:rsidR="008858A9" w:rsidRPr="00FD4E7D">
        <w:rPr>
          <w:rFonts w:ascii="Times New Roman" w:hAnsi="Times New Roman" w:cs="Times New Roman"/>
        </w:rPr>
        <w:lastRenderedPageBreak/>
        <w:t>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lastRenderedPageBreak/>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7162D7CB"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77" w:name="_Toc77242155"/>
      <w:bookmarkStart w:id="78" w:name="_Toc115705835"/>
      <w:r w:rsidRPr="001904F3">
        <w:rPr>
          <w:sz w:val="22"/>
          <w:szCs w:val="22"/>
        </w:rPr>
        <w:t>Stochastic Exclusion Demonstration Test</w:t>
      </w:r>
      <w:bookmarkEnd w:id="77"/>
      <w:bookmarkEnd w:id="78"/>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350BB20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2A9682E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 xml:space="preserve">determined pursuant to the applicable requirements in VM-A and VM-C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35C5033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79" w:name="_Hlk59532322"/>
      <w:r w:rsidR="008858A9" w:rsidRPr="00FD4E7D">
        <w:rPr>
          <w:rFonts w:ascii="Times New Roman" w:eastAsia="Times New Roman" w:hAnsi="Times New Roman" w:cs="Times New Roman"/>
        </w:rPr>
        <w:t>statutory reserve calculated in accordance with VM-A and VM-C</w:t>
      </w:r>
      <w:bookmarkEnd w:id="79"/>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5ED5885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0C1156B3"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80" w:name="_Toc77242156"/>
      <w:bookmarkStart w:id="81" w:name="_Toc115705836"/>
      <w:r w:rsidRPr="00DE21E7">
        <w:rPr>
          <w:sz w:val="22"/>
          <w:szCs w:val="22"/>
        </w:rPr>
        <w:t>Deterministic Certification Option</w:t>
      </w:r>
      <w:bookmarkEnd w:id="80"/>
      <w:r w:rsidRPr="00DE21E7">
        <w:rPr>
          <w:sz w:val="22"/>
          <w:szCs w:val="22"/>
        </w:rPr>
        <w:t xml:space="preserve">   </w:t>
      </w:r>
      <w:bookmarkEnd w:id="81"/>
    </w:p>
    <w:p w14:paraId="4A7892EE" w14:textId="77777777" w:rsidR="00F138DF" w:rsidRDefault="00F138DF" w:rsidP="00F138DF">
      <w:pPr>
        <w:spacing w:after="0"/>
        <w:ind w:left="1800" w:hanging="360"/>
        <w:rPr>
          <w:rFonts w:ascii="Times New Roman" w:hAnsi="Times New Roman" w:cs="Times New Roman"/>
        </w:rPr>
      </w:pPr>
    </w:p>
    <w:p w14:paraId="003576E0" w14:textId="46075FB5"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r w:rsidR="00EC0628">
        <w:rPr>
          <w:rFonts w:ascii="Times New Roman" w:hAnsi="Times New Roman" w:cs="Times New Roman"/>
        </w:rPr>
        <w:t>may</w:t>
      </w:r>
      <w:r>
        <w:rPr>
          <w:rFonts w:ascii="Times New Roman" w:hAnsi="Times New Roman" w:cs="Times New Roman"/>
        </w:rPr>
        <w:t xml:space="preserve"> determine the </w:t>
      </w:r>
      <w:r w:rsidR="0018608C">
        <w:rPr>
          <w:rFonts w:ascii="Times New Roman" w:hAnsi="Times New Roman" w:cs="Times New Roman"/>
        </w:rPr>
        <w:t>SR</w:t>
      </w:r>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23F4121B"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r w:rsidR="0018608C">
        <w:rPr>
          <w:rFonts w:ascii="Times New Roman" w:hAnsi="Times New Roman" w:cs="Times New Roman"/>
        </w:rPr>
        <w:t>SR</w:t>
      </w:r>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515AB897"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r w:rsidRPr="000443ED">
        <w:rPr>
          <w:rFonts w:ascii="Times New Roman" w:hAnsi="Times New Roman" w:cs="Times New Roman"/>
        </w:rPr>
        <w:t>SR</w:t>
      </w:r>
      <w:r w:rsidRPr="000443ED">
        <w:rPr>
          <w:rFonts w:ascii="Times New Roman" w:hAnsi="Times New Roman" w:cs="Times New Roman"/>
        </w:rPr>
        <w:t xml:space="preserve"> equals the scenario reserve following the requirements for Section 4.</w:t>
      </w:r>
    </w:p>
    <w:p w14:paraId="329E573A" w14:textId="3CAE5859" w:rsidR="002C726F" w:rsidRDefault="002C726F" w:rsidP="002C726F">
      <w:pPr>
        <w:pStyle w:val="Heading1"/>
        <w:rPr>
          <w:sz w:val="24"/>
          <w:szCs w:val="24"/>
        </w:rPr>
      </w:pPr>
      <w:bookmarkStart w:id="82" w:name="_Toc77242157"/>
      <w:bookmarkStart w:id="83" w:name="_Toc115705837"/>
      <w:r>
        <w:rPr>
          <w:sz w:val="24"/>
          <w:szCs w:val="24"/>
        </w:rPr>
        <w:lastRenderedPageBreak/>
        <w:t xml:space="preserve">Section 8: </w:t>
      </w:r>
      <w:r w:rsidR="00D64C27">
        <w:rPr>
          <w:sz w:val="24"/>
          <w:szCs w:val="24"/>
        </w:rPr>
        <w:t>To Be Determined (Scenario Generation for VM-21)</w:t>
      </w:r>
      <w:bookmarkEnd w:id="82"/>
      <w:bookmarkEnd w:id="83"/>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84" w:name="_Toc77242158"/>
      <w:bookmarkStart w:id="85" w:name="_Toc115705838"/>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84"/>
      <w:bookmarkEnd w:id="85"/>
    </w:p>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86" w:name="_Toc77242159"/>
      <w:bookmarkStart w:id="87" w:name="_Toc115705839"/>
      <w:r>
        <w:rPr>
          <w:sz w:val="22"/>
          <w:szCs w:val="22"/>
        </w:rPr>
        <w:t xml:space="preserve">A. </w:t>
      </w:r>
      <w:r w:rsidR="005613C4" w:rsidRPr="009E255A">
        <w:rPr>
          <w:sz w:val="22"/>
          <w:szCs w:val="22"/>
        </w:rPr>
        <w:t>Initial Considerations</w:t>
      </w:r>
      <w:bookmarkEnd w:id="86"/>
      <w:bookmarkEnd w:id="87"/>
    </w:p>
    <w:p w14:paraId="417B5E65" w14:textId="77777777" w:rsidR="0040376D" w:rsidRPr="0040376D" w:rsidRDefault="0040376D" w:rsidP="0040376D">
      <w:pPr>
        <w:spacing w:after="0"/>
      </w:pPr>
    </w:p>
    <w:p w14:paraId="20BFAC29" w14:textId="2A30BFB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If the company</w:t>
      </w:r>
      <w:r>
        <w:rPr>
          <w:rFonts w:ascii="Times New Roman" w:eastAsia="Times New Roman" w:hAnsi="Times New Roman"/>
        </w:rPr>
        <w:t xml:space="preserve"> clearly separates index credit hedging from other hedging</w:t>
      </w:r>
      <w:r w:rsidR="00EF2E82">
        <w:rPr>
          <w:rFonts w:ascii="Times New Roman" w:eastAsia="Times New Roman" w:hAnsi="Times New Roman"/>
        </w:rPr>
        <w:t>, then only the section only pertains 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2D5691A4"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88" w:name="_Toc77242160"/>
      <w:bookmarkStart w:id="89" w:name="_Toc115705840"/>
      <w:r w:rsidRPr="009E255A">
        <w:rPr>
          <w:sz w:val="22"/>
          <w:szCs w:val="22"/>
        </w:rPr>
        <w:t>B.</w:t>
      </w:r>
      <w:r w:rsidRPr="009E255A">
        <w:rPr>
          <w:sz w:val="22"/>
          <w:szCs w:val="22"/>
        </w:rPr>
        <w:tab/>
        <w:t>Modeling Approaches</w:t>
      </w:r>
      <w:bookmarkEnd w:id="88"/>
      <w:bookmarkEnd w:id="89"/>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90" w:name="_Toc77242161"/>
      <w:bookmarkStart w:id="91"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90"/>
      <w:bookmarkEnd w:id="91"/>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54584B7E"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92"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93"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93"/>
      <w:r w:rsidR="00AD3A32">
        <w:rPr>
          <w:rFonts w:ascii="Times New Roman" w:eastAsia="Times New Roman" w:hAnsi="Times New Roman"/>
        </w:rPr>
        <w:t>12 months)</w:t>
      </w:r>
      <w:bookmarkEnd w:id="92"/>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w:t>
      </w:r>
      <w:r w:rsidRPr="00345C8C">
        <w:rPr>
          <w:rFonts w:ascii="Times New Roman" w:eastAsia="Times New Roman" w:hAnsi="Times New Roman"/>
        </w:rPr>
        <w:lastRenderedPageBreak/>
        <w:t>“cost of reinsurance method”), calculate the delta,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53700C2C"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r w:rsidR="00346FA2" w:rsidRPr="00346FA2">
        <w:rPr>
          <w:rFonts w:ascii="Times New Roman" w:eastAsia="Times New Roman" w:hAnsi="Times New Roman"/>
        </w:rPr>
        <w:t xml:space="preserve">For a material change in strategy, with no less than 3 months of history, E should be 1.0.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r>
        <w:rPr>
          <w:rFonts w:ascii="Times New Roman" w:hAnsi="Times New Roman"/>
        </w:rPr>
        <w:t>The following examples are provided as guidance for determining the E factor when there has been a change to the hedge program:</w:t>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AD0E74">
      <w:pPr>
        <w:pStyle w:val="Heading2"/>
        <w:numPr>
          <w:ilvl w:val="0"/>
          <w:numId w:val="72"/>
        </w:numPr>
        <w:rPr>
          <w:sz w:val="22"/>
          <w:szCs w:val="22"/>
        </w:rPr>
      </w:pPr>
      <w:bookmarkStart w:id="94" w:name="_Toc69402548"/>
      <w:bookmarkStart w:id="95" w:name="_Toc72749212"/>
      <w:bookmarkStart w:id="96" w:name="_Toc73281051"/>
      <w:bookmarkStart w:id="97" w:name="_Toc115705842"/>
      <w:r w:rsidRPr="009E255A" w:rsidDel="00574A28">
        <w:rPr>
          <w:sz w:val="22"/>
          <w:szCs w:val="22"/>
        </w:rPr>
        <w:t>Additional Considerations for CTE70 (best efforts)</w:t>
      </w:r>
      <w:bookmarkStart w:id="98" w:name="_Toc68863461"/>
      <w:bookmarkStart w:id="99" w:name="_Toc68863532"/>
      <w:bookmarkStart w:id="100" w:name="_Toc68863683"/>
      <w:bookmarkStart w:id="101" w:name="_Toc68864879"/>
      <w:bookmarkEnd w:id="94"/>
      <w:bookmarkEnd w:id="95"/>
      <w:bookmarkEnd w:id="96"/>
      <w:bookmarkEnd w:id="98"/>
      <w:bookmarkEnd w:id="99"/>
      <w:bookmarkEnd w:id="100"/>
      <w:bookmarkEnd w:id="101"/>
      <w:bookmarkEnd w:id="97"/>
    </w:p>
    <w:p w14:paraId="2F2AED5C" w14:textId="2166CB34" w:rsidR="0040376D" w:rsidRPr="0040376D" w:rsidDel="00574A28" w:rsidRDefault="0040376D" w:rsidP="00575FC9">
      <w:pPr>
        <w:spacing w:after="0"/>
        <w:ind w:left="360"/>
      </w:pPr>
      <w:bookmarkStart w:id="102" w:name="_Toc68863462"/>
      <w:bookmarkStart w:id="103" w:name="_Toc68863533"/>
      <w:bookmarkStart w:id="104" w:name="_Toc68863684"/>
      <w:bookmarkStart w:id="105" w:name="_Toc68864880"/>
      <w:bookmarkEnd w:id="102"/>
      <w:bookmarkEnd w:id="103"/>
      <w:bookmarkEnd w:id="104"/>
      <w:bookmarkEnd w:id="105"/>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06" w:name="_Toc68863463"/>
      <w:bookmarkStart w:id="107" w:name="_Toc68863534"/>
      <w:bookmarkStart w:id="108" w:name="_Toc68863685"/>
      <w:bookmarkStart w:id="109" w:name="_Toc68864881"/>
      <w:bookmarkEnd w:id="106"/>
      <w:bookmarkEnd w:id="107"/>
      <w:bookmarkEnd w:id="108"/>
      <w:bookmarkEnd w:id="109"/>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10" w:name="_Toc68863464"/>
      <w:bookmarkStart w:id="111" w:name="_Toc68863535"/>
      <w:bookmarkStart w:id="112" w:name="_Toc68863686"/>
      <w:bookmarkStart w:id="113" w:name="_Toc68864882"/>
      <w:bookmarkEnd w:id="110"/>
      <w:bookmarkEnd w:id="111"/>
      <w:bookmarkEnd w:id="112"/>
      <w:bookmarkEnd w:id="113"/>
    </w:p>
    <w:p w14:paraId="2C41467D" w14:textId="3F5D418B" w:rsidR="0040376D" w:rsidRDefault="005613C4" w:rsidP="00AD0E74">
      <w:pPr>
        <w:pStyle w:val="Heading2"/>
        <w:numPr>
          <w:ilvl w:val="0"/>
          <w:numId w:val="69"/>
        </w:numPr>
        <w:rPr>
          <w:sz w:val="22"/>
          <w:szCs w:val="22"/>
        </w:rPr>
      </w:pPr>
      <w:bookmarkStart w:id="114" w:name="_Toc77242162"/>
      <w:bookmarkStart w:id="115" w:name="_Toc115705843"/>
      <w:r w:rsidRPr="009E255A">
        <w:rPr>
          <w:sz w:val="22"/>
          <w:szCs w:val="22"/>
        </w:rPr>
        <w:t>Specific Considerations and Requirements</w:t>
      </w:r>
      <w:bookmarkEnd w:id="114"/>
      <w:bookmarkEnd w:id="115"/>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16" w:name="_Toc77242163"/>
      <w:bookmarkStart w:id="117" w:name="_Toc115705844"/>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16"/>
      <w:bookmarkEnd w:id="117"/>
    </w:p>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118" w:name="_Toc77242164"/>
      <w:bookmarkStart w:id="119" w:name="_Toc115705845"/>
      <w:r w:rsidRPr="009E255A">
        <w:rPr>
          <w:sz w:val="22"/>
          <w:szCs w:val="22"/>
        </w:rPr>
        <w:t>A.</w:t>
      </w:r>
      <w:r w:rsidRPr="009E255A">
        <w:rPr>
          <w:sz w:val="22"/>
          <w:szCs w:val="22"/>
        </w:rPr>
        <w:tab/>
        <w:t>General</w:t>
      </w:r>
      <w:bookmarkEnd w:id="118"/>
      <w:bookmarkEnd w:id="119"/>
    </w:p>
    <w:p w14:paraId="30575CA4" w14:textId="77777777" w:rsidR="0040376D" w:rsidRPr="0040376D" w:rsidRDefault="0040376D" w:rsidP="0040376D">
      <w:pPr>
        <w:spacing w:after="0"/>
      </w:pPr>
    </w:p>
    <w:p w14:paraId="310DE685" w14:textId="6AA7AD1A"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and Section 12</w:t>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25AB6C0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the product purchased</w:t>
      </w:r>
      <w:r w:rsidR="00277EF6">
        <w:rPr>
          <w:rFonts w:ascii="Times New Roman" w:eastAsia="Times New Roman" w:hAnsi="Times New Roman"/>
        </w:rPr>
        <w:t>.</w:t>
      </w:r>
    </w:p>
    <w:p w14:paraId="148E0F18" w14:textId="3A73E3AA"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r w:rsidR="00277EF6">
        <w:rPr>
          <w:rFonts w:ascii="Times New Roman" w:eastAsia="Times New Roman" w:hAnsi="Times New Roman"/>
        </w:rPr>
        <w:t xml:space="preserve">is </w:t>
      </w:r>
      <w:r w:rsidRPr="00ED64B6">
        <w:rPr>
          <w:rFonts w:ascii="Times New Roman" w:eastAsia="Times New Roman" w:hAnsi="Times New Roman"/>
        </w:rPr>
        <w:t>option elective 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120" w:name="_Toc77242165"/>
      <w:bookmarkStart w:id="121" w:name="_Toc115705846"/>
      <w:r w:rsidRPr="00ED64B6">
        <w:rPr>
          <w:sz w:val="22"/>
          <w:szCs w:val="22"/>
        </w:rPr>
        <w:t>Aggregate vs. Individual Margins</w:t>
      </w:r>
      <w:bookmarkEnd w:id="120"/>
      <w:bookmarkEnd w:id="121"/>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22"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23" w:name="_Toc77242166"/>
      <w:bookmarkStart w:id="124" w:name="_Toc115705847"/>
      <w:bookmarkEnd w:id="122"/>
      <w:r w:rsidRPr="009E255A">
        <w:rPr>
          <w:sz w:val="22"/>
          <w:szCs w:val="22"/>
        </w:rPr>
        <w:t>C.</w:t>
      </w:r>
      <w:r w:rsidRPr="00D31106">
        <w:tab/>
      </w:r>
      <w:r w:rsidRPr="009E255A">
        <w:rPr>
          <w:sz w:val="22"/>
          <w:szCs w:val="22"/>
        </w:rPr>
        <w:t>Sensitivity Testing</w:t>
      </w:r>
      <w:bookmarkEnd w:id="123"/>
      <w:bookmarkEnd w:id="124"/>
    </w:p>
    <w:p w14:paraId="45F4CEBB" w14:textId="77777777" w:rsidR="00ED64B6" w:rsidRPr="00ED64B6" w:rsidRDefault="00ED64B6" w:rsidP="00ED64B6">
      <w:pPr>
        <w:spacing w:after="0"/>
      </w:pPr>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125"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Account transfer</w:t>
      </w:r>
      <w:r w:rsidR="00120799">
        <w:rPr>
          <w:rFonts w:ascii="Times New Roman" w:eastAsia="Times New Roman" w:hAnsi="Times New Roman"/>
        </w:rPr>
        <w:t>s.</w:t>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25"/>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26" w:name="_Toc77242167"/>
      <w:bookmarkStart w:id="127" w:name="_Toc115705848"/>
      <w:r w:rsidRPr="009E255A">
        <w:rPr>
          <w:sz w:val="22"/>
          <w:szCs w:val="22"/>
        </w:rPr>
        <w:t>Specific Considerations and Requirements</w:t>
      </w:r>
      <w:bookmarkEnd w:id="126"/>
      <w:bookmarkEnd w:id="127"/>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128"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128"/>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330D9A53"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transfers (intra-contract index “switching”) might be ignored, unless required under the terms of the contract (e.g., automatic 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sidRPr="00D31106">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D31106">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4F49842C"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8.</w:t>
      </w:r>
      <w:r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29" w:name="_Toc77242168"/>
      <w:bookmarkStart w:id="130" w:name="_Toc115705849"/>
      <w:r w:rsidRPr="009E255A">
        <w:rPr>
          <w:sz w:val="22"/>
          <w:szCs w:val="22"/>
        </w:rPr>
        <w:t>E.</w:t>
      </w:r>
      <w:r w:rsidRPr="009E255A">
        <w:rPr>
          <w:sz w:val="22"/>
          <w:szCs w:val="22"/>
        </w:rPr>
        <w:tab/>
        <w:t>Dynamic Assumptions</w:t>
      </w:r>
      <w:bookmarkEnd w:id="129"/>
      <w:bookmarkEnd w:id="130"/>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31" w:name="_Toc77242169"/>
      <w:bookmarkStart w:id="132" w:name="_Toc115705850"/>
      <w:r w:rsidRPr="009E255A">
        <w:rPr>
          <w:sz w:val="22"/>
          <w:szCs w:val="22"/>
        </w:rPr>
        <w:t>F.</w:t>
      </w:r>
      <w:r w:rsidRPr="009E255A">
        <w:rPr>
          <w:sz w:val="22"/>
          <w:szCs w:val="22"/>
        </w:rPr>
        <w:tab/>
        <w:t>Consistency with the CTE Level</w:t>
      </w:r>
      <w:bookmarkEnd w:id="131"/>
      <w:bookmarkEnd w:id="132"/>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33" w:name="_Toc77242170"/>
      <w:bookmarkStart w:id="134" w:name="_Toc115705851"/>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133"/>
      <w:bookmarkEnd w:id="134"/>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35" w:name="_Toc77242171"/>
      <w:bookmarkStart w:id="136" w:name="_Toc115705852"/>
      <w:r w:rsidRPr="009E255A">
        <w:rPr>
          <w:sz w:val="22"/>
          <w:szCs w:val="22"/>
        </w:rPr>
        <w:t>Policy Loans</w:t>
      </w:r>
      <w:bookmarkEnd w:id="135"/>
      <w:bookmarkEnd w:id="136"/>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37" w:name="_Toc77242172"/>
      <w:bookmarkStart w:id="138" w:name="_Toc115705853"/>
      <w:bookmarkStart w:id="139" w:name="_Hlk67471705"/>
      <w:r w:rsidRPr="00A07F8C">
        <w:rPr>
          <w:sz w:val="22"/>
          <w:szCs w:val="22"/>
        </w:rPr>
        <w:t>Non-Guaranteed Elements</w:t>
      </w:r>
      <w:bookmarkEnd w:id="137"/>
      <w:bookmarkEnd w:id="138"/>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140"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140"/>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139"/>
      <w:r w:rsidR="00534043" w:rsidRPr="00534043">
        <w:rPr>
          <w:rFonts w:ascii="Times New Roman" w:eastAsia="Times New Roman" w:hAnsi="Times New Roman"/>
        </w:rPr>
        <w:t xml:space="preserve"> </w:t>
      </w:r>
      <w:bookmarkStart w:id="141"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141"/>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142" w:name="_Toc77242173"/>
      <w:bookmarkStart w:id="143" w:name="_Toc115705854"/>
      <w:r w:rsidR="00D64C27">
        <w:rPr>
          <w:sz w:val="24"/>
          <w:szCs w:val="24"/>
        </w:rPr>
        <w:lastRenderedPageBreak/>
        <w:t>Section 11: Guidance and Requirements for Setting Prudent Estimate Mortality Assumptions</w:t>
      </w:r>
      <w:bookmarkEnd w:id="142"/>
      <w:bookmarkEnd w:id="143"/>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144" w:name="_Toc77242174"/>
      <w:bookmarkStart w:id="145" w:name="_Toc115705855"/>
      <w:r w:rsidRPr="009E255A">
        <w:rPr>
          <w:sz w:val="22"/>
          <w:szCs w:val="22"/>
        </w:rPr>
        <w:t>A.</w:t>
      </w:r>
      <w:r w:rsidRPr="009E255A">
        <w:rPr>
          <w:sz w:val="22"/>
          <w:szCs w:val="22"/>
        </w:rPr>
        <w:tab/>
        <w:t>Overview</w:t>
      </w:r>
      <w:bookmarkEnd w:id="144"/>
      <w:bookmarkEnd w:id="145"/>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146" w:name="_Toc77242175"/>
      <w:bookmarkStart w:id="147" w:name="_Toc115705856"/>
      <w:r w:rsidRPr="009E255A">
        <w:rPr>
          <w:sz w:val="22"/>
          <w:szCs w:val="22"/>
        </w:rPr>
        <w:t>B.</w:t>
      </w:r>
      <w:r w:rsidRPr="009E255A">
        <w:rPr>
          <w:sz w:val="22"/>
          <w:szCs w:val="22"/>
        </w:rPr>
        <w:tab/>
        <w:t>Determination of Expected Mortality Curves</w:t>
      </w:r>
      <w:bookmarkEnd w:id="146"/>
      <w:bookmarkEnd w:id="147"/>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48" w:name="_Hlk62486510"/>
      <w:r w:rsidRPr="0040376D">
        <w:rPr>
          <w:rFonts w:ascii="Times New Roman" w:eastAsia="Times New Roman" w:hAnsi="Times New Roman"/>
        </w:rPr>
        <w:t>W</w:t>
      </w:r>
      <w:bookmarkEnd w:id="148"/>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D31106"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D31106"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D31106"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Experience of a plus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49" w:name="_Toc77242176"/>
      <w:bookmarkStart w:id="150" w:name="_Toc115705857"/>
      <w:r w:rsidRPr="009E255A">
        <w:rPr>
          <w:sz w:val="22"/>
          <w:szCs w:val="22"/>
        </w:rPr>
        <w:t>Adjustment for Credibility to Determine Prudent Estimate Mortality</w:t>
      </w:r>
      <w:bookmarkEnd w:id="149"/>
      <w:bookmarkEnd w:id="150"/>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plus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51" w:name="_Toc77242177"/>
      <w:bookmarkStart w:id="152" w:name="_Toc115705858"/>
      <w:r w:rsidRPr="009E255A">
        <w:rPr>
          <w:sz w:val="22"/>
          <w:szCs w:val="22"/>
        </w:rPr>
        <w:t>D.</w:t>
      </w:r>
      <w:r w:rsidRPr="009E255A">
        <w:rPr>
          <w:sz w:val="22"/>
          <w:szCs w:val="22"/>
        </w:rPr>
        <w:tab/>
        <w:t>Future Mortality Improvement</w:t>
      </w:r>
      <w:bookmarkEnd w:id="151"/>
      <w:bookmarkEnd w:id="152"/>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53" w:name="_Toc115705859"/>
      <w:bookmarkStart w:id="154" w:name="_Toc77242178"/>
      <w:r>
        <w:rPr>
          <w:sz w:val="24"/>
          <w:szCs w:val="24"/>
        </w:rPr>
        <w:lastRenderedPageBreak/>
        <w:t xml:space="preserve">Section 12: </w:t>
      </w:r>
      <w:r w:rsidR="00967921" w:rsidRPr="00967921">
        <w:rPr>
          <w:sz w:val="24"/>
          <w:szCs w:val="24"/>
        </w:rPr>
        <w:t>Other Guidance and Requirements for Assumptions</w:t>
      </w:r>
      <w:bookmarkEnd w:id="153"/>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55"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316E35F4" w:rsidR="000443ED" w:rsidRPr="000443ED" w:rsidRDefault="000443ED" w:rsidP="000443ED">
      <w:pPr>
        <w:pStyle w:val="ListParagraph"/>
        <w:widowControl w:val="0"/>
        <w:pBdr>
          <w:top w:val="single" w:sz="4" w:space="1" w:color="auto"/>
          <w:left w:val="single" w:sz="4" w:space="4" w:color="auto"/>
          <w:bottom w:val="single" w:sz="4" w:space="1" w:color="auto"/>
          <w:right w:val="single" w:sz="4" w:space="4" w:color="auto"/>
        </w:pBdr>
        <w:tabs>
          <w:tab w:val="left" w:pos="2842"/>
        </w:tabs>
        <w:autoSpaceDE w:val="0"/>
        <w:autoSpaceDN w:val="0"/>
        <w:spacing w:before="5" w:after="0" w:line="240" w:lineRule="auto"/>
        <w:ind w:left="721"/>
        <w:rPr>
          <w:rFonts w:ascii="Times New Roman" w:hAnsi="Times New Roman" w:cs="Times New Roman"/>
        </w:rPr>
      </w:pPr>
      <w:r w:rsidRPr="000443ED">
        <w:rPr>
          <w:rFonts w:ascii="Times New Roman" w:hAnsi="Times New Roman" w:cs="Times New Roman"/>
          <w:b/>
          <w:bCs/>
        </w:rPr>
        <w:t>Guidance Note:</w:t>
      </w:r>
      <w:r w:rsidRPr="000443ED">
        <w:rPr>
          <w:rFonts w:ascii="Times New Roman" w:hAnsi="Times New Roman" w:cs="Times New Roman"/>
        </w:rPr>
        <w:t xml:space="preserve"> 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77777777"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55"/>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t xml:space="preserve">Guidance Note: </w:t>
      </w:r>
      <w:r w:rsidRPr="00C90D7B">
        <w:rPr>
          <w:rFonts w:ascii="Times New Roman" w:hAnsi="Times New Roman" w:cs="Times New Roman"/>
        </w:rPr>
        <w:t xml:space="preserve">Expense assumptions should reflect the direct costs associated with the block of </w:t>
      </w:r>
      <w:r w:rsidRPr="00C90D7B">
        <w:rPr>
          <w:rFonts w:ascii="Times New Roman" w:hAnsi="Times New Roman" w:cs="Times New Roman"/>
        </w:rPr>
        <w:lastRenderedPageBreak/>
        <w:t>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56"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154"/>
      <w:bookmarkEnd w:id="156"/>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21AB5A47"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however, contracts for which the Deterministic Certification Option is elected in Section 7.E are subject to the allocation methodology described in this Section 12</w:t>
      </w:r>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DR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45B31435"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Section 12.B.1 or 12.B.2, 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F3548A7"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The contract’s allocated excess reserve (AER), as defined in Section 12.D.</w:t>
      </w:r>
    </w:p>
    <w:p w14:paraId="220DAE83" w14:textId="0430008C" w:rsidR="00F93494" w:rsidRPr="000C2652" w:rsidRDefault="003E432F"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35E4B47F" w:rsidR="006F62B7" w:rsidRDefault="003E432F" w:rsidP="00AD0E74">
      <w:pPr>
        <w:widowControl w:val="0"/>
        <w:numPr>
          <w:ilvl w:val="0"/>
          <w:numId w:val="58"/>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r w:rsidR="009D0815" w:rsidRPr="000C2652">
        <w:rPr>
          <w:rFonts w:ascii="Times New Roman" w:eastAsia="Times New Roman" w:hAnsi="Times New Roman"/>
        </w:rPr>
        <w:t xml:space="preserve">aggregate </w:t>
      </w:r>
      <w:r w:rsidR="006F62B7" w:rsidRPr="000C2652">
        <w:rPr>
          <w:rFonts w:ascii="Times New Roman" w:eastAsia="Times New Roman" w:hAnsi="Times New Roman"/>
        </w:rPr>
        <w:t>scenario that produces the scenario reserve</w:t>
      </w:r>
      <w:r w:rsidR="009D0815" w:rsidRPr="000C2652">
        <w:rPr>
          <w:rFonts w:ascii="Times New Roman" w:eastAsia="Times New Roman" w:hAnsi="Times New Roman"/>
        </w:rPr>
        <w:t xml:space="preserve"> 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7B5DD7">
      <w:pPr>
        <w:widowControl w:val="0"/>
        <w:numPr>
          <w:ilvl w:val="1"/>
          <w:numId w:val="58"/>
        </w:numPr>
        <w:spacing w:after="220" w:line="240" w:lineRule="auto"/>
        <w:ind w:left="2880" w:hanging="720"/>
        <w:contextualSpacing/>
        <w:jc w:val="both"/>
        <w:rPr>
          <w:rFonts w:ascii="Times New Roman" w:eastAsia="Times New Roman" w:hAnsi="Times New Roman"/>
        </w:rPr>
      </w:pPr>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5366FF">
      <w:pPr>
        <w:widowControl w:val="0"/>
        <w:numPr>
          <w:ilvl w:val="2"/>
          <w:numId w:val="58"/>
        </w:numPr>
        <w:spacing w:after="220" w:line="240" w:lineRule="auto"/>
        <w:ind w:left="360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0FB01DEF" w14:textId="2DBE6A83"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7B5DD7">
      <w:pPr>
        <w:widowControl w:val="0"/>
        <w:spacing w:after="220" w:line="240" w:lineRule="auto"/>
        <w:contextualSpacing/>
        <w:jc w:val="both"/>
        <w:rPr>
          <w:rFonts w:ascii="Times New Roman" w:eastAsia="Times New Roman" w:hAnsi="Times New Roman"/>
        </w:rPr>
      </w:pPr>
    </w:p>
    <w:p w14:paraId="5045482C" w14:textId="3E871997"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AD69749" w14:textId="39327FE1"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565A9F76" w14:textId="64A391C9" w:rsidR="007B5DD7" w:rsidRDefault="007B5DD7" w:rsidP="007B5DD7">
      <w:pPr>
        <w:widowControl w:val="0"/>
        <w:numPr>
          <w:ilvl w:val="2"/>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w:t>
      </w:r>
      <w:r w:rsidRPr="007B5DD7">
        <w:rPr>
          <w:rFonts w:ascii="Times New Roman" w:eastAsia="Times New Roman" w:hAnsi="Times New Roman"/>
        </w:rPr>
        <w:lastRenderedPageBreak/>
        <w:t>earnings divided by invested assets subject to the requirements in a through e below. All items reflected in the ratio are consistent with statutory asset valuation and accrual accounting, including reflection of due, accrued or unearned investment income 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43B98C86" w14:textId="2CB9FD2A" w:rsid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7B5DD7">
      <w:pPr>
        <w:widowControl w:val="0"/>
        <w:numPr>
          <w:ilvl w:val="4"/>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D4D1D0E" w14:textId="697CFF56" w:rsidR="007B5DD7" w:rsidRPr="007B5DD7" w:rsidRDefault="007B5DD7" w:rsidP="007B5DD7">
      <w:pPr>
        <w:widowControl w:val="0"/>
        <w:numPr>
          <w:ilvl w:val="4"/>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721CAA80" w14:textId="6001C354" w:rsid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feedback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lastRenderedPageBreak/>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0CA9DC9C"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r w:rsidRPr="00DD700F">
        <w:rPr>
          <w:rFonts w:ascii="Times New Roman" w:eastAsia="Times New Roman" w:hAnsi="Times New Roman"/>
        </w:rPr>
        <w:t xml:space="preserve">Table 12.1.A: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5D8D5987"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r w:rsidRPr="000C2652">
        <w:rPr>
          <w:rFonts w:ascii="Times New Roman" w:eastAsia="Times New Roman" w:hAnsi="Times New Roman"/>
        </w:rPr>
        <w:t xml:space="preserve">Table 12.1.B: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57"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57"/>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58" w:name="_Toc77242179"/>
      <w:bookmarkStart w:id="159"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58"/>
      <w:bookmarkEnd w:id="159"/>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60" w:name="_Toc115705862"/>
      <w:r>
        <w:rPr>
          <w:sz w:val="22"/>
          <w:szCs w:val="22"/>
        </w:rPr>
        <w:t>1. Income Annuities</w:t>
      </w:r>
      <w:bookmarkEnd w:id="160"/>
    </w:p>
    <w:p w14:paraId="002C6B19" w14:textId="6B3D99B7" w:rsidR="004123A9" w:rsidRPr="00465680" w:rsidRDefault="00E10BAE" w:rsidP="004123A9">
      <w:pPr>
        <w:pStyle w:val="Heading3"/>
        <w:spacing w:after="220"/>
        <w:rPr>
          <w:sz w:val="22"/>
          <w:szCs w:val="22"/>
        </w:rPr>
      </w:pPr>
      <w:bookmarkStart w:id="161" w:name="_Toc77242180"/>
      <w:bookmarkStart w:id="162" w:name="_Toc115705863"/>
      <w:r>
        <w:rPr>
          <w:sz w:val="22"/>
          <w:szCs w:val="22"/>
        </w:rPr>
        <w:t>A.</w:t>
      </w:r>
      <w:r w:rsidR="004123A9">
        <w:rPr>
          <w:sz w:val="22"/>
          <w:szCs w:val="22"/>
        </w:rPr>
        <w:t xml:space="preserve"> </w:t>
      </w:r>
      <w:r w:rsidR="004123A9" w:rsidRPr="00465680">
        <w:rPr>
          <w:sz w:val="22"/>
          <w:szCs w:val="22"/>
        </w:rPr>
        <w:t>Purpose and Scope</w:t>
      </w:r>
      <w:bookmarkEnd w:id="161"/>
      <w:bookmarkEnd w:id="162"/>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63" w:name="_Section_2._Definitions"/>
      <w:bookmarkStart w:id="164" w:name="_Toc77242181"/>
      <w:bookmarkStart w:id="165" w:name="_Toc115705864"/>
      <w:bookmarkEnd w:id="163"/>
      <w:r>
        <w:rPr>
          <w:sz w:val="22"/>
          <w:szCs w:val="22"/>
        </w:rPr>
        <w:t>B. Definitions</w:t>
      </w:r>
      <w:bookmarkEnd w:id="164"/>
      <w:bookmarkEnd w:id="165"/>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66" w:name="_Section_3._Determination_1"/>
      <w:bookmarkStart w:id="167" w:name="_Toc77242182"/>
      <w:bookmarkStart w:id="168" w:name="_Toc115705865"/>
      <w:bookmarkEnd w:id="166"/>
      <w:r w:rsidRPr="00E10BAE">
        <w:rPr>
          <w:rFonts w:eastAsiaTheme="minorHAnsi"/>
          <w:sz w:val="22"/>
          <w:szCs w:val="22"/>
        </w:rPr>
        <w:t>C. Determination of the Statutory Maximum Valuation Interest Rate</w:t>
      </w:r>
      <w:bookmarkEnd w:id="167"/>
      <w:bookmarkEnd w:id="168"/>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3">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lastRenderedPageBreak/>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4"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FF2103"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5">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lastRenderedPageBreak/>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lastRenderedPageBreak/>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6"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 xml:space="preserve">The statutory maximum valuation interest rate shall be determined separately for each certificate, considering its premium determination date, the certificate holder’s initial age, the reference period corresponding to its form of payout and whether the contract is a </w:t>
      </w:r>
      <w:r w:rsidRPr="00465680">
        <w:rPr>
          <w:rFonts w:ascii="Times New Roman" w:hAnsi="Times New Roman"/>
        </w:rPr>
        <w:lastRenderedPageBreak/>
        <w:t>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7"/>
          <w:footerReference w:type="first" r:id="rId18"/>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8"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5"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6"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4"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6"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7"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5"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7"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1"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2"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6"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8"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3"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4"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6"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8"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9"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3"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95"/>
  </w:num>
  <w:num w:numId="4">
    <w:abstractNumId w:val="48"/>
  </w:num>
  <w:num w:numId="5">
    <w:abstractNumId w:val="20"/>
  </w:num>
  <w:num w:numId="6">
    <w:abstractNumId w:val="61"/>
  </w:num>
  <w:num w:numId="7">
    <w:abstractNumId w:val="25"/>
  </w:num>
  <w:num w:numId="8">
    <w:abstractNumId w:val="65"/>
  </w:num>
  <w:num w:numId="9">
    <w:abstractNumId w:val="82"/>
  </w:num>
  <w:num w:numId="10">
    <w:abstractNumId w:val="89"/>
  </w:num>
  <w:num w:numId="11">
    <w:abstractNumId w:val="72"/>
  </w:num>
  <w:num w:numId="12">
    <w:abstractNumId w:val="73"/>
  </w:num>
  <w:num w:numId="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6"/>
  </w:num>
  <w:num w:numId="19">
    <w:abstractNumId w:val="75"/>
  </w:num>
  <w:num w:numId="20">
    <w:abstractNumId w:val="70"/>
  </w:num>
  <w:num w:numId="21">
    <w:abstractNumId w:val="77"/>
  </w:num>
  <w:num w:numId="22">
    <w:abstractNumId w:val="46"/>
  </w:num>
  <w:num w:numId="23">
    <w:abstractNumId w:val="17"/>
  </w:num>
  <w:num w:numId="24">
    <w:abstractNumId w:val="62"/>
  </w:num>
  <w:num w:numId="25">
    <w:abstractNumId w:val="30"/>
  </w:num>
  <w:num w:numId="26">
    <w:abstractNumId w:val="31"/>
  </w:num>
  <w:num w:numId="27">
    <w:abstractNumId w:val="76"/>
  </w:num>
  <w:num w:numId="28">
    <w:abstractNumId w:val="90"/>
  </w:num>
  <w:num w:numId="29">
    <w:abstractNumId w:val="9"/>
  </w:num>
  <w:num w:numId="30">
    <w:abstractNumId w:val="71"/>
  </w:num>
  <w:num w:numId="31">
    <w:abstractNumId w:val="19"/>
  </w:num>
  <w:num w:numId="32">
    <w:abstractNumId w:val="26"/>
  </w:num>
  <w:num w:numId="33">
    <w:abstractNumId w:val="78"/>
  </w:num>
  <w:num w:numId="34">
    <w:abstractNumId w:val="37"/>
  </w:num>
  <w:num w:numId="35">
    <w:abstractNumId w:val="11"/>
  </w:num>
  <w:num w:numId="36">
    <w:abstractNumId w:val="74"/>
  </w:num>
  <w:num w:numId="37">
    <w:abstractNumId w:val="21"/>
  </w:num>
  <w:num w:numId="38">
    <w:abstractNumId w:val="32"/>
  </w:num>
  <w:num w:numId="39">
    <w:abstractNumId w:val="60"/>
  </w:num>
  <w:num w:numId="40">
    <w:abstractNumId w:val="51"/>
  </w:num>
  <w:num w:numId="41">
    <w:abstractNumId w:val="7"/>
  </w:num>
  <w:num w:numId="42">
    <w:abstractNumId w:val="38"/>
  </w:num>
  <w:num w:numId="43">
    <w:abstractNumId w:val="55"/>
  </w:num>
  <w:num w:numId="44">
    <w:abstractNumId w:val="85"/>
  </w:num>
  <w:num w:numId="45">
    <w:abstractNumId w:val="49"/>
  </w:num>
  <w:num w:numId="46">
    <w:abstractNumId w:val="40"/>
  </w:num>
  <w:num w:numId="47">
    <w:abstractNumId w:val="44"/>
  </w:num>
  <w:num w:numId="48">
    <w:abstractNumId w:val="58"/>
  </w:num>
  <w:num w:numId="49">
    <w:abstractNumId w:val="93"/>
  </w:num>
  <w:num w:numId="50">
    <w:abstractNumId w:val="42"/>
  </w:num>
  <w:num w:numId="51">
    <w:abstractNumId w:val="8"/>
  </w:num>
  <w:num w:numId="52">
    <w:abstractNumId w:val="43"/>
  </w:num>
  <w:num w:numId="53">
    <w:abstractNumId w:val="67"/>
  </w:num>
  <w:num w:numId="54">
    <w:abstractNumId w:val="80"/>
  </w:num>
  <w:num w:numId="55">
    <w:abstractNumId w:val="36"/>
  </w:num>
  <w:num w:numId="56">
    <w:abstractNumId w:val="12"/>
  </w:num>
  <w:num w:numId="57">
    <w:abstractNumId w:val="35"/>
  </w:num>
  <w:num w:numId="58">
    <w:abstractNumId w:val="57"/>
  </w:num>
  <w:num w:numId="59">
    <w:abstractNumId w:val="2"/>
  </w:num>
  <w:num w:numId="60">
    <w:abstractNumId w:val="29"/>
  </w:num>
  <w:num w:numId="61">
    <w:abstractNumId w:val="47"/>
  </w:num>
  <w:num w:numId="62">
    <w:abstractNumId w:val="13"/>
  </w:num>
  <w:num w:numId="63">
    <w:abstractNumId w:val="24"/>
  </w:num>
  <w:num w:numId="64">
    <w:abstractNumId w:val="63"/>
  </w:num>
  <w:num w:numId="65">
    <w:abstractNumId w:val="10"/>
  </w:num>
  <w:num w:numId="66">
    <w:abstractNumId w:val="4"/>
  </w:num>
  <w:num w:numId="67">
    <w:abstractNumId w:val="91"/>
  </w:num>
  <w:num w:numId="68">
    <w:abstractNumId w:val="54"/>
  </w:num>
  <w:num w:numId="69">
    <w:abstractNumId w:val="34"/>
  </w:num>
  <w:num w:numId="70">
    <w:abstractNumId w:val="6"/>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4"/>
  </w:num>
  <w:num w:numId="74">
    <w:abstractNumId w:val="52"/>
  </w:num>
  <w:num w:numId="75">
    <w:abstractNumId w:val="45"/>
  </w:num>
  <w:num w:numId="76">
    <w:abstractNumId w:val="87"/>
  </w:num>
  <w:num w:numId="77">
    <w:abstractNumId w:val="84"/>
  </w:num>
  <w:num w:numId="78">
    <w:abstractNumId w:val="27"/>
  </w:num>
  <w:num w:numId="79">
    <w:abstractNumId w:val="56"/>
  </w:num>
  <w:num w:numId="80">
    <w:abstractNumId w:val="68"/>
  </w:num>
  <w:num w:numId="81">
    <w:abstractNumId w:val="1"/>
  </w:num>
  <w:num w:numId="82">
    <w:abstractNumId w:val="3"/>
  </w:num>
  <w:num w:numId="83">
    <w:abstractNumId w:val="81"/>
  </w:num>
  <w:num w:numId="84">
    <w:abstractNumId w:val="69"/>
  </w:num>
  <w:num w:numId="85">
    <w:abstractNumId w:val="23"/>
  </w:num>
  <w:num w:numId="86">
    <w:abstractNumId w:val="88"/>
  </w:num>
  <w:num w:numId="87">
    <w:abstractNumId w:val="59"/>
  </w:num>
  <w:num w:numId="88">
    <w:abstractNumId w:val="94"/>
  </w:num>
  <w:num w:numId="89">
    <w:abstractNumId w:val="33"/>
  </w:num>
  <w:num w:numId="90">
    <w:abstractNumId w:val="22"/>
  </w:num>
  <w:num w:numId="91">
    <w:abstractNumId w:val="16"/>
  </w:num>
  <w:num w:numId="92">
    <w:abstractNumId w:val="15"/>
  </w:num>
  <w:num w:numId="93">
    <w:abstractNumId w:val="79"/>
  </w:num>
  <w:num w:numId="94">
    <w:abstractNumId w:val="53"/>
  </w:num>
  <w:num w:numId="95">
    <w:abstractNumId w:val="86"/>
  </w:num>
  <w:num w:numId="96">
    <w:abstractNumId w:val="39"/>
  </w:num>
  <w:num w:numId="97">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9B9"/>
    <w:rsid w:val="00023BFA"/>
    <w:rsid w:val="00023DB4"/>
    <w:rsid w:val="00024110"/>
    <w:rsid w:val="00024219"/>
    <w:rsid w:val="000257ED"/>
    <w:rsid w:val="0002786E"/>
    <w:rsid w:val="00027D67"/>
    <w:rsid w:val="00030245"/>
    <w:rsid w:val="0003148A"/>
    <w:rsid w:val="0003164E"/>
    <w:rsid w:val="00031DC8"/>
    <w:rsid w:val="00031E77"/>
    <w:rsid w:val="00032697"/>
    <w:rsid w:val="00032A00"/>
    <w:rsid w:val="0003338B"/>
    <w:rsid w:val="00033E03"/>
    <w:rsid w:val="00034DA7"/>
    <w:rsid w:val="0003524A"/>
    <w:rsid w:val="000360DF"/>
    <w:rsid w:val="000370C7"/>
    <w:rsid w:val="0003746F"/>
    <w:rsid w:val="000378F3"/>
    <w:rsid w:val="00037B1E"/>
    <w:rsid w:val="00037CA9"/>
    <w:rsid w:val="000424B2"/>
    <w:rsid w:val="000443ED"/>
    <w:rsid w:val="00044524"/>
    <w:rsid w:val="0004458C"/>
    <w:rsid w:val="000449A3"/>
    <w:rsid w:val="00044C1E"/>
    <w:rsid w:val="00046434"/>
    <w:rsid w:val="00046AEF"/>
    <w:rsid w:val="0005197C"/>
    <w:rsid w:val="00053538"/>
    <w:rsid w:val="000537A5"/>
    <w:rsid w:val="00054519"/>
    <w:rsid w:val="000546FC"/>
    <w:rsid w:val="00054722"/>
    <w:rsid w:val="000564C3"/>
    <w:rsid w:val="000574CB"/>
    <w:rsid w:val="00057996"/>
    <w:rsid w:val="000605EB"/>
    <w:rsid w:val="00061566"/>
    <w:rsid w:val="00061A82"/>
    <w:rsid w:val="00061BEE"/>
    <w:rsid w:val="00061C41"/>
    <w:rsid w:val="000625A1"/>
    <w:rsid w:val="0006280F"/>
    <w:rsid w:val="00062DD8"/>
    <w:rsid w:val="000633E1"/>
    <w:rsid w:val="000635DC"/>
    <w:rsid w:val="00063DF3"/>
    <w:rsid w:val="0006434F"/>
    <w:rsid w:val="00064388"/>
    <w:rsid w:val="0006443F"/>
    <w:rsid w:val="00064849"/>
    <w:rsid w:val="00064CB8"/>
    <w:rsid w:val="00064F00"/>
    <w:rsid w:val="000663D5"/>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4E7"/>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5173"/>
    <w:rsid w:val="00335B1B"/>
    <w:rsid w:val="00335D7D"/>
    <w:rsid w:val="00336543"/>
    <w:rsid w:val="00340CBC"/>
    <w:rsid w:val="0034141A"/>
    <w:rsid w:val="003416E4"/>
    <w:rsid w:val="003432C0"/>
    <w:rsid w:val="00343724"/>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1125"/>
    <w:rsid w:val="003516BE"/>
    <w:rsid w:val="00351D3F"/>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695"/>
    <w:rsid w:val="003D040D"/>
    <w:rsid w:val="003D04DF"/>
    <w:rsid w:val="003D0530"/>
    <w:rsid w:val="003D0663"/>
    <w:rsid w:val="003D0F80"/>
    <w:rsid w:val="003D1496"/>
    <w:rsid w:val="003D1AE7"/>
    <w:rsid w:val="003D25F1"/>
    <w:rsid w:val="003D2770"/>
    <w:rsid w:val="003D2AC9"/>
    <w:rsid w:val="003D321D"/>
    <w:rsid w:val="003D3270"/>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32F"/>
    <w:rsid w:val="003E4BCD"/>
    <w:rsid w:val="003E4D9F"/>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568"/>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F03BB"/>
    <w:rsid w:val="004F1505"/>
    <w:rsid w:val="004F2CF8"/>
    <w:rsid w:val="004F3495"/>
    <w:rsid w:val="004F3847"/>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66FF"/>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2FB7"/>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37E"/>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11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1A1"/>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5DD7"/>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053D"/>
    <w:rsid w:val="007F187E"/>
    <w:rsid w:val="007F1A45"/>
    <w:rsid w:val="007F24C1"/>
    <w:rsid w:val="007F3818"/>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6BD"/>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9731E"/>
    <w:rsid w:val="009A05AC"/>
    <w:rsid w:val="009A1025"/>
    <w:rsid w:val="009A15B3"/>
    <w:rsid w:val="009A16F1"/>
    <w:rsid w:val="009A1F8B"/>
    <w:rsid w:val="009A274E"/>
    <w:rsid w:val="009A2832"/>
    <w:rsid w:val="009A33B3"/>
    <w:rsid w:val="009A371E"/>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0815"/>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296C"/>
    <w:rsid w:val="00A1329D"/>
    <w:rsid w:val="00A134B6"/>
    <w:rsid w:val="00A1401B"/>
    <w:rsid w:val="00A141F7"/>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3C2"/>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80101"/>
    <w:rsid w:val="00B8013F"/>
    <w:rsid w:val="00B80954"/>
    <w:rsid w:val="00B80BE2"/>
    <w:rsid w:val="00B817AD"/>
    <w:rsid w:val="00B82DFB"/>
    <w:rsid w:val="00B82E41"/>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40EC"/>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806"/>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5F02"/>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690"/>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099"/>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0D7B"/>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D6E"/>
    <w:rsid w:val="00D17E13"/>
    <w:rsid w:val="00D2008C"/>
    <w:rsid w:val="00D203C4"/>
    <w:rsid w:val="00D20C8B"/>
    <w:rsid w:val="00D21289"/>
    <w:rsid w:val="00D21860"/>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503"/>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00F"/>
    <w:rsid w:val="00DD76C1"/>
    <w:rsid w:val="00DD7F5E"/>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664"/>
    <w:rsid w:val="00DF5ACA"/>
    <w:rsid w:val="00DF5B22"/>
    <w:rsid w:val="00DF5CF8"/>
    <w:rsid w:val="00DF5F1F"/>
    <w:rsid w:val="00DF65C6"/>
    <w:rsid w:val="00DF664D"/>
    <w:rsid w:val="00DF7A8C"/>
    <w:rsid w:val="00E00AA7"/>
    <w:rsid w:val="00E0160B"/>
    <w:rsid w:val="00E01C9A"/>
    <w:rsid w:val="00E02951"/>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380"/>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0BD4"/>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22DB"/>
    <w:rsid w:val="00F93242"/>
    <w:rsid w:val="00F93427"/>
    <w:rsid w:val="00F93494"/>
    <w:rsid w:val="00F93A8E"/>
    <w:rsid w:val="00F942BE"/>
    <w:rsid w:val="00F956F7"/>
    <w:rsid w:val="00F95A9A"/>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ed.stlouisfed.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red.stlouisfe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search.stlouisfed.org/fred2/categories/3234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stlouisfed.org/fred2/categories/3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2.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3.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4.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84</Pages>
  <Words>29412</Words>
  <Characters>167649</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3</cp:revision>
  <dcterms:created xsi:type="dcterms:W3CDTF">2022-10-04T21:15:00Z</dcterms:created>
  <dcterms:modified xsi:type="dcterms:W3CDTF">2022-10-04T21:55:00Z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