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4012" w14:textId="77777777" w:rsidR="00736E2C" w:rsidRDefault="00736E2C" w:rsidP="00736E2C">
      <w:pPr>
        <w:spacing w:after="0"/>
        <w:rPr>
          <w:sz w:val="24"/>
          <w:szCs w:val="24"/>
        </w:rPr>
      </w:pPr>
    </w:p>
    <w:p w14:paraId="50C10CA9" w14:textId="4F4B20A5" w:rsidR="00634357" w:rsidRPr="00634357" w:rsidRDefault="00634357" w:rsidP="00736E2C">
      <w:pPr>
        <w:spacing w:after="0"/>
        <w:rPr>
          <w:sz w:val="24"/>
          <w:szCs w:val="24"/>
        </w:rPr>
      </w:pPr>
      <w:r w:rsidRPr="00634357">
        <w:rPr>
          <w:sz w:val="24"/>
          <w:szCs w:val="24"/>
        </w:rPr>
        <w:t>Commissioner Jessica Altman</w:t>
      </w:r>
      <w:r w:rsidRPr="00634357">
        <w:rPr>
          <w:sz w:val="24"/>
          <w:szCs w:val="24"/>
        </w:rPr>
        <w:br/>
        <w:t>Chairman, NAIC LTCI Reduced Benefit Options (EX) Subgroup</w:t>
      </w:r>
      <w:r w:rsidRPr="00634357">
        <w:rPr>
          <w:sz w:val="24"/>
          <w:szCs w:val="24"/>
        </w:rPr>
        <w:br/>
        <w:t>Pennsylvania Insurance Department</w:t>
      </w:r>
    </w:p>
    <w:p w14:paraId="23850D1C" w14:textId="77777777" w:rsidR="00736E2C" w:rsidRDefault="00736E2C" w:rsidP="00736E2C">
      <w:pPr>
        <w:spacing w:after="0"/>
        <w:rPr>
          <w:sz w:val="24"/>
          <w:szCs w:val="24"/>
        </w:rPr>
      </w:pPr>
    </w:p>
    <w:p w14:paraId="07CAE989" w14:textId="1B75A1E5" w:rsidR="00634357" w:rsidRPr="00634357" w:rsidRDefault="00A0786A" w:rsidP="00736E2C">
      <w:pPr>
        <w:spacing w:after="0"/>
        <w:rPr>
          <w:sz w:val="24"/>
          <w:szCs w:val="24"/>
        </w:rPr>
      </w:pPr>
      <w:r w:rsidRPr="00236024">
        <w:rPr>
          <w:sz w:val="24"/>
          <w:szCs w:val="24"/>
        </w:rPr>
        <w:t xml:space="preserve">September </w:t>
      </w:r>
      <w:r w:rsidR="00736E2C">
        <w:rPr>
          <w:sz w:val="24"/>
          <w:szCs w:val="24"/>
        </w:rPr>
        <w:t>7</w:t>
      </w:r>
      <w:r w:rsidR="00634357" w:rsidRPr="00951FA2">
        <w:rPr>
          <w:sz w:val="24"/>
          <w:szCs w:val="24"/>
        </w:rPr>
        <w:t>,</w:t>
      </w:r>
      <w:r w:rsidR="00634357" w:rsidRPr="00236024">
        <w:rPr>
          <w:sz w:val="24"/>
          <w:szCs w:val="24"/>
        </w:rPr>
        <w:t xml:space="preserve"> 2021</w:t>
      </w:r>
    </w:p>
    <w:p w14:paraId="478187FF" w14:textId="77777777" w:rsidR="00736E2C" w:rsidRDefault="00736E2C" w:rsidP="00736E2C">
      <w:pPr>
        <w:spacing w:after="0"/>
        <w:rPr>
          <w:sz w:val="24"/>
          <w:szCs w:val="24"/>
        </w:rPr>
      </w:pPr>
    </w:p>
    <w:p w14:paraId="45E435CC" w14:textId="4254BA72" w:rsidR="00634357" w:rsidRPr="00634357" w:rsidRDefault="00634357" w:rsidP="009F3A0E">
      <w:pPr>
        <w:spacing w:after="0"/>
        <w:rPr>
          <w:sz w:val="24"/>
          <w:szCs w:val="24"/>
        </w:rPr>
      </w:pPr>
      <w:r w:rsidRPr="00634357">
        <w:rPr>
          <w:sz w:val="24"/>
          <w:szCs w:val="24"/>
        </w:rPr>
        <w:t>Dear Commissioner Altman,</w:t>
      </w:r>
    </w:p>
    <w:p w14:paraId="00DB79F9" w14:textId="77777777" w:rsidR="009F3A0E" w:rsidRDefault="009F3A0E" w:rsidP="009F3A0E">
      <w:pPr>
        <w:spacing w:after="0"/>
        <w:rPr>
          <w:sz w:val="24"/>
          <w:szCs w:val="24"/>
        </w:rPr>
      </w:pPr>
    </w:p>
    <w:p w14:paraId="181DE742" w14:textId="6F4D2249" w:rsidR="00007FEA" w:rsidRDefault="001C79F6" w:rsidP="009F3A0E">
      <w:pPr>
        <w:spacing w:after="0"/>
        <w:rPr>
          <w:sz w:val="24"/>
          <w:szCs w:val="24"/>
        </w:rPr>
      </w:pPr>
      <w:r w:rsidRPr="00634357">
        <w:rPr>
          <w:sz w:val="24"/>
          <w:szCs w:val="24"/>
        </w:rPr>
        <w:t>The American Council of Life Insurers (ACLI</w:t>
      </w:r>
      <w:r w:rsidR="006B758E">
        <w:rPr>
          <w:sz w:val="24"/>
          <w:szCs w:val="24"/>
        </w:rPr>
        <w:t>)</w:t>
      </w:r>
      <w:r w:rsidR="001F5A7F">
        <w:rPr>
          <w:rStyle w:val="EndnoteReference"/>
          <w:sz w:val="24"/>
          <w:szCs w:val="24"/>
        </w:rPr>
        <w:endnoteReference w:id="1"/>
      </w:r>
      <w:r w:rsidRPr="00634357">
        <w:rPr>
          <w:sz w:val="24"/>
          <w:szCs w:val="24"/>
        </w:rPr>
        <w:t xml:space="preserve"> </w:t>
      </w:r>
      <w:r w:rsidR="001B37CC" w:rsidRPr="001B37CC">
        <w:rPr>
          <w:sz w:val="24"/>
          <w:szCs w:val="24"/>
        </w:rPr>
        <w:t>and the American Association of Health Insurance Plans (AHIP)</w:t>
      </w:r>
      <w:r w:rsidR="001B37CC">
        <w:rPr>
          <w:rStyle w:val="EndnoteReference"/>
          <w:sz w:val="24"/>
          <w:szCs w:val="24"/>
        </w:rPr>
        <w:endnoteReference w:id="2"/>
      </w:r>
      <w:r w:rsidR="001B37CC" w:rsidRPr="001B37CC">
        <w:rPr>
          <w:sz w:val="24"/>
          <w:szCs w:val="24"/>
        </w:rPr>
        <w:t xml:space="preserve"> </w:t>
      </w:r>
      <w:r w:rsidRPr="00634357">
        <w:rPr>
          <w:sz w:val="24"/>
          <w:szCs w:val="24"/>
        </w:rPr>
        <w:t xml:space="preserve">appreciate the opportunity to comment on the draft </w:t>
      </w:r>
      <w:r w:rsidR="00257762">
        <w:rPr>
          <w:sz w:val="24"/>
          <w:szCs w:val="24"/>
        </w:rPr>
        <w:t>“</w:t>
      </w:r>
      <w:r w:rsidR="00A0786A" w:rsidRPr="00A0786A">
        <w:rPr>
          <w:sz w:val="24"/>
          <w:szCs w:val="24"/>
        </w:rPr>
        <w:t xml:space="preserve">Issues </w:t>
      </w:r>
      <w:r w:rsidR="00A0786A">
        <w:rPr>
          <w:sz w:val="24"/>
          <w:szCs w:val="24"/>
        </w:rPr>
        <w:t>R</w:t>
      </w:r>
      <w:r w:rsidR="00A0786A" w:rsidRPr="00A0786A">
        <w:rPr>
          <w:sz w:val="24"/>
          <w:szCs w:val="24"/>
        </w:rPr>
        <w:t>elated to LTC Wellness Benefits</w:t>
      </w:r>
      <w:r w:rsidRPr="00634357">
        <w:rPr>
          <w:sz w:val="24"/>
          <w:szCs w:val="24"/>
        </w:rPr>
        <w:t>,</w:t>
      </w:r>
      <w:r w:rsidR="00257762">
        <w:rPr>
          <w:sz w:val="24"/>
          <w:szCs w:val="24"/>
        </w:rPr>
        <w:t>”</w:t>
      </w:r>
      <w:r w:rsidRPr="00634357">
        <w:rPr>
          <w:sz w:val="24"/>
          <w:szCs w:val="24"/>
        </w:rPr>
        <w:t xml:space="preserve"> exposed by the NAIC </w:t>
      </w:r>
      <w:r w:rsidR="00A75E7C" w:rsidRPr="00A75E7C">
        <w:rPr>
          <w:sz w:val="24"/>
          <w:szCs w:val="24"/>
        </w:rPr>
        <w:t xml:space="preserve">Long-Term Care Insurance Reduced Benefit Options (EX) Subgroup </w:t>
      </w:r>
      <w:r w:rsidRPr="00634357">
        <w:rPr>
          <w:sz w:val="24"/>
          <w:szCs w:val="24"/>
        </w:rPr>
        <w:t>on Ju</w:t>
      </w:r>
      <w:r w:rsidR="00A0786A">
        <w:rPr>
          <w:sz w:val="24"/>
          <w:szCs w:val="24"/>
        </w:rPr>
        <w:t>ly</w:t>
      </w:r>
      <w:r w:rsidRPr="00634357">
        <w:rPr>
          <w:sz w:val="24"/>
          <w:szCs w:val="24"/>
        </w:rPr>
        <w:t xml:space="preserve"> 2</w:t>
      </w:r>
      <w:r w:rsidR="00A0786A">
        <w:rPr>
          <w:sz w:val="24"/>
          <w:szCs w:val="24"/>
        </w:rPr>
        <w:t>2</w:t>
      </w:r>
      <w:r w:rsidRPr="00634357">
        <w:rPr>
          <w:sz w:val="24"/>
          <w:szCs w:val="24"/>
        </w:rPr>
        <w:t xml:space="preserve">, 2021. </w:t>
      </w:r>
    </w:p>
    <w:p w14:paraId="7D293870" w14:textId="77777777" w:rsidR="009F3A0E" w:rsidRPr="00634357" w:rsidRDefault="009F3A0E" w:rsidP="009F3A0E">
      <w:pPr>
        <w:spacing w:after="0"/>
        <w:rPr>
          <w:sz w:val="24"/>
          <w:szCs w:val="24"/>
        </w:rPr>
      </w:pPr>
    </w:p>
    <w:p w14:paraId="5E14172B" w14:textId="6876FC42" w:rsidR="001C79F6" w:rsidRDefault="00007FEA" w:rsidP="00D25124">
      <w:pPr>
        <w:rPr>
          <w:sz w:val="24"/>
          <w:szCs w:val="24"/>
        </w:rPr>
      </w:pPr>
      <w:r w:rsidRPr="00634357">
        <w:rPr>
          <w:sz w:val="24"/>
          <w:szCs w:val="24"/>
        </w:rPr>
        <w:t>ACLI</w:t>
      </w:r>
      <w:r w:rsidR="001B37CC">
        <w:rPr>
          <w:sz w:val="24"/>
          <w:szCs w:val="24"/>
        </w:rPr>
        <w:t>/AHIP</w:t>
      </w:r>
      <w:r w:rsidRPr="00634357">
        <w:rPr>
          <w:sz w:val="24"/>
          <w:szCs w:val="24"/>
        </w:rPr>
        <w:t xml:space="preserve"> </w:t>
      </w:r>
      <w:r w:rsidR="00A75E7C">
        <w:rPr>
          <w:sz w:val="24"/>
          <w:szCs w:val="24"/>
        </w:rPr>
        <w:t>applaud</w:t>
      </w:r>
      <w:r w:rsidRPr="00634357">
        <w:rPr>
          <w:sz w:val="24"/>
          <w:szCs w:val="24"/>
        </w:rPr>
        <w:t xml:space="preserve"> the work of the</w:t>
      </w:r>
      <w:r w:rsidR="00A75E7C">
        <w:rPr>
          <w:sz w:val="24"/>
          <w:szCs w:val="24"/>
        </w:rPr>
        <w:t xml:space="preserve"> Subgroup in exploring innovative wellness benefit programs in long-term care insurance. It is our belief that as regulators and industry work together to consider and develop these programs, they will </w:t>
      </w:r>
      <w:r w:rsidR="00135677">
        <w:rPr>
          <w:sz w:val="24"/>
          <w:szCs w:val="24"/>
        </w:rPr>
        <w:t>prove beneficial to policyholders</w:t>
      </w:r>
      <w:r w:rsidR="003F3827">
        <w:rPr>
          <w:sz w:val="24"/>
          <w:szCs w:val="24"/>
        </w:rPr>
        <w:t xml:space="preserve"> and </w:t>
      </w:r>
      <w:r w:rsidR="006C1E91">
        <w:rPr>
          <w:sz w:val="24"/>
          <w:szCs w:val="24"/>
        </w:rPr>
        <w:t>contribute to a strong L</w:t>
      </w:r>
      <w:r w:rsidR="003F3827">
        <w:rPr>
          <w:sz w:val="24"/>
          <w:szCs w:val="24"/>
        </w:rPr>
        <w:t xml:space="preserve">TC </w:t>
      </w:r>
      <w:r w:rsidR="006230D1">
        <w:rPr>
          <w:sz w:val="24"/>
          <w:szCs w:val="24"/>
        </w:rPr>
        <w:t>market</w:t>
      </w:r>
      <w:r w:rsidR="00135677">
        <w:rPr>
          <w:sz w:val="24"/>
          <w:szCs w:val="24"/>
        </w:rPr>
        <w:t xml:space="preserve">. </w:t>
      </w:r>
    </w:p>
    <w:p w14:paraId="6C69A541" w14:textId="05E2BF0F" w:rsidR="00634357" w:rsidRDefault="00F92801" w:rsidP="00634357">
      <w:pPr>
        <w:spacing w:after="0" w:line="240" w:lineRule="auto"/>
        <w:rPr>
          <w:rFonts w:eastAsia="Arial" w:cstheme="minorHAnsi"/>
          <w:color w:val="18B8CC"/>
          <w:sz w:val="24"/>
          <w:szCs w:val="24"/>
        </w:rPr>
      </w:pPr>
      <w:r>
        <w:rPr>
          <w:rFonts w:eastAsia="Arial" w:cstheme="minorHAnsi"/>
          <w:color w:val="18B8CC"/>
          <w:sz w:val="24"/>
          <w:szCs w:val="24"/>
        </w:rPr>
        <w:t>GENERAL</w:t>
      </w:r>
    </w:p>
    <w:p w14:paraId="305B3671" w14:textId="7C08BBB5" w:rsidR="00A6318A" w:rsidRDefault="00D415AD" w:rsidP="00634357">
      <w:pPr>
        <w:spacing w:after="0" w:line="240" w:lineRule="auto"/>
        <w:rPr>
          <w:sz w:val="24"/>
          <w:szCs w:val="24"/>
        </w:rPr>
      </w:pPr>
      <w:r>
        <w:rPr>
          <w:sz w:val="24"/>
          <w:szCs w:val="24"/>
        </w:rPr>
        <w:t xml:space="preserve">Overall, </w:t>
      </w:r>
      <w:r w:rsidRPr="00D415AD">
        <w:rPr>
          <w:sz w:val="24"/>
          <w:szCs w:val="24"/>
        </w:rPr>
        <w:t>ACLI</w:t>
      </w:r>
      <w:r w:rsidR="001B37CC">
        <w:rPr>
          <w:sz w:val="24"/>
          <w:szCs w:val="24"/>
        </w:rPr>
        <w:t>/AHIP</w:t>
      </w:r>
      <w:r w:rsidRPr="00D415AD">
        <w:rPr>
          <w:sz w:val="24"/>
          <w:szCs w:val="24"/>
        </w:rPr>
        <w:t xml:space="preserve"> </w:t>
      </w:r>
      <w:r>
        <w:rPr>
          <w:sz w:val="24"/>
          <w:szCs w:val="24"/>
        </w:rPr>
        <w:t xml:space="preserve">found the draft to be a balanced and comprehensive </w:t>
      </w:r>
      <w:r w:rsidR="00DB2B35">
        <w:rPr>
          <w:sz w:val="24"/>
          <w:szCs w:val="24"/>
        </w:rPr>
        <w:t>outline of issues related to</w:t>
      </w:r>
      <w:r>
        <w:rPr>
          <w:sz w:val="24"/>
          <w:szCs w:val="24"/>
        </w:rPr>
        <w:t xml:space="preserve"> wellness benefit</w:t>
      </w:r>
      <w:r w:rsidR="00DB2B35">
        <w:rPr>
          <w:sz w:val="24"/>
          <w:szCs w:val="24"/>
        </w:rPr>
        <w:t xml:space="preserve"> programs</w:t>
      </w:r>
      <w:r>
        <w:rPr>
          <w:sz w:val="24"/>
          <w:szCs w:val="24"/>
        </w:rPr>
        <w:t xml:space="preserve"> in the LTC </w:t>
      </w:r>
      <w:r w:rsidR="00DB2B35">
        <w:rPr>
          <w:sz w:val="24"/>
          <w:szCs w:val="24"/>
        </w:rPr>
        <w:t xml:space="preserve">insurance </w:t>
      </w:r>
      <w:r>
        <w:rPr>
          <w:sz w:val="24"/>
          <w:szCs w:val="24"/>
        </w:rPr>
        <w:t xml:space="preserve">realm. </w:t>
      </w:r>
      <w:r w:rsidR="00F92801">
        <w:rPr>
          <w:sz w:val="24"/>
          <w:szCs w:val="24"/>
        </w:rPr>
        <w:t xml:space="preserve">We do have </w:t>
      </w:r>
      <w:r w:rsidR="00415F23">
        <w:rPr>
          <w:sz w:val="24"/>
          <w:szCs w:val="24"/>
        </w:rPr>
        <w:t xml:space="preserve">three </w:t>
      </w:r>
      <w:r w:rsidR="00F92801">
        <w:rPr>
          <w:sz w:val="24"/>
          <w:szCs w:val="24"/>
        </w:rPr>
        <w:t>general observations</w:t>
      </w:r>
      <w:r w:rsidR="006230D1">
        <w:rPr>
          <w:sz w:val="24"/>
          <w:szCs w:val="24"/>
        </w:rPr>
        <w:t xml:space="preserve"> about the draft</w:t>
      </w:r>
      <w:r w:rsidR="00F92801">
        <w:rPr>
          <w:sz w:val="24"/>
          <w:szCs w:val="24"/>
        </w:rPr>
        <w:t xml:space="preserve">. </w:t>
      </w:r>
    </w:p>
    <w:p w14:paraId="795A086D" w14:textId="77777777" w:rsidR="00A6318A" w:rsidRDefault="00A6318A" w:rsidP="00634357">
      <w:pPr>
        <w:spacing w:after="0" w:line="240" w:lineRule="auto"/>
        <w:rPr>
          <w:sz w:val="24"/>
          <w:szCs w:val="24"/>
        </w:rPr>
      </w:pPr>
    </w:p>
    <w:p w14:paraId="5555555C" w14:textId="10185346" w:rsidR="0058743D" w:rsidRDefault="00F92801" w:rsidP="00634357">
      <w:pPr>
        <w:spacing w:after="0" w:line="240" w:lineRule="auto"/>
        <w:rPr>
          <w:sz w:val="24"/>
          <w:szCs w:val="24"/>
        </w:rPr>
      </w:pPr>
      <w:r>
        <w:rPr>
          <w:sz w:val="24"/>
          <w:szCs w:val="24"/>
        </w:rPr>
        <w:t>First, w</w:t>
      </w:r>
      <w:r w:rsidR="00D415AD">
        <w:rPr>
          <w:sz w:val="24"/>
          <w:szCs w:val="24"/>
        </w:rPr>
        <w:t xml:space="preserve">e wish to reinforce the understanding that </w:t>
      </w:r>
      <w:r w:rsidR="00415F23">
        <w:rPr>
          <w:sz w:val="24"/>
          <w:szCs w:val="24"/>
        </w:rPr>
        <w:t xml:space="preserve">many </w:t>
      </w:r>
      <w:r w:rsidR="00D415AD">
        <w:rPr>
          <w:sz w:val="24"/>
          <w:szCs w:val="24"/>
        </w:rPr>
        <w:t xml:space="preserve">wellness initiatives </w:t>
      </w:r>
      <w:r w:rsidR="00415F23">
        <w:rPr>
          <w:sz w:val="24"/>
          <w:szCs w:val="24"/>
        </w:rPr>
        <w:t xml:space="preserve">are in their infancy and will require significant development and testing. </w:t>
      </w:r>
      <w:r w:rsidR="00D415AD">
        <w:rPr>
          <w:sz w:val="24"/>
          <w:szCs w:val="24"/>
        </w:rPr>
        <w:t xml:space="preserve"> Insurers should be allowed to explore </w:t>
      </w:r>
      <w:r w:rsidR="00415F23">
        <w:rPr>
          <w:sz w:val="24"/>
          <w:szCs w:val="24"/>
        </w:rPr>
        <w:t xml:space="preserve">and develop </w:t>
      </w:r>
      <w:r w:rsidR="00D415AD">
        <w:rPr>
          <w:sz w:val="24"/>
          <w:szCs w:val="24"/>
        </w:rPr>
        <w:t xml:space="preserve">these initiatives </w:t>
      </w:r>
      <w:r w:rsidR="00415F23">
        <w:rPr>
          <w:sz w:val="24"/>
          <w:szCs w:val="24"/>
        </w:rPr>
        <w:t xml:space="preserve">on a voluntary basis without regulatory mandates </w:t>
      </w:r>
      <w:r w:rsidR="00D415AD">
        <w:rPr>
          <w:sz w:val="24"/>
          <w:szCs w:val="24"/>
        </w:rPr>
        <w:t xml:space="preserve">if they determine </w:t>
      </w:r>
      <w:r w:rsidR="00415F23">
        <w:rPr>
          <w:sz w:val="24"/>
          <w:szCs w:val="24"/>
        </w:rPr>
        <w:t>such initiatives are viable and appropriate</w:t>
      </w:r>
      <w:r w:rsidR="00FC12B0">
        <w:rPr>
          <w:sz w:val="24"/>
          <w:szCs w:val="24"/>
        </w:rPr>
        <w:t xml:space="preserve"> for their business</w:t>
      </w:r>
      <w:r w:rsidR="00C36965">
        <w:rPr>
          <w:sz w:val="24"/>
          <w:szCs w:val="24"/>
        </w:rPr>
        <w:t>es</w:t>
      </w:r>
      <w:r w:rsidR="00FC12B0">
        <w:rPr>
          <w:sz w:val="24"/>
          <w:szCs w:val="24"/>
        </w:rPr>
        <w:t xml:space="preserve"> and policyholders.</w:t>
      </w:r>
      <w:r w:rsidR="0058743D">
        <w:rPr>
          <w:sz w:val="24"/>
          <w:szCs w:val="24"/>
        </w:rPr>
        <w:t xml:space="preserve"> </w:t>
      </w:r>
    </w:p>
    <w:p w14:paraId="18D1DE18" w14:textId="351A5477" w:rsidR="003C1C83" w:rsidRDefault="003C1C83" w:rsidP="00634357">
      <w:pPr>
        <w:spacing w:after="0" w:line="240" w:lineRule="auto"/>
        <w:rPr>
          <w:sz w:val="24"/>
          <w:szCs w:val="24"/>
        </w:rPr>
      </w:pPr>
    </w:p>
    <w:p w14:paraId="5590EF29" w14:textId="7F1B9530" w:rsidR="0058743D" w:rsidRDefault="004E334B" w:rsidP="00634357">
      <w:pPr>
        <w:spacing w:after="0" w:line="240" w:lineRule="auto"/>
        <w:rPr>
          <w:sz w:val="24"/>
          <w:szCs w:val="24"/>
        </w:rPr>
      </w:pPr>
      <w:r>
        <w:rPr>
          <w:sz w:val="24"/>
          <w:szCs w:val="24"/>
        </w:rPr>
        <w:t xml:space="preserve">Second, </w:t>
      </w:r>
      <w:r w:rsidR="00F92801">
        <w:rPr>
          <w:sz w:val="24"/>
          <w:szCs w:val="24"/>
        </w:rPr>
        <w:t xml:space="preserve">as </w:t>
      </w:r>
      <w:r w:rsidR="003C1C83" w:rsidRPr="003C1C83">
        <w:rPr>
          <w:sz w:val="24"/>
          <w:szCs w:val="24"/>
        </w:rPr>
        <w:t xml:space="preserve">the Subgroup’s work on wellness </w:t>
      </w:r>
      <w:r w:rsidR="00951FA2">
        <w:rPr>
          <w:sz w:val="24"/>
          <w:szCs w:val="24"/>
        </w:rPr>
        <w:t>programs</w:t>
      </w:r>
      <w:r w:rsidR="00951FA2" w:rsidRPr="003C1C83">
        <w:rPr>
          <w:sz w:val="24"/>
          <w:szCs w:val="24"/>
        </w:rPr>
        <w:t xml:space="preserve"> </w:t>
      </w:r>
      <w:r w:rsidR="003C1C83" w:rsidRPr="003C1C83">
        <w:rPr>
          <w:sz w:val="24"/>
          <w:szCs w:val="24"/>
        </w:rPr>
        <w:t xml:space="preserve">continues, we would like to discuss what form the ultimate deliverable will take. Since wellness benefit programs don’t directly correlate with rate actions, </w:t>
      </w:r>
      <w:r w:rsidR="00415F23">
        <w:rPr>
          <w:sz w:val="24"/>
          <w:szCs w:val="24"/>
        </w:rPr>
        <w:t>tying them together would unnecessarily encumber both. Therefore, we suggest that wellness initiatives not be incorporated into or made dependent on</w:t>
      </w:r>
      <w:r w:rsidR="003C1C83" w:rsidRPr="003C1C83">
        <w:rPr>
          <w:sz w:val="24"/>
          <w:szCs w:val="24"/>
        </w:rPr>
        <w:t xml:space="preserve"> the RBO Checklist or MSSR process. Ideally, the final deliverable encourages </w:t>
      </w:r>
      <w:r w:rsidR="00355197" w:rsidRPr="00355197">
        <w:rPr>
          <w:sz w:val="24"/>
          <w:szCs w:val="24"/>
        </w:rPr>
        <w:t xml:space="preserve">uniform </w:t>
      </w:r>
      <w:r w:rsidR="00355197">
        <w:rPr>
          <w:sz w:val="24"/>
          <w:szCs w:val="24"/>
        </w:rPr>
        <w:t xml:space="preserve">state approaches for </w:t>
      </w:r>
      <w:r w:rsidR="00355197" w:rsidRPr="00355197">
        <w:rPr>
          <w:sz w:val="24"/>
          <w:szCs w:val="24"/>
        </w:rPr>
        <w:t>wellness programs and discourages state-by-state reviews that could stymie uniformity.</w:t>
      </w:r>
    </w:p>
    <w:p w14:paraId="58181349" w14:textId="77777777" w:rsidR="0028193C" w:rsidRDefault="0028193C" w:rsidP="00634357">
      <w:pPr>
        <w:spacing w:after="0" w:line="240" w:lineRule="auto"/>
        <w:rPr>
          <w:sz w:val="24"/>
          <w:szCs w:val="24"/>
        </w:rPr>
      </w:pPr>
    </w:p>
    <w:p w14:paraId="0B4EC4EE" w14:textId="44C249FE" w:rsidR="00FC12B0" w:rsidRDefault="00F92801" w:rsidP="00634357">
      <w:pPr>
        <w:spacing w:after="0" w:line="240" w:lineRule="auto"/>
        <w:rPr>
          <w:sz w:val="24"/>
          <w:szCs w:val="24"/>
        </w:rPr>
      </w:pPr>
      <w:r>
        <w:rPr>
          <w:sz w:val="24"/>
          <w:szCs w:val="24"/>
        </w:rPr>
        <w:t xml:space="preserve">And </w:t>
      </w:r>
      <w:r w:rsidR="004E334B">
        <w:rPr>
          <w:sz w:val="24"/>
          <w:szCs w:val="24"/>
        </w:rPr>
        <w:t>third</w:t>
      </w:r>
      <w:r>
        <w:rPr>
          <w:sz w:val="24"/>
          <w:szCs w:val="24"/>
        </w:rPr>
        <w:t>, b</w:t>
      </w:r>
      <w:r w:rsidR="00A4284F">
        <w:rPr>
          <w:sz w:val="24"/>
          <w:szCs w:val="24"/>
        </w:rPr>
        <w:t xml:space="preserve">ecause LTC wellness benefit programs are in their infancy, </w:t>
      </w:r>
      <w:r w:rsidR="00015BA5">
        <w:rPr>
          <w:sz w:val="24"/>
          <w:szCs w:val="24"/>
        </w:rPr>
        <w:t xml:space="preserve">and there is </w:t>
      </w:r>
      <w:r w:rsidR="004F54BA">
        <w:rPr>
          <w:sz w:val="24"/>
          <w:szCs w:val="24"/>
        </w:rPr>
        <w:t xml:space="preserve">still </w:t>
      </w:r>
      <w:r w:rsidR="00015BA5">
        <w:rPr>
          <w:sz w:val="24"/>
          <w:szCs w:val="24"/>
        </w:rPr>
        <w:t xml:space="preserve">much to do, </w:t>
      </w:r>
      <w:r w:rsidR="00A4284F">
        <w:rPr>
          <w:sz w:val="24"/>
          <w:szCs w:val="24"/>
        </w:rPr>
        <w:t xml:space="preserve">we suggest prioritizing the issues </w:t>
      </w:r>
      <w:r w:rsidR="00015BA5">
        <w:rPr>
          <w:sz w:val="24"/>
          <w:szCs w:val="24"/>
        </w:rPr>
        <w:t xml:space="preserve">explored in the draft. Issues related to the upfront design of programs, such as rebating and discrimination, are a top priority as they </w:t>
      </w:r>
      <w:r w:rsidR="0041050F">
        <w:rPr>
          <w:sz w:val="24"/>
          <w:szCs w:val="24"/>
        </w:rPr>
        <w:t>are necessary to get started. Those issues related to results</w:t>
      </w:r>
      <w:r w:rsidR="00A6318A">
        <w:rPr>
          <w:sz w:val="24"/>
          <w:szCs w:val="24"/>
        </w:rPr>
        <w:t xml:space="preserve">, such as actuarial issues and consumer </w:t>
      </w:r>
      <w:r w:rsidR="00415F23">
        <w:rPr>
          <w:sz w:val="24"/>
          <w:szCs w:val="24"/>
        </w:rPr>
        <w:t>acceptance/</w:t>
      </w:r>
      <w:r w:rsidR="00A6318A">
        <w:rPr>
          <w:sz w:val="24"/>
          <w:szCs w:val="24"/>
        </w:rPr>
        <w:t xml:space="preserve">confusion, should be a secondary priority because they will be easier to ascertain and address after we have made some progress. </w:t>
      </w:r>
    </w:p>
    <w:p w14:paraId="31C571D8" w14:textId="7EAD490D" w:rsidR="00A6318A" w:rsidRDefault="00A6318A" w:rsidP="00634357">
      <w:pPr>
        <w:spacing w:after="0" w:line="240" w:lineRule="auto"/>
        <w:rPr>
          <w:sz w:val="24"/>
          <w:szCs w:val="24"/>
        </w:rPr>
      </w:pPr>
    </w:p>
    <w:p w14:paraId="6DC32E5B" w14:textId="597034DA" w:rsidR="00FC12B0" w:rsidRDefault="003C1C83" w:rsidP="00634357">
      <w:pPr>
        <w:spacing w:after="0" w:line="240" w:lineRule="auto"/>
        <w:rPr>
          <w:sz w:val="24"/>
          <w:szCs w:val="24"/>
        </w:rPr>
      </w:pPr>
      <w:r>
        <w:rPr>
          <w:sz w:val="24"/>
          <w:szCs w:val="24"/>
        </w:rPr>
        <w:t xml:space="preserve">With these general concepts </w:t>
      </w:r>
      <w:r w:rsidR="00F92801">
        <w:rPr>
          <w:sz w:val="24"/>
          <w:szCs w:val="24"/>
        </w:rPr>
        <w:t xml:space="preserve">in mind, we offer our analysis of the draft, by section, below. </w:t>
      </w:r>
    </w:p>
    <w:p w14:paraId="70A95EED" w14:textId="77777777" w:rsidR="00F92801" w:rsidRPr="00D415AD" w:rsidRDefault="00F92801" w:rsidP="00634357">
      <w:pPr>
        <w:spacing w:after="0" w:line="240" w:lineRule="auto"/>
        <w:rPr>
          <w:sz w:val="24"/>
          <w:szCs w:val="24"/>
        </w:rPr>
      </w:pPr>
    </w:p>
    <w:p w14:paraId="35979131" w14:textId="2CABA9DA" w:rsidR="001E7DD3" w:rsidRDefault="00A0786A" w:rsidP="001E7DD3">
      <w:pPr>
        <w:spacing w:after="0" w:line="240" w:lineRule="auto"/>
        <w:rPr>
          <w:rFonts w:eastAsia="Arial" w:cstheme="minorHAnsi"/>
          <w:color w:val="18B8CC"/>
          <w:sz w:val="24"/>
          <w:szCs w:val="24"/>
        </w:rPr>
      </w:pPr>
      <w:r>
        <w:rPr>
          <w:rFonts w:eastAsia="Arial" w:cstheme="minorHAnsi"/>
          <w:color w:val="18B8CC"/>
          <w:sz w:val="24"/>
          <w:szCs w:val="24"/>
        </w:rPr>
        <w:t>BACKGROUND</w:t>
      </w:r>
    </w:p>
    <w:p w14:paraId="509FDE7F" w14:textId="48A3A1F8" w:rsidR="00F92801" w:rsidRDefault="0094466B" w:rsidP="001E7DD3">
      <w:pPr>
        <w:spacing w:after="0" w:line="240" w:lineRule="auto"/>
        <w:rPr>
          <w:sz w:val="24"/>
          <w:szCs w:val="24"/>
        </w:rPr>
      </w:pPr>
      <w:r w:rsidRPr="0094466B">
        <w:rPr>
          <w:sz w:val="24"/>
          <w:szCs w:val="24"/>
        </w:rPr>
        <w:t>H</w:t>
      </w:r>
      <w:r>
        <w:rPr>
          <w:sz w:val="24"/>
          <w:szCs w:val="24"/>
        </w:rPr>
        <w:t>ybrid products constitute 80% of LTC products sold today</w:t>
      </w:r>
      <w:r w:rsidR="006230D1">
        <w:rPr>
          <w:sz w:val="24"/>
          <w:szCs w:val="24"/>
        </w:rPr>
        <w:t xml:space="preserve">. </w:t>
      </w:r>
      <w:r>
        <w:rPr>
          <w:sz w:val="24"/>
          <w:szCs w:val="24"/>
        </w:rPr>
        <w:t xml:space="preserve">Given their key role in the LTC market, we suggest incorporating hybrid products into the </w:t>
      </w:r>
      <w:r w:rsidR="004F54BA">
        <w:rPr>
          <w:sz w:val="24"/>
          <w:szCs w:val="24"/>
        </w:rPr>
        <w:t xml:space="preserve">background </w:t>
      </w:r>
      <w:r>
        <w:rPr>
          <w:sz w:val="24"/>
          <w:szCs w:val="24"/>
        </w:rPr>
        <w:t>sectio</w:t>
      </w:r>
      <w:r w:rsidR="006230D1">
        <w:rPr>
          <w:sz w:val="24"/>
          <w:szCs w:val="24"/>
        </w:rPr>
        <w:t>n.</w:t>
      </w:r>
    </w:p>
    <w:p w14:paraId="1F4E7A30" w14:textId="0FBCEA4F" w:rsidR="004F54BA" w:rsidRDefault="004F54BA" w:rsidP="001E7DD3">
      <w:pPr>
        <w:spacing w:after="0" w:line="240" w:lineRule="auto"/>
        <w:rPr>
          <w:sz w:val="24"/>
          <w:szCs w:val="24"/>
        </w:rPr>
      </w:pPr>
    </w:p>
    <w:p w14:paraId="5D759983" w14:textId="2D4241F4" w:rsidR="004F54BA" w:rsidRDefault="004F54BA" w:rsidP="001E7DD3">
      <w:pPr>
        <w:spacing w:after="0" w:line="240" w:lineRule="auto"/>
        <w:rPr>
          <w:sz w:val="24"/>
          <w:szCs w:val="24"/>
        </w:rPr>
      </w:pPr>
      <w:r>
        <w:rPr>
          <w:sz w:val="24"/>
          <w:szCs w:val="24"/>
        </w:rPr>
        <w:t xml:space="preserve">Timing is an important component of wellness benefit </w:t>
      </w:r>
      <w:r w:rsidR="00482CC8">
        <w:rPr>
          <w:sz w:val="24"/>
          <w:szCs w:val="24"/>
        </w:rPr>
        <w:t xml:space="preserve">programs </w:t>
      </w:r>
      <w:r>
        <w:rPr>
          <w:sz w:val="24"/>
          <w:szCs w:val="24"/>
        </w:rPr>
        <w:t>that should be mentioned in this section. Many LTC policies provide some form of home modification and caregiver training</w:t>
      </w:r>
      <w:r w:rsidR="003405E5">
        <w:rPr>
          <w:sz w:val="24"/>
          <w:szCs w:val="24"/>
        </w:rPr>
        <w:t xml:space="preserve"> benefits</w:t>
      </w:r>
      <w:r>
        <w:rPr>
          <w:sz w:val="24"/>
          <w:szCs w:val="24"/>
        </w:rPr>
        <w:t xml:space="preserve">. </w:t>
      </w:r>
      <w:r w:rsidR="00992595">
        <w:rPr>
          <w:sz w:val="24"/>
          <w:szCs w:val="24"/>
        </w:rPr>
        <w:t>The true value</w:t>
      </w:r>
      <w:r w:rsidR="00C06DFE">
        <w:rPr>
          <w:sz w:val="24"/>
          <w:szCs w:val="24"/>
        </w:rPr>
        <w:t xml:space="preserve"> of these </w:t>
      </w:r>
      <w:r w:rsidR="00482CC8">
        <w:rPr>
          <w:sz w:val="24"/>
          <w:szCs w:val="24"/>
        </w:rPr>
        <w:t xml:space="preserve">initiatives </w:t>
      </w:r>
      <w:r w:rsidR="00992595">
        <w:rPr>
          <w:sz w:val="24"/>
          <w:szCs w:val="24"/>
        </w:rPr>
        <w:t>comes in providing the</w:t>
      </w:r>
      <w:r w:rsidR="00C06DFE">
        <w:rPr>
          <w:sz w:val="24"/>
          <w:szCs w:val="24"/>
        </w:rPr>
        <w:t>m</w:t>
      </w:r>
      <w:r w:rsidR="00992595">
        <w:rPr>
          <w:sz w:val="24"/>
          <w:szCs w:val="24"/>
        </w:rPr>
        <w:t xml:space="preserve"> pre-claim when they are most effective.  </w:t>
      </w:r>
      <w:r>
        <w:rPr>
          <w:sz w:val="24"/>
          <w:szCs w:val="24"/>
        </w:rPr>
        <w:t xml:space="preserve"> </w:t>
      </w:r>
    </w:p>
    <w:p w14:paraId="405C844C" w14:textId="384C3319" w:rsidR="00C06DFE" w:rsidRDefault="00C06DFE" w:rsidP="001E7DD3">
      <w:pPr>
        <w:spacing w:after="0" w:line="240" w:lineRule="auto"/>
        <w:rPr>
          <w:sz w:val="24"/>
          <w:szCs w:val="24"/>
        </w:rPr>
      </w:pPr>
    </w:p>
    <w:p w14:paraId="1B09A1C8" w14:textId="2EC23831" w:rsidR="00802CC2" w:rsidRDefault="00C06DFE" w:rsidP="001E7DD3">
      <w:pPr>
        <w:spacing w:after="0" w:line="240" w:lineRule="auto"/>
        <w:rPr>
          <w:sz w:val="24"/>
          <w:szCs w:val="24"/>
        </w:rPr>
      </w:pPr>
      <w:r>
        <w:rPr>
          <w:sz w:val="24"/>
          <w:szCs w:val="24"/>
        </w:rPr>
        <w:t xml:space="preserve">This section refers to wellness </w:t>
      </w:r>
      <w:r w:rsidR="00482CC8">
        <w:rPr>
          <w:sz w:val="24"/>
          <w:szCs w:val="24"/>
        </w:rPr>
        <w:t xml:space="preserve">initiatives </w:t>
      </w:r>
      <w:r>
        <w:rPr>
          <w:sz w:val="24"/>
          <w:szCs w:val="24"/>
        </w:rPr>
        <w:t>as “claim cost-reducing innovation.” In addition to reducing claim costs</w:t>
      </w:r>
      <w:r w:rsidR="0034549A">
        <w:rPr>
          <w:sz w:val="24"/>
          <w:szCs w:val="24"/>
        </w:rPr>
        <w:t xml:space="preserve"> for insurers</w:t>
      </w:r>
      <w:r>
        <w:rPr>
          <w:sz w:val="24"/>
          <w:szCs w:val="24"/>
        </w:rPr>
        <w:t xml:space="preserve">, wellness </w:t>
      </w:r>
      <w:r w:rsidR="00482CC8">
        <w:rPr>
          <w:sz w:val="24"/>
          <w:szCs w:val="24"/>
        </w:rPr>
        <w:t xml:space="preserve">initiatives </w:t>
      </w:r>
      <w:r>
        <w:rPr>
          <w:sz w:val="24"/>
          <w:szCs w:val="24"/>
        </w:rPr>
        <w:t xml:space="preserve">help policyholders by potentially extending their independence at home and preventing severe impairment. </w:t>
      </w:r>
      <w:r w:rsidR="002166D9">
        <w:rPr>
          <w:sz w:val="24"/>
          <w:szCs w:val="24"/>
        </w:rPr>
        <w:t>P</w:t>
      </w:r>
      <w:r w:rsidR="002166D9" w:rsidRPr="002166D9">
        <w:rPr>
          <w:sz w:val="24"/>
          <w:szCs w:val="24"/>
        </w:rPr>
        <w:t>rovid</w:t>
      </w:r>
      <w:r w:rsidR="002166D9">
        <w:rPr>
          <w:sz w:val="24"/>
          <w:szCs w:val="24"/>
        </w:rPr>
        <w:t>ing</w:t>
      </w:r>
      <w:r w:rsidR="002166D9" w:rsidRPr="002166D9">
        <w:rPr>
          <w:sz w:val="24"/>
          <w:szCs w:val="24"/>
        </w:rPr>
        <w:t xml:space="preserve"> early access to existing benefits</w:t>
      </w:r>
      <w:r w:rsidR="002166D9">
        <w:rPr>
          <w:sz w:val="24"/>
          <w:szCs w:val="24"/>
        </w:rPr>
        <w:t>,</w:t>
      </w:r>
      <w:r w:rsidR="002166D9" w:rsidRPr="002166D9">
        <w:rPr>
          <w:sz w:val="24"/>
          <w:szCs w:val="24"/>
        </w:rPr>
        <w:t xml:space="preserve"> such as </w:t>
      </w:r>
      <w:r w:rsidR="002166D9">
        <w:rPr>
          <w:sz w:val="24"/>
          <w:szCs w:val="24"/>
        </w:rPr>
        <w:t>c</w:t>
      </w:r>
      <w:r w:rsidR="002166D9" w:rsidRPr="002166D9">
        <w:rPr>
          <w:sz w:val="24"/>
          <w:szCs w:val="24"/>
        </w:rPr>
        <w:t xml:space="preserve">aregiver </w:t>
      </w:r>
      <w:r w:rsidR="002166D9">
        <w:rPr>
          <w:sz w:val="24"/>
          <w:szCs w:val="24"/>
        </w:rPr>
        <w:t>t</w:t>
      </w:r>
      <w:r w:rsidR="002166D9" w:rsidRPr="002166D9">
        <w:rPr>
          <w:sz w:val="24"/>
          <w:szCs w:val="24"/>
        </w:rPr>
        <w:t xml:space="preserve">raining and </w:t>
      </w:r>
      <w:r w:rsidR="002166D9">
        <w:rPr>
          <w:sz w:val="24"/>
          <w:szCs w:val="24"/>
        </w:rPr>
        <w:t>h</w:t>
      </w:r>
      <w:r w:rsidR="002166D9" w:rsidRPr="002166D9">
        <w:rPr>
          <w:sz w:val="24"/>
          <w:szCs w:val="24"/>
        </w:rPr>
        <w:t xml:space="preserve">ome </w:t>
      </w:r>
      <w:r w:rsidR="002166D9">
        <w:rPr>
          <w:sz w:val="24"/>
          <w:szCs w:val="24"/>
        </w:rPr>
        <w:t>m</w:t>
      </w:r>
      <w:r w:rsidR="002166D9" w:rsidRPr="002166D9">
        <w:rPr>
          <w:sz w:val="24"/>
          <w:szCs w:val="24"/>
        </w:rPr>
        <w:t>odifications</w:t>
      </w:r>
      <w:r w:rsidR="002166D9">
        <w:rPr>
          <w:sz w:val="24"/>
          <w:szCs w:val="24"/>
        </w:rPr>
        <w:t>,</w:t>
      </w:r>
      <w:r w:rsidR="002166D9" w:rsidRPr="002166D9">
        <w:rPr>
          <w:sz w:val="24"/>
          <w:szCs w:val="24"/>
        </w:rPr>
        <w:t xml:space="preserve"> </w:t>
      </w:r>
      <w:r w:rsidR="00482CC8">
        <w:rPr>
          <w:sz w:val="24"/>
          <w:szCs w:val="24"/>
        </w:rPr>
        <w:t>may postpone</w:t>
      </w:r>
      <w:r w:rsidR="002166D9" w:rsidRPr="002166D9">
        <w:rPr>
          <w:sz w:val="24"/>
          <w:szCs w:val="24"/>
        </w:rPr>
        <w:t xml:space="preserve"> the need for formal care</w:t>
      </w:r>
      <w:r w:rsidR="002166D9">
        <w:rPr>
          <w:sz w:val="24"/>
          <w:szCs w:val="24"/>
        </w:rPr>
        <w:t xml:space="preserve"> and </w:t>
      </w:r>
      <w:r w:rsidR="002166D9" w:rsidRPr="002166D9">
        <w:rPr>
          <w:sz w:val="24"/>
          <w:szCs w:val="24"/>
        </w:rPr>
        <w:t>enable insured</w:t>
      </w:r>
      <w:r w:rsidR="00514213">
        <w:rPr>
          <w:sz w:val="24"/>
          <w:szCs w:val="24"/>
        </w:rPr>
        <w:t>s</w:t>
      </w:r>
      <w:r w:rsidR="002166D9" w:rsidRPr="002166D9">
        <w:rPr>
          <w:sz w:val="24"/>
          <w:szCs w:val="24"/>
        </w:rPr>
        <w:t xml:space="preserve"> to remain in their home</w:t>
      </w:r>
      <w:r w:rsidR="00514213">
        <w:rPr>
          <w:sz w:val="24"/>
          <w:szCs w:val="24"/>
        </w:rPr>
        <w:t>s</w:t>
      </w:r>
      <w:r w:rsidR="002166D9" w:rsidRPr="002166D9">
        <w:rPr>
          <w:sz w:val="24"/>
          <w:szCs w:val="24"/>
        </w:rPr>
        <w:t xml:space="preserve"> </w:t>
      </w:r>
      <w:r w:rsidR="002166D9">
        <w:rPr>
          <w:sz w:val="24"/>
          <w:szCs w:val="24"/>
        </w:rPr>
        <w:t>under the care of their famil</w:t>
      </w:r>
      <w:r w:rsidR="00514213">
        <w:rPr>
          <w:sz w:val="24"/>
          <w:szCs w:val="24"/>
        </w:rPr>
        <w:t>ies</w:t>
      </w:r>
      <w:r w:rsidR="002166D9" w:rsidRPr="002166D9">
        <w:rPr>
          <w:sz w:val="24"/>
          <w:szCs w:val="24"/>
        </w:rPr>
        <w:t>.</w:t>
      </w:r>
      <w:r w:rsidR="003405E5">
        <w:rPr>
          <w:sz w:val="24"/>
          <w:szCs w:val="24"/>
        </w:rPr>
        <w:t xml:space="preserve"> In addition to </w:t>
      </w:r>
      <w:r w:rsidR="006230D1">
        <w:rPr>
          <w:sz w:val="24"/>
          <w:szCs w:val="24"/>
        </w:rPr>
        <w:t xml:space="preserve">maintaining or </w:t>
      </w:r>
      <w:r w:rsidR="003405E5">
        <w:rPr>
          <w:sz w:val="24"/>
          <w:szCs w:val="24"/>
        </w:rPr>
        <w:t xml:space="preserve">improving the health </w:t>
      </w:r>
      <w:r w:rsidR="006230D1">
        <w:rPr>
          <w:sz w:val="24"/>
          <w:szCs w:val="24"/>
        </w:rPr>
        <w:t xml:space="preserve">and well-being </w:t>
      </w:r>
      <w:r w:rsidR="003405E5">
        <w:rPr>
          <w:sz w:val="24"/>
          <w:szCs w:val="24"/>
        </w:rPr>
        <w:t xml:space="preserve">of insureds, wellness </w:t>
      </w:r>
      <w:r w:rsidR="00482CC8">
        <w:rPr>
          <w:sz w:val="24"/>
          <w:szCs w:val="24"/>
        </w:rPr>
        <w:t xml:space="preserve">initiatives </w:t>
      </w:r>
      <w:r w:rsidR="003405E5">
        <w:rPr>
          <w:sz w:val="24"/>
          <w:szCs w:val="24"/>
        </w:rPr>
        <w:t xml:space="preserve">ultimately </w:t>
      </w:r>
      <w:r w:rsidR="006C1E91">
        <w:rPr>
          <w:sz w:val="24"/>
          <w:szCs w:val="24"/>
        </w:rPr>
        <w:t>benefit</w:t>
      </w:r>
      <w:r w:rsidR="003405E5">
        <w:rPr>
          <w:sz w:val="24"/>
          <w:szCs w:val="24"/>
        </w:rPr>
        <w:t xml:space="preserve"> family members in caring for loved ones</w:t>
      </w:r>
      <w:r w:rsidR="006C1E91">
        <w:rPr>
          <w:sz w:val="24"/>
          <w:szCs w:val="24"/>
        </w:rPr>
        <w:t xml:space="preserve">. </w:t>
      </w:r>
    </w:p>
    <w:p w14:paraId="191EEF48" w14:textId="77777777" w:rsidR="00FB2CCB" w:rsidRDefault="00FB2CCB" w:rsidP="001E7DD3">
      <w:pPr>
        <w:spacing w:after="0" w:line="240" w:lineRule="auto"/>
        <w:rPr>
          <w:sz w:val="24"/>
          <w:szCs w:val="24"/>
        </w:rPr>
      </w:pPr>
    </w:p>
    <w:p w14:paraId="281D1AA0" w14:textId="06814A68" w:rsidR="00E423D8" w:rsidRDefault="00A0786A" w:rsidP="00AF314E">
      <w:pPr>
        <w:spacing w:after="0" w:line="240" w:lineRule="auto"/>
        <w:rPr>
          <w:rFonts w:eastAsia="Arial" w:cstheme="minorHAnsi"/>
          <w:color w:val="18B8CC"/>
          <w:sz w:val="24"/>
          <w:szCs w:val="24"/>
        </w:rPr>
      </w:pPr>
      <w:r>
        <w:rPr>
          <w:rFonts w:eastAsia="Arial" w:cstheme="minorHAnsi"/>
          <w:color w:val="18B8CC"/>
          <w:sz w:val="24"/>
          <w:szCs w:val="24"/>
        </w:rPr>
        <w:t>ANALYSIS OF EFFECTIVENESS</w:t>
      </w:r>
    </w:p>
    <w:p w14:paraId="291023B1" w14:textId="0FAF2B04" w:rsidR="00C06DFE" w:rsidRDefault="00802CC2" w:rsidP="00AF314E">
      <w:pPr>
        <w:spacing w:after="0" w:line="240" w:lineRule="auto"/>
        <w:rPr>
          <w:sz w:val="24"/>
          <w:szCs w:val="24"/>
        </w:rPr>
      </w:pPr>
      <w:r w:rsidRPr="00802CC2">
        <w:rPr>
          <w:sz w:val="24"/>
          <w:szCs w:val="24"/>
        </w:rPr>
        <w:t xml:space="preserve">A major </w:t>
      </w:r>
      <w:r>
        <w:rPr>
          <w:sz w:val="24"/>
          <w:szCs w:val="24"/>
        </w:rPr>
        <w:t xml:space="preserve">concern about developing wellness programs is determining how effective they </w:t>
      </w:r>
      <w:r w:rsidR="0034549A">
        <w:rPr>
          <w:sz w:val="24"/>
          <w:szCs w:val="24"/>
        </w:rPr>
        <w:t>will be</w:t>
      </w:r>
      <w:r>
        <w:rPr>
          <w:sz w:val="24"/>
          <w:szCs w:val="24"/>
        </w:rPr>
        <w:t xml:space="preserve">. While there are certain </w:t>
      </w:r>
      <w:r w:rsidR="0034549A">
        <w:rPr>
          <w:sz w:val="24"/>
          <w:szCs w:val="24"/>
        </w:rPr>
        <w:t>desired results</w:t>
      </w:r>
      <w:r>
        <w:rPr>
          <w:sz w:val="24"/>
          <w:szCs w:val="24"/>
        </w:rPr>
        <w:t xml:space="preserve"> that </w:t>
      </w:r>
      <w:r w:rsidR="00CA66B4">
        <w:rPr>
          <w:sz w:val="24"/>
          <w:szCs w:val="24"/>
        </w:rPr>
        <w:t xml:space="preserve">could </w:t>
      </w:r>
      <w:r>
        <w:rPr>
          <w:sz w:val="24"/>
          <w:szCs w:val="24"/>
        </w:rPr>
        <w:t xml:space="preserve">require years of study and implementation to ascertain whether they </w:t>
      </w:r>
      <w:r w:rsidR="0034549A">
        <w:rPr>
          <w:sz w:val="24"/>
          <w:szCs w:val="24"/>
        </w:rPr>
        <w:t>can be achieved</w:t>
      </w:r>
      <w:r>
        <w:rPr>
          <w:sz w:val="24"/>
          <w:szCs w:val="24"/>
        </w:rPr>
        <w:t xml:space="preserve">, other </w:t>
      </w:r>
      <w:r w:rsidR="0034549A">
        <w:rPr>
          <w:sz w:val="24"/>
          <w:szCs w:val="24"/>
        </w:rPr>
        <w:t>results</w:t>
      </w:r>
      <w:r>
        <w:rPr>
          <w:sz w:val="24"/>
          <w:szCs w:val="24"/>
        </w:rPr>
        <w:t xml:space="preserve"> </w:t>
      </w:r>
      <w:r w:rsidR="00307EC7">
        <w:rPr>
          <w:sz w:val="24"/>
          <w:szCs w:val="24"/>
        </w:rPr>
        <w:t>can be realized quickly</w:t>
      </w:r>
      <w:r w:rsidR="00971FD8">
        <w:rPr>
          <w:sz w:val="24"/>
          <w:szCs w:val="24"/>
        </w:rPr>
        <w:t xml:space="preserve">. </w:t>
      </w:r>
      <w:r w:rsidR="0034549A">
        <w:rPr>
          <w:sz w:val="24"/>
          <w:szCs w:val="24"/>
        </w:rPr>
        <w:t xml:space="preserve">For instance, </w:t>
      </w:r>
      <w:r w:rsidR="00CA66B4">
        <w:rPr>
          <w:sz w:val="24"/>
          <w:szCs w:val="24"/>
        </w:rPr>
        <w:t xml:space="preserve">the </w:t>
      </w:r>
      <w:r w:rsidR="00951FA2">
        <w:rPr>
          <w:sz w:val="24"/>
          <w:szCs w:val="24"/>
        </w:rPr>
        <w:t xml:space="preserve">affect </w:t>
      </w:r>
      <w:r w:rsidR="00CA66B4">
        <w:rPr>
          <w:sz w:val="24"/>
          <w:szCs w:val="24"/>
        </w:rPr>
        <w:t xml:space="preserve">wellness </w:t>
      </w:r>
      <w:r w:rsidR="00482CC8">
        <w:rPr>
          <w:sz w:val="24"/>
          <w:szCs w:val="24"/>
        </w:rPr>
        <w:t xml:space="preserve">programs </w:t>
      </w:r>
      <w:r w:rsidR="00CA66B4">
        <w:rPr>
          <w:sz w:val="24"/>
          <w:szCs w:val="24"/>
        </w:rPr>
        <w:t>might have on r</w:t>
      </w:r>
      <w:r w:rsidR="0034549A">
        <w:rPr>
          <w:sz w:val="24"/>
          <w:szCs w:val="24"/>
        </w:rPr>
        <w:t xml:space="preserve">educing early claims or </w:t>
      </w:r>
      <w:r w:rsidR="00583DA2">
        <w:rPr>
          <w:sz w:val="24"/>
          <w:szCs w:val="24"/>
        </w:rPr>
        <w:t>encouraging</w:t>
      </w:r>
      <w:r w:rsidR="0034549A">
        <w:rPr>
          <w:sz w:val="24"/>
          <w:szCs w:val="24"/>
        </w:rPr>
        <w:t xml:space="preserve"> cost-effective home care</w:t>
      </w:r>
      <w:r w:rsidR="00583DA2">
        <w:rPr>
          <w:sz w:val="24"/>
          <w:szCs w:val="24"/>
        </w:rPr>
        <w:t xml:space="preserve"> </w:t>
      </w:r>
      <w:r w:rsidR="00CA66B4">
        <w:rPr>
          <w:sz w:val="24"/>
          <w:szCs w:val="24"/>
        </w:rPr>
        <w:t xml:space="preserve">could be known within months of implementation. </w:t>
      </w:r>
      <w:r w:rsidR="0034549A">
        <w:rPr>
          <w:sz w:val="24"/>
          <w:szCs w:val="24"/>
        </w:rPr>
        <w:t xml:space="preserve"> </w:t>
      </w:r>
    </w:p>
    <w:p w14:paraId="4F04FD57" w14:textId="0D77DF41" w:rsidR="00534484" w:rsidRDefault="00534484" w:rsidP="00AF314E">
      <w:pPr>
        <w:spacing w:after="0" w:line="240" w:lineRule="auto"/>
        <w:rPr>
          <w:sz w:val="24"/>
          <w:szCs w:val="24"/>
        </w:rPr>
      </w:pPr>
    </w:p>
    <w:p w14:paraId="13F14185" w14:textId="19721F0B" w:rsidR="003F3827" w:rsidRDefault="00534484" w:rsidP="006C1E91">
      <w:pPr>
        <w:spacing w:after="0" w:line="240" w:lineRule="auto"/>
        <w:rPr>
          <w:sz w:val="24"/>
          <w:szCs w:val="24"/>
        </w:rPr>
      </w:pPr>
      <w:r>
        <w:rPr>
          <w:sz w:val="24"/>
          <w:szCs w:val="24"/>
        </w:rPr>
        <w:t xml:space="preserve">Further, the draft refers to upfront, significant costs associated with wellness programs. </w:t>
      </w:r>
      <w:r w:rsidR="00951FA2">
        <w:rPr>
          <w:sz w:val="24"/>
          <w:szCs w:val="24"/>
        </w:rPr>
        <w:t xml:space="preserve">While this may be true, </w:t>
      </w:r>
      <w:r>
        <w:rPr>
          <w:sz w:val="24"/>
          <w:szCs w:val="24"/>
        </w:rPr>
        <w:t xml:space="preserve">there </w:t>
      </w:r>
      <w:r w:rsidRPr="006C1E91">
        <w:rPr>
          <w:sz w:val="24"/>
          <w:szCs w:val="24"/>
        </w:rPr>
        <w:t xml:space="preserve">are </w:t>
      </w:r>
      <w:r w:rsidR="00415F23">
        <w:rPr>
          <w:sz w:val="24"/>
          <w:szCs w:val="24"/>
        </w:rPr>
        <w:t>some</w:t>
      </w:r>
      <w:r w:rsidR="00415F23" w:rsidRPr="006C1E91">
        <w:rPr>
          <w:sz w:val="24"/>
          <w:szCs w:val="24"/>
        </w:rPr>
        <w:t xml:space="preserve"> </w:t>
      </w:r>
      <w:r w:rsidRPr="006C1E91">
        <w:rPr>
          <w:sz w:val="24"/>
          <w:szCs w:val="24"/>
        </w:rPr>
        <w:t xml:space="preserve">wellness </w:t>
      </w:r>
      <w:r w:rsidR="00951FA2">
        <w:rPr>
          <w:sz w:val="24"/>
          <w:szCs w:val="24"/>
        </w:rPr>
        <w:t>offerings</w:t>
      </w:r>
      <w:r w:rsidR="00482CC8" w:rsidRPr="006C1E91">
        <w:rPr>
          <w:sz w:val="24"/>
          <w:szCs w:val="24"/>
        </w:rPr>
        <w:t xml:space="preserve"> </w:t>
      </w:r>
      <w:r w:rsidRPr="006C1E91">
        <w:rPr>
          <w:sz w:val="24"/>
          <w:szCs w:val="24"/>
        </w:rPr>
        <w:t>that are not expensive and can be tested without much financial risk. For example</w:t>
      </w:r>
      <w:r w:rsidR="006230D1" w:rsidRPr="006C1E91">
        <w:rPr>
          <w:sz w:val="24"/>
          <w:szCs w:val="24"/>
        </w:rPr>
        <w:t xml:space="preserve">, </w:t>
      </w:r>
      <w:r w:rsidR="006C1E91" w:rsidRPr="006C1E91">
        <w:rPr>
          <w:sz w:val="24"/>
          <w:szCs w:val="24"/>
        </w:rPr>
        <w:t xml:space="preserve">health </w:t>
      </w:r>
      <w:r w:rsidR="006230D1" w:rsidRPr="006C1E91">
        <w:rPr>
          <w:sz w:val="24"/>
          <w:szCs w:val="24"/>
        </w:rPr>
        <w:t>education</w:t>
      </w:r>
      <w:r w:rsidR="006C1E91" w:rsidRPr="006C1E91">
        <w:rPr>
          <w:sz w:val="24"/>
          <w:szCs w:val="24"/>
        </w:rPr>
        <w:t xml:space="preserve"> programs or immunization incentives would not cost much. </w:t>
      </w:r>
      <w:r w:rsidR="00A33AA4" w:rsidRPr="006C1E91">
        <w:rPr>
          <w:sz w:val="24"/>
          <w:szCs w:val="24"/>
        </w:rPr>
        <w:t xml:space="preserve">And while individual blocks of LTC insurance policies might be unique, there could be wellness </w:t>
      </w:r>
      <w:r w:rsidR="00482CC8">
        <w:rPr>
          <w:sz w:val="24"/>
          <w:szCs w:val="24"/>
        </w:rPr>
        <w:t>programs</w:t>
      </w:r>
      <w:r w:rsidR="00482CC8" w:rsidRPr="006C1E91">
        <w:rPr>
          <w:sz w:val="24"/>
          <w:szCs w:val="24"/>
        </w:rPr>
        <w:t xml:space="preserve"> </w:t>
      </w:r>
      <w:r w:rsidR="00A33AA4" w:rsidRPr="006C1E91">
        <w:rPr>
          <w:sz w:val="24"/>
          <w:szCs w:val="24"/>
        </w:rPr>
        <w:t xml:space="preserve">that are effective for most, if not all of them, such as </w:t>
      </w:r>
      <w:r w:rsidR="006C1E91" w:rsidRPr="006C1E91">
        <w:rPr>
          <w:sz w:val="24"/>
          <w:szCs w:val="24"/>
        </w:rPr>
        <w:t xml:space="preserve">stress management and </w:t>
      </w:r>
      <w:r w:rsidR="00482CC8">
        <w:rPr>
          <w:sz w:val="24"/>
          <w:szCs w:val="24"/>
        </w:rPr>
        <w:t xml:space="preserve">certain </w:t>
      </w:r>
      <w:r w:rsidR="006C1E91" w:rsidRPr="006C1E91">
        <w:rPr>
          <w:sz w:val="24"/>
          <w:szCs w:val="24"/>
        </w:rPr>
        <w:t>medical screenings</w:t>
      </w:r>
      <w:r w:rsidR="00A33AA4" w:rsidRPr="006C1E91">
        <w:rPr>
          <w:sz w:val="24"/>
          <w:szCs w:val="24"/>
        </w:rPr>
        <w:t xml:space="preserve">. </w:t>
      </w:r>
    </w:p>
    <w:p w14:paraId="0B742F27" w14:textId="0341A7CA" w:rsidR="00534484" w:rsidRDefault="00534484" w:rsidP="00AF314E">
      <w:pPr>
        <w:spacing w:after="0" w:line="240" w:lineRule="auto"/>
        <w:rPr>
          <w:sz w:val="24"/>
          <w:szCs w:val="24"/>
        </w:rPr>
      </w:pPr>
    </w:p>
    <w:p w14:paraId="08ED420F" w14:textId="0D71AB62" w:rsidR="00AB6EE1" w:rsidRDefault="00534484" w:rsidP="00AB6EE1">
      <w:pPr>
        <w:spacing w:after="0" w:line="240" w:lineRule="auto"/>
        <w:rPr>
          <w:sz w:val="24"/>
          <w:szCs w:val="24"/>
        </w:rPr>
      </w:pPr>
      <w:r>
        <w:rPr>
          <w:sz w:val="24"/>
          <w:szCs w:val="24"/>
        </w:rPr>
        <w:t xml:space="preserve">Paragraph (b)(iii) of this section mentions the stand-alone LTC insurance market. </w:t>
      </w:r>
      <w:r w:rsidR="00A33AA4">
        <w:rPr>
          <w:sz w:val="24"/>
          <w:szCs w:val="24"/>
        </w:rPr>
        <w:t>As previously mentioned</w:t>
      </w:r>
      <w:r w:rsidR="006C1E91">
        <w:rPr>
          <w:sz w:val="24"/>
          <w:szCs w:val="24"/>
        </w:rPr>
        <w:t>,</w:t>
      </w:r>
      <w:r w:rsidR="00A33AA4">
        <w:rPr>
          <w:sz w:val="24"/>
          <w:szCs w:val="24"/>
        </w:rPr>
        <w:t xml:space="preserve"> i</w:t>
      </w:r>
      <w:r>
        <w:rPr>
          <w:sz w:val="24"/>
          <w:szCs w:val="24"/>
        </w:rPr>
        <w:t xml:space="preserve">t’s important to </w:t>
      </w:r>
      <w:r w:rsidR="00A33AA4">
        <w:rPr>
          <w:sz w:val="24"/>
          <w:szCs w:val="24"/>
        </w:rPr>
        <w:t xml:space="preserve">account for </w:t>
      </w:r>
      <w:r>
        <w:rPr>
          <w:sz w:val="24"/>
          <w:szCs w:val="24"/>
        </w:rPr>
        <w:t xml:space="preserve">the thriving hybrid LTC market. </w:t>
      </w:r>
      <w:r w:rsidR="00933C61">
        <w:rPr>
          <w:sz w:val="24"/>
          <w:szCs w:val="24"/>
        </w:rPr>
        <w:t>Carriers selling hybrid products can and should contribute to the industry’s wellness initiative</w:t>
      </w:r>
      <w:r w:rsidR="00A33AA4">
        <w:rPr>
          <w:sz w:val="24"/>
          <w:szCs w:val="24"/>
        </w:rPr>
        <w:t>s</w:t>
      </w:r>
      <w:r w:rsidR="00933C61">
        <w:rPr>
          <w:sz w:val="24"/>
          <w:szCs w:val="24"/>
        </w:rPr>
        <w:t xml:space="preserve">. </w:t>
      </w:r>
      <w:r w:rsidR="00AB6EE1" w:rsidRPr="00AB6EE1">
        <w:rPr>
          <w:sz w:val="24"/>
          <w:szCs w:val="24"/>
        </w:rPr>
        <w:t xml:space="preserve">The flexible design of hybrid products makes them uniquely suited to </w:t>
      </w:r>
      <w:r w:rsidR="00951FA2">
        <w:rPr>
          <w:sz w:val="24"/>
          <w:szCs w:val="24"/>
        </w:rPr>
        <w:t xml:space="preserve">offer </w:t>
      </w:r>
      <w:r w:rsidR="00AB6EE1" w:rsidRPr="00AB6EE1">
        <w:rPr>
          <w:sz w:val="24"/>
          <w:szCs w:val="24"/>
        </w:rPr>
        <w:t xml:space="preserve">wellness programs that maintain </w:t>
      </w:r>
      <w:r w:rsidR="00951FA2">
        <w:rPr>
          <w:sz w:val="24"/>
          <w:szCs w:val="24"/>
        </w:rPr>
        <w:t xml:space="preserve">policyholders’ </w:t>
      </w:r>
      <w:r w:rsidR="00AB6EE1" w:rsidRPr="00AB6EE1">
        <w:rPr>
          <w:sz w:val="24"/>
          <w:szCs w:val="24"/>
        </w:rPr>
        <w:t xml:space="preserve">independence </w:t>
      </w:r>
      <w:r w:rsidR="00951FA2">
        <w:rPr>
          <w:sz w:val="24"/>
          <w:szCs w:val="24"/>
        </w:rPr>
        <w:t>at hom</w:t>
      </w:r>
      <w:r w:rsidR="00125736">
        <w:rPr>
          <w:sz w:val="24"/>
          <w:szCs w:val="24"/>
        </w:rPr>
        <w:t>e</w:t>
      </w:r>
      <w:r w:rsidR="00951FA2">
        <w:rPr>
          <w:sz w:val="24"/>
          <w:szCs w:val="24"/>
        </w:rPr>
        <w:t>. F</w:t>
      </w:r>
      <w:r w:rsidR="00AB6EE1">
        <w:rPr>
          <w:sz w:val="24"/>
          <w:szCs w:val="24"/>
        </w:rPr>
        <w:t>or example, t</w:t>
      </w:r>
      <w:r w:rsidR="00AB6EE1" w:rsidRPr="00AB6EE1">
        <w:rPr>
          <w:sz w:val="24"/>
          <w:szCs w:val="24"/>
        </w:rPr>
        <w:t xml:space="preserve">he life component of the </w:t>
      </w:r>
      <w:r w:rsidR="00AB6EE1">
        <w:rPr>
          <w:sz w:val="24"/>
          <w:szCs w:val="24"/>
        </w:rPr>
        <w:t xml:space="preserve">hybrid </w:t>
      </w:r>
      <w:r w:rsidR="00AB6EE1" w:rsidRPr="00AB6EE1">
        <w:rPr>
          <w:sz w:val="24"/>
          <w:szCs w:val="24"/>
        </w:rPr>
        <w:t xml:space="preserve">product </w:t>
      </w:r>
      <w:r w:rsidR="00AB6EE1">
        <w:rPr>
          <w:sz w:val="24"/>
          <w:szCs w:val="24"/>
        </w:rPr>
        <w:t xml:space="preserve">could </w:t>
      </w:r>
      <w:r w:rsidR="00AB6EE1" w:rsidRPr="00AB6EE1">
        <w:rPr>
          <w:sz w:val="24"/>
          <w:szCs w:val="24"/>
        </w:rPr>
        <w:t>finance the wellness initiative</w:t>
      </w:r>
      <w:r w:rsidR="00AB6EE1">
        <w:rPr>
          <w:sz w:val="24"/>
          <w:szCs w:val="24"/>
        </w:rPr>
        <w:t xml:space="preserve">. </w:t>
      </w:r>
      <w:r w:rsidR="00DB2B35">
        <w:rPr>
          <w:sz w:val="24"/>
          <w:szCs w:val="24"/>
        </w:rPr>
        <w:t>Alternatively, a</w:t>
      </w:r>
      <w:r w:rsidR="00AB6EE1" w:rsidRPr="00AB6EE1">
        <w:rPr>
          <w:sz w:val="24"/>
          <w:szCs w:val="24"/>
        </w:rPr>
        <w:t xml:space="preserve">dditional riders </w:t>
      </w:r>
      <w:r w:rsidR="00AB6EE1">
        <w:rPr>
          <w:sz w:val="24"/>
          <w:szCs w:val="24"/>
        </w:rPr>
        <w:t xml:space="preserve">could be added to the hybrid policy to </w:t>
      </w:r>
      <w:r w:rsidR="00AB6EE1" w:rsidRPr="00AB6EE1">
        <w:rPr>
          <w:sz w:val="24"/>
          <w:szCs w:val="24"/>
        </w:rPr>
        <w:t xml:space="preserve">cover wellness programs. </w:t>
      </w:r>
    </w:p>
    <w:p w14:paraId="14085531" w14:textId="77777777" w:rsidR="00AB6EE1" w:rsidRDefault="00AB6EE1" w:rsidP="00AF314E">
      <w:pPr>
        <w:spacing w:after="0" w:line="240" w:lineRule="auto"/>
        <w:rPr>
          <w:sz w:val="24"/>
          <w:szCs w:val="24"/>
        </w:rPr>
      </w:pPr>
    </w:p>
    <w:p w14:paraId="08CEA1D7" w14:textId="1AA8FBEB" w:rsidR="00534484" w:rsidRDefault="00933C61" w:rsidP="00AF314E">
      <w:pPr>
        <w:spacing w:after="0" w:line="240" w:lineRule="auto"/>
        <w:rPr>
          <w:sz w:val="24"/>
          <w:szCs w:val="24"/>
        </w:rPr>
      </w:pPr>
      <w:r>
        <w:rPr>
          <w:sz w:val="24"/>
          <w:szCs w:val="24"/>
        </w:rPr>
        <w:t xml:space="preserve">In addition, there is likely much to be learned from wellness </w:t>
      </w:r>
      <w:r w:rsidR="00482CC8">
        <w:rPr>
          <w:sz w:val="24"/>
          <w:szCs w:val="24"/>
        </w:rPr>
        <w:t xml:space="preserve">programs </w:t>
      </w:r>
      <w:r>
        <w:rPr>
          <w:sz w:val="24"/>
          <w:szCs w:val="24"/>
        </w:rPr>
        <w:t>currently offered under life insurance policies</w:t>
      </w:r>
      <w:r w:rsidR="00A33AA4">
        <w:rPr>
          <w:sz w:val="24"/>
          <w:szCs w:val="24"/>
        </w:rPr>
        <w:t>, whether hybrid or not</w:t>
      </w:r>
      <w:r>
        <w:rPr>
          <w:sz w:val="24"/>
          <w:szCs w:val="24"/>
        </w:rPr>
        <w:t>. LTC certainly has components that</w:t>
      </w:r>
      <w:r w:rsidR="007F6D31">
        <w:rPr>
          <w:sz w:val="24"/>
          <w:szCs w:val="24"/>
        </w:rPr>
        <w:t xml:space="preserve"> differentiate it from life </w:t>
      </w:r>
      <w:r w:rsidR="00482CC8" w:rsidRPr="00482CC8">
        <w:rPr>
          <w:sz w:val="24"/>
          <w:szCs w:val="24"/>
        </w:rPr>
        <w:t xml:space="preserve">and major medical </w:t>
      </w:r>
      <w:r w:rsidR="007F6D31">
        <w:rPr>
          <w:sz w:val="24"/>
          <w:szCs w:val="24"/>
        </w:rPr>
        <w:t xml:space="preserve">insurance, but to the extent possible, learning from the experience of life </w:t>
      </w:r>
      <w:r w:rsidR="00482CC8">
        <w:rPr>
          <w:sz w:val="24"/>
          <w:szCs w:val="24"/>
        </w:rPr>
        <w:t xml:space="preserve">and health </w:t>
      </w:r>
      <w:r w:rsidR="007F6D31">
        <w:rPr>
          <w:sz w:val="24"/>
          <w:szCs w:val="24"/>
        </w:rPr>
        <w:t xml:space="preserve">insurance wellness programs would be advantageous, saving the LTC industry time and money, </w:t>
      </w:r>
      <w:r w:rsidR="006C1E91">
        <w:rPr>
          <w:sz w:val="24"/>
          <w:szCs w:val="24"/>
        </w:rPr>
        <w:t>while</w:t>
      </w:r>
      <w:r w:rsidR="007F6D31">
        <w:rPr>
          <w:sz w:val="24"/>
          <w:szCs w:val="24"/>
        </w:rPr>
        <w:t xml:space="preserve"> expediting </w:t>
      </w:r>
      <w:r w:rsidR="006C1E91">
        <w:rPr>
          <w:sz w:val="24"/>
          <w:szCs w:val="24"/>
        </w:rPr>
        <w:t>health outcomes</w:t>
      </w:r>
      <w:r w:rsidR="007F6D31">
        <w:rPr>
          <w:sz w:val="24"/>
          <w:szCs w:val="24"/>
        </w:rPr>
        <w:t xml:space="preserve">. </w:t>
      </w:r>
      <w:r w:rsidR="00E721E4">
        <w:rPr>
          <w:sz w:val="24"/>
          <w:szCs w:val="24"/>
        </w:rPr>
        <w:t xml:space="preserve">In addition to Medicaid </w:t>
      </w:r>
      <w:r w:rsidR="00663000">
        <w:rPr>
          <w:sz w:val="24"/>
          <w:szCs w:val="24"/>
        </w:rPr>
        <w:t xml:space="preserve">and </w:t>
      </w:r>
      <w:r w:rsidR="00663000" w:rsidRPr="006C1E91">
        <w:rPr>
          <w:sz w:val="24"/>
          <w:szCs w:val="24"/>
        </w:rPr>
        <w:t xml:space="preserve">Medicare Advantage </w:t>
      </w:r>
      <w:r w:rsidR="00E721E4" w:rsidRPr="006C1E91">
        <w:rPr>
          <w:sz w:val="24"/>
          <w:szCs w:val="24"/>
        </w:rPr>
        <w:t xml:space="preserve">mentioned in the draft, there are other products and programs, such as </w:t>
      </w:r>
      <w:r w:rsidR="006C1E91" w:rsidRPr="006C1E91">
        <w:rPr>
          <w:sz w:val="24"/>
          <w:szCs w:val="24"/>
        </w:rPr>
        <w:t>workplace wellness programs</w:t>
      </w:r>
      <w:r w:rsidR="00663000" w:rsidRPr="006C1E91">
        <w:rPr>
          <w:sz w:val="24"/>
          <w:szCs w:val="24"/>
        </w:rPr>
        <w:t xml:space="preserve"> and</w:t>
      </w:r>
      <w:r w:rsidR="00663000">
        <w:rPr>
          <w:sz w:val="24"/>
          <w:szCs w:val="24"/>
        </w:rPr>
        <w:t xml:space="preserve"> </w:t>
      </w:r>
      <w:r w:rsidR="00E721E4">
        <w:rPr>
          <w:sz w:val="24"/>
          <w:szCs w:val="24"/>
        </w:rPr>
        <w:t xml:space="preserve">disability income insurance to look </w:t>
      </w:r>
      <w:r w:rsidR="00663000">
        <w:rPr>
          <w:sz w:val="24"/>
          <w:szCs w:val="24"/>
        </w:rPr>
        <w:t xml:space="preserve">to </w:t>
      </w:r>
      <w:r w:rsidR="00E721E4">
        <w:rPr>
          <w:sz w:val="24"/>
          <w:szCs w:val="24"/>
        </w:rPr>
        <w:t xml:space="preserve">for learning. </w:t>
      </w:r>
    </w:p>
    <w:p w14:paraId="02877836" w14:textId="221B687D" w:rsidR="007417DD" w:rsidRDefault="007417DD" w:rsidP="00AF314E">
      <w:pPr>
        <w:spacing w:after="0" w:line="240" w:lineRule="auto"/>
        <w:rPr>
          <w:sz w:val="24"/>
          <w:szCs w:val="24"/>
        </w:rPr>
      </w:pPr>
    </w:p>
    <w:p w14:paraId="5E719E2D" w14:textId="079C0E63" w:rsidR="007417DD" w:rsidRDefault="003405E5" w:rsidP="009F3A0E">
      <w:pPr>
        <w:spacing w:after="0" w:line="240" w:lineRule="auto"/>
        <w:rPr>
          <w:sz w:val="24"/>
          <w:szCs w:val="24"/>
        </w:rPr>
      </w:pPr>
      <w:r>
        <w:rPr>
          <w:sz w:val="24"/>
          <w:szCs w:val="24"/>
        </w:rPr>
        <w:t>We recommend adding another “next step” to this section to bett</w:t>
      </w:r>
      <w:r w:rsidR="007417DD" w:rsidRPr="007417DD">
        <w:rPr>
          <w:sz w:val="24"/>
          <w:szCs w:val="24"/>
        </w:rPr>
        <w:t xml:space="preserve">er define what is meant by wellness. </w:t>
      </w:r>
      <w:r>
        <w:rPr>
          <w:sz w:val="24"/>
          <w:szCs w:val="24"/>
        </w:rPr>
        <w:t xml:space="preserve">We need to be clear on what we are hoping to achieve. </w:t>
      </w:r>
      <w:r w:rsidR="009F3A0E">
        <w:rPr>
          <w:sz w:val="24"/>
          <w:szCs w:val="24"/>
        </w:rPr>
        <w:t xml:space="preserve">We are happy to work with the subgroup on a definition.  </w:t>
      </w:r>
    </w:p>
    <w:p w14:paraId="1B99FD70" w14:textId="7D9C62D6" w:rsidR="007417DD" w:rsidRDefault="007417DD" w:rsidP="007417DD">
      <w:pPr>
        <w:spacing w:after="0" w:line="240" w:lineRule="auto"/>
        <w:rPr>
          <w:sz w:val="24"/>
          <w:szCs w:val="24"/>
        </w:rPr>
      </w:pPr>
    </w:p>
    <w:p w14:paraId="22932985" w14:textId="7A4DDFC2" w:rsidR="007417DD" w:rsidRDefault="00AF76C8" w:rsidP="007417DD">
      <w:pPr>
        <w:spacing w:after="0" w:line="240" w:lineRule="auto"/>
        <w:rPr>
          <w:sz w:val="24"/>
          <w:szCs w:val="24"/>
        </w:rPr>
      </w:pPr>
      <w:r>
        <w:rPr>
          <w:sz w:val="24"/>
          <w:szCs w:val="24"/>
        </w:rPr>
        <w:t xml:space="preserve">There are two additional factors to consider when looking at the effectiveness of wellness </w:t>
      </w:r>
      <w:r w:rsidR="00482CC8">
        <w:rPr>
          <w:sz w:val="24"/>
          <w:szCs w:val="24"/>
        </w:rPr>
        <w:t>programs</w:t>
      </w:r>
      <w:r>
        <w:rPr>
          <w:sz w:val="24"/>
          <w:szCs w:val="24"/>
        </w:rPr>
        <w:t>. First, i</w:t>
      </w:r>
      <w:r w:rsidR="007417DD" w:rsidRPr="007417DD">
        <w:rPr>
          <w:sz w:val="24"/>
          <w:szCs w:val="24"/>
        </w:rPr>
        <w:t xml:space="preserve">t should be noted that the goal of </w:t>
      </w:r>
      <w:r>
        <w:rPr>
          <w:sz w:val="24"/>
          <w:szCs w:val="24"/>
        </w:rPr>
        <w:t>wellness</w:t>
      </w:r>
      <w:r w:rsidR="007417DD" w:rsidRPr="007417DD">
        <w:rPr>
          <w:sz w:val="24"/>
          <w:szCs w:val="24"/>
        </w:rPr>
        <w:t xml:space="preserve"> programs is to improve the health outcomes of policyholders</w:t>
      </w:r>
      <w:r w:rsidR="00482CC8">
        <w:rPr>
          <w:sz w:val="24"/>
          <w:szCs w:val="24"/>
        </w:rPr>
        <w:t xml:space="preserve">, which could affect </w:t>
      </w:r>
      <w:r w:rsidR="007417DD" w:rsidRPr="007417DD">
        <w:rPr>
          <w:sz w:val="24"/>
          <w:szCs w:val="24"/>
        </w:rPr>
        <w:t xml:space="preserve">loss ratios for insurers. </w:t>
      </w:r>
      <w:r>
        <w:rPr>
          <w:sz w:val="24"/>
          <w:szCs w:val="24"/>
        </w:rPr>
        <w:t>Second, r</w:t>
      </w:r>
      <w:r w:rsidR="007417DD" w:rsidRPr="007417DD">
        <w:rPr>
          <w:sz w:val="24"/>
          <w:szCs w:val="24"/>
        </w:rPr>
        <w:t xml:space="preserve">egulators and all participants should be cautious to avoid, even inadvertently, setting overly optimistic expectations as to what the ultimate impacts of any wellness initiatives might </w:t>
      </w:r>
      <w:r>
        <w:rPr>
          <w:sz w:val="24"/>
          <w:szCs w:val="24"/>
        </w:rPr>
        <w:t xml:space="preserve">be. </w:t>
      </w:r>
      <w:r w:rsidR="00237139">
        <w:rPr>
          <w:sz w:val="24"/>
          <w:szCs w:val="24"/>
        </w:rPr>
        <w:t>M</w:t>
      </w:r>
      <w:r>
        <w:rPr>
          <w:sz w:val="24"/>
          <w:szCs w:val="24"/>
        </w:rPr>
        <w:t xml:space="preserve">ore innovative wellness </w:t>
      </w:r>
      <w:r w:rsidR="00482CC8">
        <w:rPr>
          <w:sz w:val="24"/>
          <w:szCs w:val="24"/>
        </w:rPr>
        <w:t xml:space="preserve">programs </w:t>
      </w:r>
      <w:r w:rsidR="007417DD" w:rsidRPr="007417DD">
        <w:rPr>
          <w:sz w:val="24"/>
          <w:szCs w:val="24"/>
        </w:rPr>
        <w:t>may take months or years to pilot and assess</w:t>
      </w:r>
      <w:r>
        <w:rPr>
          <w:sz w:val="24"/>
          <w:szCs w:val="24"/>
        </w:rPr>
        <w:t xml:space="preserve"> </w:t>
      </w:r>
      <w:r w:rsidR="007417DD" w:rsidRPr="007417DD">
        <w:rPr>
          <w:sz w:val="24"/>
          <w:szCs w:val="24"/>
        </w:rPr>
        <w:t xml:space="preserve">before any actuarially meaningful results </w:t>
      </w:r>
      <w:r>
        <w:rPr>
          <w:sz w:val="24"/>
          <w:szCs w:val="24"/>
        </w:rPr>
        <w:t>are revealed</w:t>
      </w:r>
      <w:r w:rsidR="007417DD" w:rsidRPr="007417DD">
        <w:rPr>
          <w:sz w:val="24"/>
          <w:szCs w:val="24"/>
        </w:rPr>
        <w:t xml:space="preserve">. </w:t>
      </w:r>
      <w:r w:rsidR="00776C9B">
        <w:rPr>
          <w:sz w:val="24"/>
          <w:szCs w:val="24"/>
        </w:rPr>
        <w:t>They</w:t>
      </w:r>
      <w:r w:rsidR="00482CC8">
        <w:rPr>
          <w:sz w:val="24"/>
          <w:szCs w:val="24"/>
        </w:rPr>
        <w:t xml:space="preserve"> </w:t>
      </w:r>
      <w:r>
        <w:rPr>
          <w:sz w:val="24"/>
          <w:szCs w:val="24"/>
        </w:rPr>
        <w:t>are likely to be one of many factors</w:t>
      </w:r>
      <w:r w:rsidR="00776C9B">
        <w:rPr>
          <w:sz w:val="24"/>
          <w:szCs w:val="24"/>
        </w:rPr>
        <w:t>,</w:t>
      </w:r>
      <w:r>
        <w:rPr>
          <w:sz w:val="24"/>
          <w:szCs w:val="24"/>
        </w:rPr>
        <w:t xml:space="preserve"> </w:t>
      </w:r>
      <w:r w:rsidR="00776C9B">
        <w:rPr>
          <w:sz w:val="24"/>
          <w:szCs w:val="24"/>
        </w:rPr>
        <w:t>in addition to</w:t>
      </w:r>
      <w:r w:rsidR="00776C9B" w:rsidRPr="00776C9B">
        <w:rPr>
          <w:sz w:val="24"/>
          <w:szCs w:val="24"/>
        </w:rPr>
        <w:t xml:space="preserve"> necessary and actuarially justified rate increases</w:t>
      </w:r>
      <w:r w:rsidR="00776C9B">
        <w:rPr>
          <w:sz w:val="24"/>
          <w:szCs w:val="24"/>
        </w:rPr>
        <w:t>,</w:t>
      </w:r>
      <w:r w:rsidR="00776C9B" w:rsidRPr="00776C9B">
        <w:rPr>
          <w:sz w:val="24"/>
          <w:szCs w:val="24"/>
        </w:rPr>
        <w:t xml:space="preserve"> </w:t>
      </w:r>
      <w:r>
        <w:rPr>
          <w:sz w:val="24"/>
          <w:szCs w:val="24"/>
        </w:rPr>
        <w:t xml:space="preserve">that </w:t>
      </w:r>
      <w:r w:rsidR="00482CC8">
        <w:rPr>
          <w:sz w:val="24"/>
          <w:szCs w:val="24"/>
        </w:rPr>
        <w:t xml:space="preserve">may ultimately </w:t>
      </w:r>
      <w:r>
        <w:rPr>
          <w:sz w:val="24"/>
          <w:szCs w:val="24"/>
        </w:rPr>
        <w:t>improve the LTC marketplace</w:t>
      </w:r>
      <w:r w:rsidR="00776C9B">
        <w:rPr>
          <w:sz w:val="24"/>
          <w:szCs w:val="24"/>
        </w:rPr>
        <w:t>. However, wellness programs alone</w:t>
      </w:r>
      <w:r w:rsidR="00482CC8">
        <w:rPr>
          <w:sz w:val="24"/>
          <w:szCs w:val="24"/>
        </w:rPr>
        <w:t xml:space="preserve"> </w:t>
      </w:r>
      <w:r w:rsidR="00776C9B">
        <w:rPr>
          <w:sz w:val="24"/>
          <w:szCs w:val="24"/>
        </w:rPr>
        <w:t xml:space="preserve">should not be considered </w:t>
      </w:r>
      <w:r>
        <w:rPr>
          <w:sz w:val="24"/>
          <w:szCs w:val="24"/>
        </w:rPr>
        <w:t xml:space="preserve">a </w:t>
      </w:r>
      <w:r w:rsidR="007417DD" w:rsidRPr="007417DD">
        <w:rPr>
          <w:sz w:val="24"/>
          <w:szCs w:val="24"/>
        </w:rPr>
        <w:t xml:space="preserve">“cure” to </w:t>
      </w:r>
      <w:r>
        <w:rPr>
          <w:sz w:val="24"/>
          <w:szCs w:val="24"/>
        </w:rPr>
        <w:t>industry issues</w:t>
      </w:r>
      <w:r w:rsidR="007417DD" w:rsidRPr="007417DD">
        <w:rPr>
          <w:sz w:val="24"/>
          <w:szCs w:val="24"/>
        </w:rPr>
        <w:t>.</w:t>
      </w:r>
    </w:p>
    <w:p w14:paraId="3CD0324C" w14:textId="77777777" w:rsidR="00EF4CB5" w:rsidRPr="00802CC2" w:rsidRDefault="00EF4CB5" w:rsidP="00AF314E">
      <w:pPr>
        <w:spacing w:after="0" w:line="240" w:lineRule="auto"/>
        <w:rPr>
          <w:sz w:val="24"/>
          <w:szCs w:val="24"/>
        </w:rPr>
      </w:pPr>
    </w:p>
    <w:p w14:paraId="51EBAF99" w14:textId="5A249A67" w:rsidR="007417DD" w:rsidRDefault="00A0786A" w:rsidP="007417DD">
      <w:pPr>
        <w:rPr>
          <w:sz w:val="24"/>
          <w:szCs w:val="24"/>
        </w:rPr>
      </w:pPr>
      <w:r w:rsidRPr="00A0786A">
        <w:rPr>
          <w:rFonts w:eastAsia="Arial" w:cstheme="minorHAnsi"/>
          <w:color w:val="18B8CC"/>
          <w:sz w:val="24"/>
          <w:szCs w:val="24"/>
        </w:rPr>
        <w:t>PREVENTION OF UNFAIR DISCRIMINATION RELATED TO EXTRA-CONTRACTUAL BENEFITS AND COSTS</w:t>
      </w:r>
      <w:r w:rsidR="00720C1A">
        <w:rPr>
          <w:sz w:val="24"/>
          <w:szCs w:val="24"/>
        </w:rPr>
        <w:br/>
      </w:r>
      <w:r w:rsidR="00EB56E3">
        <w:rPr>
          <w:sz w:val="24"/>
          <w:szCs w:val="24"/>
        </w:rPr>
        <w:t xml:space="preserve">Unfair discrimination </w:t>
      </w:r>
      <w:r w:rsidR="007417DD" w:rsidRPr="007417DD">
        <w:rPr>
          <w:sz w:val="24"/>
          <w:szCs w:val="24"/>
        </w:rPr>
        <w:t>is a</w:t>
      </w:r>
      <w:r w:rsidR="00EB56E3">
        <w:rPr>
          <w:sz w:val="24"/>
          <w:szCs w:val="24"/>
        </w:rPr>
        <w:t>n important concern to n</w:t>
      </w:r>
      <w:r w:rsidR="00FF33A6">
        <w:rPr>
          <w:sz w:val="24"/>
          <w:szCs w:val="24"/>
        </w:rPr>
        <w:t>avigate in LTC wellness programs if the same wellness benefits will not be offered to all policyholders.</w:t>
      </w:r>
      <w:r w:rsidR="007417DD" w:rsidRPr="007417DD">
        <w:rPr>
          <w:sz w:val="24"/>
          <w:szCs w:val="24"/>
        </w:rPr>
        <w:t xml:space="preserve"> </w:t>
      </w:r>
      <w:r w:rsidR="00FF33A6">
        <w:rPr>
          <w:sz w:val="24"/>
          <w:szCs w:val="24"/>
        </w:rPr>
        <w:t xml:space="preserve">While certain </w:t>
      </w:r>
      <w:r w:rsidR="00FF33A6" w:rsidRPr="00FF33A6">
        <w:rPr>
          <w:sz w:val="24"/>
          <w:szCs w:val="24"/>
        </w:rPr>
        <w:t>prevent</w:t>
      </w:r>
      <w:r w:rsidR="00C57DB3">
        <w:rPr>
          <w:sz w:val="24"/>
          <w:szCs w:val="24"/>
        </w:rPr>
        <w:t>at</w:t>
      </w:r>
      <w:r w:rsidR="00FF33A6" w:rsidRPr="00FF33A6">
        <w:rPr>
          <w:sz w:val="24"/>
          <w:szCs w:val="24"/>
        </w:rPr>
        <w:t>ive</w:t>
      </w:r>
      <w:r w:rsidR="00FF33A6">
        <w:rPr>
          <w:sz w:val="24"/>
          <w:szCs w:val="24"/>
        </w:rPr>
        <w:t xml:space="preserve"> health </w:t>
      </w:r>
      <w:r w:rsidR="00A8723C">
        <w:rPr>
          <w:sz w:val="24"/>
          <w:szCs w:val="24"/>
        </w:rPr>
        <w:t>programs</w:t>
      </w:r>
      <w:r w:rsidR="00A8723C" w:rsidRPr="00FF33A6">
        <w:rPr>
          <w:sz w:val="24"/>
          <w:szCs w:val="24"/>
        </w:rPr>
        <w:t xml:space="preserve"> </w:t>
      </w:r>
      <w:r w:rsidR="008739E2">
        <w:rPr>
          <w:sz w:val="24"/>
          <w:szCs w:val="24"/>
        </w:rPr>
        <w:t xml:space="preserve">might be </w:t>
      </w:r>
      <w:r w:rsidR="00FF33A6">
        <w:rPr>
          <w:sz w:val="24"/>
          <w:szCs w:val="24"/>
        </w:rPr>
        <w:t xml:space="preserve">offered </w:t>
      </w:r>
      <w:r w:rsidR="00FF33A6" w:rsidRPr="00FF33A6">
        <w:rPr>
          <w:sz w:val="24"/>
          <w:szCs w:val="24"/>
        </w:rPr>
        <w:t>to all insureds</w:t>
      </w:r>
      <w:r w:rsidR="00FF33A6">
        <w:rPr>
          <w:sz w:val="24"/>
          <w:szCs w:val="24"/>
        </w:rPr>
        <w:t xml:space="preserve">, other </w:t>
      </w:r>
      <w:r w:rsidR="00A8723C">
        <w:rPr>
          <w:sz w:val="24"/>
          <w:szCs w:val="24"/>
        </w:rPr>
        <w:t xml:space="preserve">programs </w:t>
      </w:r>
      <w:r w:rsidR="00B2290D">
        <w:rPr>
          <w:sz w:val="24"/>
          <w:szCs w:val="24"/>
        </w:rPr>
        <w:t>may be most effective and most utilized if focused on</w:t>
      </w:r>
      <w:r w:rsidR="00FF33A6">
        <w:rPr>
          <w:sz w:val="24"/>
          <w:szCs w:val="24"/>
        </w:rPr>
        <w:t xml:space="preserve"> </w:t>
      </w:r>
      <w:r w:rsidR="001A7258">
        <w:rPr>
          <w:sz w:val="24"/>
          <w:szCs w:val="24"/>
        </w:rPr>
        <w:t>those insureds with a particular condition, age</w:t>
      </w:r>
      <w:r w:rsidR="00C57DB3">
        <w:rPr>
          <w:sz w:val="24"/>
          <w:szCs w:val="24"/>
        </w:rPr>
        <w:t xml:space="preserve"> range</w:t>
      </w:r>
      <w:r w:rsidR="001A7258">
        <w:rPr>
          <w:sz w:val="24"/>
          <w:szCs w:val="24"/>
        </w:rPr>
        <w:t xml:space="preserve">, or </w:t>
      </w:r>
      <w:r w:rsidR="00C57DB3">
        <w:rPr>
          <w:sz w:val="24"/>
          <w:szCs w:val="24"/>
        </w:rPr>
        <w:t>sex</w:t>
      </w:r>
      <w:r w:rsidR="001A7258">
        <w:rPr>
          <w:sz w:val="24"/>
          <w:szCs w:val="24"/>
        </w:rPr>
        <w:t xml:space="preserve">. </w:t>
      </w:r>
      <w:r w:rsidR="00404081" w:rsidRPr="00404081">
        <w:rPr>
          <w:sz w:val="24"/>
          <w:szCs w:val="24"/>
        </w:rPr>
        <w:t>Target</w:t>
      </w:r>
      <w:r w:rsidR="00951FA2">
        <w:rPr>
          <w:sz w:val="24"/>
          <w:szCs w:val="24"/>
        </w:rPr>
        <w:t>ed</w:t>
      </w:r>
      <w:r w:rsidR="00404081" w:rsidRPr="00404081">
        <w:rPr>
          <w:sz w:val="24"/>
          <w:szCs w:val="24"/>
        </w:rPr>
        <w:t xml:space="preserve"> wellness </w:t>
      </w:r>
      <w:r w:rsidR="00A8723C">
        <w:rPr>
          <w:sz w:val="24"/>
          <w:szCs w:val="24"/>
        </w:rPr>
        <w:t xml:space="preserve">programs </w:t>
      </w:r>
      <w:r w:rsidR="00404081" w:rsidRPr="00404081">
        <w:rPr>
          <w:sz w:val="24"/>
          <w:szCs w:val="24"/>
        </w:rPr>
        <w:t xml:space="preserve">could more effectively reduce claims costs and maximize the health of policyholders. </w:t>
      </w:r>
      <w:r w:rsidR="00404081">
        <w:rPr>
          <w:sz w:val="24"/>
          <w:szCs w:val="24"/>
        </w:rPr>
        <w:t xml:space="preserve">Limiting wellness </w:t>
      </w:r>
      <w:r w:rsidR="00A8723C">
        <w:rPr>
          <w:sz w:val="24"/>
          <w:szCs w:val="24"/>
        </w:rPr>
        <w:t xml:space="preserve">programs </w:t>
      </w:r>
      <w:r w:rsidR="00404081">
        <w:rPr>
          <w:sz w:val="24"/>
          <w:szCs w:val="24"/>
        </w:rPr>
        <w:t xml:space="preserve">by geographic region, for example, might be necessary to test the effectiveness of programs before scaling up. </w:t>
      </w:r>
      <w:r w:rsidR="00B2290D" w:rsidRPr="00B2290D">
        <w:rPr>
          <w:sz w:val="24"/>
          <w:szCs w:val="24"/>
        </w:rPr>
        <w:t>To do so, insurers would need regulatory support that programs or initiatives focused on similarly situated insureds</w:t>
      </w:r>
      <w:r w:rsidR="00E0606C">
        <w:rPr>
          <w:sz w:val="24"/>
          <w:szCs w:val="24"/>
        </w:rPr>
        <w:t xml:space="preserve">, </w:t>
      </w:r>
      <w:r w:rsidR="00B2290D" w:rsidRPr="00B2290D">
        <w:rPr>
          <w:sz w:val="24"/>
          <w:szCs w:val="24"/>
        </w:rPr>
        <w:t>for example, those in the “same class</w:t>
      </w:r>
      <w:r w:rsidR="00E0606C">
        <w:rPr>
          <w:sz w:val="24"/>
          <w:szCs w:val="24"/>
        </w:rPr>
        <w:t>,”</w:t>
      </w:r>
      <w:r w:rsidR="00B2290D" w:rsidRPr="00B2290D">
        <w:rPr>
          <w:sz w:val="24"/>
          <w:szCs w:val="24"/>
        </w:rPr>
        <w:t xml:space="preserve"> would not be considered</w:t>
      </w:r>
      <w:r w:rsidR="001A7258">
        <w:rPr>
          <w:sz w:val="24"/>
          <w:szCs w:val="24"/>
        </w:rPr>
        <w:t xml:space="preserve"> unfair discrimination. H</w:t>
      </w:r>
      <w:r w:rsidR="00FF33A6" w:rsidRPr="00FF33A6">
        <w:rPr>
          <w:sz w:val="24"/>
          <w:szCs w:val="24"/>
        </w:rPr>
        <w:t>ealth insur</w:t>
      </w:r>
      <w:r w:rsidR="001A7258">
        <w:rPr>
          <w:sz w:val="24"/>
          <w:szCs w:val="24"/>
        </w:rPr>
        <w:t xml:space="preserve">ers </w:t>
      </w:r>
      <w:r w:rsidR="00404081">
        <w:rPr>
          <w:sz w:val="24"/>
          <w:szCs w:val="24"/>
        </w:rPr>
        <w:t>have a long history of</w:t>
      </w:r>
      <w:r w:rsidR="001A7258">
        <w:rPr>
          <w:sz w:val="24"/>
          <w:szCs w:val="24"/>
        </w:rPr>
        <w:t xml:space="preserve"> </w:t>
      </w:r>
      <w:r w:rsidR="00FF33A6" w:rsidRPr="00FF33A6">
        <w:rPr>
          <w:sz w:val="24"/>
          <w:szCs w:val="24"/>
        </w:rPr>
        <w:t>target</w:t>
      </w:r>
      <w:r w:rsidR="00404081">
        <w:rPr>
          <w:sz w:val="24"/>
          <w:szCs w:val="24"/>
        </w:rPr>
        <w:t>ing</w:t>
      </w:r>
      <w:r w:rsidR="00FF33A6" w:rsidRPr="00FF33A6">
        <w:rPr>
          <w:sz w:val="24"/>
          <w:szCs w:val="24"/>
        </w:rPr>
        <w:t xml:space="preserve"> wellness programs aimed at th</w:t>
      </w:r>
      <w:r w:rsidR="001A7258">
        <w:rPr>
          <w:sz w:val="24"/>
          <w:szCs w:val="24"/>
        </w:rPr>
        <w:t>ose deemed</w:t>
      </w:r>
      <w:r w:rsidR="00FF33A6" w:rsidRPr="00FF33A6">
        <w:rPr>
          <w:sz w:val="24"/>
          <w:szCs w:val="24"/>
        </w:rPr>
        <w:t xml:space="preserve"> high risk</w:t>
      </w:r>
      <w:r w:rsidR="008739E2">
        <w:rPr>
          <w:sz w:val="24"/>
          <w:szCs w:val="24"/>
        </w:rPr>
        <w:t xml:space="preserve"> while avoiding unfair discrimination. </w:t>
      </w:r>
    </w:p>
    <w:p w14:paraId="42B5A098" w14:textId="3884B7E8" w:rsidR="002F353F" w:rsidRPr="002F353F" w:rsidRDefault="00403D9A" w:rsidP="002F353F">
      <w:pPr>
        <w:rPr>
          <w:sz w:val="24"/>
          <w:szCs w:val="24"/>
        </w:rPr>
      </w:pPr>
      <w:r>
        <w:rPr>
          <w:sz w:val="24"/>
          <w:szCs w:val="24"/>
        </w:rPr>
        <w:t xml:space="preserve">One issue </w:t>
      </w:r>
      <w:r w:rsidR="00482CC8">
        <w:rPr>
          <w:sz w:val="24"/>
          <w:szCs w:val="24"/>
        </w:rPr>
        <w:t xml:space="preserve">for </w:t>
      </w:r>
      <w:r w:rsidR="00FB2CCB">
        <w:rPr>
          <w:sz w:val="24"/>
          <w:szCs w:val="24"/>
        </w:rPr>
        <w:t xml:space="preserve">further </w:t>
      </w:r>
      <w:r w:rsidR="00CF481A">
        <w:rPr>
          <w:sz w:val="24"/>
          <w:szCs w:val="24"/>
        </w:rPr>
        <w:t>study</w:t>
      </w:r>
      <w:r>
        <w:rPr>
          <w:sz w:val="24"/>
          <w:szCs w:val="24"/>
        </w:rPr>
        <w:t xml:space="preserve"> are the characteristics that can rightfully be used to define a</w:t>
      </w:r>
      <w:r w:rsidR="00B2290D">
        <w:rPr>
          <w:sz w:val="24"/>
          <w:szCs w:val="24"/>
        </w:rPr>
        <w:t>n acceptable cohort for a wellness initiative.</w:t>
      </w:r>
      <w:r>
        <w:rPr>
          <w:sz w:val="24"/>
          <w:szCs w:val="24"/>
        </w:rPr>
        <w:t xml:space="preserve"> For example, </w:t>
      </w:r>
      <w:r w:rsidR="00B2290D">
        <w:rPr>
          <w:sz w:val="24"/>
          <w:szCs w:val="24"/>
        </w:rPr>
        <w:t>could an</w:t>
      </w:r>
      <w:r>
        <w:rPr>
          <w:sz w:val="24"/>
          <w:szCs w:val="24"/>
        </w:rPr>
        <w:t xml:space="preserve"> insurer </w:t>
      </w:r>
      <w:r w:rsidR="00404081">
        <w:rPr>
          <w:sz w:val="24"/>
          <w:szCs w:val="24"/>
        </w:rPr>
        <w:t>only offer certain</w:t>
      </w:r>
      <w:r>
        <w:rPr>
          <w:sz w:val="24"/>
          <w:szCs w:val="24"/>
        </w:rPr>
        <w:t xml:space="preserve"> benefits </w:t>
      </w:r>
      <w:r w:rsidR="00404081">
        <w:rPr>
          <w:sz w:val="24"/>
          <w:szCs w:val="24"/>
        </w:rPr>
        <w:t>to</w:t>
      </w:r>
      <w:r>
        <w:rPr>
          <w:sz w:val="24"/>
          <w:szCs w:val="24"/>
        </w:rPr>
        <w:t xml:space="preserve"> insureds without a spouse or other informal caregiver</w:t>
      </w:r>
      <w:r w:rsidR="00B2290D">
        <w:rPr>
          <w:sz w:val="24"/>
          <w:szCs w:val="24"/>
        </w:rPr>
        <w:t>?</w:t>
      </w:r>
      <w:r>
        <w:rPr>
          <w:sz w:val="24"/>
          <w:szCs w:val="24"/>
        </w:rPr>
        <w:t xml:space="preserve"> </w:t>
      </w:r>
      <w:r w:rsidR="00E0606C">
        <w:rPr>
          <w:sz w:val="24"/>
          <w:szCs w:val="24"/>
        </w:rPr>
        <w:t xml:space="preserve"> </w:t>
      </w:r>
      <w:r w:rsidR="00B2290D">
        <w:rPr>
          <w:sz w:val="24"/>
          <w:szCs w:val="24"/>
        </w:rPr>
        <w:t>Would</w:t>
      </w:r>
      <w:r w:rsidR="00003BC6">
        <w:rPr>
          <w:sz w:val="24"/>
          <w:szCs w:val="24"/>
        </w:rPr>
        <w:t xml:space="preserve"> differing methods of contacting policyholders, for example</w:t>
      </w:r>
      <w:r w:rsidR="001E7E73">
        <w:rPr>
          <w:sz w:val="24"/>
          <w:szCs w:val="24"/>
        </w:rPr>
        <w:t xml:space="preserve"> mail vs. email,</w:t>
      </w:r>
      <w:r w:rsidR="003C64E7">
        <w:rPr>
          <w:sz w:val="24"/>
          <w:szCs w:val="24"/>
        </w:rPr>
        <w:t xml:space="preserve"> </w:t>
      </w:r>
      <w:r w:rsidR="001E7E73">
        <w:rPr>
          <w:sz w:val="24"/>
          <w:szCs w:val="24"/>
        </w:rPr>
        <w:t>be considered unfair discrimination</w:t>
      </w:r>
      <w:r w:rsidR="00B2290D">
        <w:rPr>
          <w:sz w:val="24"/>
          <w:szCs w:val="24"/>
        </w:rPr>
        <w:t>?</w:t>
      </w:r>
      <w:r w:rsidR="00CF481A">
        <w:rPr>
          <w:sz w:val="24"/>
          <w:szCs w:val="24"/>
        </w:rPr>
        <w:t xml:space="preserve"> </w:t>
      </w:r>
      <w:r w:rsidR="00FB2CCB">
        <w:rPr>
          <w:sz w:val="24"/>
          <w:szCs w:val="24"/>
        </w:rPr>
        <w:t xml:space="preserve">Also, </w:t>
      </w:r>
      <w:r w:rsidR="00CF481A">
        <w:rPr>
          <w:sz w:val="24"/>
          <w:szCs w:val="24"/>
        </w:rPr>
        <w:t>what are the implications if policyholders</w:t>
      </w:r>
      <w:r w:rsidR="001E7E73">
        <w:rPr>
          <w:sz w:val="24"/>
          <w:szCs w:val="24"/>
        </w:rPr>
        <w:t xml:space="preserve"> </w:t>
      </w:r>
      <w:r w:rsidR="00CF481A">
        <w:rPr>
          <w:sz w:val="24"/>
          <w:szCs w:val="24"/>
        </w:rPr>
        <w:t>share the cost of a more expensive wellness intervention</w:t>
      </w:r>
      <w:r w:rsidR="00FB2CCB">
        <w:rPr>
          <w:sz w:val="24"/>
          <w:szCs w:val="24"/>
        </w:rPr>
        <w:t>?</w:t>
      </w:r>
      <w:r w:rsidR="00CF481A">
        <w:rPr>
          <w:sz w:val="24"/>
          <w:szCs w:val="24"/>
        </w:rPr>
        <w:t xml:space="preserve"> </w:t>
      </w:r>
      <w:r w:rsidR="00CF481A" w:rsidRPr="00CF481A">
        <w:rPr>
          <w:sz w:val="24"/>
          <w:szCs w:val="24"/>
        </w:rPr>
        <w:t xml:space="preserve">Similarly, </w:t>
      </w:r>
      <w:r w:rsidR="00CF481A">
        <w:rPr>
          <w:sz w:val="24"/>
          <w:szCs w:val="24"/>
        </w:rPr>
        <w:t>what would the implications be</w:t>
      </w:r>
      <w:r w:rsidR="00A8723C">
        <w:rPr>
          <w:sz w:val="24"/>
          <w:szCs w:val="24"/>
        </w:rPr>
        <w:t>,</w:t>
      </w:r>
      <w:r w:rsidR="00CF481A">
        <w:rPr>
          <w:sz w:val="24"/>
          <w:szCs w:val="24"/>
        </w:rPr>
        <w:t xml:space="preserve"> if, a</w:t>
      </w:r>
      <w:r w:rsidR="00CF481A" w:rsidRPr="00CF481A">
        <w:rPr>
          <w:sz w:val="24"/>
          <w:szCs w:val="24"/>
        </w:rPr>
        <w:t>fter a pilot</w:t>
      </w:r>
      <w:r w:rsidR="00CF481A">
        <w:rPr>
          <w:sz w:val="24"/>
          <w:szCs w:val="24"/>
        </w:rPr>
        <w:t xml:space="preserve"> program ends</w:t>
      </w:r>
      <w:r w:rsidR="00CF481A" w:rsidRPr="00CF481A">
        <w:rPr>
          <w:sz w:val="24"/>
          <w:szCs w:val="24"/>
        </w:rPr>
        <w:t xml:space="preserve">, policyholders </w:t>
      </w:r>
      <w:r w:rsidR="00CF481A">
        <w:rPr>
          <w:sz w:val="24"/>
          <w:szCs w:val="24"/>
        </w:rPr>
        <w:t xml:space="preserve">wish to continue the wellness </w:t>
      </w:r>
      <w:r w:rsidR="00A8723C">
        <w:rPr>
          <w:sz w:val="24"/>
          <w:szCs w:val="24"/>
        </w:rPr>
        <w:t xml:space="preserve">program </w:t>
      </w:r>
      <w:r w:rsidR="00CF481A">
        <w:rPr>
          <w:sz w:val="24"/>
          <w:szCs w:val="24"/>
        </w:rPr>
        <w:t>by covering the cost</w:t>
      </w:r>
      <w:r w:rsidR="00FB2CCB">
        <w:rPr>
          <w:sz w:val="24"/>
          <w:szCs w:val="24"/>
        </w:rPr>
        <w:t xml:space="preserve"> themselves</w:t>
      </w:r>
      <w:r w:rsidR="00CF481A">
        <w:rPr>
          <w:sz w:val="24"/>
          <w:szCs w:val="24"/>
        </w:rPr>
        <w:t>?</w:t>
      </w:r>
    </w:p>
    <w:p w14:paraId="1D90A10F" w14:textId="44459E0E" w:rsidR="007F6D31" w:rsidRPr="007F6D31" w:rsidRDefault="005F5687" w:rsidP="007F6D31">
      <w:pPr>
        <w:rPr>
          <w:sz w:val="24"/>
          <w:szCs w:val="24"/>
        </w:rPr>
      </w:pPr>
      <w:r w:rsidRPr="005F5687">
        <w:rPr>
          <w:rFonts w:eastAsia="Arial" w:cstheme="minorHAnsi"/>
          <w:color w:val="18B8CC"/>
          <w:sz w:val="24"/>
          <w:szCs w:val="24"/>
        </w:rPr>
        <w:t>CONSUMER CONFUSION</w:t>
      </w:r>
      <w:r w:rsidR="00D11FC1">
        <w:rPr>
          <w:rFonts w:eastAsia="Arial" w:cstheme="minorHAnsi"/>
          <w:color w:val="18B8CC"/>
          <w:sz w:val="24"/>
          <w:szCs w:val="24"/>
        </w:rPr>
        <w:br/>
      </w:r>
      <w:r w:rsidR="008E3C51">
        <w:rPr>
          <w:sz w:val="24"/>
          <w:szCs w:val="24"/>
        </w:rPr>
        <w:t xml:space="preserve">Consumer communication and education are vital to precluding confusion. Giving consumers the option </w:t>
      </w:r>
      <w:r w:rsidR="007F6D31" w:rsidRPr="007F6D31">
        <w:rPr>
          <w:sz w:val="24"/>
          <w:szCs w:val="24"/>
        </w:rPr>
        <w:t>to opt-in</w:t>
      </w:r>
      <w:r w:rsidR="008E3C51">
        <w:rPr>
          <w:sz w:val="24"/>
          <w:szCs w:val="24"/>
        </w:rPr>
        <w:t xml:space="preserve"> a program after they fully understand it is </w:t>
      </w:r>
      <w:r w:rsidR="00CB5D83">
        <w:rPr>
          <w:sz w:val="24"/>
          <w:szCs w:val="24"/>
        </w:rPr>
        <w:t xml:space="preserve">one </w:t>
      </w:r>
      <w:r w:rsidR="008E3C51">
        <w:rPr>
          <w:sz w:val="24"/>
          <w:szCs w:val="24"/>
        </w:rPr>
        <w:t>way to ensure consumers are comfortable</w:t>
      </w:r>
      <w:r w:rsidR="007F6D31" w:rsidRPr="007F6D31">
        <w:rPr>
          <w:sz w:val="24"/>
          <w:szCs w:val="24"/>
        </w:rPr>
        <w:t xml:space="preserve">. </w:t>
      </w:r>
      <w:r w:rsidR="008E3C51">
        <w:rPr>
          <w:sz w:val="24"/>
          <w:szCs w:val="24"/>
        </w:rPr>
        <w:t>Another option is to allow</w:t>
      </w:r>
      <w:r w:rsidR="007F6D31" w:rsidRPr="007F6D31">
        <w:rPr>
          <w:sz w:val="24"/>
          <w:szCs w:val="24"/>
        </w:rPr>
        <w:t xml:space="preserve"> insureds to self-identify their conditions </w:t>
      </w:r>
      <w:r w:rsidR="00B15364">
        <w:rPr>
          <w:sz w:val="24"/>
          <w:szCs w:val="24"/>
        </w:rPr>
        <w:t>before a</w:t>
      </w:r>
      <w:r w:rsidR="007F6D31" w:rsidRPr="007F6D31">
        <w:rPr>
          <w:sz w:val="24"/>
          <w:szCs w:val="24"/>
        </w:rPr>
        <w:t xml:space="preserve"> wellness initiative begin</w:t>
      </w:r>
      <w:r w:rsidR="001A2C1D">
        <w:rPr>
          <w:sz w:val="24"/>
          <w:szCs w:val="24"/>
        </w:rPr>
        <w:t>s</w:t>
      </w:r>
      <w:r w:rsidR="007F6D31" w:rsidRPr="007F6D31">
        <w:rPr>
          <w:sz w:val="24"/>
          <w:szCs w:val="24"/>
        </w:rPr>
        <w:t xml:space="preserve">. </w:t>
      </w:r>
      <w:r w:rsidR="00CB5D83">
        <w:rPr>
          <w:sz w:val="24"/>
          <w:szCs w:val="24"/>
        </w:rPr>
        <w:t xml:space="preserve">An </w:t>
      </w:r>
      <w:r w:rsidR="00B15364">
        <w:rPr>
          <w:sz w:val="24"/>
          <w:szCs w:val="24"/>
        </w:rPr>
        <w:t>example of self-identification is optional</w:t>
      </w:r>
      <w:r w:rsidR="007F6D31" w:rsidRPr="007F6D31">
        <w:rPr>
          <w:sz w:val="24"/>
          <w:szCs w:val="24"/>
        </w:rPr>
        <w:t xml:space="preserve"> testing for early dementia where early intervention is effective.</w:t>
      </w:r>
    </w:p>
    <w:p w14:paraId="483FB75E" w14:textId="744A8B82" w:rsidR="007F6D31" w:rsidRPr="007F6D31" w:rsidRDefault="001A2C1D" w:rsidP="007F6D31">
      <w:pPr>
        <w:rPr>
          <w:sz w:val="24"/>
          <w:szCs w:val="24"/>
        </w:rPr>
      </w:pPr>
      <w:r>
        <w:rPr>
          <w:sz w:val="24"/>
          <w:szCs w:val="24"/>
        </w:rPr>
        <w:t>Clearly communicating with informal caregivers is also important. D</w:t>
      </w:r>
      <w:r w:rsidRPr="001A2C1D">
        <w:rPr>
          <w:sz w:val="24"/>
          <w:szCs w:val="24"/>
        </w:rPr>
        <w:t xml:space="preserve">epending on the wellness benefit </w:t>
      </w:r>
      <w:r w:rsidR="003C64E7">
        <w:rPr>
          <w:sz w:val="24"/>
          <w:szCs w:val="24"/>
        </w:rPr>
        <w:t xml:space="preserve">program </w:t>
      </w:r>
      <w:r w:rsidRPr="001A2C1D">
        <w:rPr>
          <w:sz w:val="24"/>
          <w:szCs w:val="24"/>
        </w:rPr>
        <w:t xml:space="preserve">and condition of the insured, a caregiver may be the one utilizing the technology and other tools offered by a wellness program. </w:t>
      </w:r>
      <w:r w:rsidR="00B15364">
        <w:rPr>
          <w:sz w:val="24"/>
          <w:szCs w:val="24"/>
        </w:rPr>
        <w:t>We would suggest c</w:t>
      </w:r>
      <w:r w:rsidR="007F6D31" w:rsidRPr="007F6D31">
        <w:rPr>
          <w:sz w:val="24"/>
          <w:szCs w:val="24"/>
        </w:rPr>
        <w:t>onsult</w:t>
      </w:r>
      <w:r w:rsidR="00B15364">
        <w:rPr>
          <w:sz w:val="24"/>
          <w:szCs w:val="24"/>
        </w:rPr>
        <w:t>ing</w:t>
      </w:r>
      <w:r w:rsidR="007F6D31" w:rsidRPr="007F6D31">
        <w:rPr>
          <w:sz w:val="24"/>
          <w:szCs w:val="24"/>
        </w:rPr>
        <w:t xml:space="preserve"> caregiving groups, </w:t>
      </w:r>
      <w:r w:rsidR="00B15364">
        <w:rPr>
          <w:sz w:val="24"/>
          <w:szCs w:val="24"/>
        </w:rPr>
        <w:t xml:space="preserve">such as the </w:t>
      </w:r>
      <w:r w:rsidR="00B15364" w:rsidRPr="00B15364">
        <w:rPr>
          <w:sz w:val="24"/>
          <w:szCs w:val="24"/>
        </w:rPr>
        <w:t>National Alliance for Caregiving</w:t>
      </w:r>
      <w:r w:rsidR="00B15364">
        <w:rPr>
          <w:sz w:val="24"/>
          <w:szCs w:val="24"/>
        </w:rPr>
        <w:t xml:space="preserve">, which supports </w:t>
      </w:r>
      <w:r w:rsidR="007F6D31" w:rsidRPr="007F6D31">
        <w:rPr>
          <w:sz w:val="24"/>
          <w:szCs w:val="24"/>
        </w:rPr>
        <w:t>family caregivers</w:t>
      </w:r>
      <w:r w:rsidR="00B15364">
        <w:rPr>
          <w:sz w:val="24"/>
          <w:szCs w:val="24"/>
        </w:rPr>
        <w:t xml:space="preserve">, </w:t>
      </w:r>
      <w:r w:rsidR="007F6D31" w:rsidRPr="007F6D31">
        <w:rPr>
          <w:sz w:val="24"/>
          <w:szCs w:val="24"/>
        </w:rPr>
        <w:t xml:space="preserve">or </w:t>
      </w:r>
      <w:r w:rsidR="00B15364">
        <w:rPr>
          <w:sz w:val="24"/>
          <w:szCs w:val="24"/>
        </w:rPr>
        <w:t xml:space="preserve">the </w:t>
      </w:r>
      <w:r w:rsidR="00B15364" w:rsidRPr="00B15364">
        <w:rPr>
          <w:sz w:val="24"/>
          <w:szCs w:val="24"/>
        </w:rPr>
        <w:t>Paraprofessional Healthcare Institute</w:t>
      </w:r>
      <w:r w:rsidR="00B15364">
        <w:rPr>
          <w:sz w:val="24"/>
          <w:szCs w:val="24"/>
        </w:rPr>
        <w:t xml:space="preserve">, which represents </w:t>
      </w:r>
      <w:r w:rsidR="007F6D31" w:rsidRPr="007F6D31">
        <w:rPr>
          <w:sz w:val="24"/>
          <w:szCs w:val="24"/>
        </w:rPr>
        <w:t>direct care workers</w:t>
      </w:r>
      <w:r w:rsidR="00B15364">
        <w:rPr>
          <w:sz w:val="24"/>
          <w:szCs w:val="24"/>
        </w:rPr>
        <w:t xml:space="preserve">, </w:t>
      </w:r>
      <w:r>
        <w:rPr>
          <w:sz w:val="24"/>
          <w:szCs w:val="24"/>
        </w:rPr>
        <w:t>to</w:t>
      </w:r>
      <w:r w:rsidR="00B15364">
        <w:rPr>
          <w:sz w:val="24"/>
          <w:szCs w:val="24"/>
        </w:rPr>
        <w:t xml:space="preserve"> give stakeholders valuable insight into fostering c</w:t>
      </w:r>
      <w:r>
        <w:rPr>
          <w:sz w:val="24"/>
          <w:szCs w:val="24"/>
        </w:rPr>
        <w:t>aregiver</w:t>
      </w:r>
      <w:r w:rsidR="00B15364">
        <w:rPr>
          <w:sz w:val="24"/>
          <w:szCs w:val="24"/>
        </w:rPr>
        <w:t xml:space="preserve"> </w:t>
      </w:r>
      <w:r w:rsidR="00BC0ECD">
        <w:rPr>
          <w:sz w:val="24"/>
          <w:szCs w:val="24"/>
        </w:rPr>
        <w:t>engagement in</w:t>
      </w:r>
      <w:r w:rsidR="00B15364">
        <w:rPr>
          <w:sz w:val="24"/>
          <w:szCs w:val="24"/>
        </w:rPr>
        <w:t xml:space="preserve"> wellness programs. </w:t>
      </w:r>
    </w:p>
    <w:p w14:paraId="23C828C1" w14:textId="56900078" w:rsidR="00602517" w:rsidRDefault="005F5687" w:rsidP="00E423D8">
      <w:pPr>
        <w:rPr>
          <w:sz w:val="24"/>
          <w:szCs w:val="24"/>
        </w:rPr>
      </w:pPr>
      <w:r>
        <w:rPr>
          <w:rFonts w:eastAsia="Arial" w:cstheme="minorHAnsi"/>
          <w:color w:val="18B8CC"/>
          <w:sz w:val="24"/>
          <w:szCs w:val="24"/>
        </w:rPr>
        <w:t>REBATING</w:t>
      </w:r>
      <w:r w:rsidR="007C7A69">
        <w:rPr>
          <w:rFonts w:eastAsia="Arial" w:cstheme="minorHAnsi"/>
          <w:color w:val="18B8CC"/>
          <w:sz w:val="24"/>
          <w:szCs w:val="24"/>
        </w:rPr>
        <w:br/>
      </w:r>
      <w:r w:rsidR="00BB186C">
        <w:rPr>
          <w:sz w:val="24"/>
          <w:szCs w:val="24"/>
        </w:rPr>
        <w:t xml:space="preserve">One can make a strong case that the wellness initiatives </w:t>
      </w:r>
      <w:r w:rsidR="00BC0ECD">
        <w:rPr>
          <w:sz w:val="24"/>
          <w:szCs w:val="24"/>
        </w:rPr>
        <w:t>our</w:t>
      </w:r>
      <w:r w:rsidR="00BB186C">
        <w:rPr>
          <w:sz w:val="24"/>
          <w:szCs w:val="24"/>
        </w:rPr>
        <w:t xml:space="preserve"> industry is currently contemplating do not violate anti-rebating laws. Wellness benefit </w:t>
      </w:r>
      <w:r w:rsidR="003C64E7">
        <w:rPr>
          <w:sz w:val="24"/>
          <w:szCs w:val="24"/>
        </w:rPr>
        <w:t xml:space="preserve">programs </w:t>
      </w:r>
      <w:r w:rsidR="00BB186C">
        <w:rPr>
          <w:sz w:val="24"/>
          <w:szCs w:val="24"/>
        </w:rPr>
        <w:t xml:space="preserve">are intended to </w:t>
      </w:r>
      <w:r w:rsidR="00807699">
        <w:rPr>
          <w:sz w:val="24"/>
          <w:szCs w:val="24"/>
        </w:rPr>
        <w:t xml:space="preserve">encourage </w:t>
      </w:r>
      <w:r w:rsidR="00BB186C">
        <w:rPr>
          <w:sz w:val="24"/>
          <w:szCs w:val="24"/>
        </w:rPr>
        <w:t>behavioral changes that improve the insured’s health</w:t>
      </w:r>
      <w:r w:rsidR="00BC0ECD">
        <w:rPr>
          <w:sz w:val="24"/>
          <w:szCs w:val="24"/>
        </w:rPr>
        <w:t>,</w:t>
      </w:r>
      <w:r w:rsidR="00BB186C">
        <w:rPr>
          <w:sz w:val="24"/>
          <w:szCs w:val="24"/>
        </w:rPr>
        <w:t xml:space="preserve"> thereby reducing the risk the insured will need LTC. Many states allow insurers to provide value-added services and programs for loss mitigation and rate reduction purposes to insureds at no additional charge or a discounted rate under cer</w:t>
      </w:r>
      <w:r w:rsidR="00B75280">
        <w:rPr>
          <w:sz w:val="24"/>
          <w:szCs w:val="24"/>
        </w:rPr>
        <w:t xml:space="preserve">tain conditions. The ACLI maintains a law survey on the subject of rebating that could prove useful to companies </w:t>
      </w:r>
      <w:r w:rsidR="00CB5D83">
        <w:rPr>
          <w:sz w:val="24"/>
          <w:szCs w:val="24"/>
        </w:rPr>
        <w:t xml:space="preserve">with access to the law survey when </w:t>
      </w:r>
      <w:r w:rsidR="00B75280">
        <w:rPr>
          <w:sz w:val="24"/>
          <w:szCs w:val="24"/>
        </w:rPr>
        <w:t xml:space="preserve">assessing the different requirements between states. Additionally, as the draft mentions, the NAIC Model Unfair Trade Practices Act explicitly exempts certain wellness benefits. </w:t>
      </w:r>
    </w:p>
    <w:p w14:paraId="39FC9D06" w14:textId="7ADD923F" w:rsidR="007C7A69" w:rsidRDefault="00602517" w:rsidP="00E423D8">
      <w:pPr>
        <w:rPr>
          <w:sz w:val="24"/>
          <w:szCs w:val="24"/>
        </w:rPr>
      </w:pPr>
      <w:r>
        <w:rPr>
          <w:sz w:val="24"/>
          <w:szCs w:val="24"/>
        </w:rPr>
        <w:t xml:space="preserve">Another factor to consider </w:t>
      </w:r>
      <w:r w:rsidR="008A58DF">
        <w:rPr>
          <w:sz w:val="24"/>
          <w:szCs w:val="24"/>
        </w:rPr>
        <w:t xml:space="preserve">is </w:t>
      </w:r>
      <w:r>
        <w:rPr>
          <w:sz w:val="24"/>
          <w:szCs w:val="24"/>
        </w:rPr>
        <w:t xml:space="preserve">that many, if not most, wellness </w:t>
      </w:r>
      <w:r w:rsidR="003C64E7">
        <w:rPr>
          <w:sz w:val="24"/>
          <w:szCs w:val="24"/>
        </w:rPr>
        <w:t xml:space="preserve">initiatives </w:t>
      </w:r>
      <w:r>
        <w:rPr>
          <w:sz w:val="24"/>
          <w:szCs w:val="24"/>
        </w:rPr>
        <w:t xml:space="preserve">would </w:t>
      </w:r>
      <w:r w:rsidRPr="00BC0ECD">
        <w:rPr>
          <w:i/>
          <w:iCs/>
          <w:sz w:val="24"/>
          <w:szCs w:val="24"/>
        </w:rPr>
        <w:t>not</w:t>
      </w:r>
      <w:r>
        <w:rPr>
          <w:sz w:val="24"/>
          <w:szCs w:val="24"/>
        </w:rPr>
        <w:t xml:space="preserve"> begin the moment a policy becomes effective. </w:t>
      </w:r>
      <w:r w:rsidR="008A58DF">
        <w:rPr>
          <w:sz w:val="24"/>
          <w:szCs w:val="24"/>
        </w:rPr>
        <w:t xml:space="preserve">This factor is further evidence that wellness benefits are not rebates. </w:t>
      </w:r>
      <w:r>
        <w:rPr>
          <w:sz w:val="24"/>
          <w:szCs w:val="24"/>
        </w:rPr>
        <w:t xml:space="preserve"> </w:t>
      </w:r>
    </w:p>
    <w:p w14:paraId="517D4E6E" w14:textId="77777777" w:rsidR="004E334B" w:rsidRDefault="005F5687" w:rsidP="003C64E7">
      <w:pPr>
        <w:rPr>
          <w:sz w:val="24"/>
          <w:szCs w:val="24"/>
        </w:rPr>
      </w:pPr>
      <w:r>
        <w:rPr>
          <w:rFonts w:eastAsia="Arial" w:cstheme="minorHAnsi"/>
          <w:color w:val="18B8CC"/>
          <w:sz w:val="24"/>
          <w:szCs w:val="24"/>
        </w:rPr>
        <w:t>TAX CONSIDERATIONS</w:t>
      </w:r>
      <w:r w:rsidR="00FF4A70">
        <w:rPr>
          <w:sz w:val="24"/>
          <w:szCs w:val="24"/>
        </w:rPr>
        <w:br/>
      </w:r>
      <w:r w:rsidR="004E334B" w:rsidRPr="004E334B">
        <w:rPr>
          <w:sz w:val="24"/>
          <w:szCs w:val="24"/>
        </w:rPr>
        <w:t xml:space="preserve">Many wellness and similar initiatives designed to reduce the onset or severity of chronic illness can be undertaken today consistently with federal tax requirements for qualified long-term care insurance, but for others clarifying guidance from the Treasury Department or IRS would be helpful or amendment of tax requirements by Congress may be needed. </w:t>
      </w:r>
    </w:p>
    <w:p w14:paraId="00A2FB0D" w14:textId="1F9CA81A" w:rsidR="004E334B" w:rsidRDefault="004E334B" w:rsidP="003C64E7">
      <w:pPr>
        <w:rPr>
          <w:sz w:val="24"/>
          <w:szCs w:val="24"/>
        </w:rPr>
      </w:pPr>
      <w:r w:rsidRPr="004E334B">
        <w:rPr>
          <w:sz w:val="24"/>
          <w:szCs w:val="24"/>
        </w:rPr>
        <w:t xml:space="preserve">As noted, however, certain wellness initiatives are permissible under current tax law.  For example, though not considered precedent, </w:t>
      </w:r>
      <w:hyperlink r:id="rId8" w:history="1">
        <w:r w:rsidRPr="002376D3">
          <w:rPr>
            <w:rStyle w:val="Hyperlink"/>
            <w:sz w:val="24"/>
            <w:szCs w:val="24"/>
          </w:rPr>
          <w:t>PLR 201105026</w:t>
        </w:r>
      </w:hyperlink>
      <w:r w:rsidRPr="004E334B">
        <w:rPr>
          <w:sz w:val="24"/>
          <w:szCs w:val="24"/>
        </w:rPr>
        <w:t xml:space="preserve"> and </w:t>
      </w:r>
      <w:hyperlink r:id="rId9" w:history="1">
        <w:r w:rsidRPr="002376D3">
          <w:rPr>
            <w:rStyle w:val="Hyperlink"/>
            <w:sz w:val="24"/>
            <w:szCs w:val="24"/>
          </w:rPr>
          <w:t>PLR 201105027</w:t>
        </w:r>
      </w:hyperlink>
      <w:r w:rsidRPr="004E334B">
        <w:rPr>
          <w:sz w:val="24"/>
          <w:szCs w:val="24"/>
        </w:rPr>
        <w:t xml:space="preserve"> describe certain wellness benefits as permissible under federal tax law. The IRS Private Letter Rulings both comment, “It would be inconsistent with the stated goal of § 7702B to deny qualification to a long-term care insurance contract because it provided ancillary mechanisms aimed at minimizing long-term care needs.”</w:t>
      </w:r>
    </w:p>
    <w:p w14:paraId="458E971F" w14:textId="6D0B1AAD" w:rsidR="004E334B" w:rsidRDefault="004E334B" w:rsidP="003C64E7">
      <w:pPr>
        <w:rPr>
          <w:sz w:val="24"/>
          <w:szCs w:val="24"/>
        </w:rPr>
      </w:pPr>
      <w:r w:rsidRPr="004E334B">
        <w:rPr>
          <w:sz w:val="24"/>
          <w:szCs w:val="24"/>
        </w:rPr>
        <w:t>To summarize, we caution the Subgroup to not purport to interpret existing federal tax requirements regarding wellness initiatives, although we think the NAIC and state regulators can perform an important informational role with respect to non-tax aspects of such initiatives in connection with any future efforts to obtain clarifying IRS/Treasury guidance or legislative changes, there may be tax consequences if benefits are provided to an insured who is not chronically ill as defined in 26 U.S.C.A. §7702B(c)(2), that is, outside the federal tax definition of qualified LTC benefits. Federal legislative changes to section 7702B could be required to ensure policyholders can receive wellness benefits without tax consequence.</w:t>
      </w:r>
    </w:p>
    <w:p w14:paraId="2A9D0C35" w14:textId="34589F76" w:rsidR="007F6D31" w:rsidRPr="007F6D31" w:rsidRDefault="005F5687" w:rsidP="007F6D31">
      <w:pPr>
        <w:rPr>
          <w:sz w:val="24"/>
          <w:szCs w:val="24"/>
        </w:rPr>
      </w:pPr>
      <w:r w:rsidRPr="005F5687">
        <w:rPr>
          <w:rFonts w:eastAsia="Arial" w:cstheme="minorHAnsi"/>
          <w:color w:val="18B8CC"/>
          <w:sz w:val="24"/>
          <w:szCs w:val="24"/>
        </w:rPr>
        <w:t>REGULATORY ROLE IN APPROVING OR EVALUATING LTC WELLNESS APPROACHES</w:t>
      </w:r>
      <w:r w:rsidR="00720C1A">
        <w:rPr>
          <w:sz w:val="24"/>
          <w:szCs w:val="24"/>
        </w:rPr>
        <w:br/>
      </w:r>
      <w:r w:rsidR="007F6D31" w:rsidRPr="007F6D31">
        <w:rPr>
          <w:sz w:val="24"/>
          <w:szCs w:val="24"/>
        </w:rPr>
        <w:t>Ideally, th</w:t>
      </w:r>
      <w:r w:rsidR="008A58DF">
        <w:rPr>
          <w:sz w:val="24"/>
          <w:szCs w:val="24"/>
        </w:rPr>
        <w:t xml:space="preserve">e effort to </w:t>
      </w:r>
      <w:r w:rsidR="00C57DB3">
        <w:rPr>
          <w:sz w:val="24"/>
          <w:szCs w:val="24"/>
        </w:rPr>
        <w:t>incorporate</w:t>
      </w:r>
      <w:r w:rsidR="008A58DF">
        <w:rPr>
          <w:sz w:val="24"/>
          <w:szCs w:val="24"/>
        </w:rPr>
        <w:t xml:space="preserve"> wellness initiatives in LTC</w:t>
      </w:r>
      <w:r w:rsidR="007F6D31" w:rsidRPr="007F6D31">
        <w:rPr>
          <w:sz w:val="24"/>
          <w:szCs w:val="24"/>
        </w:rPr>
        <w:t xml:space="preserve"> results in a process that minimizes or eliminates state-by-state reviews of wellness programs and </w:t>
      </w:r>
      <w:r w:rsidR="00B450EF">
        <w:rPr>
          <w:sz w:val="24"/>
          <w:szCs w:val="24"/>
        </w:rPr>
        <w:t>fosters</w:t>
      </w:r>
      <w:r w:rsidR="003C64E7">
        <w:rPr>
          <w:sz w:val="24"/>
          <w:szCs w:val="24"/>
        </w:rPr>
        <w:t xml:space="preserve"> flexibility for insurers wanting to offer these incentives.</w:t>
      </w:r>
    </w:p>
    <w:p w14:paraId="5E7568BB" w14:textId="58066245" w:rsidR="007F6D31" w:rsidRPr="007F6D31" w:rsidRDefault="00934F7F" w:rsidP="007F6D31">
      <w:pPr>
        <w:rPr>
          <w:sz w:val="24"/>
          <w:szCs w:val="24"/>
        </w:rPr>
      </w:pPr>
      <w:r>
        <w:rPr>
          <w:sz w:val="24"/>
          <w:szCs w:val="24"/>
        </w:rPr>
        <w:t>The draft posits the question of</w:t>
      </w:r>
      <w:r w:rsidR="007F6D31" w:rsidRPr="007F6D31">
        <w:rPr>
          <w:sz w:val="24"/>
          <w:szCs w:val="24"/>
        </w:rPr>
        <w:t xml:space="preserve"> whether a company’s commitment towards innovation efforts could be a contingency to receiving a fully actuarially justified rate increase</w:t>
      </w:r>
      <w:r>
        <w:rPr>
          <w:sz w:val="24"/>
          <w:szCs w:val="24"/>
        </w:rPr>
        <w:t xml:space="preserve">. It </w:t>
      </w:r>
      <w:r w:rsidR="00A42E08">
        <w:rPr>
          <w:sz w:val="24"/>
          <w:szCs w:val="24"/>
        </w:rPr>
        <w:t>may ultimately</w:t>
      </w:r>
      <w:r w:rsidR="00BC0ECD">
        <w:rPr>
          <w:sz w:val="24"/>
          <w:szCs w:val="24"/>
        </w:rPr>
        <w:t xml:space="preserve"> be</w:t>
      </w:r>
      <w:r>
        <w:rPr>
          <w:sz w:val="24"/>
          <w:szCs w:val="24"/>
        </w:rPr>
        <w:t xml:space="preserve"> </w:t>
      </w:r>
      <w:r w:rsidR="00236024">
        <w:rPr>
          <w:sz w:val="24"/>
          <w:szCs w:val="24"/>
        </w:rPr>
        <w:t xml:space="preserve">just </w:t>
      </w:r>
      <w:r>
        <w:rPr>
          <w:sz w:val="24"/>
          <w:szCs w:val="24"/>
        </w:rPr>
        <w:t xml:space="preserve">one factor, of many, to </w:t>
      </w:r>
      <w:r w:rsidR="00BC0ECD">
        <w:rPr>
          <w:sz w:val="24"/>
          <w:szCs w:val="24"/>
        </w:rPr>
        <w:t>consider</w:t>
      </w:r>
      <w:r w:rsidR="007F6D31" w:rsidRPr="007F6D31">
        <w:rPr>
          <w:sz w:val="24"/>
          <w:szCs w:val="24"/>
        </w:rPr>
        <w:t xml:space="preserve"> in </w:t>
      </w:r>
      <w:r w:rsidR="00BC0ECD">
        <w:rPr>
          <w:sz w:val="24"/>
          <w:szCs w:val="24"/>
        </w:rPr>
        <w:t xml:space="preserve">a </w:t>
      </w:r>
      <w:r>
        <w:rPr>
          <w:sz w:val="24"/>
          <w:szCs w:val="24"/>
        </w:rPr>
        <w:t xml:space="preserve">rate </w:t>
      </w:r>
      <w:r w:rsidR="007F6D31" w:rsidRPr="007F6D31">
        <w:rPr>
          <w:sz w:val="24"/>
          <w:szCs w:val="24"/>
        </w:rPr>
        <w:t>decision</w:t>
      </w:r>
      <w:r>
        <w:rPr>
          <w:sz w:val="24"/>
          <w:szCs w:val="24"/>
        </w:rPr>
        <w:t xml:space="preserve">. </w:t>
      </w:r>
      <w:r w:rsidR="00523FE9">
        <w:rPr>
          <w:sz w:val="24"/>
          <w:szCs w:val="24"/>
        </w:rPr>
        <w:t>And, first, i</w:t>
      </w:r>
      <w:r>
        <w:rPr>
          <w:sz w:val="24"/>
          <w:szCs w:val="24"/>
        </w:rPr>
        <w:t xml:space="preserve">t would be necessary to establish objective criteria to evaluate companies fairly. </w:t>
      </w:r>
    </w:p>
    <w:p w14:paraId="593FC020" w14:textId="75CA7876" w:rsidR="007F6D31" w:rsidRPr="007F6D31" w:rsidRDefault="00D73CA5" w:rsidP="007F6D31">
      <w:pPr>
        <w:rPr>
          <w:sz w:val="24"/>
          <w:szCs w:val="24"/>
        </w:rPr>
      </w:pPr>
      <w:r>
        <w:rPr>
          <w:sz w:val="24"/>
          <w:szCs w:val="24"/>
        </w:rPr>
        <w:t>The following items should be considered as wellness initiative</w:t>
      </w:r>
      <w:r w:rsidR="003C64E7">
        <w:rPr>
          <w:sz w:val="24"/>
          <w:szCs w:val="24"/>
        </w:rPr>
        <w:t>s are</w:t>
      </w:r>
      <w:r>
        <w:rPr>
          <w:sz w:val="24"/>
          <w:szCs w:val="24"/>
        </w:rPr>
        <w:t xml:space="preserve"> more fully developed: </w:t>
      </w:r>
    </w:p>
    <w:p w14:paraId="60B7703E" w14:textId="709443DD" w:rsidR="00D73CA5" w:rsidRPr="00D73CA5" w:rsidRDefault="007F6D31" w:rsidP="00D73CA5">
      <w:pPr>
        <w:pStyle w:val="ListParagraph"/>
        <w:numPr>
          <w:ilvl w:val="0"/>
          <w:numId w:val="4"/>
        </w:numPr>
        <w:rPr>
          <w:sz w:val="24"/>
          <w:szCs w:val="24"/>
        </w:rPr>
      </w:pPr>
      <w:r w:rsidRPr="00D73CA5">
        <w:rPr>
          <w:sz w:val="24"/>
          <w:szCs w:val="24"/>
        </w:rPr>
        <w:t>Wellness initiatives are designed to improve the health of policyholders and the impact on claims and loss ratio</w:t>
      </w:r>
      <w:r w:rsidR="00C57DB3">
        <w:rPr>
          <w:sz w:val="24"/>
          <w:szCs w:val="24"/>
        </w:rPr>
        <w:t>s</w:t>
      </w:r>
      <w:r w:rsidRPr="00D73CA5">
        <w:rPr>
          <w:sz w:val="24"/>
          <w:szCs w:val="24"/>
        </w:rPr>
        <w:t xml:space="preserve"> are still unknown. </w:t>
      </w:r>
      <w:r w:rsidR="00523FE9">
        <w:rPr>
          <w:sz w:val="24"/>
          <w:szCs w:val="24"/>
        </w:rPr>
        <w:t>Linking</w:t>
      </w:r>
      <w:r w:rsidRPr="00D73CA5">
        <w:rPr>
          <w:sz w:val="24"/>
          <w:szCs w:val="24"/>
        </w:rPr>
        <w:t xml:space="preserve"> rate increases to wellness offerings</w:t>
      </w:r>
      <w:r w:rsidR="00523FE9">
        <w:rPr>
          <w:sz w:val="24"/>
          <w:szCs w:val="24"/>
        </w:rPr>
        <w:t xml:space="preserve"> will not be appropriate for some time. </w:t>
      </w:r>
    </w:p>
    <w:p w14:paraId="7DBA5E91" w14:textId="2437E590" w:rsidR="007F6D31" w:rsidRDefault="00523FE9" w:rsidP="00D73CA5">
      <w:pPr>
        <w:pStyle w:val="ListParagraph"/>
        <w:numPr>
          <w:ilvl w:val="0"/>
          <w:numId w:val="4"/>
        </w:numPr>
        <w:rPr>
          <w:sz w:val="24"/>
          <w:szCs w:val="24"/>
        </w:rPr>
      </w:pPr>
      <w:r>
        <w:rPr>
          <w:sz w:val="24"/>
          <w:szCs w:val="24"/>
        </w:rPr>
        <w:t xml:space="preserve">Formal </w:t>
      </w:r>
      <w:proofErr w:type="spellStart"/>
      <w:r>
        <w:rPr>
          <w:sz w:val="24"/>
          <w:szCs w:val="24"/>
        </w:rPr>
        <w:t>regulator</w:t>
      </w:r>
      <w:proofErr w:type="spellEnd"/>
      <w:r>
        <w:rPr>
          <w:sz w:val="24"/>
          <w:szCs w:val="24"/>
        </w:rPr>
        <w:t xml:space="preserve"> a</w:t>
      </w:r>
      <w:r w:rsidR="007F6D31" w:rsidRPr="00D73CA5">
        <w:rPr>
          <w:sz w:val="24"/>
          <w:szCs w:val="24"/>
        </w:rPr>
        <w:t xml:space="preserve">pproval of a wellness offering could stifle innovation. </w:t>
      </w:r>
      <w:r w:rsidR="00D73CA5" w:rsidRPr="00D73CA5">
        <w:rPr>
          <w:sz w:val="24"/>
          <w:szCs w:val="24"/>
        </w:rPr>
        <w:t xml:space="preserve">Rather than a formal approval process, </w:t>
      </w:r>
      <w:r w:rsidR="007F6D31" w:rsidRPr="00D73CA5">
        <w:rPr>
          <w:sz w:val="24"/>
          <w:szCs w:val="24"/>
        </w:rPr>
        <w:t xml:space="preserve">companies </w:t>
      </w:r>
      <w:r>
        <w:rPr>
          <w:sz w:val="24"/>
          <w:szCs w:val="24"/>
        </w:rPr>
        <w:t>could</w:t>
      </w:r>
      <w:r w:rsidR="007F6D31" w:rsidRPr="00D73CA5">
        <w:rPr>
          <w:sz w:val="24"/>
          <w:szCs w:val="24"/>
        </w:rPr>
        <w:t xml:space="preserve"> provide information to regulators </w:t>
      </w:r>
      <w:r w:rsidR="001E1E0E">
        <w:rPr>
          <w:sz w:val="24"/>
          <w:szCs w:val="24"/>
        </w:rPr>
        <w:t xml:space="preserve">on an as needed basis or </w:t>
      </w:r>
      <w:r w:rsidR="007F6D31" w:rsidRPr="00D73CA5">
        <w:rPr>
          <w:sz w:val="24"/>
          <w:szCs w:val="24"/>
        </w:rPr>
        <w:t xml:space="preserve">upon request. </w:t>
      </w:r>
    </w:p>
    <w:p w14:paraId="51EC807A" w14:textId="026EA753" w:rsidR="00523FE9" w:rsidRDefault="00D73CA5" w:rsidP="007F6D31">
      <w:pPr>
        <w:pStyle w:val="ListParagraph"/>
        <w:numPr>
          <w:ilvl w:val="0"/>
          <w:numId w:val="4"/>
        </w:numPr>
        <w:rPr>
          <w:sz w:val="24"/>
          <w:szCs w:val="24"/>
        </w:rPr>
      </w:pPr>
      <w:r>
        <w:rPr>
          <w:sz w:val="24"/>
          <w:szCs w:val="24"/>
        </w:rPr>
        <w:t>Because</w:t>
      </w:r>
      <w:r w:rsidR="007F6D31" w:rsidRPr="00D73CA5">
        <w:rPr>
          <w:sz w:val="24"/>
          <w:szCs w:val="24"/>
        </w:rPr>
        <w:t xml:space="preserve"> the impact on claims is unknown at this time</w:t>
      </w:r>
      <w:r>
        <w:rPr>
          <w:sz w:val="24"/>
          <w:szCs w:val="24"/>
        </w:rPr>
        <w:t>,</w:t>
      </w:r>
      <w:r w:rsidR="007F6D31" w:rsidRPr="00D73CA5">
        <w:rPr>
          <w:sz w:val="24"/>
          <w:szCs w:val="24"/>
        </w:rPr>
        <w:t xml:space="preserve"> there should not be an assumption that wellness </w:t>
      </w:r>
      <w:r>
        <w:rPr>
          <w:sz w:val="24"/>
          <w:szCs w:val="24"/>
        </w:rPr>
        <w:t>programs are</w:t>
      </w:r>
      <w:r w:rsidR="007F6D31" w:rsidRPr="00D73CA5">
        <w:rPr>
          <w:sz w:val="24"/>
          <w:szCs w:val="24"/>
        </w:rPr>
        <w:t xml:space="preserve"> available to all </w:t>
      </w:r>
      <w:r w:rsidR="001E1E0E">
        <w:rPr>
          <w:sz w:val="24"/>
          <w:szCs w:val="24"/>
        </w:rPr>
        <w:t>or</w:t>
      </w:r>
      <w:r w:rsidR="001E1E0E" w:rsidRPr="00D73CA5">
        <w:rPr>
          <w:sz w:val="24"/>
          <w:szCs w:val="24"/>
        </w:rPr>
        <w:t xml:space="preserve"> </w:t>
      </w:r>
      <w:r>
        <w:rPr>
          <w:sz w:val="24"/>
          <w:szCs w:val="24"/>
        </w:rPr>
        <w:t xml:space="preserve">that </w:t>
      </w:r>
      <w:r w:rsidR="007F6D31" w:rsidRPr="00D73CA5">
        <w:rPr>
          <w:sz w:val="24"/>
          <w:szCs w:val="24"/>
        </w:rPr>
        <w:t xml:space="preserve">engagement </w:t>
      </w:r>
      <w:r>
        <w:rPr>
          <w:sz w:val="24"/>
          <w:szCs w:val="24"/>
        </w:rPr>
        <w:t xml:space="preserve">in the </w:t>
      </w:r>
      <w:r w:rsidR="00523FE9">
        <w:rPr>
          <w:sz w:val="24"/>
          <w:szCs w:val="24"/>
        </w:rPr>
        <w:t xml:space="preserve">wellness </w:t>
      </w:r>
      <w:r>
        <w:rPr>
          <w:sz w:val="24"/>
          <w:szCs w:val="24"/>
        </w:rPr>
        <w:t xml:space="preserve">initiative </w:t>
      </w:r>
      <w:r w:rsidR="001E1E0E">
        <w:rPr>
          <w:sz w:val="24"/>
          <w:szCs w:val="24"/>
        </w:rPr>
        <w:t>will be</w:t>
      </w:r>
      <w:r w:rsidR="001E1E0E" w:rsidRPr="00D73CA5">
        <w:rPr>
          <w:sz w:val="24"/>
          <w:szCs w:val="24"/>
        </w:rPr>
        <w:t xml:space="preserve"> </w:t>
      </w:r>
      <w:r w:rsidR="007F6D31" w:rsidRPr="00D73CA5">
        <w:rPr>
          <w:sz w:val="24"/>
          <w:szCs w:val="24"/>
        </w:rPr>
        <w:t>high.</w:t>
      </w:r>
    </w:p>
    <w:p w14:paraId="7B886FAE" w14:textId="1D048845" w:rsidR="007F6D31" w:rsidRPr="00523FE9" w:rsidRDefault="00D73CA5" w:rsidP="007F6D31">
      <w:pPr>
        <w:pStyle w:val="ListParagraph"/>
        <w:numPr>
          <w:ilvl w:val="0"/>
          <w:numId w:val="4"/>
        </w:numPr>
        <w:rPr>
          <w:sz w:val="24"/>
          <w:szCs w:val="24"/>
        </w:rPr>
      </w:pPr>
      <w:r w:rsidRPr="00523FE9">
        <w:rPr>
          <w:sz w:val="24"/>
          <w:szCs w:val="24"/>
        </w:rPr>
        <w:t xml:space="preserve">Finally, characterization of LTC insurance in (d)(iii) as being in a “desperate situation” discounts the vibrant hybrid market. </w:t>
      </w:r>
    </w:p>
    <w:p w14:paraId="61B2F72A" w14:textId="20894579" w:rsidR="007F6D31" w:rsidRPr="007F6D31" w:rsidRDefault="00C8617C" w:rsidP="007F6D31">
      <w:pPr>
        <w:rPr>
          <w:sz w:val="24"/>
          <w:szCs w:val="24"/>
        </w:rPr>
      </w:pPr>
      <w:r>
        <w:rPr>
          <w:rFonts w:eastAsia="Arial" w:cstheme="minorHAnsi"/>
          <w:color w:val="18B8CC"/>
          <w:sz w:val="24"/>
          <w:szCs w:val="24"/>
        </w:rPr>
        <w:t>ACTUARIAL CONSIDERATIONS</w:t>
      </w:r>
      <w:r w:rsidR="00D5245F">
        <w:rPr>
          <w:rFonts w:eastAsia="Arial" w:cstheme="minorHAnsi"/>
          <w:color w:val="18B8CC"/>
          <w:sz w:val="24"/>
          <w:szCs w:val="24"/>
        </w:rPr>
        <w:br/>
      </w:r>
      <w:r w:rsidR="00D73CA5">
        <w:rPr>
          <w:sz w:val="24"/>
          <w:szCs w:val="24"/>
        </w:rPr>
        <w:t>First, a</w:t>
      </w:r>
      <w:r w:rsidR="007F6D31" w:rsidRPr="007F6D31">
        <w:rPr>
          <w:sz w:val="24"/>
          <w:szCs w:val="24"/>
        </w:rPr>
        <w:t>s with any other actuarial assumption, actuaries must have a valid justification for the impact of the wellness initiative</w:t>
      </w:r>
      <w:r w:rsidR="00D73CA5">
        <w:rPr>
          <w:sz w:val="24"/>
          <w:szCs w:val="24"/>
        </w:rPr>
        <w:t>,</w:t>
      </w:r>
      <w:r w:rsidR="007F6D31" w:rsidRPr="007F6D31">
        <w:rPr>
          <w:sz w:val="24"/>
          <w:szCs w:val="24"/>
        </w:rPr>
        <w:t xml:space="preserve"> especially as it relates to in-force rate increases. </w:t>
      </w:r>
      <w:r w:rsidR="00236024">
        <w:rPr>
          <w:sz w:val="24"/>
          <w:szCs w:val="24"/>
        </w:rPr>
        <w:t>As discussed throughout the draft, this will take time to develop.</w:t>
      </w:r>
    </w:p>
    <w:p w14:paraId="1BB59CAD" w14:textId="073C64CD" w:rsidR="00D5245F" w:rsidRDefault="00D73CA5" w:rsidP="007F6D31">
      <w:pPr>
        <w:rPr>
          <w:sz w:val="24"/>
          <w:szCs w:val="24"/>
        </w:rPr>
      </w:pPr>
      <w:r>
        <w:rPr>
          <w:sz w:val="24"/>
          <w:szCs w:val="24"/>
        </w:rPr>
        <w:t>Second, w</w:t>
      </w:r>
      <w:r w:rsidR="007F6D31" w:rsidRPr="007F6D31">
        <w:rPr>
          <w:sz w:val="24"/>
          <w:szCs w:val="24"/>
        </w:rPr>
        <w:t>hile a wellness program could be tied to a</w:t>
      </w:r>
      <w:r w:rsidR="00E144E2">
        <w:rPr>
          <w:sz w:val="24"/>
          <w:szCs w:val="24"/>
        </w:rPr>
        <w:t xml:space="preserve"> reduced benefit option</w:t>
      </w:r>
      <w:r w:rsidR="007F6D31" w:rsidRPr="007F6D31">
        <w:rPr>
          <w:sz w:val="24"/>
          <w:szCs w:val="24"/>
        </w:rPr>
        <w:t xml:space="preserve">, there should not be an expectation that it </w:t>
      </w:r>
      <w:r>
        <w:rPr>
          <w:sz w:val="24"/>
          <w:szCs w:val="24"/>
        </w:rPr>
        <w:t>will</w:t>
      </w:r>
      <w:r w:rsidR="007F6D31" w:rsidRPr="007F6D31">
        <w:rPr>
          <w:sz w:val="24"/>
          <w:szCs w:val="24"/>
        </w:rPr>
        <w:t xml:space="preserve"> be.</w:t>
      </w:r>
      <w:r w:rsidR="0076279F">
        <w:rPr>
          <w:sz w:val="24"/>
          <w:szCs w:val="24"/>
        </w:rPr>
        <w:t xml:space="preserve"> This determination is best made by the insurer. </w:t>
      </w:r>
    </w:p>
    <w:p w14:paraId="3BAC4E6E" w14:textId="77777777" w:rsidR="002376D3" w:rsidRDefault="002376D3" w:rsidP="00C8617C">
      <w:pPr>
        <w:rPr>
          <w:rFonts w:eastAsia="Arial" w:cstheme="minorHAnsi"/>
          <w:color w:val="18B8CC"/>
          <w:sz w:val="24"/>
          <w:szCs w:val="24"/>
        </w:rPr>
      </w:pPr>
    </w:p>
    <w:p w14:paraId="5B72E7AB" w14:textId="57E9B407" w:rsidR="00DC5A68" w:rsidRDefault="00C8617C" w:rsidP="00C8617C">
      <w:pPr>
        <w:rPr>
          <w:sz w:val="24"/>
          <w:szCs w:val="24"/>
        </w:rPr>
      </w:pPr>
      <w:r>
        <w:rPr>
          <w:rFonts w:eastAsia="Arial" w:cstheme="minorHAnsi"/>
          <w:color w:val="18B8CC"/>
          <w:sz w:val="24"/>
          <w:szCs w:val="24"/>
        </w:rPr>
        <w:t>DATA PRIVACY</w:t>
      </w:r>
      <w:r w:rsidR="002B1846">
        <w:rPr>
          <w:rFonts w:eastAsia="Arial" w:cstheme="minorHAnsi"/>
          <w:color w:val="18B8CC"/>
          <w:sz w:val="24"/>
          <w:szCs w:val="24"/>
        </w:rPr>
        <w:br/>
      </w:r>
      <w:r w:rsidR="00DB2E14">
        <w:rPr>
          <w:sz w:val="24"/>
          <w:szCs w:val="24"/>
        </w:rPr>
        <w:t>Data privacy is a</w:t>
      </w:r>
      <w:r w:rsidR="00F0795B">
        <w:rPr>
          <w:sz w:val="24"/>
          <w:szCs w:val="24"/>
        </w:rPr>
        <w:t xml:space="preserve"> fundamental and</w:t>
      </w:r>
      <w:r w:rsidR="00DB2E14">
        <w:rPr>
          <w:sz w:val="24"/>
          <w:szCs w:val="24"/>
        </w:rPr>
        <w:t xml:space="preserve"> legitimate concern </w:t>
      </w:r>
      <w:r w:rsidR="00420AFA">
        <w:rPr>
          <w:sz w:val="24"/>
          <w:szCs w:val="24"/>
        </w:rPr>
        <w:t>in the development and implementation of wellness benefit programs</w:t>
      </w:r>
      <w:r w:rsidR="00086E0A">
        <w:rPr>
          <w:sz w:val="24"/>
          <w:szCs w:val="24"/>
        </w:rPr>
        <w:t xml:space="preserve">. Because </w:t>
      </w:r>
      <w:r w:rsidR="00B142E0">
        <w:rPr>
          <w:sz w:val="24"/>
          <w:szCs w:val="24"/>
        </w:rPr>
        <w:t>these</w:t>
      </w:r>
      <w:r w:rsidR="00420AFA">
        <w:rPr>
          <w:sz w:val="24"/>
          <w:szCs w:val="24"/>
        </w:rPr>
        <w:t xml:space="preserve"> programs are an emerging innovation, </w:t>
      </w:r>
      <w:r w:rsidR="00E144E2">
        <w:rPr>
          <w:sz w:val="24"/>
          <w:szCs w:val="24"/>
        </w:rPr>
        <w:t xml:space="preserve">starting </w:t>
      </w:r>
      <w:r w:rsidR="00086E0A">
        <w:rPr>
          <w:sz w:val="24"/>
          <w:szCs w:val="24"/>
        </w:rPr>
        <w:t>small</w:t>
      </w:r>
      <w:r w:rsidR="00DB2E14">
        <w:rPr>
          <w:sz w:val="24"/>
          <w:szCs w:val="24"/>
        </w:rPr>
        <w:t xml:space="preserve"> by a</w:t>
      </w:r>
      <w:r w:rsidR="00E25C9F" w:rsidRPr="00E25C9F">
        <w:rPr>
          <w:sz w:val="24"/>
          <w:szCs w:val="24"/>
        </w:rPr>
        <w:t>llowing insureds to participate at their discretion and</w:t>
      </w:r>
      <w:r w:rsidR="00B450EF">
        <w:rPr>
          <w:sz w:val="24"/>
          <w:szCs w:val="24"/>
        </w:rPr>
        <w:t>/or</w:t>
      </w:r>
      <w:r w:rsidR="00E25C9F" w:rsidRPr="00E25C9F">
        <w:rPr>
          <w:sz w:val="24"/>
          <w:szCs w:val="24"/>
        </w:rPr>
        <w:t xml:space="preserve"> self-attest to their </w:t>
      </w:r>
      <w:r w:rsidR="00DB2E14">
        <w:rPr>
          <w:sz w:val="24"/>
          <w:szCs w:val="24"/>
        </w:rPr>
        <w:t xml:space="preserve">medical </w:t>
      </w:r>
      <w:r w:rsidR="00E25C9F" w:rsidRPr="00E25C9F">
        <w:rPr>
          <w:sz w:val="24"/>
          <w:szCs w:val="24"/>
        </w:rPr>
        <w:t>conditions</w:t>
      </w:r>
      <w:r w:rsidR="00DB2E14">
        <w:rPr>
          <w:sz w:val="24"/>
          <w:szCs w:val="24"/>
        </w:rPr>
        <w:t xml:space="preserve"> </w:t>
      </w:r>
      <w:r w:rsidR="00E144E2">
        <w:rPr>
          <w:sz w:val="24"/>
          <w:szCs w:val="24"/>
        </w:rPr>
        <w:t>is key.</w:t>
      </w:r>
    </w:p>
    <w:p w14:paraId="72447B0B" w14:textId="55824BA6" w:rsidR="00DB2E14" w:rsidRDefault="00420AFA" w:rsidP="00C8617C">
      <w:pPr>
        <w:rPr>
          <w:sz w:val="24"/>
          <w:szCs w:val="24"/>
        </w:rPr>
      </w:pPr>
      <w:r>
        <w:rPr>
          <w:sz w:val="24"/>
          <w:szCs w:val="24"/>
        </w:rPr>
        <w:t>In this section</w:t>
      </w:r>
      <w:r w:rsidR="00582AD3">
        <w:rPr>
          <w:sz w:val="24"/>
          <w:szCs w:val="24"/>
        </w:rPr>
        <w:t xml:space="preserve"> of the draft</w:t>
      </w:r>
      <w:r>
        <w:rPr>
          <w:sz w:val="24"/>
          <w:szCs w:val="24"/>
        </w:rPr>
        <w:t>, t</w:t>
      </w:r>
      <w:r w:rsidR="00DB2E14" w:rsidRPr="00DB2E14">
        <w:rPr>
          <w:sz w:val="24"/>
          <w:szCs w:val="24"/>
        </w:rPr>
        <w:t xml:space="preserve">here are </w:t>
      </w:r>
      <w:r>
        <w:rPr>
          <w:sz w:val="24"/>
          <w:szCs w:val="24"/>
        </w:rPr>
        <w:t>multiple</w:t>
      </w:r>
      <w:r w:rsidR="00DB2E14" w:rsidRPr="00DB2E14">
        <w:rPr>
          <w:sz w:val="24"/>
          <w:szCs w:val="24"/>
        </w:rPr>
        <w:t xml:space="preserve"> </w:t>
      </w:r>
      <w:r w:rsidR="00396808">
        <w:rPr>
          <w:sz w:val="24"/>
          <w:szCs w:val="24"/>
        </w:rPr>
        <w:t>questions</w:t>
      </w:r>
      <w:r w:rsidR="00364AA5">
        <w:rPr>
          <w:sz w:val="24"/>
          <w:szCs w:val="24"/>
        </w:rPr>
        <w:t xml:space="preserve"> raised that </w:t>
      </w:r>
      <w:r w:rsidR="00396808">
        <w:rPr>
          <w:sz w:val="24"/>
          <w:szCs w:val="24"/>
        </w:rPr>
        <w:t>likely</w:t>
      </w:r>
      <w:r w:rsidR="00364AA5">
        <w:rPr>
          <w:sz w:val="24"/>
          <w:szCs w:val="24"/>
        </w:rPr>
        <w:t xml:space="preserve"> </w:t>
      </w:r>
      <w:r w:rsidR="00396808">
        <w:rPr>
          <w:sz w:val="24"/>
          <w:szCs w:val="24"/>
        </w:rPr>
        <w:t xml:space="preserve">already </w:t>
      </w:r>
      <w:r w:rsidR="00364AA5">
        <w:rPr>
          <w:sz w:val="24"/>
          <w:szCs w:val="24"/>
        </w:rPr>
        <w:t xml:space="preserve">have </w:t>
      </w:r>
      <w:r w:rsidR="00396808" w:rsidRPr="00396808">
        <w:rPr>
          <w:sz w:val="24"/>
          <w:szCs w:val="24"/>
        </w:rPr>
        <w:t xml:space="preserve">adequate regulations in place to address </w:t>
      </w:r>
      <w:r w:rsidR="00396808">
        <w:rPr>
          <w:sz w:val="24"/>
          <w:szCs w:val="24"/>
        </w:rPr>
        <w:t>them</w:t>
      </w:r>
      <w:r w:rsidR="00DB2E14" w:rsidRPr="00DB2E14">
        <w:rPr>
          <w:sz w:val="24"/>
          <w:szCs w:val="24"/>
        </w:rPr>
        <w:t xml:space="preserve">. </w:t>
      </w:r>
      <w:r w:rsidR="00086E0A">
        <w:rPr>
          <w:sz w:val="24"/>
          <w:szCs w:val="24"/>
        </w:rPr>
        <w:t xml:space="preserve">(e.g. </w:t>
      </w:r>
      <w:r w:rsidR="00DB2E14" w:rsidRPr="00DB2E14">
        <w:rPr>
          <w:sz w:val="24"/>
          <w:szCs w:val="24"/>
        </w:rPr>
        <w:t>“Should insurers purchase data regarding their policyholders</w:t>
      </w:r>
      <w:r>
        <w:rPr>
          <w:sz w:val="24"/>
          <w:szCs w:val="24"/>
        </w:rPr>
        <w:t>?</w:t>
      </w:r>
      <w:r w:rsidR="00DB2E14" w:rsidRPr="00DB2E14">
        <w:rPr>
          <w:sz w:val="24"/>
          <w:szCs w:val="24"/>
        </w:rPr>
        <w:t>” and “Should insurers partner with vendors or service providers to supply specific policyholder data to the wellness company</w:t>
      </w:r>
      <w:r>
        <w:rPr>
          <w:sz w:val="24"/>
          <w:szCs w:val="24"/>
        </w:rPr>
        <w:t>?</w:t>
      </w:r>
      <w:r w:rsidR="00DB2E14">
        <w:rPr>
          <w:sz w:val="24"/>
          <w:szCs w:val="24"/>
        </w:rPr>
        <w:t>”</w:t>
      </w:r>
      <w:r w:rsidR="00086E0A">
        <w:rPr>
          <w:sz w:val="24"/>
          <w:szCs w:val="24"/>
        </w:rPr>
        <w:t>)</w:t>
      </w:r>
      <w:r w:rsidR="00DB2E14">
        <w:rPr>
          <w:sz w:val="24"/>
          <w:szCs w:val="24"/>
        </w:rPr>
        <w:t xml:space="preserve"> </w:t>
      </w:r>
      <w:r w:rsidR="00086E0A">
        <w:rPr>
          <w:sz w:val="24"/>
          <w:szCs w:val="24"/>
        </w:rPr>
        <w:t xml:space="preserve">For issues that have already been addressed, we suggest specifying that their inclusion </w:t>
      </w:r>
      <w:r w:rsidR="00B450EF">
        <w:rPr>
          <w:sz w:val="24"/>
          <w:szCs w:val="24"/>
        </w:rPr>
        <w:t xml:space="preserve">in the draft </w:t>
      </w:r>
      <w:r w:rsidR="00086E0A">
        <w:rPr>
          <w:sz w:val="24"/>
          <w:szCs w:val="24"/>
        </w:rPr>
        <w:t xml:space="preserve">is to </w:t>
      </w:r>
      <w:r w:rsidR="00B142E0">
        <w:rPr>
          <w:sz w:val="24"/>
          <w:szCs w:val="24"/>
        </w:rPr>
        <w:t xml:space="preserve">give a comprehensive overview on the topic, </w:t>
      </w:r>
      <w:r w:rsidR="00086E0A">
        <w:rPr>
          <w:sz w:val="24"/>
          <w:szCs w:val="24"/>
        </w:rPr>
        <w:t>alert</w:t>
      </w:r>
      <w:r w:rsidR="00DB2E14" w:rsidRPr="00DB2E14">
        <w:rPr>
          <w:sz w:val="24"/>
          <w:szCs w:val="24"/>
        </w:rPr>
        <w:t xml:space="preserve"> regulators for oversight focus</w:t>
      </w:r>
      <w:r w:rsidR="00B142E0">
        <w:rPr>
          <w:sz w:val="24"/>
          <w:szCs w:val="24"/>
        </w:rPr>
        <w:t xml:space="preserve">, or for some other </w:t>
      </w:r>
      <w:r w:rsidR="00C02B32">
        <w:rPr>
          <w:sz w:val="24"/>
          <w:szCs w:val="24"/>
        </w:rPr>
        <w:t xml:space="preserve">stated </w:t>
      </w:r>
      <w:r w:rsidR="00B142E0">
        <w:rPr>
          <w:sz w:val="24"/>
          <w:szCs w:val="24"/>
        </w:rPr>
        <w:t>purpose</w:t>
      </w:r>
      <w:r w:rsidR="00086E0A">
        <w:rPr>
          <w:sz w:val="24"/>
          <w:szCs w:val="24"/>
        </w:rPr>
        <w:t>.</w:t>
      </w:r>
    </w:p>
    <w:p w14:paraId="5D5FC52F" w14:textId="043E1B2D" w:rsidR="00DB2E14" w:rsidRPr="00DB2E14" w:rsidRDefault="00DB2E14" w:rsidP="00DB2E14">
      <w:pPr>
        <w:rPr>
          <w:sz w:val="24"/>
          <w:szCs w:val="24"/>
        </w:rPr>
      </w:pPr>
      <w:r w:rsidRPr="00DB2E14">
        <w:rPr>
          <w:sz w:val="24"/>
          <w:szCs w:val="24"/>
        </w:rPr>
        <w:t xml:space="preserve">Along those same lines, the </w:t>
      </w:r>
      <w:r w:rsidR="00AC2248">
        <w:rPr>
          <w:sz w:val="24"/>
          <w:szCs w:val="24"/>
        </w:rPr>
        <w:t>draft</w:t>
      </w:r>
      <w:r w:rsidRPr="00DB2E14">
        <w:rPr>
          <w:sz w:val="24"/>
          <w:szCs w:val="24"/>
        </w:rPr>
        <w:t xml:space="preserve"> would benefit from bifurcation between issues </w:t>
      </w:r>
      <w:r w:rsidR="00B450EF">
        <w:rPr>
          <w:sz w:val="24"/>
          <w:szCs w:val="24"/>
        </w:rPr>
        <w:t>governed by</w:t>
      </w:r>
      <w:r w:rsidRPr="00DB2E14">
        <w:rPr>
          <w:sz w:val="24"/>
          <w:szCs w:val="24"/>
        </w:rPr>
        <w:t xml:space="preserve"> clear regulations vs. those that </w:t>
      </w:r>
      <w:r w:rsidR="00B450EF">
        <w:rPr>
          <w:sz w:val="24"/>
          <w:szCs w:val="24"/>
        </w:rPr>
        <w:t>are not</w:t>
      </w:r>
      <w:r w:rsidR="00B450EF" w:rsidRPr="00DB2E14">
        <w:rPr>
          <w:sz w:val="24"/>
          <w:szCs w:val="24"/>
        </w:rPr>
        <w:t xml:space="preserve"> </w:t>
      </w:r>
      <w:r w:rsidRPr="00DB2E14">
        <w:rPr>
          <w:sz w:val="24"/>
          <w:szCs w:val="24"/>
        </w:rPr>
        <w:t xml:space="preserve">(either </w:t>
      </w:r>
      <w:r w:rsidR="00AC2248">
        <w:rPr>
          <w:sz w:val="24"/>
          <w:szCs w:val="24"/>
        </w:rPr>
        <w:t xml:space="preserve">because the issue falls within </w:t>
      </w:r>
      <w:r w:rsidRPr="00DB2E14">
        <w:rPr>
          <w:sz w:val="24"/>
          <w:szCs w:val="24"/>
        </w:rPr>
        <w:t>a gr</w:t>
      </w:r>
      <w:r w:rsidR="00AC2248">
        <w:rPr>
          <w:sz w:val="24"/>
          <w:szCs w:val="24"/>
        </w:rPr>
        <w:t>a</w:t>
      </w:r>
      <w:r w:rsidRPr="00DB2E14">
        <w:rPr>
          <w:sz w:val="24"/>
          <w:szCs w:val="24"/>
        </w:rPr>
        <w:t xml:space="preserve">y area or no regulation </w:t>
      </w:r>
      <w:r w:rsidR="00B450EF">
        <w:rPr>
          <w:sz w:val="24"/>
          <w:szCs w:val="24"/>
        </w:rPr>
        <w:t>exists</w:t>
      </w:r>
      <w:r w:rsidRPr="00DB2E14">
        <w:rPr>
          <w:sz w:val="24"/>
          <w:szCs w:val="24"/>
        </w:rPr>
        <w:t xml:space="preserve">). Similarly, if the NAIC has </w:t>
      </w:r>
      <w:r w:rsidR="00B450EF">
        <w:rPr>
          <w:sz w:val="24"/>
          <w:szCs w:val="24"/>
        </w:rPr>
        <w:t>already addressed</w:t>
      </w:r>
      <w:r w:rsidRPr="00DB2E14">
        <w:rPr>
          <w:sz w:val="24"/>
          <w:szCs w:val="24"/>
        </w:rPr>
        <w:t xml:space="preserve"> substantially similar topics, the </w:t>
      </w:r>
      <w:r w:rsidR="00AC2248">
        <w:rPr>
          <w:sz w:val="24"/>
          <w:szCs w:val="24"/>
        </w:rPr>
        <w:t>draft</w:t>
      </w:r>
      <w:r w:rsidRPr="00DB2E14">
        <w:rPr>
          <w:sz w:val="24"/>
          <w:szCs w:val="24"/>
        </w:rPr>
        <w:t xml:space="preserve"> should refer to </w:t>
      </w:r>
      <w:r w:rsidR="00B450EF">
        <w:rPr>
          <w:sz w:val="24"/>
          <w:szCs w:val="24"/>
        </w:rPr>
        <w:t xml:space="preserve">the NAIC’s work </w:t>
      </w:r>
      <w:r w:rsidRPr="00DB2E14">
        <w:rPr>
          <w:sz w:val="24"/>
          <w:szCs w:val="24"/>
        </w:rPr>
        <w:t>rather than replica</w:t>
      </w:r>
      <w:r w:rsidR="00AC2248">
        <w:rPr>
          <w:sz w:val="24"/>
          <w:szCs w:val="24"/>
        </w:rPr>
        <w:t xml:space="preserve">te </w:t>
      </w:r>
      <w:r w:rsidR="00B450EF">
        <w:rPr>
          <w:sz w:val="24"/>
          <w:szCs w:val="24"/>
        </w:rPr>
        <w:t>their efforts</w:t>
      </w:r>
      <w:r w:rsidR="00AC2248">
        <w:rPr>
          <w:sz w:val="24"/>
          <w:szCs w:val="24"/>
        </w:rPr>
        <w:t>.</w:t>
      </w:r>
      <w:r w:rsidRPr="00DB2E14">
        <w:rPr>
          <w:sz w:val="24"/>
          <w:szCs w:val="24"/>
        </w:rPr>
        <w:t xml:space="preserve"> (e.g. “When considering big data, are there unacceptable </w:t>
      </w:r>
      <w:r w:rsidR="000F79A9">
        <w:rPr>
          <w:sz w:val="24"/>
          <w:szCs w:val="24"/>
        </w:rPr>
        <w:t>‘</w:t>
      </w:r>
      <w:r w:rsidRPr="00DB2E14">
        <w:rPr>
          <w:sz w:val="24"/>
          <w:szCs w:val="24"/>
        </w:rPr>
        <w:t>correlations</w:t>
      </w:r>
      <w:r w:rsidR="000F79A9">
        <w:rPr>
          <w:sz w:val="24"/>
          <w:szCs w:val="24"/>
        </w:rPr>
        <w:t>’</w:t>
      </w:r>
      <w:r w:rsidRPr="00DB2E14">
        <w:rPr>
          <w:sz w:val="24"/>
          <w:szCs w:val="24"/>
        </w:rPr>
        <w:t xml:space="preserve">”? </w:t>
      </w:r>
      <w:r w:rsidR="000F79A9">
        <w:rPr>
          <w:sz w:val="24"/>
          <w:szCs w:val="24"/>
        </w:rPr>
        <w:t>“</w:t>
      </w:r>
      <w:r w:rsidRPr="00DB2E14">
        <w:rPr>
          <w:sz w:val="24"/>
          <w:szCs w:val="24"/>
        </w:rPr>
        <w:t>How will insurers recognize relevant correlations vs</w:t>
      </w:r>
      <w:r w:rsidR="000F79A9">
        <w:rPr>
          <w:sz w:val="24"/>
          <w:szCs w:val="24"/>
        </w:rPr>
        <w:t>.</w:t>
      </w:r>
      <w:r w:rsidRPr="00DB2E14">
        <w:rPr>
          <w:sz w:val="24"/>
          <w:szCs w:val="24"/>
        </w:rPr>
        <w:t xml:space="preserve"> irrelevant statistically significant correlations?”)</w:t>
      </w:r>
    </w:p>
    <w:p w14:paraId="7DA0C89B" w14:textId="65AEA19F" w:rsidR="00DB2E14" w:rsidRDefault="00DB2E14" w:rsidP="00DB2E14">
      <w:pPr>
        <w:rPr>
          <w:sz w:val="24"/>
          <w:szCs w:val="24"/>
        </w:rPr>
      </w:pPr>
      <w:r w:rsidRPr="00DB2E14">
        <w:rPr>
          <w:sz w:val="24"/>
          <w:szCs w:val="24"/>
        </w:rPr>
        <w:t xml:space="preserve">The ability to collect and analyze data </w:t>
      </w:r>
      <w:r w:rsidR="00C0605D">
        <w:rPr>
          <w:sz w:val="24"/>
          <w:szCs w:val="24"/>
        </w:rPr>
        <w:t>is</w:t>
      </w:r>
      <w:r w:rsidRPr="00DB2E14">
        <w:rPr>
          <w:sz w:val="24"/>
          <w:szCs w:val="24"/>
        </w:rPr>
        <w:t xml:space="preserve"> essential to </w:t>
      </w:r>
      <w:r w:rsidR="00086E0A">
        <w:rPr>
          <w:sz w:val="24"/>
          <w:szCs w:val="24"/>
        </w:rPr>
        <w:t xml:space="preserve">test </w:t>
      </w:r>
      <w:r w:rsidRPr="00DB2E14">
        <w:rPr>
          <w:sz w:val="24"/>
          <w:szCs w:val="24"/>
        </w:rPr>
        <w:t>pilot</w:t>
      </w:r>
      <w:r w:rsidR="00AC2248">
        <w:rPr>
          <w:sz w:val="24"/>
          <w:szCs w:val="24"/>
        </w:rPr>
        <w:t xml:space="preserve"> programs </w:t>
      </w:r>
      <w:r w:rsidR="00396808">
        <w:rPr>
          <w:sz w:val="24"/>
          <w:szCs w:val="24"/>
        </w:rPr>
        <w:t>and</w:t>
      </w:r>
      <w:r w:rsidR="00B142E0">
        <w:rPr>
          <w:sz w:val="24"/>
          <w:szCs w:val="24"/>
        </w:rPr>
        <w:t xml:space="preserve"> eventually</w:t>
      </w:r>
      <w:r w:rsidR="00396808">
        <w:rPr>
          <w:sz w:val="24"/>
          <w:szCs w:val="24"/>
        </w:rPr>
        <w:t xml:space="preserve"> </w:t>
      </w:r>
      <w:r w:rsidR="00086E0A">
        <w:rPr>
          <w:sz w:val="24"/>
          <w:szCs w:val="24"/>
        </w:rPr>
        <w:t>implement</w:t>
      </w:r>
      <w:r w:rsidR="00AC2248">
        <w:rPr>
          <w:sz w:val="24"/>
          <w:szCs w:val="24"/>
        </w:rPr>
        <w:t xml:space="preserve"> </w:t>
      </w:r>
      <w:r w:rsidR="00B142E0">
        <w:rPr>
          <w:sz w:val="24"/>
          <w:szCs w:val="24"/>
        </w:rPr>
        <w:t xml:space="preserve">fully </w:t>
      </w:r>
      <w:r w:rsidR="00AC2248">
        <w:rPr>
          <w:sz w:val="24"/>
          <w:szCs w:val="24"/>
        </w:rPr>
        <w:t>developed</w:t>
      </w:r>
      <w:r w:rsidRPr="00DB2E14">
        <w:rPr>
          <w:sz w:val="24"/>
          <w:szCs w:val="24"/>
        </w:rPr>
        <w:t xml:space="preserve"> wellness initiatives. </w:t>
      </w:r>
      <w:r w:rsidR="00C0605D">
        <w:rPr>
          <w:sz w:val="24"/>
          <w:szCs w:val="24"/>
        </w:rPr>
        <w:t xml:space="preserve">In data privacy matters that are unsettled, insurers need assurance they can move forward </w:t>
      </w:r>
      <w:r w:rsidRPr="00DB2E14">
        <w:rPr>
          <w:sz w:val="24"/>
          <w:szCs w:val="24"/>
        </w:rPr>
        <w:t>without fear of adverse legal or regulatory action.</w:t>
      </w:r>
      <w:r w:rsidR="00B142E0">
        <w:rPr>
          <w:sz w:val="24"/>
          <w:szCs w:val="24"/>
        </w:rPr>
        <w:t xml:space="preserve"> The </w:t>
      </w:r>
      <w:r w:rsidR="00953918">
        <w:rPr>
          <w:sz w:val="24"/>
          <w:szCs w:val="24"/>
        </w:rPr>
        <w:t>ongoing efforts</w:t>
      </w:r>
      <w:r w:rsidR="00B142E0">
        <w:rPr>
          <w:sz w:val="24"/>
          <w:szCs w:val="24"/>
        </w:rPr>
        <w:t xml:space="preserve"> of </w:t>
      </w:r>
      <w:r w:rsidR="00953918">
        <w:rPr>
          <w:sz w:val="24"/>
          <w:szCs w:val="24"/>
        </w:rPr>
        <w:t xml:space="preserve">regulators and </w:t>
      </w:r>
      <w:r w:rsidR="00B142E0">
        <w:rPr>
          <w:sz w:val="24"/>
          <w:szCs w:val="24"/>
        </w:rPr>
        <w:t xml:space="preserve">industry stakeholders </w:t>
      </w:r>
      <w:r w:rsidR="00953918">
        <w:rPr>
          <w:sz w:val="24"/>
          <w:szCs w:val="24"/>
        </w:rPr>
        <w:t>to</w:t>
      </w:r>
      <w:r w:rsidR="00C0605D">
        <w:rPr>
          <w:sz w:val="24"/>
          <w:szCs w:val="24"/>
        </w:rPr>
        <w:t xml:space="preserve"> </w:t>
      </w:r>
      <w:r w:rsidR="00953918">
        <w:rPr>
          <w:sz w:val="24"/>
          <w:szCs w:val="24"/>
        </w:rPr>
        <w:t xml:space="preserve">coordinate and </w:t>
      </w:r>
      <w:r w:rsidR="00C0605D">
        <w:rPr>
          <w:sz w:val="24"/>
          <w:szCs w:val="24"/>
        </w:rPr>
        <w:t xml:space="preserve">balance the public policies of data privacy, improved health, and lower LTC costs can </w:t>
      </w:r>
      <w:r w:rsidR="00B142E0">
        <w:rPr>
          <w:sz w:val="24"/>
          <w:szCs w:val="24"/>
        </w:rPr>
        <w:t>give that assurance.</w:t>
      </w:r>
      <w:r w:rsidRPr="00DB2E14">
        <w:rPr>
          <w:sz w:val="24"/>
          <w:szCs w:val="24"/>
        </w:rPr>
        <w:t xml:space="preserve">    </w:t>
      </w:r>
    </w:p>
    <w:p w14:paraId="6D786C91" w14:textId="07F4E43C" w:rsidR="00E25C9F" w:rsidRPr="00E25C9F" w:rsidRDefault="00B142E0" w:rsidP="00E25C9F">
      <w:pPr>
        <w:rPr>
          <w:sz w:val="24"/>
          <w:szCs w:val="24"/>
        </w:rPr>
      </w:pPr>
      <w:r>
        <w:rPr>
          <w:sz w:val="24"/>
          <w:szCs w:val="24"/>
        </w:rPr>
        <w:t xml:space="preserve">As we move forward, guiding principles are vital. </w:t>
      </w:r>
      <w:r w:rsidR="00E03E35">
        <w:rPr>
          <w:sz w:val="24"/>
          <w:szCs w:val="24"/>
        </w:rPr>
        <w:t>ACLI</w:t>
      </w:r>
      <w:r w:rsidR="001B37CC">
        <w:rPr>
          <w:sz w:val="24"/>
          <w:szCs w:val="24"/>
        </w:rPr>
        <w:t>/AHIP</w:t>
      </w:r>
      <w:r w:rsidR="00E03E35">
        <w:rPr>
          <w:sz w:val="24"/>
          <w:szCs w:val="24"/>
        </w:rPr>
        <w:t xml:space="preserve"> </w:t>
      </w:r>
      <w:r w:rsidR="001B37CC">
        <w:rPr>
          <w:sz w:val="24"/>
          <w:szCs w:val="24"/>
        </w:rPr>
        <w:t>are</w:t>
      </w:r>
      <w:r w:rsidR="00A13FA4">
        <w:rPr>
          <w:sz w:val="24"/>
          <w:szCs w:val="24"/>
        </w:rPr>
        <w:t xml:space="preserve"> </w:t>
      </w:r>
      <w:r w:rsidR="00A13FA4" w:rsidRPr="00A13FA4">
        <w:rPr>
          <w:sz w:val="24"/>
          <w:szCs w:val="24"/>
        </w:rPr>
        <w:t>strongly committed to the proper use and protection of consumer data.</w:t>
      </w:r>
      <w:r w:rsidR="00A13FA4">
        <w:rPr>
          <w:sz w:val="24"/>
          <w:szCs w:val="24"/>
        </w:rPr>
        <w:t xml:space="preserve"> </w:t>
      </w:r>
      <w:r>
        <w:rPr>
          <w:sz w:val="24"/>
          <w:szCs w:val="24"/>
        </w:rPr>
        <w:t>We</w:t>
      </w:r>
      <w:r w:rsidR="00A13FA4">
        <w:rPr>
          <w:sz w:val="24"/>
          <w:szCs w:val="24"/>
        </w:rPr>
        <w:t xml:space="preserve"> </w:t>
      </w:r>
      <w:r w:rsidR="003615A7">
        <w:rPr>
          <w:sz w:val="24"/>
          <w:szCs w:val="24"/>
        </w:rPr>
        <w:t>encourage</w:t>
      </w:r>
      <w:r w:rsidR="00A13FA4">
        <w:rPr>
          <w:sz w:val="24"/>
          <w:szCs w:val="24"/>
        </w:rPr>
        <w:t xml:space="preserve"> </w:t>
      </w:r>
      <w:r w:rsidR="003615A7">
        <w:rPr>
          <w:sz w:val="24"/>
          <w:szCs w:val="24"/>
        </w:rPr>
        <w:t>c</w:t>
      </w:r>
      <w:r w:rsidR="00E30282" w:rsidRPr="00E30282">
        <w:rPr>
          <w:sz w:val="24"/>
          <w:szCs w:val="24"/>
        </w:rPr>
        <w:t>lear and concise notice about the collection, use</w:t>
      </w:r>
      <w:r w:rsidR="00236024">
        <w:rPr>
          <w:sz w:val="24"/>
          <w:szCs w:val="24"/>
        </w:rPr>
        <w:t>,</w:t>
      </w:r>
      <w:r w:rsidR="00E30282" w:rsidRPr="00E30282">
        <w:rPr>
          <w:sz w:val="24"/>
          <w:szCs w:val="24"/>
        </w:rPr>
        <w:t xml:space="preserve"> and disclosure of personal information.</w:t>
      </w:r>
      <w:r w:rsidR="003615A7">
        <w:rPr>
          <w:sz w:val="24"/>
          <w:szCs w:val="24"/>
        </w:rPr>
        <w:t xml:space="preserve"> We also </w:t>
      </w:r>
      <w:r w:rsidR="002166D9">
        <w:rPr>
          <w:sz w:val="24"/>
          <w:szCs w:val="24"/>
        </w:rPr>
        <w:t>support t</w:t>
      </w:r>
      <w:r w:rsidR="00E30282" w:rsidRPr="00E30282">
        <w:rPr>
          <w:sz w:val="24"/>
          <w:szCs w:val="24"/>
        </w:rPr>
        <w:t xml:space="preserve">he ability for consumers to have </w:t>
      </w:r>
      <w:r w:rsidR="00F0795B">
        <w:rPr>
          <w:sz w:val="24"/>
          <w:szCs w:val="24"/>
        </w:rPr>
        <w:t xml:space="preserve">appropriate </w:t>
      </w:r>
      <w:r w:rsidR="00E30282" w:rsidRPr="00E30282">
        <w:rPr>
          <w:sz w:val="24"/>
          <w:szCs w:val="24"/>
        </w:rPr>
        <w:t>control over their information, including the ability to access and correct inaccuracies, consistent with legitimate business purposes and/or legal requirements to retain such information.</w:t>
      </w:r>
    </w:p>
    <w:p w14:paraId="47ED1C40" w14:textId="2A74F0A4" w:rsidR="00A453DD" w:rsidRPr="00A453DD" w:rsidRDefault="00C8617C" w:rsidP="0076279F">
      <w:pPr>
        <w:rPr>
          <w:sz w:val="24"/>
          <w:szCs w:val="24"/>
        </w:rPr>
      </w:pPr>
      <w:r>
        <w:rPr>
          <w:rFonts w:eastAsia="Arial" w:cstheme="minorHAnsi"/>
          <w:color w:val="18B8CC"/>
          <w:sz w:val="24"/>
          <w:szCs w:val="24"/>
        </w:rPr>
        <w:t>OTHER CONSIDERATIONS</w:t>
      </w:r>
      <w:r w:rsidR="002B1846">
        <w:rPr>
          <w:rFonts w:eastAsia="Arial" w:cstheme="minorHAnsi"/>
          <w:color w:val="18B8CC"/>
          <w:sz w:val="24"/>
          <w:szCs w:val="24"/>
        </w:rPr>
        <w:br/>
      </w:r>
      <w:r w:rsidR="001B37CC">
        <w:rPr>
          <w:sz w:val="24"/>
          <w:szCs w:val="24"/>
        </w:rPr>
        <w:t xml:space="preserve">At this time, </w:t>
      </w:r>
      <w:r w:rsidR="0076279F">
        <w:rPr>
          <w:sz w:val="24"/>
          <w:szCs w:val="24"/>
        </w:rPr>
        <w:t>ACLI</w:t>
      </w:r>
      <w:r w:rsidR="001B37CC">
        <w:rPr>
          <w:sz w:val="24"/>
          <w:szCs w:val="24"/>
        </w:rPr>
        <w:t>/AHIP</w:t>
      </w:r>
      <w:r w:rsidR="0076279F">
        <w:rPr>
          <w:sz w:val="24"/>
          <w:szCs w:val="24"/>
        </w:rPr>
        <w:t xml:space="preserve"> ha</w:t>
      </w:r>
      <w:r w:rsidR="001B37CC">
        <w:rPr>
          <w:sz w:val="24"/>
          <w:szCs w:val="24"/>
        </w:rPr>
        <w:t>ve</w:t>
      </w:r>
      <w:r w:rsidR="0076279F">
        <w:rPr>
          <w:sz w:val="24"/>
          <w:szCs w:val="24"/>
        </w:rPr>
        <w:t xml:space="preserve"> no comments on this section of the draft. </w:t>
      </w:r>
    </w:p>
    <w:p w14:paraId="0EFDA3EB" w14:textId="77777777" w:rsidR="002376D3" w:rsidRDefault="002376D3" w:rsidP="00BE24F3">
      <w:pPr>
        <w:rPr>
          <w:rFonts w:eastAsia="Arial" w:cstheme="minorHAnsi"/>
          <w:color w:val="18B8CC"/>
          <w:sz w:val="24"/>
          <w:szCs w:val="24"/>
        </w:rPr>
      </w:pPr>
    </w:p>
    <w:p w14:paraId="3D17E4A2" w14:textId="77777777" w:rsidR="002376D3" w:rsidRDefault="002376D3" w:rsidP="00BE24F3">
      <w:pPr>
        <w:rPr>
          <w:rFonts w:eastAsia="Arial" w:cstheme="minorHAnsi"/>
          <w:color w:val="18B8CC"/>
          <w:sz w:val="24"/>
          <w:szCs w:val="24"/>
        </w:rPr>
      </w:pPr>
    </w:p>
    <w:p w14:paraId="2F607428" w14:textId="77777777" w:rsidR="002376D3" w:rsidRDefault="002376D3" w:rsidP="00BE24F3">
      <w:pPr>
        <w:rPr>
          <w:rFonts w:eastAsia="Arial" w:cstheme="minorHAnsi"/>
          <w:color w:val="18B8CC"/>
          <w:sz w:val="24"/>
          <w:szCs w:val="24"/>
        </w:rPr>
      </w:pPr>
    </w:p>
    <w:p w14:paraId="31D2B524" w14:textId="77777777" w:rsidR="002376D3" w:rsidRDefault="002376D3" w:rsidP="00BE24F3">
      <w:pPr>
        <w:rPr>
          <w:rFonts w:eastAsia="Arial" w:cstheme="minorHAnsi"/>
          <w:color w:val="18B8CC"/>
          <w:sz w:val="24"/>
          <w:szCs w:val="24"/>
        </w:rPr>
      </w:pPr>
    </w:p>
    <w:p w14:paraId="0DB661FA" w14:textId="2254FF4B" w:rsidR="00BE24F3" w:rsidRPr="00BE24F3" w:rsidRDefault="00BE24F3" w:rsidP="00BE24F3">
      <w:pPr>
        <w:rPr>
          <w:sz w:val="24"/>
          <w:szCs w:val="24"/>
        </w:rPr>
      </w:pPr>
      <w:r w:rsidRPr="00BE24F3">
        <w:rPr>
          <w:rFonts w:eastAsia="Arial" w:cstheme="minorHAnsi"/>
          <w:color w:val="18B8CC"/>
          <w:sz w:val="24"/>
          <w:szCs w:val="24"/>
        </w:rPr>
        <w:t>CONCLUSION</w:t>
      </w:r>
      <w:r w:rsidRPr="00BE24F3">
        <w:rPr>
          <w:rFonts w:eastAsia="Arial" w:cstheme="minorHAnsi"/>
          <w:color w:val="18B8CC"/>
          <w:sz w:val="24"/>
          <w:szCs w:val="24"/>
        </w:rPr>
        <w:br/>
      </w:r>
      <w:r w:rsidRPr="00BE24F3">
        <w:rPr>
          <w:sz w:val="24"/>
          <w:szCs w:val="24"/>
        </w:rPr>
        <w:t>Thank you for the opportunity to provide these comments. ACLI</w:t>
      </w:r>
      <w:r w:rsidR="00981B82">
        <w:rPr>
          <w:sz w:val="24"/>
          <w:szCs w:val="24"/>
        </w:rPr>
        <w:t>/AHIP</w:t>
      </w:r>
      <w:r w:rsidRPr="00BE24F3">
        <w:rPr>
          <w:sz w:val="24"/>
          <w:szCs w:val="24"/>
        </w:rPr>
        <w:t xml:space="preserve"> welcome the opportunity to discuss our comments with you </w:t>
      </w:r>
      <w:r w:rsidR="00C02B32">
        <w:rPr>
          <w:sz w:val="24"/>
          <w:szCs w:val="24"/>
        </w:rPr>
        <w:t>soon</w:t>
      </w:r>
      <w:r w:rsidR="009E355E">
        <w:rPr>
          <w:sz w:val="24"/>
          <w:szCs w:val="24"/>
        </w:rPr>
        <w:t xml:space="preserve">. </w:t>
      </w:r>
    </w:p>
    <w:p w14:paraId="787FE6D5" w14:textId="61A8D21E" w:rsidR="00BE24F3" w:rsidRDefault="00BE24F3" w:rsidP="00BE24F3">
      <w:pPr>
        <w:rPr>
          <w:sz w:val="24"/>
          <w:szCs w:val="24"/>
        </w:rPr>
      </w:pPr>
      <w:r w:rsidRPr="00BE24F3">
        <w:rPr>
          <w:sz w:val="24"/>
          <w:szCs w:val="24"/>
        </w:rPr>
        <w:t>Sincerely,</w:t>
      </w:r>
    </w:p>
    <w:p w14:paraId="0A372884" w14:textId="6967BC11" w:rsidR="00BE24F3" w:rsidRDefault="00BE24F3" w:rsidP="00BE24F3">
      <w:pPr>
        <w:rPr>
          <w:sz w:val="24"/>
          <w:szCs w:val="24"/>
        </w:rPr>
      </w:pPr>
      <w:r>
        <w:rPr>
          <w:noProof/>
          <w:sz w:val="24"/>
          <w:szCs w:val="24"/>
        </w:rPr>
        <w:drawing>
          <wp:anchor distT="0" distB="0" distL="114300" distR="114300" simplePos="0" relativeHeight="251658240" behindDoc="0" locked="0" layoutInCell="1" allowOverlap="1" wp14:anchorId="5D32EC71" wp14:editId="57DEC52D">
            <wp:simplePos x="914400" y="6638925"/>
            <wp:positionH relativeFrom="column">
              <wp:align>left</wp:align>
            </wp:positionH>
            <wp:positionV relativeFrom="paragraph">
              <wp:align>top</wp:align>
            </wp:positionV>
            <wp:extent cx="1238250" cy="657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657225"/>
                    </a:xfrm>
                    <a:prstGeom prst="rect">
                      <a:avLst/>
                    </a:prstGeom>
                    <a:noFill/>
                  </pic:spPr>
                </pic:pic>
              </a:graphicData>
            </a:graphic>
          </wp:anchor>
        </w:drawing>
      </w:r>
      <w:r w:rsidR="004C5517">
        <w:rPr>
          <w:sz w:val="24"/>
          <w:szCs w:val="24"/>
        </w:rPr>
        <w:tab/>
      </w:r>
      <w:r w:rsidR="004C5517">
        <w:rPr>
          <w:sz w:val="24"/>
          <w:szCs w:val="24"/>
        </w:rPr>
        <w:tab/>
      </w:r>
      <w:r w:rsidR="004C5517">
        <w:rPr>
          <w:sz w:val="24"/>
          <w:szCs w:val="24"/>
        </w:rPr>
        <w:tab/>
      </w:r>
      <w:r w:rsidR="004C5517">
        <w:rPr>
          <w:sz w:val="24"/>
          <w:szCs w:val="24"/>
        </w:rPr>
        <w:tab/>
      </w:r>
      <w:r w:rsidR="004C5517">
        <w:rPr>
          <w:sz w:val="24"/>
          <w:szCs w:val="24"/>
        </w:rPr>
        <w:tab/>
      </w:r>
      <w:r w:rsidR="004C5517">
        <w:rPr>
          <w:noProof/>
          <w:sz w:val="24"/>
          <w:szCs w:val="24"/>
        </w:rPr>
        <w:drawing>
          <wp:inline distT="0" distB="0" distL="0" distR="0" wp14:anchorId="272BB554" wp14:editId="4CE68A13">
            <wp:extent cx="1403441" cy="304681"/>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037" cy="324132"/>
                    </a:xfrm>
                    <a:prstGeom prst="rect">
                      <a:avLst/>
                    </a:prstGeom>
                    <a:noFill/>
                  </pic:spPr>
                </pic:pic>
              </a:graphicData>
            </a:graphic>
          </wp:inline>
        </w:drawing>
      </w:r>
    </w:p>
    <w:p w14:paraId="3F03979C" w14:textId="321CB2B2" w:rsidR="00855FE3" w:rsidRDefault="00BE24F3" w:rsidP="00474664">
      <w:pPr>
        <w:tabs>
          <w:tab w:val="left" w:pos="3030"/>
        </w:tabs>
        <w:rPr>
          <w:sz w:val="24"/>
          <w:szCs w:val="24"/>
        </w:rPr>
      </w:pPr>
      <w:r>
        <w:rPr>
          <w:sz w:val="24"/>
          <w:szCs w:val="24"/>
        </w:rPr>
        <w:tab/>
      </w:r>
      <w:r>
        <w:rPr>
          <w:sz w:val="24"/>
          <w:szCs w:val="24"/>
        </w:rPr>
        <w:tab/>
      </w:r>
      <w:r>
        <w:rPr>
          <w:sz w:val="24"/>
          <w:szCs w:val="24"/>
        </w:rPr>
        <w:tab/>
      </w:r>
      <w:r w:rsidR="004C5517">
        <w:rPr>
          <w:sz w:val="24"/>
          <w:szCs w:val="24"/>
        </w:rPr>
        <w:tab/>
      </w:r>
      <w:r>
        <w:rPr>
          <w:sz w:val="24"/>
          <w:szCs w:val="24"/>
        </w:rPr>
        <w:br w:type="textWrapping" w:clear="all"/>
      </w:r>
      <w:r w:rsidRPr="00BE24F3">
        <w:rPr>
          <w:sz w:val="24"/>
          <w:szCs w:val="24"/>
        </w:rPr>
        <w:t xml:space="preserve">Jan M. Graeber   </w:t>
      </w:r>
      <w:r w:rsidR="004C5517">
        <w:rPr>
          <w:sz w:val="24"/>
          <w:szCs w:val="24"/>
        </w:rPr>
        <w:tab/>
      </w:r>
      <w:r w:rsidR="004C5517">
        <w:rPr>
          <w:sz w:val="24"/>
          <w:szCs w:val="24"/>
        </w:rPr>
        <w:tab/>
      </w:r>
      <w:r w:rsidR="004C5517">
        <w:rPr>
          <w:sz w:val="24"/>
          <w:szCs w:val="24"/>
        </w:rPr>
        <w:tab/>
      </w:r>
      <w:r w:rsidR="004C5517">
        <w:rPr>
          <w:sz w:val="24"/>
          <w:szCs w:val="24"/>
        </w:rPr>
        <w:tab/>
        <w:t>Susan Coronel</w:t>
      </w:r>
      <w:r w:rsidRPr="00BE24F3">
        <w:rPr>
          <w:sz w:val="24"/>
          <w:szCs w:val="24"/>
        </w:rPr>
        <w:t xml:space="preserve">         </w:t>
      </w:r>
      <w:r w:rsidR="004036E5">
        <w:rPr>
          <w:sz w:val="24"/>
          <w:szCs w:val="24"/>
        </w:rPr>
        <w:br/>
      </w:r>
      <w:r w:rsidRPr="00BE24F3">
        <w:rPr>
          <w:sz w:val="24"/>
          <w:szCs w:val="24"/>
        </w:rPr>
        <w:t xml:space="preserve">Senior Actuary, ACLI            </w:t>
      </w:r>
      <w:r w:rsidR="004C5517">
        <w:rPr>
          <w:sz w:val="24"/>
          <w:szCs w:val="24"/>
        </w:rPr>
        <w:tab/>
      </w:r>
      <w:r w:rsidR="004C5517">
        <w:rPr>
          <w:sz w:val="24"/>
          <w:szCs w:val="24"/>
        </w:rPr>
        <w:tab/>
      </w:r>
      <w:r w:rsidR="004C5517">
        <w:rPr>
          <w:sz w:val="24"/>
          <w:szCs w:val="24"/>
        </w:rPr>
        <w:tab/>
      </w:r>
      <w:r w:rsidR="004C5517">
        <w:rPr>
          <w:sz w:val="24"/>
          <w:szCs w:val="24"/>
        </w:rPr>
        <w:tab/>
        <w:t>Executive Director, Product Policy, AHIP</w:t>
      </w:r>
      <w:r w:rsidRPr="00BE24F3">
        <w:rPr>
          <w:sz w:val="24"/>
          <w:szCs w:val="24"/>
        </w:rPr>
        <w:t xml:space="preserve">                                     </w:t>
      </w:r>
      <w:r w:rsidR="00330168">
        <w:rPr>
          <w:sz w:val="24"/>
          <w:szCs w:val="24"/>
        </w:rPr>
        <w:t xml:space="preserve">  </w:t>
      </w:r>
    </w:p>
    <w:sectPr w:rsidR="00855FE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0009" w14:textId="77777777" w:rsidR="00D135B9" w:rsidRDefault="00D135B9" w:rsidP="00634357">
      <w:pPr>
        <w:spacing w:after="0" w:line="240" w:lineRule="auto"/>
      </w:pPr>
      <w:r>
        <w:separator/>
      </w:r>
    </w:p>
  </w:endnote>
  <w:endnote w:type="continuationSeparator" w:id="0">
    <w:p w14:paraId="3149773E" w14:textId="77777777" w:rsidR="00D135B9" w:rsidRDefault="00D135B9" w:rsidP="00634357">
      <w:pPr>
        <w:spacing w:after="0" w:line="240" w:lineRule="auto"/>
      </w:pPr>
      <w:r>
        <w:continuationSeparator/>
      </w:r>
    </w:p>
  </w:endnote>
  <w:endnote w:id="1">
    <w:p w14:paraId="5E4C052B" w14:textId="3755C9F5" w:rsidR="001F5A7F" w:rsidRDefault="001F5A7F">
      <w:pPr>
        <w:pStyle w:val="EndnoteText"/>
      </w:pPr>
      <w:r>
        <w:rPr>
          <w:rStyle w:val="EndnoteReference"/>
        </w:rPr>
        <w:endnoteRef/>
      </w:r>
      <w:r>
        <w:t xml:space="preserve"> </w:t>
      </w:r>
      <w:r w:rsidRPr="001F5A7F">
        <w:t>The American Council of Life Insurers advocates on behalf of 280 member companies dedicated to providing products and services that promote consumers’ financial and retirement security. Ninety million American families depend on our members for life insurance, annuities, retirement plans, long-term care (LTC) insurance, disability income insurance, reinsurance, dental, vision, and other supplemental benefits. ACLI represents member companies in state, federal and international forums for public policy that supports the industry marketplace and the families that rely on life insurers’ products for peace of mind. ACLI members represent 95 percent of industry assets in the United States.</w:t>
      </w:r>
    </w:p>
  </w:endnote>
  <w:endnote w:id="2">
    <w:p w14:paraId="0C7B8B86" w14:textId="2BE87B69" w:rsidR="001B37CC" w:rsidRDefault="001B37CC">
      <w:pPr>
        <w:pStyle w:val="EndnoteText"/>
      </w:pPr>
      <w:r>
        <w:rPr>
          <w:rStyle w:val="EndnoteReference"/>
        </w:rPr>
        <w:endnoteRef/>
      </w:r>
      <w:r>
        <w:t xml:space="preserve"> </w:t>
      </w:r>
      <w:r w:rsidRPr="001B37CC">
        <w:t>AHIP is the national association whose members provide coverage for health care and related services to hundreds of millions of Americans every day. Through these offerings, we improve and protect the health and financial security of consumers, families, businesses, communities and the nation. We are committed to market-based solutions and public- private partnerships that improve affordability, value, access, and well-being for consumers.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01712"/>
      <w:docPartObj>
        <w:docPartGallery w:val="Page Numbers (Bottom of Page)"/>
        <w:docPartUnique/>
      </w:docPartObj>
    </w:sdtPr>
    <w:sdtEndPr>
      <w:rPr>
        <w:noProof/>
      </w:rPr>
    </w:sdtEndPr>
    <w:sdtContent>
      <w:p w14:paraId="75946A78" w14:textId="091305E0" w:rsidR="0041417C" w:rsidRDefault="00414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62E81" w14:textId="77777777" w:rsidR="0041417C" w:rsidRDefault="0041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F012" w14:textId="77777777" w:rsidR="00D135B9" w:rsidRDefault="00D135B9" w:rsidP="00634357">
      <w:pPr>
        <w:spacing w:after="0" w:line="240" w:lineRule="auto"/>
      </w:pPr>
      <w:r>
        <w:separator/>
      </w:r>
    </w:p>
  </w:footnote>
  <w:footnote w:type="continuationSeparator" w:id="0">
    <w:p w14:paraId="4AE05C40" w14:textId="77777777" w:rsidR="00D135B9" w:rsidRDefault="00D135B9" w:rsidP="00634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1BC9" w14:textId="65F7F756" w:rsidR="00634357" w:rsidRDefault="00A11E28" w:rsidP="00474664">
    <w:pPr>
      <w:pStyle w:val="Header"/>
      <w:tabs>
        <w:tab w:val="clear" w:pos="4680"/>
        <w:tab w:val="clear" w:pos="9360"/>
        <w:tab w:val="left" w:pos="7065"/>
      </w:tabs>
    </w:pPr>
    <w:r>
      <w:rPr>
        <w:noProof/>
      </w:rPr>
      <w:drawing>
        <wp:anchor distT="0" distB="0" distL="114300" distR="114300" simplePos="0" relativeHeight="251657216" behindDoc="1" locked="0" layoutInCell="1" allowOverlap="1" wp14:anchorId="2A629C9E" wp14:editId="7D6C05B6">
          <wp:simplePos x="0" y="0"/>
          <wp:positionH relativeFrom="column">
            <wp:posOffset>0</wp:posOffset>
          </wp:positionH>
          <wp:positionV relativeFrom="paragraph">
            <wp:posOffset>0</wp:posOffset>
          </wp:positionV>
          <wp:extent cx="59436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633F5">
      <w:tab/>
    </w:r>
    <w:r w:rsidR="002633F5">
      <w:rPr>
        <w:noProof/>
      </w:rPr>
      <w:drawing>
        <wp:inline distT="0" distB="0" distL="0" distR="0" wp14:anchorId="478041D3" wp14:editId="082163D0">
          <wp:extent cx="1285336" cy="390404"/>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002" cy="395162"/>
                  </a:xfrm>
                  <a:prstGeom prst="rect">
                    <a:avLst/>
                  </a:prstGeom>
                  <a:noFill/>
                </pic:spPr>
              </pic:pic>
            </a:graphicData>
          </a:graphic>
        </wp:inline>
      </w:drawing>
    </w:r>
  </w:p>
  <w:p w14:paraId="51A5C1B6" w14:textId="0D9D296B" w:rsidR="00634357" w:rsidRDefault="00A11E28">
    <w:pPr>
      <w:pStyle w:val="Header"/>
    </w:pPr>
    <w:r>
      <w:tab/>
    </w:r>
    <w:r w:rsidR="006203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60730"/>
    <w:multiLevelType w:val="hybridMultilevel"/>
    <w:tmpl w:val="B3FE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75B7F"/>
    <w:multiLevelType w:val="hybridMultilevel"/>
    <w:tmpl w:val="1366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3282D"/>
    <w:multiLevelType w:val="hybridMultilevel"/>
    <w:tmpl w:val="1158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515EE"/>
    <w:multiLevelType w:val="hybridMultilevel"/>
    <w:tmpl w:val="7FB4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24"/>
    <w:rsid w:val="00000BE3"/>
    <w:rsid w:val="00003BC6"/>
    <w:rsid w:val="00007FEA"/>
    <w:rsid w:val="00010969"/>
    <w:rsid w:val="00011B8C"/>
    <w:rsid w:val="00015BA5"/>
    <w:rsid w:val="0004259D"/>
    <w:rsid w:val="0004585E"/>
    <w:rsid w:val="00062C7E"/>
    <w:rsid w:val="00086E0A"/>
    <w:rsid w:val="00096E99"/>
    <w:rsid w:val="000B2142"/>
    <w:rsid w:val="000B70E1"/>
    <w:rsid w:val="000C0601"/>
    <w:rsid w:val="000C5A3F"/>
    <w:rsid w:val="000D0563"/>
    <w:rsid w:val="000F79A9"/>
    <w:rsid w:val="0011015C"/>
    <w:rsid w:val="00116B9B"/>
    <w:rsid w:val="00125736"/>
    <w:rsid w:val="00135677"/>
    <w:rsid w:val="00180D3C"/>
    <w:rsid w:val="00191EBA"/>
    <w:rsid w:val="001A2C1D"/>
    <w:rsid w:val="001A32B4"/>
    <w:rsid w:val="001A7258"/>
    <w:rsid w:val="001B2F92"/>
    <w:rsid w:val="001B37CC"/>
    <w:rsid w:val="001C79F6"/>
    <w:rsid w:val="001D63D4"/>
    <w:rsid w:val="001E1E0E"/>
    <w:rsid w:val="001E7DD3"/>
    <w:rsid w:val="001E7E73"/>
    <w:rsid w:val="001F2379"/>
    <w:rsid w:val="001F5A7F"/>
    <w:rsid w:val="002166D9"/>
    <w:rsid w:val="00222B20"/>
    <w:rsid w:val="00236024"/>
    <w:rsid w:val="00237139"/>
    <w:rsid w:val="002376D3"/>
    <w:rsid w:val="00247E33"/>
    <w:rsid w:val="00251D38"/>
    <w:rsid w:val="00257762"/>
    <w:rsid w:val="00262289"/>
    <w:rsid w:val="002633F5"/>
    <w:rsid w:val="0028193C"/>
    <w:rsid w:val="002A1525"/>
    <w:rsid w:val="002A7655"/>
    <w:rsid w:val="002B1846"/>
    <w:rsid w:val="002B7693"/>
    <w:rsid w:val="002F16A3"/>
    <w:rsid w:val="002F353F"/>
    <w:rsid w:val="00300A13"/>
    <w:rsid w:val="00304ACB"/>
    <w:rsid w:val="00307EC7"/>
    <w:rsid w:val="00310B7E"/>
    <w:rsid w:val="00316CB2"/>
    <w:rsid w:val="00330168"/>
    <w:rsid w:val="003405E5"/>
    <w:rsid w:val="00340983"/>
    <w:rsid w:val="0034549A"/>
    <w:rsid w:val="00355197"/>
    <w:rsid w:val="003615A7"/>
    <w:rsid w:val="003630F7"/>
    <w:rsid w:val="00364AA5"/>
    <w:rsid w:val="00365BC4"/>
    <w:rsid w:val="0036612A"/>
    <w:rsid w:val="00374A44"/>
    <w:rsid w:val="00390FE6"/>
    <w:rsid w:val="00396808"/>
    <w:rsid w:val="003C15B4"/>
    <w:rsid w:val="003C1C83"/>
    <w:rsid w:val="003C64E7"/>
    <w:rsid w:val="003C79EE"/>
    <w:rsid w:val="003D2475"/>
    <w:rsid w:val="003E7D91"/>
    <w:rsid w:val="003F1851"/>
    <w:rsid w:val="003F19B6"/>
    <w:rsid w:val="003F3827"/>
    <w:rsid w:val="004036E5"/>
    <w:rsid w:val="00403D9A"/>
    <w:rsid w:val="00404081"/>
    <w:rsid w:val="0041050F"/>
    <w:rsid w:val="0041417C"/>
    <w:rsid w:val="00415F23"/>
    <w:rsid w:val="00420AFA"/>
    <w:rsid w:val="00422BAD"/>
    <w:rsid w:val="00436B29"/>
    <w:rsid w:val="00456758"/>
    <w:rsid w:val="00474664"/>
    <w:rsid w:val="00482CC8"/>
    <w:rsid w:val="00497134"/>
    <w:rsid w:val="004A3379"/>
    <w:rsid w:val="004A7DE4"/>
    <w:rsid w:val="004B3CEE"/>
    <w:rsid w:val="004B5DC4"/>
    <w:rsid w:val="004C5517"/>
    <w:rsid w:val="004C5DB2"/>
    <w:rsid w:val="004D5126"/>
    <w:rsid w:val="004E334B"/>
    <w:rsid w:val="004F54BA"/>
    <w:rsid w:val="00504044"/>
    <w:rsid w:val="005056B0"/>
    <w:rsid w:val="005115E8"/>
    <w:rsid w:val="00514213"/>
    <w:rsid w:val="00517E25"/>
    <w:rsid w:val="00523FE9"/>
    <w:rsid w:val="00534484"/>
    <w:rsid w:val="00571D53"/>
    <w:rsid w:val="00575541"/>
    <w:rsid w:val="00582AD3"/>
    <w:rsid w:val="00583DA2"/>
    <w:rsid w:val="0058743D"/>
    <w:rsid w:val="005B15C7"/>
    <w:rsid w:val="005B683E"/>
    <w:rsid w:val="005E533C"/>
    <w:rsid w:val="005F01FA"/>
    <w:rsid w:val="005F5687"/>
    <w:rsid w:val="0060019A"/>
    <w:rsid w:val="00602517"/>
    <w:rsid w:val="006203B7"/>
    <w:rsid w:val="006230D1"/>
    <w:rsid w:val="006244A9"/>
    <w:rsid w:val="00634357"/>
    <w:rsid w:val="00634F2D"/>
    <w:rsid w:val="0065075E"/>
    <w:rsid w:val="00654920"/>
    <w:rsid w:val="00663000"/>
    <w:rsid w:val="006920F1"/>
    <w:rsid w:val="006A0E9A"/>
    <w:rsid w:val="006B2484"/>
    <w:rsid w:val="006B5E5D"/>
    <w:rsid w:val="006B758E"/>
    <w:rsid w:val="006C1E91"/>
    <w:rsid w:val="006D4614"/>
    <w:rsid w:val="0070685F"/>
    <w:rsid w:val="007102B3"/>
    <w:rsid w:val="00720C1A"/>
    <w:rsid w:val="00736E2C"/>
    <w:rsid w:val="00737B91"/>
    <w:rsid w:val="007417DD"/>
    <w:rsid w:val="00756F19"/>
    <w:rsid w:val="0076279F"/>
    <w:rsid w:val="00776C9B"/>
    <w:rsid w:val="00787D2E"/>
    <w:rsid w:val="007A6470"/>
    <w:rsid w:val="007B5C42"/>
    <w:rsid w:val="007B75AD"/>
    <w:rsid w:val="007C7A69"/>
    <w:rsid w:val="007F3747"/>
    <w:rsid w:val="007F44F5"/>
    <w:rsid w:val="007F6D31"/>
    <w:rsid w:val="00802CC2"/>
    <w:rsid w:val="00807699"/>
    <w:rsid w:val="00817A3E"/>
    <w:rsid w:val="00827CE1"/>
    <w:rsid w:val="00832819"/>
    <w:rsid w:val="00855FE3"/>
    <w:rsid w:val="00856CE7"/>
    <w:rsid w:val="008666A1"/>
    <w:rsid w:val="008739E2"/>
    <w:rsid w:val="008741BC"/>
    <w:rsid w:val="0087725D"/>
    <w:rsid w:val="00882EE7"/>
    <w:rsid w:val="008A29C7"/>
    <w:rsid w:val="008A329F"/>
    <w:rsid w:val="008A58DF"/>
    <w:rsid w:val="008B4170"/>
    <w:rsid w:val="008B4ADC"/>
    <w:rsid w:val="008B5A05"/>
    <w:rsid w:val="008E3C51"/>
    <w:rsid w:val="00933C61"/>
    <w:rsid w:val="00934F7F"/>
    <w:rsid w:val="0094466B"/>
    <w:rsid w:val="00947BA7"/>
    <w:rsid w:val="00951FA2"/>
    <w:rsid w:val="00953918"/>
    <w:rsid w:val="00971FD8"/>
    <w:rsid w:val="009767F8"/>
    <w:rsid w:val="009810C9"/>
    <w:rsid w:val="00981B82"/>
    <w:rsid w:val="00987B35"/>
    <w:rsid w:val="00992595"/>
    <w:rsid w:val="009C1B62"/>
    <w:rsid w:val="009C7D6C"/>
    <w:rsid w:val="009E355E"/>
    <w:rsid w:val="009F3A0E"/>
    <w:rsid w:val="009F74A5"/>
    <w:rsid w:val="00A0786A"/>
    <w:rsid w:val="00A11E28"/>
    <w:rsid w:val="00A13FA4"/>
    <w:rsid w:val="00A157A4"/>
    <w:rsid w:val="00A33AA4"/>
    <w:rsid w:val="00A4284F"/>
    <w:rsid w:val="00A42E08"/>
    <w:rsid w:val="00A453DD"/>
    <w:rsid w:val="00A4569B"/>
    <w:rsid w:val="00A54B63"/>
    <w:rsid w:val="00A6318A"/>
    <w:rsid w:val="00A6755D"/>
    <w:rsid w:val="00A75E7C"/>
    <w:rsid w:val="00A8723C"/>
    <w:rsid w:val="00A94724"/>
    <w:rsid w:val="00AB6EE1"/>
    <w:rsid w:val="00AC2248"/>
    <w:rsid w:val="00AD5D0A"/>
    <w:rsid w:val="00AF314E"/>
    <w:rsid w:val="00AF76C8"/>
    <w:rsid w:val="00B142E0"/>
    <w:rsid w:val="00B14F63"/>
    <w:rsid w:val="00B15364"/>
    <w:rsid w:val="00B2290D"/>
    <w:rsid w:val="00B24BC4"/>
    <w:rsid w:val="00B403E8"/>
    <w:rsid w:val="00B450EF"/>
    <w:rsid w:val="00B504E3"/>
    <w:rsid w:val="00B75280"/>
    <w:rsid w:val="00B9482D"/>
    <w:rsid w:val="00BB186C"/>
    <w:rsid w:val="00BC0ECD"/>
    <w:rsid w:val="00BE24F3"/>
    <w:rsid w:val="00BF5D97"/>
    <w:rsid w:val="00C00B68"/>
    <w:rsid w:val="00C02B32"/>
    <w:rsid w:val="00C056FC"/>
    <w:rsid w:val="00C0605D"/>
    <w:rsid w:val="00C06DFE"/>
    <w:rsid w:val="00C363FE"/>
    <w:rsid w:val="00C36965"/>
    <w:rsid w:val="00C57DB3"/>
    <w:rsid w:val="00C654B5"/>
    <w:rsid w:val="00C8617C"/>
    <w:rsid w:val="00C9602F"/>
    <w:rsid w:val="00CA0856"/>
    <w:rsid w:val="00CA105F"/>
    <w:rsid w:val="00CA66B4"/>
    <w:rsid w:val="00CB38A9"/>
    <w:rsid w:val="00CB5D83"/>
    <w:rsid w:val="00CD3AFF"/>
    <w:rsid w:val="00CF481A"/>
    <w:rsid w:val="00D033D9"/>
    <w:rsid w:val="00D1160B"/>
    <w:rsid w:val="00D11FC1"/>
    <w:rsid w:val="00D135B9"/>
    <w:rsid w:val="00D13ABD"/>
    <w:rsid w:val="00D25124"/>
    <w:rsid w:val="00D415AD"/>
    <w:rsid w:val="00D5245F"/>
    <w:rsid w:val="00D55616"/>
    <w:rsid w:val="00D62CE9"/>
    <w:rsid w:val="00D647EC"/>
    <w:rsid w:val="00D64F0A"/>
    <w:rsid w:val="00D65593"/>
    <w:rsid w:val="00D73CA5"/>
    <w:rsid w:val="00D9135A"/>
    <w:rsid w:val="00DA6DEB"/>
    <w:rsid w:val="00DB2B35"/>
    <w:rsid w:val="00DB2E14"/>
    <w:rsid w:val="00DC0FFA"/>
    <w:rsid w:val="00DC5A68"/>
    <w:rsid w:val="00DE38C8"/>
    <w:rsid w:val="00E0018F"/>
    <w:rsid w:val="00E03E35"/>
    <w:rsid w:val="00E0606C"/>
    <w:rsid w:val="00E07E57"/>
    <w:rsid w:val="00E144E2"/>
    <w:rsid w:val="00E25938"/>
    <w:rsid w:val="00E25C9F"/>
    <w:rsid w:val="00E30282"/>
    <w:rsid w:val="00E361FE"/>
    <w:rsid w:val="00E423D8"/>
    <w:rsid w:val="00E4455C"/>
    <w:rsid w:val="00E507ED"/>
    <w:rsid w:val="00E721E4"/>
    <w:rsid w:val="00EB56E3"/>
    <w:rsid w:val="00ED3DA4"/>
    <w:rsid w:val="00ED486B"/>
    <w:rsid w:val="00EF4CB5"/>
    <w:rsid w:val="00F01317"/>
    <w:rsid w:val="00F0795B"/>
    <w:rsid w:val="00F23B8F"/>
    <w:rsid w:val="00F3543D"/>
    <w:rsid w:val="00F5410B"/>
    <w:rsid w:val="00F56B5E"/>
    <w:rsid w:val="00F80A45"/>
    <w:rsid w:val="00F92801"/>
    <w:rsid w:val="00F955B6"/>
    <w:rsid w:val="00FB2CCB"/>
    <w:rsid w:val="00FC12B0"/>
    <w:rsid w:val="00FC63CD"/>
    <w:rsid w:val="00FD3EBE"/>
    <w:rsid w:val="00FF33A6"/>
    <w:rsid w:val="00FF4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4D26D"/>
  <w15:docId w15:val="{511C9A3C-EACD-4032-A900-7C83F0D9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3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4A44"/>
    <w:pPr>
      <w:ind w:left="720"/>
      <w:contextualSpacing/>
    </w:pPr>
  </w:style>
  <w:style w:type="paragraph" w:styleId="Header">
    <w:name w:val="header"/>
    <w:basedOn w:val="Normal"/>
    <w:link w:val="HeaderChar"/>
    <w:uiPriority w:val="99"/>
    <w:unhideWhenUsed/>
    <w:rsid w:val="0063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57"/>
  </w:style>
  <w:style w:type="paragraph" w:styleId="Footer">
    <w:name w:val="footer"/>
    <w:basedOn w:val="Normal"/>
    <w:link w:val="FooterChar"/>
    <w:uiPriority w:val="99"/>
    <w:unhideWhenUsed/>
    <w:rsid w:val="0063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57"/>
  </w:style>
  <w:style w:type="paragraph" w:styleId="EndnoteText">
    <w:name w:val="endnote text"/>
    <w:basedOn w:val="Normal"/>
    <w:link w:val="EndnoteTextChar"/>
    <w:uiPriority w:val="99"/>
    <w:semiHidden/>
    <w:unhideWhenUsed/>
    <w:rsid w:val="001F5A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5A7F"/>
    <w:rPr>
      <w:sz w:val="20"/>
      <w:szCs w:val="20"/>
    </w:rPr>
  </w:style>
  <w:style w:type="character" w:styleId="EndnoteReference">
    <w:name w:val="endnote reference"/>
    <w:basedOn w:val="DefaultParagraphFont"/>
    <w:uiPriority w:val="99"/>
    <w:semiHidden/>
    <w:unhideWhenUsed/>
    <w:rsid w:val="001F5A7F"/>
    <w:rPr>
      <w:vertAlign w:val="superscript"/>
    </w:rPr>
  </w:style>
  <w:style w:type="character" w:styleId="Hyperlink">
    <w:name w:val="Hyperlink"/>
    <w:basedOn w:val="DefaultParagraphFont"/>
    <w:uiPriority w:val="99"/>
    <w:unhideWhenUsed/>
    <w:rsid w:val="009F74A5"/>
    <w:rPr>
      <w:color w:val="0563C1" w:themeColor="hyperlink"/>
      <w:u w:val="single"/>
    </w:rPr>
  </w:style>
  <w:style w:type="character" w:styleId="UnresolvedMention">
    <w:name w:val="Unresolved Mention"/>
    <w:basedOn w:val="DefaultParagraphFont"/>
    <w:uiPriority w:val="99"/>
    <w:semiHidden/>
    <w:unhideWhenUsed/>
    <w:rsid w:val="009F74A5"/>
    <w:rPr>
      <w:color w:val="605E5C"/>
      <w:shd w:val="clear" w:color="auto" w:fill="E1DFDD"/>
    </w:rPr>
  </w:style>
  <w:style w:type="character" w:styleId="CommentReference">
    <w:name w:val="annotation reference"/>
    <w:basedOn w:val="DefaultParagraphFont"/>
    <w:uiPriority w:val="99"/>
    <w:semiHidden/>
    <w:unhideWhenUsed/>
    <w:rsid w:val="003C64E7"/>
    <w:rPr>
      <w:sz w:val="16"/>
      <w:szCs w:val="16"/>
    </w:rPr>
  </w:style>
  <w:style w:type="paragraph" w:styleId="CommentText">
    <w:name w:val="annotation text"/>
    <w:basedOn w:val="Normal"/>
    <w:link w:val="CommentTextChar"/>
    <w:uiPriority w:val="99"/>
    <w:semiHidden/>
    <w:unhideWhenUsed/>
    <w:rsid w:val="003C64E7"/>
    <w:pPr>
      <w:spacing w:line="240" w:lineRule="auto"/>
    </w:pPr>
    <w:rPr>
      <w:sz w:val="20"/>
      <w:szCs w:val="20"/>
    </w:rPr>
  </w:style>
  <w:style w:type="character" w:customStyle="1" w:styleId="CommentTextChar">
    <w:name w:val="Comment Text Char"/>
    <w:basedOn w:val="DefaultParagraphFont"/>
    <w:link w:val="CommentText"/>
    <w:uiPriority w:val="99"/>
    <w:semiHidden/>
    <w:rsid w:val="003C64E7"/>
    <w:rPr>
      <w:sz w:val="20"/>
      <w:szCs w:val="20"/>
    </w:rPr>
  </w:style>
  <w:style w:type="paragraph" w:styleId="CommentSubject">
    <w:name w:val="annotation subject"/>
    <w:basedOn w:val="CommentText"/>
    <w:next w:val="CommentText"/>
    <w:link w:val="CommentSubjectChar"/>
    <w:uiPriority w:val="99"/>
    <w:semiHidden/>
    <w:unhideWhenUsed/>
    <w:rsid w:val="003C64E7"/>
    <w:rPr>
      <w:b/>
      <w:bCs/>
    </w:rPr>
  </w:style>
  <w:style w:type="character" w:customStyle="1" w:styleId="CommentSubjectChar">
    <w:name w:val="Comment Subject Char"/>
    <w:basedOn w:val="CommentTextChar"/>
    <w:link w:val="CommentSubject"/>
    <w:uiPriority w:val="99"/>
    <w:semiHidden/>
    <w:rsid w:val="003C64E7"/>
    <w:rPr>
      <w:b/>
      <w:bCs/>
      <w:sz w:val="20"/>
      <w:szCs w:val="20"/>
    </w:rPr>
  </w:style>
  <w:style w:type="character" w:styleId="FollowedHyperlink">
    <w:name w:val="FollowedHyperlink"/>
    <w:basedOn w:val="DefaultParagraphFont"/>
    <w:uiPriority w:val="99"/>
    <w:semiHidden/>
    <w:unhideWhenUsed/>
    <w:rsid w:val="00B24B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wd/110502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rs.gov/pub/irs-wd/1105027.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4CD9-97C9-4C06-B114-18DE499F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Brady</dc:creator>
  <cp:keywords/>
  <dc:description/>
  <cp:lastModifiedBy>Jan Graeber</cp:lastModifiedBy>
  <cp:revision>2</cp:revision>
  <dcterms:created xsi:type="dcterms:W3CDTF">2021-09-08T01:19:00Z</dcterms:created>
  <dcterms:modified xsi:type="dcterms:W3CDTF">2021-09-08T01:19:00Z</dcterms:modified>
</cp:coreProperties>
</file>