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0F4C13" w:rsidR="00C96053" w:rsidRDefault="00B2522B" w14:paraId="1012ABCA" w14:textId="71970468">
      <w:pPr>
        <w:jc w:val="center"/>
        <w:rPr>
          <w:rFonts w:eastAsia="Calibri" w:asciiTheme="majorHAnsi" w:hAnsiTheme="majorHAnsi" w:cstheme="majorHAnsi"/>
          <w:b/>
          <w:bCs/>
          <w:sz w:val="28"/>
          <w:szCs w:val="28"/>
        </w:rPr>
      </w:pPr>
      <w:r w:rsidRPr="000F4C13">
        <w:rPr>
          <w:rFonts w:eastAsia="Calibri" w:asciiTheme="majorHAnsi" w:hAnsiTheme="majorHAnsi" w:cstheme="majorHAnsi"/>
          <w:b/>
          <w:bCs/>
          <w:sz w:val="28"/>
          <w:szCs w:val="28"/>
        </w:rPr>
        <w:t xml:space="preserve">Affordability and Availability </w:t>
      </w:r>
      <w:r w:rsidRPr="000F4C13" w:rsidR="00F540A6">
        <w:rPr>
          <w:rFonts w:eastAsia="Calibri" w:asciiTheme="majorHAnsi" w:hAnsiTheme="majorHAnsi" w:cstheme="majorHAnsi"/>
          <w:b/>
          <w:bCs/>
          <w:sz w:val="28"/>
          <w:szCs w:val="28"/>
        </w:rPr>
        <w:t xml:space="preserve">of Homeowners Insurance </w:t>
      </w:r>
      <w:r w:rsidRPr="000F4C13">
        <w:rPr>
          <w:rFonts w:eastAsia="Calibri" w:asciiTheme="majorHAnsi" w:hAnsiTheme="majorHAnsi" w:cstheme="majorHAnsi"/>
          <w:b/>
          <w:bCs/>
          <w:sz w:val="28"/>
          <w:szCs w:val="28"/>
        </w:rPr>
        <w:t>Playbook  Template</w:t>
      </w:r>
    </w:p>
    <w:p w:rsidRPr="000F4C13" w:rsidR="00C96053" w:rsidRDefault="00B2522B" w14:paraId="37552293" w14:textId="063367E2">
      <w:pPr>
        <w:jc w:val="both"/>
        <w:rPr>
          <w:rFonts w:eastAsia="Calibri" w:asciiTheme="majorHAnsi" w:hAnsiTheme="majorHAnsi" w:cstheme="majorHAnsi"/>
          <w:color w:val="0064A8"/>
          <w:sz w:val="26"/>
          <w:szCs w:val="26"/>
        </w:rPr>
      </w:pPr>
      <w:r w:rsidRPr="000F4C13">
        <w:rPr>
          <w:rFonts w:eastAsia="Calibri" w:asciiTheme="majorHAnsi" w:hAnsiTheme="majorHAnsi" w:cstheme="majorHAnsi"/>
          <w:b/>
          <w:bCs/>
          <w:color w:val="0064A8"/>
          <w:sz w:val="26"/>
          <w:szCs w:val="26"/>
        </w:rPr>
        <w:t>Title Page</w:t>
      </w:r>
      <w:r w:rsidRPr="000F4C13" w:rsidR="00477E0A">
        <w:rPr>
          <w:rFonts w:eastAsia="Calibri" w:asciiTheme="majorHAnsi" w:hAnsiTheme="majorHAnsi" w:cstheme="majorHAnsi"/>
          <w:b/>
          <w:bCs/>
          <w:color w:val="0064A8"/>
          <w:sz w:val="26"/>
          <w:szCs w:val="26"/>
        </w:rPr>
        <w:t xml:space="preserve"> </w:t>
      </w:r>
    </w:p>
    <w:p w:rsidRPr="000F4C13" w:rsidR="00C96053" w:rsidP="0057045C" w:rsidRDefault="00B2522B" w14:paraId="581C3219" w14:textId="77777777">
      <w:pPr>
        <w:numPr>
          <w:ilvl w:val="0"/>
          <w:numId w:val="6"/>
        </w:numPr>
        <w:jc w:val="both"/>
        <w:rPr>
          <w:rFonts w:asciiTheme="majorHAnsi" w:hAnsiTheme="majorHAnsi" w:cstheme="majorHAnsi"/>
        </w:rPr>
      </w:pPr>
      <w:r w:rsidRPr="000F4C13">
        <w:rPr>
          <w:rFonts w:eastAsia="Calibri" w:asciiTheme="majorHAnsi" w:hAnsiTheme="majorHAnsi" w:cstheme="majorHAnsi"/>
          <w:b/>
          <w:bCs/>
        </w:rPr>
        <w:t>Audience:</w:t>
      </w:r>
      <w:r w:rsidRPr="000F4C13">
        <w:rPr>
          <w:rFonts w:eastAsia="Calibri" w:asciiTheme="majorHAnsi" w:hAnsiTheme="majorHAnsi" w:cstheme="majorHAnsi"/>
        </w:rPr>
        <w:t xml:space="preserve"> State Insurance Regulators, Legislators, Policymakers</w:t>
      </w:r>
    </w:p>
    <w:p w:rsidRPr="000F4C13" w:rsidR="00C96053" w:rsidP="0057045C" w:rsidRDefault="00B2522B" w14:paraId="4CBADAF9" w14:textId="77777777">
      <w:pPr>
        <w:numPr>
          <w:ilvl w:val="0"/>
          <w:numId w:val="6"/>
        </w:numPr>
        <w:jc w:val="both"/>
        <w:rPr>
          <w:rFonts w:asciiTheme="majorHAnsi" w:hAnsiTheme="majorHAnsi" w:cstheme="majorHAnsi"/>
        </w:rPr>
      </w:pPr>
      <w:r w:rsidRPr="000F4C13">
        <w:rPr>
          <w:rFonts w:eastAsia="Calibri" w:asciiTheme="majorHAnsi" w:hAnsiTheme="majorHAnsi" w:cstheme="majorHAnsi"/>
          <w:b/>
          <w:bCs/>
        </w:rPr>
        <w:t>Date:</w:t>
      </w:r>
      <w:r w:rsidRPr="000F4C13">
        <w:rPr>
          <w:rFonts w:eastAsia="Calibri" w:asciiTheme="majorHAnsi" w:hAnsiTheme="majorHAnsi" w:cstheme="majorHAnsi"/>
        </w:rPr>
        <w:t xml:space="preserve"> [Insert Date]</w:t>
      </w:r>
    </w:p>
    <w:p w:rsidRPr="000F4C13" w:rsidR="00C96053" w:rsidP="0057045C" w:rsidRDefault="00B2522B" w14:paraId="376F5FE5" w14:textId="77777777">
      <w:pPr>
        <w:numPr>
          <w:ilvl w:val="0"/>
          <w:numId w:val="6"/>
        </w:numPr>
        <w:jc w:val="both"/>
        <w:rPr>
          <w:rFonts w:asciiTheme="majorHAnsi" w:hAnsiTheme="majorHAnsi" w:cstheme="majorHAnsi"/>
        </w:rPr>
      </w:pPr>
      <w:r w:rsidRPr="000F4C13">
        <w:rPr>
          <w:rFonts w:eastAsia="Calibri" w:asciiTheme="majorHAnsi" w:hAnsiTheme="majorHAnsi" w:cstheme="majorHAnsi"/>
          <w:b/>
          <w:bCs/>
        </w:rPr>
        <w:t>Prepared by:</w:t>
      </w:r>
      <w:r w:rsidRPr="000F4C13">
        <w:rPr>
          <w:rFonts w:eastAsia="Calibri" w:asciiTheme="majorHAnsi" w:hAnsiTheme="majorHAnsi" w:cstheme="majorHAnsi"/>
        </w:rPr>
        <w:t xml:space="preserve"> The NAIC’s Property and Casualty Insurance Committee </w:t>
      </w:r>
    </w:p>
    <w:p w:rsidRPr="000F4C13" w:rsidR="00C96053" w:rsidRDefault="0035069D" w14:paraId="46BE9B13" w14:textId="77777777">
      <w:pPr>
        <w:jc w:val="both"/>
        <w:rPr>
          <w:rFonts w:eastAsia="Calibri" w:asciiTheme="majorHAnsi" w:hAnsiTheme="majorHAnsi" w:cstheme="majorHAnsi"/>
        </w:rPr>
      </w:pPr>
      <w:r>
        <w:rPr>
          <w:rFonts w:asciiTheme="majorHAnsi" w:hAnsiTheme="majorHAnsi" w:cstheme="majorHAnsi"/>
        </w:rPr>
        <w:pict w14:anchorId="6664C904">
          <v:rect id="_x0000_i1026" style="width:0;height:1.5pt" o:hr="t" o:hrstd="t" o:hralign="center" fillcolor="#a0a0a0" stroked="f"/>
        </w:pict>
      </w:r>
    </w:p>
    <w:p w:rsidRPr="000F4C13" w:rsidR="00C96053" w:rsidRDefault="00B2522B" w14:paraId="194FFB4D" w14:textId="54DFC87A">
      <w:pPr>
        <w:jc w:val="both"/>
        <w:rPr>
          <w:rFonts w:eastAsia="Calibri" w:asciiTheme="majorHAnsi" w:hAnsiTheme="majorHAnsi" w:cstheme="majorHAnsi"/>
          <w:b/>
          <w:bCs/>
          <w:color w:val="215E99"/>
          <w:sz w:val="26"/>
          <w:szCs w:val="26"/>
        </w:rPr>
      </w:pPr>
      <w:r w:rsidRPr="000F4C13">
        <w:rPr>
          <w:rFonts w:eastAsia="Calibri" w:asciiTheme="majorHAnsi" w:hAnsiTheme="majorHAnsi" w:cstheme="majorHAnsi"/>
          <w:b/>
          <w:bCs/>
          <w:color w:val="215E99"/>
          <w:sz w:val="26"/>
          <w:szCs w:val="26"/>
        </w:rPr>
        <w:t>Executive Summary</w:t>
      </w:r>
    </w:p>
    <w:p w:rsidRPr="000F4C13" w:rsidR="00AD1F52" w:rsidP="00B053DB" w:rsidRDefault="00826827" w14:paraId="5F3155A7" w14:textId="71DA39DE">
      <w:pPr>
        <w:pStyle w:val="Heading3"/>
        <w:rPr>
          <w:rFonts w:asciiTheme="majorHAnsi" w:hAnsiTheme="majorHAnsi" w:cstheme="majorHAnsi"/>
          <w:color w:val="000000"/>
          <w:sz w:val="24"/>
          <w:szCs w:val="24"/>
          <w:lang w:val="en-US"/>
        </w:rPr>
      </w:pPr>
      <w:r w:rsidRPr="000F4C13">
        <w:rPr>
          <w:rFonts w:asciiTheme="majorHAnsi" w:hAnsiTheme="majorHAnsi" w:cstheme="majorHAnsi"/>
          <w:color w:val="000000"/>
          <w:sz w:val="24"/>
          <w:szCs w:val="24"/>
        </w:rPr>
        <w:t>T</w:t>
      </w:r>
      <w:r w:rsidRPr="000F4C13" w:rsidR="0091335E">
        <w:rPr>
          <w:rFonts w:asciiTheme="majorHAnsi" w:hAnsiTheme="majorHAnsi" w:cstheme="majorHAnsi"/>
          <w:color w:val="000000"/>
          <w:sz w:val="24"/>
          <w:szCs w:val="24"/>
        </w:rPr>
        <w:t xml:space="preserve">he </w:t>
      </w:r>
      <w:r w:rsidRPr="000F4C13" w:rsidR="0006051E">
        <w:rPr>
          <w:rFonts w:asciiTheme="majorHAnsi" w:hAnsiTheme="majorHAnsi" w:cstheme="majorHAnsi"/>
          <w:color w:val="000000"/>
          <w:sz w:val="24"/>
          <w:szCs w:val="24"/>
        </w:rPr>
        <w:t>Availability</w:t>
      </w:r>
      <w:r w:rsidRPr="000F4C13" w:rsidR="0091335E">
        <w:rPr>
          <w:rFonts w:asciiTheme="majorHAnsi" w:hAnsiTheme="majorHAnsi" w:cstheme="majorHAnsi"/>
          <w:color w:val="000000"/>
          <w:sz w:val="24"/>
          <w:szCs w:val="24"/>
        </w:rPr>
        <w:t xml:space="preserve"> and Affordability Playbook </w:t>
      </w:r>
      <w:r w:rsidRPr="000F4C13" w:rsidR="003020FA">
        <w:rPr>
          <w:rFonts w:asciiTheme="majorHAnsi" w:hAnsiTheme="majorHAnsi" w:cstheme="majorHAnsi"/>
          <w:color w:val="000000"/>
          <w:sz w:val="24"/>
          <w:szCs w:val="24"/>
        </w:rPr>
        <w:t>serves as</w:t>
      </w:r>
      <w:r w:rsidRPr="000F4C13" w:rsidR="0091335E">
        <w:rPr>
          <w:rFonts w:asciiTheme="majorHAnsi" w:hAnsiTheme="majorHAnsi" w:cstheme="majorHAnsi"/>
          <w:color w:val="000000"/>
          <w:sz w:val="24"/>
          <w:szCs w:val="24"/>
        </w:rPr>
        <w:t xml:space="preserve"> a</w:t>
      </w:r>
      <w:r w:rsidRPr="000F4C13" w:rsidR="00B2522B">
        <w:rPr>
          <w:rFonts w:asciiTheme="majorHAnsi" w:hAnsiTheme="majorHAnsi" w:cstheme="majorHAnsi"/>
          <w:color w:val="000000"/>
          <w:sz w:val="24"/>
          <w:szCs w:val="24"/>
        </w:rPr>
        <w:t xml:space="preserve"> resource for state insurance regulators to address the growing challenges </w:t>
      </w:r>
      <w:r w:rsidRPr="000F4C13" w:rsidR="008B5A69">
        <w:rPr>
          <w:rFonts w:asciiTheme="majorHAnsi" w:hAnsiTheme="majorHAnsi" w:cstheme="majorHAnsi"/>
          <w:color w:val="000000"/>
          <w:sz w:val="24"/>
          <w:szCs w:val="24"/>
        </w:rPr>
        <w:t xml:space="preserve">related to </w:t>
      </w:r>
      <w:r w:rsidRPr="000F4C13" w:rsidR="00B2522B">
        <w:rPr>
          <w:rFonts w:asciiTheme="majorHAnsi" w:hAnsiTheme="majorHAnsi" w:cstheme="majorHAnsi"/>
          <w:color w:val="000000"/>
          <w:sz w:val="24"/>
          <w:szCs w:val="24"/>
        </w:rPr>
        <w:t>homeowners' insurance affordability and availability</w:t>
      </w:r>
      <w:r w:rsidRPr="000F4C13" w:rsidR="005851F3">
        <w:rPr>
          <w:rFonts w:asciiTheme="majorHAnsi" w:hAnsiTheme="majorHAnsi" w:cstheme="majorHAnsi"/>
          <w:color w:val="000000"/>
          <w:sz w:val="24"/>
          <w:szCs w:val="24"/>
        </w:rPr>
        <w:t xml:space="preserve">. </w:t>
      </w:r>
      <w:r w:rsidRPr="000F4C13" w:rsidR="009C3AA5">
        <w:rPr>
          <w:rFonts w:asciiTheme="majorHAnsi" w:hAnsiTheme="majorHAnsi" w:cstheme="majorHAnsi"/>
          <w:color w:val="000000"/>
          <w:sz w:val="24"/>
          <w:szCs w:val="24"/>
        </w:rPr>
        <w:t>It is structured into four parts</w:t>
      </w:r>
      <w:r w:rsidR="009A2673">
        <w:rPr>
          <w:rFonts w:asciiTheme="majorHAnsi" w:hAnsiTheme="majorHAnsi" w:cstheme="majorHAnsi"/>
          <w:color w:val="000000"/>
          <w:sz w:val="24"/>
          <w:szCs w:val="24"/>
          <w:lang w:val="en-US"/>
        </w:rPr>
        <w:t>:</w:t>
      </w:r>
      <w:r w:rsidRPr="000F4C13" w:rsidR="00902D6D">
        <w:rPr>
          <w:rFonts w:asciiTheme="majorHAnsi" w:hAnsiTheme="majorHAnsi" w:cstheme="majorHAnsi"/>
          <w:color w:val="000000"/>
          <w:sz w:val="24"/>
          <w:szCs w:val="24"/>
          <w:lang w:val="en-US"/>
        </w:rPr>
        <w:t xml:space="preserve"> </w:t>
      </w:r>
    </w:p>
    <w:p w:rsidRPr="000F4C13" w:rsidR="00AD1F52" w:rsidP="007669E9" w:rsidRDefault="00902D6D" w14:paraId="04113272" w14:textId="77777777">
      <w:pPr>
        <w:pStyle w:val="Heading3"/>
        <w:ind w:left="720"/>
        <w:rPr>
          <w:rFonts w:asciiTheme="majorHAnsi" w:hAnsiTheme="majorHAnsi" w:cstheme="majorHAnsi"/>
          <w:color w:val="000000"/>
          <w:sz w:val="24"/>
          <w:szCs w:val="24"/>
          <w:lang w:val="en-US"/>
        </w:rPr>
      </w:pPr>
      <w:r w:rsidRPr="000F4C13">
        <w:rPr>
          <w:rFonts w:asciiTheme="majorHAnsi" w:hAnsiTheme="majorHAnsi" w:cstheme="majorHAnsi"/>
          <w:b/>
          <w:bCs/>
          <w:color w:val="000000"/>
          <w:sz w:val="24"/>
          <w:szCs w:val="24"/>
          <w:lang w:val="en-US"/>
        </w:rPr>
        <w:t>Part 1</w:t>
      </w:r>
      <w:r w:rsidRPr="000F4C13">
        <w:rPr>
          <w:rFonts w:asciiTheme="majorHAnsi" w:hAnsiTheme="majorHAnsi" w:cstheme="majorHAnsi"/>
          <w:color w:val="000000"/>
          <w:sz w:val="24"/>
          <w:szCs w:val="24"/>
          <w:lang w:val="en-US"/>
        </w:rPr>
        <w:t xml:space="preserve"> examines direct consumer impacts, macro trends, and the underlying drivers of affordability and availability pressures; </w:t>
      </w:r>
    </w:p>
    <w:p w:rsidRPr="000F4C13" w:rsidR="00AD1F52" w:rsidP="007669E9" w:rsidRDefault="00902D6D" w14:paraId="74582141" w14:textId="77777777">
      <w:pPr>
        <w:pStyle w:val="Heading3"/>
        <w:ind w:firstLine="720"/>
        <w:rPr>
          <w:rFonts w:asciiTheme="majorHAnsi" w:hAnsiTheme="majorHAnsi" w:cstheme="majorHAnsi"/>
          <w:color w:val="000000"/>
          <w:sz w:val="24"/>
          <w:szCs w:val="24"/>
          <w:lang w:val="en-US"/>
        </w:rPr>
      </w:pPr>
      <w:r w:rsidRPr="000F4C13">
        <w:rPr>
          <w:rFonts w:asciiTheme="majorHAnsi" w:hAnsiTheme="majorHAnsi" w:cstheme="majorHAnsi"/>
          <w:b/>
          <w:bCs/>
          <w:color w:val="000000"/>
          <w:sz w:val="24"/>
          <w:szCs w:val="24"/>
          <w:lang w:val="en-US"/>
        </w:rPr>
        <w:t>Part 2</w:t>
      </w:r>
      <w:r w:rsidRPr="000F4C13">
        <w:rPr>
          <w:rFonts w:asciiTheme="majorHAnsi" w:hAnsiTheme="majorHAnsi" w:cstheme="majorHAnsi"/>
          <w:color w:val="000000"/>
          <w:sz w:val="24"/>
          <w:szCs w:val="24"/>
          <w:lang w:val="en-US"/>
        </w:rPr>
        <w:t xml:space="preserve"> highlights peril</w:t>
      </w:r>
      <w:r w:rsidRPr="000F4C13">
        <w:rPr>
          <w:rFonts w:asciiTheme="majorHAnsi" w:hAnsiTheme="majorHAnsi" w:cstheme="majorHAnsi"/>
          <w:color w:val="000000"/>
          <w:sz w:val="24"/>
          <w:szCs w:val="24"/>
          <w:lang w:val="en-US"/>
        </w:rPr>
        <w:noBreakHyphen/>
        <w:t xml:space="preserve">specific state actions and innovative regulatory responses; </w:t>
      </w:r>
    </w:p>
    <w:p w:rsidRPr="000F4C13" w:rsidR="00AD1F52" w:rsidP="007669E9" w:rsidRDefault="00902D6D" w14:paraId="4C4CE4EB" w14:textId="77777777">
      <w:pPr>
        <w:pStyle w:val="Heading3"/>
        <w:ind w:firstLine="720"/>
        <w:rPr>
          <w:rFonts w:asciiTheme="majorHAnsi" w:hAnsiTheme="majorHAnsi" w:cstheme="majorHAnsi"/>
          <w:color w:val="000000"/>
          <w:sz w:val="24"/>
          <w:szCs w:val="24"/>
          <w:lang w:val="en-US"/>
        </w:rPr>
      </w:pPr>
      <w:r w:rsidRPr="000F4C13">
        <w:rPr>
          <w:rFonts w:asciiTheme="majorHAnsi" w:hAnsiTheme="majorHAnsi" w:cstheme="majorHAnsi"/>
          <w:b/>
          <w:bCs/>
          <w:color w:val="000000"/>
          <w:sz w:val="24"/>
          <w:szCs w:val="24"/>
          <w:lang w:val="en-US"/>
        </w:rPr>
        <w:t>Part 3</w:t>
      </w:r>
      <w:r w:rsidRPr="000F4C13">
        <w:rPr>
          <w:rFonts w:asciiTheme="majorHAnsi" w:hAnsiTheme="majorHAnsi" w:cstheme="majorHAnsi"/>
          <w:color w:val="000000"/>
          <w:sz w:val="24"/>
          <w:szCs w:val="24"/>
          <w:lang w:val="en-US"/>
        </w:rPr>
        <w:t xml:space="preserve"> explores emerging and widening protection gaps facing homeowners; and </w:t>
      </w:r>
    </w:p>
    <w:p w:rsidRPr="000F4C13" w:rsidR="00B053DB" w:rsidP="007669E9" w:rsidRDefault="00902D6D" w14:paraId="0E673150" w14:textId="731B16BE">
      <w:pPr>
        <w:pStyle w:val="Heading3"/>
        <w:ind w:left="720"/>
        <w:rPr>
          <w:rFonts w:asciiTheme="majorHAnsi" w:hAnsiTheme="majorHAnsi" w:cstheme="majorHAnsi"/>
          <w:sz w:val="24"/>
          <w:szCs w:val="24"/>
        </w:rPr>
      </w:pPr>
      <w:r w:rsidRPr="000F4C13">
        <w:rPr>
          <w:rFonts w:asciiTheme="majorHAnsi" w:hAnsiTheme="majorHAnsi" w:cstheme="majorHAnsi"/>
          <w:b/>
          <w:bCs/>
          <w:color w:val="000000"/>
          <w:sz w:val="24"/>
          <w:szCs w:val="24"/>
          <w:lang w:val="en-US"/>
        </w:rPr>
        <w:t>Part 4</w:t>
      </w:r>
      <w:r w:rsidRPr="000F4C13">
        <w:rPr>
          <w:rFonts w:asciiTheme="majorHAnsi" w:hAnsiTheme="majorHAnsi" w:cstheme="majorHAnsi"/>
          <w:color w:val="000000"/>
          <w:sz w:val="24"/>
          <w:szCs w:val="24"/>
          <w:lang w:val="en-US"/>
        </w:rPr>
        <w:t xml:space="preserve"> outlines strategies, regulatory tools, and implementation considerations to support market stability, consumer protection, and resilience.</w:t>
      </w:r>
      <w:r w:rsidRPr="000F4C13" w:rsidR="000240CD">
        <w:rPr>
          <w:rFonts w:asciiTheme="majorHAnsi" w:hAnsiTheme="majorHAnsi" w:cstheme="majorHAnsi"/>
          <w:color w:val="000000"/>
          <w:sz w:val="24"/>
          <w:szCs w:val="24"/>
          <w:lang w:val="en-US"/>
        </w:rPr>
        <w:t xml:space="preserve"> Together, these sections provide a framework for understanding how current market pressures have developed and how regulators can respond.</w:t>
      </w:r>
    </w:p>
    <w:p w:rsidRPr="000F4C13" w:rsidR="00B053DB" w:rsidP="00B053DB" w:rsidRDefault="00B053DB" w14:paraId="27DB8482" w14:textId="714476EC">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The availability and affordability of homeowners insurance in the United States have become pressing challenges, shaped by the convergence of rising catastrophe losses, inflation</w:t>
      </w:r>
      <w:r w:rsidRPr="000F4C13">
        <w:rPr>
          <w:rFonts w:ascii="Cambria Math" w:hAnsi="Cambria Math" w:eastAsia="Calibri" w:cs="Cambria Math"/>
          <w:color w:val="000000"/>
        </w:rPr>
        <w:t>‑</w:t>
      </w:r>
      <w:r w:rsidRPr="000F4C13">
        <w:rPr>
          <w:rFonts w:eastAsia="Calibri" w:asciiTheme="majorHAnsi" w:hAnsiTheme="majorHAnsi" w:cstheme="majorHAnsi"/>
          <w:color w:val="000000"/>
        </w:rPr>
        <w:t>driven rebuilding costs, and shifting insurer risk management strategies. Over the past decade, repeated billion</w:t>
      </w:r>
      <w:r w:rsidRPr="000F4C13">
        <w:rPr>
          <w:rFonts w:ascii="Cambria Math" w:hAnsi="Cambria Math" w:eastAsia="Calibri" w:cs="Cambria Math"/>
          <w:color w:val="000000"/>
        </w:rPr>
        <w:t>‑</w:t>
      </w:r>
      <w:r w:rsidRPr="000F4C13">
        <w:rPr>
          <w:rFonts w:eastAsia="Calibri" w:asciiTheme="majorHAnsi" w:hAnsiTheme="majorHAnsi" w:cstheme="majorHAnsi"/>
          <w:color w:val="000000"/>
        </w:rPr>
        <w:t>dollar disasters, escalating construction expenses, and tightening underwriting practices have driven premiums sharply upward while simultaneously narrowing coverage options. As insurers adjust their presence in high</w:t>
      </w:r>
      <w:r w:rsidRPr="000F4C13">
        <w:rPr>
          <w:rFonts w:ascii="Cambria Math" w:hAnsi="Cambria Math" w:eastAsia="Calibri" w:cs="Cambria Math"/>
          <w:color w:val="000000"/>
        </w:rPr>
        <w:t>‑</w:t>
      </w:r>
      <w:r w:rsidRPr="000F4C13">
        <w:rPr>
          <w:rFonts w:eastAsia="Calibri" w:asciiTheme="majorHAnsi" w:hAnsiTheme="majorHAnsi" w:cstheme="majorHAnsi"/>
          <w:color w:val="000000"/>
        </w:rPr>
        <w:t xml:space="preserve">risk regions and modify policy terms </w:t>
      </w:r>
      <w:r w:rsidRPr="000F4C13" w:rsidR="00474228">
        <w:rPr>
          <w:rFonts w:eastAsia="Calibri" w:asciiTheme="majorHAnsi" w:hAnsiTheme="majorHAnsi" w:cstheme="majorHAnsi"/>
          <w:color w:val="000000"/>
        </w:rPr>
        <w:t>by increasing deductibles, exclusions, or depreciation adjustments, households may assume a larger share</w:t>
      </w:r>
      <w:r w:rsidRPr="000F4C13">
        <w:rPr>
          <w:rFonts w:eastAsia="Calibri" w:asciiTheme="majorHAnsi" w:hAnsiTheme="majorHAnsi" w:cstheme="majorHAnsi"/>
          <w:color w:val="000000"/>
        </w:rPr>
        <w:t xml:space="preserve"> of the financial responsibility for potential losses. These dynamics not only widen protection gaps and strain consumer resilience but also reverberate with potential consequences for housing markets, mortgage accessibility, rental affordability, and local economies.</w:t>
      </w:r>
    </w:p>
    <w:p w:rsidRPr="000F4C13" w:rsidR="00B053DB" w:rsidP="00B053DB" w:rsidRDefault="00B053DB" w14:paraId="2B773CC7" w14:textId="678EE8AE">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State insurance regulators play a critical role in responding to these pressures. Regulators must achieve multiple goals, including </w:t>
      </w:r>
      <w:r w:rsidRPr="000F4C13" w:rsidR="00476C85">
        <w:rPr>
          <w:rFonts w:eastAsia="Calibri" w:asciiTheme="majorHAnsi" w:hAnsiTheme="majorHAnsi" w:cstheme="majorHAnsi"/>
          <w:color w:val="000000"/>
        </w:rPr>
        <w:t>risk</w:t>
      </w:r>
      <w:r w:rsidRPr="000F4C13" w:rsidR="00476C85">
        <w:rPr>
          <w:rFonts w:ascii="Cambria Math" w:hAnsi="Cambria Math" w:eastAsia="Calibri" w:cs="Cambria Math"/>
          <w:color w:val="000000"/>
        </w:rPr>
        <w:t>‑</w:t>
      </w:r>
      <w:r w:rsidRPr="000F4C13" w:rsidR="00476C85">
        <w:rPr>
          <w:rFonts w:eastAsia="Calibri" w:asciiTheme="majorHAnsi" w:hAnsiTheme="majorHAnsi" w:cstheme="majorHAnsi"/>
          <w:color w:val="000000"/>
        </w:rPr>
        <w:t>based insurance rates and insurer solvency, through</w:t>
      </w:r>
      <w:r w:rsidRPr="000F4C13">
        <w:rPr>
          <w:rFonts w:eastAsia="Calibri" w:asciiTheme="majorHAnsi" w:hAnsiTheme="majorHAnsi" w:cstheme="majorHAnsi"/>
          <w:color w:val="000000"/>
        </w:rPr>
        <w:t xml:space="preserve"> modern, dynamic, and responsive regulatory actions that protect consumers. This includes identifying where protection gaps are emerging, assessing how affordability and availability challenges are leaving households exposed to losses, and implementing strategies to fill those gaps before they undermine financial security and community resilience. By actively monitoring market conditions and adapting regulatory frameworks, regulators can help ensure that homeowners insurance remains a viable tool for safeguarding policyholders, enabling homeownership, and supporting broader economic stability.</w:t>
      </w:r>
    </w:p>
    <w:p w:rsidRPr="000F4C13" w:rsidR="00661C21" w:rsidRDefault="00661C21" w14:paraId="13883309"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08F4C4F7"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01C8042A"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08D39FB1"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17F4FE40"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73AE8F43"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7DF7201A"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7D8121F7"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1ACFEB28"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398B6A2B"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040677DC"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66904E25"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6F11E60A"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1C3ABBA9"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2B80B5FB"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32CA6F35"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3D2C8A9B"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2FE3B9CB"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21CED3F7"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563DB3E7"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31ADA7CA"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2523B34C"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78C74B47"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60CE62A4"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067EAC12"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2A3AB0A3"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498FE3A2"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52D1E009"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2305D594"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622FFA51"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16C633CB"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1C143913"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499C3864"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60B4699E"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661C21" w:rsidRDefault="00661C21" w14:paraId="2F5D222F" w14:textId="77777777">
      <w:pPr>
        <w:pBdr>
          <w:top w:val="nil"/>
          <w:left w:val="nil"/>
          <w:bottom w:val="nil"/>
          <w:right w:val="nil"/>
          <w:between w:val="nil"/>
        </w:pBdr>
        <w:spacing w:after="0" w:line="240" w:lineRule="auto"/>
        <w:rPr>
          <w:rFonts w:eastAsia="Calibri" w:asciiTheme="majorHAnsi" w:hAnsiTheme="majorHAnsi" w:cstheme="majorHAnsi"/>
          <w:color w:val="000000"/>
        </w:rPr>
      </w:pPr>
    </w:p>
    <w:p w:rsidRPr="000F4C13" w:rsidR="00C96053" w:rsidRDefault="00C96053" w14:paraId="287E9FF3" w14:textId="05B29D06">
      <w:pPr>
        <w:jc w:val="both"/>
        <w:rPr>
          <w:rFonts w:eastAsia="Calibri" w:asciiTheme="majorHAnsi" w:hAnsiTheme="majorHAnsi" w:cstheme="majorHAnsi"/>
        </w:rPr>
      </w:pPr>
    </w:p>
    <w:p w:rsidRPr="000F4C13" w:rsidR="00C96053" w:rsidRDefault="00B2522B" w14:paraId="1CCB0685" w14:textId="77777777">
      <w:pPr>
        <w:pStyle w:val="Heading1"/>
        <w:rPr>
          <w:rFonts w:asciiTheme="majorHAnsi" w:hAnsiTheme="majorHAnsi" w:cstheme="majorHAnsi"/>
        </w:rPr>
      </w:pPr>
      <w:bookmarkStart w:name="_dh16p8y7p7p0" w:colFirst="0" w:colLast="0" w:id="0"/>
      <w:bookmarkEnd w:id="0"/>
      <w:r w:rsidRPr="000F4C13">
        <w:rPr>
          <w:rFonts w:asciiTheme="majorHAnsi" w:hAnsiTheme="majorHAnsi" w:cstheme="majorHAnsi"/>
        </w:rPr>
        <w:t>Part 1: Direct Consumer Impact, Macro Trends, and Factors Increasing Existing Risks</w:t>
      </w:r>
    </w:p>
    <w:p w:rsidRPr="000F4C13" w:rsidR="00C96053" w:rsidRDefault="00C96053" w14:paraId="33C5DC9B" w14:textId="77777777">
      <w:pPr>
        <w:spacing w:after="120"/>
        <w:jc w:val="both"/>
        <w:rPr>
          <w:rFonts w:eastAsia="Calibri" w:asciiTheme="majorHAnsi" w:hAnsiTheme="majorHAnsi" w:cstheme="majorHAnsi"/>
          <w:b/>
          <w:bCs/>
        </w:rPr>
      </w:pPr>
    </w:p>
    <w:p w:rsidRPr="000F4C13" w:rsidR="00C96053" w:rsidRDefault="00B2522B" w14:paraId="48ACFA4E" w14:textId="77777777">
      <w:pPr>
        <w:pStyle w:val="Heading2"/>
        <w:rPr>
          <w:rFonts w:asciiTheme="majorHAnsi" w:hAnsiTheme="majorHAnsi" w:cstheme="majorHAnsi"/>
        </w:rPr>
      </w:pPr>
      <w:bookmarkStart w:name="_ytbet9kfu59u" w:colFirst="0" w:colLast="0" w:id="1"/>
      <w:bookmarkEnd w:id="1"/>
      <w:r w:rsidRPr="000F4C13">
        <w:rPr>
          <w:rFonts w:asciiTheme="majorHAnsi" w:hAnsiTheme="majorHAnsi" w:cstheme="majorHAnsi"/>
        </w:rPr>
        <w:t>Section A: Overview of Part 1</w:t>
      </w:r>
    </w:p>
    <w:p w:rsidRPr="000F4C13" w:rsidR="00C96053" w:rsidRDefault="004A3978" w14:paraId="5FAB753D" w14:textId="5659B4F0">
      <w:pPr>
        <w:jc w:val="both"/>
        <w:rPr>
          <w:rFonts w:eastAsia="Calibri" w:asciiTheme="majorHAnsi" w:hAnsiTheme="majorHAnsi" w:cstheme="majorHAnsi"/>
        </w:rPr>
      </w:pPr>
      <w:r w:rsidRPr="000F4C13">
        <w:rPr>
          <w:rFonts w:asciiTheme="majorHAnsi" w:hAnsiTheme="majorHAnsi" w:cstheme="majorHAnsi"/>
        </w:rPr>
        <w:t>Part 1 offers a foundational overview of the key issues influencing homeowners insurance affordability and availability across the United States. It focuses on the broad macroeconomic and environmental factors</w:t>
      </w:r>
      <w:r w:rsidRPr="000F4C13" w:rsidR="00536F39">
        <w:rPr>
          <w:rFonts w:asciiTheme="majorHAnsi" w:hAnsiTheme="majorHAnsi" w:cstheme="majorHAnsi"/>
        </w:rPr>
        <w:t xml:space="preserve">, </w:t>
      </w:r>
      <w:r w:rsidRPr="000F4C13">
        <w:rPr>
          <w:rFonts w:asciiTheme="majorHAnsi" w:hAnsiTheme="majorHAnsi" w:cstheme="majorHAnsi"/>
        </w:rPr>
        <w:t>such as natural disasters, disposable income, and economic shifts</w:t>
      </w:r>
      <w:r w:rsidRPr="000F4C13" w:rsidR="00536F39">
        <w:rPr>
          <w:rFonts w:asciiTheme="majorHAnsi" w:hAnsiTheme="majorHAnsi" w:cstheme="majorHAnsi"/>
        </w:rPr>
        <w:t xml:space="preserve">, </w:t>
      </w:r>
      <w:r w:rsidRPr="000F4C13">
        <w:rPr>
          <w:rFonts w:asciiTheme="majorHAnsi" w:hAnsiTheme="majorHAnsi" w:cstheme="majorHAnsi"/>
        </w:rPr>
        <w:t xml:space="preserve">that are driving market pressures. This section </w:t>
      </w:r>
      <w:r w:rsidRPr="000F4C13" w:rsidR="006323F1">
        <w:rPr>
          <w:rFonts w:asciiTheme="majorHAnsi" w:hAnsiTheme="majorHAnsi" w:cstheme="majorHAnsi"/>
        </w:rPr>
        <w:t>discusses</w:t>
      </w:r>
      <w:r w:rsidRPr="000F4C13">
        <w:rPr>
          <w:rFonts w:asciiTheme="majorHAnsi" w:hAnsiTheme="majorHAnsi" w:cstheme="majorHAnsi"/>
        </w:rPr>
        <w:t xml:space="preserve"> the principal drivers behind rising costs and reduced access, examines how regulatory changes impact pricing and availability, and presents strategies to improve both. Part 1 </w:t>
      </w:r>
      <w:r w:rsidRPr="000F4C13" w:rsidR="0013052C">
        <w:rPr>
          <w:rFonts w:asciiTheme="majorHAnsi" w:hAnsiTheme="majorHAnsi" w:cstheme="majorHAnsi"/>
        </w:rPr>
        <w:t xml:space="preserve">is intended to </w:t>
      </w:r>
      <w:r w:rsidRPr="000F4C13">
        <w:rPr>
          <w:rFonts w:asciiTheme="majorHAnsi" w:hAnsiTheme="majorHAnsi" w:cstheme="majorHAnsi"/>
        </w:rPr>
        <w:t>provide a framework for the rest of the Playbook, highlighting challenges and opportunities in expanding access, closing protection gaps, and promoting competition among insurers.</w:t>
      </w:r>
      <w:r w:rsidRPr="000F4C13" w:rsidR="00B2522B">
        <w:rPr>
          <w:rFonts w:eastAsia="Calibri" w:asciiTheme="majorHAnsi" w:hAnsiTheme="majorHAnsi" w:cstheme="majorHAnsi"/>
        </w:rPr>
        <w:t> </w:t>
      </w:r>
    </w:p>
    <w:p w:rsidRPr="000F4C13" w:rsidR="00C96053" w:rsidRDefault="00B2522B" w14:paraId="4FBD7C87" w14:textId="77777777">
      <w:pPr>
        <w:jc w:val="both"/>
        <w:rPr>
          <w:rFonts w:eastAsia="Calibri" w:asciiTheme="majorHAnsi" w:hAnsiTheme="majorHAnsi" w:cstheme="majorHAnsi"/>
        </w:rPr>
      </w:pPr>
      <w:r w:rsidRPr="000F4C13">
        <w:rPr>
          <w:rFonts w:eastAsia="Calibri" w:asciiTheme="majorHAnsi" w:hAnsiTheme="majorHAnsi" w:cstheme="majorHAnsi"/>
        </w:rPr>
        <w:t>For those new to the insurance industry, you can find additional background information on how the insurance industry works using these links:</w:t>
      </w:r>
    </w:p>
    <w:p w:rsidRPr="000F4C13" w:rsidR="00C96053" w:rsidP="00ED396D" w:rsidRDefault="00B2522B" w14:paraId="624C9D7B" w14:textId="77777777">
      <w:pPr>
        <w:jc w:val="both"/>
        <w:rPr>
          <w:rFonts w:eastAsia="Calibri" w:asciiTheme="majorHAnsi" w:hAnsiTheme="majorHAnsi" w:cstheme="majorHAnsi"/>
        </w:rPr>
      </w:pPr>
      <w:r w:rsidRPr="000F4C13">
        <w:rPr>
          <w:rFonts w:eastAsia="Calibri" w:asciiTheme="majorHAnsi" w:hAnsiTheme="majorHAnsi" w:cstheme="majorHAnsi"/>
        </w:rPr>
        <w:t xml:space="preserve">iii.org/article/insurance-101 </w:t>
      </w:r>
    </w:p>
    <w:p w:rsidRPr="000F4C13" w:rsidR="00C96053" w:rsidRDefault="00B2522B" w14:paraId="30425FE9" w14:textId="77777777">
      <w:pPr>
        <w:rPr>
          <w:rFonts w:eastAsia="Calibri" w:asciiTheme="majorHAnsi" w:hAnsiTheme="majorHAnsi" w:cstheme="majorHAnsi"/>
        </w:rPr>
      </w:pPr>
      <w:r w:rsidRPr="000F4C13">
        <w:rPr>
          <w:rFonts w:eastAsia="Calibri" w:asciiTheme="majorHAnsi" w:hAnsiTheme="majorHAnsi" w:cstheme="majorHAnsi"/>
        </w:rPr>
        <w:t xml:space="preserve">iii.org/article/homeowners-insurance-basics </w:t>
      </w:r>
    </w:p>
    <w:p w:rsidRPr="000F4C13" w:rsidR="00C96053" w:rsidRDefault="0035069D" w14:paraId="7D663A84" w14:textId="77777777">
      <w:pPr>
        <w:jc w:val="both"/>
        <w:rPr>
          <w:rFonts w:eastAsia="Calibri" w:asciiTheme="majorHAnsi" w:hAnsiTheme="majorHAnsi" w:cstheme="majorHAnsi"/>
        </w:rPr>
      </w:pPr>
      <w:r>
        <w:rPr>
          <w:rFonts w:asciiTheme="majorHAnsi" w:hAnsiTheme="majorHAnsi" w:cstheme="majorHAnsi"/>
        </w:rPr>
        <w:pict w14:anchorId="35372887">
          <v:rect id="_x0000_i1027" style="width:0;height:1.5pt" o:hr="t" o:hrstd="t" o:hralign="center" fillcolor="#a0a0a0" stroked="f"/>
        </w:pict>
      </w:r>
    </w:p>
    <w:p w:rsidRPr="000F4C13" w:rsidR="00C96053" w:rsidRDefault="00B2522B" w14:paraId="55DFE817" w14:textId="79FA6ADA">
      <w:pPr>
        <w:pStyle w:val="Heading2"/>
        <w:rPr>
          <w:rFonts w:asciiTheme="majorHAnsi" w:hAnsiTheme="majorHAnsi" w:cstheme="majorHAnsi"/>
        </w:rPr>
      </w:pPr>
      <w:r w:rsidRPr="000F4C13">
        <w:rPr>
          <w:rFonts w:asciiTheme="majorHAnsi" w:hAnsiTheme="majorHAnsi" w:cstheme="majorHAnsi"/>
        </w:rPr>
        <w:t>Section B: Macro-Factors and Emerging Risks Impacting Availability and Affordability</w:t>
      </w:r>
    </w:p>
    <w:p w:rsidRPr="000F4C13" w:rsidR="00C96053" w:rsidRDefault="00B2522B" w14:paraId="09D7AA3A" w14:textId="77777777">
      <w:pPr>
        <w:pStyle w:val="Heading3"/>
        <w:rPr>
          <w:rFonts w:asciiTheme="majorHAnsi" w:hAnsiTheme="majorHAnsi" w:cstheme="majorHAnsi"/>
        </w:rPr>
      </w:pPr>
      <w:bookmarkStart w:name="_ufg11dfzkugz" w:colFirst="0" w:colLast="0" w:id="2"/>
      <w:bookmarkEnd w:id="2"/>
      <w:r w:rsidRPr="000F4C13">
        <w:rPr>
          <w:rFonts w:asciiTheme="majorHAnsi" w:hAnsiTheme="majorHAnsi" w:cstheme="majorHAnsi"/>
        </w:rPr>
        <w:t>How Insurance Market Regulatory Structure Shapes Insurance Solutions</w:t>
      </w:r>
    </w:p>
    <w:p w:rsidRPr="000F4C13" w:rsidR="00C96053" w:rsidRDefault="00096E31" w14:paraId="31AA2DD1" w14:textId="2FA44444">
      <w:pPr>
        <w:jc w:val="both"/>
        <w:rPr>
          <w:rFonts w:eastAsia="Calibri" w:asciiTheme="majorHAnsi" w:hAnsiTheme="majorHAnsi" w:cstheme="majorHAnsi"/>
        </w:rPr>
      </w:pPr>
      <w:r w:rsidRPr="000F4C13">
        <w:rPr>
          <w:rFonts w:eastAsia="Calibri" w:asciiTheme="majorHAnsi" w:hAnsiTheme="majorHAnsi" w:cstheme="majorHAnsi"/>
        </w:rPr>
        <w:t xml:space="preserve">Insurance regulation guarantees the financial stability and reasonable pricing by insurance companies, while ensuring consumers have access to affordable coverage. States adopt different methods for rate filing processes (such as prior approval versus file-and-use), review timelines, and </w:t>
      </w:r>
      <w:r w:rsidRPr="000F4C13" w:rsidR="00814D59">
        <w:rPr>
          <w:rFonts w:eastAsia="Calibri" w:asciiTheme="majorHAnsi" w:hAnsiTheme="majorHAnsi" w:cstheme="majorHAnsi"/>
        </w:rPr>
        <w:t>pricing criteria</w:t>
      </w:r>
      <w:r w:rsidRPr="000F4C13">
        <w:rPr>
          <w:rFonts w:eastAsia="Calibri" w:asciiTheme="majorHAnsi" w:hAnsiTheme="majorHAnsi" w:cstheme="majorHAnsi"/>
        </w:rPr>
        <w:t>. As risk models continue to advance, insurance regulators need proactive strategies to predict and manage emerging risks. As discussed in Part</w:t>
      </w:r>
      <w:r w:rsidRPr="000F4C13" w:rsidR="001D1E26">
        <w:rPr>
          <w:rFonts w:eastAsia="Calibri" w:asciiTheme="majorHAnsi" w:hAnsiTheme="majorHAnsi" w:cstheme="majorHAnsi"/>
        </w:rPr>
        <w:t>s 3-</w:t>
      </w:r>
      <w:r w:rsidRPr="000F4C13">
        <w:rPr>
          <w:rFonts w:eastAsia="Calibri" w:asciiTheme="majorHAnsi" w:hAnsiTheme="majorHAnsi" w:cstheme="majorHAnsi"/>
        </w:rPr>
        <w:t xml:space="preserve">4 of this Playbook, state regulators have used their authority to improve the affordability and availability of homeowners insurance through various thoughtful actions. </w:t>
      </w:r>
    </w:p>
    <w:p w:rsidRPr="000F4C13" w:rsidR="00C96053" w:rsidRDefault="00B2522B" w14:paraId="68AC6DFC" w14:textId="77777777">
      <w:pPr>
        <w:pStyle w:val="Heading3"/>
        <w:rPr>
          <w:rFonts w:asciiTheme="majorHAnsi" w:hAnsiTheme="majorHAnsi" w:cstheme="majorHAnsi"/>
        </w:rPr>
      </w:pPr>
      <w:bookmarkStart w:name="_3bmeo04i0s2o" w:colFirst="0" w:colLast="0" w:id="3"/>
      <w:bookmarkEnd w:id="3"/>
      <w:r w:rsidRPr="000F4C13">
        <w:rPr>
          <w:rFonts w:asciiTheme="majorHAnsi" w:hAnsiTheme="majorHAnsi" w:cstheme="majorHAnsi"/>
        </w:rPr>
        <w:t>Reinsurance</w:t>
      </w:r>
    </w:p>
    <w:p w:rsidRPr="000F4C13" w:rsidR="00C96053" w:rsidRDefault="00FD05B6" w14:paraId="3A044C31" w14:textId="37640F3D">
      <w:pPr>
        <w:shd w:val="clear" w:color="auto" w:fill="FFFFFF"/>
        <w:spacing w:before="240" w:after="240"/>
        <w:jc w:val="both"/>
        <w:rPr>
          <w:rFonts w:eastAsia="Calibri" w:asciiTheme="majorHAnsi" w:hAnsiTheme="majorHAnsi" w:cstheme="majorHAnsi"/>
        </w:rPr>
      </w:pPr>
      <w:r w:rsidRPr="000F4C13">
        <w:rPr>
          <w:rFonts w:eastAsia="Calibri" w:asciiTheme="majorHAnsi" w:hAnsiTheme="majorHAnsi" w:cstheme="majorHAnsi"/>
        </w:rPr>
        <w:t>Reinsurance is primarily a risk-transfer tool that helps an insurance company manage and protect its capital, which is essential to solvency and growth in the primary market. As a result, reinsurers help cover catastrophic losses, absorb shocks from the system, and improve availability and affordability for consumers. Reinsurers share in insurers' risks. As such, reinsurers allow insurers to take on more risk and provide insurance across broader geographic regions. Some regions are more affected by reinsurance, especially coastal areas.</w:t>
      </w:r>
    </w:p>
    <w:p w:rsidRPr="000F4C13" w:rsidR="00C96053" w:rsidRDefault="00B2522B" w14:paraId="51EBC001" w14:textId="51A1A7DF">
      <w:pPr>
        <w:jc w:val="both"/>
        <w:rPr>
          <w:rFonts w:eastAsia="Calibri" w:asciiTheme="majorHAnsi" w:hAnsiTheme="majorHAnsi" w:cstheme="majorHAnsi"/>
        </w:rPr>
      </w:pPr>
      <w:r w:rsidRPr="000F4C13">
        <w:rPr>
          <w:rFonts w:eastAsia="Calibri" w:asciiTheme="majorHAnsi" w:hAnsiTheme="majorHAnsi" w:cstheme="majorHAnsi"/>
          <w:highlight w:val="white"/>
        </w:rPr>
        <w:t>According to one source, the main factor behind the higher prices homeowners face is a rapid rise in reinsurance rates.</w:t>
      </w:r>
      <w:r w:rsidRPr="000F4C13">
        <w:rPr>
          <w:rFonts w:eastAsia="Calibri" w:asciiTheme="majorHAnsi" w:hAnsiTheme="majorHAnsi" w:cstheme="majorHAnsi"/>
          <w:highlight w:val="white"/>
          <w:vertAlign w:val="superscript"/>
        </w:rPr>
        <w:footnoteReference w:id="1"/>
      </w:r>
      <w:r w:rsidRPr="000F4C13">
        <w:rPr>
          <w:rFonts w:eastAsia="Calibri" w:asciiTheme="majorHAnsi" w:hAnsiTheme="majorHAnsi" w:cstheme="majorHAnsi"/>
          <w:highlight w:val="white"/>
        </w:rPr>
        <w:t xml:space="preserve"> Between 2018 and 2023, insurers </w:t>
      </w:r>
      <w:r w:rsidRPr="000F4C13" w:rsidR="00FD05B6">
        <w:rPr>
          <w:rFonts w:eastAsia="Calibri" w:asciiTheme="majorHAnsi" w:hAnsiTheme="majorHAnsi" w:cstheme="majorHAnsi"/>
          <w:highlight w:val="white"/>
        </w:rPr>
        <w:t>saw US property and casualty reinsurance costs double</w:t>
      </w:r>
      <w:r w:rsidRPr="000F4C13">
        <w:rPr>
          <w:rFonts w:eastAsia="Calibri" w:asciiTheme="majorHAnsi" w:hAnsiTheme="majorHAnsi" w:cstheme="majorHAnsi"/>
          <w:highlight w:val="white"/>
        </w:rPr>
        <w:t>.</w:t>
      </w:r>
      <w:r w:rsidRPr="000F4C13">
        <w:rPr>
          <w:rFonts w:eastAsia="Calibri" w:asciiTheme="majorHAnsi" w:hAnsiTheme="majorHAnsi" w:cstheme="majorHAnsi"/>
          <w:highlight w:val="white"/>
          <w:vertAlign w:val="superscript"/>
        </w:rPr>
        <w:footnoteReference w:id="2"/>
      </w:r>
      <w:r w:rsidRPr="000F4C13">
        <w:rPr>
          <w:rFonts w:eastAsia="Calibri" w:asciiTheme="majorHAnsi" w:hAnsiTheme="majorHAnsi" w:cstheme="majorHAnsi"/>
          <w:highlight w:val="white"/>
        </w:rPr>
        <w:t xml:space="preserve"> </w:t>
      </w:r>
      <w:r w:rsidRPr="000F4C13">
        <w:rPr>
          <w:rFonts w:eastAsia="Calibri" w:asciiTheme="majorHAnsi" w:hAnsiTheme="majorHAnsi" w:cstheme="majorHAnsi"/>
        </w:rPr>
        <w:t>In an analysis of insurance company responses to the Climate Risk Disclosure Survey in 2022,</w:t>
      </w:r>
      <w:r w:rsidRPr="000F4C13">
        <w:rPr>
          <w:rFonts w:eastAsia="Calibri" w:asciiTheme="majorHAnsi" w:hAnsiTheme="majorHAnsi" w:cstheme="majorHAnsi"/>
          <w:b/>
          <w:bCs/>
        </w:rPr>
        <w:t xml:space="preserve"> </w:t>
      </w:r>
      <w:r w:rsidRPr="000F4C13">
        <w:rPr>
          <w:rFonts w:eastAsia="Calibri" w:asciiTheme="majorHAnsi" w:hAnsiTheme="majorHAnsi" w:cstheme="majorHAnsi"/>
        </w:rPr>
        <w:t>many insurers describe purchasing reinsurance as their primary strategy for managing climate risk, while some reinsurers describe how climate risk is leading them to reprice or reduce their offerings.</w:t>
      </w:r>
      <w:r w:rsidRPr="000F4C13">
        <w:rPr>
          <w:rFonts w:eastAsia="Calibri" w:asciiTheme="majorHAnsi" w:hAnsiTheme="majorHAnsi" w:cstheme="majorHAnsi"/>
          <w:vertAlign w:val="superscript"/>
        </w:rPr>
        <w:footnoteReference w:id="3"/>
      </w:r>
      <w:r w:rsidRPr="000F4C13">
        <w:rPr>
          <w:rFonts w:eastAsia="Calibri" w:asciiTheme="majorHAnsi" w:hAnsiTheme="majorHAnsi" w:cstheme="majorHAnsi"/>
        </w:rPr>
        <w:t xml:space="preserve"> In 2023, U.S. property catastrophe reinsurance rates rose by as much as 50% at a key July 1 renewal date, reported broker Gallagher Re.</w:t>
      </w:r>
      <w:r w:rsidRPr="000F4C13">
        <w:rPr>
          <w:rFonts w:eastAsia="Calibri" w:asciiTheme="majorHAnsi" w:hAnsiTheme="majorHAnsi" w:cstheme="majorHAnsi"/>
          <w:vertAlign w:val="superscript"/>
        </w:rPr>
        <w:footnoteReference w:id="4"/>
      </w:r>
    </w:p>
    <w:p w:rsidRPr="000F4C13" w:rsidR="00C96053" w:rsidRDefault="00B2522B" w14:paraId="7E5B5AE5" w14:textId="6EB19DC9">
      <w:pPr>
        <w:jc w:val="both"/>
        <w:rPr>
          <w:rFonts w:eastAsia="Calibri" w:asciiTheme="majorHAnsi" w:hAnsiTheme="majorHAnsi" w:cstheme="majorHAnsi"/>
          <w:vertAlign w:val="superscript"/>
        </w:rPr>
      </w:pPr>
      <w:r w:rsidRPr="000F4C13">
        <w:rPr>
          <w:rFonts w:eastAsia="Calibri" w:asciiTheme="majorHAnsi" w:hAnsiTheme="majorHAnsi" w:cstheme="majorHAnsi"/>
        </w:rPr>
        <w:t xml:space="preserve">In recent years, the reinsurance market has become more stable. According to a 2025 Aon report, “while pricing continued to moderate overall, there was significant variation in renewal outcomes as reinsurers differentiated by loss experience and performance.” Additionally, Moody's indicated that overall “pricing for property reinsurance is declining as the supply/demand balance shifts toward reinsurance buyers.” </w:t>
      </w:r>
      <w:r w:rsidRPr="000F4C13">
        <w:rPr>
          <w:rFonts w:eastAsia="Calibri" w:asciiTheme="majorHAnsi" w:hAnsiTheme="majorHAnsi" w:cstheme="majorHAnsi"/>
          <w:vertAlign w:val="superscript"/>
        </w:rPr>
        <w:t>6</w:t>
      </w:r>
      <w:r w:rsidRPr="000F4C13">
        <w:rPr>
          <w:rFonts w:eastAsia="Calibri" w:asciiTheme="majorHAnsi" w:hAnsiTheme="majorHAnsi" w:cstheme="majorHAnsi"/>
        </w:rPr>
        <w:t xml:space="preserve"> In the traditional market, capacity is currently plentiful, and capital inflows to the alternative markets, particularly catastrophe bonds, are also pushing prices lower. Nonetheless, risk-adjusted returns in property reinsurance remain attractive, and profitability is expected to be strong over the next year. AM Best has </w:t>
      </w:r>
      <w:r w:rsidRPr="000F4C13" w:rsidR="00C86868">
        <w:rPr>
          <w:rFonts w:eastAsia="Calibri" w:asciiTheme="majorHAnsi" w:hAnsiTheme="majorHAnsi" w:cstheme="majorHAnsi"/>
        </w:rPr>
        <w:t xml:space="preserve">recently </w:t>
      </w:r>
      <w:r w:rsidRPr="000F4C13">
        <w:rPr>
          <w:rFonts w:eastAsia="Calibri" w:asciiTheme="majorHAnsi" w:hAnsiTheme="majorHAnsi" w:cstheme="majorHAnsi"/>
        </w:rPr>
        <w:t>changed its overall outlook of the US homeowners segment from Negative to Stable in part due to improved property reinsurance market dynamics.</w:t>
      </w:r>
      <w:r w:rsidRPr="000F4C13">
        <w:rPr>
          <w:rFonts w:eastAsia="Calibri" w:asciiTheme="majorHAnsi" w:hAnsiTheme="majorHAnsi" w:cstheme="majorHAnsi"/>
          <w:vertAlign w:val="superscript"/>
        </w:rPr>
        <w:footnoteReference w:id="5"/>
      </w:r>
    </w:p>
    <w:p w:rsidRPr="000F4C13" w:rsidR="00C96053" w:rsidRDefault="00B2522B" w14:paraId="11BB1096" w14:textId="77777777">
      <w:pPr>
        <w:pStyle w:val="Heading3"/>
        <w:rPr>
          <w:rFonts w:asciiTheme="majorHAnsi" w:hAnsiTheme="majorHAnsi" w:cstheme="majorHAnsi"/>
        </w:rPr>
      </w:pPr>
      <w:bookmarkStart w:name="_a0x3mx1l91ls" w:colFirst="0" w:colLast="0" w:id="4"/>
      <w:bookmarkEnd w:id="4"/>
      <w:r w:rsidRPr="000F4C13">
        <w:rPr>
          <w:rFonts w:asciiTheme="majorHAnsi" w:hAnsiTheme="majorHAnsi" w:cstheme="majorHAnsi"/>
        </w:rPr>
        <w:t>Natural Catastrophes and Their Impact on Affordability and Availability</w:t>
      </w:r>
    </w:p>
    <w:p w:rsidRPr="000F4C13" w:rsidR="00C96053" w:rsidRDefault="00B2522B" w14:paraId="5077F4AD" w14:textId="77777777">
      <w:pPr>
        <w:jc w:val="both"/>
        <w:rPr>
          <w:rFonts w:eastAsia="Calibri" w:asciiTheme="majorHAnsi" w:hAnsiTheme="majorHAnsi" w:cstheme="majorHAnsi"/>
          <w:color w:val="363636"/>
          <w:highlight w:val="white"/>
        </w:rPr>
      </w:pPr>
      <w:r w:rsidRPr="000F4C13">
        <w:rPr>
          <w:rFonts w:eastAsia="Calibri" w:asciiTheme="majorHAnsi" w:hAnsiTheme="majorHAnsi" w:cstheme="majorHAnsi"/>
        </w:rPr>
        <w:t>Another significant factor contributing to homeowners insurance availability and affordability is increasingly frequent and severe weather events.</w:t>
      </w:r>
      <w:r w:rsidRPr="000F4C13">
        <w:rPr>
          <w:rFonts w:eastAsia="Calibri" w:asciiTheme="majorHAnsi" w:hAnsiTheme="majorHAnsi" w:cstheme="majorHAnsi"/>
          <w:vertAlign w:val="superscript"/>
        </w:rPr>
        <w:footnoteReference w:id="6"/>
      </w:r>
      <w:r w:rsidRPr="000F4C13">
        <w:rPr>
          <w:rFonts w:eastAsia="Calibri" w:asciiTheme="majorHAnsi" w:hAnsiTheme="majorHAnsi" w:cstheme="majorHAnsi"/>
          <w:highlight w:val="white"/>
        </w:rPr>
        <w:t xml:space="preserve"> According to the National Oceanic and Atmospheric Agency (NOAA), 2024 saw 27 weather and climate disasters that cost at least $1 billion in damages. 2023 was the only year to outpace this amount with 28 events</w:t>
      </w:r>
      <w:r w:rsidRPr="000F4C13">
        <w:rPr>
          <w:rFonts w:eastAsia="Calibri" w:asciiTheme="majorHAnsi" w:hAnsiTheme="majorHAnsi" w:cstheme="majorHAnsi"/>
          <w:color w:val="363636"/>
          <w:highlight w:val="white"/>
        </w:rPr>
        <w:t>.</w:t>
      </w:r>
      <w:r w:rsidRPr="000F4C13">
        <w:rPr>
          <w:rFonts w:eastAsia="Calibri" w:asciiTheme="majorHAnsi" w:hAnsiTheme="majorHAnsi" w:cstheme="majorHAnsi"/>
          <w:color w:val="363636"/>
          <w:highlight w:val="white"/>
          <w:vertAlign w:val="superscript"/>
        </w:rPr>
        <w:footnoteReference w:id="7"/>
      </w:r>
      <w:r w:rsidRPr="000F4C13">
        <w:rPr>
          <w:rFonts w:eastAsia="Calibri" w:asciiTheme="majorHAnsi" w:hAnsiTheme="majorHAnsi" w:cstheme="majorHAnsi"/>
          <w:color w:val="363636"/>
          <w:highlight w:val="white"/>
        </w:rPr>
        <w:t xml:space="preserve"> </w:t>
      </w:r>
    </w:p>
    <w:p w:rsidRPr="000F4C13" w:rsidR="00C96053" w:rsidRDefault="00B2522B" w14:paraId="24F274CE" w14:textId="77777777">
      <w:pPr>
        <w:jc w:val="both"/>
        <w:rPr>
          <w:rFonts w:eastAsia="Calibri" w:asciiTheme="majorHAnsi" w:hAnsiTheme="majorHAnsi" w:cstheme="majorHAnsi"/>
          <w:highlight w:val="white"/>
        </w:rPr>
      </w:pPr>
      <w:r w:rsidRPr="000F4C13">
        <w:rPr>
          <w:rFonts w:eastAsia="Calibri" w:asciiTheme="majorHAnsi" w:hAnsiTheme="majorHAnsi" w:cstheme="majorHAnsi"/>
          <w:noProof/>
          <w:color w:val="363636"/>
          <w:highlight w:val="white"/>
          <w:lang w:val="en-US"/>
        </w:rPr>
        <w:drawing>
          <wp:inline distT="114300" distB="114300" distL="114300" distR="114300" wp14:anchorId="201A9312" wp14:editId="3688CCB7">
            <wp:extent cx="5943158" cy="3450771"/>
            <wp:effectExtent l="0" t="0" r="0" b="0"/>
            <wp:docPr id="1" name="image1.png" descr="A map of the united states with different weather symbol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map of the united states with different weather symbols&#10;&#10;AI-generated content may be incorrect."/>
                    <pic:cNvPicPr preferRelativeResize="0"/>
                  </pic:nvPicPr>
                  <pic:blipFill>
                    <a:blip r:embed="rId11"/>
                    <a:srcRect/>
                    <a:stretch>
                      <a:fillRect/>
                    </a:stretch>
                  </pic:blipFill>
                  <pic:spPr>
                    <a:xfrm>
                      <a:off x="0" y="0"/>
                      <a:ext cx="5943158" cy="3450771"/>
                    </a:xfrm>
                    <a:prstGeom prst="rect">
                      <a:avLst/>
                    </a:prstGeom>
                    <a:ln/>
                  </pic:spPr>
                </pic:pic>
              </a:graphicData>
            </a:graphic>
          </wp:inline>
        </w:drawing>
      </w:r>
      <w:r w:rsidRPr="000F4C13">
        <w:rPr>
          <w:rFonts w:eastAsia="Calibri" w:asciiTheme="majorHAnsi" w:hAnsiTheme="majorHAnsi" w:cstheme="majorHAnsi"/>
          <w:sz w:val="20"/>
          <w:szCs w:val="20"/>
          <w:highlight w:val="white"/>
        </w:rPr>
        <w:t>https://www.ncei.noaa.gov/access/billions/</w:t>
      </w:r>
    </w:p>
    <w:p w:rsidRPr="000F4C13" w:rsidR="00C96053" w:rsidRDefault="00B2522B" w14:paraId="0477C228" w14:textId="10F19D58">
      <w:pPr>
        <w:jc w:val="both"/>
        <w:rPr>
          <w:rFonts w:eastAsia="Calibri" w:asciiTheme="majorHAnsi" w:hAnsiTheme="majorHAnsi" w:cstheme="majorHAnsi"/>
        </w:rPr>
      </w:pPr>
      <w:r w:rsidRPr="000F4C13">
        <w:rPr>
          <w:rFonts w:eastAsia="Calibri" w:asciiTheme="majorHAnsi" w:hAnsiTheme="majorHAnsi" w:cstheme="majorHAnsi"/>
          <w:highlight w:val="white"/>
        </w:rPr>
        <w:t xml:space="preserve">Extreme heat and </w:t>
      </w:r>
      <w:r w:rsidRPr="000F4C13" w:rsidR="00063F4A">
        <w:rPr>
          <w:rFonts w:eastAsia="Calibri" w:asciiTheme="majorHAnsi" w:hAnsiTheme="majorHAnsi" w:cstheme="majorHAnsi"/>
          <w:highlight w:val="white"/>
        </w:rPr>
        <w:t>drought are drying out forests and vegetation, increasing wildfire fuel</w:t>
      </w:r>
      <w:r w:rsidRPr="000F4C13">
        <w:rPr>
          <w:rFonts w:eastAsia="Calibri" w:asciiTheme="majorHAnsi" w:hAnsiTheme="majorHAnsi" w:cstheme="majorHAnsi"/>
          <w:highlight w:val="white"/>
        </w:rPr>
        <w:t>. Warming oceans cause hurricanes to intensify more rapidly. Warmer air carries more moisture, which can lead to extreme flooding.</w:t>
      </w:r>
      <w:r w:rsidRPr="000F4C13">
        <w:rPr>
          <w:rFonts w:eastAsia="Calibri" w:asciiTheme="majorHAnsi" w:hAnsiTheme="majorHAnsi" w:cstheme="majorHAnsi"/>
          <w:highlight w:val="white"/>
          <w:vertAlign w:val="superscript"/>
        </w:rPr>
        <w:footnoteReference w:id="8"/>
      </w:r>
      <w:r w:rsidRPr="000F4C13">
        <w:rPr>
          <w:rFonts w:eastAsia="Calibri" w:asciiTheme="majorHAnsi" w:hAnsiTheme="majorHAnsi" w:cstheme="majorHAnsi"/>
        </w:rPr>
        <w:t xml:space="preserve"> Rising sea levels amplify coastal flooding and storm surges.</w:t>
      </w:r>
      <w:r w:rsidRPr="000F4C13">
        <w:rPr>
          <w:rFonts w:eastAsia="Calibri" w:asciiTheme="majorHAnsi" w:hAnsiTheme="majorHAnsi" w:cstheme="majorHAnsi"/>
          <w:vertAlign w:val="superscript"/>
        </w:rPr>
        <w:footnoteReference w:id="9"/>
      </w:r>
    </w:p>
    <w:p w:rsidRPr="000F4C13" w:rsidR="00C96053" w:rsidRDefault="00B2522B" w14:paraId="0160184E" w14:textId="35662586">
      <w:pPr>
        <w:jc w:val="both"/>
        <w:rPr>
          <w:rFonts w:eastAsia="Calibri" w:asciiTheme="majorHAnsi" w:hAnsiTheme="majorHAnsi" w:cstheme="majorHAnsi"/>
        </w:rPr>
      </w:pPr>
      <w:r w:rsidRPr="000F4C13">
        <w:rPr>
          <w:rFonts w:eastAsia="Calibri" w:asciiTheme="majorHAnsi" w:hAnsiTheme="majorHAnsi" w:cstheme="majorHAnsi"/>
        </w:rPr>
        <w:t xml:space="preserve">Homeowners rely on their property insurance to help them recover from </w:t>
      </w:r>
      <w:r w:rsidRPr="000F4C13" w:rsidR="00AB6C44">
        <w:rPr>
          <w:rFonts w:eastAsia="Calibri" w:asciiTheme="majorHAnsi" w:hAnsiTheme="majorHAnsi" w:cstheme="majorHAnsi"/>
        </w:rPr>
        <w:t>damage caused by such disasters</w:t>
      </w:r>
      <w:r w:rsidRPr="000F4C13">
        <w:rPr>
          <w:rFonts w:eastAsia="Calibri" w:asciiTheme="majorHAnsi" w:hAnsiTheme="majorHAnsi" w:cstheme="majorHAnsi"/>
        </w:rPr>
        <w:t xml:space="preserve">. However, the increase in frequency and severity of climate-related disasters in recent years has caused insurers to reassess their portfolios and take steps to reduce their risk. </w:t>
      </w:r>
      <w:r w:rsidRPr="000F4C13" w:rsidR="00B364AD">
        <w:rPr>
          <w:rFonts w:eastAsia="Calibri" w:asciiTheme="majorHAnsi" w:hAnsiTheme="majorHAnsi" w:cstheme="majorHAnsi"/>
        </w:rPr>
        <w:t xml:space="preserve">Insurers reduce their risk by increasing </w:t>
      </w:r>
      <w:r w:rsidR="00B75DBF">
        <w:rPr>
          <w:rFonts w:eastAsia="Calibri" w:asciiTheme="majorHAnsi" w:hAnsiTheme="majorHAnsi" w:cstheme="majorHAnsi"/>
        </w:rPr>
        <w:t>consumers’</w:t>
      </w:r>
      <w:r w:rsidRPr="000F4C13" w:rsidR="00B364AD">
        <w:rPr>
          <w:rFonts w:eastAsia="Calibri" w:asciiTheme="majorHAnsi" w:hAnsiTheme="majorHAnsi" w:cstheme="majorHAnsi"/>
        </w:rPr>
        <w:t xml:space="preserve"> premiums, requiring higher deductibles, reducing their writings of new business, purchasing more reinsurance, or some combination of these strategies. </w:t>
      </w:r>
      <w:r w:rsidRPr="000F4C13">
        <w:rPr>
          <w:rFonts w:eastAsia="Calibri" w:asciiTheme="majorHAnsi" w:hAnsiTheme="majorHAnsi" w:cstheme="majorHAnsi"/>
        </w:rPr>
        <w:t>According to the Consumer Federation of America, homeowners premiums increased 24% between 2021 and 2024.</w:t>
      </w:r>
      <w:r w:rsidRPr="000F4C13">
        <w:rPr>
          <w:rFonts w:eastAsia="Calibri" w:asciiTheme="majorHAnsi" w:hAnsiTheme="majorHAnsi" w:cstheme="majorHAnsi"/>
          <w:vertAlign w:val="superscript"/>
        </w:rPr>
        <w:footnoteReference w:id="10"/>
      </w:r>
      <w:r w:rsidRPr="000F4C13">
        <w:rPr>
          <w:rFonts w:eastAsia="Calibri" w:asciiTheme="majorHAnsi" w:hAnsiTheme="majorHAnsi" w:cstheme="majorHAnsi"/>
        </w:rPr>
        <w:t xml:space="preserve"> </w:t>
      </w:r>
    </w:p>
    <w:p w:rsidRPr="000F4C13" w:rsidR="00C96053" w:rsidRDefault="00B2522B" w14:paraId="5E911C69" w14:textId="704E513D">
      <w:pPr>
        <w:jc w:val="both"/>
        <w:rPr>
          <w:rFonts w:eastAsia="Calibri" w:asciiTheme="majorHAnsi" w:hAnsiTheme="majorHAnsi" w:cstheme="majorHAnsi"/>
        </w:rPr>
      </w:pPr>
      <w:r w:rsidRPr="000F4C13">
        <w:rPr>
          <w:rFonts w:eastAsia="Calibri" w:asciiTheme="majorHAnsi" w:hAnsiTheme="majorHAnsi" w:cstheme="majorHAnsi"/>
        </w:rPr>
        <w:t xml:space="preserve">Deloitte concluded in its 2026 Global Insurance Outlook that weather events are making it more expensive for </w:t>
      </w:r>
      <w:r w:rsidRPr="000F4C13" w:rsidR="00B364AD">
        <w:rPr>
          <w:rFonts w:eastAsia="Calibri" w:asciiTheme="majorHAnsi" w:hAnsiTheme="majorHAnsi" w:cstheme="majorHAnsi"/>
        </w:rPr>
        <w:t xml:space="preserve">insurers </w:t>
      </w:r>
      <w:r w:rsidRPr="000F4C13">
        <w:rPr>
          <w:rFonts w:eastAsia="Calibri" w:asciiTheme="majorHAnsi" w:hAnsiTheme="majorHAnsi" w:cstheme="majorHAnsi"/>
        </w:rPr>
        <w:t xml:space="preserve">to </w:t>
      </w:r>
      <w:r w:rsidRPr="000F4C13" w:rsidR="00B364AD">
        <w:rPr>
          <w:rFonts w:eastAsia="Calibri" w:asciiTheme="majorHAnsi" w:hAnsiTheme="majorHAnsi" w:cstheme="majorHAnsi"/>
        </w:rPr>
        <w:t>buy reinsurance</w:t>
      </w:r>
      <w:r w:rsidRPr="000F4C13">
        <w:rPr>
          <w:rFonts w:eastAsia="Calibri" w:asciiTheme="majorHAnsi" w:hAnsiTheme="majorHAnsi" w:cstheme="majorHAnsi"/>
        </w:rPr>
        <w:t>, and that unrelenting</w:t>
      </w:r>
      <w:r w:rsidRPr="000F4C13" w:rsidR="009561F1">
        <w:rPr>
          <w:rFonts w:eastAsia="Calibri" w:asciiTheme="majorHAnsi" w:hAnsiTheme="majorHAnsi" w:cstheme="majorHAnsi"/>
        </w:rPr>
        <w:t>,</w:t>
      </w:r>
      <w:r w:rsidRPr="000F4C13">
        <w:rPr>
          <w:rFonts w:eastAsia="Calibri" w:asciiTheme="majorHAnsi" w:hAnsiTheme="majorHAnsi" w:cstheme="majorHAnsi"/>
        </w:rPr>
        <w:t xml:space="preserve"> high-intensity</w:t>
      </w:r>
      <w:r w:rsidRPr="000F4C13" w:rsidR="009561F1">
        <w:rPr>
          <w:rFonts w:eastAsia="Calibri" w:asciiTheme="majorHAnsi" w:hAnsiTheme="majorHAnsi" w:cstheme="majorHAnsi"/>
        </w:rPr>
        <w:t>,</w:t>
      </w:r>
      <w:r w:rsidRPr="000F4C13">
        <w:rPr>
          <w:rFonts w:eastAsia="Calibri" w:asciiTheme="majorHAnsi" w:hAnsiTheme="majorHAnsi" w:cstheme="majorHAnsi"/>
        </w:rPr>
        <w:t xml:space="preserve"> climate-fueled events are costing insurers billions</w:t>
      </w:r>
      <w:r w:rsidRPr="000F4C13" w:rsidR="00B364AD">
        <w:rPr>
          <w:rFonts w:eastAsia="Calibri" w:asciiTheme="majorHAnsi" w:hAnsiTheme="majorHAnsi" w:cstheme="majorHAnsi"/>
        </w:rPr>
        <w:t xml:space="preserve"> of dollars</w:t>
      </w:r>
      <w:r w:rsidRPr="000F4C13">
        <w:rPr>
          <w:rFonts w:eastAsia="Calibri" w:asciiTheme="majorHAnsi" w:hAnsiTheme="majorHAnsi" w:cstheme="majorHAnsi"/>
        </w:rPr>
        <w:t>.</w:t>
      </w:r>
      <w:r w:rsidRPr="000F4C13">
        <w:rPr>
          <w:rFonts w:eastAsia="Calibri" w:asciiTheme="majorHAnsi" w:hAnsiTheme="majorHAnsi" w:cstheme="majorHAnsi"/>
          <w:vertAlign w:val="superscript"/>
        </w:rPr>
        <w:footnoteReference w:id="11"/>
      </w:r>
      <w:r w:rsidRPr="000F4C13">
        <w:rPr>
          <w:rFonts w:eastAsia="Calibri" w:asciiTheme="majorHAnsi" w:hAnsiTheme="majorHAnsi" w:cstheme="majorHAnsi"/>
        </w:rPr>
        <w:t xml:space="preserve"> The repercussions </w:t>
      </w:r>
      <w:r w:rsidRPr="000F4C13" w:rsidR="00AB6C44">
        <w:rPr>
          <w:rFonts w:eastAsia="Calibri" w:asciiTheme="majorHAnsi" w:hAnsiTheme="majorHAnsi" w:cstheme="majorHAnsi"/>
        </w:rPr>
        <w:t>this playbook seeks to address are</w:t>
      </w:r>
      <w:r w:rsidRPr="000F4C13">
        <w:rPr>
          <w:rFonts w:eastAsia="Calibri" w:asciiTheme="majorHAnsi" w:hAnsiTheme="majorHAnsi" w:cstheme="majorHAnsi"/>
        </w:rPr>
        <w:t>: premiums are dramatically increasing nationwide</w:t>
      </w:r>
      <w:r w:rsidRPr="000F4C13" w:rsidR="009561F1">
        <w:rPr>
          <w:rFonts w:eastAsia="Calibri" w:asciiTheme="majorHAnsi" w:hAnsiTheme="majorHAnsi" w:cstheme="majorHAnsi"/>
        </w:rPr>
        <w:t>,</w:t>
      </w:r>
      <w:r w:rsidRPr="000F4C13">
        <w:rPr>
          <w:rFonts w:eastAsia="Calibri" w:asciiTheme="majorHAnsi" w:hAnsiTheme="majorHAnsi" w:cstheme="majorHAnsi"/>
        </w:rPr>
        <w:t xml:space="preserve"> and/or many P&amp;C companies are </w:t>
      </w:r>
      <w:r w:rsidRPr="000F4C13" w:rsidR="00B364AD">
        <w:rPr>
          <w:rFonts w:eastAsia="Calibri" w:asciiTheme="majorHAnsi" w:hAnsiTheme="majorHAnsi" w:cstheme="majorHAnsi"/>
        </w:rPr>
        <w:t xml:space="preserve">writing </w:t>
      </w:r>
      <w:r w:rsidRPr="000F4C13" w:rsidR="00AB6C44">
        <w:rPr>
          <w:rFonts w:eastAsia="Calibri" w:asciiTheme="majorHAnsi" w:hAnsiTheme="majorHAnsi" w:cstheme="majorHAnsi"/>
        </w:rPr>
        <w:t>fewer new homeowner's</w:t>
      </w:r>
      <w:r w:rsidRPr="000F4C13" w:rsidR="00B364AD">
        <w:rPr>
          <w:rFonts w:eastAsia="Calibri" w:asciiTheme="majorHAnsi" w:hAnsiTheme="majorHAnsi" w:cstheme="majorHAnsi"/>
        </w:rPr>
        <w:t xml:space="preserve"> insurance policies. Often</w:t>
      </w:r>
      <w:r w:rsidRPr="000F4C13" w:rsidR="00AB6C44">
        <w:rPr>
          <w:rFonts w:eastAsia="Calibri" w:asciiTheme="majorHAnsi" w:hAnsiTheme="majorHAnsi" w:cstheme="majorHAnsi"/>
        </w:rPr>
        <w:t xml:space="preserve">, the result is </w:t>
      </w:r>
      <w:r w:rsidR="00B75DBF">
        <w:rPr>
          <w:rFonts w:eastAsia="Calibri" w:asciiTheme="majorHAnsi" w:hAnsiTheme="majorHAnsi" w:cstheme="majorHAnsi"/>
        </w:rPr>
        <w:t xml:space="preserve">that </w:t>
      </w:r>
      <w:r w:rsidRPr="000F4C13" w:rsidR="00AB6C44">
        <w:rPr>
          <w:rFonts w:eastAsia="Calibri" w:asciiTheme="majorHAnsi" w:hAnsiTheme="majorHAnsi" w:cstheme="majorHAnsi"/>
        </w:rPr>
        <w:t xml:space="preserve">consumers cannot get insurance coverage at </w:t>
      </w:r>
      <w:r w:rsidR="00B75DBF">
        <w:rPr>
          <w:rFonts w:eastAsia="Calibri" w:asciiTheme="majorHAnsi" w:hAnsiTheme="majorHAnsi" w:cstheme="majorHAnsi"/>
        </w:rPr>
        <w:t>an</w:t>
      </w:r>
      <w:r w:rsidRPr="000F4C13" w:rsidR="00B364AD">
        <w:rPr>
          <w:rFonts w:eastAsia="Calibri" w:asciiTheme="majorHAnsi" w:hAnsiTheme="majorHAnsi" w:cstheme="majorHAnsi"/>
        </w:rPr>
        <w:t xml:space="preserve"> </w:t>
      </w:r>
      <w:r w:rsidR="00B75DBF">
        <w:rPr>
          <w:rFonts w:eastAsia="Calibri" w:asciiTheme="majorHAnsi" w:hAnsiTheme="majorHAnsi" w:cstheme="majorHAnsi"/>
        </w:rPr>
        <w:t>affordable price</w:t>
      </w:r>
      <w:r w:rsidRPr="000F4C13" w:rsidR="00B364AD">
        <w:rPr>
          <w:rFonts w:eastAsia="Calibri" w:asciiTheme="majorHAnsi" w:hAnsiTheme="majorHAnsi" w:cstheme="majorHAnsi"/>
        </w:rPr>
        <w:t>.</w:t>
      </w:r>
    </w:p>
    <w:p w:rsidRPr="000F4C13" w:rsidR="00C96053" w:rsidRDefault="00B2522B" w14:paraId="7FFBCB33" w14:textId="77777777">
      <w:pPr>
        <w:pStyle w:val="Heading4"/>
        <w:rPr>
          <w:rFonts w:asciiTheme="majorHAnsi" w:hAnsiTheme="majorHAnsi" w:cstheme="majorHAnsi"/>
        </w:rPr>
      </w:pPr>
      <w:bookmarkStart w:name="_cg2lr8uon0w3" w:colFirst="0" w:colLast="0" w:id="5"/>
      <w:bookmarkEnd w:id="5"/>
      <w:r w:rsidRPr="000F4C13">
        <w:rPr>
          <w:rFonts w:asciiTheme="majorHAnsi" w:hAnsiTheme="majorHAnsi" w:cstheme="majorHAnsi"/>
        </w:rPr>
        <w:t>Housing Growth in High-Risk Areas and Its Impact on Availability and Affordability</w:t>
      </w:r>
    </w:p>
    <w:p w:rsidRPr="000F4C13" w:rsidR="00C96053" w:rsidRDefault="00B2522B" w14:paraId="79AF4DC6" w14:textId="3B1DCB97">
      <w:pPr>
        <w:jc w:val="both"/>
        <w:rPr>
          <w:rFonts w:eastAsia="Calibri" w:asciiTheme="majorHAnsi" w:hAnsiTheme="majorHAnsi" w:cstheme="majorHAnsi"/>
        </w:rPr>
      </w:pPr>
      <w:r w:rsidRPr="000F4C13">
        <w:rPr>
          <w:rFonts w:eastAsia="Calibri" w:asciiTheme="majorHAnsi" w:hAnsiTheme="majorHAnsi" w:cstheme="majorHAnsi"/>
        </w:rPr>
        <w:t>Housing development trends in the United States have increasingly shifted toward areas with higher exposure to severe weather events. Over recent decades, suburban expansion and population growth in the West</w:t>
      </w:r>
      <w:r w:rsidRPr="000F4C13" w:rsidR="00FA0463">
        <w:rPr>
          <w:rFonts w:eastAsia="Calibri" w:asciiTheme="majorHAnsi" w:hAnsiTheme="majorHAnsi" w:cstheme="majorHAnsi"/>
        </w:rPr>
        <w:t xml:space="preserve">ern </w:t>
      </w:r>
      <w:r w:rsidRPr="000F4C13">
        <w:rPr>
          <w:rFonts w:eastAsia="Calibri" w:asciiTheme="majorHAnsi" w:hAnsiTheme="majorHAnsi" w:cstheme="majorHAnsi"/>
        </w:rPr>
        <w:t xml:space="preserve">and </w:t>
      </w:r>
      <w:r w:rsidRPr="000F4C13" w:rsidR="00FA0463">
        <w:rPr>
          <w:rFonts w:eastAsia="Calibri" w:asciiTheme="majorHAnsi" w:hAnsiTheme="majorHAnsi" w:cstheme="majorHAnsi"/>
        </w:rPr>
        <w:t>“</w:t>
      </w:r>
      <w:r w:rsidRPr="000F4C13">
        <w:rPr>
          <w:rFonts w:eastAsia="Calibri" w:asciiTheme="majorHAnsi" w:hAnsiTheme="majorHAnsi" w:cstheme="majorHAnsi"/>
        </w:rPr>
        <w:t>Sun Belt</w:t>
      </w:r>
      <w:r w:rsidRPr="000F4C13" w:rsidR="00FA0463">
        <w:rPr>
          <w:rFonts w:eastAsia="Calibri" w:asciiTheme="majorHAnsi" w:hAnsiTheme="majorHAnsi" w:cstheme="majorHAnsi"/>
        </w:rPr>
        <w:t>” states</w:t>
      </w:r>
      <w:r w:rsidRPr="000F4C13">
        <w:rPr>
          <w:rFonts w:eastAsia="Calibri" w:asciiTheme="majorHAnsi" w:hAnsiTheme="majorHAnsi" w:cstheme="majorHAnsi"/>
        </w:rPr>
        <w:t xml:space="preserve"> have driven new construction into regions more prone to wildfire, heat, drought, and flooding.</w:t>
      </w:r>
      <w:r w:rsidRPr="000F4C13">
        <w:rPr>
          <w:rFonts w:eastAsia="Calibri" w:asciiTheme="majorHAnsi" w:hAnsiTheme="majorHAnsi" w:cstheme="majorHAnsi"/>
          <w:vertAlign w:val="superscript"/>
        </w:rPr>
        <w:footnoteReference w:id="12"/>
      </w:r>
      <w:r w:rsidRPr="000F4C13">
        <w:rPr>
          <w:rFonts w:eastAsia="Calibri" w:asciiTheme="majorHAnsi" w:hAnsiTheme="majorHAnsi" w:cstheme="majorHAnsi"/>
        </w:rPr>
        <w:t xml:space="preserve"> For example, in 1990, about 13% of new homes were built in places at high risk of fire. By 2020, that number had more than doubled to 31%.</w:t>
      </w:r>
      <w:r w:rsidRPr="000F4C13">
        <w:rPr>
          <w:rFonts w:eastAsia="Calibri" w:asciiTheme="majorHAnsi" w:hAnsiTheme="majorHAnsi" w:cstheme="majorHAnsi"/>
          <w:vertAlign w:val="superscript"/>
        </w:rPr>
        <w:footnoteReference w:id="13"/>
      </w:r>
      <w:r w:rsidRPr="000F4C13">
        <w:rPr>
          <w:rFonts w:eastAsia="Calibri" w:asciiTheme="majorHAnsi" w:hAnsiTheme="majorHAnsi" w:cstheme="majorHAnsi"/>
        </w:rPr>
        <w:t xml:space="preserve"> This pattern is reflected in the growing number of homes located within wildfire perimeters across the contiguous United States. Both housing growth and expanding burned area have contributed to this increase, with nearly half of the additional homes </w:t>
      </w:r>
      <w:r w:rsidRPr="000F4C13" w:rsidR="001F37B0">
        <w:rPr>
          <w:rFonts w:eastAsia="Calibri" w:asciiTheme="majorHAnsi" w:hAnsiTheme="majorHAnsi" w:cstheme="majorHAnsi"/>
        </w:rPr>
        <w:t>built after 1990 within the 2010s fire perimeters</w:t>
      </w:r>
      <w:r w:rsidRPr="000F4C13">
        <w:rPr>
          <w:rFonts w:eastAsia="Calibri" w:asciiTheme="majorHAnsi" w:hAnsiTheme="majorHAnsi" w:cstheme="majorHAnsi"/>
        </w:rPr>
        <w:t>.</w:t>
      </w:r>
      <w:r w:rsidRPr="000F4C13">
        <w:rPr>
          <w:rFonts w:eastAsia="Calibri" w:asciiTheme="majorHAnsi" w:hAnsiTheme="majorHAnsi" w:cstheme="majorHAnsi"/>
          <w:vertAlign w:val="superscript"/>
        </w:rPr>
        <w:footnoteReference w:id="14"/>
      </w:r>
      <w:r w:rsidRPr="000F4C13">
        <w:rPr>
          <w:rFonts w:eastAsia="Calibri" w:asciiTheme="majorHAnsi" w:hAnsiTheme="majorHAnsi" w:cstheme="majorHAnsi"/>
        </w:rPr>
        <w:t xml:space="preserve"> Development in high-risk areas concentrates risk for insurers and has negatively impacted insurance availability and affordability.</w:t>
      </w:r>
      <w:r w:rsidRPr="000F4C13">
        <w:rPr>
          <w:rFonts w:eastAsia="Calibri" w:asciiTheme="majorHAnsi" w:hAnsiTheme="majorHAnsi" w:cstheme="majorHAnsi"/>
          <w:vertAlign w:val="superscript"/>
        </w:rPr>
        <w:footnoteReference w:id="15"/>
      </w:r>
    </w:p>
    <w:p w:rsidRPr="000F4C13" w:rsidR="00C96053" w:rsidRDefault="00B2522B" w14:paraId="554794A6" w14:textId="77777777">
      <w:pPr>
        <w:pStyle w:val="Heading3"/>
        <w:rPr>
          <w:rFonts w:asciiTheme="majorHAnsi" w:hAnsiTheme="majorHAnsi" w:cstheme="majorHAnsi"/>
        </w:rPr>
      </w:pPr>
      <w:bookmarkStart w:name="_csth127jwdrw" w:colFirst="0" w:colLast="0" w:id="6"/>
      <w:bookmarkEnd w:id="6"/>
      <w:r w:rsidRPr="000F4C13">
        <w:rPr>
          <w:rFonts w:asciiTheme="majorHAnsi" w:hAnsiTheme="majorHAnsi" w:cstheme="majorHAnsi"/>
        </w:rPr>
        <w:t>Data Transparency and Its Impact on Availability and Affordability</w:t>
      </w:r>
    </w:p>
    <w:p w:rsidRPr="000F4C13" w:rsidR="00C96053" w:rsidRDefault="00B2522B" w14:paraId="361E778D" w14:textId="77777777">
      <w:pPr>
        <w:pStyle w:val="Heading4"/>
        <w:rPr>
          <w:rFonts w:asciiTheme="majorHAnsi" w:hAnsiTheme="majorHAnsi" w:cstheme="majorHAnsi"/>
        </w:rPr>
      </w:pPr>
      <w:bookmarkStart w:name="_6xo9y7cxuyds" w:colFirst="0" w:colLast="0" w:id="7"/>
      <w:bookmarkEnd w:id="7"/>
      <w:r w:rsidRPr="000F4C13">
        <w:rPr>
          <w:rFonts w:asciiTheme="majorHAnsi" w:hAnsiTheme="majorHAnsi" w:cstheme="majorHAnsi"/>
        </w:rPr>
        <w:t>Use of Proprietary Wildfire Maps and Lack of Consistent Standards and Risk Classification</w:t>
      </w:r>
    </w:p>
    <w:p w:rsidRPr="000F4C13" w:rsidR="00C96053" w:rsidRDefault="00B2522B" w14:paraId="49DD2E7E" w14:textId="495287CB">
      <w:pPr>
        <w:spacing w:before="240" w:after="240"/>
        <w:jc w:val="both"/>
        <w:rPr>
          <w:rFonts w:eastAsia="Calibri" w:asciiTheme="majorHAnsi" w:hAnsiTheme="majorHAnsi" w:cstheme="majorHAnsi"/>
          <w:b/>
          <w:bCs/>
        </w:rPr>
      </w:pPr>
      <w:r w:rsidRPr="000F4C13">
        <w:rPr>
          <w:rFonts w:eastAsia="Calibri" w:asciiTheme="majorHAnsi" w:hAnsiTheme="majorHAnsi" w:cstheme="majorHAnsi"/>
        </w:rPr>
        <w:t xml:space="preserve">Historically, insurance regulators’ primary tools for assessing risk were static—actuarial tables based on historical averages and broad geographic zones. </w:t>
      </w:r>
      <w:r w:rsidRPr="000F4C13" w:rsidR="001B5461">
        <w:rPr>
          <w:rFonts w:eastAsia="Calibri" w:asciiTheme="majorHAnsi" w:hAnsiTheme="majorHAnsi" w:cstheme="majorHAnsi"/>
        </w:rPr>
        <w:t>Insurers depended on the Insurance Services Office (ISO) Public Protection Classification (PPC) system, a standardized measure based on distance to fire stations and water sources. It</w:t>
      </w:r>
      <w:r w:rsidRPr="000F4C13">
        <w:rPr>
          <w:rFonts w:eastAsia="Calibri" w:asciiTheme="majorHAnsi" w:hAnsiTheme="majorHAnsi" w:cstheme="majorHAnsi"/>
        </w:rPr>
        <w:t xml:space="preserve"> was transparent, consistent, and easy for regulators to verify. </w:t>
      </w:r>
    </w:p>
    <w:p w:rsidRPr="000F4C13" w:rsidR="00C96053" w:rsidRDefault="00B2522B" w14:paraId="454D828C" w14:textId="77777777">
      <w:pPr>
        <w:spacing w:before="240" w:after="240"/>
        <w:jc w:val="both"/>
        <w:rPr>
          <w:rFonts w:eastAsia="Calibri" w:asciiTheme="majorHAnsi" w:hAnsiTheme="majorHAnsi" w:cstheme="majorHAnsi"/>
          <w:color w:val="FF0000"/>
        </w:rPr>
      </w:pPr>
      <w:r w:rsidRPr="000F4C13">
        <w:rPr>
          <w:rFonts w:eastAsia="Calibri" w:asciiTheme="majorHAnsi" w:hAnsiTheme="majorHAnsi" w:cstheme="majorHAnsi"/>
        </w:rPr>
        <w:t>The advent of catastrophe modeling has transformed the rating landscape, shifting the industry from a standardized, community-based rating system to a property-specific focus that often lacks transparency for both regulators and homeowners. Third-party vendors offer sophisticated models that account for vegetation density, slope, aspect, and wind patterns. Unlike the ISO scores, these models are largely proprietary. Insurers now utilize satellite imagery and aerial photography to assess the combustibility of individual properties. The use of proprietary wildfire maps has led to significant variations in how wildfire risk and protection classes are defined, sometimes resulting in substantial differences in risk scores for homes within the same town.</w:t>
      </w:r>
      <w:r w:rsidRPr="000F4C13">
        <w:rPr>
          <w:rFonts w:eastAsia="Calibri" w:asciiTheme="majorHAnsi" w:hAnsiTheme="majorHAnsi" w:cstheme="majorHAnsi"/>
          <w:vertAlign w:val="superscript"/>
        </w:rPr>
        <w:footnoteReference w:id="16"/>
      </w:r>
      <w:r w:rsidRPr="000F4C13">
        <w:rPr>
          <w:rFonts w:eastAsia="Calibri" w:asciiTheme="majorHAnsi" w:hAnsiTheme="majorHAnsi" w:cstheme="majorHAnsi"/>
          <w:vertAlign w:val="superscript"/>
        </w:rPr>
        <w:t>,</w:t>
      </w:r>
      <w:r w:rsidRPr="000F4C13">
        <w:rPr>
          <w:rFonts w:eastAsia="Calibri" w:asciiTheme="majorHAnsi" w:hAnsiTheme="majorHAnsi" w:cstheme="majorHAnsi"/>
          <w:vertAlign w:val="superscript"/>
        </w:rPr>
        <w:footnoteReference w:id="17"/>
      </w:r>
      <w:r w:rsidRPr="000F4C13">
        <w:rPr>
          <w:rFonts w:eastAsia="Calibri" w:asciiTheme="majorHAnsi" w:hAnsiTheme="majorHAnsi" w:cstheme="majorHAnsi"/>
        </w:rPr>
        <w:t xml:space="preserve"> </w:t>
      </w:r>
    </w:p>
    <w:p w:rsidRPr="000F4C13" w:rsidR="00C96053" w:rsidRDefault="00B2522B" w14:paraId="4996087B" w14:textId="39A0E5A2">
      <w:pPr>
        <w:spacing w:before="240" w:after="240"/>
        <w:jc w:val="both"/>
        <w:rPr>
          <w:rFonts w:eastAsia="Calibri" w:asciiTheme="majorHAnsi" w:hAnsiTheme="majorHAnsi" w:cstheme="majorHAnsi"/>
        </w:rPr>
      </w:pPr>
      <w:r w:rsidRPr="000F4C13">
        <w:rPr>
          <w:rFonts w:eastAsia="Calibri" w:asciiTheme="majorHAnsi" w:hAnsiTheme="majorHAnsi" w:cstheme="majorHAnsi"/>
        </w:rPr>
        <w:t>This variation complicates a regulator’s ability to ensure fair and non-discriminatory pricing. When an insurer files a rating plan based on a proprietary wildfire map, regulators are often asked to approve rates based on a “black box” algorithm. Without a standard to test these models against, regulators cannot definitively say whether a model accurately reflects physical risk or inadvertently redlin</w:t>
      </w:r>
      <w:r w:rsidRPr="000F4C13" w:rsidR="005228F7">
        <w:rPr>
          <w:rFonts w:eastAsia="Calibri" w:asciiTheme="majorHAnsi" w:hAnsiTheme="majorHAnsi" w:cstheme="majorHAnsi"/>
        </w:rPr>
        <w:t>es</w:t>
      </w:r>
      <w:r w:rsidRPr="000F4C13">
        <w:rPr>
          <w:rFonts w:eastAsia="Calibri" w:asciiTheme="majorHAnsi" w:hAnsiTheme="majorHAnsi" w:cstheme="majorHAnsi"/>
        </w:rPr>
        <w:t xml:space="preserve"> vulnerable communities.</w:t>
      </w:r>
    </w:p>
    <w:p w:rsidRPr="000F4C13" w:rsidR="00C96053" w:rsidRDefault="00B2522B" w14:paraId="1BD02570" w14:textId="2A5B2D47">
      <w:pPr>
        <w:spacing w:before="240" w:after="240"/>
        <w:jc w:val="both"/>
        <w:rPr>
          <w:rFonts w:eastAsia="Calibri" w:asciiTheme="majorHAnsi" w:hAnsiTheme="majorHAnsi" w:cstheme="majorHAnsi"/>
        </w:rPr>
      </w:pPr>
      <w:r w:rsidRPr="000F4C13">
        <w:rPr>
          <w:rFonts w:eastAsia="Calibri" w:asciiTheme="majorHAnsi" w:hAnsiTheme="majorHAnsi" w:cstheme="majorHAnsi"/>
        </w:rPr>
        <w:t>There may also be situations where mitigation efforts undertaken by a homeowner</w:t>
      </w:r>
      <w:r w:rsidR="00F67127">
        <w:rPr>
          <w:rFonts w:eastAsia="Calibri" w:asciiTheme="majorHAnsi" w:hAnsiTheme="majorHAnsi" w:cstheme="majorHAnsi"/>
        </w:rPr>
        <w:t xml:space="preserve">, </w:t>
      </w:r>
      <w:r w:rsidRPr="000F4C13">
        <w:rPr>
          <w:rFonts w:eastAsia="Calibri" w:asciiTheme="majorHAnsi" w:hAnsiTheme="majorHAnsi" w:cstheme="majorHAnsi"/>
        </w:rPr>
        <w:t>such as clearing brush or hardening a roof</w:t>
      </w:r>
      <w:r w:rsidR="00F67127">
        <w:rPr>
          <w:rFonts w:eastAsia="Calibri" w:asciiTheme="majorHAnsi" w:hAnsiTheme="majorHAnsi" w:cstheme="majorHAnsi"/>
        </w:rPr>
        <w:t xml:space="preserve">, </w:t>
      </w:r>
      <w:r w:rsidRPr="000F4C13">
        <w:rPr>
          <w:rFonts w:eastAsia="Calibri" w:asciiTheme="majorHAnsi" w:hAnsiTheme="majorHAnsi" w:cstheme="majorHAnsi"/>
        </w:rPr>
        <w:t>are recognized by one insurer’s proprietary map but ignored by another’s.</w:t>
      </w:r>
      <w:r w:rsidRPr="000F4C13">
        <w:rPr>
          <w:rFonts w:eastAsia="Calibri" w:asciiTheme="majorHAnsi" w:hAnsiTheme="majorHAnsi" w:cstheme="majorHAnsi"/>
          <w:vertAlign w:val="superscript"/>
        </w:rPr>
        <w:footnoteReference w:id="18"/>
      </w:r>
      <w:r w:rsidRPr="000F4C13">
        <w:rPr>
          <w:rFonts w:eastAsia="Calibri" w:asciiTheme="majorHAnsi" w:hAnsiTheme="majorHAnsi" w:cstheme="majorHAnsi"/>
        </w:rPr>
        <w:t xml:space="preserve"> </w:t>
      </w:r>
      <w:r w:rsidRPr="000F4C13" w:rsidR="00F6502B">
        <w:rPr>
          <w:rFonts w:eastAsia="Calibri" w:asciiTheme="majorHAnsi" w:hAnsiTheme="majorHAnsi" w:cstheme="majorHAnsi"/>
        </w:rPr>
        <w:t xml:space="preserve">This lack of standardization could discourage </w:t>
      </w:r>
      <w:r w:rsidRPr="000F4C13" w:rsidR="00EB24E1">
        <w:rPr>
          <w:rFonts w:eastAsia="Calibri" w:asciiTheme="majorHAnsi" w:hAnsiTheme="majorHAnsi" w:cstheme="majorHAnsi"/>
        </w:rPr>
        <w:t xml:space="preserve">homeowners from mitigating, since they are unsure whether their </w:t>
      </w:r>
      <w:r w:rsidRPr="000F4C13" w:rsidR="00F6502B">
        <w:rPr>
          <w:rFonts w:eastAsia="Calibri" w:asciiTheme="majorHAnsi" w:hAnsiTheme="majorHAnsi" w:cstheme="majorHAnsi"/>
        </w:rPr>
        <w:t>home improvements will lead to lower premiums.</w:t>
      </w:r>
    </w:p>
    <w:p w:rsidRPr="000F4C13" w:rsidR="00C96053" w:rsidRDefault="00B2522B" w14:paraId="1B38E97F" w14:textId="77777777">
      <w:pPr>
        <w:pStyle w:val="Heading4"/>
        <w:rPr>
          <w:rFonts w:asciiTheme="majorHAnsi" w:hAnsiTheme="majorHAnsi" w:cstheme="majorHAnsi"/>
        </w:rPr>
      </w:pPr>
      <w:bookmarkStart w:name="_7ez0b8v8khde" w:colFirst="0" w:colLast="0" w:id="8"/>
      <w:bookmarkEnd w:id="8"/>
      <w:r w:rsidRPr="000F4C13">
        <w:rPr>
          <w:rFonts w:asciiTheme="majorHAnsi" w:hAnsiTheme="majorHAnsi" w:cstheme="majorHAnsi"/>
        </w:rPr>
        <w:t>Flood Mapping Concerns and the Need for a Common Standard</w:t>
      </w:r>
    </w:p>
    <w:p w:rsidRPr="000F4C13" w:rsidR="00C96053" w:rsidRDefault="00B2522B" w14:paraId="71625C44" w14:textId="0A2AAD1B">
      <w:pPr>
        <w:spacing w:before="240" w:after="240"/>
        <w:jc w:val="both"/>
        <w:rPr>
          <w:rFonts w:eastAsia="Calibri" w:asciiTheme="majorHAnsi" w:hAnsiTheme="majorHAnsi" w:cstheme="majorHAnsi"/>
          <w:b/>
          <w:bCs/>
        </w:rPr>
      </w:pPr>
      <w:r w:rsidRPr="000F4C13">
        <w:rPr>
          <w:rFonts w:eastAsia="Calibri" w:asciiTheme="majorHAnsi" w:hAnsiTheme="majorHAnsi" w:cstheme="majorHAnsi"/>
        </w:rPr>
        <w:t xml:space="preserve">While wildfire mapping has moved from simple standards to complex proprietary models, flood mapping faces a different challenge: </w:t>
      </w:r>
      <w:r w:rsidRPr="000F4C13" w:rsidR="00EB24E1">
        <w:rPr>
          <w:rFonts w:eastAsia="Calibri" w:asciiTheme="majorHAnsi" w:hAnsiTheme="majorHAnsi" w:cstheme="majorHAnsi"/>
        </w:rPr>
        <w:t>divergence between the private market and</w:t>
      </w:r>
      <w:r w:rsidRPr="000F4C13">
        <w:rPr>
          <w:rFonts w:eastAsia="Calibri" w:asciiTheme="majorHAnsi" w:hAnsiTheme="majorHAnsi" w:cstheme="majorHAnsi"/>
        </w:rPr>
        <w:t xml:space="preserve"> the established federal flood insurance maps. </w:t>
      </w:r>
    </w:p>
    <w:p w:rsidRPr="000F4C13" w:rsidR="00C96053" w:rsidRDefault="00B2522B" w14:paraId="657A8035" w14:textId="77777777">
      <w:pPr>
        <w:spacing w:before="240" w:after="240"/>
        <w:jc w:val="both"/>
        <w:rPr>
          <w:rFonts w:eastAsia="Calibri" w:asciiTheme="majorHAnsi" w:hAnsiTheme="majorHAnsi" w:cstheme="majorHAnsi"/>
        </w:rPr>
      </w:pPr>
      <w:r w:rsidRPr="000F4C13">
        <w:rPr>
          <w:rFonts w:eastAsia="Calibri" w:asciiTheme="majorHAnsi" w:hAnsiTheme="majorHAnsi" w:cstheme="majorHAnsi"/>
        </w:rPr>
        <w:t>Flood mapping in the United States has historically been a federal enterprise. Since the passage of the National Flood Insurance Act of 1968, FEMA has been the definitive source of flood risk data</w:t>
      </w:r>
      <w:r w:rsidRPr="000F4C13">
        <w:rPr>
          <w:rFonts w:eastAsia="Calibri" w:asciiTheme="majorHAnsi" w:hAnsiTheme="majorHAnsi" w:cstheme="majorHAnsi"/>
          <w:vertAlign w:val="superscript"/>
        </w:rPr>
        <w:footnoteReference w:id="19"/>
      </w:r>
      <w:r w:rsidRPr="000F4C13">
        <w:rPr>
          <w:rFonts w:eastAsia="Calibri" w:asciiTheme="majorHAnsi" w:hAnsiTheme="majorHAnsi" w:cstheme="majorHAnsi"/>
        </w:rPr>
        <w:t>. According to the Federal Flood Insurance Rate Map (FIRM), if a property was located inside the “100-year” flood zone, it required insurance; if it was situated one foot outside, it often did not. Standard homeowners’ policies generally exclude flood losses, requiring separate policies often through the National Flood Insurance Program (NFIP).</w:t>
      </w:r>
      <w:r w:rsidRPr="000F4C13">
        <w:rPr>
          <w:rFonts w:eastAsia="Calibri" w:asciiTheme="majorHAnsi" w:hAnsiTheme="majorHAnsi" w:cstheme="majorHAnsi"/>
          <w:vertAlign w:val="superscript"/>
        </w:rPr>
        <w:footnoteReference w:id="20"/>
      </w:r>
      <w:r w:rsidRPr="000F4C13">
        <w:rPr>
          <w:rFonts w:eastAsia="Calibri" w:asciiTheme="majorHAnsi" w:hAnsiTheme="majorHAnsi" w:cstheme="majorHAnsi"/>
          <w:vertAlign w:val="superscript"/>
        </w:rPr>
        <w:t>,</w:t>
      </w:r>
      <w:r w:rsidRPr="000F4C13">
        <w:rPr>
          <w:rFonts w:eastAsia="Calibri" w:asciiTheme="majorHAnsi" w:hAnsiTheme="majorHAnsi" w:cstheme="majorHAnsi"/>
          <w:vertAlign w:val="superscript"/>
        </w:rPr>
        <w:footnoteReference w:id="21"/>
      </w:r>
    </w:p>
    <w:p w:rsidRPr="000F4C13" w:rsidR="00C96053" w:rsidRDefault="00B2522B" w14:paraId="2795537D" w14:textId="54B38C97">
      <w:pPr>
        <w:jc w:val="both"/>
        <w:rPr>
          <w:rFonts w:eastAsia="Calibri" w:asciiTheme="majorHAnsi" w:hAnsiTheme="majorHAnsi" w:cstheme="majorHAnsi"/>
          <w:strike/>
          <w:color w:val="FF0000"/>
        </w:rPr>
      </w:pPr>
      <w:r w:rsidRPr="000F4C13">
        <w:rPr>
          <w:rFonts w:eastAsia="Calibri" w:asciiTheme="majorHAnsi" w:hAnsiTheme="majorHAnsi" w:cstheme="majorHAnsi"/>
        </w:rPr>
        <w:t>As computing power developed, private insurers realized that FEMA’s binary “in or out” approach failed to capture the true gradation of risk. While FEMA worked to modernize its inventory through initiatives like “Risk MAP” and “Risk Rating 2.0</w:t>
      </w:r>
      <w:r w:rsidRPr="000F4C13" w:rsidR="00E52954">
        <w:rPr>
          <w:rFonts w:eastAsia="Calibri" w:asciiTheme="majorHAnsi" w:hAnsiTheme="majorHAnsi" w:cstheme="majorHAnsi"/>
        </w:rPr>
        <w:t>,</w:t>
      </w:r>
      <w:r w:rsidRPr="000F4C13">
        <w:rPr>
          <w:rFonts w:eastAsia="Calibri" w:asciiTheme="majorHAnsi" w:hAnsiTheme="majorHAnsi" w:cstheme="majorHAnsi"/>
        </w:rPr>
        <w:t xml:space="preserve">” private insurers began developing proprietary flood models </w:t>
      </w:r>
      <w:r w:rsidRPr="000F4C13" w:rsidR="008E5BFA">
        <w:rPr>
          <w:rFonts w:eastAsia="Calibri" w:asciiTheme="majorHAnsi" w:hAnsiTheme="majorHAnsi" w:cstheme="majorHAnsi"/>
        </w:rPr>
        <w:t xml:space="preserve">using </w:t>
      </w:r>
      <w:r w:rsidRPr="000F4C13">
        <w:rPr>
          <w:rFonts w:eastAsia="Calibri" w:asciiTheme="majorHAnsi" w:hAnsiTheme="majorHAnsi" w:cstheme="majorHAnsi"/>
        </w:rPr>
        <w:t>higher-resolution elevation data and distinct hydrodynamic inputs.</w:t>
      </w:r>
      <w:r w:rsidRPr="000F4C13">
        <w:rPr>
          <w:rFonts w:eastAsia="Calibri" w:asciiTheme="majorHAnsi" w:hAnsiTheme="majorHAnsi" w:cstheme="majorHAnsi"/>
          <w:vertAlign w:val="superscript"/>
        </w:rPr>
        <w:footnoteReference w:id="22"/>
      </w:r>
      <w:r w:rsidRPr="000F4C13">
        <w:rPr>
          <w:rFonts w:eastAsia="Calibri" w:asciiTheme="majorHAnsi" w:hAnsiTheme="majorHAnsi" w:cstheme="majorHAnsi"/>
        </w:rPr>
        <w:t xml:space="preserve"> These proprietary maps have allowed private carriers to identify lower-risk properties. This creates a bifurcated market </w:t>
      </w:r>
      <w:r w:rsidRPr="000F4C13" w:rsidR="00802AD4">
        <w:rPr>
          <w:rFonts w:eastAsia="Calibri" w:asciiTheme="majorHAnsi" w:hAnsiTheme="majorHAnsi" w:cstheme="majorHAnsi"/>
        </w:rPr>
        <w:t>in which risk assessment varies depending on whether it</w:t>
      </w:r>
      <w:r w:rsidRPr="000F4C13" w:rsidR="0072383D">
        <w:rPr>
          <w:rFonts w:eastAsia="Calibri" w:asciiTheme="majorHAnsi" w:hAnsiTheme="majorHAnsi" w:cstheme="majorHAnsi"/>
        </w:rPr>
        <w:t xml:space="preserve"> is based on the federal map or the insurer’s map.</w:t>
      </w:r>
      <w:r w:rsidRPr="000F4C13">
        <w:rPr>
          <w:rFonts w:eastAsia="Calibri" w:asciiTheme="majorHAnsi" w:hAnsiTheme="majorHAnsi" w:cstheme="majorHAnsi"/>
          <w:strike/>
        </w:rPr>
        <w:t xml:space="preserve"> </w:t>
      </w:r>
    </w:p>
    <w:p w:rsidRPr="000F4C13" w:rsidR="00C96053" w:rsidRDefault="00B2522B" w14:paraId="26B09AE8" w14:textId="77777777">
      <w:pPr>
        <w:pStyle w:val="Heading4"/>
        <w:rPr>
          <w:rFonts w:asciiTheme="majorHAnsi" w:hAnsiTheme="majorHAnsi" w:cstheme="majorHAnsi"/>
        </w:rPr>
      </w:pPr>
      <w:bookmarkStart w:name="_ut850jidp34l" w:colFirst="0" w:colLast="0" w:id="9"/>
      <w:bookmarkEnd w:id="9"/>
      <w:r w:rsidRPr="000F4C13">
        <w:rPr>
          <w:rFonts w:asciiTheme="majorHAnsi" w:hAnsiTheme="majorHAnsi" w:cstheme="majorHAnsi"/>
        </w:rPr>
        <w:t>Continued Access to National Oceanic and Atmospheric Administration (NOAA) and FEMA data for weather modeling</w:t>
      </w:r>
    </w:p>
    <w:p w:rsidRPr="000F4C13" w:rsidR="00C96053" w:rsidRDefault="00B2522B" w14:paraId="60338E78" w14:textId="248B4087">
      <w:pPr>
        <w:jc w:val="both"/>
        <w:rPr>
          <w:rFonts w:eastAsia="Calibri" w:asciiTheme="majorHAnsi" w:hAnsiTheme="majorHAnsi" w:cstheme="majorHAnsi"/>
        </w:rPr>
      </w:pPr>
      <w:r w:rsidRPr="000F4C13">
        <w:rPr>
          <w:rFonts w:eastAsia="Calibri" w:asciiTheme="majorHAnsi" w:hAnsiTheme="majorHAnsi" w:cstheme="majorHAnsi"/>
        </w:rPr>
        <w:t xml:space="preserve">Data developed by insurers or third-party vendors for catastrophe models hinges on access to high-quality, accurate data. Two critical sources of such information are </w:t>
      </w:r>
      <w:r w:rsidRPr="000F4C13" w:rsidR="00051E2D">
        <w:rPr>
          <w:rFonts w:eastAsia="Calibri" w:asciiTheme="majorHAnsi" w:hAnsiTheme="majorHAnsi" w:cstheme="majorHAnsi"/>
        </w:rPr>
        <w:t>NOAA and FEMA data</w:t>
      </w:r>
      <w:r w:rsidRPr="000F4C13">
        <w:rPr>
          <w:rFonts w:eastAsia="Calibri" w:asciiTheme="majorHAnsi" w:hAnsiTheme="majorHAnsi" w:cstheme="majorHAnsi"/>
        </w:rPr>
        <w:t xml:space="preserve">. NOAA’s data and tools are used by both insurers and policymakers to assess risk and predict losses. </w:t>
      </w:r>
      <w:r w:rsidRPr="000F4C13" w:rsidR="008A3FFD">
        <w:rPr>
          <w:rFonts w:eastAsia="Calibri" w:asciiTheme="majorHAnsi" w:hAnsiTheme="majorHAnsi" w:cstheme="majorHAnsi"/>
        </w:rPr>
        <w:t>In early 2025</w:t>
      </w:r>
      <w:r w:rsidRPr="000F4C13" w:rsidR="00D7569D">
        <w:rPr>
          <w:rFonts w:eastAsia="Calibri" w:asciiTheme="majorHAnsi" w:hAnsiTheme="majorHAnsi" w:cstheme="majorHAnsi"/>
        </w:rPr>
        <w:t>,</w:t>
      </w:r>
      <w:r w:rsidRPr="000F4C13">
        <w:rPr>
          <w:rFonts w:eastAsia="Calibri" w:asciiTheme="majorHAnsi" w:hAnsiTheme="majorHAnsi" w:cstheme="majorHAnsi"/>
        </w:rPr>
        <w:t xml:space="preserve"> the </w:t>
      </w:r>
      <w:r w:rsidRPr="000F4C13" w:rsidR="00D7569D">
        <w:rPr>
          <w:rFonts w:eastAsia="Calibri" w:asciiTheme="majorHAnsi" w:hAnsiTheme="majorHAnsi" w:cstheme="majorHAnsi"/>
        </w:rPr>
        <w:t xml:space="preserve">Trump </w:t>
      </w:r>
      <w:r w:rsidRPr="000F4C13">
        <w:rPr>
          <w:rFonts w:eastAsia="Calibri" w:asciiTheme="majorHAnsi" w:hAnsiTheme="majorHAnsi" w:cstheme="majorHAnsi"/>
        </w:rPr>
        <w:t>administration discontinued updating the NOAA database for weather events that cause more than $1 billion in damage.</w:t>
      </w:r>
      <w:r w:rsidRPr="000F4C13">
        <w:rPr>
          <w:rFonts w:eastAsia="Calibri" w:asciiTheme="majorHAnsi" w:hAnsiTheme="majorHAnsi" w:cstheme="majorHAnsi"/>
          <w:highlight w:val="white"/>
          <w:vertAlign w:val="superscript"/>
        </w:rPr>
        <w:footnoteReference w:id="23"/>
      </w:r>
      <w:r w:rsidRPr="000F4C13">
        <w:rPr>
          <w:rFonts w:eastAsia="Calibri" w:asciiTheme="majorHAnsi" w:hAnsiTheme="majorHAnsi" w:cstheme="majorHAnsi"/>
          <w:highlight w:val="white"/>
        </w:rPr>
        <w:t xml:space="preserve"> </w:t>
      </w:r>
      <w:r w:rsidRPr="000F4C13">
        <w:rPr>
          <w:rFonts w:eastAsia="Calibri" w:asciiTheme="majorHAnsi" w:hAnsiTheme="majorHAnsi" w:cstheme="majorHAnsi"/>
        </w:rPr>
        <w:t>The loss of that data may</w:t>
      </w:r>
      <w:r w:rsidRPr="000F4C13">
        <w:rPr>
          <w:rFonts w:eastAsia="Calibri" w:asciiTheme="majorHAnsi" w:hAnsiTheme="majorHAnsi" w:cstheme="majorHAnsi"/>
          <w:highlight w:val="white"/>
        </w:rPr>
        <w:t xml:space="preserve"> lead to less accurate risk pricing and analysis. </w:t>
      </w:r>
      <w:r w:rsidRPr="000F4C13">
        <w:rPr>
          <w:rFonts w:eastAsia="Calibri" w:asciiTheme="majorHAnsi" w:hAnsiTheme="majorHAnsi" w:cstheme="majorHAnsi"/>
        </w:rPr>
        <w:t xml:space="preserve">Similarly, FEMA data is relied upon by insurers and regulators </w:t>
      </w:r>
      <w:r w:rsidRPr="000F4C13" w:rsidR="00D7569D">
        <w:rPr>
          <w:rFonts w:eastAsia="Calibri" w:asciiTheme="majorHAnsi" w:hAnsiTheme="majorHAnsi" w:cstheme="majorHAnsi"/>
        </w:rPr>
        <w:t xml:space="preserve">for </w:t>
      </w:r>
      <w:r w:rsidRPr="000F4C13">
        <w:rPr>
          <w:rFonts w:eastAsia="Calibri" w:asciiTheme="majorHAnsi" w:hAnsiTheme="majorHAnsi" w:cstheme="majorHAnsi"/>
        </w:rPr>
        <w:t xml:space="preserve">various hazard impacts. FEMA uses various data, including its own risk assessments (Hazus), </w:t>
      </w:r>
      <w:r w:rsidRPr="000F4C13" w:rsidR="00D7569D">
        <w:rPr>
          <w:rFonts w:eastAsia="Calibri" w:asciiTheme="majorHAnsi" w:hAnsiTheme="majorHAnsi" w:cstheme="majorHAnsi"/>
        </w:rPr>
        <w:t>the National Flood Hazard Layer (NFHL), and data from partners like NOAA (wind, precipitation, NDFD), to run models to predict</w:t>
      </w:r>
      <w:r w:rsidRPr="000F4C13">
        <w:rPr>
          <w:rFonts w:eastAsia="Calibri" w:asciiTheme="majorHAnsi" w:hAnsiTheme="majorHAnsi" w:cstheme="majorHAnsi"/>
        </w:rPr>
        <w:t xml:space="preserve"> flood, storm surge, and other hazard impacts. This helps with mitigation, planning, and response by providing geospatial data, weather inputs (like METAR/WPC), and detailed flood zone information for hazard mapping and emergency management.</w:t>
      </w:r>
      <w:r w:rsidRPr="000F4C13">
        <w:rPr>
          <w:rFonts w:eastAsia="Calibri" w:asciiTheme="majorHAnsi" w:hAnsiTheme="majorHAnsi" w:cstheme="majorHAnsi"/>
          <w:vertAlign w:val="superscript"/>
        </w:rPr>
        <w:footnoteReference w:id="24"/>
      </w:r>
      <w:r w:rsidRPr="000F4C13">
        <w:rPr>
          <w:rFonts w:eastAsia="Calibri" w:asciiTheme="majorHAnsi" w:hAnsiTheme="majorHAnsi" w:cstheme="majorHAnsi"/>
        </w:rPr>
        <w:t xml:space="preserve"> The future of FEMA data has been in question at the federal level.</w:t>
      </w:r>
    </w:p>
    <w:p w:rsidRPr="000F4C13" w:rsidR="00C96053" w:rsidRDefault="00B2522B" w14:paraId="34ED89C8" w14:textId="77777777">
      <w:pPr>
        <w:pStyle w:val="Heading3"/>
        <w:rPr>
          <w:rFonts w:asciiTheme="majorHAnsi" w:hAnsiTheme="majorHAnsi" w:cstheme="majorHAnsi"/>
        </w:rPr>
      </w:pPr>
      <w:bookmarkStart w:name="_2gvub2jebhpx" w:colFirst="0" w:colLast="0" w:id="10"/>
      <w:bookmarkEnd w:id="10"/>
      <w:r w:rsidRPr="000F4C13">
        <w:rPr>
          <w:rFonts w:asciiTheme="majorHAnsi" w:hAnsiTheme="majorHAnsi" w:cstheme="majorHAnsi"/>
        </w:rPr>
        <w:t>Communication and Education Gaps</w:t>
      </w:r>
    </w:p>
    <w:p w:rsidRPr="000F4C13" w:rsidR="00C96053" w:rsidRDefault="00B2522B" w14:paraId="17CB7E9F" w14:textId="77777777">
      <w:pPr>
        <w:pStyle w:val="Heading4"/>
        <w:rPr>
          <w:rFonts w:asciiTheme="majorHAnsi" w:hAnsiTheme="majorHAnsi" w:cstheme="majorHAnsi"/>
        </w:rPr>
      </w:pPr>
      <w:bookmarkStart w:name="_b9rp3gtd7b2j" w:colFirst="0" w:colLast="0" w:id="11"/>
      <w:bookmarkEnd w:id="11"/>
      <w:r w:rsidRPr="000F4C13">
        <w:rPr>
          <w:rFonts w:asciiTheme="majorHAnsi" w:hAnsiTheme="majorHAnsi" w:cstheme="majorHAnsi"/>
        </w:rPr>
        <w:t>How Consumers Access and Understand Insurance Information.</w:t>
      </w:r>
    </w:p>
    <w:p w:rsidRPr="000F4C13" w:rsidR="00C96053" w:rsidRDefault="00B2522B" w14:paraId="74C55FBE" w14:textId="443B60D3">
      <w:pPr>
        <w:jc w:val="both"/>
        <w:rPr>
          <w:rFonts w:eastAsia="Calibri" w:asciiTheme="majorHAnsi" w:hAnsiTheme="majorHAnsi" w:cstheme="majorHAnsi"/>
        </w:rPr>
      </w:pPr>
      <w:r w:rsidRPr="000F4C13">
        <w:rPr>
          <w:rFonts w:eastAsia="Calibri" w:asciiTheme="majorHAnsi" w:hAnsiTheme="majorHAnsi" w:cstheme="majorHAnsi"/>
        </w:rPr>
        <w:t>Consumers can access insurance information through their insurance agent, their state’s Division/Department of Insurance website, or by calling the Division or Department of Insurance consumer service teams. Each state has staff available to answer questions related to property and casualty insurance, including homeowners insurance, insurance laws, administrative rules, and general insurance business practices. State Divisions/Departments of Insurance may have information available on their websites to help consumers navigate the homeowner market. This may include shopping tools to help consumers find insurance companies and understand pricing. Finally, some Divisions/Departments of Insurance publish a premium comparison report on their website.</w:t>
      </w:r>
    </w:p>
    <w:p w:rsidRPr="000F4C13" w:rsidR="00C96053" w:rsidRDefault="00B2522B" w14:paraId="52F6EEE3" w14:textId="1246979B">
      <w:pPr>
        <w:jc w:val="both"/>
        <w:rPr>
          <w:rFonts w:eastAsia="Calibri" w:asciiTheme="majorHAnsi" w:hAnsiTheme="majorHAnsi" w:cstheme="majorHAnsi"/>
        </w:rPr>
      </w:pPr>
      <w:r w:rsidRPr="000F4C13">
        <w:rPr>
          <w:rFonts w:eastAsia="Calibri" w:asciiTheme="majorHAnsi" w:hAnsiTheme="majorHAnsi" w:cstheme="majorHAnsi"/>
        </w:rPr>
        <w:t xml:space="preserve">Individual states may have specific laws that outline distinct consumer notification requirements. For example, Colorado </w:t>
      </w:r>
      <w:r w:rsidRPr="000F4C13" w:rsidR="0058325E">
        <w:rPr>
          <w:rFonts w:eastAsia="Calibri" w:asciiTheme="majorHAnsi" w:hAnsiTheme="majorHAnsi" w:cstheme="majorHAnsi"/>
        </w:rPr>
        <w:t>Statute</w:t>
      </w:r>
      <w:r w:rsidRPr="000F4C13">
        <w:rPr>
          <w:rFonts w:eastAsia="Calibri" w:asciiTheme="majorHAnsi" w:hAnsiTheme="majorHAnsi" w:cstheme="majorHAnsi"/>
        </w:rPr>
        <w:t xml:space="preserve"> (Section 10-4-111, C.R.S.) requires insurance carriers to provide </w:t>
      </w:r>
      <w:r w:rsidRPr="000F4C13" w:rsidR="0058325E">
        <w:rPr>
          <w:rFonts w:eastAsia="Calibri" w:asciiTheme="majorHAnsi" w:hAnsiTheme="majorHAnsi" w:cstheme="majorHAnsi"/>
        </w:rPr>
        <w:t>homeowners with an annual homeowner disclosure form</w:t>
      </w:r>
      <w:r w:rsidRPr="000F4C13">
        <w:rPr>
          <w:rFonts w:eastAsia="Calibri" w:asciiTheme="majorHAnsi" w:hAnsiTheme="majorHAnsi" w:cstheme="majorHAnsi"/>
        </w:rPr>
        <w:t xml:space="preserve">. This form summarizes their insurance policy and provides basic information related to premium increases, cancellation, and non-renewal reasons. The disclosure also explains what coverage is available that the consumer may want to consider </w:t>
      </w:r>
      <w:r w:rsidRPr="000F4C13" w:rsidR="0058325E">
        <w:rPr>
          <w:rFonts w:eastAsia="Calibri" w:asciiTheme="majorHAnsi" w:hAnsiTheme="majorHAnsi" w:cstheme="majorHAnsi"/>
        </w:rPr>
        <w:t>purchasing, but</w:t>
      </w:r>
      <w:r w:rsidRPr="000F4C13">
        <w:rPr>
          <w:rFonts w:eastAsia="Calibri" w:asciiTheme="majorHAnsi" w:hAnsiTheme="majorHAnsi" w:cstheme="majorHAnsi"/>
        </w:rPr>
        <w:t xml:space="preserve"> has not yet. </w:t>
      </w:r>
      <w:r w:rsidRPr="000F4C13">
        <w:rPr>
          <w:rFonts w:eastAsia="Calibri" w:asciiTheme="majorHAnsi" w:hAnsiTheme="majorHAnsi" w:cstheme="majorHAnsi"/>
        </w:rPr>
        <w:tab/>
      </w:r>
      <w:r w:rsidRPr="000F4C13">
        <w:rPr>
          <w:rFonts w:eastAsia="Calibri" w:asciiTheme="majorHAnsi" w:hAnsiTheme="majorHAnsi" w:cstheme="majorHAnsi"/>
        </w:rPr>
        <w:tab/>
      </w:r>
    </w:p>
    <w:p w:rsidRPr="000F4C13" w:rsidR="00C96053" w:rsidRDefault="00B2522B" w14:paraId="663765D6" w14:textId="77777777">
      <w:pPr>
        <w:pStyle w:val="Heading4"/>
        <w:rPr>
          <w:rFonts w:asciiTheme="majorHAnsi" w:hAnsiTheme="majorHAnsi" w:cstheme="majorHAnsi"/>
        </w:rPr>
      </w:pPr>
      <w:bookmarkStart w:name="_5er0d3a3mvl7" w:colFirst="0" w:colLast="0" w:id="12"/>
      <w:bookmarkEnd w:id="12"/>
      <w:r w:rsidRPr="000F4C13">
        <w:rPr>
          <w:rFonts w:asciiTheme="majorHAnsi" w:hAnsiTheme="majorHAnsi" w:cstheme="majorHAnsi"/>
        </w:rPr>
        <w:t>Consumer-level Access Challenges and how Limited Transparency Affects Decision-making</w:t>
      </w:r>
    </w:p>
    <w:p w:rsidRPr="000F4C13" w:rsidR="00C96053" w:rsidRDefault="00B2522B" w14:paraId="764AA7BE" w14:textId="34531C27">
      <w:pPr>
        <w:jc w:val="both"/>
        <w:rPr>
          <w:rFonts w:eastAsia="Calibri" w:asciiTheme="majorHAnsi" w:hAnsiTheme="majorHAnsi" w:cstheme="majorHAnsi"/>
          <w:highlight w:val="white"/>
        </w:rPr>
      </w:pPr>
      <w:r w:rsidRPr="000F4C13">
        <w:rPr>
          <w:rFonts w:eastAsia="Calibri" w:asciiTheme="majorHAnsi" w:hAnsiTheme="majorHAnsi" w:cstheme="majorHAnsi"/>
        </w:rPr>
        <w:t xml:space="preserve">Often, consumers do not understand what is or is not included in the policy. </w:t>
      </w:r>
      <w:r w:rsidRPr="000F4C13">
        <w:rPr>
          <w:rFonts w:eastAsia="Calibri" w:asciiTheme="majorHAnsi" w:hAnsiTheme="majorHAnsi" w:cstheme="majorHAnsi"/>
          <w:highlight w:val="white"/>
        </w:rPr>
        <w:t xml:space="preserve">A 2024 </w:t>
      </w:r>
      <w:r w:rsidRPr="000F4C13" w:rsidR="00CD6D1E">
        <w:rPr>
          <w:rFonts w:eastAsia="Calibri" w:asciiTheme="majorHAnsi" w:hAnsiTheme="majorHAnsi" w:cstheme="majorHAnsi"/>
          <w:highlight w:val="white"/>
        </w:rPr>
        <w:t xml:space="preserve">LexisNexis study of homeowners insurance consumers found that 70% </w:t>
      </w:r>
      <w:r w:rsidRPr="000F4C13">
        <w:rPr>
          <w:rFonts w:eastAsia="Calibri" w:asciiTheme="majorHAnsi" w:hAnsiTheme="majorHAnsi" w:cstheme="majorHAnsi"/>
          <w:highlight w:val="white"/>
        </w:rPr>
        <w:t>rely on insurance carriers or agents to help ensure they have adequate coverage.</w:t>
      </w:r>
      <w:r w:rsidRPr="000F4C13">
        <w:rPr>
          <w:rFonts w:eastAsia="Calibri" w:asciiTheme="majorHAnsi" w:hAnsiTheme="majorHAnsi" w:cstheme="majorHAnsi"/>
          <w:highlight w:val="white"/>
          <w:vertAlign w:val="superscript"/>
        </w:rPr>
        <w:footnoteReference w:id="25"/>
      </w:r>
      <w:r w:rsidRPr="000F4C13">
        <w:rPr>
          <w:rFonts w:eastAsia="Calibri" w:asciiTheme="majorHAnsi" w:hAnsiTheme="majorHAnsi" w:cstheme="majorHAnsi"/>
          <w:highlight w:val="white"/>
        </w:rPr>
        <w:t xml:space="preserve"> These homeowners tend to be less aware of property risks, with only 31% considering themselves highly informed.</w:t>
      </w:r>
      <w:r w:rsidRPr="000F4C13">
        <w:rPr>
          <w:rFonts w:eastAsia="Calibri" w:asciiTheme="majorHAnsi" w:hAnsiTheme="majorHAnsi" w:cstheme="majorHAnsi"/>
          <w:highlight w:val="white"/>
          <w:vertAlign w:val="superscript"/>
        </w:rPr>
        <w:footnoteReference w:id="26"/>
      </w:r>
      <w:r w:rsidRPr="000F4C13">
        <w:rPr>
          <w:rFonts w:eastAsia="Calibri" w:asciiTheme="majorHAnsi" w:hAnsiTheme="majorHAnsi" w:cstheme="majorHAnsi"/>
          <w:highlight w:val="white"/>
        </w:rPr>
        <w:t xml:space="preserve"> That same study found that, while most homeowners assume they have sufficient coverage, only about half (51%) of respondents knew the specific details of their policy coverage.</w:t>
      </w:r>
      <w:r w:rsidRPr="000F4C13">
        <w:rPr>
          <w:rFonts w:eastAsia="Calibri" w:asciiTheme="majorHAnsi" w:hAnsiTheme="majorHAnsi" w:cstheme="majorHAnsi"/>
          <w:color w:val="373737"/>
          <w:highlight w:val="white"/>
          <w:vertAlign w:val="superscript"/>
        </w:rPr>
        <w:footnoteReference w:id="27"/>
      </w:r>
      <w:r w:rsidRPr="000F4C13">
        <w:rPr>
          <w:rFonts w:eastAsia="Calibri" w:asciiTheme="majorHAnsi" w:hAnsiTheme="majorHAnsi" w:cstheme="majorHAnsi"/>
          <w:highlight w:val="white"/>
        </w:rPr>
        <w:t xml:space="preserve"> A study by Guardian Service further confirms this finding: </w:t>
      </w:r>
      <w:r w:rsidRPr="000F4C13" w:rsidR="00970D28">
        <w:rPr>
          <w:rFonts w:eastAsia="Calibri" w:asciiTheme="majorHAnsi" w:hAnsiTheme="majorHAnsi" w:cstheme="majorHAnsi"/>
          <w:highlight w:val="white"/>
        </w:rPr>
        <w:t>a survey of 2,000 homeowners found that</w:t>
      </w:r>
      <w:r w:rsidRPr="000F4C13">
        <w:rPr>
          <w:rFonts w:eastAsia="Calibri" w:asciiTheme="majorHAnsi" w:hAnsiTheme="majorHAnsi" w:cstheme="majorHAnsi"/>
          <w:highlight w:val="white"/>
        </w:rPr>
        <w:t xml:space="preserve"> 57% were unsure of exactly what is or isn’t covered by their policy today.</w:t>
      </w:r>
      <w:r w:rsidRPr="000F4C13">
        <w:rPr>
          <w:rFonts w:eastAsia="Calibri" w:asciiTheme="majorHAnsi" w:hAnsiTheme="majorHAnsi" w:cstheme="majorHAnsi"/>
          <w:highlight w:val="white"/>
          <w:vertAlign w:val="superscript"/>
        </w:rPr>
        <w:footnoteReference w:id="28"/>
      </w:r>
      <w:r w:rsidRPr="000F4C13">
        <w:rPr>
          <w:rFonts w:eastAsia="Calibri" w:asciiTheme="majorHAnsi" w:hAnsiTheme="majorHAnsi" w:cstheme="majorHAnsi"/>
          <w:highlight w:val="white"/>
        </w:rPr>
        <w:t xml:space="preserve"> For example, consumers often misunderstand that standard homeowners insurance excludes floods and earthquakes, requires separate coverage for high-value items, and that "replacement cost" isn't the same as "market value".</w:t>
      </w:r>
      <w:r w:rsidRPr="000F4C13">
        <w:rPr>
          <w:rFonts w:eastAsia="Calibri" w:asciiTheme="majorHAnsi" w:hAnsiTheme="majorHAnsi" w:cstheme="majorHAnsi"/>
          <w:highlight w:val="white"/>
          <w:vertAlign w:val="superscript"/>
        </w:rPr>
        <w:footnoteReference w:id="29"/>
      </w:r>
      <w:r w:rsidRPr="000F4C13">
        <w:rPr>
          <w:rFonts w:eastAsia="Calibri" w:asciiTheme="majorHAnsi" w:hAnsiTheme="majorHAnsi" w:cstheme="majorHAnsi"/>
          <w:highlight w:val="white"/>
        </w:rPr>
        <w:t xml:space="preserve"> Even the different sections of a policy, or corresponding documents and agreements, are often unknown to consumers, again pointing to how few actually read or then understand their policy details.</w:t>
      </w:r>
      <w:r w:rsidRPr="000F4C13">
        <w:rPr>
          <w:rFonts w:eastAsia="Calibri" w:asciiTheme="majorHAnsi" w:hAnsiTheme="majorHAnsi" w:cstheme="majorHAnsi"/>
          <w:highlight w:val="white"/>
          <w:vertAlign w:val="superscript"/>
        </w:rPr>
        <w:footnoteReference w:id="30"/>
      </w:r>
      <w:r w:rsidRPr="000F4C13">
        <w:rPr>
          <w:rFonts w:eastAsia="Calibri" w:asciiTheme="majorHAnsi" w:hAnsiTheme="majorHAnsi" w:cstheme="majorHAnsi"/>
          <w:highlight w:val="white"/>
        </w:rPr>
        <w:t xml:space="preserve"> </w:t>
      </w:r>
    </w:p>
    <w:p w:rsidRPr="000F4C13" w:rsidR="004A57F0" w:rsidP="004A57F0" w:rsidRDefault="002430D7" w14:paraId="0C62A1AF" w14:textId="1807839C">
      <w:pPr>
        <w:jc w:val="both"/>
        <w:rPr>
          <w:rFonts w:eastAsia="Calibri" w:asciiTheme="majorHAnsi" w:hAnsiTheme="majorHAnsi" w:cstheme="majorHAnsi"/>
          <w:highlight w:val="white"/>
          <w:lang w:val="en-US"/>
        </w:rPr>
      </w:pPr>
      <w:r w:rsidRPr="000F4C13">
        <w:rPr>
          <w:rFonts w:eastAsia="Calibri" w:asciiTheme="majorHAnsi" w:hAnsiTheme="majorHAnsi" w:cstheme="majorHAnsi"/>
          <w:highlight w:val="white"/>
        </w:rPr>
        <w:t>The</w:t>
      </w:r>
      <w:r w:rsidRPr="000F4C13" w:rsidR="00242DDB">
        <w:rPr>
          <w:rFonts w:eastAsia="Calibri" w:asciiTheme="majorHAnsi" w:hAnsiTheme="majorHAnsi" w:cstheme="majorHAnsi"/>
          <w:highlight w:val="white"/>
        </w:rPr>
        <w:t xml:space="preserve"> complexity of </w:t>
      </w:r>
      <w:r w:rsidRPr="000F4C13" w:rsidR="002F1D4A">
        <w:rPr>
          <w:rFonts w:eastAsia="Calibri" w:asciiTheme="majorHAnsi" w:hAnsiTheme="majorHAnsi" w:cstheme="majorHAnsi"/>
          <w:highlight w:val="white"/>
          <w:lang w:val="en-US"/>
        </w:rPr>
        <w:t>policies makes it difficult for consumers to understand what is and is not covered, even when they attempt to read their policy materials.</w:t>
      </w:r>
      <w:r w:rsidRPr="000F4C13" w:rsidR="004B29A3">
        <w:rPr>
          <w:rFonts w:eastAsia="Calibri" w:asciiTheme="majorHAnsi" w:hAnsiTheme="majorHAnsi" w:cstheme="majorHAnsi"/>
          <w:highlight w:val="white"/>
          <w:lang w:val="en-US"/>
        </w:rPr>
        <w:t xml:space="preserve"> </w:t>
      </w:r>
      <w:r w:rsidRPr="000F4C13" w:rsidR="00242DDB">
        <w:rPr>
          <w:rFonts w:eastAsia="Calibri" w:asciiTheme="majorHAnsi" w:hAnsiTheme="majorHAnsi" w:cstheme="majorHAnsi"/>
          <w:highlight w:val="white"/>
        </w:rPr>
        <w:t>A study by Professors Daniel Schwarcz, Brenda J. Cude, and colleagues found that reading homeowners insurance policy language does not reliably lead to meaningful consumer understanding.</w:t>
      </w:r>
      <w:r w:rsidRPr="000F4C13" w:rsidR="00242DDB">
        <w:rPr>
          <w:rStyle w:val="FootnoteReference"/>
          <w:rFonts w:eastAsia="Calibri" w:asciiTheme="majorHAnsi" w:hAnsiTheme="majorHAnsi" w:cstheme="majorHAnsi"/>
          <w:highlight w:val="white"/>
        </w:rPr>
        <w:footnoteReference w:id="31"/>
      </w:r>
      <w:r w:rsidRPr="000F4C13" w:rsidR="00242DDB">
        <w:rPr>
          <w:rFonts w:eastAsia="Calibri" w:asciiTheme="majorHAnsi" w:hAnsiTheme="majorHAnsi" w:cstheme="majorHAnsi"/>
          <w:highlight w:val="white"/>
        </w:rPr>
        <w:t xml:space="preserve"> In fact, exposure to policy excerpts sometimes increased confusion instead of improving comprehension, especially when broad coverage grants were later limited by exclusions.</w:t>
      </w:r>
      <w:r w:rsidRPr="000F4C13" w:rsidR="00A74380">
        <w:rPr>
          <w:rFonts w:eastAsia="Calibri" w:asciiTheme="majorHAnsi" w:hAnsiTheme="majorHAnsi" w:cstheme="majorHAnsi"/>
          <w:highlight w:val="white"/>
        </w:rPr>
        <w:t xml:space="preserve"> </w:t>
      </w:r>
      <w:r w:rsidRPr="000F4C13" w:rsidR="00E86F9C">
        <w:rPr>
          <w:rFonts w:eastAsia="Calibri" w:asciiTheme="majorHAnsi" w:hAnsiTheme="majorHAnsi" w:cstheme="majorHAnsi"/>
          <w:highlight w:val="white"/>
        </w:rPr>
        <w:t>Th</w:t>
      </w:r>
      <w:r w:rsidRPr="000F4C13" w:rsidR="00387FAC">
        <w:rPr>
          <w:rFonts w:eastAsia="Calibri" w:asciiTheme="majorHAnsi" w:hAnsiTheme="majorHAnsi" w:cstheme="majorHAnsi"/>
          <w:highlight w:val="white"/>
        </w:rPr>
        <w:t xml:space="preserve">is could result in </w:t>
      </w:r>
      <w:r w:rsidRPr="000F4C13" w:rsidR="00E86F9C">
        <w:rPr>
          <w:rFonts w:eastAsia="Calibri" w:asciiTheme="majorHAnsi" w:hAnsiTheme="majorHAnsi" w:cstheme="majorHAnsi"/>
          <w:highlight w:val="white"/>
        </w:rPr>
        <w:t xml:space="preserve">homeowners </w:t>
      </w:r>
      <w:r w:rsidRPr="000F4C13" w:rsidR="00387FAC">
        <w:rPr>
          <w:rFonts w:eastAsia="Calibri" w:asciiTheme="majorHAnsi" w:hAnsiTheme="majorHAnsi" w:cstheme="majorHAnsi"/>
          <w:highlight w:val="white"/>
        </w:rPr>
        <w:t>facing unexpected out-of-pocket expenses or more disputes after claims, neither of which benefits the affordability or availability of homeowners</w:t>
      </w:r>
      <w:r w:rsidRPr="000F4C13" w:rsidR="00E86F9C">
        <w:rPr>
          <w:rFonts w:eastAsia="Calibri" w:asciiTheme="majorHAnsi" w:hAnsiTheme="majorHAnsi" w:cstheme="majorHAnsi"/>
          <w:highlight w:val="white"/>
        </w:rPr>
        <w:t xml:space="preserve"> insurance. </w:t>
      </w:r>
      <w:r w:rsidRPr="000F4C13" w:rsidR="007A4281">
        <w:rPr>
          <w:rFonts w:eastAsia="Calibri" w:asciiTheme="majorHAnsi" w:hAnsiTheme="majorHAnsi" w:cstheme="majorHAnsi"/>
          <w:highlight w:val="white"/>
          <w:lang w:val="en-US"/>
        </w:rPr>
        <w:t>Regulators can strengthen plain-language standards, improve disclosures, and support consumer education to help consumers understand coverage options, limits, and tradeoffs.</w:t>
      </w:r>
    </w:p>
    <w:p w:rsidRPr="000F4C13" w:rsidR="00C96053" w:rsidRDefault="00B2522B" w14:paraId="372A20A6" w14:textId="77777777">
      <w:pPr>
        <w:pStyle w:val="Heading3"/>
        <w:rPr>
          <w:rFonts w:asciiTheme="majorHAnsi" w:hAnsiTheme="majorHAnsi" w:cstheme="majorHAnsi"/>
        </w:rPr>
      </w:pPr>
      <w:bookmarkStart w:name="_u6hq4syun0" w:colFirst="0" w:colLast="0" w:id="13"/>
      <w:bookmarkEnd w:id="13"/>
      <w:r w:rsidRPr="000F4C13">
        <w:rPr>
          <w:rFonts w:asciiTheme="majorHAnsi" w:hAnsiTheme="majorHAnsi" w:cstheme="majorHAnsi"/>
        </w:rPr>
        <w:t>Influence of Adjacent Industries</w:t>
      </w:r>
    </w:p>
    <w:p w:rsidRPr="000F4C13" w:rsidR="00C96053" w:rsidRDefault="00B2522B" w14:paraId="66334097" w14:textId="636543BD">
      <w:pPr>
        <w:jc w:val="both"/>
        <w:rPr>
          <w:rFonts w:eastAsia="Calibri" w:asciiTheme="majorHAnsi" w:hAnsiTheme="majorHAnsi" w:cstheme="majorHAnsi"/>
        </w:rPr>
      </w:pPr>
      <w:r w:rsidRPr="000F4C13">
        <w:rPr>
          <w:rFonts w:eastAsia="Calibri" w:asciiTheme="majorHAnsi" w:hAnsiTheme="majorHAnsi" w:cstheme="majorHAnsi"/>
        </w:rPr>
        <w:t xml:space="preserve">Many of the factors that influence the cost of homeowners insurance are outside the scope and authority of insurance regulators. A few </w:t>
      </w:r>
      <w:r w:rsidRPr="000F4C13" w:rsidR="00CB59DE">
        <w:rPr>
          <w:rFonts w:eastAsia="Calibri" w:asciiTheme="majorHAnsi" w:hAnsiTheme="majorHAnsi" w:cstheme="majorHAnsi"/>
        </w:rPr>
        <w:t>key factors identified by stakeholders are highlighted here: rising</w:t>
      </w:r>
      <w:r w:rsidRPr="000F4C13">
        <w:rPr>
          <w:rFonts w:eastAsia="Calibri" w:asciiTheme="majorHAnsi" w:hAnsiTheme="majorHAnsi" w:cstheme="majorHAnsi"/>
        </w:rPr>
        <w:t xml:space="preserve"> reconstruction costs, building codes, and litigation risk. </w:t>
      </w:r>
    </w:p>
    <w:p w:rsidRPr="000F4C13" w:rsidR="00C96053" w:rsidRDefault="00B2522B" w14:paraId="5741DB36" w14:textId="77777777">
      <w:pPr>
        <w:pStyle w:val="Heading4"/>
        <w:rPr>
          <w:rFonts w:asciiTheme="majorHAnsi" w:hAnsiTheme="majorHAnsi" w:cstheme="majorHAnsi"/>
        </w:rPr>
      </w:pPr>
      <w:bookmarkStart w:name="_2sokxprbuvi2" w:colFirst="0" w:colLast="0" w:id="14"/>
      <w:bookmarkEnd w:id="14"/>
      <w:r w:rsidRPr="000F4C13">
        <w:rPr>
          <w:rFonts w:asciiTheme="majorHAnsi" w:hAnsiTheme="majorHAnsi" w:cstheme="majorHAnsi"/>
        </w:rPr>
        <w:t>Impact of Increasing Housing Reconstruction Costs on Affordability and Availability</w:t>
      </w:r>
    </w:p>
    <w:p w:rsidRPr="000F4C13" w:rsidR="00C96053" w:rsidRDefault="00B2522B" w14:paraId="14839836" w14:textId="5539B86B">
      <w:pPr>
        <w:jc w:val="both"/>
        <w:rPr>
          <w:rFonts w:eastAsia="Calibri" w:asciiTheme="majorHAnsi" w:hAnsiTheme="majorHAnsi" w:cstheme="majorHAnsi"/>
          <w:b/>
          <w:bCs/>
        </w:rPr>
      </w:pPr>
      <w:r w:rsidRPr="000F4C13">
        <w:rPr>
          <w:rFonts w:eastAsia="Calibri" w:asciiTheme="majorHAnsi" w:hAnsiTheme="majorHAnsi" w:cstheme="majorHAnsi"/>
        </w:rPr>
        <w:t xml:space="preserve">Rebuilding reflects local geography, access to contractors, materials, regional code requirements, site conditions, and the need to bring </w:t>
      </w:r>
      <w:r w:rsidRPr="000F4C13" w:rsidR="00C75545">
        <w:rPr>
          <w:rFonts w:eastAsia="Calibri" w:asciiTheme="majorHAnsi" w:hAnsiTheme="majorHAnsi" w:cstheme="majorHAnsi"/>
        </w:rPr>
        <w:t xml:space="preserve">older homes </w:t>
      </w:r>
      <w:r w:rsidRPr="000F4C13">
        <w:rPr>
          <w:rFonts w:eastAsia="Calibri" w:asciiTheme="majorHAnsi" w:hAnsiTheme="majorHAnsi" w:cstheme="majorHAnsi"/>
        </w:rPr>
        <w:t xml:space="preserve">up to current </w:t>
      </w:r>
      <w:r w:rsidRPr="000F4C13" w:rsidR="00C75545">
        <w:rPr>
          <w:rFonts w:eastAsia="Calibri" w:asciiTheme="majorHAnsi" w:hAnsiTheme="majorHAnsi" w:cstheme="majorHAnsi"/>
        </w:rPr>
        <w:t>building code</w:t>
      </w:r>
      <w:r w:rsidRPr="000F4C13">
        <w:rPr>
          <w:rFonts w:eastAsia="Calibri" w:asciiTheme="majorHAnsi" w:hAnsiTheme="majorHAnsi" w:cstheme="majorHAnsi"/>
        </w:rPr>
        <w:t xml:space="preserve"> standards.</w:t>
      </w:r>
      <w:r w:rsidRPr="000F4C13">
        <w:rPr>
          <w:rFonts w:eastAsia="Calibri" w:asciiTheme="majorHAnsi" w:hAnsiTheme="majorHAnsi" w:cstheme="majorHAnsi"/>
          <w:vertAlign w:val="superscript"/>
        </w:rPr>
        <w:footnoteReference w:id="32"/>
      </w:r>
      <w:r w:rsidRPr="000F4C13">
        <w:rPr>
          <w:rFonts w:eastAsia="Calibri" w:asciiTheme="majorHAnsi" w:hAnsiTheme="majorHAnsi" w:cstheme="majorHAnsi"/>
        </w:rPr>
        <w:t xml:space="preserve"> These factors can all contribute to higher reconstruction costs.</w:t>
      </w:r>
      <w:r w:rsidRPr="000F4C13">
        <w:rPr>
          <w:rFonts w:eastAsia="Calibri" w:asciiTheme="majorHAnsi" w:hAnsiTheme="majorHAnsi" w:cstheme="majorHAnsi"/>
          <w:vertAlign w:val="superscript"/>
        </w:rPr>
        <w:footnoteReference w:id="33"/>
      </w:r>
      <w:r w:rsidRPr="000F4C13">
        <w:rPr>
          <w:rFonts w:eastAsia="Calibri" w:asciiTheme="majorHAnsi" w:hAnsiTheme="majorHAnsi" w:cstheme="majorHAnsi"/>
        </w:rPr>
        <w:t xml:space="preserve"> Some communities, such as those in the Colorado Rocky Mountains, face additional pressures. </w:t>
      </w:r>
      <w:r w:rsidRPr="000F4C13" w:rsidR="0023098A">
        <w:rPr>
          <w:rFonts w:eastAsia="Calibri" w:asciiTheme="majorHAnsi" w:hAnsiTheme="majorHAnsi" w:cstheme="majorHAnsi"/>
        </w:rPr>
        <w:t>Construction seasons are shorter, access to home sites on steep slopes may require additional equipment or staging, and many homes are custom-built, with most homes located on slopes that require engineering reviews and foundation reinforcement.</w:t>
      </w:r>
      <w:r w:rsidRPr="000F4C13">
        <w:rPr>
          <w:rFonts w:eastAsia="Calibri" w:asciiTheme="majorHAnsi" w:hAnsiTheme="majorHAnsi" w:cstheme="majorHAnsi"/>
          <w:vertAlign w:val="superscript"/>
        </w:rPr>
        <w:footnoteReference w:id="34"/>
      </w:r>
      <w:r w:rsidRPr="000F4C13">
        <w:rPr>
          <w:rFonts w:eastAsia="Calibri" w:asciiTheme="majorHAnsi" w:hAnsiTheme="majorHAnsi" w:cstheme="majorHAnsi"/>
        </w:rPr>
        <w:t xml:space="preserve"> </w:t>
      </w:r>
    </w:p>
    <w:p w:rsidRPr="000F4C13" w:rsidR="00C96053" w:rsidRDefault="00B2522B" w14:paraId="1773112F" w14:textId="72FBECF1">
      <w:pPr>
        <w:jc w:val="both"/>
        <w:rPr>
          <w:rFonts w:eastAsia="Calibri" w:asciiTheme="majorHAnsi" w:hAnsiTheme="majorHAnsi" w:cstheme="majorHAnsi"/>
        </w:rPr>
      </w:pPr>
      <w:r w:rsidRPr="000F4C13">
        <w:rPr>
          <w:rFonts w:eastAsia="Calibri" w:asciiTheme="majorHAnsi" w:hAnsiTheme="majorHAnsi" w:cstheme="majorHAnsi"/>
          <w:b/>
          <w:bCs/>
          <w:i/>
          <w:iCs/>
          <w:u w:val="single"/>
        </w:rPr>
        <w:t xml:space="preserve">Labor Shortages: </w:t>
      </w:r>
      <w:r w:rsidRPr="000F4C13">
        <w:rPr>
          <w:rFonts w:eastAsia="Calibri" w:asciiTheme="majorHAnsi" w:hAnsiTheme="majorHAnsi" w:cstheme="majorHAnsi"/>
        </w:rPr>
        <w:t>Labor shortages are a challenge in the construction industry, driving up costs and extending project timelines</w:t>
      </w:r>
      <w:r w:rsidRPr="000F4C13" w:rsidR="00CD5805">
        <w:rPr>
          <w:rFonts w:eastAsia="Calibri" w:asciiTheme="majorHAnsi" w:hAnsiTheme="majorHAnsi" w:cstheme="majorHAnsi"/>
        </w:rPr>
        <w:t>. Contractors report difficulty finding qualified workers at every skill level, leading to higher</w:t>
      </w:r>
      <w:r w:rsidRPr="000F4C13">
        <w:rPr>
          <w:rFonts w:eastAsia="Calibri" w:asciiTheme="majorHAnsi" w:hAnsiTheme="majorHAnsi" w:cstheme="majorHAnsi"/>
        </w:rPr>
        <w:t xml:space="preserve"> wages and project delays.</w:t>
      </w:r>
      <w:r w:rsidRPr="000F4C13">
        <w:rPr>
          <w:rFonts w:eastAsia="Calibri" w:asciiTheme="majorHAnsi" w:hAnsiTheme="majorHAnsi" w:cstheme="majorHAnsi"/>
          <w:vertAlign w:val="superscript"/>
        </w:rPr>
        <w:footnoteReference w:id="35"/>
      </w:r>
      <w:r w:rsidRPr="000F4C13">
        <w:rPr>
          <w:rFonts w:eastAsia="Calibri" w:asciiTheme="majorHAnsi" w:hAnsiTheme="majorHAnsi" w:cstheme="majorHAnsi"/>
        </w:rPr>
        <w:t xml:space="preserve"> In some states, the available workforce can’t keep pace with the demand</w:t>
      </w:r>
      <w:r w:rsidRPr="000F4C13" w:rsidR="00866C4E">
        <w:rPr>
          <w:rFonts w:eastAsia="Calibri" w:asciiTheme="majorHAnsi" w:hAnsiTheme="majorHAnsi" w:cstheme="majorHAnsi"/>
        </w:rPr>
        <w:t>.</w:t>
      </w:r>
      <w:r w:rsidRPr="000F4C13">
        <w:rPr>
          <w:rFonts w:eastAsia="Calibri" w:asciiTheme="majorHAnsi" w:hAnsiTheme="majorHAnsi" w:cstheme="majorHAnsi"/>
          <w:vertAlign w:val="superscript"/>
        </w:rPr>
        <w:footnoteReference w:id="36"/>
      </w:r>
      <w:r w:rsidRPr="000F4C13">
        <w:rPr>
          <w:rFonts w:eastAsia="Calibri" w:asciiTheme="majorHAnsi" w:hAnsiTheme="majorHAnsi" w:cstheme="majorHAnsi"/>
        </w:rPr>
        <w:t xml:space="preserve"> Rural and smaller city regions experience tight </w:t>
      </w:r>
      <w:r w:rsidRPr="000F4C13" w:rsidR="00CD5805">
        <w:rPr>
          <w:rFonts w:eastAsia="Calibri" w:asciiTheme="majorHAnsi" w:hAnsiTheme="majorHAnsi" w:cstheme="majorHAnsi"/>
        </w:rPr>
        <w:t>labor constraints, with fewer workers available, requiring contractors to compete for the limited labor force and pay</w:t>
      </w:r>
      <w:r w:rsidRPr="000F4C13">
        <w:rPr>
          <w:rFonts w:eastAsia="Calibri" w:asciiTheme="majorHAnsi" w:hAnsiTheme="majorHAnsi" w:cstheme="majorHAnsi"/>
        </w:rPr>
        <w:t xml:space="preserve"> higher wages.</w:t>
      </w:r>
      <w:r w:rsidRPr="000F4C13">
        <w:rPr>
          <w:rFonts w:eastAsia="Calibri" w:asciiTheme="majorHAnsi" w:hAnsiTheme="majorHAnsi" w:cstheme="majorHAnsi"/>
          <w:vertAlign w:val="superscript"/>
        </w:rPr>
        <w:footnoteReference w:id="37"/>
      </w:r>
      <w:r w:rsidRPr="000F4C13">
        <w:rPr>
          <w:rFonts w:eastAsia="Calibri" w:asciiTheme="majorHAnsi" w:hAnsiTheme="majorHAnsi" w:cstheme="majorHAnsi"/>
        </w:rPr>
        <w:t xml:space="preserve"> </w:t>
      </w:r>
    </w:p>
    <w:p w:rsidRPr="000F4C13" w:rsidR="00C96053" w:rsidRDefault="00B2522B" w14:paraId="3466E914" w14:textId="62D8C90E">
      <w:pPr>
        <w:jc w:val="both"/>
        <w:rPr>
          <w:rFonts w:eastAsia="Calibri" w:asciiTheme="majorHAnsi" w:hAnsiTheme="majorHAnsi" w:cstheme="majorHAnsi"/>
        </w:rPr>
      </w:pPr>
      <w:r w:rsidRPr="000F4C13">
        <w:rPr>
          <w:rFonts w:eastAsia="Calibri" w:asciiTheme="majorHAnsi" w:hAnsiTheme="majorHAnsi" w:cstheme="majorHAnsi"/>
          <w:b/>
          <w:bCs/>
          <w:i/>
          <w:iCs/>
          <w:u w:val="single"/>
        </w:rPr>
        <w:t xml:space="preserve">Inflation: </w:t>
      </w:r>
      <w:r w:rsidRPr="000F4C13" w:rsidR="00862E8C">
        <w:rPr>
          <w:rFonts w:eastAsia="Calibri" w:asciiTheme="majorHAnsi" w:hAnsiTheme="majorHAnsi" w:cstheme="majorHAnsi"/>
        </w:rPr>
        <w:t>Costs to rebuild a home</w:t>
      </w:r>
      <w:r w:rsidRPr="000F4C13">
        <w:rPr>
          <w:rFonts w:eastAsia="Calibri" w:asciiTheme="majorHAnsi" w:hAnsiTheme="majorHAnsi" w:cstheme="majorHAnsi"/>
        </w:rPr>
        <w:t xml:space="preserve"> have risen faster than general inflation, and the construction sector has experienced some of the sharpest cost increases </w:t>
      </w:r>
      <w:r w:rsidRPr="000F4C13" w:rsidR="0023098A">
        <w:rPr>
          <w:rFonts w:eastAsia="Calibri" w:asciiTheme="majorHAnsi" w:hAnsiTheme="majorHAnsi" w:cstheme="majorHAnsi"/>
        </w:rPr>
        <w:t>in</w:t>
      </w:r>
      <w:r w:rsidRPr="000F4C13">
        <w:rPr>
          <w:rFonts w:eastAsia="Calibri" w:asciiTheme="majorHAnsi" w:hAnsiTheme="majorHAnsi" w:cstheme="majorHAnsi"/>
        </w:rPr>
        <w:t xml:space="preserve"> any part of the economy. Much of this comes from material and labor inflation that began before the COVID pandemic and accelerated afterward.</w:t>
      </w:r>
      <w:r w:rsidRPr="000F4C13">
        <w:rPr>
          <w:rFonts w:eastAsia="Calibri" w:asciiTheme="majorHAnsi" w:hAnsiTheme="majorHAnsi" w:cstheme="majorHAnsi"/>
          <w:vertAlign w:val="superscript"/>
        </w:rPr>
        <w:footnoteReference w:id="38"/>
      </w:r>
      <w:r w:rsidRPr="000F4C13">
        <w:rPr>
          <w:rFonts w:eastAsia="Calibri" w:asciiTheme="majorHAnsi" w:hAnsiTheme="majorHAnsi" w:cstheme="majorHAnsi"/>
        </w:rPr>
        <w:t xml:space="preserve"> Lumber, steel, electrical components, and other reconstruction materials all saw large price swings, and many of those costs have not returned to pre-2020 levels.</w:t>
      </w:r>
      <w:r w:rsidRPr="000F4C13">
        <w:rPr>
          <w:rFonts w:eastAsia="Calibri" w:asciiTheme="majorHAnsi" w:hAnsiTheme="majorHAnsi" w:cstheme="majorHAnsi"/>
          <w:vertAlign w:val="superscript"/>
        </w:rPr>
        <w:footnoteReference w:id="39"/>
      </w:r>
      <w:r w:rsidRPr="000F4C13">
        <w:rPr>
          <w:rFonts w:eastAsia="Calibri" w:asciiTheme="majorHAnsi" w:hAnsiTheme="majorHAnsi" w:cstheme="majorHAnsi"/>
        </w:rPr>
        <w:t xml:space="preserve"> </w:t>
      </w:r>
      <w:r w:rsidRPr="000F4C13" w:rsidR="00862E8C">
        <w:rPr>
          <w:rFonts w:eastAsia="Calibri" w:asciiTheme="majorHAnsi" w:hAnsiTheme="majorHAnsi" w:cstheme="majorHAnsi"/>
        </w:rPr>
        <w:t>I</w:t>
      </w:r>
      <w:r w:rsidRPr="000F4C13">
        <w:rPr>
          <w:rFonts w:eastAsia="Calibri" w:asciiTheme="majorHAnsi" w:hAnsiTheme="majorHAnsi" w:cstheme="majorHAnsi"/>
        </w:rPr>
        <w:t xml:space="preserve">nflation </w:t>
      </w:r>
      <w:r w:rsidRPr="000F4C13" w:rsidR="00862E8C">
        <w:rPr>
          <w:rFonts w:eastAsia="Calibri" w:asciiTheme="majorHAnsi" w:hAnsiTheme="majorHAnsi" w:cstheme="majorHAnsi"/>
        </w:rPr>
        <w:t>in construction costs</w:t>
      </w:r>
      <w:r w:rsidRPr="000F4C13">
        <w:rPr>
          <w:rFonts w:eastAsia="Calibri" w:asciiTheme="majorHAnsi" w:hAnsiTheme="majorHAnsi" w:cstheme="majorHAnsi"/>
        </w:rPr>
        <w:t xml:space="preserve"> is now one of the most </w:t>
      </w:r>
      <w:r w:rsidRPr="000F4C13" w:rsidR="00862E8C">
        <w:rPr>
          <w:rFonts w:eastAsia="Calibri" w:asciiTheme="majorHAnsi" w:hAnsiTheme="majorHAnsi" w:cstheme="majorHAnsi"/>
        </w:rPr>
        <w:t xml:space="preserve">significant drivers of higher premiums for homeowners insurance. </w:t>
      </w:r>
      <w:r w:rsidRPr="000F4C13">
        <w:rPr>
          <w:rFonts w:eastAsia="Calibri" w:asciiTheme="majorHAnsi" w:hAnsiTheme="majorHAnsi" w:cstheme="majorHAnsi"/>
        </w:rPr>
        <w:t>While some material prices have stabilized</w:t>
      </w:r>
      <w:r w:rsidRPr="000F4C13">
        <w:rPr>
          <w:rFonts w:eastAsia="Calibri" w:asciiTheme="majorHAnsi" w:hAnsiTheme="majorHAnsi" w:cstheme="majorHAnsi"/>
          <w:vertAlign w:val="superscript"/>
        </w:rPr>
        <w:footnoteReference w:id="40"/>
      </w:r>
      <w:r w:rsidRPr="000F4C13">
        <w:rPr>
          <w:rFonts w:eastAsia="Calibri" w:asciiTheme="majorHAnsi" w:hAnsiTheme="majorHAnsi" w:cstheme="majorHAnsi"/>
        </w:rPr>
        <w:t xml:space="preserve">, overall construction inflation continues to </w:t>
      </w:r>
      <w:r w:rsidRPr="000F4C13" w:rsidR="0023098A">
        <w:rPr>
          <w:rFonts w:eastAsia="Calibri" w:asciiTheme="majorHAnsi" w:hAnsiTheme="majorHAnsi" w:cstheme="majorHAnsi"/>
        </w:rPr>
        <w:t>outpace</w:t>
      </w:r>
      <w:r w:rsidRPr="000F4C13">
        <w:rPr>
          <w:rFonts w:eastAsia="Calibri" w:asciiTheme="majorHAnsi" w:hAnsiTheme="majorHAnsi" w:cstheme="majorHAnsi"/>
        </w:rPr>
        <w:t xml:space="preserve"> general inflation. </w:t>
      </w:r>
    </w:p>
    <w:p w:rsidRPr="000F4C13" w:rsidR="00C96053" w:rsidRDefault="00B2522B" w14:paraId="6B087629" w14:textId="61A175CA">
      <w:pPr>
        <w:jc w:val="both"/>
        <w:rPr>
          <w:rFonts w:eastAsia="Calibri" w:asciiTheme="majorHAnsi" w:hAnsiTheme="majorHAnsi" w:cstheme="majorHAnsi"/>
        </w:rPr>
      </w:pPr>
      <w:r w:rsidRPr="000F4C13">
        <w:rPr>
          <w:rFonts w:eastAsia="Calibri" w:asciiTheme="majorHAnsi" w:hAnsiTheme="majorHAnsi" w:cstheme="majorHAnsi"/>
          <w:b/>
          <w:bCs/>
          <w:i/>
          <w:iCs/>
          <w:u w:val="single"/>
        </w:rPr>
        <w:t xml:space="preserve">Tariffs: </w:t>
      </w:r>
      <w:r w:rsidRPr="000F4C13">
        <w:rPr>
          <w:rFonts w:eastAsia="Calibri" w:asciiTheme="majorHAnsi" w:hAnsiTheme="majorHAnsi" w:cstheme="majorHAnsi"/>
        </w:rPr>
        <w:t>Tariffs and international trade friction also contribute to reconstruction costs. Federal tariffs on steel, aluminum, and certain lumber products increase the cost of several categories of construction materials commonly used in homes.</w:t>
      </w:r>
      <w:r w:rsidRPr="000F4C13">
        <w:rPr>
          <w:rFonts w:eastAsia="Calibri" w:asciiTheme="majorHAnsi" w:hAnsiTheme="majorHAnsi" w:cstheme="majorHAnsi"/>
          <w:vertAlign w:val="superscript"/>
        </w:rPr>
        <w:footnoteReference w:id="41"/>
      </w:r>
      <w:r w:rsidRPr="000F4C13">
        <w:rPr>
          <w:rFonts w:eastAsia="Calibri" w:asciiTheme="majorHAnsi" w:hAnsiTheme="majorHAnsi" w:cstheme="majorHAnsi"/>
        </w:rPr>
        <w:t xml:space="preserve"> These additional costs are passed through to contractors and homeowners. This matters for rebuilding because </w:t>
      </w:r>
      <w:r w:rsidRPr="000F4C13" w:rsidR="003867D9">
        <w:rPr>
          <w:rFonts w:eastAsia="Calibri" w:asciiTheme="majorHAnsi" w:hAnsiTheme="majorHAnsi" w:cstheme="majorHAnsi"/>
        </w:rPr>
        <w:t>tariff-driven</w:t>
      </w:r>
      <w:r w:rsidRPr="000F4C13">
        <w:rPr>
          <w:rFonts w:eastAsia="Calibri" w:asciiTheme="majorHAnsi" w:hAnsiTheme="majorHAnsi" w:cstheme="majorHAnsi"/>
        </w:rPr>
        <w:t xml:space="preserve"> price increases tend </w:t>
      </w:r>
      <w:r w:rsidRPr="000F4C13" w:rsidR="00F2172A">
        <w:rPr>
          <w:rFonts w:eastAsia="Calibri" w:asciiTheme="majorHAnsi" w:hAnsiTheme="majorHAnsi" w:cstheme="majorHAnsi"/>
        </w:rPr>
        <w:t xml:space="preserve">not </w:t>
      </w:r>
      <w:r w:rsidRPr="000F4C13">
        <w:rPr>
          <w:rFonts w:eastAsia="Calibri" w:asciiTheme="majorHAnsi" w:hAnsiTheme="majorHAnsi" w:cstheme="majorHAnsi"/>
        </w:rPr>
        <w:t>to fall quickly</w:t>
      </w:r>
      <w:r w:rsidRPr="000F4C13" w:rsidR="002C12E3">
        <w:rPr>
          <w:rFonts w:eastAsia="Calibri" w:asciiTheme="majorHAnsi" w:hAnsiTheme="majorHAnsi" w:cstheme="majorHAnsi"/>
        </w:rPr>
        <w:t>,</w:t>
      </w:r>
      <w:r w:rsidRPr="000F4C13">
        <w:rPr>
          <w:rFonts w:eastAsia="Calibri" w:asciiTheme="majorHAnsi" w:hAnsiTheme="majorHAnsi" w:cstheme="majorHAnsi"/>
        </w:rPr>
        <w:t xml:space="preserve"> even when supply chains improve. They become part of the </w:t>
      </w:r>
      <w:r w:rsidRPr="000F4C13" w:rsidR="003867D9">
        <w:rPr>
          <w:rFonts w:eastAsia="Calibri" w:asciiTheme="majorHAnsi" w:hAnsiTheme="majorHAnsi" w:cstheme="majorHAnsi"/>
        </w:rPr>
        <w:t>long-term</w:t>
      </w:r>
      <w:r w:rsidRPr="000F4C13">
        <w:rPr>
          <w:rFonts w:eastAsia="Calibri" w:asciiTheme="majorHAnsi" w:hAnsiTheme="majorHAnsi" w:cstheme="majorHAnsi"/>
        </w:rPr>
        <w:t xml:space="preserve"> baseline for reconstruction costs.</w:t>
      </w:r>
      <w:r w:rsidRPr="000F4C13">
        <w:rPr>
          <w:rFonts w:eastAsia="Calibri" w:asciiTheme="majorHAnsi" w:hAnsiTheme="majorHAnsi" w:cstheme="majorHAnsi"/>
          <w:vertAlign w:val="superscript"/>
        </w:rPr>
        <w:footnoteReference w:id="42"/>
      </w:r>
      <w:r w:rsidRPr="000F4C13">
        <w:rPr>
          <w:rFonts w:eastAsia="Calibri" w:asciiTheme="majorHAnsi" w:hAnsiTheme="majorHAnsi" w:cstheme="majorHAnsi"/>
        </w:rPr>
        <w:t xml:space="preserve"> A recent survey conducted by the National Association of Home Builders found that 60% of builders said their suppliers had already increased </w:t>
      </w:r>
      <w:r w:rsidRPr="000F4C13" w:rsidR="003867D9">
        <w:rPr>
          <w:rFonts w:eastAsia="Calibri" w:asciiTheme="majorHAnsi" w:hAnsiTheme="majorHAnsi" w:cstheme="majorHAnsi"/>
        </w:rPr>
        <w:t xml:space="preserve">tariffs since March 2025 </w:t>
      </w:r>
      <w:r w:rsidRPr="000F4C13">
        <w:rPr>
          <w:rFonts w:eastAsia="Calibri" w:asciiTheme="majorHAnsi" w:hAnsiTheme="majorHAnsi" w:cstheme="majorHAnsi"/>
        </w:rPr>
        <w:t xml:space="preserve">or announced upcoming increases in </w:t>
      </w:r>
      <w:r w:rsidRPr="000F4C13" w:rsidR="002C12E3">
        <w:rPr>
          <w:rFonts w:eastAsia="Calibri" w:asciiTheme="majorHAnsi" w:hAnsiTheme="majorHAnsi" w:cstheme="majorHAnsi"/>
        </w:rPr>
        <w:t xml:space="preserve">supply </w:t>
      </w:r>
      <w:r w:rsidRPr="000F4C13">
        <w:rPr>
          <w:rFonts w:eastAsia="Calibri" w:asciiTheme="majorHAnsi" w:hAnsiTheme="majorHAnsi" w:cstheme="majorHAnsi"/>
        </w:rPr>
        <w:t>cost</w:t>
      </w:r>
      <w:r w:rsidRPr="000F4C13" w:rsidR="00436205">
        <w:rPr>
          <w:rFonts w:eastAsia="Calibri" w:asciiTheme="majorHAnsi" w:hAnsiTheme="majorHAnsi" w:cstheme="majorHAnsi"/>
        </w:rPr>
        <w:t>s</w:t>
      </w:r>
      <w:r w:rsidRPr="000F4C13">
        <w:rPr>
          <w:rFonts w:eastAsia="Calibri" w:asciiTheme="majorHAnsi" w:hAnsiTheme="majorHAnsi" w:cstheme="majorHAnsi"/>
        </w:rPr>
        <w:t xml:space="preserve">. As of mid-April 2025, suppliers had increased prices by an average of 6.3%, which was estimated to </w:t>
      </w:r>
      <w:r w:rsidRPr="000F4C13" w:rsidR="003867D9">
        <w:rPr>
          <w:rFonts w:eastAsia="Calibri" w:asciiTheme="majorHAnsi" w:hAnsiTheme="majorHAnsi" w:cstheme="majorHAnsi"/>
        </w:rPr>
        <w:t>add nearly $11,000 to</w:t>
      </w:r>
      <w:r w:rsidRPr="000F4C13">
        <w:rPr>
          <w:rFonts w:eastAsia="Calibri" w:asciiTheme="majorHAnsi" w:hAnsiTheme="majorHAnsi" w:cstheme="majorHAnsi"/>
        </w:rPr>
        <w:t xml:space="preserve"> the cost of a typical home.</w:t>
      </w:r>
      <w:r w:rsidRPr="000F4C13">
        <w:rPr>
          <w:rFonts w:eastAsia="Calibri" w:asciiTheme="majorHAnsi" w:hAnsiTheme="majorHAnsi" w:cstheme="majorHAnsi"/>
          <w:vertAlign w:val="superscript"/>
        </w:rPr>
        <w:footnoteReference w:id="43"/>
      </w:r>
    </w:p>
    <w:p w:rsidRPr="000F4C13" w:rsidR="00C96053" w:rsidRDefault="00B2522B" w14:paraId="3EA9F130" w14:textId="7EE23DEB">
      <w:pPr>
        <w:jc w:val="both"/>
        <w:rPr>
          <w:rFonts w:eastAsia="Calibri" w:asciiTheme="majorHAnsi" w:hAnsiTheme="majorHAnsi" w:cstheme="majorHAnsi"/>
        </w:rPr>
      </w:pPr>
      <w:r w:rsidRPr="000F4C13">
        <w:rPr>
          <w:rFonts w:eastAsia="Calibri" w:asciiTheme="majorHAnsi" w:hAnsiTheme="majorHAnsi" w:cstheme="majorHAnsi"/>
          <w:b/>
          <w:bCs/>
          <w:i/>
          <w:iCs/>
          <w:u w:val="single"/>
        </w:rPr>
        <w:t xml:space="preserve">Supply Chain Disruptions: </w:t>
      </w:r>
      <w:r w:rsidRPr="000F4C13">
        <w:rPr>
          <w:rFonts w:eastAsia="Calibri" w:asciiTheme="majorHAnsi" w:hAnsiTheme="majorHAnsi" w:cstheme="majorHAnsi"/>
        </w:rPr>
        <w:t>Supply chain disruptions can also play a role in increased costs. Shortages of framing lumber and other essential components have led to delays and higher bid prices.</w:t>
      </w:r>
      <w:r w:rsidRPr="000F4C13">
        <w:rPr>
          <w:rFonts w:eastAsia="Calibri" w:asciiTheme="majorHAnsi" w:hAnsiTheme="majorHAnsi" w:cstheme="majorHAnsi"/>
          <w:vertAlign w:val="superscript"/>
        </w:rPr>
        <w:footnoteReference w:id="44"/>
      </w:r>
      <w:r w:rsidRPr="000F4C13">
        <w:rPr>
          <w:rFonts w:eastAsia="Calibri" w:asciiTheme="majorHAnsi" w:hAnsiTheme="majorHAnsi" w:cstheme="majorHAnsi"/>
        </w:rPr>
        <w:t xml:space="preserve"> Roofing materials were affected by manufacturing backlogs and transportation issues, which added cost and extended repair timelines. Electrical components in HVAC systems were also in short supply for extended periods. In rural counties, long transportation routes have often amplified the shortages and added freight </w:t>
      </w:r>
      <w:r w:rsidRPr="000F4C13" w:rsidR="003867D9">
        <w:rPr>
          <w:rFonts w:eastAsia="Calibri" w:asciiTheme="majorHAnsi" w:hAnsiTheme="majorHAnsi" w:cstheme="majorHAnsi"/>
        </w:rPr>
        <w:t xml:space="preserve">costs </w:t>
      </w:r>
      <w:r w:rsidRPr="000F4C13">
        <w:rPr>
          <w:rFonts w:eastAsia="Calibri" w:asciiTheme="majorHAnsi" w:hAnsiTheme="majorHAnsi" w:cstheme="majorHAnsi"/>
        </w:rPr>
        <w:t>to already elevated material prices.</w:t>
      </w:r>
      <w:r w:rsidRPr="000F4C13">
        <w:rPr>
          <w:rFonts w:eastAsia="Calibri" w:asciiTheme="majorHAnsi" w:hAnsiTheme="majorHAnsi" w:cstheme="majorHAnsi"/>
          <w:vertAlign w:val="superscript"/>
        </w:rPr>
        <w:footnoteReference w:id="45"/>
      </w:r>
      <w:r w:rsidRPr="000F4C13">
        <w:rPr>
          <w:rFonts w:eastAsia="Calibri" w:asciiTheme="majorHAnsi" w:hAnsiTheme="majorHAnsi" w:cstheme="majorHAnsi"/>
        </w:rPr>
        <w:t xml:space="preserve"> </w:t>
      </w:r>
    </w:p>
    <w:p w:rsidRPr="000F4C13" w:rsidR="00C96053" w:rsidRDefault="00B2522B" w14:paraId="1896A6AA" w14:textId="2B5A01F8">
      <w:pPr>
        <w:jc w:val="both"/>
        <w:rPr>
          <w:rFonts w:eastAsia="Calibri" w:asciiTheme="majorHAnsi" w:hAnsiTheme="majorHAnsi" w:cstheme="majorHAnsi"/>
        </w:rPr>
      </w:pPr>
      <w:bookmarkStart w:name="_gvqjokoxqe3p" w:colFirst="0" w:colLast="0" w:id="15"/>
      <w:bookmarkEnd w:id="15"/>
      <w:r w:rsidRPr="000F4C13">
        <w:rPr>
          <w:rFonts w:eastAsia="Calibri" w:asciiTheme="majorHAnsi" w:hAnsiTheme="majorHAnsi" w:cstheme="majorHAnsi"/>
          <w:b/>
          <w:bCs/>
          <w:i/>
          <w:iCs/>
          <w:u w:val="single"/>
        </w:rPr>
        <w:t>Material Volatility:</w:t>
      </w:r>
      <w:r w:rsidRPr="000F4C13">
        <w:rPr>
          <w:rFonts w:eastAsia="Calibri" w:asciiTheme="majorHAnsi" w:hAnsiTheme="majorHAnsi" w:cstheme="majorHAnsi"/>
        </w:rPr>
        <w:t xml:space="preserve"> Material volatility further complicates affordability because it affects both the timing and reliability of replacement costs; costs suppliers, contractors, and insurers have to build into pricing. The delivered cost </w:t>
      </w:r>
      <w:r w:rsidRPr="000F4C13" w:rsidR="003867D9">
        <w:rPr>
          <w:rFonts w:eastAsia="Calibri" w:asciiTheme="majorHAnsi" w:hAnsiTheme="majorHAnsi" w:cstheme="majorHAnsi"/>
        </w:rPr>
        <w:t>of core materials like lumber, roofing, and mechanical equipment can increase significantly over short periods of time due to shifts in production capacity, transportation and fuel costs, and broader commodity cycles,</w:t>
      </w:r>
      <w:r w:rsidRPr="000F4C13">
        <w:rPr>
          <w:rFonts w:eastAsia="Calibri" w:asciiTheme="majorHAnsi" w:hAnsiTheme="majorHAnsi" w:cstheme="majorHAnsi"/>
        </w:rPr>
        <w:t xml:space="preserve"> as seen during and </w:t>
      </w:r>
      <w:r w:rsidRPr="000F4C13" w:rsidR="008641F4">
        <w:rPr>
          <w:rFonts w:eastAsia="Calibri" w:asciiTheme="majorHAnsi" w:hAnsiTheme="majorHAnsi" w:cstheme="majorHAnsi"/>
        </w:rPr>
        <w:t xml:space="preserve">after the </w:t>
      </w:r>
      <w:r w:rsidRPr="000F4C13" w:rsidR="003867D9">
        <w:rPr>
          <w:rFonts w:eastAsia="Calibri" w:asciiTheme="majorHAnsi" w:hAnsiTheme="majorHAnsi" w:cstheme="majorHAnsi"/>
        </w:rPr>
        <w:t>pandemic</w:t>
      </w:r>
      <w:r w:rsidRPr="000F4C13">
        <w:rPr>
          <w:rFonts w:eastAsia="Calibri" w:asciiTheme="majorHAnsi" w:hAnsiTheme="majorHAnsi" w:cstheme="majorHAnsi"/>
        </w:rPr>
        <w:t>.</w:t>
      </w:r>
      <w:r w:rsidRPr="000F4C13">
        <w:rPr>
          <w:rFonts w:eastAsia="Calibri" w:asciiTheme="majorHAnsi" w:hAnsiTheme="majorHAnsi" w:cstheme="majorHAnsi"/>
          <w:vertAlign w:val="superscript"/>
        </w:rPr>
        <w:footnoteReference w:id="46"/>
      </w:r>
      <w:r w:rsidRPr="000F4C13">
        <w:rPr>
          <w:rFonts w:eastAsia="Calibri" w:asciiTheme="majorHAnsi" w:hAnsiTheme="majorHAnsi" w:cstheme="majorHAnsi"/>
        </w:rPr>
        <w:t xml:space="preserve"> For residential reconstruction, the volatility is magnified by the need to source completed assemblies like truss packages, roofing systems, windows, and HVAC systems that depend on multiple suppliers and manufacturing steps. As a result, two almost identical homes with reconstruction needs a few months apart can end up with very different estimates.</w:t>
      </w:r>
    </w:p>
    <w:p w:rsidRPr="000F4C13" w:rsidR="00C96053" w:rsidRDefault="00B2522B" w14:paraId="668494A2" w14:textId="06E4D5A9">
      <w:pPr>
        <w:jc w:val="both"/>
        <w:rPr>
          <w:rFonts w:eastAsia="Calibri" w:asciiTheme="majorHAnsi" w:hAnsiTheme="majorHAnsi" w:cstheme="majorHAnsi"/>
        </w:rPr>
      </w:pPr>
      <w:r w:rsidRPr="000F4C13">
        <w:rPr>
          <w:rFonts w:eastAsia="Calibri" w:asciiTheme="majorHAnsi" w:hAnsiTheme="majorHAnsi" w:cstheme="majorHAnsi"/>
          <w:b/>
          <w:bCs/>
          <w:i/>
          <w:iCs/>
          <w:u w:val="single"/>
        </w:rPr>
        <w:t xml:space="preserve">Demand Surge: </w:t>
      </w:r>
      <w:r w:rsidRPr="000F4C13">
        <w:rPr>
          <w:rFonts w:eastAsia="Calibri" w:asciiTheme="majorHAnsi" w:hAnsiTheme="majorHAnsi" w:cstheme="majorHAnsi"/>
        </w:rPr>
        <w:t>Demand surge is a significant contributor to temporary spikes in reconstruction cost</w:t>
      </w:r>
      <w:r w:rsidR="00F67127">
        <w:rPr>
          <w:rFonts w:eastAsia="Calibri" w:asciiTheme="majorHAnsi" w:hAnsiTheme="majorHAnsi" w:cstheme="majorHAnsi"/>
        </w:rPr>
        <w:t>s</w:t>
      </w:r>
      <w:r w:rsidRPr="000F4C13">
        <w:rPr>
          <w:rFonts w:eastAsia="Calibri" w:asciiTheme="majorHAnsi" w:hAnsiTheme="majorHAnsi" w:cstheme="majorHAnsi"/>
        </w:rPr>
        <w:t xml:space="preserve"> after catastrophic events. When many homes in </w:t>
      </w:r>
      <w:r w:rsidRPr="000F4C13" w:rsidR="003867D9">
        <w:rPr>
          <w:rFonts w:eastAsia="Calibri" w:asciiTheme="majorHAnsi" w:hAnsiTheme="majorHAnsi" w:cstheme="majorHAnsi"/>
        </w:rPr>
        <w:t>a region require repairs simultaneously</w:t>
      </w:r>
      <w:r w:rsidRPr="000F4C13">
        <w:rPr>
          <w:rFonts w:eastAsia="Calibri" w:asciiTheme="majorHAnsi" w:hAnsiTheme="majorHAnsi" w:cstheme="majorHAnsi"/>
        </w:rPr>
        <w:t xml:space="preserve">, local contractor capacity is quickly exceeded. Demand surge raises </w:t>
      </w:r>
      <w:r w:rsidRPr="000F4C13" w:rsidR="00CA05A8">
        <w:rPr>
          <w:rFonts w:eastAsia="Calibri" w:asciiTheme="majorHAnsi" w:hAnsiTheme="majorHAnsi" w:cstheme="majorHAnsi"/>
        </w:rPr>
        <w:t>costs</w:t>
      </w:r>
      <w:r w:rsidRPr="000F4C13">
        <w:rPr>
          <w:rFonts w:eastAsia="Calibri" w:asciiTheme="majorHAnsi" w:hAnsiTheme="majorHAnsi" w:cstheme="majorHAnsi"/>
        </w:rPr>
        <w:t xml:space="preserve"> because contractors must reprioritize their schedules, increase staffing, or source materials from outside the region, all of which increase bid prices.</w:t>
      </w:r>
      <w:r w:rsidRPr="000F4C13">
        <w:rPr>
          <w:rFonts w:eastAsia="Calibri" w:asciiTheme="majorHAnsi" w:hAnsiTheme="majorHAnsi" w:cstheme="majorHAnsi"/>
          <w:vertAlign w:val="superscript"/>
        </w:rPr>
        <w:footnoteReference w:id="47"/>
      </w:r>
      <w:r w:rsidRPr="000F4C13">
        <w:rPr>
          <w:rFonts w:eastAsia="Calibri" w:asciiTheme="majorHAnsi" w:hAnsiTheme="majorHAnsi" w:cstheme="majorHAnsi"/>
        </w:rPr>
        <w:t xml:space="preserve"> These labor and material pressures create uncertainty for insurers when estimating future claim costs. If reconstruction costs are expected to rise quickly or unpredictably, insurers may adjust rates or change assumptions to account for that uncertainty. </w:t>
      </w:r>
    </w:p>
    <w:p w:rsidRPr="000F4C13" w:rsidR="00C96053" w:rsidRDefault="00B2522B" w14:paraId="0746F2A2" w14:textId="77777777">
      <w:pPr>
        <w:jc w:val="both"/>
        <w:rPr>
          <w:rFonts w:eastAsia="Calibri" w:asciiTheme="majorHAnsi" w:hAnsiTheme="majorHAnsi" w:cstheme="majorHAnsi"/>
        </w:rPr>
      </w:pPr>
      <w:r w:rsidRPr="000F4C13">
        <w:rPr>
          <w:rFonts w:eastAsia="Calibri" w:asciiTheme="majorHAnsi" w:hAnsiTheme="majorHAnsi" w:cstheme="majorHAnsi"/>
          <w:b/>
          <w:bCs/>
          <w:i/>
          <w:iCs/>
          <w:u w:val="single"/>
        </w:rPr>
        <w:t xml:space="preserve">Building Code Updates: </w:t>
      </w:r>
      <w:r w:rsidRPr="000F4C13">
        <w:rPr>
          <w:rFonts w:eastAsia="Calibri" w:asciiTheme="majorHAnsi" w:hAnsiTheme="majorHAnsi" w:cstheme="majorHAnsi"/>
        </w:rPr>
        <w:t>Core building codes, covering structural, fire, mechanical, electrical, and plumbing systems, are updated on a three-year cycle by model code organizations like the International Code Council (ICC), with each new revision incrementally increasing reconstruction costs.</w:t>
      </w:r>
      <w:r w:rsidRPr="000F4C13">
        <w:rPr>
          <w:rFonts w:eastAsia="Calibri" w:asciiTheme="majorHAnsi" w:hAnsiTheme="majorHAnsi" w:cstheme="majorHAnsi"/>
          <w:vertAlign w:val="superscript"/>
        </w:rPr>
        <w:footnoteReference w:id="48"/>
      </w:r>
      <w:r w:rsidRPr="000F4C13">
        <w:rPr>
          <w:rFonts w:eastAsia="Calibri" w:asciiTheme="majorHAnsi" w:hAnsiTheme="majorHAnsi" w:cstheme="majorHAnsi"/>
        </w:rPr>
        <w:t xml:space="preserve"> Local governments decide whether to adopt those updated editions, so the version in effect at the time of reconstruction can vary by jurisdiction. </w:t>
      </w:r>
    </w:p>
    <w:p w:rsidRPr="000F4C13" w:rsidR="00C96053" w:rsidRDefault="00B2522B" w14:paraId="47D6D3EB" w14:textId="30AB8F3F">
      <w:pPr>
        <w:jc w:val="both"/>
        <w:rPr>
          <w:rFonts w:eastAsia="Calibri" w:asciiTheme="majorHAnsi" w:hAnsiTheme="majorHAnsi" w:cstheme="majorHAnsi"/>
        </w:rPr>
      </w:pPr>
      <w:r w:rsidRPr="000F4C13">
        <w:rPr>
          <w:rFonts w:eastAsia="Calibri" w:asciiTheme="majorHAnsi" w:hAnsiTheme="majorHAnsi" w:cstheme="majorHAnsi"/>
        </w:rPr>
        <w:t>Regionally, jurisdictions may adopt hazard-specific building codes to address risks such as wildfires, hail, earthquakes, hurricanes</w:t>
      </w:r>
      <w:r w:rsidRPr="000F4C13" w:rsidR="00741563">
        <w:rPr>
          <w:rFonts w:eastAsia="Calibri" w:asciiTheme="majorHAnsi" w:hAnsiTheme="majorHAnsi" w:cstheme="majorHAnsi"/>
        </w:rPr>
        <w:t>,</w:t>
      </w:r>
      <w:r w:rsidRPr="000F4C13">
        <w:rPr>
          <w:rFonts w:eastAsia="Calibri" w:asciiTheme="majorHAnsi" w:hAnsiTheme="majorHAnsi" w:cstheme="majorHAnsi"/>
        </w:rPr>
        <w:t xml:space="preserve"> and floods. These upgrades </w:t>
      </w:r>
      <w:r w:rsidRPr="000F4C13" w:rsidR="005D7262">
        <w:rPr>
          <w:rFonts w:eastAsia="Calibri" w:asciiTheme="majorHAnsi" w:hAnsiTheme="majorHAnsi" w:cstheme="majorHAnsi"/>
        </w:rPr>
        <w:t>can</w:t>
      </w:r>
      <w:r w:rsidRPr="000F4C13">
        <w:rPr>
          <w:rFonts w:eastAsia="Calibri" w:asciiTheme="majorHAnsi" w:hAnsiTheme="majorHAnsi" w:cstheme="majorHAnsi"/>
        </w:rPr>
        <w:t xml:space="preserve"> </w:t>
      </w:r>
      <w:r w:rsidRPr="000F4C13" w:rsidR="00741563">
        <w:rPr>
          <w:rFonts w:eastAsia="Calibri" w:asciiTheme="majorHAnsi" w:hAnsiTheme="majorHAnsi" w:cstheme="majorHAnsi"/>
        </w:rPr>
        <w:t>increase reconstruction costs, but the extent of that impact depends on the scope</w:t>
      </w:r>
      <w:r w:rsidRPr="000F4C13">
        <w:rPr>
          <w:rFonts w:eastAsia="Calibri" w:asciiTheme="majorHAnsi" w:hAnsiTheme="majorHAnsi" w:cstheme="majorHAnsi"/>
        </w:rPr>
        <w:t xml:space="preserve"> of the upgrade and the amount of the structure that must be brought into compliance.</w:t>
      </w:r>
      <w:r w:rsidRPr="000F4C13">
        <w:rPr>
          <w:rFonts w:eastAsia="Calibri" w:asciiTheme="majorHAnsi" w:hAnsiTheme="majorHAnsi" w:cstheme="majorHAnsi"/>
          <w:vertAlign w:val="superscript"/>
        </w:rPr>
        <w:footnoteReference w:id="49"/>
      </w:r>
      <w:r w:rsidRPr="000F4C13">
        <w:rPr>
          <w:rFonts w:eastAsia="Calibri" w:asciiTheme="majorHAnsi" w:hAnsiTheme="majorHAnsi" w:cstheme="majorHAnsi"/>
        </w:rPr>
        <w:t xml:space="preserve"> In some communities, thresholds for major code adoption can significantly increase reconstruction </w:t>
      </w:r>
      <w:r w:rsidRPr="000F4C13" w:rsidR="00741563">
        <w:rPr>
          <w:rFonts w:eastAsia="Calibri" w:asciiTheme="majorHAnsi" w:hAnsiTheme="majorHAnsi" w:cstheme="majorHAnsi"/>
        </w:rPr>
        <w:t xml:space="preserve">costs </w:t>
      </w:r>
      <w:r w:rsidRPr="000F4C13">
        <w:rPr>
          <w:rFonts w:eastAsia="Calibri" w:asciiTheme="majorHAnsi" w:hAnsiTheme="majorHAnsi" w:cstheme="majorHAnsi"/>
        </w:rPr>
        <w:t xml:space="preserve">even if only part of the structure is damaged. </w:t>
      </w:r>
    </w:p>
    <w:p w:rsidRPr="000F4C13" w:rsidR="00C96053" w:rsidRDefault="00B2522B" w14:paraId="178CB883" w14:textId="77777777">
      <w:pPr>
        <w:pStyle w:val="Heading4"/>
        <w:rPr>
          <w:rFonts w:asciiTheme="majorHAnsi" w:hAnsiTheme="majorHAnsi" w:cstheme="majorHAnsi"/>
        </w:rPr>
      </w:pPr>
      <w:bookmarkStart w:name="_u2g5d82hug9b" w:colFirst="0" w:colLast="0" w:id="16"/>
      <w:bookmarkEnd w:id="16"/>
      <w:r w:rsidRPr="000F4C13">
        <w:rPr>
          <w:rFonts w:asciiTheme="majorHAnsi" w:hAnsiTheme="majorHAnsi" w:cstheme="majorHAnsi"/>
        </w:rPr>
        <w:t>Role of Building Codes in Resiliency</w:t>
      </w:r>
    </w:p>
    <w:p w:rsidRPr="000F4C13" w:rsidR="00C96053" w:rsidRDefault="00B2522B" w14:paraId="0C8F40C6" w14:textId="77777777">
      <w:pPr>
        <w:jc w:val="both"/>
        <w:rPr>
          <w:rFonts w:eastAsia="Calibri" w:asciiTheme="majorHAnsi" w:hAnsiTheme="majorHAnsi" w:cstheme="majorHAnsi"/>
        </w:rPr>
      </w:pPr>
      <w:r w:rsidRPr="000F4C13">
        <w:rPr>
          <w:rFonts w:eastAsia="Calibri" w:asciiTheme="majorHAnsi" w:hAnsiTheme="majorHAnsi" w:cstheme="majorHAnsi"/>
        </w:rPr>
        <w:t>At the same time, resilient building codes can help reduce the severity of damage during catastrophic events and lower insured losses over time. When homes are built or reconstructed under newer building codes, losses tend to be lower, repairs are more straightforward, and structures remain habitable more often after an event.</w:t>
      </w:r>
      <w:r w:rsidRPr="000F4C13">
        <w:rPr>
          <w:rFonts w:eastAsia="Calibri" w:asciiTheme="majorHAnsi" w:hAnsiTheme="majorHAnsi" w:cstheme="majorHAnsi"/>
          <w:vertAlign w:val="superscript"/>
        </w:rPr>
        <w:footnoteReference w:id="50"/>
      </w:r>
      <w:r w:rsidRPr="000F4C13">
        <w:rPr>
          <w:rFonts w:eastAsia="Calibri" w:asciiTheme="majorHAnsi" w:hAnsiTheme="majorHAnsi" w:cstheme="majorHAnsi"/>
          <w:vertAlign w:val="superscript"/>
        </w:rPr>
        <w:t>,</w:t>
      </w:r>
      <w:r w:rsidRPr="000F4C13">
        <w:rPr>
          <w:rFonts w:eastAsia="Calibri" w:asciiTheme="majorHAnsi" w:hAnsiTheme="majorHAnsi" w:cstheme="majorHAnsi"/>
          <w:vertAlign w:val="superscript"/>
        </w:rPr>
        <w:footnoteReference w:id="51"/>
      </w:r>
      <w:r w:rsidRPr="000F4C13">
        <w:rPr>
          <w:rFonts w:eastAsia="Calibri" w:asciiTheme="majorHAnsi" w:hAnsiTheme="majorHAnsi" w:cstheme="majorHAnsi"/>
          <w:vertAlign w:val="superscript"/>
        </w:rPr>
        <w:t xml:space="preserve"> </w:t>
      </w:r>
      <w:r w:rsidRPr="000F4C13">
        <w:rPr>
          <w:rFonts w:eastAsia="Calibri" w:asciiTheme="majorHAnsi" w:hAnsiTheme="majorHAnsi" w:cstheme="majorHAnsi"/>
        </w:rPr>
        <w:t>This creates a more predictable outcome for insurers and supports long-term housing stability for communities.</w:t>
      </w:r>
      <w:r w:rsidRPr="000F4C13">
        <w:rPr>
          <w:rFonts w:eastAsia="Calibri" w:asciiTheme="majorHAnsi" w:hAnsiTheme="majorHAnsi" w:cstheme="majorHAnsi"/>
          <w:vertAlign w:val="superscript"/>
        </w:rPr>
        <w:footnoteReference w:id="52"/>
      </w:r>
    </w:p>
    <w:p w:rsidRPr="000F4C13" w:rsidR="00C96053" w:rsidRDefault="00B2522B" w14:paraId="6EB4B4D5" w14:textId="5A8AC77E">
      <w:pPr>
        <w:jc w:val="both"/>
        <w:rPr>
          <w:rFonts w:eastAsia="Calibri" w:asciiTheme="majorHAnsi" w:hAnsiTheme="majorHAnsi" w:cstheme="majorHAnsi"/>
        </w:rPr>
      </w:pPr>
      <w:r w:rsidRPr="000F4C13">
        <w:rPr>
          <w:rFonts w:eastAsia="Calibri" w:asciiTheme="majorHAnsi" w:hAnsiTheme="majorHAnsi" w:cstheme="majorHAnsi"/>
        </w:rPr>
        <w:t>National research shows that homes built under well-adapted and well-enforced building codes perform better during disasters.</w:t>
      </w:r>
      <w:r w:rsidRPr="000F4C13">
        <w:rPr>
          <w:rFonts w:eastAsia="Calibri" w:asciiTheme="majorHAnsi" w:hAnsiTheme="majorHAnsi" w:cstheme="majorHAnsi"/>
          <w:vertAlign w:val="superscript"/>
        </w:rPr>
        <w:footnoteReference w:id="53"/>
      </w:r>
      <w:r w:rsidRPr="000F4C13">
        <w:rPr>
          <w:rFonts w:eastAsia="Calibri" w:asciiTheme="majorHAnsi" w:hAnsiTheme="majorHAnsi" w:cstheme="majorHAnsi"/>
        </w:rPr>
        <w:t xml:space="preserve"> States with strong statewide building codes, consistent adoption, and enforcement mechanisms see fewer total losses and </w:t>
      </w:r>
      <w:r w:rsidRPr="000F4C13" w:rsidR="00436205">
        <w:rPr>
          <w:rFonts w:eastAsia="Calibri" w:asciiTheme="majorHAnsi" w:hAnsiTheme="majorHAnsi" w:cstheme="majorHAnsi"/>
        </w:rPr>
        <w:t xml:space="preserve">shorter </w:t>
      </w:r>
      <w:r w:rsidRPr="000F4C13">
        <w:rPr>
          <w:rFonts w:eastAsia="Calibri" w:asciiTheme="majorHAnsi" w:hAnsiTheme="majorHAnsi" w:cstheme="majorHAnsi"/>
        </w:rPr>
        <w:t>recovery</w:t>
      </w:r>
      <w:r w:rsidRPr="000F4C13" w:rsidR="00436205">
        <w:rPr>
          <w:rFonts w:eastAsia="Calibri" w:asciiTheme="majorHAnsi" w:hAnsiTheme="majorHAnsi" w:cstheme="majorHAnsi"/>
        </w:rPr>
        <w:t xml:space="preserve"> times</w:t>
      </w:r>
      <w:r w:rsidRPr="000F4C13">
        <w:rPr>
          <w:rFonts w:eastAsia="Calibri" w:asciiTheme="majorHAnsi" w:hAnsiTheme="majorHAnsi" w:cstheme="majorHAnsi"/>
        </w:rPr>
        <w:t>.</w:t>
      </w:r>
      <w:r w:rsidRPr="000F4C13">
        <w:rPr>
          <w:rFonts w:eastAsia="Calibri" w:asciiTheme="majorHAnsi" w:hAnsiTheme="majorHAnsi" w:cstheme="majorHAnsi"/>
          <w:vertAlign w:val="superscript"/>
        </w:rPr>
        <w:footnoteReference w:id="54"/>
      </w:r>
      <w:r w:rsidRPr="000F4C13">
        <w:rPr>
          <w:rFonts w:eastAsia="Calibri" w:asciiTheme="majorHAnsi" w:hAnsiTheme="majorHAnsi" w:cstheme="majorHAnsi"/>
        </w:rPr>
        <w:t xml:space="preserve"> Homes constructed under modern wind, hail, and wildfire performance standards were significantly more likely to avoid major structural damage</w:t>
      </w:r>
      <w:r w:rsidRPr="000F4C13">
        <w:rPr>
          <w:rFonts w:eastAsia="Calibri" w:asciiTheme="majorHAnsi" w:hAnsiTheme="majorHAnsi" w:cstheme="majorHAnsi"/>
          <w:vertAlign w:val="superscript"/>
        </w:rPr>
        <w:footnoteReference w:id="55"/>
      </w:r>
      <w:r w:rsidRPr="000F4C13">
        <w:rPr>
          <w:rFonts w:eastAsia="Calibri" w:asciiTheme="majorHAnsi" w:hAnsiTheme="majorHAnsi" w:cstheme="majorHAnsi"/>
        </w:rPr>
        <w:t xml:space="preserve"> and communities with stronger building code adoption experienced more uniform recovery.</w:t>
      </w:r>
    </w:p>
    <w:p w:rsidRPr="000F4C13" w:rsidR="00C96053" w:rsidRDefault="00B2522B" w14:paraId="258A4578" w14:textId="77777777">
      <w:pPr>
        <w:jc w:val="both"/>
        <w:rPr>
          <w:rFonts w:eastAsia="Calibri" w:asciiTheme="majorHAnsi" w:hAnsiTheme="majorHAnsi" w:cstheme="majorHAnsi"/>
        </w:rPr>
      </w:pPr>
      <w:r w:rsidRPr="000F4C13">
        <w:rPr>
          <w:rFonts w:eastAsia="Calibri" w:asciiTheme="majorHAnsi" w:hAnsiTheme="majorHAnsi" w:cstheme="majorHAnsi"/>
        </w:rPr>
        <w:t>Where older building codes remain in effect, homes are more vulnerable, and insurers face greater uncertainty about loss severity. This inconsistency makes it harder to estimate risk, price coverage, and ensure adequate dwelling limits across counties with very different building code environments.</w:t>
      </w:r>
      <w:r w:rsidRPr="000F4C13">
        <w:rPr>
          <w:rFonts w:eastAsia="Calibri" w:asciiTheme="majorHAnsi" w:hAnsiTheme="majorHAnsi" w:cstheme="majorHAnsi"/>
          <w:vertAlign w:val="superscript"/>
        </w:rPr>
        <w:footnoteReference w:id="56"/>
      </w:r>
      <w:r w:rsidRPr="000F4C13">
        <w:rPr>
          <w:rFonts w:eastAsia="Calibri" w:asciiTheme="majorHAnsi" w:hAnsiTheme="majorHAnsi" w:cstheme="majorHAnsi"/>
        </w:rPr>
        <w:t xml:space="preserve"> </w:t>
      </w:r>
    </w:p>
    <w:p w:rsidRPr="000F4C13" w:rsidR="00C96053" w:rsidRDefault="00B2522B" w14:paraId="4497CA43" w14:textId="77777777">
      <w:pPr>
        <w:pStyle w:val="Heading4"/>
        <w:rPr>
          <w:rFonts w:asciiTheme="majorHAnsi" w:hAnsiTheme="majorHAnsi" w:cstheme="majorHAnsi"/>
        </w:rPr>
      </w:pPr>
      <w:bookmarkStart w:name="_gte9op79k4ld" w:colFirst="0" w:colLast="0" w:id="17"/>
      <w:bookmarkEnd w:id="17"/>
      <w:r w:rsidRPr="000F4C13">
        <w:rPr>
          <w:rFonts w:asciiTheme="majorHAnsi" w:hAnsiTheme="majorHAnsi" w:cstheme="majorHAnsi"/>
        </w:rPr>
        <w:t xml:space="preserve">Litigation Costs </w:t>
      </w:r>
    </w:p>
    <w:p w:rsidRPr="000F4C13" w:rsidR="00C96053" w:rsidRDefault="00B2522B" w14:paraId="0E3732A0" w14:textId="77777777">
      <w:pPr>
        <w:jc w:val="both"/>
        <w:rPr>
          <w:rFonts w:eastAsia="Calibri" w:asciiTheme="majorHAnsi" w:hAnsiTheme="majorHAnsi" w:cstheme="majorHAnsi"/>
          <w:highlight w:val="white"/>
        </w:rPr>
      </w:pPr>
      <w:r w:rsidRPr="000F4C13">
        <w:rPr>
          <w:rFonts w:eastAsia="Calibri" w:asciiTheme="majorHAnsi" w:hAnsiTheme="majorHAnsi" w:cstheme="majorHAnsi"/>
          <w:highlight w:val="white"/>
        </w:rPr>
        <w:t xml:space="preserve">There are differing opinions regarding the impact of litigation on homeowners premiums.  </w:t>
      </w:r>
    </w:p>
    <w:p w:rsidRPr="000F4C13" w:rsidR="00C96053" w:rsidRDefault="00B2522B" w14:paraId="769DE622" w14:textId="77777777">
      <w:pPr>
        <w:jc w:val="both"/>
        <w:rPr>
          <w:rFonts w:eastAsia="Calibri" w:asciiTheme="majorHAnsi" w:hAnsiTheme="majorHAnsi" w:cstheme="majorHAnsi"/>
          <w:highlight w:val="white"/>
        </w:rPr>
      </w:pPr>
      <w:r w:rsidRPr="000F4C13">
        <w:rPr>
          <w:rFonts w:eastAsia="Calibri" w:asciiTheme="majorHAnsi" w:hAnsiTheme="majorHAnsi" w:cstheme="majorHAnsi"/>
          <w:highlight w:val="white"/>
        </w:rPr>
        <w:t>Over the past decade, claims costs have escalated due to various legal and societal shifts, making it a growing concern for insurers.</w:t>
      </w:r>
      <w:r w:rsidRPr="000F4C13">
        <w:rPr>
          <w:rFonts w:eastAsia="Calibri" w:asciiTheme="majorHAnsi" w:hAnsiTheme="majorHAnsi" w:cstheme="majorHAnsi"/>
          <w:highlight w:val="white"/>
          <w:vertAlign w:val="superscript"/>
        </w:rPr>
        <w:footnoteReference w:id="57"/>
      </w:r>
      <w:r w:rsidRPr="000F4C13">
        <w:rPr>
          <w:rFonts w:eastAsia="Calibri" w:asciiTheme="majorHAnsi" w:hAnsiTheme="majorHAnsi" w:cstheme="majorHAnsi"/>
          <w:highlight w:val="white"/>
        </w:rPr>
        <w:t xml:space="preserve"> </w:t>
      </w:r>
      <w:r w:rsidRPr="000F4C13">
        <w:rPr>
          <w:rFonts w:eastAsia="Calibri" w:asciiTheme="majorHAnsi" w:hAnsiTheme="majorHAnsi" w:cstheme="majorHAnsi"/>
        </w:rPr>
        <w:t>A</w:t>
      </w:r>
      <w:r w:rsidRPr="000F4C13">
        <w:rPr>
          <w:rFonts w:eastAsia="Calibri" w:asciiTheme="majorHAnsi" w:hAnsiTheme="majorHAnsi" w:cstheme="majorHAnsi"/>
          <w:highlight w:val="white"/>
        </w:rPr>
        <w:t>ccording to recent surveys from the Independent Insurance Agents &amp; Brokers of America (Big I) and the Insurance Information Institute in partnership with Munich Reinsurance America,</w:t>
      </w:r>
      <w:r w:rsidRPr="000F4C13">
        <w:rPr>
          <w:rFonts w:eastAsia="Calibri" w:asciiTheme="majorHAnsi" w:hAnsiTheme="majorHAnsi" w:cstheme="majorHAnsi"/>
        </w:rPr>
        <w:t xml:space="preserve"> excessive lawsuits add more than $6,000 annually to premiums.</w:t>
      </w:r>
      <w:r w:rsidRPr="000F4C13">
        <w:rPr>
          <w:rFonts w:eastAsia="Calibri" w:asciiTheme="majorHAnsi" w:hAnsiTheme="majorHAnsi" w:cstheme="majorHAnsi"/>
          <w:vertAlign w:val="superscript"/>
        </w:rPr>
        <w:footnoteReference w:id="58"/>
      </w:r>
      <w:r w:rsidRPr="000F4C13">
        <w:rPr>
          <w:rFonts w:eastAsia="Calibri" w:asciiTheme="majorHAnsi" w:hAnsiTheme="majorHAnsi" w:cstheme="majorHAnsi"/>
        </w:rPr>
        <w:t xml:space="preserve"> </w:t>
      </w:r>
      <w:r w:rsidRPr="000F4C13">
        <w:rPr>
          <w:rFonts w:eastAsia="Calibri" w:asciiTheme="majorHAnsi" w:hAnsiTheme="majorHAnsi" w:cstheme="majorHAnsi"/>
          <w:highlight w:val="white"/>
        </w:rPr>
        <w:t xml:space="preserve"> </w:t>
      </w:r>
    </w:p>
    <w:p w:rsidRPr="000F4C13" w:rsidR="00C96053" w:rsidRDefault="00B2522B" w14:paraId="2292A788" w14:textId="4ECE4C58">
      <w:pPr>
        <w:jc w:val="both"/>
        <w:rPr>
          <w:rFonts w:eastAsia="Calibri" w:asciiTheme="majorHAnsi" w:hAnsiTheme="majorHAnsi" w:cstheme="majorHAnsi"/>
          <w:highlight w:val="white"/>
        </w:rPr>
      </w:pPr>
      <w:r w:rsidRPr="000F4C13">
        <w:rPr>
          <w:rFonts w:eastAsia="Calibri" w:asciiTheme="majorHAnsi" w:hAnsiTheme="majorHAnsi" w:cstheme="majorHAnsi"/>
          <w:highlight w:val="white"/>
        </w:rPr>
        <w:t>Homeowners’ use of assignment of benefits (AOB) agreements has increased alongside rising claim frequency and severity. In 2019, Florida accounted for 8% of US homeowners insurance claims but more than 76% of related litigation,</w:t>
      </w:r>
      <w:r w:rsidRPr="000F4C13">
        <w:rPr>
          <w:rFonts w:eastAsia="Calibri" w:asciiTheme="majorHAnsi" w:hAnsiTheme="majorHAnsi" w:cstheme="majorHAnsi"/>
          <w:highlight w:val="white"/>
          <w:vertAlign w:val="superscript"/>
        </w:rPr>
        <w:footnoteReference w:id="59"/>
      </w:r>
      <w:r w:rsidRPr="000F4C13">
        <w:rPr>
          <w:rFonts w:eastAsia="Calibri" w:asciiTheme="majorHAnsi" w:hAnsiTheme="majorHAnsi" w:cstheme="majorHAnsi"/>
          <w:highlight w:val="white"/>
        </w:rPr>
        <w:t xml:space="preserve"> with the volume of AOB lawsuits growing from roughly 1,300 statewide across all lines in 2000 to more than 79,000 in 2013 and more than 153,000 in 2018. Between 2013 </w:t>
      </w:r>
      <w:r w:rsidRPr="000F4C13" w:rsidR="00433133">
        <w:rPr>
          <w:rFonts w:eastAsia="Calibri" w:asciiTheme="majorHAnsi" w:hAnsiTheme="majorHAnsi" w:cstheme="majorHAnsi"/>
          <w:highlight w:val="white"/>
        </w:rPr>
        <w:t xml:space="preserve">and </w:t>
      </w:r>
      <w:r w:rsidRPr="000F4C13">
        <w:rPr>
          <w:rFonts w:eastAsia="Calibri" w:asciiTheme="majorHAnsi" w:hAnsiTheme="majorHAnsi" w:cstheme="majorHAnsi"/>
          <w:highlight w:val="white"/>
        </w:rPr>
        <w:t>2016, AOB property lawsuits grew from 2,852 to 9000.</w:t>
      </w:r>
      <w:r w:rsidRPr="000F4C13">
        <w:rPr>
          <w:rFonts w:eastAsia="Calibri" w:asciiTheme="majorHAnsi" w:hAnsiTheme="majorHAnsi" w:cstheme="majorHAnsi"/>
          <w:highlight w:val="white"/>
          <w:vertAlign w:val="superscript"/>
        </w:rPr>
        <w:footnoteReference w:id="60"/>
      </w:r>
      <w:r w:rsidRPr="000F4C13">
        <w:rPr>
          <w:rFonts w:eastAsia="Calibri" w:asciiTheme="majorHAnsi" w:hAnsiTheme="majorHAnsi" w:cstheme="majorHAnsi"/>
          <w:highlight w:val="white"/>
        </w:rPr>
        <w:t xml:space="preserve"> Leading up to the state’s legislative tort reform efforts, the Florida Office of Insurance Regulation’s 2015</w:t>
      </w:r>
      <w:r w:rsidRPr="000F4C13">
        <w:rPr>
          <w:rFonts w:eastAsia="Calibri" w:asciiTheme="majorHAnsi" w:hAnsiTheme="majorHAnsi" w:cstheme="majorHAnsi"/>
          <w:highlight w:val="white"/>
          <w:vertAlign w:val="superscript"/>
        </w:rPr>
        <w:footnoteReference w:id="61"/>
      </w:r>
      <w:r w:rsidRPr="000F4C13">
        <w:rPr>
          <w:rFonts w:eastAsia="Calibri" w:asciiTheme="majorHAnsi" w:hAnsiTheme="majorHAnsi" w:cstheme="majorHAnsi"/>
          <w:highlight w:val="white"/>
        </w:rPr>
        <w:t xml:space="preserve"> and 2017</w:t>
      </w:r>
      <w:r w:rsidRPr="000F4C13">
        <w:rPr>
          <w:rFonts w:eastAsia="Calibri" w:asciiTheme="majorHAnsi" w:hAnsiTheme="majorHAnsi" w:cstheme="majorHAnsi"/>
          <w:highlight w:val="white"/>
          <w:vertAlign w:val="superscript"/>
        </w:rPr>
        <w:footnoteReference w:id="62"/>
      </w:r>
      <w:r w:rsidRPr="000F4C13">
        <w:rPr>
          <w:rFonts w:eastAsia="Calibri" w:asciiTheme="majorHAnsi" w:hAnsiTheme="majorHAnsi" w:cstheme="majorHAnsi"/>
          <w:highlight w:val="white"/>
        </w:rPr>
        <w:t xml:space="preserve"> AOB data calls showed an increase in AOB use from 12.8% to 17% of claims, and AOB claims averaged at least 85% higher in severity over non-AOB claims.</w:t>
      </w:r>
    </w:p>
    <w:p w:rsidRPr="000F4C13" w:rsidR="00C96053" w:rsidRDefault="00B2522B" w14:paraId="6F31C593" w14:textId="6157E518">
      <w:pPr>
        <w:jc w:val="both"/>
        <w:rPr>
          <w:rFonts w:eastAsia="Calibri" w:asciiTheme="majorHAnsi" w:hAnsiTheme="majorHAnsi" w:cstheme="majorHAnsi"/>
          <w:highlight w:val="white"/>
        </w:rPr>
      </w:pPr>
      <w:r w:rsidRPr="000F4C13">
        <w:rPr>
          <w:rFonts w:eastAsia="Calibri" w:asciiTheme="majorHAnsi" w:hAnsiTheme="majorHAnsi" w:cstheme="majorHAnsi"/>
          <w:highlight w:val="white"/>
        </w:rPr>
        <w:t xml:space="preserve">On the other hand, a paper by NAIC Consumer Representative Kenneth Klein asserts that good data supporting tort limits is hard to come by, and lawmakers and regulators should be wary of new rules that can hamstring meritorious claims from honest policyholders.” He also pointed out that higher jury awards do not necessarily translate </w:t>
      </w:r>
      <w:r w:rsidRPr="000F4C13" w:rsidR="00433133">
        <w:rPr>
          <w:rFonts w:eastAsia="Calibri" w:asciiTheme="majorHAnsi" w:hAnsiTheme="majorHAnsi" w:cstheme="majorHAnsi"/>
          <w:highlight w:val="white"/>
        </w:rPr>
        <w:t xml:space="preserve">into higher insurance costs, as many states prohibit insurers from paying </w:t>
      </w:r>
      <w:r w:rsidRPr="000F4C13">
        <w:rPr>
          <w:rFonts w:eastAsia="Calibri" w:asciiTheme="majorHAnsi" w:hAnsiTheme="majorHAnsi" w:cstheme="majorHAnsi"/>
          <w:highlight w:val="white"/>
        </w:rPr>
        <w:t>punitive damages.</w:t>
      </w:r>
      <w:r w:rsidRPr="000F4C13">
        <w:rPr>
          <w:rFonts w:eastAsia="Calibri" w:asciiTheme="majorHAnsi" w:hAnsiTheme="majorHAnsi" w:cstheme="majorHAnsi"/>
          <w:highlight w:val="white"/>
          <w:vertAlign w:val="superscript"/>
        </w:rPr>
        <w:footnoteReference w:id="63"/>
      </w:r>
      <w:r w:rsidRPr="000F4C13">
        <w:rPr>
          <w:rFonts w:eastAsia="Calibri" w:asciiTheme="majorHAnsi" w:hAnsiTheme="majorHAnsi" w:cstheme="majorHAnsi"/>
          <w:highlight w:val="white"/>
        </w:rPr>
        <w:t xml:space="preserve"> </w:t>
      </w:r>
    </w:p>
    <w:p w:rsidRPr="000F4C13" w:rsidR="00C96053" w:rsidRDefault="00B2522B" w14:paraId="637588F1" w14:textId="77777777">
      <w:pPr>
        <w:pStyle w:val="Heading4"/>
        <w:rPr>
          <w:rFonts w:asciiTheme="majorHAnsi" w:hAnsiTheme="majorHAnsi" w:cstheme="majorHAnsi"/>
        </w:rPr>
      </w:pPr>
      <w:bookmarkStart w:name="_ghdfbw85uahu" w:colFirst="0" w:colLast="0" w:id="18"/>
      <w:bookmarkEnd w:id="18"/>
      <w:r w:rsidRPr="000F4C13">
        <w:rPr>
          <w:rFonts w:asciiTheme="majorHAnsi" w:hAnsiTheme="majorHAnsi" w:cstheme="majorHAnsi"/>
        </w:rPr>
        <w:t>Homeowners Associations (HOAs)</w:t>
      </w:r>
    </w:p>
    <w:p w:rsidRPr="000F4C13" w:rsidR="00C96053" w:rsidRDefault="005C6CF6" w14:paraId="2F137F29" w14:textId="464600A9">
      <w:pPr>
        <w:jc w:val="both"/>
        <w:rPr>
          <w:rFonts w:eastAsia="Calibri" w:asciiTheme="majorHAnsi" w:hAnsiTheme="majorHAnsi" w:cstheme="majorHAnsi"/>
        </w:rPr>
      </w:pPr>
      <w:r w:rsidRPr="000F4C13">
        <w:rPr>
          <w:rFonts w:eastAsia="Calibri" w:asciiTheme="majorHAnsi" w:hAnsiTheme="majorHAnsi" w:cstheme="majorHAnsi"/>
        </w:rPr>
        <w:t xml:space="preserve"> HOAs are also experiencing challenges in finding affordable property insurance. </w:t>
      </w:r>
      <w:r w:rsidRPr="000F4C13" w:rsidR="00682CEB">
        <w:rPr>
          <w:rFonts w:eastAsia="Calibri" w:asciiTheme="majorHAnsi" w:hAnsiTheme="majorHAnsi" w:cstheme="majorHAnsi"/>
        </w:rPr>
        <w:t xml:space="preserve">These </w:t>
      </w:r>
      <w:r w:rsidRPr="000F4C13" w:rsidR="002F5E73">
        <w:rPr>
          <w:rFonts w:eastAsia="Calibri" w:asciiTheme="majorHAnsi" w:hAnsiTheme="majorHAnsi" w:cstheme="majorHAnsi"/>
        </w:rPr>
        <w:t>insurance</w:t>
      </w:r>
      <w:r w:rsidRPr="000F4C13" w:rsidR="001556E3">
        <w:rPr>
          <w:rFonts w:eastAsia="Calibri" w:asciiTheme="majorHAnsi" w:hAnsiTheme="majorHAnsi" w:cstheme="majorHAnsi"/>
        </w:rPr>
        <w:t xml:space="preserve"> challenges </w:t>
      </w:r>
      <w:r w:rsidRPr="000F4C13" w:rsidR="00C15886">
        <w:rPr>
          <w:rFonts w:eastAsia="Calibri" w:asciiTheme="majorHAnsi" w:hAnsiTheme="majorHAnsi" w:cstheme="majorHAnsi"/>
        </w:rPr>
        <w:t>are</w:t>
      </w:r>
      <w:r w:rsidRPr="000F4C13" w:rsidR="002F5E73">
        <w:rPr>
          <w:rFonts w:eastAsia="Calibri" w:asciiTheme="majorHAnsi" w:hAnsiTheme="majorHAnsi" w:cstheme="majorHAnsi"/>
        </w:rPr>
        <w:t xml:space="preserve"> increasing costs and limiting insurer participation in residential markets. </w:t>
      </w:r>
      <w:r w:rsidRPr="000F4C13" w:rsidR="00682CEB">
        <w:rPr>
          <w:rFonts w:eastAsia="Calibri" w:asciiTheme="majorHAnsi" w:hAnsiTheme="majorHAnsi" w:cstheme="majorHAnsi"/>
        </w:rPr>
        <w:t xml:space="preserve"> Although </w:t>
      </w:r>
      <w:r w:rsidRPr="000F4C13" w:rsidR="00B2522B">
        <w:rPr>
          <w:rFonts w:eastAsia="Calibri" w:asciiTheme="majorHAnsi" w:hAnsiTheme="majorHAnsi" w:cstheme="majorHAnsi"/>
        </w:rPr>
        <w:t>HOAs operate under governance structures that differ substantially from single-family homeowners</w:t>
      </w:r>
      <w:r w:rsidRPr="000F4C13" w:rsidR="00682CEB">
        <w:rPr>
          <w:rFonts w:eastAsia="Calibri" w:asciiTheme="majorHAnsi" w:hAnsiTheme="majorHAnsi" w:cstheme="majorHAnsi"/>
        </w:rPr>
        <w:t xml:space="preserve">, many </w:t>
      </w:r>
      <w:r w:rsidRPr="000F4C13" w:rsidR="00D7562C">
        <w:rPr>
          <w:rFonts w:eastAsia="Calibri" w:asciiTheme="majorHAnsi" w:hAnsiTheme="majorHAnsi" w:cstheme="majorHAnsi"/>
        </w:rPr>
        <w:t>insurers</w:t>
      </w:r>
      <w:r w:rsidRPr="000F4C13" w:rsidR="00682CEB">
        <w:rPr>
          <w:rFonts w:eastAsia="Calibri" w:asciiTheme="majorHAnsi" w:hAnsiTheme="majorHAnsi" w:cstheme="majorHAnsi"/>
        </w:rPr>
        <w:t xml:space="preserve"> write both HOA master policies and homeowners policies</w:t>
      </w:r>
      <w:r w:rsidRPr="000F4C13" w:rsidR="00B2522B">
        <w:rPr>
          <w:rFonts w:eastAsia="Calibri" w:asciiTheme="majorHAnsi" w:hAnsiTheme="majorHAnsi" w:cstheme="majorHAnsi"/>
        </w:rPr>
        <w:t xml:space="preserve">. These organizational and financial </w:t>
      </w:r>
      <w:r w:rsidRPr="000F4C13" w:rsidR="00D7562C">
        <w:rPr>
          <w:rFonts w:eastAsia="Calibri" w:asciiTheme="majorHAnsi" w:hAnsiTheme="majorHAnsi" w:cstheme="majorHAnsi"/>
        </w:rPr>
        <w:t xml:space="preserve">structures affect </w:t>
      </w:r>
      <w:r w:rsidRPr="000F4C13" w:rsidR="00B2522B">
        <w:rPr>
          <w:rFonts w:eastAsia="Calibri" w:asciiTheme="majorHAnsi" w:hAnsiTheme="majorHAnsi" w:cstheme="majorHAnsi"/>
        </w:rPr>
        <w:t xml:space="preserve">insurance affordability and availability </w:t>
      </w:r>
      <w:r w:rsidRPr="000F4C13" w:rsidR="00D7562C">
        <w:rPr>
          <w:rFonts w:eastAsia="Calibri" w:asciiTheme="majorHAnsi" w:hAnsiTheme="majorHAnsi" w:cstheme="majorHAnsi"/>
        </w:rPr>
        <w:t xml:space="preserve">by influencing </w:t>
      </w:r>
      <w:r w:rsidRPr="000F4C13" w:rsidR="00B2522B">
        <w:rPr>
          <w:rFonts w:eastAsia="Calibri" w:asciiTheme="majorHAnsi" w:hAnsiTheme="majorHAnsi" w:cstheme="majorHAnsi"/>
        </w:rPr>
        <w:t xml:space="preserve">the condition of the shared structures, the adequacy of long-term capital planning, and the </w:t>
      </w:r>
      <w:r w:rsidRPr="000F4C13" w:rsidR="00D7562C">
        <w:rPr>
          <w:rFonts w:eastAsia="Calibri" w:asciiTheme="majorHAnsi" w:hAnsiTheme="majorHAnsi" w:cstheme="majorHAnsi"/>
        </w:rPr>
        <w:t xml:space="preserve">size and </w:t>
      </w:r>
      <w:r w:rsidRPr="000F4C13" w:rsidR="00B2522B">
        <w:rPr>
          <w:rFonts w:eastAsia="Calibri" w:asciiTheme="majorHAnsi" w:hAnsiTheme="majorHAnsi" w:cstheme="majorHAnsi"/>
        </w:rPr>
        <w:t xml:space="preserve">frequency </w:t>
      </w:r>
      <w:r w:rsidRPr="000F4C13" w:rsidR="00D7562C">
        <w:rPr>
          <w:rFonts w:eastAsia="Calibri" w:asciiTheme="majorHAnsi" w:hAnsiTheme="majorHAnsi" w:cstheme="majorHAnsi"/>
        </w:rPr>
        <w:t xml:space="preserve">of insurance </w:t>
      </w:r>
      <w:r w:rsidRPr="000F4C13" w:rsidR="00B2522B">
        <w:rPr>
          <w:rFonts w:eastAsia="Calibri" w:asciiTheme="majorHAnsi" w:hAnsiTheme="majorHAnsi" w:cstheme="majorHAnsi"/>
        </w:rPr>
        <w:t xml:space="preserve">losses. </w:t>
      </w:r>
    </w:p>
    <w:p w:rsidRPr="000F4C13" w:rsidR="00A8372E" w:rsidRDefault="00A8372E" w14:paraId="6E701971" w14:textId="616BFD82">
      <w:pPr>
        <w:jc w:val="both"/>
        <w:rPr>
          <w:rFonts w:eastAsia="Calibri" w:asciiTheme="majorHAnsi" w:hAnsiTheme="majorHAnsi" w:cstheme="majorHAnsi"/>
        </w:rPr>
      </w:pPr>
      <w:r w:rsidRPr="000F4C13">
        <w:rPr>
          <w:rFonts w:eastAsia="Calibri" w:asciiTheme="majorHAnsi" w:hAnsiTheme="majorHAnsi" w:cstheme="majorHAnsi"/>
          <w:lang w:val="en-US"/>
        </w:rPr>
        <w:t xml:space="preserve">From an </w:t>
      </w:r>
      <w:r w:rsidRPr="000F4C13" w:rsidR="00242DA6">
        <w:rPr>
          <w:rFonts w:eastAsia="Calibri" w:asciiTheme="majorHAnsi" w:hAnsiTheme="majorHAnsi" w:cstheme="majorHAnsi"/>
          <w:lang w:val="en-US"/>
        </w:rPr>
        <w:t xml:space="preserve">insurer's </w:t>
      </w:r>
      <w:r w:rsidRPr="000F4C13">
        <w:rPr>
          <w:rFonts w:eastAsia="Calibri" w:asciiTheme="majorHAnsi" w:hAnsiTheme="majorHAnsi" w:cstheme="majorHAnsi"/>
          <w:lang w:val="en-US"/>
        </w:rPr>
        <w:t>perspective, losses in the HOA segment are not isolated. Many insurers write both single</w:t>
      </w:r>
      <w:r w:rsidRPr="000F4C13">
        <w:rPr>
          <w:rFonts w:eastAsia="Calibri" w:asciiTheme="majorHAnsi" w:hAnsiTheme="majorHAnsi" w:cstheme="majorHAnsi"/>
          <w:lang w:val="en-US"/>
        </w:rPr>
        <w:noBreakHyphen/>
        <w:t>family homeowners policies and HOA master policies, often supported by shared capital and reinsurance arrangements. Elevated loss frequency or severity in the HOA segment can therefore contribute to broader underwriting retrenchment, higher reinsurance costs, and reduced capacity across an insurer’s entire residential portfolio, including single</w:t>
      </w:r>
      <w:r w:rsidRPr="000F4C13">
        <w:rPr>
          <w:rFonts w:eastAsia="Calibri" w:asciiTheme="majorHAnsi" w:hAnsiTheme="majorHAnsi" w:cstheme="majorHAnsi"/>
          <w:lang w:val="en-US"/>
        </w:rPr>
        <w:noBreakHyphen/>
        <w:t>family homeowners coverage.</w:t>
      </w:r>
    </w:p>
    <w:p w:rsidRPr="000F4C13" w:rsidR="00C96053" w:rsidRDefault="00B2522B" w14:paraId="1A021A2B" w14:textId="21FC0941">
      <w:pPr>
        <w:jc w:val="both"/>
        <w:rPr>
          <w:rFonts w:eastAsia="Calibri" w:asciiTheme="majorHAnsi" w:hAnsiTheme="majorHAnsi" w:cstheme="majorHAnsi"/>
        </w:rPr>
      </w:pPr>
      <w:r w:rsidRPr="000F4C13">
        <w:rPr>
          <w:rFonts w:eastAsia="Calibri" w:asciiTheme="majorHAnsi" w:hAnsiTheme="majorHAnsi" w:cstheme="majorHAnsi"/>
        </w:rPr>
        <w:t>Unlike homeowners, HOAs purchase commercial master policies, paid for by homeowners' dues, that cover common areas, such as roofs, and liability for shared spaces. Recent reports from states across the country highlight the challenges in the HOA space.</w:t>
      </w:r>
      <w:r w:rsidRPr="000F4C13">
        <w:rPr>
          <w:rFonts w:eastAsia="Calibri" w:asciiTheme="majorHAnsi" w:hAnsiTheme="majorHAnsi" w:cstheme="majorHAnsi"/>
          <w:vertAlign w:val="superscript"/>
        </w:rPr>
        <w:footnoteReference w:id="64"/>
      </w:r>
      <w:r w:rsidRPr="000F4C13">
        <w:rPr>
          <w:rFonts w:eastAsia="Calibri" w:asciiTheme="majorHAnsi" w:hAnsiTheme="majorHAnsi" w:cstheme="majorHAnsi"/>
        </w:rPr>
        <w:t xml:space="preserve"> </w:t>
      </w:r>
      <w:r w:rsidRPr="000F4C13">
        <w:rPr>
          <w:rFonts w:eastAsia="Calibri" w:asciiTheme="majorHAnsi" w:hAnsiTheme="majorHAnsi" w:cstheme="majorHAnsi"/>
          <w:highlight w:val="white"/>
        </w:rPr>
        <w:t xml:space="preserve">More than 90% of respondents in an April 2025 survey </w:t>
      </w:r>
      <w:hyperlink r:id="rId12">
        <w:r w:rsidRPr="000F4C13" w:rsidR="00C96053">
          <w:rPr>
            <w:rFonts w:eastAsia="Calibri" w:asciiTheme="majorHAnsi" w:hAnsiTheme="majorHAnsi" w:cstheme="majorHAnsi"/>
            <w:highlight w:val="white"/>
          </w:rPr>
          <w:t>conducted by the Foundation for Community Association Research</w:t>
        </w:r>
      </w:hyperlink>
      <w:r w:rsidRPr="000F4C13">
        <w:rPr>
          <w:rFonts w:eastAsia="Calibri" w:asciiTheme="majorHAnsi" w:hAnsiTheme="majorHAnsi" w:cstheme="majorHAnsi"/>
          <w:highlight w:val="white"/>
        </w:rPr>
        <w:t xml:space="preserve"> reported that their property and casualty insurance premiums had increased at the last or current renewal. Specifically, 24% cited an increase of </w:t>
      </w:r>
      <w:r w:rsidRPr="000F4C13" w:rsidR="002C119B">
        <w:rPr>
          <w:rFonts w:eastAsia="Calibri" w:asciiTheme="majorHAnsi" w:hAnsiTheme="majorHAnsi" w:cstheme="majorHAnsi"/>
          <w:highlight w:val="white"/>
        </w:rPr>
        <w:t>$101-</w:t>
      </w:r>
      <w:r w:rsidRPr="000F4C13">
        <w:rPr>
          <w:rFonts w:eastAsia="Calibri" w:asciiTheme="majorHAnsi" w:hAnsiTheme="majorHAnsi" w:cstheme="majorHAnsi"/>
          <w:highlight w:val="white"/>
        </w:rPr>
        <w:t>$500, and 14% reported a larger increase.</w:t>
      </w:r>
      <w:r w:rsidRPr="000F4C13">
        <w:rPr>
          <w:rFonts w:eastAsia="Calibri" w:asciiTheme="majorHAnsi" w:hAnsiTheme="majorHAnsi" w:cstheme="majorHAnsi"/>
          <w:color w:val="4A5156"/>
          <w:highlight w:val="white"/>
          <w:vertAlign w:val="superscript"/>
        </w:rPr>
        <w:footnoteReference w:id="65"/>
      </w:r>
    </w:p>
    <w:p w:rsidRPr="000F4C13" w:rsidR="00C96053" w:rsidRDefault="00B2522B" w14:paraId="5DB2A807" w14:textId="3FD5FF64">
      <w:pPr>
        <w:jc w:val="both"/>
        <w:rPr>
          <w:rFonts w:eastAsia="Calibri" w:asciiTheme="majorHAnsi" w:hAnsiTheme="majorHAnsi" w:cstheme="majorHAnsi"/>
        </w:rPr>
      </w:pPr>
      <w:r w:rsidRPr="000F4C13">
        <w:rPr>
          <w:rFonts w:eastAsia="Calibri" w:asciiTheme="majorHAnsi" w:hAnsiTheme="majorHAnsi" w:cstheme="majorHAnsi"/>
        </w:rPr>
        <w:t xml:space="preserve">One key concern with HOAs is their reserve adequacy, as a strong indicator of an HOA’s financial stability and its ability to maintain major building components. Of the limited national research conducted on reserve adequacy, it reveals that 74% of associations are underfunded or severely underfunded relative to their projected capital needs. A lack of reserves often forces communities to defer maintenance, </w:t>
      </w:r>
      <w:r w:rsidRPr="000F4C13" w:rsidR="00371AE9">
        <w:rPr>
          <w:rFonts w:eastAsia="Calibri" w:asciiTheme="majorHAnsi" w:hAnsiTheme="majorHAnsi" w:cstheme="majorHAnsi"/>
        </w:rPr>
        <w:t>increasing the likelihood of simultaneous major system failures</w:t>
      </w:r>
      <w:r w:rsidRPr="000F4C13">
        <w:rPr>
          <w:rFonts w:eastAsia="Calibri" w:asciiTheme="majorHAnsi" w:hAnsiTheme="majorHAnsi" w:cstheme="majorHAnsi"/>
        </w:rPr>
        <w:t xml:space="preserve">. For example, roofs, exterior cladding, and moisture barriers are critical to building performance and represent major loss drivers in wind, hail, and freezing prone regions of the country (water damage has become one of the most frequent and expensive categories of property loss), but could be deferred due to high upfront costs caused by the complex configuration of water facilities within these multifamily units. From an insurance perspective, </w:t>
      </w:r>
      <w:r w:rsidRPr="000F4C13" w:rsidR="00A8372E">
        <w:rPr>
          <w:rFonts w:eastAsia="Calibri" w:asciiTheme="majorHAnsi" w:hAnsiTheme="majorHAnsi" w:cstheme="majorHAnsi"/>
        </w:rPr>
        <w:t xml:space="preserve">deferred maintenance increases the likelihood of large, correlated losses and more severe claims outcomes. </w:t>
      </w:r>
      <w:r w:rsidRPr="000F4C13" w:rsidR="000A13DB">
        <w:rPr>
          <w:rFonts w:eastAsia="Calibri" w:asciiTheme="majorHAnsi" w:hAnsiTheme="majorHAnsi" w:cstheme="majorHAnsi"/>
        </w:rPr>
        <w:t xml:space="preserve">This can result in insurers increasing premiums, imposing coverage restrictions, or reducing participation in not only the HOA market, but also in the adjacent homeowners insurance market. </w:t>
      </w:r>
    </w:p>
    <w:p w:rsidRPr="000F4C13" w:rsidR="00C96053" w:rsidRDefault="00B2522B" w14:paraId="29E50E87" w14:textId="25877D72">
      <w:pPr>
        <w:jc w:val="both"/>
        <w:rPr>
          <w:rFonts w:eastAsia="Calibri" w:asciiTheme="majorHAnsi" w:hAnsiTheme="majorHAnsi" w:cstheme="majorHAnsi"/>
        </w:rPr>
      </w:pPr>
      <w:r w:rsidRPr="000F4C13">
        <w:rPr>
          <w:rFonts w:eastAsia="Calibri" w:asciiTheme="majorHAnsi" w:hAnsiTheme="majorHAnsi" w:cstheme="majorHAnsi"/>
        </w:rPr>
        <w:t>Another factor unique to HOAs shaping insurance outcomes is the structure of an HOA’s covenants, conditions, and restrictions (CC&amp;Rs), which determine whether the association or individual homeowners are responsible for specific building components. These documents are unique</w:t>
      </w:r>
      <w:r w:rsidRPr="000F4C13" w:rsidR="00FD746A">
        <w:rPr>
          <w:rFonts w:eastAsia="Calibri" w:asciiTheme="majorHAnsi" w:hAnsiTheme="majorHAnsi" w:cstheme="majorHAnsi"/>
        </w:rPr>
        <w:t>: some associations assume</w:t>
      </w:r>
      <w:r w:rsidRPr="000F4C13">
        <w:rPr>
          <w:rFonts w:eastAsia="Calibri" w:asciiTheme="majorHAnsi" w:hAnsiTheme="majorHAnsi" w:cstheme="majorHAnsi"/>
        </w:rPr>
        <w:t xml:space="preserve"> full responsibility for roofs, exterior walls, and primary utility systems, while others shift more and more obligations to individual owners. This can be further complicated when HOAs are mixed-use or have nonstandard occupancy, which can impose higher fire loads, greater mechanical and plumbing demands on shared systems, and more ambiguity in maintenance responsibilities between the commercial owners and the association.</w:t>
      </w:r>
      <w:r w:rsidRPr="000F4C13" w:rsidR="009139E6">
        <w:rPr>
          <w:rFonts w:eastAsia="Calibri" w:asciiTheme="majorHAnsi" w:hAnsiTheme="majorHAnsi" w:cstheme="majorHAnsi"/>
        </w:rPr>
        <w:t xml:space="preserve"> CC&amp;Rs </w:t>
      </w:r>
      <w:r w:rsidRPr="000F4C13" w:rsidR="009139E6">
        <w:rPr>
          <w:rFonts w:eastAsia="Calibri" w:asciiTheme="majorHAnsi" w:hAnsiTheme="majorHAnsi" w:cstheme="majorHAnsi"/>
          <w:lang w:val="en-US"/>
        </w:rPr>
        <w:t>can complicate claims handling by making it harder to determine responsibility after a loss and can increase claim severity and adjustment costs. As insurers absorb these higher costs, they may respond by raising homeowners insurance premiums or limiting coverage options in the same markets.</w:t>
      </w:r>
    </w:p>
    <w:p w:rsidRPr="000F4C13" w:rsidR="00C96053" w:rsidRDefault="00B2522B" w14:paraId="536B1FCB" w14:textId="77777777">
      <w:pPr>
        <w:jc w:val="both"/>
        <w:rPr>
          <w:rFonts w:eastAsia="Calibri" w:asciiTheme="majorHAnsi" w:hAnsiTheme="majorHAnsi" w:cstheme="majorHAnsi"/>
        </w:rPr>
      </w:pPr>
      <w:r w:rsidRPr="000F4C13">
        <w:rPr>
          <w:rFonts w:eastAsia="Calibri" w:asciiTheme="majorHAnsi" w:hAnsiTheme="majorHAnsi" w:cstheme="majorHAnsi"/>
        </w:rPr>
        <w:t xml:space="preserve">These concerns specific to HOAs should be noted for their implications on the larger homeowners insurance market. </w:t>
      </w:r>
    </w:p>
    <w:p w:rsidRPr="000F4C13" w:rsidR="00C96053" w:rsidRDefault="0035069D" w14:paraId="4FAF84EA" w14:textId="77777777">
      <w:pPr>
        <w:jc w:val="both"/>
        <w:rPr>
          <w:rFonts w:eastAsia="Calibri" w:asciiTheme="majorHAnsi" w:hAnsiTheme="majorHAnsi" w:cstheme="majorHAnsi"/>
        </w:rPr>
      </w:pPr>
      <w:r>
        <w:rPr>
          <w:rFonts w:asciiTheme="majorHAnsi" w:hAnsiTheme="majorHAnsi" w:cstheme="majorHAnsi"/>
        </w:rPr>
        <w:pict w14:anchorId="392264A5">
          <v:rect id="_x0000_i1028" style="width:0;height:1.5pt" o:hr="t" o:hrstd="t" o:hralign="center" fillcolor="#a0a0a0" stroked="f"/>
        </w:pict>
      </w:r>
    </w:p>
    <w:p w:rsidRPr="000F4C13" w:rsidR="00C96053" w:rsidRDefault="00B2522B" w14:paraId="1B8ADA81" w14:textId="464676FB">
      <w:pPr>
        <w:pStyle w:val="Heading2"/>
        <w:rPr>
          <w:rFonts w:asciiTheme="majorHAnsi" w:hAnsiTheme="majorHAnsi" w:cstheme="majorHAnsi"/>
        </w:rPr>
      </w:pPr>
      <w:bookmarkStart w:name="_6z6nsyappvy" w:colFirst="0" w:colLast="0" w:id="19"/>
      <w:bookmarkEnd w:id="19"/>
      <w:r w:rsidRPr="000F4C13">
        <w:rPr>
          <w:rFonts w:asciiTheme="majorHAnsi" w:hAnsiTheme="majorHAnsi" w:cstheme="majorHAnsi"/>
        </w:rPr>
        <w:t>Section C: Homeowners’ Insurance Availability and Affordability – Direct Consumer Impact</w:t>
      </w:r>
    </w:p>
    <w:p w:rsidRPr="000F4C13" w:rsidR="00C96053" w:rsidRDefault="00B2522B" w14:paraId="1B8CC176" w14:textId="77777777">
      <w:pPr>
        <w:pStyle w:val="Heading4"/>
        <w:spacing w:after="240" w:line="240" w:lineRule="auto"/>
        <w:rPr>
          <w:rFonts w:asciiTheme="majorHAnsi" w:hAnsiTheme="majorHAnsi" w:cstheme="majorHAnsi"/>
        </w:rPr>
      </w:pPr>
      <w:bookmarkStart w:name="_zdqva8g1oyue" w:colFirst="0" w:colLast="0" w:id="20"/>
      <w:bookmarkStart w:name="_bsqp993u8f1q" w:colFirst="0" w:colLast="0" w:id="21"/>
      <w:bookmarkEnd w:id="20"/>
      <w:bookmarkEnd w:id="21"/>
      <w:r w:rsidRPr="000F4C13">
        <w:rPr>
          <w:rFonts w:asciiTheme="majorHAnsi" w:hAnsiTheme="majorHAnsi" w:cstheme="majorHAnsi"/>
        </w:rPr>
        <w:t>Increased Rate Trends, Therefore, Higher Policyholder Premiums</w:t>
      </w:r>
    </w:p>
    <w:p w:rsidRPr="000F4C13" w:rsidR="00C96053" w:rsidRDefault="00EF1A3F" w14:paraId="01E682F2" w14:textId="1C1AF6DB">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Homeowners insurance premiums have increased across the United States, </w:t>
      </w:r>
      <w:r w:rsidRPr="000F4C13" w:rsidR="00B86F17">
        <w:rPr>
          <w:rFonts w:eastAsia="Calibri" w:asciiTheme="majorHAnsi" w:hAnsiTheme="majorHAnsi" w:cstheme="majorHAnsi"/>
          <w:color w:val="000000"/>
        </w:rPr>
        <w:t xml:space="preserve">with </w:t>
      </w:r>
      <w:r w:rsidRPr="000F4C13">
        <w:rPr>
          <w:rFonts w:eastAsia="Calibri" w:asciiTheme="majorHAnsi" w:hAnsiTheme="majorHAnsi" w:cstheme="majorHAnsi"/>
          <w:color w:val="000000"/>
        </w:rPr>
        <w:t>growth accelerat</w:t>
      </w:r>
      <w:r w:rsidRPr="000F4C13" w:rsidR="00B86F17">
        <w:rPr>
          <w:rFonts w:eastAsia="Calibri" w:asciiTheme="majorHAnsi" w:hAnsiTheme="majorHAnsi" w:cstheme="majorHAnsi"/>
          <w:color w:val="000000"/>
        </w:rPr>
        <w:t>ing</w:t>
      </w:r>
      <w:r w:rsidRPr="000F4C13">
        <w:rPr>
          <w:rFonts w:eastAsia="Calibri" w:asciiTheme="majorHAnsi" w:hAnsiTheme="majorHAnsi" w:cstheme="majorHAnsi"/>
          <w:color w:val="000000"/>
        </w:rPr>
        <w:t xml:space="preserve"> in recent years.</w:t>
      </w:r>
      <w:r w:rsidRPr="000F4C13">
        <w:rPr>
          <w:rFonts w:eastAsia="Calibri" w:asciiTheme="majorHAnsi" w:hAnsiTheme="majorHAnsi" w:cstheme="majorHAnsi"/>
          <w:color w:val="000000"/>
          <w:vertAlign w:val="superscript"/>
        </w:rPr>
        <w:footnoteReference w:id="66"/>
      </w:r>
      <w:r w:rsidRPr="000F4C13">
        <w:rPr>
          <w:rFonts w:eastAsia="Calibri" w:asciiTheme="majorHAnsi" w:hAnsiTheme="majorHAnsi" w:cstheme="majorHAnsi"/>
          <w:color w:val="000000"/>
        </w:rPr>
        <w:t xml:space="preserve"> </w:t>
      </w:r>
      <w:r w:rsidRPr="000F4C13" w:rsidR="006E3072">
        <w:rPr>
          <w:rFonts w:eastAsia="Calibri" w:asciiTheme="majorHAnsi" w:hAnsiTheme="majorHAnsi" w:cstheme="majorHAnsi"/>
          <w:color w:val="000000"/>
        </w:rPr>
        <w:t>Th</w:t>
      </w:r>
      <w:r w:rsidRPr="000F4C13" w:rsidR="00232E24">
        <w:rPr>
          <w:rFonts w:eastAsia="Calibri" w:asciiTheme="majorHAnsi" w:hAnsiTheme="majorHAnsi" w:cstheme="majorHAnsi"/>
          <w:color w:val="000000"/>
        </w:rPr>
        <w:t xml:space="preserve">is </w:t>
      </w:r>
      <w:r w:rsidRPr="000F4C13" w:rsidR="00554F0C">
        <w:rPr>
          <w:rFonts w:eastAsia="Calibri" w:asciiTheme="majorHAnsi" w:hAnsiTheme="majorHAnsi" w:cstheme="majorHAnsi"/>
          <w:color w:val="000000"/>
        </w:rPr>
        <w:t xml:space="preserve">increase </w:t>
      </w:r>
      <w:r w:rsidRPr="000F4C13" w:rsidR="002B0041">
        <w:rPr>
          <w:rFonts w:eastAsia="Calibri" w:asciiTheme="majorHAnsi" w:hAnsiTheme="majorHAnsi" w:cstheme="majorHAnsi"/>
          <w:color w:val="000000"/>
        </w:rPr>
        <w:t>reflects</w:t>
      </w:r>
      <w:r w:rsidRPr="000F4C13" w:rsidR="002E0596">
        <w:rPr>
          <w:rFonts w:eastAsia="Calibri" w:asciiTheme="majorHAnsi" w:hAnsiTheme="majorHAnsi" w:cstheme="majorHAnsi"/>
          <w:color w:val="000000"/>
        </w:rPr>
        <w:t xml:space="preserve"> ongoing </w:t>
      </w:r>
      <w:r w:rsidRPr="000F4C13" w:rsidR="00616905">
        <w:rPr>
          <w:rFonts w:eastAsia="Calibri" w:asciiTheme="majorHAnsi" w:hAnsiTheme="majorHAnsi" w:cstheme="majorHAnsi"/>
          <w:color w:val="000000"/>
        </w:rPr>
        <w:t>premium rate hikes</w:t>
      </w:r>
      <w:r w:rsidRPr="000F4C13" w:rsidR="00677134">
        <w:rPr>
          <w:rFonts w:eastAsia="Calibri" w:asciiTheme="majorHAnsi" w:hAnsiTheme="majorHAnsi" w:cstheme="majorHAnsi"/>
          <w:color w:val="000000"/>
        </w:rPr>
        <w:t xml:space="preserve"> (</w:t>
      </w:r>
      <w:r w:rsidRPr="000F4C13" w:rsidR="00B2097F">
        <w:rPr>
          <w:rFonts w:eastAsia="Calibri" w:asciiTheme="majorHAnsi" w:hAnsiTheme="majorHAnsi" w:cstheme="majorHAnsi"/>
          <w:color w:val="000000"/>
        </w:rPr>
        <w:t xml:space="preserve">the </w:t>
      </w:r>
      <w:r w:rsidRPr="000F4C13" w:rsidR="00880E3A">
        <w:rPr>
          <w:rFonts w:eastAsia="Calibri" w:asciiTheme="majorHAnsi" w:hAnsiTheme="majorHAnsi" w:cstheme="majorHAnsi"/>
          <w:color w:val="000000"/>
        </w:rPr>
        <w:t>standardized price</w:t>
      </w:r>
      <w:r w:rsidRPr="000F4C13" w:rsidR="00830A2B">
        <w:rPr>
          <w:rFonts w:eastAsia="Calibri" w:asciiTheme="majorHAnsi" w:hAnsiTheme="majorHAnsi" w:cstheme="majorHAnsi"/>
          <w:color w:val="000000"/>
        </w:rPr>
        <w:t>s</w:t>
      </w:r>
      <w:r w:rsidRPr="000F4C13" w:rsidR="00880E3A">
        <w:rPr>
          <w:rFonts w:eastAsia="Calibri" w:asciiTheme="majorHAnsi" w:hAnsiTheme="majorHAnsi" w:cstheme="majorHAnsi"/>
          <w:color w:val="000000"/>
        </w:rPr>
        <w:t xml:space="preserve"> per unit of coverage</w:t>
      </w:r>
      <w:r w:rsidRPr="000F4C13" w:rsidR="00677134">
        <w:rPr>
          <w:rFonts w:eastAsia="Calibri" w:asciiTheme="majorHAnsi" w:hAnsiTheme="majorHAnsi" w:cstheme="majorHAnsi"/>
          <w:color w:val="000000"/>
        </w:rPr>
        <w:t xml:space="preserve">) </w:t>
      </w:r>
      <w:r w:rsidRPr="000F4C13" w:rsidR="00A30D92">
        <w:rPr>
          <w:rFonts w:eastAsia="Calibri" w:asciiTheme="majorHAnsi" w:hAnsiTheme="majorHAnsi" w:cstheme="majorHAnsi"/>
          <w:color w:val="000000"/>
        </w:rPr>
        <w:t xml:space="preserve">set </w:t>
      </w:r>
      <w:r w:rsidRPr="000F4C13" w:rsidR="008E2574">
        <w:rPr>
          <w:rFonts w:eastAsia="Calibri" w:asciiTheme="majorHAnsi" w:hAnsiTheme="majorHAnsi" w:cstheme="majorHAnsi"/>
          <w:color w:val="000000"/>
        </w:rPr>
        <w:t xml:space="preserve">by insurers </w:t>
      </w:r>
      <w:r w:rsidRPr="000F4C13" w:rsidR="00A30D92">
        <w:rPr>
          <w:rFonts w:eastAsia="Calibri" w:asciiTheme="majorHAnsi" w:hAnsiTheme="majorHAnsi" w:cstheme="majorHAnsi"/>
          <w:color w:val="000000"/>
        </w:rPr>
        <w:t xml:space="preserve">based on factors such </w:t>
      </w:r>
      <w:r w:rsidRPr="000F4C13" w:rsidR="00B2592C">
        <w:rPr>
          <w:rFonts w:eastAsia="Calibri" w:asciiTheme="majorHAnsi" w:hAnsiTheme="majorHAnsi" w:cstheme="majorHAnsi"/>
          <w:color w:val="000000"/>
        </w:rPr>
        <w:t>as coverage need</w:t>
      </w:r>
      <w:r w:rsidRPr="000F4C13" w:rsidR="008E2574">
        <w:rPr>
          <w:rFonts w:eastAsia="Calibri" w:asciiTheme="majorHAnsi" w:hAnsiTheme="majorHAnsi" w:cstheme="majorHAnsi"/>
          <w:color w:val="000000"/>
        </w:rPr>
        <w:t>s</w:t>
      </w:r>
      <w:r w:rsidRPr="000F4C13" w:rsidR="00B2592C">
        <w:rPr>
          <w:rFonts w:eastAsia="Calibri" w:asciiTheme="majorHAnsi" w:hAnsiTheme="majorHAnsi" w:cstheme="majorHAnsi"/>
          <w:color w:val="000000"/>
        </w:rPr>
        <w:t xml:space="preserve">, </w:t>
      </w:r>
      <w:r w:rsidRPr="000F4C13" w:rsidR="00862959">
        <w:rPr>
          <w:rFonts w:eastAsia="Calibri" w:asciiTheme="majorHAnsi" w:hAnsiTheme="majorHAnsi" w:cstheme="majorHAnsi"/>
          <w:color w:val="000000"/>
        </w:rPr>
        <w:t>home</w:t>
      </w:r>
      <w:r w:rsidRPr="000F4C13" w:rsidR="008B14F8">
        <w:rPr>
          <w:rFonts w:eastAsia="Calibri" w:asciiTheme="majorHAnsi" w:hAnsiTheme="majorHAnsi" w:cstheme="majorHAnsi"/>
          <w:color w:val="000000"/>
        </w:rPr>
        <w:t xml:space="preserve"> age</w:t>
      </w:r>
      <w:r w:rsidRPr="000F4C13" w:rsidR="00862959">
        <w:rPr>
          <w:rFonts w:eastAsia="Calibri" w:asciiTheme="majorHAnsi" w:hAnsiTheme="majorHAnsi" w:cstheme="majorHAnsi"/>
          <w:color w:val="000000"/>
        </w:rPr>
        <w:t xml:space="preserve">, </w:t>
      </w:r>
      <w:r w:rsidRPr="000F4C13" w:rsidR="005906C7">
        <w:rPr>
          <w:rFonts w:eastAsia="Calibri" w:asciiTheme="majorHAnsi" w:hAnsiTheme="majorHAnsi" w:cstheme="majorHAnsi"/>
          <w:color w:val="000000"/>
        </w:rPr>
        <w:t xml:space="preserve">location, </w:t>
      </w:r>
      <w:r w:rsidRPr="000F4C13" w:rsidR="00B2592C">
        <w:rPr>
          <w:rFonts w:eastAsia="Calibri" w:asciiTheme="majorHAnsi" w:hAnsiTheme="majorHAnsi" w:cstheme="majorHAnsi"/>
          <w:color w:val="000000"/>
        </w:rPr>
        <w:t>liability</w:t>
      </w:r>
      <w:r w:rsidRPr="000F4C13" w:rsidR="005906C7">
        <w:rPr>
          <w:rFonts w:eastAsia="Calibri" w:asciiTheme="majorHAnsi" w:hAnsiTheme="majorHAnsi" w:cstheme="majorHAnsi"/>
          <w:color w:val="000000"/>
        </w:rPr>
        <w:t xml:space="preserve">, and </w:t>
      </w:r>
      <w:r w:rsidRPr="000F4C13" w:rsidR="008B14F8">
        <w:rPr>
          <w:rFonts w:eastAsia="Calibri" w:asciiTheme="majorHAnsi" w:hAnsiTheme="majorHAnsi" w:cstheme="majorHAnsi"/>
          <w:color w:val="000000"/>
        </w:rPr>
        <w:t xml:space="preserve">past </w:t>
      </w:r>
      <w:r w:rsidRPr="000F4C13" w:rsidR="005906C7">
        <w:rPr>
          <w:rFonts w:eastAsia="Calibri" w:asciiTheme="majorHAnsi" w:hAnsiTheme="majorHAnsi" w:cstheme="majorHAnsi"/>
          <w:color w:val="000000"/>
        </w:rPr>
        <w:t xml:space="preserve">claims. </w:t>
      </w:r>
      <w:r w:rsidRPr="000F4C13" w:rsidR="00637979">
        <w:rPr>
          <w:rFonts w:eastAsia="Calibri" w:asciiTheme="majorHAnsi" w:hAnsiTheme="majorHAnsi" w:cstheme="majorHAnsi"/>
          <w:color w:val="000000"/>
        </w:rPr>
        <w:t xml:space="preserve">When losses </w:t>
      </w:r>
      <w:r w:rsidRPr="000F4C13" w:rsidR="00241454">
        <w:rPr>
          <w:rFonts w:eastAsia="Calibri" w:asciiTheme="majorHAnsi" w:hAnsiTheme="majorHAnsi" w:cstheme="majorHAnsi"/>
          <w:color w:val="000000"/>
        </w:rPr>
        <w:t xml:space="preserve">across these factors increase, insurers’ expected claim costs rise, </w:t>
      </w:r>
      <w:r w:rsidRPr="000F4C13" w:rsidR="00460A62">
        <w:rPr>
          <w:rFonts w:eastAsia="Calibri" w:asciiTheme="majorHAnsi" w:hAnsiTheme="majorHAnsi" w:cstheme="majorHAnsi"/>
          <w:color w:val="000000"/>
        </w:rPr>
        <w:t xml:space="preserve">prompting higher rates </w:t>
      </w:r>
      <w:r w:rsidRPr="000F4C13" w:rsidR="00BC7BF5">
        <w:rPr>
          <w:rFonts w:eastAsia="Calibri" w:asciiTheme="majorHAnsi" w:hAnsiTheme="majorHAnsi" w:cstheme="majorHAnsi"/>
          <w:color w:val="000000"/>
        </w:rPr>
        <w:t xml:space="preserve">to cover </w:t>
      </w:r>
      <w:r w:rsidRPr="000F4C13" w:rsidR="00241454">
        <w:rPr>
          <w:rFonts w:eastAsia="Calibri" w:asciiTheme="majorHAnsi" w:hAnsiTheme="majorHAnsi" w:cstheme="majorHAnsi"/>
          <w:color w:val="000000"/>
        </w:rPr>
        <w:t>the higher</w:t>
      </w:r>
      <w:r w:rsidRPr="000F4C13" w:rsidR="009319A4">
        <w:rPr>
          <w:rFonts w:eastAsia="Calibri" w:asciiTheme="majorHAnsi" w:hAnsiTheme="majorHAnsi" w:cstheme="majorHAnsi"/>
          <w:color w:val="000000"/>
          <w:lang w:val="en-US"/>
        </w:rPr>
        <w:t xml:space="preserve"> cost of providing coverage</w:t>
      </w:r>
      <w:r w:rsidRPr="000F4C13" w:rsidR="00DF013A">
        <w:rPr>
          <w:rFonts w:eastAsia="Calibri" w:asciiTheme="majorHAnsi" w:hAnsiTheme="majorHAnsi" w:cstheme="majorHAnsi"/>
          <w:color w:val="000000"/>
          <w:lang w:val="en-US"/>
        </w:rPr>
        <w:t xml:space="preserve">. </w:t>
      </w:r>
      <w:r w:rsidRPr="000F4C13" w:rsidR="00BF7474">
        <w:rPr>
          <w:rFonts w:eastAsia="Calibri" w:asciiTheme="majorHAnsi" w:hAnsiTheme="majorHAnsi" w:cstheme="majorHAnsi"/>
          <w:color w:val="000000"/>
        </w:rPr>
        <w:t>S</w:t>
      </w:r>
      <w:r w:rsidRPr="000F4C13" w:rsidR="00B2522B">
        <w:rPr>
          <w:rFonts w:eastAsia="Calibri" w:asciiTheme="majorHAnsi" w:hAnsiTheme="majorHAnsi" w:cstheme="majorHAnsi"/>
          <w:color w:val="000000"/>
        </w:rPr>
        <w:t xml:space="preserve">everal </w:t>
      </w:r>
      <w:r w:rsidRPr="000F4C13" w:rsidR="002C67D7">
        <w:rPr>
          <w:rFonts w:eastAsia="Calibri" w:asciiTheme="majorHAnsi" w:hAnsiTheme="majorHAnsi" w:cstheme="majorHAnsi"/>
          <w:color w:val="000000"/>
        </w:rPr>
        <w:t xml:space="preserve">interconnected </w:t>
      </w:r>
      <w:r w:rsidRPr="000F4C13" w:rsidR="00B2522B">
        <w:rPr>
          <w:rFonts w:eastAsia="Calibri" w:asciiTheme="majorHAnsi" w:hAnsiTheme="majorHAnsi" w:cstheme="majorHAnsi"/>
          <w:color w:val="000000"/>
        </w:rPr>
        <w:t xml:space="preserve">forces are </w:t>
      </w:r>
      <w:r w:rsidRPr="000F4C13" w:rsidR="00E648CF">
        <w:rPr>
          <w:rFonts w:eastAsia="Calibri" w:asciiTheme="majorHAnsi" w:hAnsiTheme="majorHAnsi" w:cstheme="majorHAnsi"/>
          <w:color w:val="000000"/>
        </w:rPr>
        <w:t xml:space="preserve">driving </w:t>
      </w:r>
      <w:r w:rsidRPr="000F4C13" w:rsidR="00BF7474">
        <w:rPr>
          <w:rFonts w:eastAsia="Calibri" w:asciiTheme="majorHAnsi" w:hAnsiTheme="majorHAnsi" w:cstheme="majorHAnsi"/>
          <w:color w:val="000000"/>
        </w:rPr>
        <w:t xml:space="preserve">these </w:t>
      </w:r>
      <w:r w:rsidRPr="000F4C13" w:rsidR="00E648CF">
        <w:rPr>
          <w:rFonts w:eastAsia="Calibri" w:asciiTheme="majorHAnsi" w:hAnsiTheme="majorHAnsi" w:cstheme="majorHAnsi"/>
          <w:color w:val="000000"/>
        </w:rPr>
        <w:t>higher expected losses</w:t>
      </w:r>
      <w:r w:rsidRPr="000F4C13" w:rsidR="00BF7474">
        <w:rPr>
          <w:rFonts w:eastAsia="Calibri" w:asciiTheme="majorHAnsi" w:hAnsiTheme="majorHAnsi" w:cstheme="majorHAnsi"/>
          <w:color w:val="000000"/>
        </w:rPr>
        <w:t>.</w:t>
      </w:r>
    </w:p>
    <w:p w:rsidRPr="000F4C13" w:rsidR="00C96053" w:rsidRDefault="00B2522B" w14:paraId="033A1E70" w14:textId="2CFC0F16">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Catastrophe losses have played a central role</w:t>
      </w:r>
      <w:r w:rsidRPr="000F4C13" w:rsidR="00C74BEC">
        <w:rPr>
          <w:rFonts w:eastAsia="Calibri" w:asciiTheme="majorHAnsi" w:hAnsiTheme="majorHAnsi" w:cstheme="majorHAnsi"/>
          <w:color w:val="000000"/>
        </w:rPr>
        <w:t>, with i</w:t>
      </w:r>
      <w:r w:rsidRPr="000F4C13">
        <w:rPr>
          <w:rFonts w:eastAsia="Calibri" w:asciiTheme="majorHAnsi" w:hAnsiTheme="majorHAnsi" w:cstheme="majorHAnsi"/>
          <w:color w:val="000000"/>
        </w:rPr>
        <w:t xml:space="preserve">nsurer losses from billion-dollar </w:t>
      </w:r>
      <w:r w:rsidRPr="000F4C13" w:rsidR="00C74BEC">
        <w:rPr>
          <w:rFonts w:eastAsia="Calibri" w:asciiTheme="majorHAnsi" w:hAnsiTheme="majorHAnsi" w:cstheme="majorHAnsi"/>
          <w:color w:val="000000"/>
        </w:rPr>
        <w:t xml:space="preserve">disasters </w:t>
      </w:r>
      <w:r w:rsidRPr="000F4C13" w:rsidR="001F4652">
        <w:rPr>
          <w:rFonts w:eastAsia="Calibri" w:asciiTheme="majorHAnsi" w:hAnsiTheme="majorHAnsi" w:cstheme="majorHAnsi"/>
          <w:color w:val="000000"/>
        </w:rPr>
        <w:t xml:space="preserve">rising </w:t>
      </w:r>
      <w:r w:rsidRPr="000F4C13">
        <w:rPr>
          <w:rFonts w:eastAsia="Calibri" w:asciiTheme="majorHAnsi" w:hAnsiTheme="majorHAnsi" w:cstheme="majorHAnsi"/>
          <w:color w:val="000000"/>
        </w:rPr>
        <w:t>markedly over the past two decades</w:t>
      </w:r>
      <w:r w:rsidRPr="000F4C13" w:rsidR="001F4652">
        <w:rPr>
          <w:rFonts w:eastAsia="Calibri" w:asciiTheme="majorHAnsi" w:hAnsiTheme="majorHAnsi" w:cstheme="majorHAnsi"/>
          <w:color w:val="000000"/>
        </w:rPr>
        <w:t>. This increase is</w:t>
      </w:r>
      <w:r w:rsidRPr="000F4C13">
        <w:rPr>
          <w:rFonts w:eastAsia="Calibri" w:asciiTheme="majorHAnsi" w:hAnsiTheme="majorHAnsi" w:cstheme="majorHAnsi"/>
          <w:color w:val="000000"/>
        </w:rPr>
        <w:t xml:space="preserve"> driven by more frequent severe convective storms, coastal </w:t>
      </w:r>
      <w:r w:rsidRPr="000F4C13" w:rsidR="007A14CD">
        <w:rPr>
          <w:rFonts w:eastAsia="Calibri" w:asciiTheme="majorHAnsi" w:hAnsiTheme="majorHAnsi" w:cstheme="majorHAnsi"/>
          <w:color w:val="000000"/>
        </w:rPr>
        <w:t xml:space="preserve">hurricane </w:t>
      </w:r>
      <w:r w:rsidRPr="000F4C13">
        <w:rPr>
          <w:rFonts w:eastAsia="Calibri" w:asciiTheme="majorHAnsi" w:hAnsiTheme="majorHAnsi" w:cstheme="majorHAnsi"/>
          <w:color w:val="000000"/>
        </w:rPr>
        <w:t>exposure, and a post-2017 surge in wildfire losses.</w:t>
      </w:r>
      <w:r w:rsidRPr="000F4C13">
        <w:rPr>
          <w:rFonts w:eastAsia="Calibri" w:asciiTheme="majorHAnsi" w:hAnsiTheme="majorHAnsi" w:cstheme="majorHAnsi"/>
          <w:color w:val="000000"/>
          <w:vertAlign w:val="superscript"/>
        </w:rPr>
        <w:footnoteReference w:id="67"/>
      </w:r>
      <w:r w:rsidRPr="000F4C13">
        <w:rPr>
          <w:rFonts w:eastAsia="Calibri" w:asciiTheme="majorHAnsi" w:hAnsiTheme="majorHAnsi" w:cstheme="majorHAnsi"/>
          <w:color w:val="000000"/>
        </w:rPr>
        <w:t xml:space="preserve">  </w:t>
      </w:r>
      <w:r w:rsidRPr="000F4C13" w:rsidR="00591C78">
        <w:rPr>
          <w:rFonts w:eastAsia="Calibri" w:asciiTheme="majorHAnsi" w:hAnsiTheme="majorHAnsi" w:cstheme="majorHAnsi"/>
          <w:color w:val="000000"/>
        </w:rPr>
        <w:t xml:space="preserve">As these losses increase, </w:t>
      </w:r>
      <w:r w:rsidRPr="000F4C13" w:rsidR="009741F0">
        <w:rPr>
          <w:rFonts w:eastAsia="Calibri" w:asciiTheme="majorHAnsi" w:hAnsiTheme="majorHAnsi" w:cstheme="majorHAnsi"/>
          <w:color w:val="000000"/>
        </w:rPr>
        <w:t>insurers</w:t>
      </w:r>
      <w:r w:rsidRPr="000F4C13" w:rsidR="00591C78">
        <w:rPr>
          <w:rFonts w:eastAsia="Calibri" w:asciiTheme="majorHAnsi" w:hAnsiTheme="majorHAnsi" w:cstheme="majorHAnsi"/>
          <w:color w:val="000000"/>
        </w:rPr>
        <w:t xml:space="preserve"> </w:t>
      </w:r>
      <w:r w:rsidRPr="000F4C13" w:rsidR="00011524">
        <w:rPr>
          <w:rFonts w:eastAsia="Calibri" w:asciiTheme="majorHAnsi" w:hAnsiTheme="majorHAnsi" w:cstheme="majorHAnsi"/>
          <w:color w:val="000000"/>
        </w:rPr>
        <w:t xml:space="preserve">raise </w:t>
      </w:r>
      <w:r w:rsidRPr="000F4C13" w:rsidR="00591C78">
        <w:rPr>
          <w:rFonts w:eastAsia="Calibri" w:asciiTheme="majorHAnsi" w:hAnsiTheme="majorHAnsi" w:cstheme="majorHAnsi"/>
          <w:color w:val="000000"/>
        </w:rPr>
        <w:t xml:space="preserve">premium rates </w:t>
      </w:r>
      <w:r w:rsidRPr="000F4C13" w:rsidR="00011524">
        <w:rPr>
          <w:rFonts w:eastAsia="Calibri" w:asciiTheme="majorHAnsi" w:hAnsiTheme="majorHAnsi" w:cstheme="majorHAnsi"/>
          <w:color w:val="000000"/>
        </w:rPr>
        <w:t xml:space="preserve">to cover </w:t>
      </w:r>
      <w:r w:rsidRPr="000F4C13" w:rsidR="00F92F36">
        <w:rPr>
          <w:rFonts w:eastAsia="Calibri" w:asciiTheme="majorHAnsi" w:hAnsiTheme="majorHAnsi" w:cstheme="majorHAnsi"/>
          <w:color w:val="000000"/>
        </w:rPr>
        <w:t xml:space="preserve">higher </w:t>
      </w:r>
      <w:r w:rsidRPr="000F4C13" w:rsidR="00D23E27">
        <w:rPr>
          <w:rFonts w:eastAsia="Calibri" w:asciiTheme="majorHAnsi" w:hAnsiTheme="majorHAnsi" w:cstheme="majorHAnsi"/>
          <w:color w:val="000000"/>
        </w:rPr>
        <w:t>claim costs.</w:t>
      </w:r>
      <w:r w:rsidRPr="000F4C13" w:rsidR="00591C78">
        <w:rPr>
          <w:rFonts w:eastAsia="Calibri" w:asciiTheme="majorHAnsi" w:hAnsiTheme="majorHAnsi" w:cstheme="majorHAnsi"/>
          <w:color w:val="000000"/>
        </w:rPr>
        <w:t xml:space="preserve"> </w:t>
      </w:r>
      <w:r w:rsidRPr="000F4C13">
        <w:rPr>
          <w:rFonts w:eastAsia="Calibri" w:asciiTheme="majorHAnsi" w:hAnsiTheme="majorHAnsi" w:cstheme="majorHAnsi"/>
          <w:color w:val="000000"/>
        </w:rPr>
        <w:t>Swiss Re report</w:t>
      </w:r>
      <w:r w:rsidRPr="000F4C13" w:rsidR="00727541">
        <w:rPr>
          <w:rFonts w:eastAsia="Calibri" w:asciiTheme="majorHAnsi" w:hAnsiTheme="majorHAnsi" w:cstheme="majorHAnsi"/>
          <w:color w:val="000000"/>
        </w:rPr>
        <w:t>s that</w:t>
      </w:r>
      <w:r w:rsidRPr="000F4C13">
        <w:rPr>
          <w:rFonts w:eastAsia="Calibri" w:asciiTheme="majorHAnsi" w:hAnsiTheme="majorHAnsi" w:cstheme="majorHAnsi"/>
          <w:color w:val="000000"/>
        </w:rPr>
        <w:t xml:space="preserve"> catastrophic events have driven insured losses above USD 100 billion for five </w:t>
      </w:r>
      <w:r w:rsidRPr="000F4C13" w:rsidR="00A37EB5">
        <w:rPr>
          <w:rFonts w:eastAsia="Calibri" w:asciiTheme="majorHAnsi" w:hAnsiTheme="majorHAnsi" w:cstheme="majorHAnsi"/>
          <w:color w:val="000000"/>
        </w:rPr>
        <w:t>consecutive years</w:t>
      </w:r>
      <w:r w:rsidRPr="000F4C13" w:rsidR="009004F5">
        <w:rPr>
          <w:rFonts w:eastAsia="Calibri" w:asciiTheme="majorHAnsi" w:hAnsiTheme="majorHAnsi" w:cstheme="majorHAnsi"/>
          <w:color w:val="000000"/>
        </w:rPr>
        <w:t xml:space="preserve">, reaching </w:t>
      </w:r>
      <w:r w:rsidRPr="000F4C13">
        <w:rPr>
          <w:rFonts w:eastAsia="Calibri" w:asciiTheme="majorHAnsi" w:hAnsiTheme="majorHAnsi" w:cstheme="majorHAnsi"/>
          <w:color w:val="000000"/>
        </w:rPr>
        <w:t>USD 137 billion</w:t>
      </w:r>
      <w:r w:rsidRPr="000F4C13" w:rsidR="002F520A">
        <w:rPr>
          <w:rFonts w:eastAsia="Calibri" w:asciiTheme="majorHAnsi" w:hAnsiTheme="majorHAnsi" w:cstheme="majorHAnsi"/>
          <w:color w:val="000000"/>
        </w:rPr>
        <w:t xml:space="preserve"> in 2024</w:t>
      </w:r>
      <w:r w:rsidRPr="000F4C13">
        <w:rPr>
          <w:rFonts w:eastAsia="Calibri" w:asciiTheme="majorHAnsi" w:hAnsiTheme="majorHAnsi" w:cstheme="majorHAnsi"/>
          <w:color w:val="000000"/>
        </w:rPr>
        <w:t>.</w:t>
      </w:r>
      <w:r w:rsidRPr="000F4C13">
        <w:rPr>
          <w:rFonts w:eastAsia="Calibri" w:asciiTheme="majorHAnsi" w:hAnsiTheme="majorHAnsi" w:cstheme="majorHAnsi"/>
          <w:color w:val="000000"/>
          <w:vertAlign w:val="superscript"/>
        </w:rPr>
        <w:footnoteReference w:id="68"/>
      </w:r>
      <w:r w:rsidRPr="000F4C13">
        <w:rPr>
          <w:rFonts w:eastAsia="Calibri" w:asciiTheme="majorHAnsi" w:hAnsiTheme="majorHAnsi" w:cstheme="majorHAnsi"/>
          <w:color w:val="000000"/>
        </w:rPr>
        <w:t xml:space="preserve">  </w:t>
      </w:r>
      <w:r w:rsidRPr="000F4C13" w:rsidR="002F520A">
        <w:rPr>
          <w:rFonts w:eastAsia="Calibri" w:asciiTheme="majorHAnsi" w:hAnsiTheme="majorHAnsi" w:cstheme="majorHAnsi"/>
          <w:color w:val="000000"/>
        </w:rPr>
        <w:t xml:space="preserve">They </w:t>
      </w:r>
      <w:r w:rsidRPr="000F4C13">
        <w:rPr>
          <w:rFonts w:eastAsia="Calibri" w:asciiTheme="majorHAnsi" w:hAnsiTheme="majorHAnsi" w:cstheme="majorHAnsi"/>
          <w:color w:val="000000"/>
        </w:rPr>
        <w:t>project</w:t>
      </w:r>
      <w:r w:rsidRPr="000F4C13" w:rsidR="00A37EB5">
        <w:rPr>
          <w:rFonts w:eastAsia="Calibri" w:asciiTheme="majorHAnsi" w:hAnsiTheme="majorHAnsi" w:cstheme="majorHAnsi"/>
          <w:color w:val="000000"/>
        </w:rPr>
        <w:t xml:space="preserve"> </w:t>
      </w:r>
      <w:r w:rsidRPr="000F4C13">
        <w:rPr>
          <w:rFonts w:eastAsia="Calibri" w:asciiTheme="majorHAnsi" w:hAnsiTheme="majorHAnsi" w:cstheme="majorHAnsi"/>
          <w:color w:val="000000"/>
        </w:rPr>
        <w:t xml:space="preserve">global insured losses will reach USD 145 billion in 2025. </w:t>
      </w:r>
    </w:p>
    <w:p w:rsidRPr="000F4C13" w:rsidR="009A6624" w:rsidRDefault="00B3578A" w14:paraId="71219B0E" w14:textId="7EA9093D">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The cost of these losses has been</w:t>
      </w:r>
      <w:r w:rsidRPr="000F4C13" w:rsidR="00860DFF">
        <w:rPr>
          <w:rFonts w:eastAsia="Calibri" w:asciiTheme="majorHAnsi" w:hAnsiTheme="majorHAnsi" w:cstheme="majorHAnsi"/>
          <w:color w:val="000000"/>
        </w:rPr>
        <w:t xml:space="preserve"> magnified by development patterns discussed earlier in the Playbook.</w:t>
      </w:r>
      <w:r w:rsidRPr="000F4C13">
        <w:rPr>
          <w:rFonts w:eastAsia="Calibri" w:asciiTheme="majorHAnsi" w:hAnsiTheme="majorHAnsi" w:cstheme="majorHAnsi"/>
          <w:color w:val="000000"/>
        </w:rPr>
        <w:t xml:space="preserve"> </w:t>
      </w:r>
      <w:r w:rsidRPr="000F4C13" w:rsidR="00A07C51">
        <w:rPr>
          <w:rFonts w:eastAsia="Calibri" w:asciiTheme="majorHAnsi" w:hAnsiTheme="majorHAnsi" w:cstheme="majorHAnsi"/>
          <w:color w:val="000000"/>
        </w:rPr>
        <w:t>For example, i</w:t>
      </w:r>
      <w:r w:rsidRPr="000F4C13" w:rsidR="00974497">
        <w:rPr>
          <w:rFonts w:eastAsia="Calibri" w:asciiTheme="majorHAnsi" w:hAnsiTheme="majorHAnsi" w:cstheme="majorHAnsi"/>
          <w:color w:val="000000"/>
        </w:rPr>
        <w:t xml:space="preserve">ncreasing housing growth in areas </w:t>
      </w:r>
      <w:r w:rsidRPr="000F4C13" w:rsidR="002550D4">
        <w:rPr>
          <w:rFonts w:eastAsia="Calibri" w:asciiTheme="majorHAnsi" w:hAnsiTheme="majorHAnsi" w:cstheme="majorHAnsi"/>
          <w:color w:val="000000"/>
        </w:rPr>
        <w:t xml:space="preserve">with higher wildfire exposure has </w:t>
      </w:r>
      <w:r w:rsidRPr="000F4C13" w:rsidR="00A07C51">
        <w:rPr>
          <w:rFonts w:eastAsia="Calibri" w:asciiTheme="majorHAnsi" w:hAnsiTheme="majorHAnsi" w:cstheme="majorHAnsi"/>
          <w:color w:val="000000"/>
        </w:rPr>
        <w:t>expanded insur</w:t>
      </w:r>
      <w:r w:rsidRPr="000F4C13" w:rsidR="008A2599">
        <w:rPr>
          <w:rFonts w:eastAsia="Calibri" w:asciiTheme="majorHAnsi" w:hAnsiTheme="majorHAnsi" w:cstheme="majorHAnsi"/>
          <w:color w:val="000000"/>
        </w:rPr>
        <w:t>ers’ overall risk. A</w:t>
      </w:r>
      <w:r w:rsidRPr="000F4C13" w:rsidR="00B2522B">
        <w:rPr>
          <w:rFonts w:eastAsia="Calibri" w:asciiTheme="majorHAnsi" w:hAnsiTheme="majorHAnsi" w:cstheme="majorHAnsi"/>
          <w:color w:val="000000"/>
        </w:rPr>
        <w:t xml:space="preserve"> 2023 report from the USDA Forest Service estimated that the share of housing located in high wildfire risk areas, particularly within the wildland-urban interface (WUI) in California, increased by approximately 40 percent between 1990 and 2020.</w:t>
      </w:r>
      <w:r w:rsidRPr="000F4C13" w:rsidR="00B2522B">
        <w:rPr>
          <w:rFonts w:eastAsia="Calibri" w:asciiTheme="majorHAnsi" w:hAnsiTheme="majorHAnsi" w:cstheme="majorHAnsi"/>
          <w:color w:val="000000"/>
          <w:vertAlign w:val="superscript"/>
        </w:rPr>
        <w:footnoteReference w:id="69"/>
      </w:r>
      <w:r w:rsidRPr="000F4C13" w:rsidR="00B2522B">
        <w:rPr>
          <w:rFonts w:eastAsia="Calibri" w:asciiTheme="majorHAnsi" w:hAnsiTheme="majorHAnsi" w:cstheme="majorHAnsi"/>
          <w:color w:val="000000"/>
        </w:rPr>
        <w:t xml:space="preserve"> Population growth, persistent housing shortages, and high land costs in urban cores have pushed development outward to areas where land is more available and initially more affordable. However, this expansion has increased the number of homes exposed to wildfire hazards, </w:t>
      </w:r>
      <w:r w:rsidRPr="000F4C13" w:rsidR="00C039EE">
        <w:rPr>
          <w:rFonts w:eastAsia="Calibri" w:asciiTheme="majorHAnsi" w:hAnsiTheme="majorHAnsi" w:cstheme="majorHAnsi"/>
          <w:color w:val="000000"/>
        </w:rPr>
        <w:t xml:space="preserve">raising insurers’ projected </w:t>
      </w:r>
      <w:r w:rsidRPr="000F4C13" w:rsidR="00B2522B">
        <w:rPr>
          <w:rFonts w:eastAsia="Calibri" w:asciiTheme="majorHAnsi" w:hAnsiTheme="majorHAnsi" w:cstheme="majorHAnsi"/>
          <w:color w:val="000000"/>
        </w:rPr>
        <w:t>losses</w:t>
      </w:r>
      <w:r w:rsidRPr="000F4C13" w:rsidR="00DB1329">
        <w:rPr>
          <w:rFonts w:eastAsia="Calibri" w:asciiTheme="majorHAnsi" w:hAnsiTheme="majorHAnsi" w:cstheme="majorHAnsi"/>
          <w:color w:val="000000"/>
        </w:rPr>
        <w:t xml:space="preserve"> and the insurance premium rates needed to cover that risk</w:t>
      </w:r>
      <w:r w:rsidRPr="000F4C13" w:rsidR="00B2522B">
        <w:rPr>
          <w:rFonts w:eastAsia="Calibri" w:asciiTheme="majorHAnsi" w:hAnsiTheme="majorHAnsi" w:cstheme="majorHAnsi"/>
          <w:color w:val="000000"/>
        </w:rPr>
        <w:t xml:space="preserve">. </w:t>
      </w:r>
      <w:bookmarkStart w:name="_Hlk222923846" w:id="22"/>
      <w:r w:rsidRPr="000F4C13" w:rsidR="005171AE">
        <w:rPr>
          <w:rFonts w:eastAsia="Calibri" w:asciiTheme="majorHAnsi" w:hAnsiTheme="majorHAnsi" w:cstheme="majorHAnsi"/>
          <w:color w:val="000000"/>
        </w:rPr>
        <w:t xml:space="preserve">At the same time, inflation </w:t>
      </w:r>
      <w:r w:rsidRPr="000F4C13" w:rsidR="00B1326B">
        <w:rPr>
          <w:rFonts w:eastAsia="Calibri" w:asciiTheme="majorHAnsi" w:hAnsiTheme="majorHAnsi" w:cstheme="majorHAnsi"/>
          <w:color w:val="000000"/>
        </w:rPr>
        <w:t xml:space="preserve">has increased the severity of claims. </w:t>
      </w:r>
    </w:p>
    <w:p w:rsidRPr="000F4C13" w:rsidR="00C96053" w:rsidP="00361FF8" w:rsidRDefault="00454860" w14:paraId="2701990D" w14:textId="07F1FB52">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As </w:t>
      </w:r>
      <w:r w:rsidRPr="000F4C13" w:rsidR="00192561">
        <w:rPr>
          <w:rFonts w:eastAsia="Calibri" w:asciiTheme="majorHAnsi" w:hAnsiTheme="majorHAnsi" w:cstheme="majorHAnsi"/>
          <w:color w:val="000000"/>
        </w:rPr>
        <w:t xml:space="preserve">previously </w:t>
      </w:r>
      <w:r w:rsidRPr="000F4C13">
        <w:rPr>
          <w:rFonts w:eastAsia="Calibri" w:asciiTheme="majorHAnsi" w:hAnsiTheme="majorHAnsi" w:cstheme="majorHAnsi"/>
          <w:color w:val="000000"/>
        </w:rPr>
        <w:t xml:space="preserve">discussed, rising construction and labor costs </w:t>
      </w:r>
      <w:r w:rsidRPr="000F4C13" w:rsidR="00192561">
        <w:rPr>
          <w:rFonts w:eastAsia="Calibri" w:asciiTheme="majorHAnsi" w:hAnsiTheme="majorHAnsi" w:cstheme="majorHAnsi"/>
          <w:color w:val="000000"/>
        </w:rPr>
        <w:t>have made rebuilding damaged homes more expensive than a decade ago, leading insurers to raise</w:t>
      </w:r>
      <w:r w:rsidRPr="000F4C13" w:rsidR="000A2322">
        <w:rPr>
          <w:rFonts w:eastAsia="Calibri" w:asciiTheme="majorHAnsi" w:hAnsiTheme="majorHAnsi" w:cstheme="majorHAnsi"/>
          <w:color w:val="000000"/>
        </w:rPr>
        <w:t xml:space="preserve"> premium rates</w:t>
      </w:r>
      <w:r w:rsidRPr="000F4C13" w:rsidR="00EE0214">
        <w:rPr>
          <w:rFonts w:eastAsia="Calibri" w:asciiTheme="majorHAnsi" w:hAnsiTheme="majorHAnsi" w:cstheme="majorHAnsi"/>
          <w:color w:val="000000"/>
        </w:rPr>
        <w:t>.</w:t>
      </w:r>
      <w:r w:rsidRPr="000F4C13" w:rsidR="00442CA3">
        <w:rPr>
          <w:rFonts w:eastAsia="Calibri" w:asciiTheme="majorHAnsi" w:hAnsiTheme="majorHAnsi" w:cstheme="majorHAnsi"/>
          <w:color w:val="000000"/>
        </w:rPr>
        <w:t xml:space="preserve"> </w:t>
      </w:r>
      <w:bookmarkEnd w:id="22"/>
      <w:r w:rsidRPr="000F4C13" w:rsidR="00D6650A">
        <w:rPr>
          <w:rFonts w:eastAsia="Calibri" w:asciiTheme="majorHAnsi" w:hAnsiTheme="majorHAnsi" w:cstheme="majorHAnsi"/>
          <w:color w:val="000000"/>
          <w:lang w:val="en-US"/>
        </w:rPr>
        <w:t>Additionally</w:t>
      </w:r>
      <w:r w:rsidRPr="000F4C13" w:rsidR="00B2522B">
        <w:rPr>
          <w:rFonts w:eastAsia="Calibri" w:asciiTheme="majorHAnsi" w:hAnsiTheme="majorHAnsi" w:cstheme="majorHAnsi"/>
          <w:color w:val="000000"/>
        </w:rPr>
        <w:t xml:space="preserve">, </w:t>
      </w:r>
      <w:r w:rsidRPr="000F4C13" w:rsidR="00D73D82">
        <w:rPr>
          <w:rFonts w:eastAsia="Calibri" w:asciiTheme="majorHAnsi" w:hAnsiTheme="majorHAnsi" w:cstheme="majorHAnsi"/>
          <w:color w:val="000000"/>
        </w:rPr>
        <w:t>rising property values, particularly in fast</w:t>
      </w:r>
      <w:r w:rsidRPr="000F4C13" w:rsidR="00D73D82">
        <w:rPr>
          <w:rFonts w:ascii="Cambria Math" w:hAnsi="Cambria Math" w:eastAsia="Calibri" w:cs="Cambria Math"/>
          <w:color w:val="000000"/>
        </w:rPr>
        <w:t>‑</w:t>
      </w:r>
      <w:r w:rsidRPr="000F4C13" w:rsidR="00D73D82">
        <w:rPr>
          <w:rFonts w:eastAsia="Calibri" w:asciiTheme="majorHAnsi" w:hAnsiTheme="majorHAnsi" w:cstheme="majorHAnsi"/>
          <w:color w:val="000000"/>
        </w:rPr>
        <w:t>growing metropolitan areas and coastal areas</w:t>
      </w:r>
      <w:r w:rsidRPr="000F4C13" w:rsidR="00B2522B">
        <w:rPr>
          <w:rFonts w:eastAsia="Calibri" w:asciiTheme="majorHAnsi" w:hAnsiTheme="majorHAnsi" w:cstheme="majorHAnsi"/>
          <w:color w:val="000000"/>
        </w:rPr>
        <w:t xml:space="preserve">, </w:t>
      </w:r>
      <w:r w:rsidRPr="000F4C13" w:rsidR="00FD215B">
        <w:rPr>
          <w:rFonts w:eastAsia="Calibri" w:asciiTheme="majorHAnsi" w:hAnsiTheme="majorHAnsi" w:cstheme="majorHAnsi"/>
          <w:color w:val="000000"/>
        </w:rPr>
        <w:t xml:space="preserve">add </w:t>
      </w:r>
      <w:r w:rsidRPr="000F4C13" w:rsidR="000526CC">
        <w:rPr>
          <w:rFonts w:eastAsia="Calibri" w:asciiTheme="majorHAnsi" w:hAnsiTheme="majorHAnsi" w:cstheme="majorHAnsi"/>
          <w:color w:val="000000"/>
        </w:rPr>
        <w:t xml:space="preserve">risk </w:t>
      </w:r>
      <w:r w:rsidRPr="000F4C13" w:rsidR="000F3C16">
        <w:rPr>
          <w:rFonts w:eastAsia="Calibri" w:asciiTheme="majorHAnsi" w:hAnsiTheme="majorHAnsi" w:cstheme="majorHAnsi"/>
          <w:color w:val="000000"/>
        </w:rPr>
        <w:t xml:space="preserve">and further </w:t>
      </w:r>
      <w:r w:rsidRPr="000F4C13" w:rsidR="00EC44A5">
        <w:rPr>
          <w:rFonts w:eastAsia="Calibri" w:asciiTheme="majorHAnsi" w:hAnsiTheme="majorHAnsi" w:cstheme="majorHAnsi"/>
          <w:color w:val="000000"/>
        </w:rPr>
        <w:t>pressure</w:t>
      </w:r>
      <w:r w:rsidRPr="000F4C13" w:rsidR="001547CD">
        <w:rPr>
          <w:rFonts w:eastAsia="Calibri" w:asciiTheme="majorHAnsi" w:hAnsiTheme="majorHAnsi" w:cstheme="majorHAnsi"/>
          <w:color w:val="000000"/>
        </w:rPr>
        <w:t xml:space="preserve"> rates</w:t>
      </w:r>
      <w:r w:rsidRPr="000F4C13" w:rsidR="00B2522B">
        <w:rPr>
          <w:rFonts w:eastAsia="Calibri" w:asciiTheme="majorHAnsi" w:hAnsiTheme="majorHAnsi" w:cstheme="majorHAnsi"/>
          <w:color w:val="000000"/>
        </w:rPr>
        <w:t xml:space="preserve">. </w:t>
      </w:r>
      <w:r w:rsidRPr="000F4C13" w:rsidR="001B0F29">
        <w:rPr>
          <w:rFonts w:eastAsia="Calibri" w:asciiTheme="majorHAnsi" w:hAnsiTheme="majorHAnsi" w:cstheme="majorHAnsi"/>
          <w:color w:val="000000"/>
          <w:lang w:val="en-US"/>
        </w:rPr>
        <w:t>Combined</w:t>
      </w:r>
      <w:r w:rsidRPr="000F4C13" w:rsidR="00F83057">
        <w:rPr>
          <w:rFonts w:eastAsia="Calibri" w:asciiTheme="majorHAnsi" w:hAnsiTheme="majorHAnsi" w:cstheme="majorHAnsi"/>
          <w:color w:val="000000"/>
          <w:lang w:val="en-US"/>
        </w:rPr>
        <w:t xml:space="preserve">, higher catastrophe losses, exposure, and rebuilding costs </w:t>
      </w:r>
      <w:r w:rsidRPr="000F4C13" w:rsidR="00537375">
        <w:rPr>
          <w:rFonts w:eastAsia="Calibri" w:asciiTheme="majorHAnsi" w:hAnsiTheme="majorHAnsi" w:cstheme="majorHAnsi"/>
          <w:color w:val="000000"/>
          <w:lang w:val="en-US"/>
        </w:rPr>
        <w:t>pressure</w:t>
      </w:r>
      <w:r w:rsidRPr="000F4C13" w:rsidR="00F83057">
        <w:rPr>
          <w:rFonts w:eastAsia="Calibri" w:asciiTheme="majorHAnsi" w:hAnsiTheme="majorHAnsi" w:cstheme="majorHAnsi"/>
          <w:color w:val="000000"/>
          <w:lang w:val="en-US"/>
        </w:rPr>
        <w:t xml:space="preserve"> insurers’ underwriting results</w:t>
      </w:r>
      <w:r w:rsidRPr="000F4C13" w:rsidR="00170F7F">
        <w:rPr>
          <w:rFonts w:eastAsia="Calibri" w:asciiTheme="majorHAnsi" w:hAnsiTheme="majorHAnsi" w:cstheme="majorHAnsi"/>
          <w:color w:val="000000"/>
          <w:lang w:val="en-US"/>
        </w:rPr>
        <w:t>, prompting premium rate increases</w:t>
      </w:r>
      <w:r w:rsidRPr="000F4C13" w:rsidR="00A673F0">
        <w:rPr>
          <w:rFonts w:eastAsia="Calibri" w:asciiTheme="majorHAnsi" w:hAnsiTheme="majorHAnsi" w:cstheme="majorHAnsi"/>
          <w:color w:val="000000"/>
          <w:lang w:val="en-US"/>
        </w:rPr>
        <w:t xml:space="preserve">, especially in </w:t>
      </w:r>
      <w:r w:rsidRPr="000F4C13" w:rsidR="00A673F0">
        <w:rPr>
          <w:rFonts w:eastAsia="Calibri" w:asciiTheme="majorHAnsi" w:hAnsiTheme="majorHAnsi" w:cstheme="majorHAnsi"/>
          <w:color w:val="000000"/>
        </w:rPr>
        <w:t>catastrophe</w:t>
      </w:r>
      <w:r w:rsidRPr="000F4C13" w:rsidR="00A673F0">
        <w:rPr>
          <w:rFonts w:ascii="Cambria Math" w:hAnsi="Cambria Math" w:eastAsia="Calibri" w:cs="Cambria Math"/>
          <w:color w:val="000000"/>
        </w:rPr>
        <w:t>‑</w:t>
      </w:r>
      <w:r w:rsidRPr="000F4C13" w:rsidR="00A673F0">
        <w:rPr>
          <w:rFonts w:eastAsia="Calibri" w:asciiTheme="majorHAnsi" w:hAnsiTheme="majorHAnsi" w:cstheme="majorHAnsi"/>
          <w:color w:val="000000"/>
        </w:rPr>
        <w:t>prone regions</w:t>
      </w:r>
      <w:r w:rsidRPr="000F4C13" w:rsidR="00A2386E">
        <w:rPr>
          <w:rFonts w:eastAsia="Calibri" w:asciiTheme="majorHAnsi" w:hAnsiTheme="majorHAnsi" w:cstheme="majorHAnsi"/>
          <w:color w:val="000000"/>
        </w:rPr>
        <w:t>,</w:t>
      </w:r>
      <w:r w:rsidRPr="000F4C13" w:rsidR="00A673F0">
        <w:rPr>
          <w:rFonts w:eastAsia="Calibri" w:asciiTheme="majorHAnsi" w:hAnsiTheme="majorHAnsi" w:cstheme="majorHAnsi"/>
          <w:color w:val="000000"/>
        </w:rPr>
        <w:t xml:space="preserve"> </w:t>
      </w:r>
      <w:r w:rsidRPr="000F4C13" w:rsidR="00170F7F">
        <w:rPr>
          <w:rFonts w:eastAsia="Calibri" w:asciiTheme="majorHAnsi" w:hAnsiTheme="majorHAnsi" w:cstheme="majorHAnsi"/>
          <w:color w:val="000000"/>
          <w:lang w:val="en-US"/>
        </w:rPr>
        <w:t>to ensure solvency</w:t>
      </w:r>
      <w:r w:rsidRPr="000F4C13" w:rsidR="00F83057">
        <w:rPr>
          <w:rFonts w:eastAsia="Calibri" w:asciiTheme="majorHAnsi" w:hAnsiTheme="majorHAnsi" w:cstheme="majorHAnsi"/>
          <w:color w:val="000000"/>
          <w:lang w:val="en-US"/>
        </w:rPr>
        <w:t xml:space="preserve">. </w:t>
      </w:r>
    </w:p>
    <w:p w:rsidRPr="000F4C13" w:rsidR="00C96053" w:rsidRDefault="00B2522B" w14:paraId="0359598C" w14:textId="10BD8042">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As premiums rise, </w:t>
      </w:r>
      <w:r w:rsidRPr="000F4C13" w:rsidR="00507BB7">
        <w:rPr>
          <w:rFonts w:eastAsia="Calibri" w:asciiTheme="majorHAnsi" w:hAnsiTheme="majorHAnsi" w:cstheme="majorHAnsi"/>
          <w:color w:val="000000"/>
        </w:rPr>
        <w:t>the affordability of homeowners' insurance becomes</w:t>
      </w:r>
      <w:r w:rsidRPr="000F4C13">
        <w:rPr>
          <w:rFonts w:eastAsia="Calibri" w:asciiTheme="majorHAnsi" w:hAnsiTheme="majorHAnsi" w:cstheme="majorHAnsi"/>
          <w:color w:val="000000"/>
        </w:rPr>
        <w:t xml:space="preserve"> more pressing. In </w:t>
      </w:r>
      <w:r w:rsidRPr="000F4C13" w:rsidR="005676E4">
        <w:rPr>
          <w:rFonts w:eastAsia="Calibri" w:asciiTheme="majorHAnsi" w:hAnsiTheme="majorHAnsi" w:cstheme="majorHAnsi"/>
          <w:color w:val="000000"/>
        </w:rPr>
        <w:t xml:space="preserve">catastrophe-prone </w:t>
      </w:r>
      <w:r w:rsidRPr="000F4C13">
        <w:rPr>
          <w:rFonts w:eastAsia="Calibri" w:asciiTheme="majorHAnsi" w:hAnsiTheme="majorHAnsi" w:cstheme="majorHAnsi"/>
          <w:color w:val="000000"/>
        </w:rPr>
        <w:t xml:space="preserve">states, some insurers have scaled back their appetite for new business or </w:t>
      </w:r>
      <w:r w:rsidRPr="000F4C13" w:rsidR="00B13F24">
        <w:rPr>
          <w:rFonts w:eastAsia="Calibri" w:asciiTheme="majorHAnsi" w:hAnsiTheme="majorHAnsi" w:cstheme="majorHAnsi"/>
          <w:color w:val="000000"/>
        </w:rPr>
        <w:t xml:space="preserve">exited </w:t>
      </w:r>
      <w:r w:rsidRPr="000F4C13">
        <w:rPr>
          <w:rFonts w:eastAsia="Calibri" w:asciiTheme="majorHAnsi" w:hAnsiTheme="majorHAnsi" w:cstheme="majorHAnsi"/>
          <w:color w:val="000000"/>
        </w:rPr>
        <w:t xml:space="preserve">certain areas. </w:t>
      </w:r>
      <w:r w:rsidRPr="000F4C13" w:rsidR="004F14E8">
        <w:rPr>
          <w:rFonts w:eastAsia="Calibri" w:asciiTheme="majorHAnsi" w:hAnsiTheme="majorHAnsi" w:cstheme="majorHAnsi"/>
          <w:color w:val="000000"/>
        </w:rPr>
        <w:t xml:space="preserve">This has pushed households toward residual market mechanisms like FAIR Plans, which were originally intended as insurers of last resort but now carry an increasing share of policies, as well as surplus lines carriers. </w:t>
      </w:r>
    </w:p>
    <w:p w:rsidRPr="000F4C13" w:rsidR="00C96053" w:rsidRDefault="00B2522B" w14:paraId="15CD10D3" w14:textId="27F78213">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For consumers, this shift means fewer choices and higher costs, especially in areas where catastrophe risks are intensifying. The affordability challenge is compounded by the fact that </w:t>
      </w:r>
      <w:r w:rsidRPr="000F4C13" w:rsidR="00F96C41">
        <w:rPr>
          <w:rFonts w:eastAsia="Calibri" w:asciiTheme="majorHAnsi" w:hAnsiTheme="majorHAnsi" w:cstheme="majorHAnsi"/>
          <w:color w:val="000000"/>
        </w:rPr>
        <w:t xml:space="preserve">insurance </w:t>
      </w:r>
      <w:r w:rsidRPr="000F4C13">
        <w:rPr>
          <w:rFonts w:eastAsia="Calibri" w:asciiTheme="majorHAnsi" w:hAnsiTheme="majorHAnsi" w:cstheme="majorHAnsi"/>
          <w:color w:val="000000"/>
        </w:rPr>
        <w:t>premium</w:t>
      </w:r>
      <w:r w:rsidRPr="000F4C13" w:rsidR="00C13988">
        <w:rPr>
          <w:rFonts w:eastAsia="Calibri" w:asciiTheme="majorHAnsi" w:hAnsiTheme="majorHAnsi" w:cstheme="majorHAnsi"/>
          <w:color w:val="000000"/>
        </w:rPr>
        <w:t xml:space="preserve"> rate increases</w:t>
      </w:r>
      <w:r w:rsidRPr="000F4C13">
        <w:rPr>
          <w:rFonts w:eastAsia="Calibri" w:asciiTheme="majorHAnsi" w:hAnsiTheme="majorHAnsi" w:cstheme="majorHAnsi"/>
          <w:color w:val="000000"/>
        </w:rPr>
        <w:t xml:space="preserve"> in some regions are rising faster than household income</w:t>
      </w:r>
      <w:r w:rsidRPr="000F4C13" w:rsidR="00A05F2A">
        <w:rPr>
          <w:rFonts w:eastAsia="Calibri" w:asciiTheme="majorHAnsi" w:hAnsiTheme="majorHAnsi" w:cstheme="majorHAnsi"/>
          <w:color w:val="000000"/>
        </w:rPr>
        <w:t xml:space="preserve"> growth</w:t>
      </w:r>
      <w:r w:rsidRPr="000F4C13">
        <w:rPr>
          <w:rFonts w:eastAsia="Calibri" w:asciiTheme="majorHAnsi" w:hAnsiTheme="majorHAnsi" w:cstheme="majorHAnsi"/>
          <w:color w:val="000000"/>
        </w:rPr>
        <w:t>, creating a widening gap between what coverage costs and what families can comfortably pay. Regulators are very mindful of how consumers are impacted by these market dynamics and are simultaneously taking action to better understand what is happening in their markets, collaborating to identify and implement consumer protection strategies, and protecting against insurer insolvency.</w:t>
      </w:r>
    </w:p>
    <w:p w:rsidRPr="000F4C13" w:rsidR="00C96053" w:rsidRDefault="00B2522B" w14:paraId="770B34A2" w14:textId="77777777">
      <w:pPr>
        <w:pStyle w:val="Heading3"/>
        <w:rPr>
          <w:rFonts w:asciiTheme="majorHAnsi" w:hAnsiTheme="majorHAnsi" w:cstheme="majorHAnsi"/>
        </w:rPr>
      </w:pPr>
      <w:bookmarkStart w:name="_by4kdk4jstty" w:colFirst="0" w:colLast="0" w:id="23"/>
      <w:bookmarkEnd w:id="23"/>
      <w:r w:rsidRPr="000F4C13">
        <w:rPr>
          <w:rFonts w:asciiTheme="majorHAnsi" w:hAnsiTheme="majorHAnsi" w:cstheme="majorHAnsi"/>
        </w:rPr>
        <w:t>Policyholder Impact and Availability</w:t>
      </w:r>
    </w:p>
    <w:p w:rsidRPr="000F4C13" w:rsidR="00C96053" w:rsidRDefault="00B2522B" w14:paraId="03EF1DB8" w14:textId="77777777">
      <w:pPr>
        <w:pStyle w:val="Heading4"/>
        <w:rPr>
          <w:rFonts w:asciiTheme="majorHAnsi" w:hAnsiTheme="majorHAnsi" w:cstheme="majorHAnsi"/>
        </w:rPr>
      </w:pPr>
      <w:bookmarkStart w:name="_5nwc0unouqe0" w:colFirst="0" w:colLast="0" w:id="24"/>
      <w:bookmarkEnd w:id="24"/>
      <w:r w:rsidRPr="000F4C13">
        <w:rPr>
          <w:rFonts w:asciiTheme="majorHAnsi" w:hAnsiTheme="majorHAnsi" w:cstheme="majorHAnsi"/>
        </w:rPr>
        <w:t>Lack of, or Limited Offering of, Insurance Coverages and/or Options</w:t>
      </w:r>
    </w:p>
    <w:p w:rsidRPr="000F4C13" w:rsidR="00C96053" w:rsidRDefault="00B2522B" w14:paraId="0753E0DB" w14:textId="268246E7">
      <w:pPr>
        <w:jc w:val="both"/>
        <w:rPr>
          <w:rFonts w:eastAsia="Calibri" w:asciiTheme="majorHAnsi" w:hAnsiTheme="majorHAnsi" w:cstheme="majorHAnsi"/>
        </w:rPr>
      </w:pPr>
      <w:r w:rsidRPr="000F4C13">
        <w:rPr>
          <w:rFonts w:eastAsia="Calibri" w:asciiTheme="majorHAnsi" w:hAnsiTheme="majorHAnsi" w:cstheme="majorHAnsi"/>
        </w:rPr>
        <w:t xml:space="preserve">When property insurance coverage becomes unavailable or less available, policyholders face a cascade of financial and personal challenges. The immediate impact is affordability. When insurers retreat from catastrophe-prone regions or restrict their offerings, the remaining coverage options are often </w:t>
      </w:r>
      <w:r w:rsidRPr="000F4C13" w:rsidR="00C462BF">
        <w:rPr>
          <w:rFonts w:eastAsia="Calibri" w:asciiTheme="majorHAnsi" w:hAnsiTheme="majorHAnsi" w:cstheme="majorHAnsi"/>
        </w:rPr>
        <w:t>priced higher</w:t>
      </w:r>
      <w:r w:rsidRPr="000F4C13">
        <w:rPr>
          <w:rFonts w:eastAsia="Calibri" w:asciiTheme="majorHAnsi" w:hAnsiTheme="majorHAnsi" w:cstheme="majorHAnsi"/>
        </w:rPr>
        <w:t>, suggesting that future insurance options may become increasingly uncertain. Homeowners in higher</w:t>
      </w:r>
      <w:r w:rsidRPr="000F4C13">
        <w:rPr>
          <w:rFonts w:ascii="Cambria Math" w:hAnsi="Cambria Math" w:eastAsia="Calibri" w:cs="Cambria Math"/>
        </w:rPr>
        <w:t>‑</w:t>
      </w:r>
      <w:r w:rsidRPr="000F4C13">
        <w:rPr>
          <w:rFonts w:eastAsia="Calibri" w:asciiTheme="majorHAnsi" w:hAnsiTheme="majorHAnsi" w:cstheme="majorHAnsi"/>
        </w:rPr>
        <w:t>risk areas have experienced double</w:t>
      </w:r>
      <w:r w:rsidRPr="000F4C13">
        <w:rPr>
          <w:rFonts w:ascii="Cambria Math" w:hAnsi="Cambria Math" w:eastAsia="Calibri" w:cs="Cambria Math"/>
        </w:rPr>
        <w:t>‑</w:t>
      </w:r>
      <w:r w:rsidRPr="000F4C13">
        <w:rPr>
          <w:rFonts w:eastAsia="Calibri" w:asciiTheme="majorHAnsi" w:hAnsiTheme="majorHAnsi" w:cstheme="majorHAnsi"/>
        </w:rPr>
        <w:t>digit rate hikes, with average premiums rising far faster than inflation. For example, from 2018 to 2023, average homeowners</w:t>
      </w:r>
      <w:r w:rsidRPr="000F4C13">
        <w:rPr>
          <w:rFonts w:ascii="Calibri" w:hAnsi="Calibri" w:eastAsia="Calibri" w:cs="Calibri"/>
        </w:rPr>
        <w:t>’</w:t>
      </w:r>
      <w:r w:rsidRPr="000F4C13">
        <w:rPr>
          <w:rFonts w:eastAsia="Calibri" w:asciiTheme="majorHAnsi" w:hAnsiTheme="majorHAnsi" w:cstheme="majorHAnsi"/>
        </w:rPr>
        <w:t xml:space="preserve"> premiums increased between 13% and 38% nationally, with even sharper increases in catastrophe</w:t>
      </w:r>
      <w:r w:rsidRPr="000F4C13">
        <w:rPr>
          <w:rFonts w:ascii="Cambria Math" w:hAnsi="Cambria Math" w:eastAsia="Calibri" w:cs="Cambria Math"/>
        </w:rPr>
        <w:t>‑</w:t>
      </w:r>
      <w:r w:rsidRPr="000F4C13">
        <w:rPr>
          <w:rFonts w:eastAsia="Calibri" w:asciiTheme="majorHAnsi" w:hAnsiTheme="majorHAnsi" w:cstheme="majorHAnsi"/>
        </w:rPr>
        <w:t>exposed regions.</w:t>
      </w:r>
      <w:r w:rsidRPr="000F4C13">
        <w:rPr>
          <w:rFonts w:eastAsia="Calibri" w:asciiTheme="majorHAnsi" w:hAnsiTheme="majorHAnsi" w:cstheme="majorHAnsi"/>
          <w:vertAlign w:val="superscript"/>
        </w:rPr>
        <w:footnoteReference w:id="70"/>
      </w:r>
      <w:r w:rsidRPr="000F4C13">
        <w:rPr>
          <w:rFonts w:eastAsia="Calibri" w:asciiTheme="majorHAnsi" w:hAnsiTheme="majorHAnsi" w:cstheme="majorHAnsi"/>
        </w:rPr>
        <w:t xml:space="preserve"> For many families, this means paying significantly more for the same—or even reduced—coverage, straining household budgets and forcing difficult trade</w:t>
      </w:r>
      <w:r w:rsidRPr="000F4C13">
        <w:rPr>
          <w:rFonts w:ascii="Cambria Math" w:hAnsi="Cambria Math" w:eastAsia="Calibri" w:cs="Cambria Math"/>
        </w:rPr>
        <w:t>‑</w:t>
      </w:r>
      <w:r w:rsidRPr="000F4C13">
        <w:rPr>
          <w:rFonts w:eastAsia="Calibri" w:asciiTheme="majorHAnsi" w:hAnsiTheme="majorHAnsi" w:cstheme="majorHAnsi"/>
        </w:rPr>
        <w:t>offs between maintaining adequate protection and meeting other financial obligations.</w:t>
      </w:r>
    </w:p>
    <w:p w:rsidRPr="000F4C13" w:rsidR="00C96053" w:rsidRDefault="00B2522B" w14:paraId="37E5F033" w14:textId="11953541">
      <w:pPr>
        <w:jc w:val="both"/>
        <w:rPr>
          <w:rFonts w:eastAsia="Calibri" w:asciiTheme="majorHAnsi" w:hAnsiTheme="majorHAnsi" w:cstheme="majorHAnsi"/>
        </w:rPr>
      </w:pPr>
      <w:r w:rsidRPr="000F4C13">
        <w:rPr>
          <w:rFonts w:eastAsia="Calibri" w:asciiTheme="majorHAnsi" w:hAnsiTheme="majorHAnsi" w:cstheme="majorHAnsi"/>
        </w:rPr>
        <w:t xml:space="preserve">Availability is often the most critical issue, as having available insurance options is a prerequisite for </w:t>
      </w:r>
      <w:r w:rsidRPr="000F4C13" w:rsidR="007A1B88">
        <w:rPr>
          <w:rFonts w:eastAsia="Calibri" w:asciiTheme="majorHAnsi" w:hAnsiTheme="majorHAnsi" w:cstheme="majorHAnsi"/>
        </w:rPr>
        <w:t>affordability</w:t>
      </w:r>
      <w:r w:rsidRPr="000F4C13">
        <w:rPr>
          <w:rFonts w:eastAsia="Calibri" w:asciiTheme="majorHAnsi" w:hAnsiTheme="majorHAnsi" w:cstheme="majorHAnsi"/>
        </w:rPr>
        <w:t>. When private insurers scale back or exit certain markets, policyholders are left with fewer choices and may be forced into residual market mechanisms such as FAIR Plans or state</w:t>
      </w:r>
      <w:r w:rsidRPr="000F4C13">
        <w:rPr>
          <w:rFonts w:ascii="Cambria Math" w:hAnsi="Cambria Math" w:eastAsia="Calibri" w:cs="Cambria Math"/>
        </w:rPr>
        <w:t>‑</w:t>
      </w:r>
      <w:r w:rsidRPr="000F4C13">
        <w:rPr>
          <w:rFonts w:eastAsia="Calibri" w:asciiTheme="majorHAnsi" w:hAnsiTheme="majorHAnsi" w:cstheme="majorHAnsi"/>
        </w:rPr>
        <w:t>backed insurers of last resort. These programs are designed to ensure availability, not affordability, and typically provide narrower coverage at a higher cost.</w:t>
      </w:r>
      <w:r w:rsidRPr="000F4C13">
        <w:rPr>
          <w:rFonts w:eastAsia="Calibri" w:asciiTheme="majorHAnsi" w:hAnsiTheme="majorHAnsi" w:cstheme="majorHAnsi"/>
          <w:vertAlign w:val="superscript"/>
        </w:rPr>
        <w:footnoteReference w:id="71"/>
      </w:r>
      <w:r w:rsidRPr="000F4C13">
        <w:rPr>
          <w:rFonts w:eastAsia="Calibri" w:asciiTheme="majorHAnsi" w:hAnsiTheme="majorHAnsi" w:cstheme="majorHAnsi"/>
        </w:rPr>
        <w:t xml:space="preserve"> For homeowners, this can mean paying more for policies that exclude important protections, leaving them to either also pay for a Difference in Conditions policy (sometimes referred to as a “wraparound” policy) in order to be fully covered or be exposed to losses that would have been covered in the private market. The lack of competition also erodes consumer choice, reducing the ability to shop for better terms or more comprehensive coverage.</w:t>
      </w:r>
    </w:p>
    <w:p w:rsidRPr="000F4C13" w:rsidR="00C96053" w:rsidRDefault="00B2522B" w14:paraId="0B3CA8AD" w14:textId="77777777">
      <w:pPr>
        <w:jc w:val="both"/>
        <w:rPr>
          <w:rFonts w:eastAsia="Calibri" w:asciiTheme="majorHAnsi" w:hAnsiTheme="majorHAnsi" w:cstheme="majorHAnsi"/>
        </w:rPr>
      </w:pPr>
      <w:r w:rsidRPr="000F4C13">
        <w:rPr>
          <w:rFonts w:eastAsia="Calibri" w:asciiTheme="majorHAnsi" w:hAnsiTheme="majorHAnsi" w:cstheme="majorHAnsi"/>
        </w:rPr>
        <w:t>The consequences of limited insurance options extend beyond higher costs. Without adequate coverage, policyholders bear a greater portion of the financial burden when catastrophic events occur. Severe convective storms, hurricanes, and wildfires have become more frequent and costly, with NOAA reporting 28 billion</w:t>
      </w:r>
      <w:r w:rsidRPr="000F4C13">
        <w:rPr>
          <w:rFonts w:ascii="Cambria Math" w:hAnsi="Cambria Math" w:eastAsia="Calibri" w:cs="Cambria Math"/>
        </w:rPr>
        <w:t>‑</w:t>
      </w:r>
      <w:r w:rsidRPr="000F4C13">
        <w:rPr>
          <w:rFonts w:eastAsia="Calibri" w:asciiTheme="majorHAnsi" w:hAnsiTheme="majorHAnsi" w:cstheme="majorHAnsi"/>
        </w:rPr>
        <w:t>dollar events in 2023 and 27 in 2024, compared to a long</w:t>
      </w:r>
      <w:r w:rsidRPr="000F4C13">
        <w:rPr>
          <w:rFonts w:ascii="Cambria Math" w:hAnsi="Cambria Math" w:eastAsia="Calibri" w:cs="Cambria Math"/>
        </w:rPr>
        <w:t>‑</w:t>
      </w:r>
      <w:r w:rsidRPr="000F4C13">
        <w:rPr>
          <w:rFonts w:eastAsia="Calibri" w:asciiTheme="majorHAnsi" w:hAnsiTheme="majorHAnsi" w:cstheme="majorHAnsi"/>
        </w:rPr>
        <w:t>term average of 8</w:t>
      </w:r>
      <w:r w:rsidRPr="000F4C13">
        <w:rPr>
          <w:rFonts w:ascii="Calibri" w:hAnsi="Calibri" w:eastAsia="Calibri" w:cs="Calibri"/>
        </w:rPr>
        <w:t>–</w:t>
      </w:r>
      <w:r w:rsidRPr="000F4C13">
        <w:rPr>
          <w:rFonts w:eastAsia="Calibri" w:asciiTheme="majorHAnsi" w:hAnsiTheme="majorHAnsi" w:cstheme="majorHAnsi"/>
        </w:rPr>
        <w:t>9 per year.</w:t>
      </w:r>
      <w:r w:rsidRPr="000F4C13">
        <w:rPr>
          <w:rFonts w:eastAsia="Calibri" w:asciiTheme="majorHAnsi" w:hAnsiTheme="majorHAnsi" w:cstheme="majorHAnsi"/>
          <w:vertAlign w:val="superscript"/>
        </w:rPr>
        <w:footnoteReference w:id="72"/>
      </w:r>
      <w:r w:rsidRPr="000F4C13">
        <w:rPr>
          <w:rFonts w:eastAsia="Calibri" w:asciiTheme="majorHAnsi" w:hAnsiTheme="majorHAnsi" w:cstheme="majorHAnsi"/>
        </w:rPr>
        <w:t xml:space="preserve"> When insurers impose higher deductibles, limit payouts, or withdraw entirely, property owners find themselves in a very vulnerable position. For many, this poses not only a threat to their ability to repair or replace their homes but also to their long-term financial security, as home equity represents the largest share of wealth for most households.</w:t>
      </w:r>
      <w:r w:rsidRPr="000F4C13">
        <w:rPr>
          <w:rFonts w:eastAsia="Calibri" w:asciiTheme="majorHAnsi" w:hAnsiTheme="majorHAnsi" w:cstheme="majorHAnsi"/>
          <w:vertAlign w:val="superscript"/>
        </w:rPr>
        <w:footnoteReference w:id="73"/>
      </w:r>
    </w:p>
    <w:p w:rsidRPr="000F4C13" w:rsidR="00C96053" w:rsidRDefault="00B2522B" w14:paraId="311FA7A6" w14:textId="20677C01">
      <w:pPr>
        <w:jc w:val="both"/>
        <w:rPr>
          <w:rFonts w:eastAsia="Calibri" w:asciiTheme="majorHAnsi" w:hAnsiTheme="majorHAnsi" w:cstheme="majorHAnsi"/>
        </w:rPr>
      </w:pPr>
      <w:r w:rsidRPr="000F4C13">
        <w:rPr>
          <w:rFonts w:eastAsia="Calibri" w:asciiTheme="majorHAnsi" w:hAnsiTheme="majorHAnsi" w:cstheme="majorHAnsi"/>
        </w:rPr>
        <w:t>The erosion of coverage options undermines consumer confidence. Policyholders who face rising premiums, shrinking coverage, or denied claims often lose trust in insurers and the system meant to protect them. Complaints increase when financially constrained insurers restrict payments or when consumers feel trapped in residual markets with little recourse.</w:t>
      </w:r>
      <w:r w:rsidRPr="000F4C13">
        <w:rPr>
          <w:rFonts w:eastAsia="Calibri" w:asciiTheme="majorHAnsi" w:hAnsiTheme="majorHAnsi" w:cstheme="majorHAnsi"/>
          <w:vertAlign w:val="superscript"/>
        </w:rPr>
        <w:footnoteReference w:id="74"/>
      </w:r>
      <w:r w:rsidRPr="000F4C13">
        <w:rPr>
          <w:rFonts w:eastAsia="Calibri" w:asciiTheme="majorHAnsi" w:hAnsiTheme="majorHAnsi" w:cstheme="majorHAnsi"/>
        </w:rPr>
        <w:t xml:space="preserve"> This dissatisfaction compounds the stress of navigating </w:t>
      </w:r>
      <w:r w:rsidRPr="000F4C13" w:rsidR="007A1B88">
        <w:rPr>
          <w:rFonts w:eastAsia="Calibri" w:asciiTheme="majorHAnsi" w:hAnsiTheme="majorHAnsi" w:cstheme="majorHAnsi"/>
        </w:rPr>
        <w:t xml:space="preserve">higher risks, leaving many homeowners uncertain whether their insurance will </w:t>
      </w:r>
      <w:r w:rsidRPr="000F4C13">
        <w:rPr>
          <w:rFonts w:eastAsia="Calibri" w:asciiTheme="majorHAnsi" w:hAnsiTheme="majorHAnsi" w:cstheme="majorHAnsi"/>
        </w:rPr>
        <w:t>be there when they need it most.</w:t>
      </w:r>
    </w:p>
    <w:p w:rsidRPr="000F4C13" w:rsidR="00C96053" w:rsidRDefault="00B2522B" w14:paraId="266F6AFD" w14:textId="77777777">
      <w:pPr>
        <w:jc w:val="both"/>
        <w:rPr>
          <w:rFonts w:eastAsia="Calibri" w:asciiTheme="majorHAnsi" w:hAnsiTheme="majorHAnsi" w:cstheme="majorHAnsi"/>
        </w:rPr>
      </w:pPr>
      <w:r w:rsidRPr="000F4C13">
        <w:rPr>
          <w:rFonts w:eastAsia="Calibri" w:asciiTheme="majorHAnsi" w:hAnsiTheme="majorHAnsi" w:cstheme="majorHAnsi"/>
        </w:rPr>
        <w:t>In short, when property insurance is scarce or limited, policyholders face higher costs, fewer choices, and greater exposure to catastrophic loss. The result is not only financial strain for individual households but also broader instability for communities that depend on insurance as a cornerstone of resilience and recovery.</w:t>
      </w:r>
    </w:p>
    <w:p w:rsidRPr="000F4C13" w:rsidR="00C96053" w:rsidRDefault="00B2522B" w14:paraId="1B684407" w14:textId="77777777">
      <w:pPr>
        <w:pStyle w:val="Heading4"/>
        <w:rPr>
          <w:rFonts w:asciiTheme="majorHAnsi" w:hAnsiTheme="majorHAnsi" w:cstheme="majorHAnsi"/>
        </w:rPr>
      </w:pPr>
      <w:bookmarkStart w:name="_e6bljvhkyfq7" w:colFirst="0" w:colLast="0" w:id="25"/>
      <w:bookmarkEnd w:id="25"/>
      <w:r w:rsidRPr="000F4C13">
        <w:rPr>
          <w:rFonts w:asciiTheme="majorHAnsi" w:hAnsiTheme="majorHAnsi" w:cstheme="majorHAnsi"/>
        </w:rPr>
        <w:t>Growing Protection Gaps</w:t>
      </w:r>
    </w:p>
    <w:p w:rsidRPr="000F4C13" w:rsidR="00C96053" w:rsidRDefault="00B2522B" w14:paraId="0A068B66" w14:textId="77777777">
      <w:pPr>
        <w:jc w:val="both"/>
        <w:rPr>
          <w:rFonts w:eastAsia="Calibri" w:asciiTheme="majorHAnsi" w:hAnsiTheme="majorHAnsi" w:cstheme="majorHAnsi"/>
        </w:rPr>
      </w:pPr>
      <w:r w:rsidRPr="000F4C13">
        <w:rPr>
          <w:rFonts w:eastAsia="Calibri" w:asciiTheme="majorHAnsi" w:hAnsiTheme="majorHAnsi" w:cstheme="majorHAnsi"/>
        </w:rPr>
        <w:t>These pressures on policyholders also widen protection gaps and deepen inequality. Vulnerable populations—those with lower incomes or living in high</w:t>
      </w:r>
      <w:r w:rsidRPr="000F4C13">
        <w:rPr>
          <w:rFonts w:ascii="Cambria Math" w:hAnsi="Cambria Math" w:eastAsia="Calibri" w:cs="Cambria Math"/>
        </w:rPr>
        <w:t>‑</w:t>
      </w:r>
      <w:r w:rsidRPr="000F4C13">
        <w:rPr>
          <w:rFonts w:eastAsia="Calibri" w:asciiTheme="majorHAnsi" w:hAnsiTheme="majorHAnsi" w:cstheme="majorHAnsi"/>
        </w:rPr>
        <w:t>risk areas</w:t>
      </w:r>
      <w:r w:rsidRPr="000F4C13">
        <w:rPr>
          <w:rFonts w:ascii="Calibri" w:hAnsi="Calibri" w:eastAsia="Calibri" w:cs="Calibri"/>
        </w:rPr>
        <w:t>—</w:t>
      </w:r>
      <w:r w:rsidRPr="000F4C13">
        <w:rPr>
          <w:rFonts w:eastAsia="Calibri" w:asciiTheme="majorHAnsi" w:hAnsiTheme="majorHAnsi" w:cstheme="majorHAnsi"/>
        </w:rPr>
        <w:t>are disproportionately affected when insurance becomes unaffordable or unavailable. Some households reduce coverage limits, increase deductibles, or drop insurance altogether, leaving them dangerously exposed. Others may struggle to secure mortgages, as lenders typically require adequate property insurance. In this way, limited insurance availability not only undermines individual financial stability but also weakens community resilience, slowing recovery after disasters and amplifying the economic and social toll.</w:t>
      </w:r>
      <w:r w:rsidRPr="000F4C13">
        <w:rPr>
          <w:rFonts w:eastAsia="Calibri" w:asciiTheme="majorHAnsi" w:hAnsiTheme="majorHAnsi" w:cstheme="majorHAnsi"/>
          <w:vertAlign w:val="superscript"/>
        </w:rPr>
        <w:footnoteReference w:id="75"/>
      </w:r>
    </w:p>
    <w:p w:rsidRPr="000F4C13" w:rsidR="00C96053" w:rsidRDefault="00B2522B" w14:paraId="381E8D24" w14:textId="77777777">
      <w:pPr>
        <w:pStyle w:val="Heading5"/>
        <w:jc w:val="both"/>
        <w:rPr>
          <w:rFonts w:eastAsia="Calibri" w:asciiTheme="majorHAnsi" w:hAnsiTheme="majorHAnsi" w:cstheme="majorHAnsi"/>
        </w:rPr>
      </w:pPr>
      <w:bookmarkStart w:name="_ul6smhzf6227" w:colFirst="0" w:colLast="0" w:id="26"/>
      <w:bookmarkEnd w:id="26"/>
      <w:r w:rsidRPr="000F4C13">
        <w:rPr>
          <w:rFonts w:eastAsia="Calibri" w:asciiTheme="majorHAnsi" w:hAnsiTheme="majorHAnsi" w:cstheme="majorHAnsi"/>
        </w:rPr>
        <w:t>Inflation and Rising Rebuilding Costs are Widening Protection Gaps</w:t>
      </w:r>
    </w:p>
    <w:p w:rsidRPr="000F4C13" w:rsidR="00C96053" w:rsidRDefault="00B2522B" w14:paraId="071963B1" w14:textId="1C7B4E5A">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Across the property and casualty insurance sector, regulators and industry analysts consistently identify economic inflation as a central driver of rising claims costs. As explained in section B, inflation has increased the price of materials, labor, and services, directly raising the cost of settling claims and rebuilding damaged property. This has been particularly acute in the homeowners line, where insurers face higher severity of claims due to more expensive repairs and replacements, which amplifies the financial impact of catastrophic events.</w:t>
      </w:r>
      <w:r w:rsidRPr="000F4C13">
        <w:rPr>
          <w:rFonts w:eastAsia="Calibri" w:asciiTheme="majorHAnsi" w:hAnsiTheme="majorHAnsi" w:cstheme="majorHAnsi"/>
          <w:color w:val="000000"/>
          <w:vertAlign w:val="superscript"/>
        </w:rPr>
        <w:footnoteReference w:id="76"/>
      </w:r>
    </w:p>
    <w:p w:rsidRPr="000F4C13" w:rsidR="00C96053" w:rsidRDefault="00B2522B" w14:paraId="741226F5"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The combination of inflation and higher rebuilding costs has contributed to underwriting losses in multiple recent years, especially in personal lines.</w:t>
      </w:r>
      <w:r w:rsidRPr="000F4C13">
        <w:rPr>
          <w:rFonts w:eastAsia="Calibri" w:asciiTheme="majorHAnsi" w:hAnsiTheme="majorHAnsi" w:cstheme="majorHAnsi"/>
          <w:color w:val="000000"/>
          <w:vertAlign w:val="superscript"/>
        </w:rPr>
        <w:footnoteReference w:id="77"/>
      </w:r>
      <w:r w:rsidRPr="000F4C13">
        <w:rPr>
          <w:rFonts w:eastAsia="Calibri" w:asciiTheme="majorHAnsi" w:hAnsiTheme="majorHAnsi" w:cstheme="majorHAnsi"/>
          <w:color w:val="000000"/>
        </w:rPr>
        <w:t xml:space="preserve"> Insurers have responded with double-digit premium increases in homeowners and auto lines to keep pace with inflation-driven claims severity.</w:t>
      </w:r>
      <w:r w:rsidRPr="000F4C13">
        <w:rPr>
          <w:rFonts w:eastAsia="Calibri" w:asciiTheme="majorHAnsi" w:hAnsiTheme="majorHAnsi" w:cstheme="majorHAnsi"/>
          <w:color w:val="000000"/>
          <w:vertAlign w:val="superscript"/>
        </w:rPr>
        <w:footnoteReference w:id="78"/>
      </w:r>
      <w:r w:rsidRPr="000F4C13">
        <w:rPr>
          <w:rFonts w:eastAsia="Calibri" w:asciiTheme="majorHAnsi" w:hAnsiTheme="majorHAnsi" w:cstheme="majorHAnsi"/>
          <w:color w:val="000000"/>
        </w:rPr>
        <w:t xml:space="preserve"> In 2024, easing inflation helped moderate claims costs, allowing insurers to achieve their first underwriting profit in four years, but inflationary pressures continue to pose a structural risk.</w:t>
      </w:r>
      <w:r w:rsidRPr="000F4C13">
        <w:rPr>
          <w:rFonts w:eastAsia="Calibri" w:asciiTheme="majorHAnsi" w:hAnsiTheme="majorHAnsi" w:cstheme="majorHAnsi"/>
          <w:color w:val="000000"/>
          <w:vertAlign w:val="superscript"/>
        </w:rPr>
        <w:footnoteReference w:id="79"/>
      </w:r>
    </w:p>
    <w:p w:rsidRPr="000F4C13" w:rsidR="00C96053" w:rsidRDefault="00B2522B" w14:paraId="776D84E7"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Inflation and rebuilding costs magnify the financial impact of climate-related catastrophes. Severe convective storms, wildfires, and hurricanes not only increase the frequency of claims but also make each claim more expensive to settle. This dynamic leaves insurers more exposed, particularly when smaller events do not trigger reinsurance coverage, forcing primary insurers to absorb the full impact of inflated rebuilding costs.</w:t>
      </w:r>
      <w:r w:rsidRPr="000F4C13">
        <w:rPr>
          <w:rFonts w:eastAsia="Calibri" w:asciiTheme="majorHAnsi" w:hAnsiTheme="majorHAnsi" w:cstheme="majorHAnsi"/>
          <w:color w:val="000000"/>
          <w:vertAlign w:val="superscript"/>
        </w:rPr>
        <w:footnoteReference w:id="80"/>
      </w:r>
    </w:p>
    <w:p w:rsidRPr="000F4C13" w:rsidR="00C96053" w:rsidRDefault="00B2522B" w14:paraId="3F909485"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From the policyholder perspective, inflation and rebuilding costs translate into higher insurance premiums and affordability challenges. Analyses of homeowners insurance affordability show that premiums have risen significantly since 2018, with increases ranging from 13% to nearly 40% nationwide, not adjusted for inflation.</w:t>
      </w:r>
      <w:r w:rsidRPr="000F4C13">
        <w:rPr>
          <w:rFonts w:eastAsia="Calibri" w:asciiTheme="majorHAnsi" w:hAnsiTheme="majorHAnsi" w:cstheme="majorHAnsi"/>
          <w:color w:val="000000"/>
          <w:vertAlign w:val="superscript"/>
        </w:rPr>
        <w:footnoteReference w:id="81"/>
      </w:r>
      <w:r w:rsidRPr="000F4C13">
        <w:rPr>
          <w:rFonts w:eastAsia="Calibri" w:asciiTheme="majorHAnsi" w:hAnsiTheme="majorHAnsi" w:cstheme="majorHAnsi"/>
          <w:color w:val="000000"/>
        </w:rPr>
        <w:t xml:space="preserve"> Rising rebuilding costs are a key driver of these increases, as insurers must price policies to reflect the higher cost of restoring homes after disasters.</w:t>
      </w:r>
    </w:p>
    <w:p w:rsidRPr="000F4C13" w:rsidR="00C96053" w:rsidRDefault="00B2522B" w14:paraId="289E7CDF" w14:textId="37ACFFAA">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The escalating </w:t>
      </w:r>
      <w:r w:rsidRPr="000F4C13" w:rsidR="0092661A">
        <w:rPr>
          <w:rFonts w:eastAsia="Calibri" w:asciiTheme="majorHAnsi" w:hAnsiTheme="majorHAnsi" w:cstheme="majorHAnsi"/>
          <w:color w:val="000000"/>
        </w:rPr>
        <w:t>costs of materials and labor directly translate into</w:t>
      </w:r>
      <w:r w:rsidRPr="000F4C13">
        <w:rPr>
          <w:rFonts w:eastAsia="Calibri" w:asciiTheme="majorHAnsi" w:hAnsiTheme="majorHAnsi" w:cstheme="majorHAnsi"/>
          <w:color w:val="000000"/>
        </w:rPr>
        <w:t xml:space="preserve"> higher premiums, making essential insurance coverage unaffordable for a growing segment of the population, particularly those on fixed or lower incomes. This forces some homeowners and renters to forgo coverage entirely, leaving them completely exposed to catastrophic financial loss.</w:t>
      </w:r>
    </w:p>
    <w:p w:rsidRPr="000F4C13" w:rsidR="00C96053" w:rsidRDefault="00B2522B" w14:paraId="63294695"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To manage premium costs, many consumers are compelled to choose policies with significantly higher deductibles or lower coverage limits. While this provides a short-term reduction in monthly expenses, it shifts a greater portion of the risk onto the policyholder. In the event of a loss, the higher out-of-pocket expenses can be financially devastating, effectively rendering the policy insufficient.</w:t>
      </w:r>
    </w:p>
    <w:p w:rsidRPr="000F4C13" w:rsidR="00C96053" w:rsidRDefault="00B2522B" w14:paraId="4185BE96"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Rapid and sustained inflation causes a crucial lag between a policy's stated dwelling coverage limit and the actual current cost to fully rebuild a home after a total loss. When a loss occurs, the policy payout is often insufficient to cover the full replacement cost, leaving the policyholder to absorb a substantial financial shortfall. This issue is particularly acute in areas with high construction volatility or after significant natural disasters that drive up regional costs.</w:t>
      </w:r>
    </w:p>
    <w:p w:rsidRPr="000F4C13" w:rsidR="00C96053" w:rsidRDefault="00B2522B" w14:paraId="42ED4F04" w14:textId="67AB8E95">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The combination of higher premiums and insufficient coverage limits disproportionately impacts vulnerable populations. Households in high-risk areas, </w:t>
      </w:r>
      <w:r w:rsidRPr="000F4C13" w:rsidR="0092661A">
        <w:rPr>
          <w:rFonts w:eastAsia="Calibri" w:asciiTheme="majorHAnsi" w:hAnsiTheme="majorHAnsi" w:cstheme="majorHAnsi"/>
          <w:color w:val="000000"/>
        </w:rPr>
        <w:t xml:space="preserve">low- to moderate-income communities, and those with less financial flexibility are often the first to be priced out of comprehensive coverage, widening </w:t>
      </w:r>
      <w:r w:rsidRPr="000F4C13">
        <w:rPr>
          <w:rFonts w:eastAsia="Calibri" w:asciiTheme="majorHAnsi" w:hAnsiTheme="majorHAnsi" w:cstheme="majorHAnsi"/>
          <w:color w:val="000000"/>
        </w:rPr>
        <w:t>pre-existing socioeconomic disparities in financial security and disaster recovery. This creates a cycle of vulnerability where those least able to afford a loss are also the least able to afford adequate protection.</w:t>
      </w:r>
    </w:p>
    <w:p w:rsidRPr="000F4C13" w:rsidR="00C96053" w:rsidRDefault="00B2522B" w14:paraId="24FD3415" w14:textId="77777777">
      <w:pPr>
        <w:pStyle w:val="Heading5"/>
        <w:jc w:val="both"/>
        <w:rPr>
          <w:rFonts w:eastAsia="Calibri" w:asciiTheme="majorHAnsi" w:hAnsiTheme="majorHAnsi" w:cstheme="majorHAnsi"/>
        </w:rPr>
      </w:pPr>
      <w:bookmarkStart w:name="_1iswo6srufyv" w:colFirst="0" w:colLast="0" w:id="27"/>
      <w:bookmarkEnd w:id="27"/>
      <w:r w:rsidRPr="000F4C13">
        <w:rPr>
          <w:rFonts w:eastAsia="Calibri" w:asciiTheme="majorHAnsi" w:hAnsiTheme="majorHAnsi" w:cstheme="majorHAnsi"/>
        </w:rPr>
        <w:t>Policyholders' Share of the Claim Burdens is Increasing</w:t>
      </w:r>
    </w:p>
    <w:p w:rsidRPr="000F4C13" w:rsidR="00C96053" w:rsidRDefault="00B2522B" w14:paraId="20C3C520"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In today’s evolving homeowners insurance landscape, policyholders are shouldering a growing share of the financial burden when losses occur. This subsection discusses the mechanisms driving the shift toward households being more exposed to out-of-pocket costs and coverage gaps than in the past. </w:t>
      </w:r>
    </w:p>
    <w:p w:rsidRPr="000F4C13" w:rsidR="00C96053" w:rsidRDefault="00B2522B" w14:paraId="116E18A5" w14:textId="12640F45">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b/>
          <w:bCs/>
          <w:i/>
          <w:iCs/>
          <w:color w:val="000000"/>
          <w:u w:val="single"/>
        </w:rPr>
        <w:t>Underinsurance:</w:t>
      </w:r>
      <w:r w:rsidRPr="000F4C13">
        <w:rPr>
          <w:rFonts w:eastAsia="Calibri" w:asciiTheme="majorHAnsi" w:hAnsiTheme="majorHAnsi" w:cstheme="majorHAnsi"/>
          <w:color w:val="000000"/>
        </w:rPr>
        <w:t xml:space="preserve"> In recent years, researchers have explored the trends and factors driving the occurrence of consumers who are not fully insured for catastrophe losses when they occur. For over a decade, the non-profit United Policyholders, whose Executive Director Amy Bach is an NAIC Individual Consumer Advocate at the time of writing, has conducted surveys of wildfire survivors. From those surveys, United Policyholders reports estimates for the 2020 California wildfires, 42% of the homeowners who responded report being underinsured for the rebuilding costs.</w:t>
      </w:r>
      <w:r w:rsidRPr="000F4C13">
        <w:rPr>
          <w:rFonts w:eastAsia="Calibri" w:asciiTheme="majorHAnsi" w:hAnsiTheme="majorHAnsi" w:cstheme="majorHAnsi"/>
          <w:color w:val="000000"/>
          <w:vertAlign w:val="superscript"/>
        </w:rPr>
        <w:footnoteReference w:id="82"/>
      </w:r>
      <w:r w:rsidRPr="000F4C13">
        <w:rPr>
          <w:rFonts w:eastAsia="Calibri" w:asciiTheme="majorHAnsi" w:hAnsiTheme="majorHAnsi" w:cstheme="majorHAnsi"/>
          <w:color w:val="000000"/>
        </w:rPr>
        <w:t xml:space="preserve"> </w:t>
      </w:r>
      <w:r w:rsidRPr="000F4C13" w:rsidR="004B7EE1">
        <w:rPr>
          <w:rFonts w:eastAsia="Calibri" w:asciiTheme="majorHAnsi" w:hAnsiTheme="majorHAnsi" w:cstheme="majorHAnsi"/>
          <w:color w:val="000000"/>
        </w:rPr>
        <w:t xml:space="preserve">In 2018, the Rand Corporation published a study </w:t>
      </w:r>
      <w:r w:rsidRPr="000F4C13" w:rsidR="003445A3">
        <w:rPr>
          <w:rFonts w:eastAsia="Calibri" w:asciiTheme="majorHAnsi" w:hAnsiTheme="majorHAnsi" w:cstheme="majorHAnsi"/>
          <w:color w:val="000000"/>
        </w:rPr>
        <w:t>of two California communities that</w:t>
      </w:r>
      <w:r w:rsidRPr="000F4C13" w:rsidR="004B7EE1">
        <w:rPr>
          <w:rFonts w:eastAsia="Calibri" w:asciiTheme="majorHAnsi" w:hAnsiTheme="majorHAnsi" w:cstheme="majorHAnsi"/>
          <w:color w:val="000000"/>
        </w:rPr>
        <w:t xml:space="preserve"> found that homeowners in high-risk areas purchased less coverage relative to the structure's value and chose higher deductibles than homeowners in lower-risk areas.</w:t>
      </w:r>
      <w:r w:rsidRPr="000F4C13">
        <w:rPr>
          <w:rFonts w:eastAsia="Calibri" w:asciiTheme="majorHAnsi" w:hAnsiTheme="majorHAnsi" w:cstheme="majorHAnsi"/>
          <w:color w:val="000000"/>
          <w:vertAlign w:val="superscript"/>
        </w:rPr>
        <w:footnoteReference w:id="83"/>
      </w:r>
      <w:r w:rsidRPr="000F4C13">
        <w:rPr>
          <w:rFonts w:eastAsia="Calibri" w:asciiTheme="majorHAnsi" w:hAnsiTheme="majorHAnsi" w:cstheme="majorHAnsi"/>
          <w:color w:val="000000"/>
        </w:rPr>
        <w:t xml:space="preserve"> </w:t>
      </w:r>
    </w:p>
    <w:p w:rsidRPr="000F4C13" w:rsidR="00C96053" w:rsidRDefault="00B2522B" w14:paraId="47B43860"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At NAIC national meetings, Kenneth S. Klein, an NAIC Individual Consumer Advocate, has presented analysis regarding underinsurance in the United States to the NAIC. His work suggests that underinsurance is not a result of isolated errors or consumer negligence, but rather a complicated, systemic issue. Related factors include insurer use of tools that are not consistently accurate in estimating replacement costs and the impacts of demand surge. </w:t>
      </w:r>
    </w:p>
    <w:p w:rsidRPr="000F4C13" w:rsidR="00C96053" w:rsidRDefault="00B2522B" w14:paraId="67E38AD2" w14:textId="08184BB0">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Data challenges, including the lack of data </w:t>
      </w:r>
      <w:r w:rsidRPr="000F4C13" w:rsidR="00907BCD">
        <w:rPr>
          <w:rFonts w:eastAsia="Calibri" w:asciiTheme="majorHAnsi" w:hAnsiTheme="majorHAnsi" w:cstheme="majorHAnsi"/>
          <w:color w:val="000000"/>
        </w:rPr>
        <w:t xml:space="preserve">on </w:t>
      </w:r>
      <w:r w:rsidRPr="000F4C13">
        <w:rPr>
          <w:rFonts w:eastAsia="Calibri" w:asciiTheme="majorHAnsi" w:hAnsiTheme="majorHAnsi" w:cstheme="majorHAnsi"/>
          <w:color w:val="000000"/>
        </w:rPr>
        <w:t>reconstruction estimates, actual rebuilding costs, and the frequency of total losses</w:t>
      </w:r>
      <w:r w:rsidRPr="000F4C13" w:rsidR="00907BCD">
        <w:rPr>
          <w:rFonts w:eastAsia="Calibri" w:asciiTheme="majorHAnsi" w:hAnsiTheme="majorHAnsi" w:cstheme="majorHAnsi"/>
          <w:color w:val="000000"/>
        </w:rPr>
        <w:t xml:space="preserve">, make it difficult for regulators to measure the true extent of underinsurance and mitigate their </w:t>
      </w:r>
      <w:r w:rsidRPr="000F4C13">
        <w:rPr>
          <w:rFonts w:eastAsia="Calibri" w:asciiTheme="majorHAnsi" w:hAnsiTheme="majorHAnsi" w:cstheme="majorHAnsi"/>
          <w:color w:val="000000"/>
        </w:rPr>
        <w:t xml:space="preserve">ability to craft effective policy responses. </w:t>
      </w:r>
    </w:p>
    <w:p w:rsidRPr="000F4C13" w:rsidR="00C96053" w:rsidRDefault="00B2522B" w14:paraId="1F51933A" w14:textId="0109AA13">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Without access to insurer-held data, it is challenging to accurately assess whether underinsurance is due to flawed estimation tools, consumer behavior, or other factors, which can limit regulators</w:t>
      </w:r>
      <w:r w:rsidRPr="000F4C13" w:rsidR="00DE7EED">
        <w:rPr>
          <w:rFonts w:eastAsia="Calibri" w:asciiTheme="majorHAnsi" w:hAnsiTheme="majorHAnsi" w:cstheme="majorHAnsi"/>
          <w:color w:val="000000"/>
        </w:rPr>
        <w:t>'</w:t>
      </w:r>
      <w:r w:rsidRPr="000F4C13">
        <w:rPr>
          <w:rFonts w:eastAsia="Calibri" w:asciiTheme="majorHAnsi" w:hAnsiTheme="majorHAnsi" w:cstheme="majorHAnsi"/>
          <w:color w:val="000000"/>
        </w:rPr>
        <w:t xml:space="preserve"> ability to enforce standards, require algorithm validation, or require disclosures that would help consumers make informed decisions.</w:t>
      </w:r>
    </w:p>
    <w:p w:rsidRPr="000F4C13" w:rsidR="00C96053" w:rsidRDefault="00B2522B" w14:paraId="1789D1FE" w14:textId="57A38999">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b/>
          <w:bCs/>
          <w:i/>
          <w:iCs/>
          <w:color w:val="000000"/>
          <w:u w:val="single"/>
        </w:rPr>
        <w:t>Higher Deductibles:</w:t>
      </w:r>
      <w:r w:rsidRPr="000F4C13">
        <w:rPr>
          <w:rFonts w:eastAsia="Calibri" w:asciiTheme="majorHAnsi" w:hAnsiTheme="majorHAnsi" w:cstheme="majorHAnsi"/>
          <w:color w:val="000000"/>
        </w:rPr>
        <w:t xml:space="preserve"> When a policyholder elects </w:t>
      </w:r>
      <w:r w:rsidRPr="000F4C13" w:rsidR="00DE7EED">
        <w:rPr>
          <w:rFonts w:eastAsia="Calibri" w:asciiTheme="majorHAnsi" w:hAnsiTheme="majorHAnsi" w:cstheme="majorHAnsi"/>
          <w:color w:val="000000"/>
        </w:rPr>
        <w:t>a higher deductible on their homeowners insurance policy, they may benefit from lower monthly premiums, but they also assume greater financial risk in the event</w:t>
      </w:r>
      <w:r w:rsidRPr="000F4C13">
        <w:rPr>
          <w:rFonts w:eastAsia="Calibri" w:asciiTheme="majorHAnsi" w:hAnsiTheme="majorHAnsi" w:cstheme="majorHAnsi"/>
          <w:color w:val="000000"/>
        </w:rPr>
        <w:t xml:space="preserve"> of a loss. The deductible </w:t>
      </w:r>
      <w:r w:rsidRPr="000F4C13" w:rsidR="00452DD5">
        <w:rPr>
          <w:rFonts w:eastAsia="Calibri" w:asciiTheme="majorHAnsi" w:hAnsiTheme="majorHAnsi" w:cstheme="majorHAnsi"/>
          <w:color w:val="000000"/>
        </w:rPr>
        <w:t xml:space="preserve">is </w:t>
      </w:r>
      <w:r w:rsidRPr="000F4C13" w:rsidR="00857E65">
        <w:rPr>
          <w:rFonts w:eastAsia="Calibri" w:asciiTheme="majorHAnsi" w:hAnsiTheme="majorHAnsi" w:cstheme="majorHAnsi"/>
          <w:color w:val="000000"/>
        </w:rPr>
        <w:t>the amount</w:t>
      </w:r>
      <w:r w:rsidRPr="000F4C13">
        <w:rPr>
          <w:rFonts w:eastAsia="Calibri" w:asciiTheme="majorHAnsi" w:hAnsiTheme="majorHAnsi" w:cstheme="majorHAnsi"/>
          <w:color w:val="000000"/>
        </w:rPr>
        <w:t xml:space="preserve"> a policyholder must pay before </w:t>
      </w:r>
      <w:r w:rsidRPr="000F4C13" w:rsidR="00452DD5">
        <w:rPr>
          <w:rFonts w:eastAsia="Calibri" w:asciiTheme="majorHAnsi" w:hAnsiTheme="majorHAnsi" w:cstheme="majorHAnsi"/>
          <w:color w:val="000000"/>
        </w:rPr>
        <w:t xml:space="preserve">insurance coverage applies. </w:t>
      </w:r>
      <w:r w:rsidRPr="000F4C13">
        <w:rPr>
          <w:rFonts w:eastAsia="Calibri" w:asciiTheme="majorHAnsi" w:hAnsiTheme="majorHAnsi" w:cstheme="majorHAnsi"/>
          <w:color w:val="000000"/>
        </w:rPr>
        <w:t>Policyholders</w:t>
      </w:r>
      <w:r w:rsidRPr="000F4C13" w:rsidR="00307FDD">
        <w:rPr>
          <w:rFonts w:eastAsia="Calibri" w:asciiTheme="majorHAnsi" w:hAnsiTheme="majorHAnsi" w:cstheme="majorHAnsi"/>
          <w:color w:val="000000"/>
        </w:rPr>
        <w:t xml:space="preserve"> with</w:t>
      </w:r>
      <w:r w:rsidRPr="000F4C13">
        <w:rPr>
          <w:rFonts w:eastAsia="Calibri" w:asciiTheme="majorHAnsi" w:hAnsiTheme="majorHAnsi" w:cstheme="majorHAnsi"/>
          <w:color w:val="000000"/>
        </w:rPr>
        <w:t xml:space="preserve"> higher deductible</w:t>
      </w:r>
      <w:r w:rsidRPr="000F4C13" w:rsidR="00307FDD">
        <w:rPr>
          <w:rFonts w:eastAsia="Calibri" w:asciiTheme="majorHAnsi" w:hAnsiTheme="majorHAnsi" w:cstheme="majorHAnsi"/>
          <w:color w:val="000000"/>
        </w:rPr>
        <w:t>s</w:t>
      </w:r>
      <w:r w:rsidRPr="000F4C13">
        <w:rPr>
          <w:rFonts w:eastAsia="Calibri" w:asciiTheme="majorHAnsi" w:hAnsiTheme="majorHAnsi" w:cstheme="majorHAnsi"/>
          <w:color w:val="000000"/>
        </w:rPr>
        <w:t xml:space="preserve"> </w:t>
      </w:r>
      <w:r w:rsidRPr="000F4C13" w:rsidR="00307FDD">
        <w:rPr>
          <w:rFonts w:eastAsia="Calibri" w:asciiTheme="majorHAnsi" w:hAnsiTheme="majorHAnsi" w:cstheme="majorHAnsi"/>
          <w:color w:val="000000"/>
        </w:rPr>
        <w:t xml:space="preserve">risk </w:t>
      </w:r>
      <w:r w:rsidRPr="000F4C13" w:rsidR="00B6401C">
        <w:rPr>
          <w:rFonts w:eastAsia="Calibri" w:asciiTheme="majorHAnsi" w:hAnsiTheme="majorHAnsi" w:cstheme="majorHAnsi"/>
          <w:color w:val="000000"/>
        </w:rPr>
        <w:t>high costs if damage occurs, especially without sufficient coverage</w:t>
      </w:r>
      <w:r w:rsidRPr="000F4C13">
        <w:rPr>
          <w:rFonts w:eastAsia="Calibri" w:asciiTheme="majorHAnsi" w:hAnsiTheme="majorHAnsi" w:cstheme="majorHAnsi"/>
          <w:color w:val="000000"/>
        </w:rPr>
        <w:t xml:space="preserve">. </w:t>
      </w:r>
      <w:r w:rsidRPr="000F4C13" w:rsidR="00307FDD">
        <w:rPr>
          <w:rFonts w:eastAsia="Calibri" w:asciiTheme="majorHAnsi" w:hAnsiTheme="majorHAnsi" w:cstheme="majorHAnsi"/>
          <w:color w:val="000000"/>
        </w:rPr>
        <w:t xml:space="preserve">Unpredictable losses can strain household finances and cause debt.  </w:t>
      </w:r>
    </w:p>
    <w:p w:rsidRPr="000F4C13" w:rsidR="00C96053" w:rsidRDefault="00307FDD" w14:paraId="1D49C069" w14:textId="308A505F">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Higher deductibles also </w:t>
      </w:r>
      <w:r w:rsidRPr="000F4C13" w:rsidR="00760B38">
        <w:rPr>
          <w:rFonts w:eastAsia="Calibri" w:asciiTheme="majorHAnsi" w:hAnsiTheme="majorHAnsi" w:cstheme="majorHAnsi"/>
          <w:color w:val="000000"/>
        </w:rPr>
        <w:t xml:space="preserve">reduce </w:t>
      </w:r>
      <w:r w:rsidRPr="000F4C13">
        <w:rPr>
          <w:rFonts w:eastAsia="Calibri" w:asciiTheme="majorHAnsi" w:hAnsiTheme="majorHAnsi" w:cstheme="majorHAnsi"/>
          <w:color w:val="000000"/>
        </w:rPr>
        <w:t>the practical value of insurance for smaller claims</w:t>
      </w:r>
      <w:r w:rsidRPr="000F4C13" w:rsidR="00EA5458">
        <w:rPr>
          <w:rFonts w:eastAsia="Calibri" w:asciiTheme="majorHAnsi" w:hAnsiTheme="majorHAnsi" w:cstheme="majorHAnsi"/>
          <w:color w:val="000000"/>
        </w:rPr>
        <w:t xml:space="preserve">, as </w:t>
      </w:r>
      <w:r w:rsidRPr="000F4C13">
        <w:rPr>
          <w:rFonts w:eastAsia="Calibri" w:asciiTheme="majorHAnsi" w:hAnsiTheme="majorHAnsi" w:cstheme="majorHAnsi"/>
          <w:color w:val="000000"/>
        </w:rPr>
        <w:t xml:space="preserve">the insurer’s contribution </w:t>
      </w:r>
      <w:r w:rsidRPr="000F4C13" w:rsidR="00EA5458">
        <w:rPr>
          <w:rFonts w:eastAsia="Calibri" w:asciiTheme="majorHAnsi" w:hAnsiTheme="majorHAnsi" w:cstheme="majorHAnsi"/>
          <w:color w:val="000000"/>
        </w:rPr>
        <w:t xml:space="preserve">is </w:t>
      </w:r>
      <w:r w:rsidRPr="000F4C13">
        <w:rPr>
          <w:rFonts w:eastAsia="Calibri" w:asciiTheme="majorHAnsi" w:hAnsiTheme="majorHAnsi" w:cstheme="majorHAnsi"/>
          <w:color w:val="000000"/>
        </w:rPr>
        <w:t>minimal</w:t>
      </w:r>
      <w:r w:rsidRPr="000F4C13" w:rsidR="00EA5458">
        <w:rPr>
          <w:rFonts w:eastAsia="Calibri" w:asciiTheme="majorHAnsi" w:hAnsiTheme="majorHAnsi" w:cstheme="majorHAnsi"/>
          <w:color w:val="000000"/>
        </w:rPr>
        <w:t xml:space="preserve"> when repair costs only slightly exceed the </w:t>
      </w:r>
      <w:r w:rsidRPr="000F4C13" w:rsidR="00B6401C">
        <w:rPr>
          <w:rFonts w:eastAsia="Calibri" w:asciiTheme="majorHAnsi" w:hAnsiTheme="majorHAnsi" w:cstheme="majorHAnsi"/>
          <w:color w:val="000000"/>
        </w:rPr>
        <w:t>deductible. This</w:t>
      </w:r>
      <w:r w:rsidRPr="000F4C13">
        <w:rPr>
          <w:rFonts w:eastAsia="Calibri" w:asciiTheme="majorHAnsi" w:hAnsiTheme="majorHAnsi" w:cstheme="majorHAnsi"/>
          <w:color w:val="000000"/>
        </w:rPr>
        <w:t xml:space="preserve"> shifts coverage toward catastrophic events, </w:t>
      </w:r>
      <w:r w:rsidRPr="000F4C13" w:rsidR="00EA5458">
        <w:rPr>
          <w:rFonts w:eastAsia="Calibri" w:asciiTheme="majorHAnsi" w:hAnsiTheme="majorHAnsi" w:cstheme="majorHAnsi"/>
          <w:color w:val="000000"/>
        </w:rPr>
        <w:t xml:space="preserve">leaving </w:t>
      </w:r>
      <w:r w:rsidRPr="000F4C13">
        <w:rPr>
          <w:rFonts w:eastAsia="Calibri" w:asciiTheme="majorHAnsi" w:hAnsiTheme="majorHAnsi" w:cstheme="majorHAnsi"/>
          <w:color w:val="000000"/>
        </w:rPr>
        <w:t xml:space="preserve">routine risks such as water damage or burglary below the deductible. Some policyholders may hesitate to file claims </w:t>
      </w:r>
      <w:r w:rsidRPr="000F4C13" w:rsidR="00EA5458">
        <w:rPr>
          <w:rFonts w:eastAsia="Calibri" w:asciiTheme="majorHAnsi" w:hAnsiTheme="majorHAnsi" w:cstheme="majorHAnsi"/>
          <w:color w:val="000000"/>
        </w:rPr>
        <w:t xml:space="preserve">due to high </w:t>
      </w:r>
      <w:r w:rsidRPr="000F4C13">
        <w:rPr>
          <w:rFonts w:eastAsia="Calibri" w:asciiTheme="majorHAnsi" w:hAnsiTheme="majorHAnsi" w:cstheme="majorHAnsi"/>
          <w:color w:val="000000"/>
        </w:rPr>
        <w:t>deductible</w:t>
      </w:r>
      <w:r w:rsidRPr="000F4C13" w:rsidR="00EA5458">
        <w:rPr>
          <w:rFonts w:eastAsia="Calibri" w:asciiTheme="majorHAnsi" w:hAnsiTheme="majorHAnsi" w:cstheme="majorHAnsi"/>
          <w:color w:val="000000"/>
        </w:rPr>
        <w:t>s</w:t>
      </w:r>
      <w:r w:rsidRPr="000F4C13">
        <w:rPr>
          <w:rFonts w:eastAsia="Calibri" w:asciiTheme="majorHAnsi" w:hAnsiTheme="majorHAnsi" w:cstheme="majorHAnsi"/>
          <w:color w:val="000000"/>
        </w:rPr>
        <w:t xml:space="preserve">, </w:t>
      </w:r>
      <w:r w:rsidRPr="000F4C13" w:rsidR="00EA5458">
        <w:rPr>
          <w:rFonts w:eastAsia="Calibri" w:asciiTheme="majorHAnsi" w:hAnsiTheme="majorHAnsi" w:cstheme="majorHAnsi"/>
          <w:color w:val="000000"/>
        </w:rPr>
        <w:t xml:space="preserve">leading to </w:t>
      </w:r>
      <w:r w:rsidRPr="000F4C13">
        <w:rPr>
          <w:rFonts w:eastAsia="Calibri" w:asciiTheme="majorHAnsi" w:hAnsiTheme="majorHAnsi" w:cstheme="majorHAnsi"/>
          <w:color w:val="000000"/>
        </w:rPr>
        <w:t xml:space="preserve">delayed repairs or long-term disrepair.  </w:t>
      </w:r>
    </w:p>
    <w:p w:rsidRPr="000F4C13" w:rsidR="00444B36" w:rsidRDefault="00444B36" w14:paraId="2C38C2C0" w14:textId="079E1C20">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Choosing a deductible involves balancing premium savings with financial risk. A higher deductible can lower premiums and suit those with savings to cover it, especially if seeking protection mainly against major losses. It benefits policyholders facing rising premiums, allowing them to maintain coverage by paying less </w:t>
      </w:r>
      <w:r w:rsidRPr="000F4C13" w:rsidR="00602E71">
        <w:rPr>
          <w:rFonts w:eastAsia="Calibri" w:asciiTheme="majorHAnsi" w:hAnsiTheme="majorHAnsi" w:cstheme="majorHAnsi"/>
          <w:color w:val="000000"/>
        </w:rPr>
        <w:t>each month, but risking higher out-of-pocket costs if a claim occurs</w:t>
      </w:r>
      <w:r w:rsidRPr="000F4C13">
        <w:rPr>
          <w:rFonts w:eastAsia="Calibri" w:asciiTheme="majorHAnsi" w:hAnsiTheme="majorHAnsi" w:cstheme="majorHAnsi"/>
          <w:color w:val="000000"/>
        </w:rPr>
        <w:t xml:space="preserve">. However, a higher deductible requires enough savings to cover it, which may strain those with limited funds or higher risks. While it can be a useful cost-control measure, it widens the protection gap, meaning the amount of financial losses not fully covered by insurance. This shift can lead to underinsurance and greater financial strain </w:t>
      </w:r>
      <w:r w:rsidRPr="000F4C13" w:rsidR="00456228">
        <w:rPr>
          <w:rFonts w:eastAsia="Calibri" w:asciiTheme="majorHAnsi" w:hAnsiTheme="majorHAnsi" w:cstheme="majorHAnsi"/>
          <w:color w:val="000000"/>
        </w:rPr>
        <w:t>in the event of catastrophic events</w:t>
      </w:r>
      <w:r w:rsidRPr="000F4C13">
        <w:rPr>
          <w:rFonts w:eastAsia="Calibri" w:asciiTheme="majorHAnsi" w:hAnsiTheme="majorHAnsi" w:cstheme="majorHAnsi"/>
          <w:color w:val="000000"/>
        </w:rPr>
        <w:t>, highlighting the need to consider whether savings are worth the increased risk.</w:t>
      </w:r>
    </w:p>
    <w:p w:rsidRPr="000F4C13" w:rsidR="00C96053" w:rsidRDefault="00B2522B" w14:paraId="66531A15"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b/>
          <w:bCs/>
          <w:i/>
          <w:iCs/>
          <w:color w:val="000000"/>
          <w:u w:val="single"/>
        </w:rPr>
        <w:t>Percentage-based Deductibles:</w:t>
      </w:r>
      <w:r w:rsidRPr="000F4C13">
        <w:rPr>
          <w:rFonts w:eastAsia="Calibri" w:asciiTheme="majorHAnsi" w:hAnsiTheme="majorHAnsi" w:cstheme="majorHAnsi"/>
          <w:color w:val="000000"/>
        </w:rPr>
        <w:t xml:space="preserve"> A percentage-based deductible is a form of homeowners insurance deductible that is calculated as a percentage of the insured value of the home rather than as a fixed dollar amount. When a policyholder has this type of deductible, the amount they must pay out of pocket before insurance coverage applies is directly tied to the dwelling coverage limit. For instance, if a home is insured for $300,000 and the deductible is set at 2%, the policyholder would be responsible for $6,000 before the insurer contributes to the claim.</w:t>
      </w:r>
    </w:p>
    <w:p w:rsidRPr="000F4C13" w:rsidR="00C96053" w:rsidRDefault="00B2522B" w14:paraId="1D1C88EC"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Insurers often apply percentage-based deductibles to specific perils such as hurricanes, windstorms, or earthquakes, especially in regions where these risks are more prevalent. By requiring the policyholder to absorb a share of the loss proportional to the home’s value, insurers can better manage their exposure to widespread catastrophic damage while keeping premiums more affordable.</w:t>
      </w:r>
    </w:p>
    <w:p w:rsidRPr="000F4C13" w:rsidR="00C96053" w:rsidRDefault="00B2522B" w14:paraId="6ABD91C9"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For the policyholder, however, this arrangement can result in significantly higher out-of-pocket costs compared to a flat deductible. Because the deductible amount increases as the insured value of the home rises, policyholders with high-value properties may face substantial expenses in the event of a claim. This makes it essential for the policyholder to maintain adequate savings or financial flexibility to cover the deductible.</w:t>
      </w:r>
    </w:p>
    <w:p w:rsidRPr="000F4C13" w:rsidR="00C96053" w:rsidRDefault="00B2522B" w14:paraId="058EB3E0"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In practice, percentage-based deductibles typically range from 1% to 5% of the dwelling coverage, though higher percentages may be applied in areas facing more significant risk. Ultimately, this type of deductible allows the policyholder to benefit from lower premiums but requires careful consideration of their financial capacity to handle a potentially large deductible payment after a major loss.</w:t>
      </w:r>
    </w:p>
    <w:p w:rsidRPr="000F4C13" w:rsidR="00C96053" w:rsidRDefault="00B2522B" w14:paraId="4E974269"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When policyholders elect to take on a higher or percentage-based deductible, they are making a trade-off that reflects the growing shift of financial responsibility from insurers to households. Rising premiums and tightening insurance coverage terms often leave policyholders with little choice but to absorb more of the risk themselves in order to maintain affordable coverage. While this strategy can provide short-term relief from escalating insurance costs, it also deepens the protection gap by increasing the portion of losses that policyholders must bear directly. As a result, households may find that even with insurance in place, they remain vulnerable to significant financial strain when disaster strikes.</w:t>
      </w:r>
    </w:p>
    <w:p w:rsidRPr="000F4C13" w:rsidR="00C96053" w:rsidRDefault="00B2522B" w14:paraId="1BDB8C2A" w14:textId="77777777">
      <w:pPr>
        <w:pBdr>
          <w:top w:val="nil"/>
          <w:left w:val="nil"/>
          <w:bottom w:val="nil"/>
          <w:right w:val="nil"/>
          <w:between w:val="nil"/>
        </w:pBdr>
        <w:jc w:val="both"/>
        <w:rPr>
          <w:rFonts w:eastAsia="Calibri" w:asciiTheme="majorHAnsi" w:hAnsiTheme="majorHAnsi" w:cstheme="majorHAnsi"/>
          <w:b/>
          <w:bCs/>
          <w:i/>
          <w:iCs/>
          <w:color w:val="000000"/>
          <w:u w:val="single"/>
        </w:rPr>
      </w:pPr>
      <w:r w:rsidRPr="000F4C13">
        <w:rPr>
          <w:rFonts w:eastAsia="Calibri" w:asciiTheme="majorHAnsi" w:hAnsiTheme="majorHAnsi" w:cstheme="majorHAnsi"/>
          <w:b/>
          <w:bCs/>
          <w:i/>
          <w:iCs/>
          <w:color w:val="000000"/>
          <w:u w:val="single"/>
        </w:rPr>
        <w:t>Exclusions, Limitations, and Sublimits:</w:t>
      </w:r>
      <w:r w:rsidRPr="000F4C13">
        <w:rPr>
          <w:rFonts w:eastAsia="Calibri" w:asciiTheme="majorHAnsi" w:hAnsiTheme="majorHAnsi" w:cstheme="majorHAnsi"/>
          <w:color w:val="000000"/>
        </w:rPr>
        <w:t xml:space="preserve"> As some regions become more vulnerable to natural disasters and rising costs, insurers are trying to effectively manage their exposures. For example, some insurance companies are implementing risk management strategies that include reducing coverage through exclusions and sublimits.</w:t>
      </w:r>
    </w:p>
    <w:p w:rsidRPr="000F4C13" w:rsidR="00C96053" w:rsidRDefault="00B2522B" w14:paraId="509CEED0" w14:textId="1869AA5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Exclusions are being introduced to exclude exposures that </w:t>
      </w:r>
      <w:r w:rsidRPr="000F4C13" w:rsidR="00672357">
        <w:rPr>
          <w:rFonts w:eastAsia="Calibri" w:asciiTheme="majorHAnsi" w:hAnsiTheme="majorHAnsi" w:cstheme="majorHAnsi"/>
          <w:color w:val="000000"/>
        </w:rPr>
        <w:t xml:space="preserve">an </w:t>
      </w:r>
      <w:r w:rsidRPr="000F4C13">
        <w:rPr>
          <w:rFonts w:eastAsia="Calibri" w:asciiTheme="majorHAnsi" w:hAnsiTheme="majorHAnsi" w:cstheme="majorHAnsi"/>
          <w:color w:val="000000"/>
        </w:rPr>
        <w:t xml:space="preserve">insurer </w:t>
      </w:r>
      <w:r w:rsidRPr="000F4C13" w:rsidR="00175FF3">
        <w:rPr>
          <w:rFonts w:eastAsia="Calibri" w:asciiTheme="majorHAnsi" w:hAnsiTheme="majorHAnsi" w:cstheme="majorHAnsi"/>
          <w:color w:val="000000"/>
        </w:rPr>
        <w:t xml:space="preserve">does not wish to cover, such as policies that specifically exclude wildfire coverage, or that permit the insured the ability to exclude certain coverages from their policy, such as optional windstorm exclusions </w:t>
      </w:r>
      <w:r w:rsidRPr="000F4C13">
        <w:rPr>
          <w:rFonts w:eastAsia="Calibri" w:asciiTheme="majorHAnsi" w:hAnsiTheme="majorHAnsi" w:cstheme="majorHAnsi"/>
          <w:color w:val="000000"/>
        </w:rPr>
        <w:t xml:space="preserve">. </w:t>
      </w:r>
    </w:p>
    <w:p w:rsidRPr="000F4C13" w:rsidR="00C96053" w:rsidRDefault="00B2522B" w14:paraId="2F828D50" w14:textId="41B16908">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Sublimits are limitations </w:t>
      </w:r>
      <w:r w:rsidR="00085B20">
        <w:rPr>
          <w:rFonts w:eastAsia="Calibri" w:asciiTheme="majorHAnsi" w:hAnsiTheme="majorHAnsi" w:cstheme="majorHAnsi"/>
          <w:color w:val="000000"/>
        </w:rPr>
        <w:t>in a homeowner’s insurance policy that set</w:t>
      </w:r>
      <w:r w:rsidRPr="000F4C13">
        <w:rPr>
          <w:rFonts w:eastAsia="Calibri" w:asciiTheme="majorHAnsi" w:hAnsiTheme="majorHAnsi" w:cstheme="majorHAnsi"/>
          <w:color w:val="000000"/>
        </w:rPr>
        <w:t xml:space="preserve"> the maximum amount the insurer will pay for certain types of property in the event of a covered loss. While the policyholder’s overall coverage limit may seem sufficient, it’s essential to recognize that sublimits can significantly impact the ability to recover the full value of a covered exposure. </w:t>
      </w:r>
    </w:p>
    <w:p w:rsidRPr="000F4C13" w:rsidR="00C96053" w:rsidRDefault="00B2522B" w14:paraId="3E73F12E"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Educating policyholders to proactively review their coverage and coverage changes—both at the time of initial purchase and during policy renewal—can help prevent the shock of discovering coverage gaps only when filing a claim.</w:t>
      </w:r>
    </w:p>
    <w:p w:rsidRPr="000F4C13" w:rsidR="00C96053" w:rsidRDefault="00B2522B" w14:paraId="00F8579E" w14:textId="0579C946">
      <w:pPr>
        <w:pBdr>
          <w:top w:val="nil"/>
          <w:left w:val="nil"/>
          <w:bottom w:val="nil"/>
          <w:right w:val="nil"/>
          <w:between w:val="nil"/>
        </w:pBdr>
        <w:jc w:val="both"/>
        <w:rPr>
          <w:rFonts w:eastAsia="Calibri" w:asciiTheme="majorHAnsi" w:hAnsiTheme="majorHAnsi" w:cstheme="majorHAnsi"/>
          <w:b/>
          <w:bCs/>
          <w:i/>
          <w:iCs/>
          <w:color w:val="000000"/>
          <w:u w:val="single"/>
        </w:rPr>
      </w:pPr>
      <w:r w:rsidRPr="000F4C13">
        <w:rPr>
          <w:rFonts w:eastAsia="Calibri" w:asciiTheme="majorHAnsi" w:hAnsiTheme="majorHAnsi" w:cstheme="majorHAnsi"/>
          <w:b/>
          <w:bCs/>
          <w:i/>
          <w:iCs/>
          <w:color w:val="000000"/>
          <w:u w:val="single"/>
        </w:rPr>
        <w:t>Increased Premiums:</w:t>
      </w:r>
      <w:r w:rsidRPr="000F4C13">
        <w:rPr>
          <w:rFonts w:eastAsia="Calibri" w:asciiTheme="majorHAnsi" w:hAnsiTheme="majorHAnsi" w:cstheme="majorHAnsi"/>
          <w:color w:val="000000"/>
        </w:rPr>
        <w:t xml:space="preserve"> Policyholder premiums are increasing directly due to rising insurance rates. This increase is largely driven by a growing frequency and severity of claims, </w:t>
      </w:r>
      <w:r w:rsidR="00011232">
        <w:rPr>
          <w:rFonts w:eastAsia="Calibri" w:asciiTheme="majorHAnsi" w:hAnsiTheme="majorHAnsi" w:cstheme="majorHAnsi"/>
          <w:color w:val="000000"/>
        </w:rPr>
        <w:t>influenced by factors such as rising</w:t>
      </w:r>
      <w:r w:rsidRPr="000F4C13">
        <w:rPr>
          <w:rFonts w:eastAsia="Calibri" w:asciiTheme="majorHAnsi" w:hAnsiTheme="majorHAnsi" w:cstheme="majorHAnsi"/>
          <w:color w:val="000000"/>
        </w:rPr>
        <w:t xml:space="preserve"> claims costs, increased rebuilding costs, and economic inflation. Ultimately, policyholders share the burden of these costs imposed on the insurer.</w:t>
      </w:r>
    </w:p>
    <w:p w:rsidRPr="000F4C13" w:rsidR="00C96053" w:rsidRDefault="00B2522B" w14:paraId="5245FD12" w14:textId="77777777">
      <w:pPr>
        <w:pBdr>
          <w:top w:val="nil"/>
          <w:left w:val="nil"/>
          <w:bottom w:val="nil"/>
          <w:right w:val="nil"/>
          <w:between w:val="nil"/>
        </w:pBdr>
        <w:jc w:val="both"/>
        <w:rPr>
          <w:rFonts w:eastAsia="Calibri" w:asciiTheme="majorHAnsi" w:hAnsiTheme="majorHAnsi" w:cstheme="majorHAnsi"/>
          <w:b/>
          <w:bCs/>
          <w:i/>
          <w:iCs/>
          <w:color w:val="000000"/>
          <w:u w:val="single"/>
        </w:rPr>
      </w:pPr>
      <w:r w:rsidRPr="000F4C13">
        <w:rPr>
          <w:rFonts w:eastAsia="Calibri" w:asciiTheme="majorHAnsi" w:hAnsiTheme="majorHAnsi" w:cstheme="majorHAnsi"/>
          <w:b/>
          <w:bCs/>
          <w:i/>
          <w:iCs/>
          <w:color w:val="000000"/>
          <w:u w:val="single"/>
        </w:rPr>
        <w:t>Depreciation of Claims:</w:t>
      </w:r>
      <w:r w:rsidRPr="000F4C13">
        <w:rPr>
          <w:rFonts w:eastAsia="Calibri" w:asciiTheme="majorHAnsi" w:hAnsiTheme="majorHAnsi" w:cstheme="majorHAnsi"/>
          <w:color w:val="000000"/>
        </w:rPr>
        <w:t xml:space="preserve"> The depreciation of claims plays a significant role in shifting a greater share of the financial burden onto policyholders. Depreciation refers to the reduction in the value of an insured item over time due to age, wear and tear, or obsolescence. When a claim is filed, insurers often calculate payouts based on the item’s Actual Cash Value (ACV) rather than its Replacement Cost Value (RCV). Instead of receiving enough to replace the item with a new one, policyholders are compensated for the depreciated value, which is typically much lower.</w:t>
      </w:r>
    </w:p>
    <w:p w:rsidRPr="000F4C13" w:rsidR="00C96053" w:rsidRDefault="00B2522B" w14:paraId="620A8FFA" w14:textId="11AB8C5A">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This practice directly increases the policyholder’s share of the claim burden. Because the insurer pays out less, the policyholder must cover the difference between the depreciated payout and the actual cost to repair or replace the item. For example, if a ten-year-old roof is damaged in a storm, the insurer may only cover half the replacement cost due to depreciation. After factoring in the deductible, the policyholder could be responsible for more than half of the total </w:t>
      </w:r>
      <w:r w:rsidR="00011232">
        <w:rPr>
          <w:rFonts w:eastAsia="Calibri" w:asciiTheme="majorHAnsi" w:hAnsiTheme="majorHAnsi" w:cstheme="majorHAnsi"/>
          <w:color w:val="000000"/>
        </w:rPr>
        <w:t>cost, even with</w:t>
      </w:r>
      <w:r w:rsidRPr="000F4C13">
        <w:rPr>
          <w:rFonts w:eastAsia="Calibri" w:asciiTheme="majorHAnsi" w:hAnsiTheme="majorHAnsi" w:cstheme="majorHAnsi"/>
          <w:color w:val="000000"/>
        </w:rPr>
        <w:t xml:space="preserve"> insurance coverage.</w:t>
      </w:r>
    </w:p>
    <w:p w:rsidRPr="000F4C13" w:rsidR="00C96053" w:rsidRDefault="00B2522B" w14:paraId="4A425977"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This dynamic contributes to the widening of the protection gap—the difference between total economic losses and the portion that is insured. As depreciation reduces the effective value of coverage, policyholders may find themselves underinsured without realizing it. This can lead to affordability challenges, as individuals may be unable to cover the remaining costs or may choose to forgo necessary repairs. Over time, this erodes trust in insurance products and can discourage participation in the insurance market altogether.</w:t>
      </w:r>
    </w:p>
    <w:p w:rsidRPr="000F4C13" w:rsidR="00C96053" w:rsidRDefault="00B2522B" w14:paraId="6E6EF66E"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Policies that cover damaged property—such as homeowners, renters, or auto insurance—are typically marketed with a focus on peace of mind, financial protection, and restoration after loss. The messaging often emphasizes that insurance will help policyholders “get back to normal” or “replace what was lost,” which can create the impression that full replacement is guaranteed. However, the reality is more nuanced, and many consumers may not fully understand the limitations of their coverage.</w:t>
      </w:r>
    </w:p>
    <w:p w:rsidRPr="000F4C13" w:rsidR="00C96053" w:rsidRDefault="00B2522B" w14:paraId="31F0CFC0" w14:textId="51CC39C2">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While depreciation is a fair and standard actuarial practice, its impact on claim settlements can significantly increase </w:t>
      </w:r>
      <w:r w:rsidR="00011232">
        <w:rPr>
          <w:rFonts w:eastAsia="Calibri" w:asciiTheme="majorHAnsi" w:hAnsiTheme="majorHAnsi" w:cstheme="majorHAnsi"/>
          <w:color w:val="000000"/>
        </w:rPr>
        <w:t>policyholders' financial burden</w:t>
      </w:r>
      <w:r w:rsidRPr="000F4C13">
        <w:rPr>
          <w:rFonts w:eastAsia="Calibri" w:asciiTheme="majorHAnsi" w:hAnsiTheme="majorHAnsi" w:cstheme="majorHAnsi"/>
          <w:color w:val="000000"/>
        </w:rPr>
        <w:t>. This not only undermines the perceived value of insurance but also exacerbates existing protection gaps, particularly for vulnerable or lower-income policyholders.</w:t>
      </w:r>
    </w:p>
    <w:p w:rsidRPr="000F4C13" w:rsidR="00C96053" w:rsidRDefault="00B2522B" w14:paraId="7E5EC0E7" w14:textId="15940D1E">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b/>
          <w:bCs/>
          <w:i/>
          <w:iCs/>
          <w:color w:val="000000"/>
          <w:u w:val="single"/>
        </w:rPr>
        <w:t>Actual Cash Value (ACV) v. Replacement Cash Value (RCV):</w:t>
      </w:r>
      <w:r w:rsidRPr="000F4C13">
        <w:rPr>
          <w:rFonts w:eastAsia="Calibri" w:asciiTheme="majorHAnsi" w:hAnsiTheme="majorHAnsi" w:cstheme="majorHAnsi"/>
          <w:color w:val="000000"/>
        </w:rPr>
        <w:t xml:space="preserve"> The ratio of Replacement Cash Value policies </w:t>
      </w:r>
      <w:r w:rsidR="00BB768B">
        <w:rPr>
          <w:rFonts w:eastAsia="Calibri" w:asciiTheme="majorHAnsi" w:hAnsiTheme="majorHAnsi" w:cstheme="majorHAnsi"/>
          <w:color w:val="000000"/>
        </w:rPr>
        <w:t>to Actual Cash Value policies in a region may reveal</w:t>
      </w:r>
      <w:r w:rsidRPr="000F4C13">
        <w:rPr>
          <w:rFonts w:eastAsia="Calibri" w:asciiTheme="majorHAnsi" w:hAnsiTheme="majorHAnsi" w:cstheme="majorHAnsi"/>
          <w:color w:val="000000"/>
        </w:rPr>
        <w:t xml:space="preserve"> important market trends over time. </w:t>
      </w:r>
      <w:r w:rsidR="00BB768B">
        <w:rPr>
          <w:rFonts w:eastAsia="Calibri" w:asciiTheme="majorHAnsi" w:hAnsiTheme="majorHAnsi" w:cstheme="majorHAnsi"/>
          <w:color w:val="000000"/>
        </w:rPr>
        <w:t xml:space="preserve">Not all policies are the same, and they </w:t>
      </w:r>
      <w:r w:rsidRPr="000F4C13">
        <w:rPr>
          <w:rFonts w:eastAsia="Calibri" w:asciiTheme="majorHAnsi" w:hAnsiTheme="majorHAnsi" w:cstheme="majorHAnsi"/>
          <w:color w:val="000000"/>
        </w:rPr>
        <w:t xml:space="preserve">offer different levels of protection. Educating policyholders </w:t>
      </w:r>
      <w:r w:rsidR="00BB768B">
        <w:rPr>
          <w:rFonts w:eastAsia="Calibri" w:asciiTheme="majorHAnsi" w:hAnsiTheme="majorHAnsi" w:cstheme="majorHAnsi"/>
          <w:color w:val="000000"/>
        </w:rPr>
        <w:t xml:space="preserve">about the differences between ACV </w:t>
      </w:r>
      <w:r w:rsidRPr="000F4C13">
        <w:rPr>
          <w:rFonts w:eastAsia="Calibri" w:asciiTheme="majorHAnsi" w:hAnsiTheme="majorHAnsi" w:cstheme="majorHAnsi"/>
          <w:color w:val="000000"/>
        </w:rPr>
        <w:t xml:space="preserve">and RCV coverage can prevent unexpected out-of-pocket expenses when a claim occurs. Additional data that aligns the type of policy with catastrophe risk could provide insurance regulators with important information to inform consumer education initiatives. </w:t>
      </w:r>
    </w:p>
    <w:p w:rsidRPr="000F4C13" w:rsidR="00C96053" w:rsidRDefault="00B2522B" w14:paraId="141B5B0D"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Replacement Cash Value (RCV): Covers the cost to repair or replace damaged property without deducting for depreciation.</w:t>
      </w:r>
    </w:p>
    <w:p w:rsidRPr="000F4C13" w:rsidR="00C96053" w:rsidRDefault="00B2522B" w14:paraId="7880C262"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Actual Cash Value (ACV): Covers the depreciated cost to repair or replace the damaged property.  </w:t>
      </w:r>
    </w:p>
    <w:p w:rsidRPr="000F4C13" w:rsidR="00C96053" w:rsidRDefault="00B2522B" w14:paraId="7EAE206F" w14:textId="77777777">
      <w:pPr>
        <w:pStyle w:val="Heading5"/>
        <w:jc w:val="both"/>
        <w:rPr>
          <w:rFonts w:eastAsia="Calibri" w:asciiTheme="majorHAnsi" w:hAnsiTheme="majorHAnsi" w:cstheme="majorHAnsi"/>
        </w:rPr>
      </w:pPr>
      <w:bookmarkStart w:name="_zbtksxhbur29" w:colFirst="0" w:colLast="0" w:id="28"/>
      <w:bookmarkEnd w:id="28"/>
      <w:r w:rsidRPr="000F4C13">
        <w:rPr>
          <w:rFonts w:eastAsia="Calibri" w:asciiTheme="majorHAnsi" w:hAnsiTheme="majorHAnsi" w:cstheme="majorHAnsi"/>
        </w:rPr>
        <w:t>Expansion of Residual Markets and Growth of Surplus Lines Market</w:t>
      </w:r>
    </w:p>
    <w:p w:rsidRPr="000F4C13" w:rsidR="009C61F6" w:rsidRDefault="009C61F6" w14:paraId="7382EAB7" w14:textId="651D7C79">
      <w:pPr>
        <w:jc w:val="both"/>
        <w:rPr>
          <w:rFonts w:eastAsia="Calibri" w:asciiTheme="majorHAnsi" w:hAnsiTheme="majorHAnsi" w:cstheme="majorHAnsi"/>
        </w:rPr>
      </w:pPr>
      <w:r w:rsidRPr="000F4C13">
        <w:rPr>
          <w:rFonts w:eastAsia="Calibri" w:asciiTheme="majorHAnsi" w:hAnsiTheme="majorHAnsi" w:cstheme="majorHAnsi"/>
        </w:rPr>
        <w:t>Many U.S. states and territories have seen an expansion of residual markets and growth in surplus lines carriers. Thirty-three states in the United States have some form of FAIR plan, although the specific structure and regulations vary by state. Some states have a single state-run plan, while others have multiple plans operated by different insurance companies. The states that have their own FAIR plans include California, Florida, Hawaii, New York, and North Carolina, among others.”</w:t>
      </w:r>
      <w:r w:rsidRPr="000F4C13">
        <w:rPr>
          <w:rFonts w:eastAsia="Calibri" w:asciiTheme="majorHAnsi" w:hAnsiTheme="majorHAnsi" w:cstheme="majorHAnsi"/>
          <w:vertAlign w:val="superscript"/>
        </w:rPr>
        <w:footnoteReference w:id="84"/>
      </w:r>
      <w:r w:rsidRPr="000F4C13">
        <w:rPr>
          <w:rFonts w:eastAsia="Calibri" w:asciiTheme="majorHAnsi" w:hAnsiTheme="majorHAnsi" w:cstheme="majorHAnsi"/>
        </w:rPr>
        <w:t xml:space="preserve"> California experienced significant year-over-year increases in new and renewed FAIR Plan residential policies</w:t>
      </w:r>
      <w:r w:rsidRPr="000F4C13" w:rsidR="00E03D4A">
        <w:rPr>
          <w:rFonts w:eastAsia="Calibri" w:asciiTheme="majorHAnsi" w:hAnsiTheme="majorHAnsi" w:cstheme="majorHAnsi"/>
        </w:rPr>
        <w:t>, with an average annual growth rate of about 18.3% from 2018 to 2023, rising from 140,447 policies to 324,954</w:t>
      </w:r>
      <w:r w:rsidRPr="000F4C13">
        <w:rPr>
          <w:rFonts w:eastAsia="Calibri" w:asciiTheme="majorHAnsi" w:hAnsiTheme="majorHAnsi" w:cstheme="majorHAnsi"/>
        </w:rPr>
        <w:t>.</w:t>
      </w:r>
      <w:r w:rsidRPr="000F4C13">
        <w:rPr>
          <w:rFonts w:eastAsia="Calibri" w:asciiTheme="majorHAnsi" w:hAnsiTheme="majorHAnsi" w:cstheme="majorHAnsi"/>
          <w:vertAlign w:val="superscript"/>
        </w:rPr>
        <w:footnoteReference w:id="85"/>
      </w:r>
      <w:r w:rsidRPr="000F4C13">
        <w:rPr>
          <w:rFonts w:eastAsia="Calibri" w:asciiTheme="majorHAnsi" w:hAnsiTheme="majorHAnsi" w:cstheme="majorHAnsi"/>
        </w:rPr>
        <w:t xml:space="preserve"> A review of the NAIC U.S. Surplus Lines Market Share Reports shows that surplus lines premiums grew at an average rate of about 18.5% per year from 2018 to 2023, rising from about $50 billion to more than $116 billion over that period.</w:t>
      </w:r>
      <w:r w:rsidRPr="000F4C13">
        <w:rPr>
          <w:rFonts w:eastAsia="Calibri" w:asciiTheme="majorHAnsi" w:hAnsiTheme="majorHAnsi" w:cstheme="majorHAnsi"/>
          <w:vertAlign w:val="superscript"/>
        </w:rPr>
        <w:footnoteReference w:id="86"/>
      </w:r>
      <w:r w:rsidRPr="000F4C13">
        <w:rPr>
          <w:rFonts w:eastAsia="Calibri" w:asciiTheme="majorHAnsi" w:hAnsiTheme="majorHAnsi" w:cstheme="majorHAnsi"/>
        </w:rPr>
        <w:t xml:space="preserve">  </w:t>
      </w:r>
      <w:r w:rsidRPr="000F4C13" w:rsidR="00B2522B">
        <w:rPr>
          <w:rFonts w:eastAsia="Calibri" w:asciiTheme="majorHAnsi" w:hAnsiTheme="majorHAnsi" w:cstheme="majorHAnsi"/>
        </w:rPr>
        <w:t>Th</w:t>
      </w:r>
      <w:r w:rsidRPr="000F4C13">
        <w:rPr>
          <w:rFonts w:eastAsia="Calibri" w:asciiTheme="majorHAnsi" w:hAnsiTheme="majorHAnsi" w:cstheme="majorHAnsi"/>
        </w:rPr>
        <w:t>is</w:t>
      </w:r>
      <w:r w:rsidRPr="000F4C13" w:rsidR="00B2522B">
        <w:rPr>
          <w:rFonts w:eastAsia="Calibri" w:asciiTheme="majorHAnsi" w:hAnsiTheme="majorHAnsi" w:cstheme="majorHAnsi"/>
        </w:rPr>
        <w:t xml:space="preserve"> expansion and growth of surplus lines carriers reflect shifts within the homeowners insurance system</w:t>
      </w:r>
      <w:r w:rsidRPr="000F4C13" w:rsidR="00E03D4A">
        <w:rPr>
          <w:rFonts w:eastAsia="Calibri" w:asciiTheme="majorHAnsi" w:hAnsiTheme="majorHAnsi" w:cstheme="majorHAnsi"/>
        </w:rPr>
        <w:t>,</w:t>
      </w:r>
      <w:r w:rsidRPr="000F4C13" w:rsidR="00B2522B">
        <w:rPr>
          <w:rFonts w:eastAsia="Calibri" w:asciiTheme="majorHAnsi" w:hAnsiTheme="majorHAnsi" w:cstheme="majorHAnsi"/>
        </w:rPr>
        <w:t xml:space="preserve"> driven by </w:t>
      </w:r>
      <w:r w:rsidR="00BB768B">
        <w:rPr>
          <w:rFonts w:eastAsia="Calibri" w:asciiTheme="majorHAnsi" w:hAnsiTheme="majorHAnsi" w:cstheme="majorHAnsi"/>
        </w:rPr>
        <w:t>affordability and availability challenges</w:t>
      </w:r>
      <w:r w:rsidRPr="000F4C13" w:rsidR="00B2522B">
        <w:rPr>
          <w:rFonts w:eastAsia="Calibri" w:asciiTheme="majorHAnsi" w:hAnsiTheme="majorHAnsi" w:cstheme="majorHAnsi"/>
        </w:rPr>
        <w:t xml:space="preserve">. </w:t>
      </w:r>
    </w:p>
    <w:p w:rsidRPr="000F4C13" w:rsidR="00C96053" w:rsidRDefault="00B2522B" w14:paraId="791F45D2" w14:textId="5F720176">
      <w:pPr>
        <w:jc w:val="both"/>
        <w:rPr>
          <w:rFonts w:eastAsia="Calibri" w:asciiTheme="majorHAnsi" w:hAnsiTheme="majorHAnsi" w:cstheme="majorHAnsi"/>
        </w:rPr>
      </w:pPr>
      <w:r w:rsidRPr="000F4C13">
        <w:rPr>
          <w:rFonts w:eastAsia="Calibri" w:asciiTheme="majorHAnsi" w:hAnsiTheme="majorHAnsi" w:cstheme="majorHAnsi"/>
        </w:rPr>
        <w:t xml:space="preserve">As traditional private insurers scale back their presence in higher-risk regions, coverage through alternative avenues has become increasingly relevant. These alternatives may involve trade-offs that </w:t>
      </w:r>
      <w:r w:rsidRPr="000F4C13" w:rsidR="004F4BC7">
        <w:rPr>
          <w:rFonts w:eastAsia="Calibri" w:asciiTheme="majorHAnsi" w:hAnsiTheme="majorHAnsi" w:cstheme="majorHAnsi"/>
        </w:rPr>
        <w:t>increase the financial responsibility homeowners bear</w:t>
      </w:r>
      <w:r w:rsidRPr="000F4C13">
        <w:rPr>
          <w:rFonts w:eastAsia="Calibri" w:asciiTheme="majorHAnsi" w:hAnsiTheme="majorHAnsi" w:cstheme="majorHAnsi"/>
        </w:rPr>
        <w:t>. Such trade-</w:t>
      </w:r>
      <w:r w:rsidRPr="000F4C13" w:rsidR="006B1BF4">
        <w:rPr>
          <w:rFonts w:eastAsia="Calibri" w:asciiTheme="majorHAnsi" w:hAnsiTheme="majorHAnsi" w:cstheme="majorHAnsi"/>
        </w:rPr>
        <w:t>offs</w:t>
      </w:r>
      <w:r w:rsidRPr="000F4C13">
        <w:rPr>
          <w:rFonts w:eastAsia="Calibri" w:asciiTheme="majorHAnsi" w:hAnsiTheme="majorHAnsi" w:cstheme="majorHAnsi"/>
        </w:rPr>
        <w:t xml:space="preserve"> can include higher deductibles, narrower coverage, and reduced consumer protections. Over time, these evolving trends may contribute to a widening gap between insured losses and total economic damage, raising important questions about the adequacy and sustainability of </w:t>
      </w:r>
      <w:r w:rsidRPr="000F4C13" w:rsidR="004F4BC7">
        <w:rPr>
          <w:rFonts w:eastAsia="Calibri" w:asciiTheme="majorHAnsi" w:hAnsiTheme="majorHAnsi" w:cstheme="majorHAnsi"/>
        </w:rPr>
        <w:t>homeowners' protection</w:t>
      </w:r>
      <w:r w:rsidRPr="000F4C13">
        <w:rPr>
          <w:rFonts w:eastAsia="Calibri" w:asciiTheme="majorHAnsi" w:hAnsiTheme="majorHAnsi" w:cstheme="majorHAnsi"/>
        </w:rPr>
        <w:t>. The following sections examine how residual markets and surplus lines carriers are responding to these challenges and the implications for policyholders seeking coverage in today’s changing insurance landscape.</w:t>
      </w:r>
    </w:p>
    <w:p w:rsidRPr="000F4C13" w:rsidR="00C96053" w:rsidRDefault="00B2522B" w14:paraId="3FC6811A" w14:textId="02FCD284">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b/>
          <w:bCs/>
          <w:color w:val="000000"/>
        </w:rPr>
        <w:t>Residual Markets:</w:t>
      </w:r>
      <w:r w:rsidRPr="000F4C13">
        <w:rPr>
          <w:rFonts w:eastAsia="Calibri" w:asciiTheme="majorHAnsi" w:hAnsiTheme="majorHAnsi" w:cstheme="majorHAnsi"/>
          <w:b/>
          <w:bCs/>
        </w:rPr>
        <w:t xml:space="preserve"> </w:t>
      </w:r>
      <w:r w:rsidRPr="000F4C13">
        <w:rPr>
          <w:rFonts w:eastAsia="Calibri" w:asciiTheme="majorHAnsi" w:hAnsiTheme="majorHAnsi" w:cstheme="majorHAnsi"/>
          <w:color w:val="000000"/>
        </w:rPr>
        <w:t xml:space="preserve">Residual markets provide insurance to consumers who cannot obtain coverage in the private admitted market because of high risk or special needs. Usually run by state governments or regulators, they include programs such as FAIR Plans and last-resort insurers to fill gaps when private insurers withdraw or limit coverage. Residual markets are seeing rapid </w:t>
      </w:r>
      <w:r w:rsidRPr="000F4C13" w:rsidR="00E4576E">
        <w:rPr>
          <w:rFonts w:eastAsia="Calibri" w:asciiTheme="majorHAnsi" w:hAnsiTheme="majorHAnsi" w:cstheme="majorHAnsi"/>
          <w:color w:val="000000"/>
        </w:rPr>
        <w:t>enrollment growth</w:t>
      </w:r>
      <w:r w:rsidRPr="000F4C13">
        <w:rPr>
          <w:rFonts w:eastAsia="Calibri" w:asciiTheme="majorHAnsi" w:hAnsiTheme="majorHAnsi" w:cstheme="majorHAnsi"/>
          <w:color w:val="000000"/>
        </w:rPr>
        <w:t>, particularly in regions where insurers are withdrawing due to higher catastrophe losses and reinsurance costs. While residual markets ensure that coverage remains available, they often provide narrower protection at higher premiums, leaving policyholders more financially exposed and contributing to the widening protection gap.</w:t>
      </w:r>
    </w:p>
    <w:p w:rsidRPr="000F4C13" w:rsidR="00C96053" w:rsidRDefault="00B2522B" w14:paraId="3D538701" w14:textId="2534A6E0">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b/>
          <w:bCs/>
          <w:color w:val="000000"/>
        </w:rPr>
        <w:t xml:space="preserve">Surplus Lines Market: </w:t>
      </w:r>
      <w:r w:rsidRPr="000F4C13">
        <w:rPr>
          <w:rFonts w:eastAsia="Calibri" w:asciiTheme="majorHAnsi" w:hAnsiTheme="majorHAnsi" w:cstheme="majorHAnsi"/>
          <w:color w:val="000000"/>
        </w:rPr>
        <w:t xml:space="preserve">The surplus lines market provides insurance for high-risk, unique, or emerging exposures that admitted private insurers are unwilling to cover. This market is essential for ensuring that coverage remains available for challenging or unconventional risks. The specialized insurers that make up the surplus lines market </w:t>
      </w:r>
      <w:r w:rsidRPr="000F4C13" w:rsidR="002B5650">
        <w:rPr>
          <w:rFonts w:eastAsia="Calibri" w:asciiTheme="majorHAnsi" w:hAnsiTheme="majorHAnsi" w:cstheme="majorHAnsi"/>
          <w:color w:val="000000"/>
        </w:rPr>
        <w:t xml:space="preserve">can offer more flexible policies for challenging risks because they operate outside </w:t>
      </w:r>
      <w:r w:rsidRPr="000F4C13">
        <w:rPr>
          <w:rFonts w:eastAsia="Calibri" w:asciiTheme="majorHAnsi" w:hAnsiTheme="majorHAnsi" w:cstheme="majorHAnsi"/>
          <w:color w:val="000000"/>
        </w:rPr>
        <w:t xml:space="preserve">state regulations. While they are a small part of the homeowners insurance market, they serve an important role in ensuring access to coverage in catastrophe areas where main carriers withdraw. However, insurance coverage through the surplus lines market also provides consumers with fewer protections and </w:t>
      </w:r>
      <w:r w:rsidRPr="000F4C13" w:rsidR="00E67462">
        <w:rPr>
          <w:rFonts w:eastAsia="Calibri" w:asciiTheme="majorHAnsi" w:hAnsiTheme="majorHAnsi" w:cstheme="majorHAnsi"/>
          <w:color w:val="000000"/>
        </w:rPr>
        <w:t>greater financial risk, as</w:t>
      </w:r>
      <w:r w:rsidRPr="000F4C13">
        <w:rPr>
          <w:rFonts w:eastAsia="Calibri" w:asciiTheme="majorHAnsi" w:hAnsiTheme="majorHAnsi" w:cstheme="majorHAnsi"/>
          <w:color w:val="000000"/>
        </w:rPr>
        <w:t xml:space="preserve"> surplus lines policies are not backed by guaranty funds. </w:t>
      </w:r>
    </w:p>
    <w:p w:rsidRPr="000F4C13" w:rsidR="00C96053" w:rsidRDefault="00B2522B" w14:paraId="486F12EB" w14:textId="77777777">
      <w:pPr>
        <w:pStyle w:val="Heading5"/>
        <w:jc w:val="both"/>
        <w:rPr>
          <w:rFonts w:eastAsia="Calibri" w:asciiTheme="majorHAnsi" w:hAnsiTheme="majorHAnsi" w:cstheme="majorHAnsi"/>
        </w:rPr>
      </w:pPr>
      <w:bookmarkStart w:name="_8ugrm6n1mbxo" w:colFirst="0" w:colLast="0" w:id="29"/>
      <w:bookmarkEnd w:id="29"/>
      <w:r w:rsidRPr="000F4C13">
        <w:rPr>
          <w:rFonts w:eastAsia="Calibri" w:asciiTheme="majorHAnsi" w:hAnsiTheme="majorHAnsi" w:cstheme="majorHAnsi"/>
        </w:rPr>
        <w:t>Interconnectedness of Homeowners Insurance and Related Markets</w:t>
      </w:r>
    </w:p>
    <w:p w:rsidRPr="000F4C13" w:rsidR="00C96053" w:rsidRDefault="00B2522B" w14:paraId="6835AE3D"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Homeowners’ insurance availability and affordability challenges directly and often abruptly affect consumers by raising costs, limiting access to coverage, and creating ripple effects across housing, rental, and local economic markets. For existing homeowners, access to insurance is essential to protect what is often their largest and most important asset—their home. For prospective buyers, insurance is equally critical, as lenders generally require coverage before approving a mortgage. Without insurance, many households are unable to purchase homes, thereby undermining opportunities to build generational wealth. When insurance options become scarce or unaffordable, real estate transactions may stall, and the pace of new housing development slows. This dynamic exacerbates the State’s already critical housing shortage, as fewer homes are bought, sold, or built.</w:t>
      </w:r>
    </w:p>
    <w:p w:rsidRPr="000F4C13" w:rsidR="00C96053" w:rsidRDefault="00B2522B" w14:paraId="6E6A5770"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The tightening availability and affordability of homeowners’ insurance also affect property values and mortgage accessibility. Rising premiums and policy nonrenewals can make homes more difficult to finance, while declining affordability can depress property values. Falling values, in turn, affect local economies by reducing property tax revenues and straining government budgets that rely on real estate activity. Instability in the insurance market further impacts renters, as landlords pass on higher insurance costs through increased rents, adding pressure to already strained rental markets.</w:t>
      </w:r>
    </w:p>
    <w:p w:rsidRPr="000F4C13" w:rsidR="00C96053" w:rsidRDefault="00B2522B" w14:paraId="00A95881"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 xml:space="preserve">Local governments and communities are ultimately affected by fluctuations in insurance availability and affordability within their jurisdictions. Examples include declining home values linked to insurance affordability issues, which can ripple through local economies, slowing construction, reducing employment, and weakening consumer spending. Communities reliant on real estate and construction face particular vulnerability, as reduced activity undermines economic stability and municipal budgets. In Colorado, for example, affordable housing initiatives such as </w:t>
      </w:r>
      <w:r w:rsidRPr="000F4C13">
        <w:rPr>
          <w:rFonts w:eastAsia="Calibri" w:asciiTheme="majorHAnsi" w:hAnsiTheme="majorHAnsi" w:cstheme="majorHAnsi"/>
          <w:b/>
          <w:bCs/>
          <w:color w:val="000000"/>
        </w:rPr>
        <w:t>Proposition 123</w:t>
      </w:r>
      <w:r w:rsidRPr="000F4C13">
        <w:rPr>
          <w:rFonts w:eastAsia="Calibri" w:asciiTheme="majorHAnsi" w:hAnsiTheme="majorHAnsi" w:cstheme="majorHAnsi"/>
          <w:color w:val="000000"/>
        </w:rPr>
        <w:t xml:space="preserve"> have expanded state investment in affordable housing, but rising insurance costs compound financial pressures for developers and landlords.</w:t>
      </w:r>
      <w:r w:rsidRPr="000F4C13">
        <w:rPr>
          <w:rFonts w:eastAsia="Calibri" w:asciiTheme="majorHAnsi" w:hAnsiTheme="majorHAnsi" w:cstheme="majorHAnsi"/>
          <w:color w:val="000000"/>
          <w:vertAlign w:val="superscript"/>
        </w:rPr>
        <w:footnoteReference w:id="87"/>
      </w:r>
      <w:r w:rsidRPr="000F4C13">
        <w:rPr>
          <w:rFonts w:eastAsia="Calibri" w:asciiTheme="majorHAnsi" w:hAnsiTheme="majorHAnsi" w:cstheme="majorHAnsi"/>
          <w:color w:val="000000"/>
        </w:rPr>
        <w:t xml:space="preserve"> These costs make affordable housing projects more difficult to finance and sustain, limiting the effectiveness of policy interventions aimed at addressing the housing crisis.</w:t>
      </w:r>
    </w:p>
    <w:p w:rsidRPr="000F4C13" w:rsidR="00C96053" w:rsidRDefault="00B2522B" w14:paraId="7BB5073B" w14:textId="77777777">
      <w:pPr>
        <w:pBdr>
          <w:top w:val="nil"/>
          <w:left w:val="nil"/>
          <w:bottom w:val="nil"/>
          <w:right w:val="nil"/>
          <w:between w:val="nil"/>
        </w:pBdr>
        <w:jc w:val="both"/>
        <w:rPr>
          <w:rFonts w:eastAsia="Calibri" w:asciiTheme="majorHAnsi" w:hAnsiTheme="majorHAnsi" w:cstheme="majorHAnsi"/>
          <w:color w:val="000000"/>
        </w:rPr>
      </w:pPr>
      <w:r w:rsidRPr="000F4C13">
        <w:rPr>
          <w:rFonts w:eastAsia="Calibri" w:asciiTheme="majorHAnsi" w:hAnsiTheme="majorHAnsi" w:cstheme="majorHAnsi"/>
          <w:color w:val="000000"/>
        </w:rPr>
        <w:t>Ultimately, homeowners’ insurance challenges are not isolated to individual households—they reverberate across property markets, rental housing, local economies, and government budgets. As premiums rise and availability tightens, consumers face higher costs, reduced access to mortgages, and declining property values. Renters absorb costs passed down by landlords, while affordable housing initiatives struggle against mounting financial pressures. These interconnected impacts underscore the urgent need to reassess risk management and underwriting strategies nationwide to ensure insurance remains a viable tool in protecting households, enabling homeownership, and supporting housing development.</w:t>
      </w:r>
    </w:p>
    <w:p w:rsidR="00C96053" w:rsidRDefault="00C96053" w14:paraId="6AE34F61" w14:textId="77777777">
      <w:pPr>
        <w:pBdr>
          <w:top w:val="nil"/>
          <w:left w:val="nil"/>
          <w:bottom w:val="nil"/>
          <w:right w:val="nil"/>
          <w:between w:val="nil"/>
        </w:pBdr>
        <w:jc w:val="both"/>
        <w:rPr>
          <w:rFonts w:eastAsia="Calibri" w:asciiTheme="majorHAnsi" w:hAnsiTheme="majorHAnsi" w:cstheme="majorHAnsi"/>
        </w:rPr>
      </w:pPr>
    </w:p>
    <w:p w:rsidR="000D1082" w:rsidRDefault="000D1082" w14:paraId="07C33754" w14:textId="77777777">
      <w:pPr>
        <w:pBdr>
          <w:top w:val="nil"/>
          <w:left w:val="nil"/>
          <w:bottom w:val="nil"/>
          <w:right w:val="nil"/>
          <w:between w:val="nil"/>
        </w:pBdr>
        <w:jc w:val="both"/>
        <w:rPr>
          <w:rFonts w:eastAsia="Calibri" w:asciiTheme="majorHAnsi" w:hAnsiTheme="majorHAnsi" w:cstheme="majorHAnsi"/>
        </w:rPr>
      </w:pPr>
    </w:p>
    <w:p w:rsidR="000D1082" w:rsidRDefault="000D1082" w14:paraId="7347EAE5" w14:textId="77777777">
      <w:pPr>
        <w:pBdr>
          <w:top w:val="nil"/>
          <w:left w:val="nil"/>
          <w:bottom w:val="nil"/>
          <w:right w:val="nil"/>
          <w:between w:val="nil"/>
        </w:pBdr>
        <w:jc w:val="both"/>
        <w:rPr>
          <w:rFonts w:eastAsia="Calibri" w:asciiTheme="majorHAnsi" w:hAnsiTheme="majorHAnsi" w:cstheme="majorHAnsi"/>
        </w:rPr>
      </w:pPr>
    </w:p>
    <w:p w:rsidR="000D1082" w:rsidRDefault="000D1082" w14:paraId="2F0A43CA" w14:textId="77777777">
      <w:pPr>
        <w:pBdr>
          <w:top w:val="nil"/>
          <w:left w:val="nil"/>
          <w:bottom w:val="nil"/>
          <w:right w:val="nil"/>
          <w:between w:val="nil"/>
        </w:pBdr>
        <w:jc w:val="both"/>
        <w:rPr>
          <w:rFonts w:eastAsia="Calibri" w:asciiTheme="majorHAnsi" w:hAnsiTheme="majorHAnsi" w:cstheme="majorHAnsi"/>
        </w:rPr>
      </w:pPr>
    </w:p>
    <w:p w:rsidR="000D1082" w:rsidRDefault="000D1082" w14:paraId="5E106F33" w14:textId="77777777">
      <w:pPr>
        <w:pBdr>
          <w:top w:val="nil"/>
          <w:left w:val="nil"/>
          <w:bottom w:val="nil"/>
          <w:right w:val="nil"/>
          <w:between w:val="nil"/>
        </w:pBdr>
        <w:jc w:val="both"/>
        <w:rPr>
          <w:rFonts w:eastAsia="Calibri" w:asciiTheme="majorHAnsi" w:hAnsiTheme="majorHAnsi" w:cstheme="majorHAnsi"/>
        </w:rPr>
      </w:pPr>
    </w:p>
    <w:p w:rsidR="000D1082" w:rsidRDefault="000D1082" w14:paraId="4BBBA211" w14:textId="77777777">
      <w:pPr>
        <w:pBdr>
          <w:top w:val="nil"/>
          <w:left w:val="nil"/>
          <w:bottom w:val="nil"/>
          <w:right w:val="nil"/>
          <w:between w:val="nil"/>
        </w:pBdr>
        <w:jc w:val="both"/>
        <w:rPr>
          <w:rFonts w:eastAsia="Calibri" w:asciiTheme="majorHAnsi" w:hAnsiTheme="majorHAnsi" w:cstheme="majorHAnsi"/>
        </w:rPr>
      </w:pPr>
    </w:p>
    <w:p w:rsidR="000D1082" w:rsidRDefault="000D1082" w14:paraId="16142FD7" w14:textId="77777777">
      <w:pPr>
        <w:pBdr>
          <w:top w:val="nil"/>
          <w:left w:val="nil"/>
          <w:bottom w:val="nil"/>
          <w:right w:val="nil"/>
          <w:between w:val="nil"/>
        </w:pBdr>
        <w:jc w:val="both"/>
        <w:rPr>
          <w:rFonts w:eastAsia="Calibri" w:asciiTheme="majorHAnsi" w:hAnsiTheme="majorHAnsi" w:cstheme="majorHAnsi"/>
        </w:rPr>
      </w:pPr>
    </w:p>
    <w:p w:rsidR="000D1082" w:rsidRDefault="000D1082" w14:paraId="74BF9654" w14:textId="77777777">
      <w:pPr>
        <w:pBdr>
          <w:top w:val="nil"/>
          <w:left w:val="nil"/>
          <w:bottom w:val="nil"/>
          <w:right w:val="nil"/>
          <w:between w:val="nil"/>
        </w:pBdr>
        <w:jc w:val="both"/>
        <w:rPr>
          <w:rFonts w:eastAsia="Calibri" w:asciiTheme="majorHAnsi" w:hAnsiTheme="majorHAnsi" w:cstheme="majorHAnsi"/>
        </w:rPr>
      </w:pPr>
    </w:p>
    <w:p w:rsidRPr="000F4C13" w:rsidR="000D1082" w:rsidRDefault="000D1082" w14:paraId="46C89E3F" w14:textId="77777777">
      <w:pPr>
        <w:pBdr>
          <w:top w:val="nil"/>
          <w:left w:val="nil"/>
          <w:bottom w:val="nil"/>
          <w:right w:val="nil"/>
          <w:between w:val="nil"/>
        </w:pBdr>
        <w:jc w:val="both"/>
        <w:rPr>
          <w:rFonts w:eastAsia="Calibri" w:asciiTheme="majorHAnsi" w:hAnsiTheme="majorHAnsi" w:cstheme="majorHAnsi"/>
        </w:rPr>
      </w:pPr>
    </w:p>
    <w:p w:rsidRPr="000F4C13" w:rsidR="00C96053" w:rsidRDefault="00B2522B" w14:paraId="2D6925AA" w14:textId="77777777">
      <w:pPr>
        <w:pStyle w:val="Heading2"/>
        <w:spacing w:after="0"/>
        <w:rPr>
          <w:rFonts w:asciiTheme="majorHAnsi" w:hAnsiTheme="majorHAnsi" w:cstheme="majorHAnsi"/>
        </w:rPr>
      </w:pPr>
      <w:bookmarkStart w:name="_ebajxjmd3j9p" w:colFirst="0" w:colLast="0" w:id="30"/>
      <w:bookmarkEnd w:id="30"/>
      <w:r w:rsidRPr="000F4C13">
        <w:rPr>
          <w:rFonts w:asciiTheme="majorHAnsi" w:hAnsiTheme="majorHAnsi" w:cstheme="majorHAnsi"/>
        </w:rPr>
        <w:t>Part 2: Peril-Specific State Innovation and Action</w:t>
      </w:r>
    </w:p>
    <w:p w:rsidRPr="000F4C13" w:rsidR="00C96053" w:rsidRDefault="00C96053" w14:paraId="35D6B41D" w14:textId="77777777">
      <w:pPr>
        <w:spacing w:after="120"/>
        <w:jc w:val="both"/>
        <w:rPr>
          <w:rFonts w:eastAsia="Calibri" w:asciiTheme="majorHAnsi" w:hAnsiTheme="majorHAnsi" w:cstheme="majorHAnsi"/>
          <w:b/>
          <w:bCs/>
        </w:rPr>
      </w:pPr>
    </w:p>
    <w:p w:rsidRPr="000F4C13" w:rsidR="00C96053" w:rsidRDefault="00B2522B" w14:paraId="08C88FB6" w14:textId="77777777">
      <w:pPr>
        <w:pStyle w:val="Heading3"/>
        <w:spacing w:after="120"/>
        <w:rPr>
          <w:rFonts w:asciiTheme="majorHAnsi" w:hAnsiTheme="majorHAnsi" w:cstheme="majorHAnsi"/>
        </w:rPr>
      </w:pPr>
      <w:bookmarkStart w:name="_7njn7or58dap" w:colFirst="0" w:colLast="0" w:id="31"/>
      <w:bookmarkEnd w:id="31"/>
      <w:r w:rsidRPr="000F4C13">
        <w:rPr>
          <w:rFonts w:asciiTheme="majorHAnsi" w:hAnsiTheme="majorHAnsi" w:cstheme="majorHAnsi"/>
        </w:rPr>
        <w:t>Overview of Part 2</w:t>
      </w:r>
    </w:p>
    <w:p w:rsidRPr="000F4C13" w:rsidR="0091249B" w:rsidP="00E67462" w:rsidRDefault="00177EE7" w14:paraId="7918F019" w14:textId="09111C1A">
      <w:pPr>
        <w:jc w:val="both"/>
        <w:rPr>
          <w:rFonts w:eastAsia="Calibri" w:asciiTheme="majorHAnsi" w:hAnsiTheme="majorHAnsi" w:cstheme="majorHAnsi"/>
          <w:color w:val="0064A8"/>
          <w:lang w:val="en-US"/>
        </w:rPr>
      </w:pPr>
      <w:r w:rsidRPr="000F4C13">
        <w:rPr>
          <w:rFonts w:eastAsia="Calibri" w:asciiTheme="majorHAnsi" w:hAnsiTheme="majorHAnsi" w:cstheme="majorHAnsi"/>
        </w:rPr>
        <w:t xml:space="preserve">Part 2 highlights strategies that policymakers can potentially replicate to improve the affordability and availability of homeowners' insurance in their states. It starts </w:t>
      </w:r>
      <w:r w:rsidRPr="000F4C13" w:rsidR="00BB7349">
        <w:rPr>
          <w:rFonts w:eastAsia="Calibri" w:asciiTheme="majorHAnsi" w:hAnsiTheme="majorHAnsi" w:cstheme="majorHAnsi"/>
        </w:rPr>
        <w:t>with</w:t>
      </w:r>
      <w:r w:rsidRPr="000F4C13">
        <w:rPr>
          <w:rFonts w:eastAsia="Calibri" w:asciiTheme="majorHAnsi" w:hAnsiTheme="majorHAnsi" w:cstheme="majorHAnsi"/>
        </w:rPr>
        <w:t xml:space="preserve"> describing cross-peril strategies that apply to all types of hazards. It then outlines peril-specific strategies used by participating states. The emphasis is on strategies used by these states, aiming to provide useful ideas for other states to adopt. These profiles show how different jurisdictions face similar challenges while </w:t>
      </w:r>
      <w:r w:rsidRPr="000F4C13" w:rsidR="00990349">
        <w:rPr>
          <w:rFonts w:eastAsia="Calibri" w:asciiTheme="majorHAnsi" w:hAnsiTheme="majorHAnsi" w:cstheme="majorHAnsi"/>
        </w:rPr>
        <w:t>tailoring solutions to</w:t>
      </w:r>
      <w:r w:rsidRPr="000F4C13">
        <w:rPr>
          <w:rFonts w:eastAsia="Calibri" w:asciiTheme="majorHAnsi" w:hAnsiTheme="majorHAnsi" w:cstheme="majorHAnsi"/>
        </w:rPr>
        <w:t xml:space="preserve"> local risk conditions, regulations, and market factors. Overall, these profiles offer insights into how protection gaps form, how they differ across hazards and regions, and how proactive regulatory and policy measures can reduce their effects on consumers, housing markets, and community resilience.</w:t>
      </w:r>
      <w:r w:rsidRPr="000F4C13" w:rsidR="00873EDC">
        <w:rPr>
          <w:rFonts w:eastAsia="Calibri" w:asciiTheme="majorHAnsi" w:hAnsiTheme="majorHAnsi" w:cstheme="majorHAnsi"/>
        </w:rPr>
        <w:t xml:space="preserve"> </w:t>
      </w:r>
    </w:p>
    <w:p w:rsidRPr="000F4C13" w:rsidR="002A5243" w:rsidP="002A5243" w:rsidRDefault="0035069D" w14:paraId="5D66E066" w14:textId="77777777">
      <w:pPr>
        <w:jc w:val="both"/>
        <w:rPr>
          <w:rFonts w:eastAsia="Calibri" w:asciiTheme="majorHAnsi" w:hAnsiTheme="majorHAnsi" w:cstheme="majorHAnsi"/>
        </w:rPr>
      </w:pPr>
      <w:bookmarkStart w:name="_5cifivhm9cg1" w:colFirst="0" w:colLast="0" w:id="32"/>
      <w:bookmarkEnd w:id="32"/>
      <w:r>
        <w:rPr>
          <w:rFonts w:asciiTheme="majorHAnsi" w:hAnsiTheme="majorHAnsi" w:cstheme="majorHAnsi"/>
        </w:rPr>
        <w:pict w14:anchorId="0C636D5A">
          <v:rect id="_x0000_i1029" style="width:0;height:1.5pt" o:hr="t" o:hrstd="t" o:hralign="center" fillcolor="#a0a0a0" stroked="f"/>
        </w:pict>
      </w:r>
    </w:p>
    <w:p w:rsidRPr="000F4C13" w:rsidR="00C96053" w:rsidRDefault="00B2522B" w14:paraId="574100E0" w14:textId="5CABF8B7">
      <w:pPr>
        <w:pStyle w:val="Heading3"/>
        <w:spacing w:after="120"/>
        <w:rPr>
          <w:rFonts w:asciiTheme="majorHAnsi" w:hAnsiTheme="majorHAnsi" w:cstheme="majorHAnsi"/>
        </w:rPr>
      </w:pPr>
      <w:r w:rsidRPr="000F4C13">
        <w:rPr>
          <w:rFonts w:asciiTheme="majorHAnsi" w:hAnsiTheme="majorHAnsi" w:cstheme="majorHAnsi"/>
        </w:rPr>
        <w:t xml:space="preserve">Cross-Peril Strategies </w:t>
      </w:r>
    </w:p>
    <w:p w:rsidRPr="000F4C13" w:rsidR="00C96053" w:rsidRDefault="00B2522B" w14:paraId="73CB7D6B" w14:textId="77777777">
      <w:pPr>
        <w:pStyle w:val="Heading3"/>
        <w:rPr>
          <w:rFonts w:asciiTheme="majorHAnsi" w:hAnsiTheme="majorHAnsi" w:cstheme="majorHAnsi"/>
        </w:rPr>
      </w:pPr>
      <w:bookmarkStart w:name="_7u1xrl9iurgu" w:colFirst="0" w:colLast="0" w:id="33"/>
      <w:bookmarkEnd w:id="33"/>
      <w:r w:rsidRPr="000F4C13">
        <w:rPr>
          <w:rFonts w:asciiTheme="majorHAnsi" w:hAnsiTheme="majorHAnsi" w:cstheme="majorHAnsi"/>
        </w:rPr>
        <w:t>Tort Reform</w:t>
      </w:r>
    </w:p>
    <w:p w:rsidRPr="000F4C13" w:rsidR="00C96053" w:rsidRDefault="00B2522B" w14:paraId="60976F39" w14:textId="143CEA99">
      <w:pPr>
        <w:jc w:val="both"/>
        <w:rPr>
          <w:rFonts w:eastAsia="Calibri" w:asciiTheme="majorHAnsi" w:hAnsiTheme="majorHAnsi" w:cstheme="majorHAnsi"/>
        </w:rPr>
      </w:pPr>
      <w:r w:rsidRPr="000F4C13">
        <w:rPr>
          <w:rFonts w:eastAsia="Calibri" w:asciiTheme="majorHAnsi" w:hAnsiTheme="majorHAnsi" w:cstheme="majorHAnsi"/>
        </w:rPr>
        <w:t xml:space="preserve">Some states where litigation costs and legal uncertainties are driving up premiums and reducing insurer participation have enacted tort reform. Measures </w:t>
      </w:r>
      <w:r w:rsidRPr="000F4C13" w:rsidR="00C96B99">
        <w:rPr>
          <w:rFonts w:eastAsia="Calibri" w:asciiTheme="majorHAnsi" w:hAnsiTheme="majorHAnsi" w:cstheme="majorHAnsi"/>
        </w:rPr>
        <w:t>such as adjusting standards for bad-faith claims, changing attorney-fee</w:t>
      </w:r>
      <w:r w:rsidRPr="000F4C13">
        <w:rPr>
          <w:rFonts w:eastAsia="Calibri" w:asciiTheme="majorHAnsi" w:hAnsiTheme="majorHAnsi" w:cstheme="majorHAnsi"/>
        </w:rPr>
        <w:t xml:space="preserve"> rules, or clarifying liability thresholds aim to reduce claim frequency and severity, limit frivolous claims, and promote a balanced judicial environment for plaintiffs and insurers.</w:t>
      </w:r>
      <w:r w:rsidRPr="000F4C13">
        <w:rPr>
          <w:rFonts w:eastAsia="Calibri" w:asciiTheme="majorHAnsi" w:hAnsiTheme="majorHAnsi" w:cstheme="majorHAnsi"/>
          <w:vertAlign w:val="superscript"/>
        </w:rPr>
        <w:footnoteReference w:id="88"/>
      </w:r>
      <w:r w:rsidRPr="000F4C13">
        <w:rPr>
          <w:rFonts w:eastAsia="Calibri" w:asciiTheme="majorHAnsi" w:hAnsiTheme="majorHAnsi" w:cstheme="majorHAnsi"/>
        </w:rPr>
        <w:t xml:space="preserve"> A notable example of this approach can be seen in Florida, where the effects of the </w:t>
      </w:r>
      <w:r w:rsidRPr="000F4C13" w:rsidR="00845C85">
        <w:rPr>
          <w:rFonts w:eastAsia="Calibri" w:asciiTheme="majorHAnsi" w:hAnsiTheme="majorHAnsi" w:cstheme="majorHAnsi"/>
        </w:rPr>
        <w:t xml:space="preserve">2023 tort reforms </w:t>
      </w:r>
      <w:r w:rsidRPr="000F4C13">
        <w:rPr>
          <w:rFonts w:eastAsia="Calibri" w:asciiTheme="majorHAnsi" w:hAnsiTheme="majorHAnsi" w:cstheme="majorHAnsi"/>
        </w:rPr>
        <w:t>have already proven significant.</w:t>
      </w:r>
    </w:p>
    <w:p w:rsidRPr="000F4C13" w:rsidR="00C96053" w:rsidRDefault="00B2522B" w14:paraId="2C92D991" w14:textId="7C899E10">
      <w:pPr>
        <w:jc w:val="both"/>
        <w:rPr>
          <w:rFonts w:eastAsia="Calibri" w:asciiTheme="majorHAnsi" w:hAnsiTheme="majorHAnsi" w:cstheme="majorHAnsi"/>
          <w:color w:val="0070C0"/>
        </w:rPr>
      </w:pPr>
      <w:r w:rsidRPr="000F4C13">
        <w:rPr>
          <w:rFonts w:eastAsia="Calibri" w:asciiTheme="majorHAnsi" w:hAnsiTheme="majorHAnsi" w:cstheme="majorHAnsi"/>
        </w:rPr>
        <w:t>Florida has enacted historic</w:t>
      </w:r>
      <w:r w:rsidRPr="000F4C13" w:rsidR="005B27AE">
        <w:rPr>
          <w:rFonts w:eastAsia="Calibri" w:asciiTheme="majorHAnsi" w:hAnsiTheme="majorHAnsi" w:cstheme="majorHAnsi"/>
        </w:rPr>
        <w:t>, unprecedented reforms to promote</w:t>
      </w:r>
      <w:r w:rsidRPr="000F4C13">
        <w:rPr>
          <w:rFonts w:eastAsia="Calibri" w:asciiTheme="majorHAnsi" w:hAnsiTheme="majorHAnsi" w:cstheme="majorHAnsi"/>
        </w:rPr>
        <w:t xml:space="preserve"> market stability.  </w:t>
      </w:r>
      <w:r w:rsidRPr="000F4C13" w:rsidR="00A7547F">
        <w:rPr>
          <w:rFonts w:eastAsia="Calibri" w:asciiTheme="majorHAnsi" w:hAnsiTheme="majorHAnsi" w:cstheme="majorHAnsi"/>
        </w:rPr>
        <w:t xml:space="preserve">The Florida Office of Insurance Regulation </w:t>
      </w:r>
      <w:r w:rsidRPr="000F4C13">
        <w:rPr>
          <w:rFonts w:eastAsia="Calibri" w:asciiTheme="majorHAnsi" w:hAnsiTheme="majorHAnsi" w:cstheme="majorHAnsi"/>
        </w:rPr>
        <w:t xml:space="preserve">closely tracks the impact of legislation </w:t>
      </w:r>
      <w:r w:rsidRPr="000F4C13" w:rsidR="00A06F0B">
        <w:rPr>
          <w:rFonts w:eastAsia="Calibri" w:asciiTheme="majorHAnsi" w:hAnsiTheme="majorHAnsi" w:cstheme="majorHAnsi"/>
        </w:rPr>
        <w:t>on</w:t>
      </w:r>
      <w:r w:rsidRPr="000F4C13">
        <w:rPr>
          <w:rFonts w:eastAsia="Calibri" w:asciiTheme="majorHAnsi" w:hAnsiTheme="majorHAnsi" w:cstheme="majorHAnsi"/>
        </w:rPr>
        <w:t xml:space="preserve"> Florida’s property insurance market. Recent legislative reforms for Florida’s property insurance market, along with links, can be found at floir.gov/property-casualty/market-overview. Florida House Bill 837 made numerous changes to Florida’s civil justice system. The bill modified Florida’s “bad faith” framework to allow an insurer to avoid third-party bad faith liability if the insurer tenders the policy limits or the amount demanded by the claimant within 90 days after receiving actual notice of the claim; it clarifies that mere negligence alone is not enough to demonstrate bad faith.  The bill also stipulates that a contingency fee multiplier for an attorney's fee award is appropriate only in rare and exceptional circumstances.  The bill strengthened some </w:t>
      </w:r>
      <w:r w:rsidRPr="000F4C13" w:rsidR="00C96B99">
        <w:rPr>
          <w:rFonts w:eastAsia="Calibri" w:asciiTheme="majorHAnsi" w:hAnsiTheme="majorHAnsi" w:cstheme="majorHAnsi"/>
        </w:rPr>
        <w:t>reforms from HB 2A by repealing Florida’s one-way attorney-fee</w:t>
      </w:r>
      <w:r w:rsidRPr="000F4C13">
        <w:rPr>
          <w:rFonts w:eastAsia="Calibri" w:asciiTheme="majorHAnsi" w:hAnsiTheme="majorHAnsi" w:cstheme="majorHAnsi"/>
        </w:rPr>
        <w:t xml:space="preserve"> statutes, with very limited exceptions.</w:t>
      </w:r>
      <w:r w:rsidRPr="000F4C13">
        <w:rPr>
          <w:rFonts w:eastAsia="Calibri" w:asciiTheme="majorHAnsi" w:hAnsiTheme="majorHAnsi" w:cstheme="majorHAnsi"/>
          <w:vertAlign w:val="superscript"/>
        </w:rPr>
        <w:footnoteReference w:id="89"/>
      </w:r>
      <w:r w:rsidRPr="000F4C13">
        <w:rPr>
          <w:rFonts w:eastAsia="Calibri" w:asciiTheme="majorHAnsi" w:hAnsiTheme="majorHAnsi" w:cstheme="majorHAnsi"/>
        </w:rPr>
        <w:t xml:space="preserve"> </w:t>
      </w:r>
    </w:p>
    <w:p w:rsidRPr="000F4C13" w:rsidR="00C96053" w:rsidP="000D1082" w:rsidRDefault="00B2522B" w14:paraId="18B14CD2" w14:textId="77777777">
      <w:pPr>
        <w:pStyle w:val="Heading3"/>
        <w:keepNext w:val="0"/>
        <w:keepLines w:val="0"/>
        <w:rPr>
          <w:rFonts w:asciiTheme="majorHAnsi" w:hAnsiTheme="majorHAnsi" w:cstheme="majorHAnsi"/>
        </w:rPr>
      </w:pPr>
      <w:bookmarkStart w:name="_qetj5zwfvtev" w:colFirst="0" w:colLast="0" w:id="34"/>
      <w:bookmarkEnd w:id="34"/>
      <w:r w:rsidRPr="000F4C13">
        <w:rPr>
          <w:rFonts w:asciiTheme="majorHAnsi" w:hAnsiTheme="majorHAnsi" w:cstheme="majorHAnsi"/>
        </w:rPr>
        <w:t>Parametric Insurance</w:t>
      </w:r>
    </w:p>
    <w:p w:rsidRPr="000F4C13" w:rsidR="00C21CBC" w:rsidP="000D1082" w:rsidRDefault="00190C2F" w14:paraId="2C9BDBDA" w14:textId="36467940">
      <w:pPr>
        <w:pStyle w:val="Heading3"/>
        <w:keepNext w:val="0"/>
        <w:keepLines w:val="0"/>
        <w:rPr>
          <w:rFonts w:asciiTheme="majorHAnsi" w:hAnsiTheme="majorHAnsi" w:cstheme="majorHAnsi"/>
          <w:color w:val="000000"/>
          <w:sz w:val="24"/>
          <w:szCs w:val="24"/>
          <w:lang w:val="en-US"/>
        </w:rPr>
      </w:pPr>
      <w:r w:rsidRPr="000F4C13">
        <w:rPr>
          <w:rFonts w:asciiTheme="majorHAnsi" w:hAnsiTheme="majorHAnsi" w:cstheme="majorHAnsi"/>
          <w:color w:val="000000"/>
          <w:sz w:val="24"/>
          <w:szCs w:val="24"/>
          <w:lang w:val="en-US"/>
        </w:rPr>
        <w:t xml:space="preserve">State insurance departments are </w:t>
      </w:r>
      <w:r w:rsidRPr="000F4C13" w:rsidR="001115E3">
        <w:rPr>
          <w:rFonts w:asciiTheme="majorHAnsi" w:hAnsiTheme="majorHAnsi" w:cstheme="majorHAnsi"/>
          <w:color w:val="000000"/>
          <w:sz w:val="24"/>
          <w:szCs w:val="24"/>
          <w:lang w:val="en-US"/>
        </w:rPr>
        <w:t>beginning to explore</w:t>
      </w:r>
      <w:r w:rsidRPr="000F4C13">
        <w:rPr>
          <w:rFonts w:asciiTheme="majorHAnsi" w:hAnsiTheme="majorHAnsi" w:cstheme="majorHAnsi"/>
          <w:color w:val="000000"/>
          <w:sz w:val="24"/>
          <w:szCs w:val="24"/>
          <w:lang w:val="en-US"/>
        </w:rPr>
        <w:t xml:space="preserve"> parametric insurance as a tool </w:t>
      </w:r>
      <w:r w:rsidRPr="000F4C13" w:rsidR="000B5318">
        <w:rPr>
          <w:rFonts w:asciiTheme="majorHAnsi" w:hAnsiTheme="majorHAnsi" w:cstheme="majorHAnsi"/>
          <w:color w:val="000000"/>
          <w:sz w:val="24"/>
          <w:szCs w:val="24"/>
          <w:lang w:val="en-US"/>
        </w:rPr>
        <w:t xml:space="preserve">to supplement traditional </w:t>
      </w:r>
      <w:r w:rsidRPr="000F4C13" w:rsidR="00E8571D">
        <w:rPr>
          <w:rFonts w:asciiTheme="majorHAnsi" w:hAnsiTheme="majorHAnsi" w:cstheme="majorHAnsi"/>
          <w:color w:val="000000"/>
          <w:sz w:val="24"/>
          <w:szCs w:val="24"/>
          <w:lang w:val="en-US"/>
        </w:rPr>
        <w:t xml:space="preserve">insurance </w:t>
      </w:r>
      <w:r w:rsidRPr="000F4C13" w:rsidR="006E5D16">
        <w:rPr>
          <w:rFonts w:asciiTheme="majorHAnsi" w:hAnsiTheme="majorHAnsi" w:cstheme="majorHAnsi"/>
          <w:color w:val="000000"/>
          <w:sz w:val="24"/>
          <w:szCs w:val="24"/>
          <w:lang w:val="en-US"/>
        </w:rPr>
        <w:t>and potentially</w:t>
      </w:r>
      <w:r w:rsidRPr="000F4C13" w:rsidR="002135A0">
        <w:rPr>
          <w:rFonts w:asciiTheme="majorHAnsi" w:hAnsiTheme="majorHAnsi" w:cstheme="majorHAnsi"/>
          <w:color w:val="000000"/>
          <w:sz w:val="24"/>
          <w:szCs w:val="24"/>
          <w:lang w:val="en-US"/>
        </w:rPr>
        <w:t xml:space="preserve"> ease </w:t>
      </w:r>
      <w:r w:rsidRPr="000F4C13">
        <w:rPr>
          <w:rFonts w:asciiTheme="majorHAnsi" w:hAnsiTheme="majorHAnsi" w:cstheme="majorHAnsi"/>
          <w:color w:val="000000"/>
          <w:sz w:val="24"/>
          <w:szCs w:val="24"/>
          <w:lang w:val="en-US"/>
        </w:rPr>
        <w:t>pressure on insurance markets. Unlike traditional coverage, payments are triggered by measurable events</w:t>
      </w:r>
      <w:r w:rsidRPr="000F4C13" w:rsidR="003C652D">
        <w:rPr>
          <w:rFonts w:asciiTheme="majorHAnsi" w:hAnsiTheme="majorHAnsi" w:cstheme="majorHAnsi"/>
          <w:color w:val="000000"/>
          <w:sz w:val="24"/>
          <w:szCs w:val="24"/>
          <w:lang w:val="en-US"/>
        </w:rPr>
        <w:t>, such as wind speed or earthquakes, rather than by</w:t>
      </w:r>
      <w:r w:rsidRPr="000F4C13">
        <w:rPr>
          <w:rFonts w:asciiTheme="majorHAnsi" w:hAnsiTheme="majorHAnsi" w:cstheme="majorHAnsi"/>
          <w:color w:val="000000"/>
          <w:sz w:val="24"/>
          <w:szCs w:val="24"/>
          <w:lang w:val="en-US"/>
        </w:rPr>
        <w:t xml:space="preserve"> property </w:t>
      </w:r>
      <w:r w:rsidRPr="000F4C13" w:rsidR="005B5489">
        <w:rPr>
          <w:rFonts w:asciiTheme="majorHAnsi" w:hAnsiTheme="majorHAnsi" w:cstheme="majorHAnsi"/>
          <w:color w:val="000000"/>
          <w:sz w:val="24"/>
          <w:szCs w:val="24"/>
          <w:lang w:val="en-US"/>
        </w:rPr>
        <w:t xml:space="preserve">damage </w:t>
      </w:r>
      <w:r w:rsidRPr="000F4C13">
        <w:rPr>
          <w:rFonts w:asciiTheme="majorHAnsi" w:hAnsiTheme="majorHAnsi" w:cstheme="majorHAnsi"/>
          <w:color w:val="000000"/>
          <w:sz w:val="24"/>
          <w:szCs w:val="24"/>
          <w:lang w:val="en-US"/>
        </w:rPr>
        <w:t>verification</w:t>
      </w:r>
      <w:r w:rsidRPr="000F4C13" w:rsidR="005B5489">
        <w:rPr>
          <w:rFonts w:asciiTheme="majorHAnsi" w:hAnsiTheme="majorHAnsi" w:cstheme="majorHAnsi"/>
          <w:color w:val="000000"/>
          <w:sz w:val="24"/>
          <w:szCs w:val="24"/>
          <w:lang w:val="en-US"/>
        </w:rPr>
        <w:t xml:space="preserve">. </w:t>
      </w:r>
      <w:r w:rsidRPr="000F4C13" w:rsidR="000D6BB3">
        <w:rPr>
          <w:rFonts w:asciiTheme="majorHAnsi" w:hAnsiTheme="majorHAnsi" w:cstheme="majorHAnsi"/>
          <w:color w:val="000000"/>
          <w:sz w:val="24"/>
          <w:szCs w:val="24"/>
          <w:lang w:val="en-US"/>
        </w:rPr>
        <w:t xml:space="preserve">This allows for quick payouts, which, combined with traditional insurance, can offer immediate funds to cover deductibles, living costs, or gaps left uninsured after a disaster. </w:t>
      </w:r>
      <w:r w:rsidRPr="000F4C13" w:rsidR="0000219D">
        <w:rPr>
          <w:rFonts w:asciiTheme="majorHAnsi" w:hAnsiTheme="majorHAnsi" w:cstheme="majorHAnsi"/>
          <w:color w:val="000000"/>
          <w:sz w:val="24"/>
          <w:szCs w:val="24"/>
          <w:lang w:val="en-US"/>
        </w:rPr>
        <w:t>By s</w:t>
      </w:r>
      <w:r w:rsidRPr="000F4C13" w:rsidR="005B5489">
        <w:rPr>
          <w:rFonts w:asciiTheme="majorHAnsi" w:hAnsiTheme="majorHAnsi" w:cstheme="majorHAnsi"/>
          <w:color w:val="000000"/>
          <w:sz w:val="24"/>
          <w:szCs w:val="24"/>
          <w:lang w:val="en-US"/>
        </w:rPr>
        <w:t xml:space="preserve">upporting rapid recovery, parametric insurance helps policyholders stay in the </w:t>
      </w:r>
      <w:r w:rsidRPr="000F4C13" w:rsidR="00346E9D">
        <w:rPr>
          <w:rFonts w:asciiTheme="majorHAnsi" w:hAnsiTheme="majorHAnsi" w:cstheme="majorHAnsi"/>
          <w:color w:val="000000"/>
          <w:sz w:val="24"/>
          <w:szCs w:val="24"/>
          <w:lang w:val="en-US"/>
        </w:rPr>
        <w:t xml:space="preserve">admitted </w:t>
      </w:r>
      <w:r w:rsidRPr="000F4C13" w:rsidR="005B5489">
        <w:rPr>
          <w:rFonts w:asciiTheme="majorHAnsi" w:hAnsiTheme="majorHAnsi" w:cstheme="majorHAnsi"/>
          <w:color w:val="000000"/>
          <w:sz w:val="24"/>
          <w:szCs w:val="24"/>
          <w:lang w:val="en-US"/>
        </w:rPr>
        <w:t xml:space="preserve">market and reduces pressure on FAIR Plans, residual markets, and state aid after large-scale </w:t>
      </w:r>
      <w:r w:rsidRPr="000F4C13" w:rsidR="003C652D">
        <w:rPr>
          <w:rFonts w:asciiTheme="majorHAnsi" w:hAnsiTheme="majorHAnsi" w:cstheme="majorHAnsi"/>
          <w:color w:val="000000"/>
          <w:sz w:val="24"/>
          <w:szCs w:val="24"/>
          <w:lang w:val="en-US"/>
        </w:rPr>
        <w:t>events</w:t>
      </w:r>
      <w:r w:rsidRPr="000F4C13" w:rsidR="00C21CBC">
        <w:rPr>
          <w:rFonts w:asciiTheme="majorHAnsi" w:hAnsiTheme="majorHAnsi" w:cstheme="majorHAnsi"/>
          <w:color w:val="000000"/>
          <w:sz w:val="24"/>
          <w:szCs w:val="24"/>
          <w:lang w:val="en-US"/>
        </w:rPr>
        <w:t>.</w:t>
      </w:r>
      <w:r w:rsidRPr="000F4C13" w:rsidR="002B7212">
        <w:rPr>
          <w:rStyle w:val="FootnoteReference"/>
          <w:rFonts w:asciiTheme="majorHAnsi" w:hAnsiTheme="majorHAnsi" w:cstheme="majorHAnsi"/>
          <w:color w:val="000000"/>
          <w:sz w:val="24"/>
          <w:szCs w:val="24"/>
          <w:lang w:val="en-US"/>
        </w:rPr>
        <w:footnoteReference w:id="90"/>
      </w:r>
    </w:p>
    <w:p w:rsidRPr="000F4C13" w:rsidR="001B5DB9" w:rsidP="000D1082" w:rsidRDefault="00095A6B" w14:paraId="240939EE" w14:textId="3CE369FA">
      <w:pPr>
        <w:pStyle w:val="Heading3"/>
        <w:keepNext w:val="0"/>
        <w:keepLines w:val="0"/>
        <w:rPr>
          <w:rFonts w:asciiTheme="majorHAnsi" w:hAnsiTheme="majorHAnsi" w:cstheme="majorHAnsi"/>
          <w:sz w:val="24"/>
          <w:szCs w:val="24"/>
          <w:lang w:val="en-US"/>
        </w:rPr>
      </w:pPr>
      <w:r w:rsidRPr="000F4C13">
        <w:rPr>
          <w:rFonts w:asciiTheme="majorHAnsi" w:hAnsiTheme="majorHAnsi" w:cstheme="majorHAnsi"/>
          <w:color w:val="000000"/>
          <w:sz w:val="24"/>
        </w:rPr>
        <w:t xml:space="preserve">The implementation of parametric insurance faces challenges because state insurance systems tend to focus on indemnifying actual losses. As a result, only a </w:t>
      </w:r>
      <w:r w:rsidRPr="000F4C13" w:rsidR="00AE34AB">
        <w:rPr>
          <w:rFonts w:asciiTheme="majorHAnsi" w:hAnsiTheme="majorHAnsi" w:cstheme="majorHAnsi"/>
          <w:color w:val="000000"/>
          <w:sz w:val="24"/>
        </w:rPr>
        <w:t>handful</w:t>
      </w:r>
      <w:r w:rsidRPr="000F4C13">
        <w:rPr>
          <w:rFonts w:asciiTheme="majorHAnsi" w:hAnsiTheme="majorHAnsi" w:cstheme="majorHAnsi"/>
          <w:color w:val="000000"/>
          <w:sz w:val="24"/>
        </w:rPr>
        <w:t xml:space="preserve"> </w:t>
      </w:r>
      <w:r w:rsidRPr="000F4C13" w:rsidR="00AE34AB">
        <w:rPr>
          <w:rFonts w:asciiTheme="majorHAnsi" w:hAnsiTheme="majorHAnsi" w:cstheme="majorHAnsi"/>
          <w:color w:val="000000"/>
          <w:sz w:val="24"/>
        </w:rPr>
        <w:t xml:space="preserve">of </w:t>
      </w:r>
      <w:r w:rsidRPr="000F4C13">
        <w:rPr>
          <w:rFonts w:asciiTheme="majorHAnsi" w:hAnsiTheme="majorHAnsi" w:cstheme="majorHAnsi"/>
          <w:color w:val="000000"/>
          <w:sz w:val="24"/>
        </w:rPr>
        <w:t xml:space="preserve">states have created laws or guidance specific to parametric insurance. In states like California and Washington, interest in this type of insurance is increasing as a way to </w:t>
      </w:r>
      <w:r w:rsidRPr="000F4C13" w:rsidR="00AE34AB">
        <w:rPr>
          <w:rFonts w:asciiTheme="majorHAnsi" w:hAnsiTheme="majorHAnsi" w:cstheme="majorHAnsi"/>
          <w:color w:val="000000"/>
          <w:sz w:val="24"/>
        </w:rPr>
        <w:t xml:space="preserve">help </w:t>
      </w:r>
      <w:r w:rsidRPr="000F4C13">
        <w:rPr>
          <w:rFonts w:asciiTheme="majorHAnsi" w:hAnsiTheme="majorHAnsi" w:cstheme="majorHAnsi"/>
          <w:color w:val="000000"/>
          <w:sz w:val="24"/>
        </w:rPr>
        <w:t>manage wildfire and earthquake risks. California's Department of Insurance is planning a pilot grant program for 2025-2026 to support scalable, community-based parametric insurance products aimed at low-income residents.</w:t>
      </w:r>
      <w:r w:rsidRPr="000F4C13" w:rsidR="00004016">
        <w:rPr>
          <w:rStyle w:val="FootnoteReference"/>
          <w:rFonts w:asciiTheme="majorHAnsi" w:hAnsiTheme="majorHAnsi" w:cstheme="majorHAnsi"/>
          <w:color w:val="000000"/>
          <w:sz w:val="24"/>
        </w:rPr>
        <w:footnoteReference w:id="91"/>
      </w:r>
      <w:r w:rsidRPr="000F4C13">
        <w:rPr>
          <w:rFonts w:asciiTheme="majorHAnsi" w:hAnsiTheme="majorHAnsi" w:cstheme="majorHAnsi"/>
          <w:color w:val="000000"/>
          <w:sz w:val="24"/>
        </w:rPr>
        <w:t xml:space="preserve"> The state has also introduced new rules requiring catastrophe models to incorporate homeowners' mitigation measures, making it easier to use parametric triggers linked to real wildfire risk.</w:t>
      </w:r>
      <w:r w:rsidRPr="000F4C13" w:rsidR="000B60BB">
        <w:rPr>
          <w:rStyle w:val="FootnoteReference"/>
          <w:rFonts w:asciiTheme="majorHAnsi" w:hAnsiTheme="majorHAnsi" w:cstheme="majorHAnsi"/>
          <w:color w:val="000000"/>
          <w:sz w:val="24"/>
        </w:rPr>
        <w:footnoteReference w:id="92"/>
      </w:r>
      <w:r w:rsidRPr="000F4C13">
        <w:rPr>
          <w:rFonts w:asciiTheme="majorHAnsi" w:hAnsiTheme="majorHAnsi" w:cstheme="majorHAnsi"/>
          <w:color w:val="000000"/>
          <w:sz w:val="24"/>
        </w:rPr>
        <w:t xml:space="preserve"> Washington will implement regulations in 2026 that require insurers to share fire risk scores, which are directly used for parametric triggers and pricing.</w:t>
      </w:r>
      <w:r w:rsidRPr="000F4C13" w:rsidR="00866AC8">
        <w:rPr>
          <w:rStyle w:val="FootnoteReference"/>
          <w:rFonts w:asciiTheme="majorHAnsi" w:hAnsiTheme="majorHAnsi" w:cstheme="majorHAnsi"/>
          <w:color w:val="000000"/>
          <w:sz w:val="24"/>
        </w:rPr>
        <w:footnoteReference w:id="93"/>
      </w:r>
      <w:r w:rsidRPr="000F4C13">
        <w:rPr>
          <w:rFonts w:asciiTheme="majorHAnsi" w:hAnsiTheme="majorHAnsi" w:cstheme="majorHAnsi"/>
          <w:color w:val="000000"/>
          <w:sz w:val="24"/>
        </w:rPr>
        <w:t xml:space="preserve"> Maryland is establishing an official regulatory framework for parametric insurance. In 2026, Maryland passed legislation allowing the Insurance Commissioner to launch a voluntary pilot program for parametric products starting July 1, 2026. This program aims to serve public needs by providing quicker payouts after specific events to vulnerable groups and small businesses, while giving the Commissioner authority to set policy standards and expedite reviews of community programs. </w:t>
      </w:r>
      <w:r w:rsidRPr="000F4C13" w:rsidR="0011436F">
        <w:rPr>
          <w:rStyle w:val="FootnoteReference"/>
          <w:rFonts w:asciiTheme="majorHAnsi" w:hAnsiTheme="majorHAnsi" w:cstheme="majorHAnsi"/>
          <w:color w:val="000000"/>
          <w:sz w:val="24"/>
          <w:szCs w:val="24"/>
          <w:lang w:val="en-US"/>
        </w:rPr>
        <w:footnoteReference w:id="94"/>
      </w:r>
    </w:p>
    <w:p w:rsidRPr="000F4C13" w:rsidR="00C21CBC" w:rsidP="000D1082" w:rsidRDefault="00C21CBC" w14:paraId="6DC0DB9D" w14:textId="186E4EF4">
      <w:pPr>
        <w:pStyle w:val="Heading3"/>
        <w:keepNext w:val="0"/>
        <w:keepLines w:val="0"/>
        <w:rPr>
          <w:rFonts w:asciiTheme="majorHAnsi" w:hAnsiTheme="majorHAnsi" w:cstheme="majorHAnsi"/>
          <w:color w:val="000000"/>
          <w:sz w:val="24"/>
          <w:szCs w:val="24"/>
          <w:lang w:val="en-US"/>
        </w:rPr>
      </w:pPr>
      <w:r w:rsidRPr="000F4C13">
        <w:rPr>
          <w:rFonts w:asciiTheme="majorHAnsi" w:hAnsiTheme="majorHAnsi" w:cstheme="majorHAnsi"/>
          <w:color w:val="000000"/>
          <w:sz w:val="24"/>
          <w:szCs w:val="24"/>
          <w:lang w:val="en-US"/>
        </w:rPr>
        <w:t>By providing rapid, predefined payouts that can absorb a portion of post</w:t>
      </w:r>
      <w:r w:rsidRPr="000F4C13">
        <w:rPr>
          <w:rFonts w:asciiTheme="majorHAnsi" w:hAnsiTheme="majorHAnsi" w:cstheme="majorHAnsi"/>
          <w:color w:val="000000"/>
          <w:sz w:val="24"/>
          <w:szCs w:val="24"/>
          <w:lang w:val="en-US"/>
        </w:rPr>
        <w:noBreakHyphen/>
        <w:t>disaster financial stress, parametric insurance may also complement traditional reinsurance and residual market mechanisms by reducing claim volatility, limiting migration into FAIR Plans, and easing capital strain following catastrophic events.</w:t>
      </w:r>
      <w:r w:rsidRPr="000F4C13" w:rsidR="00F735C2">
        <w:rPr>
          <w:rStyle w:val="FootnoteReference"/>
          <w:rFonts w:asciiTheme="majorHAnsi" w:hAnsiTheme="majorHAnsi" w:cstheme="majorHAnsi"/>
          <w:color w:val="000000"/>
          <w:sz w:val="24"/>
          <w:szCs w:val="24"/>
          <w:lang w:val="en-US"/>
        </w:rPr>
        <w:footnoteReference w:id="95"/>
      </w:r>
    </w:p>
    <w:p w:rsidRPr="000F4C13" w:rsidR="00C96053" w:rsidRDefault="00B2522B" w14:paraId="3999DBD6" w14:textId="77777777">
      <w:pPr>
        <w:pStyle w:val="Heading3"/>
        <w:rPr>
          <w:rFonts w:asciiTheme="majorHAnsi" w:hAnsiTheme="majorHAnsi" w:cstheme="majorHAnsi"/>
        </w:rPr>
      </w:pPr>
      <w:bookmarkStart w:name="_4ub1p3i59phr" w:colFirst="0" w:colLast="0" w:id="35"/>
      <w:bookmarkEnd w:id="35"/>
      <w:r w:rsidRPr="000F4C13">
        <w:rPr>
          <w:rFonts w:asciiTheme="majorHAnsi" w:hAnsiTheme="majorHAnsi" w:cstheme="majorHAnsi"/>
        </w:rPr>
        <w:t>Risk Mitigation and Incentives</w:t>
      </w:r>
    </w:p>
    <w:p w:rsidRPr="000F4C13" w:rsidR="00C96053" w:rsidRDefault="00B2522B" w14:paraId="5E93739D" w14:textId="77777777">
      <w:pPr>
        <w:pStyle w:val="Heading4"/>
        <w:rPr>
          <w:rFonts w:asciiTheme="majorHAnsi" w:hAnsiTheme="majorHAnsi" w:cstheme="majorHAnsi"/>
        </w:rPr>
      </w:pPr>
      <w:bookmarkStart w:name="_6pgsszrbn5hc" w:colFirst="0" w:colLast="0" w:id="36"/>
      <w:bookmarkEnd w:id="36"/>
      <w:r w:rsidRPr="000F4C13">
        <w:rPr>
          <w:rFonts w:asciiTheme="majorHAnsi" w:hAnsiTheme="majorHAnsi" w:cstheme="majorHAnsi"/>
        </w:rPr>
        <w:t>Risk Transfer Programs</w:t>
      </w:r>
    </w:p>
    <w:p w:rsidRPr="000F4C13" w:rsidR="00C96053" w:rsidRDefault="00D72901" w14:paraId="59C723D4" w14:textId="5015A68B">
      <w:pPr>
        <w:jc w:val="both"/>
        <w:rPr>
          <w:rFonts w:eastAsia="Calibri" w:asciiTheme="majorHAnsi" w:hAnsiTheme="majorHAnsi" w:cstheme="majorHAnsi"/>
        </w:rPr>
      </w:pPr>
      <w:r w:rsidRPr="000F4C13">
        <w:rPr>
          <w:rFonts w:eastAsia="Calibri" w:asciiTheme="majorHAnsi" w:hAnsiTheme="majorHAnsi" w:cstheme="majorHAnsi"/>
        </w:rPr>
        <w:t>I</w:t>
      </w:r>
      <w:r w:rsidRPr="000F4C13" w:rsidR="00B2522B">
        <w:rPr>
          <w:rFonts w:eastAsia="Calibri" w:asciiTheme="majorHAnsi" w:hAnsiTheme="majorHAnsi" w:cstheme="majorHAnsi"/>
        </w:rPr>
        <w:t xml:space="preserve">nsurance </w:t>
      </w:r>
      <w:r w:rsidRPr="000F4C13">
        <w:rPr>
          <w:rFonts w:eastAsia="Calibri" w:asciiTheme="majorHAnsi" w:hAnsiTheme="majorHAnsi" w:cstheme="majorHAnsi"/>
        </w:rPr>
        <w:t>departments</w:t>
      </w:r>
      <w:r w:rsidRPr="000F4C13" w:rsidR="00B2522B">
        <w:rPr>
          <w:rFonts w:eastAsia="Calibri" w:asciiTheme="majorHAnsi" w:hAnsiTheme="majorHAnsi" w:cstheme="majorHAnsi"/>
        </w:rPr>
        <w:t xml:space="preserve"> across the country are implementing and launching </w:t>
      </w:r>
      <w:r w:rsidRPr="000F4C13" w:rsidR="002F57AE">
        <w:rPr>
          <w:rFonts w:eastAsia="Calibri" w:asciiTheme="majorHAnsi" w:hAnsiTheme="majorHAnsi" w:cstheme="majorHAnsi"/>
        </w:rPr>
        <w:t>risk-transfer programs, such as mitigation grant programs, to retrofit homes and minimize losses</w:t>
      </w:r>
      <w:r w:rsidRPr="000F4C13" w:rsidR="00B2522B">
        <w:rPr>
          <w:rFonts w:eastAsia="Calibri" w:asciiTheme="majorHAnsi" w:hAnsiTheme="majorHAnsi" w:cstheme="majorHAnsi"/>
        </w:rPr>
        <w:t xml:space="preserve"> from hurricanes, severe convective storms, hail, tornadoes, and wildfires. For wind-related perils, these programs adopt a retrofit standard to achieve a level of resilience, such as the FORTIFIED™ Standard developed by the Insurance Institute for Business and Home Safety (IBHS). The FORTIFIED™ Standard, based on scientific research, uses a systems approach, meaning the components of a home rely on one another. This approach ties the components of a structure together, creating a more robust structure that is sealed against water and wind intrusion</w:t>
      </w:r>
      <w:r w:rsidRPr="000F4C13" w:rsidR="00F056C0">
        <w:rPr>
          <w:rFonts w:eastAsia="Calibri" w:asciiTheme="majorHAnsi" w:hAnsiTheme="majorHAnsi" w:cstheme="majorHAnsi"/>
        </w:rPr>
        <w:t>, and hail damage</w:t>
      </w:r>
      <w:r w:rsidRPr="000F4C13" w:rsidR="00B2522B">
        <w:rPr>
          <w:rFonts w:eastAsia="Calibri" w:asciiTheme="majorHAnsi" w:hAnsiTheme="majorHAnsi" w:cstheme="majorHAnsi"/>
        </w:rPr>
        <w:t xml:space="preserve">. Compliance with this mitigation standard is verified by a third-party evaluator, </w:t>
      </w:r>
      <w:r w:rsidRPr="000F4C13" w:rsidR="00AB01B8">
        <w:rPr>
          <w:rFonts w:eastAsia="Calibri" w:asciiTheme="majorHAnsi" w:hAnsiTheme="majorHAnsi" w:cstheme="majorHAnsi"/>
        </w:rPr>
        <w:t>who assesses that building science is applied and that the work is documented, thereby confirming</w:t>
      </w:r>
      <w:r w:rsidRPr="000F4C13" w:rsidR="00B2522B">
        <w:rPr>
          <w:rFonts w:eastAsia="Calibri" w:asciiTheme="majorHAnsi" w:hAnsiTheme="majorHAnsi" w:cstheme="majorHAnsi"/>
        </w:rPr>
        <w:t xml:space="preserve"> the standard is met. Once compliance with the standard is documented and approved by IBHS, they will issue a designation of the level of mitigation achieved on the structure.</w:t>
      </w:r>
    </w:p>
    <w:p w:rsidRPr="000F4C13" w:rsidR="00C96053" w:rsidRDefault="00B2522B" w14:paraId="47B65508" w14:textId="77777777">
      <w:pPr>
        <w:pStyle w:val="Heading4"/>
        <w:rPr>
          <w:rFonts w:asciiTheme="majorHAnsi" w:hAnsiTheme="majorHAnsi" w:cstheme="majorHAnsi"/>
        </w:rPr>
      </w:pPr>
      <w:bookmarkStart w:name="_sk40lsu9sh8z" w:colFirst="0" w:colLast="0" w:id="37"/>
      <w:bookmarkEnd w:id="37"/>
      <w:r w:rsidRPr="000F4C13">
        <w:rPr>
          <w:rFonts w:asciiTheme="majorHAnsi" w:hAnsiTheme="majorHAnsi" w:cstheme="majorHAnsi"/>
        </w:rPr>
        <w:t>Incentives</w:t>
      </w:r>
    </w:p>
    <w:p w:rsidRPr="000F4C13" w:rsidR="00C96053" w:rsidRDefault="00B2522B" w14:paraId="38E8E5A7" w14:textId="1E901969">
      <w:pPr>
        <w:jc w:val="both"/>
        <w:rPr>
          <w:rFonts w:eastAsia="Calibri" w:asciiTheme="majorHAnsi" w:hAnsiTheme="majorHAnsi" w:cstheme="majorHAnsi"/>
        </w:rPr>
      </w:pPr>
      <w:r w:rsidRPr="000F4C13">
        <w:rPr>
          <w:rFonts w:eastAsia="Calibri" w:asciiTheme="majorHAnsi" w:hAnsiTheme="majorHAnsi" w:cstheme="majorHAnsi"/>
        </w:rPr>
        <w:t xml:space="preserve">In addition to </w:t>
      </w:r>
      <w:r w:rsidRPr="000F4C13" w:rsidR="0044173B">
        <w:rPr>
          <w:rFonts w:eastAsia="Calibri" w:asciiTheme="majorHAnsi" w:hAnsiTheme="majorHAnsi" w:cstheme="majorHAnsi"/>
        </w:rPr>
        <w:t>providing m</w:t>
      </w:r>
      <w:r w:rsidRPr="000F4C13">
        <w:rPr>
          <w:rFonts w:eastAsia="Calibri" w:asciiTheme="majorHAnsi" w:hAnsiTheme="majorHAnsi" w:cstheme="majorHAnsi"/>
        </w:rPr>
        <w:t>onetary grant</w:t>
      </w:r>
      <w:r w:rsidRPr="000F4C13" w:rsidR="0044173B">
        <w:rPr>
          <w:rFonts w:eastAsia="Calibri" w:asciiTheme="majorHAnsi" w:hAnsiTheme="majorHAnsi" w:cstheme="majorHAnsi"/>
        </w:rPr>
        <w:t>s</w:t>
      </w:r>
      <w:r w:rsidRPr="000F4C13">
        <w:rPr>
          <w:rFonts w:eastAsia="Calibri" w:asciiTheme="majorHAnsi" w:hAnsiTheme="majorHAnsi" w:cstheme="majorHAnsi"/>
        </w:rPr>
        <w:t xml:space="preserve"> to retrofit home</w:t>
      </w:r>
      <w:r w:rsidRPr="000F4C13" w:rsidR="0044173B">
        <w:rPr>
          <w:rFonts w:eastAsia="Calibri" w:asciiTheme="majorHAnsi" w:hAnsiTheme="majorHAnsi" w:cstheme="majorHAnsi"/>
        </w:rPr>
        <w:t>s</w:t>
      </w:r>
      <w:r w:rsidRPr="000F4C13">
        <w:rPr>
          <w:rFonts w:eastAsia="Calibri" w:asciiTheme="majorHAnsi" w:hAnsiTheme="majorHAnsi" w:cstheme="majorHAnsi"/>
        </w:rPr>
        <w:t xml:space="preserve">, </w:t>
      </w:r>
      <w:r w:rsidRPr="000F4C13" w:rsidR="008A70D5">
        <w:rPr>
          <w:rFonts w:eastAsia="Calibri" w:asciiTheme="majorHAnsi" w:hAnsiTheme="majorHAnsi" w:cstheme="majorHAnsi"/>
        </w:rPr>
        <w:t>insurance departments are incentivizing consumers to retrofit by mandating that carriers offer a homeowners' insurance premium discount for</w:t>
      </w:r>
      <w:r w:rsidRPr="000F4C13">
        <w:rPr>
          <w:rFonts w:eastAsia="Calibri" w:asciiTheme="majorHAnsi" w:hAnsiTheme="majorHAnsi" w:cstheme="majorHAnsi"/>
        </w:rPr>
        <w:t xml:space="preserve"> policies covering homes that have received some level of mitigation. Not all states have a mandate requiring carriers to offer premium discounts. Some states allow carriers to </w:t>
      </w:r>
      <w:r w:rsidRPr="000F4C13" w:rsidR="0044173B">
        <w:rPr>
          <w:rFonts w:eastAsia="Calibri" w:asciiTheme="majorHAnsi" w:hAnsiTheme="majorHAnsi" w:cstheme="majorHAnsi"/>
        </w:rPr>
        <w:t>voluntarily offer premium discounts</w:t>
      </w:r>
      <w:r w:rsidRPr="000F4C13">
        <w:rPr>
          <w:rFonts w:eastAsia="Calibri" w:asciiTheme="majorHAnsi" w:hAnsiTheme="majorHAnsi" w:cstheme="majorHAnsi"/>
        </w:rPr>
        <w:t xml:space="preserve">.  </w:t>
      </w:r>
    </w:p>
    <w:p w:rsidRPr="000F4C13" w:rsidR="00C96053" w:rsidRDefault="00B2522B" w14:paraId="59BF1806" w14:textId="0150FA6A">
      <w:pPr>
        <w:jc w:val="both"/>
        <w:rPr>
          <w:rFonts w:eastAsia="Calibri" w:asciiTheme="majorHAnsi" w:hAnsiTheme="majorHAnsi" w:cstheme="majorHAnsi"/>
        </w:rPr>
      </w:pPr>
      <w:r w:rsidRPr="000F4C13">
        <w:rPr>
          <w:rFonts w:eastAsia="Calibri" w:asciiTheme="majorHAnsi" w:hAnsiTheme="majorHAnsi" w:cstheme="majorHAnsi"/>
        </w:rPr>
        <w:t xml:space="preserve">Some states allow insurance companies to offer mitigation discounts voluntarily. Carriers in these states set mitigation premium credits based on their own underwriting strategy. Typically, discounts apply only to homes that have achieved a high level of mitigation, such as the IBHS Fortified™ Standard or the Wildfire Prepared Homes Standard. Not all states require meeting a high engineered standard, and some may offer premium credits to homeowners who have taken steps toward home protection. Examples of steps recognized by carriers may include installing mitigation components such as protective window shutters to help prevent glass breakage and wind and water </w:t>
      </w:r>
      <w:r w:rsidRPr="000F4C13" w:rsidR="00874D64">
        <w:rPr>
          <w:rFonts w:eastAsia="Calibri" w:asciiTheme="majorHAnsi" w:hAnsiTheme="majorHAnsi" w:cstheme="majorHAnsi"/>
        </w:rPr>
        <w:t>intrusion</w:t>
      </w:r>
      <w:r w:rsidRPr="000F4C13" w:rsidR="00177E4F">
        <w:rPr>
          <w:rFonts w:eastAsia="Calibri" w:asciiTheme="majorHAnsi" w:hAnsiTheme="majorHAnsi" w:cstheme="majorHAnsi"/>
        </w:rPr>
        <w:t>,</w:t>
      </w:r>
      <w:r w:rsidRPr="000F4C13" w:rsidR="00874D64">
        <w:rPr>
          <w:rFonts w:eastAsia="Calibri" w:asciiTheme="majorHAnsi" w:hAnsiTheme="majorHAnsi" w:cstheme="majorHAnsi"/>
        </w:rPr>
        <w:t xml:space="preserve"> or</w:t>
      </w:r>
      <w:r w:rsidRPr="000F4C13">
        <w:rPr>
          <w:rFonts w:eastAsia="Calibri" w:asciiTheme="majorHAnsi" w:hAnsiTheme="majorHAnsi" w:cstheme="majorHAnsi"/>
        </w:rPr>
        <w:t xml:space="preserve"> covered grates that prevent fire embers from entering the home.  </w:t>
      </w:r>
    </w:p>
    <w:p w:rsidRPr="000F4C13" w:rsidR="00C96053" w:rsidRDefault="00B2522B" w14:paraId="13098EA6" w14:textId="0DE1E0E1">
      <w:pPr>
        <w:jc w:val="both"/>
        <w:rPr>
          <w:rFonts w:eastAsia="Calibri" w:asciiTheme="majorHAnsi" w:hAnsiTheme="majorHAnsi" w:cstheme="majorHAnsi"/>
        </w:rPr>
      </w:pPr>
      <w:r w:rsidRPr="000F4C13">
        <w:rPr>
          <w:rFonts w:eastAsia="Calibri" w:asciiTheme="majorHAnsi" w:hAnsiTheme="majorHAnsi" w:cstheme="majorHAnsi"/>
        </w:rPr>
        <w:t xml:space="preserve">However, some states mandate that carriers offer a premium discount, but the </w:t>
      </w:r>
      <w:r w:rsidRPr="000F4C13" w:rsidR="00874D64">
        <w:rPr>
          <w:rFonts w:eastAsia="Calibri" w:asciiTheme="majorHAnsi" w:hAnsiTheme="majorHAnsi" w:cstheme="majorHAnsi"/>
        </w:rPr>
        <w:t>discount's value</w:t>
      </w:r>
      <w:r w:rsidRPr="000F4C13">
        <w:rPr>
          <w:rFonts w:eastAsia="Calibri" w:asciiTheme="majorHAnsi" w:hAnsiTheme="majorHAnsi" w:cstheme="majorHAnsi"/>
        </w:rPr>
        <w:t xml:space="preserve"> is typically not set by the state. Rather, states make a benchmark discount available as a percentage of </w:t>
      </w:r>
      <w:r w:rsidRPr="000F4C13" w:rsidR="00874D64">
        <w:rPr>
          <w:rFonts w:eastAsia="Calibri" w:asciiTheme="majorHAnsi" w:hAnsiTheme="majorHAnsi" w:cstheme="majorHAnsi"/>
        </w:rPr>
        <w:t xml:space="preserve">the </w:t>
      </w:r>
      <w:r w:rsidRPr="000F4C13">
        <w:rPr>
          <w:rFonts w:eastAsia="Calibri" w:asciiTheme="majorHAnsi" w:hAnsiTheme="majorHAnsi" w:cstheme="majorHAnsi"/>
        </w:rPr>
        <w:t>premium</w:t>
      </w:r>
      <w:r w:rsidR="00BB7349">
        <w:rPr>
          <w:rFonts w:eastAsia="Calibri" w:asciiTheme="majorHAnsi" w:hAnsiTheme="majorHAnsi" w:cstheme="majorHAnsi"/>
        </w:rPr>
        <w:t>, reflecting</w:t>
      </w:r>
      <w:r w:rsidRPr="000F4C13">
        <w:rPr>
          <w:rFonts w:eastAsia="Calibri" w:asciiTheme="majorHAnsi" w:hAnsiTheme="majorHAnsi" w:cstheme="majorHAnsi"/>
        </w:rPr>
        <w:t xml:space="preserve"> the value of higher mitigation standards adopted within a state’s insurance market. This provides insurance companies with a target level of mitigation value in their market and a benchmark discount to offer consumers. It also incentivizes carriers to be competitive in the market by adopting the benchmark or exceeding it. Insurance commissioners have also created additional incentives for carriers that meet or exceed the state’s benchmark discount, such as eliminating the actuarial justification requirement for rate filings of premium discount amounts. </w:t>
      </w:r>
    </w:p>
    <w:p w:rsidRPr="000F4C13" w:rsidR="00C96053" w:rsidRDefault="00B2522B" w14:paraId="70B2426E" w14:textId="5DD75A33">
      <w:pPr>
        <w:jc w:val="both"/>
        <w:rPr>
          <w:rFonts w:eastAsia="Calibri" w:asciiTheme="majorHAnsi" w:hAnsiTheme="majorHAnsi" w:cstheme="majorHAnsi"/>
        </w:rPr>
      </w:pPr>
      <w:r w:rsidRPr="000F4C13">
        <w:rPr>
          <w:rFonts w:eastAsia="Calibri" w:asciiTheme="majorHAnsi" w:hAnsiTheme="majorHAnsi" w:cstheme="majorHAnsi"/>
        </w:rPr>
        <w:t xml:space="preserve">States are also creating incentives to protect consumers from catastrophic storm loss as an alternative to home retrofitting. Insurance commissioners across the country are adopting the Homeowners Policy FORTIFIED™ Roof endorsement, which, for an additional cost, provides an upgrade to a roof that meets the FORTIFIED™ Standard in the event of a roof replacement claim. In conjunction with consumers using catastrophe savings accounts or other financial options to set funds aside for insurance deductibles or additional mitigation, this helps </w:t>
      </w:r>
      <w:r w:rsidRPr="000F4C13" w:rsidR="0082377E">
        <w:rPr>
          <w:rFonts w:eastAsia="Calibri" w:asciiTheme="majorHAnsi" w:hAnsiTheme="majorHAnsi" w:cstheme="majorHAnsi"/>
        </w:rPr>
        <w:t>build consumer resilience that will have lasting effects on insurance availability and affordability</w:t>
      </w:r>
      <w:r w:rsidRPr="000F4C13">
        <w:rPr>
          <w:rFonts w:eastAsia="Calibri" w:asciiTheme="majorHAnsi" w:hAnsiTheme="majorHAnsi" w:cstheme="majorHAnsi"/>
        </w:rPr>
        <w:t>.</w:t>
      </w:r>
    </w:p>
    <w:p w:rsidRPr="000F4C13" w:rsidR="00C96053" w:rsidRDefault="00B2522B" w14:paraId="01AB64C9" w14:textId="675E3F96">
      <w:pPr>
        <w:jc w:val="both"/>
        <w:rPr>
          <w:rFonts w:eastAsia="Calibri" w:asciiTheme="majorHAnsi" w:hAnsiTheme="majorHAnsi" w:cstheme="majorHAnsi"/>
        </w:rPr>
      </w:pPr>
      <w:r w:rsidRPr="000F4C13">
        <w:rPr>
          <w:rFonts w:eastAsia="Calibri" w:asciiTheme="majorHAnsi" w:hAnsiTheme="majorHAnsi" w:cstheme="majorHAnsi"/>
        </w:rPr>
        <w:t xml:space="preserve">For states addressing </w:t>
      </w:r>
      <w:r w:rsidRPr="000F4C13" w:rsidR="00772A31">
        <w:rPr>
          <w:rFonts w:eastAsia="Calibri" w:asciiTheme="majorHAnsi" w:hAnsiTheme="majorHAnsi" w:cstheme="majorHAnsi"/>
        </w:rPr>
        <w:t>wildfire mitigation</w:t>
      </w:r>
      <w:r w:rsidRPr="000F4C13">
        <w:rPr>
          <w:rFonts w:eastAsia="Calibri" w:asciiTheme="majorHAnsi" w:hAnsiTheme="majorHAnsi" w:cstheme="majorHAnsi"/>
        </w:rPr>
        <w:t xml:space="preserve">, consideration should be given to adopting the IBHS Wildfire Prepared Home Standard. This standard incorporates elements of home protection, such as creating a defensible space around a structure free of </w:t>
      </w:r>
      <w:r w:rsidRPr="000F4C13" w:rsidR="005F105E">
        <w:rPr>
          <w:rFonts w:eastAsia="Calibri" w:asciiTheme="majorHAnsi" w:hAnsiTheme="majorHAnsi" w:cstheme="majorHAnsi"/>
        </w:rPr>
        <w:t xml:space="preserve">fuels for fire, including combustible shrubbery and wood fences connected to the structure, and using protective measures against embers that can </w:t>
      </w:r>
      <w:r w:rsidRPr="000F4C13">
        <w:rPr>
          <w:rFonts w:eastAsia="Calibri" w:asciiTheme="majorHAnsi" w:hAnsiTheme="majorHAnsi" w:cstheme="majorHAnsi"/>
        </w:rPr>
        <w:t xml:space="preserve">spread fire, such as roofs and ventilation grates. These measures help prevent </w:t>
      </w:r>
      <w:r w:rsidRPr="000F4C13" w:rsidR="004429FD">
        <w:rPr>
          <w:rFonts w:eastAsia="Calibri" w:asciiTheme="majorHAnsi" w:hAnsiTheme="majorHAnsi" w:cstheme="majorHAnsi"/>
        </w:rPr>
        <w:t>embers from entering</w:t>
      </w:r>
      <w:r w:rsidRPr="000F4C13">
        <w:rPr>
          <w:rFonts w:eastAsia="Calibri" w:asciiTheme="majorHAnsi" w:hAnsiTheme="majorHAnsi" w:cstheme="majorHAnsi"/>
        </w:rPr>
        <w:t xml:space="preserve"> a structure. </w:t>
      </w:r>
    </w:p>
    <w:p w:rsidRPr="000F4C13" w:rsidR="00C96053" w:rsidRDefault="00B2522B" w14:paraId="27461903" w14:textId="77777777">
      <w:pPr>
        <w:jc w:val="both"/>
        <w:rPr>
          <w:rFonts w:eastAsia="Calibri" w:asciiTheme="majorHAnsi" w:hAnsiTheme="majorHAnsi" w:cstheme="majorHAnsi"/>
        </w:rPr>
      </w:pPr>
      <w:r w:rsidRPr="000F4C13">
        <w:rPr>
          <w:rFonts w:eastAsia="Calibri" w:asciiTheme="majorHAnsi" w:hAnsiTheme="majorHAnsi" w:cstheme="majorHAnsi"/>
        </w:rPr>
        <w:t xml:space="preserve">The Center for Insurance Policy and Research at the NAIC has created and made available a Resilience Policy Resource Guide and Retrofitting Program Playbook. This playbook is a resource that outlines mitigation programs across the country, including grant amounts, eligibility requirements, and incentives offered in each state. The </w:t>
      </w:r>
      <w:hyperlink r:id="rId13">
        <w:r w:rsidRPr="000F4C13" w:rsidR="00C96053">
          <w:rPr>
            <w:rFonts w:eastAsia="Calibri" w:asciiTheme="majorHAnsi" w:hAnsiTheme="majorHAnsi" w:cstheme="majorHAnsi"/>
            <w:color w:val="467886"/>
            <w:u w:val="single"/>
          </w:rPr>
          <w:t>CIPR Playbook</w:t>
        </w:r>
      </w:hyperlink>
      <w:r w:rsidRPr="000F4C13">
        <w:rPr>
          <w:rFonts w:eastAsia="Calibri" w:asciiTheme="majorHAnsi" w:hAnsiTheme="majorHAnsi" w:cstheme="majorHAnsi"/>
        </w:rPr>
        <w:t xml:space="preserve"> is regularly updated with the latest and changing information regarding incentives adopted by states.</w:t>
      </w:r>
    </w:p>
    <w:p w:rsidRPr="000F4C13" w:rsidR="00C96053" w:rsidRDefault="00B2522B" w14:paraId="473A3F17" w14:textId="77777777">
      <w:pPr>
        <w:pStyle w:val="Heading4"/>
        <w:rPr>
          <w:rFonts w:asciiTheme="majorHAnsi" w:hAnsiTheme="majorHAnsi" w:cstheme="majorHAnsi"/>
        </w:rPr>
      </w:pPr>
      <w:bookmarkStart w:name="_4c69tvd4dz8a" w:colFirst="0" w:colLast="0" w:id="38"/>
      <w:bookmarkEnd w:id="38"/>
      <w:r w:rsidRPr="000F4C13">
        <w:rPr>
          <w:rFonts w:asciiTheme="majorHAnsi" w:hAnsiTheme="majorHAnsi" w:cstheme="majorHAnsi"/>
        </w:rPr>
        <w:t>The Future of Mitigation</w:t>
      </w:r>
    </w:p>
    <w:p w:rsidRPr="000F4C13" w:rsidR="00C96053" w:rsidRDefault="00B2522B" w14:paraId="20932C46" w14:textId="4CFE4292">
      <w:pPr>
        <w:jc w:val="both"/>
        <w:rPr>
          <w:rFonts w:eastAsia="Calibri" w:asciiTheme="majorHAnsi" w:hAnsiTheme="majorHAnsi" w:cstheme="majorHAnsi"/>
        </w:rPr>
      </w:pPr>
      <w:r w:rsidRPr="000F4C13">
        <w:rPr>
          <w:rFonts w:eastAsia="Calibri" w:asciiTheme="majorHAnsi" w:hAnsiTheme="majorHAnsi" w:cstheme="majorHAnsi"/>
        </w:rPr>
        <w:t xml:space="preserve">As we move into the future and observe the evolution of mitigation, increasingly robust building standards are emerging in the market. Homes built or retrofitted with features like fire-resistant siding/roofs in wildfire zones and elevated foundations and flood vents in flood-prone areas. Homes are being slowly built with reinforced frames, and impact-resistant windows are appearing in areas prone to wind and hurricanes. Greater emphasis on retrofits for existing homes, such as mitigation actions that meet the IBHS Fortified™ standards by strengthening the roof, anchoring the structure, protecting openings like windows and doors, and creating continuous, engineered load paths for strength by “tying” the house to its foundation, </w:t>
      </w:r>
      <w:r w:rsidRPr="000F4C13" w:rsidR="0001287D">
        <w:rPr>
          <w:rFonts w:eastAsia="Calibri" w:asciiTheme="majorHAnsi" w:hAnsiTheme="majorHAnsi" w:cstheme="majorHAnsi"/>
        </w:rPr>
        <w:t xml:space="preserve">is </w:t>
      </w:r>
      <w:r w:rsidRPr="000F4C13">
        <w:rPr>
          <w:rFonts w:eastAsia="Calibri" w:asciiTheme="majorHAnsi" w:hAnsiTheme="majorHAnsi" w:cstheme="majorHAnsi"/>
        </w:rPr>
        <w:t>becoming more common.</w:t>
      </w:r>
    </w:p>
    <w:p w:rsidRPr="000F4C13" w:rsidR="00C96053" w:rsidRDefault="00B2522B" w14:paraId="491647E1" w14:textId="0645731B">
      <w:pPr>
        <w:jc w:val="both"/>
        <w:rPr>
          <w:rFonts w:eastAsia="Calibri" w:asciiTheme="majorHAnsi" w:hAnsiTheme="majorHAnsi" w:cstheme="majorHAnsi"/>
        </w:rPr>
      </w:pPr>
      <w:r w:rsidRPr="000F4C13">
        <w:rPr>
          <w:rFonts w:eastAsia="Calibri" w:asciiTheme="majorHAnsi" w:hAnsiTheme="majorHAnsi" w:cstheme="majorHAnsi"/>
        </w:rPr>
        <w:t xml:space="preserve">Home is becoming smarter. IoT sensors, real-time monitoring of structural stress, environmental conditions, and early warnings (e.g., water infiltration, fire embers) are becoming common, along with AI / predictive analytics to assess risk, predict damage, and optimize mitigation investments. For example, research on AI and generative AI in disaster management is growing, including energy resilience (e.g., solar panels, batteries, and smart controls) </w:t>
      </w:r>
      <w:r w:rsidRPr="000F4C13" w:rsidR="00772A31">
        <w:rPr>
          <w:rFonts w:eastAsia="Calibri" w:asciiTheme="majorHAnsi" w:hAnsiTheme="majorHAnsi" w:cstheme="majorHAnsi"/>
        </w:rPr>
        <w:t xml:space="preserve">to help keep the home </w:t>
      </w:r>
      <w:r w:rsidRPr="000F4C13">
        <w:rPr>
          <w:rFonts w:eastAsia="Calibri" w:asciiTheme="majorHAnsi" w:hAnsiTheme="majorHAnsi" w:cstheme="majorHAnsi"/>
        </w:rPr>
        <w:t xml:space="preserve">functional during a storm or grid failure. </w:t>
      </w:r>
    </w:p>
    <w:p w:rsidRPr="000F4C13" w:rsidR="00C96053" w:rsidRDefault="00B2522B" w14:paraId="76D06365" w14:textId="6FB362AB">
      <w:pPr>
        <w:jc w:val="both"/>
        <w:rPr>
          <w:rFonts w:eastAsia="Calibri" w:asciiTheme="majorHAnsi" w:hAnsiTheme="majorHAnsi" w:cstheme="majorHAnsi"/>
        </w:rPr>
      </w:pPr>
      <w:r w:rsidRPr="000F4C13">
        <w:rPr>
          <w:rFonts w:eastAsia="Calibri" w:asciiTheme="majorHAnsi" w:hAnsiTheme="majorHAnsi" w:cstheme="majorHAnsi"/>
        </w:rPr>
        <w:t xml:space="preserve">Homeowners and developers will increasingly consider where to build or rebuild with hazard risk in mind, such as moving away from the </w:t>
      </w:r>
      <w:r w:rsidRPr="000F4C13" w:rsidR="007957E0">
        <w:rPr>
          <w:rFonts w:eastAsia="Calibri" w:asciiTheme="majorHAnsi" w:hAnsiTheme="majorHAnsi" w:cstheme="majorHAnsi"/>
        </w:rPr>
        <w:t>highest-hazard zones and elevating homes to prevent flood</w:t>
      </w:r>
      <w:r w:rsidRPr="000F4C13">
        <w:rPr>
          <w:rFonts w:eastAsia="Calibri" w:asciiTheme="majorHAnsi" w:hAnsiTheme="majorHAnsi" w:cstheme="majorHAnsi"/>
        </w:rPr>
        <w:t xml:space="preserve"> losses. Mitigation planning will require factoring in future climate-driven risks, not just historical data. Insurance costs are already becoming more tightly linked to mitigation. Better mitigation equals lower premiums; however, homes in very high-risk areas may still face higher costs or difficulty financing/insuring until mitigation techniques and enforced building codes close the gap for potential catastrophic loss. </w:t>
      </w:r>
    </w:p>
    <w:p w:rsidRPr="000F4C13" w:rsidR="00C96053" w:rsidRDefault="00B2522B" w14:paraId="3381FFAB" w14:textId="77777777">
      <w:pPr>
        <w:pStyle w:val="Heading3"/>
        <w:rPr>
          <w:rFonts w:asciiTheme="majorHAnsi" w:hAnsiTheme="majorHAnsi" w:cstheme="majorHAnsi"/>
        </w:rPr>
      </w:pPr>
      <w:bookmarkStart w:name="_blh3lzb0a1qs" w:colFirst="0" w:colLast="0" w:id="39"/>
      <w:bookmarkEnd w:id="39"/>
      <w:r w:rsidRPr="000F4C13">
        <w:rPr>
          <w:rFonts w:asciiTheme="majorHAnsi" w:hAnsiTheme="majorHAnsi" w:cstheme="majorHAnsi"/>
        </w:rPr>
        <w:t>Public and Private Sector Collaboration</w:t>
      </w:r>
    </w:p>
    <w:p w:rsidRPr="000F4C13" w:rsidR="00C96053" w:rsidRDefault="00B2522B" w14:paraId="1D3A2534" w14:textId="77777777">
      <w:pPr>
        <w:pStyle w:val="Heading4"/>
        <w:rPr>
          <w:rFonts w:asciiTheme="majorHAnsi" w:hAnsiTheme="majorHAnsi" w:cstheme="majorHAnsi"/>
        </w:rPr>
      </w:pPr>
      <w:bookmarkStart w:name="_cuecoqc6zpcm" w:colFirst="0" w:colLast="0" w:id="40"/>
      <w:bookmarkEnd w:id="40"/>
      <w:r w:rsidRPr="000F4C13">
        <w:rPr>
          <w:rFonts w:asciiTheme="majorHAnsi" w:hAnsiTheme="majorHAnsi" w:cstheme="majorHAnsi"/>
        </w:rPr>
        <w:t>State-led Risk Pools</w:t>
      </w:r>
    </w:p>
    <w:p w:rsidRPr="000F4C13" w:rsidR="00C96053" w:rsidRDefault="00B2522B" w14:paraId="5AB20CD0" w14:textId="77777777">
      <w:pPr>
        <w:jc w:val="both"/>
        <w:rPr>
          <w:rFonts w:eastAsia="Calibri" w:asciiTheme="majorHAnsi" w:hAnsiTheme="majorHAnsi" w:cstheme="majorHAnsi"/>
        </w:rPr>
      </w:pPr>
      <w:r w:rsidRPr="000F4C13">
        <w:rPr>
          <w:rFonts w:eastAsia="Calibri" w:asciiTheme="majorHAnsi" w:hAnsiTheme="majorHAnsi" w:cstheme="majorHAnsi"/>
        </w:rPr>
        <w:t>Thirty-three states and the District of Columbia have insurers of last resort that provide coverage to consumers who cannot otherwise obtain property coverage in the private market.</w:t>
      </w:r>
      <w:r w:rsidRPr="000F4C13">
        <w:rPr>
          <w:rFonts w:eastAsia="Calibri" w:asciiTheme="majorHAnsi" w:hAnsiTheme="majorHAnsi" w:cstheme="majorHAnsi"/>
          <w:vertAlign w:val="superscript"/>
        </w:rPr>
        <w:footnoteReference w:id="96"/>
      </w:r>
      <w:r w:rsidRPr="000F4C13">
        <w:rPr>
          <w:rFonts w:eastAsia="Calibri" w:asciiTheme="majorHAnsi" w:hAnsiTheme="majorHAnsi" w:cstheme="majorHAnsi"/>
        </w:rPr>
        <w:t xml:space="preserve"> Thirty-one states have a Fair Access to Insurance Requirements, or FAIR Plans, five states have Beach or Wind Plans (which provide more limited coverage specific to hazards and geographic locations), and two states operate insurers of last resort programs called “Citizens”.</w:t>
      </w:r>
      <w:r w:rsidRPr="000F4C13">
        <w:rPr>
          <w:rFonts w:eastAsia="Calibri" w:asciiTheme="majorHAnsi" w:hAnsiTheme="majorHAnsi" w:cstheme="majorHAnsi"/>
          <w:vertAlign w:val="superscript"/>
        </w:rPr>
        <w:footnoteReference w:id="97"/>
      </w:r>
    </w:p>
    <w:p w:rsidRPr="000F4C13" w:rsidR="00C96053" w:rsidRDefault="00B2522B" w14:paraId="7BA267FE" w14:textId="43D9820C">
      <w:pPr>
        <w:jc w:val="both"/>
        <w:rPr>
          <w:rFonts w:eastAsia="Calibri" w:asciiTheme="majorHAnsi" w:hAnsiTheme="majorHAnsi" w:cstheme="majorHAnsi"/>
        </w:rPr>
      </w:pPr>
      <w:r w:rsidRPr="000F4C13">
        <w:rPr>
          <w:rFonts w:eastAsia="Calibri" w:asciiTheme="majorHAnsi" w:hAnsiTheme="majorHAnsi" w:cstheme="majorHAnsi"/>
        </w:rPr>
        <w:t>Insurers of last resort vary by state in the types of coverage they offer, whether they provide residential or commercial coverage, or both, and in the coverage limits. These plans help improve insurance availability and access</w:t>
      </w:r>
      <w:r w:rsidRPr="000F4C13" w:rsidR="00132A6E">
        <w:rPr>
          <w:rFonts w:eastAsia="Calibri" w:asciiTheme="majorHAnsi" w:hAnsiTheme="majorHAnsi" w:cstheme="majorHAnsi"/>
        </w:rPr>
        <w:t>,</w:t>
      </w:r>
      <w:r w:rsidRPr="000F4C13" w:rsidR="00AA44B5">
        <w:rPr>
          <w:rFonts w:eastAsia="Calibri" w:asciiTheme="majorHAnsi" w:hAnsiTheme="majorHAnsi" w:cstheme="majorHAnsi"/>
        </w:rPr>
        <w:t xml:space="preserve"> but are not designed </w:t>
      </w:r>
      <w:r w:rsidRPr="000F4C13">
        <w:rPr>
          <w:rFonts w:eastAsia="Calibri" w:asciiTheme="majorHAnsi" w:hAnsiTheme="majorHAnsi" w:cstheme="majorHAnsi"/>
        </w:rPr>
        <w:t>to be cost-competitive with the private market. States can use these risk pools as tools to enhance coverage availability, but they are limited in their ability to address affordability concerns. Colorado is the most recent state to establish a new insurer of last resort</w:t>
      </w:r>
      <w:r w:rsidRPr="000F4C13">
        <w:rPr>
          <w:rFonts w:eastAsia="Calibri" w:asciiTheme="majorHAnsi" w:hAnsiTheme="majorHAnsi" w:cstheme="majorHAnsi"/>
          <w:vertAlign w:val="superscript"/>
        </w:rPr>
        <w:footnoteReference w:id="98"/>
      </w:r>
      <w:r w:rsidRPr="000F4C13">
        <w:rPr>
          <w:rFonts w:eastAsia="Calibri" w:asciiTheme="majorHAnsi" w:hAnsiTheme="majorHAnsi" w:cstheme="majorHAnsi"/>
        </w:rPr>
        <w:t>, with operations set to begin in 2025.</w:t>
      </w:r>
      <w:r w:rsidRPr="000F4C13">
        <w:rPr>
          <w:rFonts w:eastAsia="Calibri" w:asciiTheme="majorHAnsi" w:hAnsiTheme="majorHAnsi" w:cstheme="majorHAnsi"/>
          <w:vertAlign w:val="superscript"/>
        </w:rPr>
        <w:footnoteReference w:id="99"/>
      </w:r>
    </w:p>
    <w:p w:rsidRPr="000F4C13" w:rsidR="00C96053" w:rsidRDefault="00B2522B" w14:paraId="207C72B6" w14:textId="77777777">
      <w:pPr>
        <w:jc w:val="both"/>
        <w:rPr>
          <w:rFonts w:eastAsia="Calibri" w:asciiTheme="majorHAnsi" w:hAnsiTheme="majorHAnsi" w:cstheme="majorHAnsi"/>
        </w:rPr>
      </w:pPr>
      <w:r w:rsidRPr="000F4C13">
        <w:rPr>
          <w:rFonts w:eastAsia="Calibri" w:asciiTheme="majorHAnsi" w:hAnsiTheme="majorHAnsi" w:cstheme="majorHAnsi"/>
        </w:rPr>
        <w:t>Insurers of last resort also serve as vehicles for risk reduction efforts. The North Carolina Insurance Underwriting Association (NCUIA) operates a mitigation program to strengthen roofs within its service area</w:t>
      </w:r>
      <w:r w:rsidRPr="000F4C13">
        <w:rPr>
          <w:rFonts w:eastAsia="Calibri" w:asciiTheme="majorHAnsi" w:hAnsiTheme="majorHAnsi" w:cstheme="majorHAnsi"/>
          <w:vertAlign w:val="superscript"/>
        </w:rPr>
        <w:footnoteReference w:id="100"/>
      </w:r>
      <w:r w:rsidRPr="000F4C13">
        <w:rPr>
          <w:rFonts w:eastAsia="Calibri" w:asciiTheme="majorHAnsi" w:hAnsiTheme="majorHAnsi" w:cstheme="majorHAnsi"/>
        </w:rPr>
        <w:t>. In 2025, NCUIA issued a catastrophe bond that included disaster-resilience features. This effort enhances the organization's risk capacity but, importantly, creates a funding stream for resilience efforts that reduce risk before storms occur.</w:t>
      </w:r>
      <w:r w:rsidRPr="000F4C13">
        <w:rPr>
          <w:rFonts w:eastAsia="Calibri" w:asciiTheme="majorHAnsi" w:hAnsiTheme="majorHAnsi" w:cstheme="majorHAnsi"/>
          <w:vertAlign w:val="superscript"/>
        </w:rPr>
        <w:footnoteReference w:id="101"/>
      </w:r>
      <w:r w:rsidRPr="000F4C13">
        <w:rPr>
          <w:rFonts w:eastAsia="Calibri" w:asciiTheme="majorHAnsi" w:hAnsiTheme="majorHAnsi" w:cstheme="majorHAnsi"/>
        </w:rPr>
        <w:t xml:space="preserve">   </w:t>
      </w:r>
    </w:p>
    <w:p w:rsidRPr="000F4C13" w:rsidR="00C96053" w:rsidRDefault="00B2522B" w14:paraId="61497845" w14:textId="77777777">
      <w:pPr>
        <w:pStyle w:val="Heading4"/>
        <w:rPr>
          <w:rFonts w:asciiTheme="majorHAnsi" w:hAnsiTheme="majorHAnsi" w:cstheme="majorHAnsi"/>
        </w:rPr>
      </w:pPr>
      <w:bookmarkStart w:name="_1hcfafe8kkp3" w:colFirst="0" w:colLast="0" w:id="41"/>
      <w:bookmarkEnd w:id="41"/>
      <w:r w:rsidRPr="000F4C13">
        <w:rPr>
          <w:rFonts w:asciiTheme="majorHAnsi" w:hAnsiTheme="majorHAnsi" w:cstheme="majorHAnsi"/>
        </w:rPr>
        <w:t>State Programs to Backstop Risk (e.g., Catastrophe Funds)</w:t>
      </w:r>
    </w:p>
    <w:p w:rsidRPr="000F4C13" w:rsidR="00C96053" w:rsidRDefault="00B2522B" w14:paraId="5A97EC32" w14:textId="77777777">
      <w:pPr>
        <w:jc w:val="both"/>
        <w:rPr>
          <w:rFonts w:eastAsia="Calibri" w:asciiTheme="majorHAnsi" w:hAnsiTheme="majorHAnsi" w:cstheme="majorHAnsi"/>
        </w:rPr>
      </w:pPr>
      <w:r w:rsidRPr="000F4C13">
        <w:rPr>
          <w:rFonts w:eastAsia="Calibri" w:asciiTheme="majorHAnsi" w:hAnsiTheme="majorHAnsi" w:cstheme="majorHAnsi"/>
        </w:rPr>
        <w:t>Some states have programs that support their property markets through direct involvement. Created in 1993, the Florida Hurricane Catastrophe Fund (FHCF) is a state-administered residential property reinsurer that provides a mandatory layer of coverage for nearly all residential properties in the state.</w:t>
      </w:r>
      <w:r w:rsidRPr="000F4C13">
        <w:rPr>
          <w:rFonts w:eastAsia="Calibri" w:asciiTheme="majorHAnsi" w:hAnsiTheme="majorHAnsi" w:cstheme="majorHAnsi"/>
          <w:vertAlign w:val="superscript"/>
        </w:rPr>
        <w:footnoteReference w:id="102"/>
      </w:r>
      <w:r w:rsidRPr="000F4C13">
        <w:rPr>
          <w:rFonts w:eastAsia="Calibri" w:asciiTheme="majorHAnsi" w:hAnsiTheme="majorHAnsi" w:cstheme="majorHAnsi"/>
        </w:rPr>
        <w:t xml:space="preserve"> Florida requires all residential property insurance companies doing business in the state to participate in the FHCF. This requirement augments companies’ reinsurance capacity and strengthens their ability to write property coverage. </w:t>
      </w:r>
    </w:p>
    <w:p w:rsidRPr="000F4C13" w:rsidR="00C96053" w:rsidRDefault="00B2522B" w14:paraId="114D210B" w14:textId="77777777">
      <w:pPr>
        <w:jc w:val="both"/>
        <w:rPr>
          <w:rFonts w:eastAsia="Calibri" w:asciiTheme="majorHAnsi" w:hAnsiTheme="majorHAnsi" w:cstheme="majorHAnsi"/>
        </w:rPr>
      </w:pPr>
      <w:r w:rsidRPr="000F4C13">
        <w:rPr>
          <w:rFonts w:eastAsia="Calibri" w:asciiTheme="majorHAnsi" w:hAnsiTheme="majorHAnsi" w:cstheme="majorHAnsi"/>
        </w:rPr>
        <w:t>The FHCF is also a vehicle for risk mitigation efforts. Florida law requires a minimum of $10M annually up to a maximum of 35 percent of the FHCF’s prior audited year’s investment income, to be used for the broad purpose of hurricane loss mitigation. These investments improve property risks, lowering costs for insurers and consumers alike.</w:t>
      </w:r>
    </w:p>
    <w:p w:rsidRPr="000F4C13" w:rsidR="00C96053" w:rsidRDefault="00B2522B" w14:paraId="56F96588" w14:textId="77777777">
      <w:pPr>
        <w:jc w:val="both"/>
        <w:rPr>
          <w:rFonts w:eastAsia="Calibri" w:asciiTheme="majorHAnsi" w:hAnsiTheme="majorHAnsi" w:cstheme="majorHAnsi"/>
        </w:rPr>
      </w:pPr>
      <w:r w:rsidRPr="000F4C13">
        <w:rPr>
          <w:rFonts w:eastAsia="Calibri" w:asciiTheme="majorHAnsi" w:hAnsiTheme="majorHAnsi" w:cstheme="majorHAnsi"/>
        </w:rPr>
        <w:t>While Florida takes a direct approach to increasing the capacity of its market to insure against hurricane risk, California has a state-created program to increase the availability of earthquake coverage. The California Earthquake Authority (CEA) is a quasi-public entity that offers residential earthquake insurance sold through private insurers. Established in 1996, the CEA now provides approximately two-thirds of the residential earthquake policies sold in California.</w:t>
      </w:r>
      <w:r w:rsidRPr="000F4C13">
        <w:rPr>
          <w:rFonts w:eastAsia="Calibri" w:asciiTheme="majorHAnsi" w:hAnsiTheme="majorHAnsi" w:cstheme="majorHAnsi"/>
          <w:vertAlign w:val="superscript"/>
        </w:rPr>
        <w:footnoteReference w:id="103"/>
      </w:r>
      <w:r w:rsidRPr="000F4C13">
        <w:rPr>
          <w:rFonts w:eastAsia="Calibri" w:asciiTheme="majorHAnsi" w:hAnsiTheme="majorHAnsi" w:cstheme="majorHAnsi"/>
        </w:rPr>
        <w:t xml:space="preserve"> The CEA expands the capacity of California consumers to obtain earthquake coverage through a policy that complies with homeowners insurers’ obligation under state law to also offer earthquake insurance.</w:t>
      </w:r>
    </w:p>
    <w:p w:rsidRPr="000F4C13" w:rsidR="00C96053" w:rsidRDefault="00B2522B" w14:paraId="38B8F7A3" w14:textId="782D2C91">
      <w:pPr>
        <w:jc w:val="both"/>
        <w:rPr>
          <w:rFonts w:eastAsia="Calibri" w:asciiTheme="majorHAnsi" w:hAnsiTheme="majorHAnsi" w:cstheme="majorHAnsi"/>
        </w:rPr>
      </w:pPr>
      <w:r w:rsidRPr="000F4C13">
        <w:rPr>
          <w:rFonts w:eastAsia="Calibri" w:asciiTheme="majorHAnsi" w:hAnsiTheme="majorHAnsi" w:cstheme="majorHAnsi"/>
        </w:rPr>
        <w:t xml:space="preserve">Like the FHCF, the CEA also </w:t>
      </w:r>
      <w:r w:rsidRPr="000F4C13" w:rsidR="00132A6E">
        <w:rPr>
          <w:rFonts w:eastAsia="Calibri" w:asciiTheme="majorHAnsi" w:hAnsiTheme="majorHAnsi" w:cstheme="majorHAnsi"/>
        </w:rPr>
        <w:t xml:space="preserve">invests in mitigation programs </w:t>
      </w:r>
      <w:r w:rsidRPr="000F4C13">
        <w:rPr>
          <w:rFonts w:eastAsia="Calibri" w:asciiTheme="majorHAnsi" w:hAnsiTheme="majorHAnsi" w:cstheme="majorHAnsi"/>
        </w:rPr>
        <w:t xml:space="preserve">to reduce risk exposure and improve affordability. The CEA offers earthquake retrofit grants to homeowners to strengthen it before an earthquake hits. Homeowners who take advantage of a mitigation grant can qualify for a premium discount on their earthquake insurance premiums. </w:t>
      </w:r>
    </w:p>
    <w:p w:rsidRPr="000F4C13" w:rsidR="00C96053" w:rsidRDefault="00B2522B" w14:paraId="2B00EAE7" w14:textId="26533363">
      <w:pPr>
        <w:jc w:val="both"/>
        <w:rPr>
          <w:rFonts w:eastAsia="Calibri" w:asciiTheme="majorHAnsi" w:hAnsiTheme="majorHAnsi" w:cstheme="majorHAnsi"/>
        </w:rPr>
      </w:pPr>
      <w:r w:rsidRPr="000F4C13">
        <w:rPr>
          <w:rFonts w:eastAsia="Calibri" w:asciiTheme="majorHAnsi" w:hAnsiTheme="majorHAnsi" w:cstheme="majorHAnsi"/>
        </w:rPr>
        <w:t xml:space="preserve">More broadly, many states have specific funding accounts to respond to natural disasters. Eligible expenditures from these accounts include repairs to public infrastructure, roads, and water management systems, </w:t>
      </w:r>
      <w:r w:rsidRPr="000F4C13" w:rsidR="004E650A">
        <w:rPr>
          <w:rFonts w:eastAsia="Calibri" w:asciiTheme="majorHAnsi" w:hAnsiTheme="majorHAnsi" w:cstheme="majorHAnsi"/>
        </w:rPr>
        <w:t>as well as</w:t>
      </w:r>
      <w:r w:rsidRPr="000F4C13">
        <w:rPr>
          <w:rFonts w:eastAsia="Calibri" w:asciiTheme="majorHAnsi" w:hAnsiTheme="majorHAnsi" w:cstheme="majorHAnsi"/>
        </w:rPr>
        <w:t xml:space="preserve"> the recovery capacity that private insurance provides a community in the wake of a disaster. These state expenditures support rebuilding and </w:t>
      </w:r>
      <w:r w:rsidRPr="000F4C13" w:rsidR="001B15AE">
        <w:rPr>
          <w:rFonts w:eastAsia="Calibri" w:asciiTheme="majorHAnsi" w:hAnsiTheme="majorHAnsi" w:cstheme="majorHAnsi"/>
        </w:rPr>
        <w:t xml:space="preserve">enhancing </w:t>
      </w:r>
      <w:r w:rsidRPr="000F4C13">
        <w:rPr>
          <w:rFonts w:eastAsia="Calibri" w:asciiTheme="majorHAnsi" w:hAnsiTheme="majorHAnsi" w:cstheme="majorHAnsi"/>
        </w:rPr>
        <w:t>future insurability for consumers and can be augmented by Federal disaster declarations and federal grants when available.</w:t>
      </w:r>
    </w:p>
    <w:p w:rsidRPr="000F4C13" w:rsidR="00C96053" w:rsidRDefault="00B2522B" w14:paraId="5D406CB8" w14:textId="3807B64D">
      <w:pPr>
        <w:jc w:val="both"/>
        <w:rPr>
          <w:rFonts w:eastAsia="Calibri" w:asciiTheme="majorHAnsi" w:hAnsiTheme="majorHAnsi" w:cstheme="majorHAnsi"/>
        </w:rPr>
      </w:pPr>
      <w:r w:rsidRPr="000F4C13">
        <w:rPr>
          <w:rFonts w:eastAsia="Calibri" w:asciiTheme="majorHAnsi" w:hAnsiTheme="majorHAnsi" w:cstheme="majorHAnsi"/>
        </w:rPr>
        <w:t xml:space="preserve">Disaster contingency accounts </w:t>
      </w:r>
      <w:r w:rsidRPr="000F4C13" w:rsidR="00853E1D">
        <w:rPr>
          <w:rFonts w:eastAsia="Calibri" w:asciiTheme="majorHAnsi" w:hAnsiTheme="majorHAnsi" w:cstheme="majorHAnsi"/>
        </w:rPr>
        <w:t>provide state-specific support to local communities (typically with some level of local cost-sharing</w:t>
      </w:r>
      <w:r w:rsidRPr="000F4C13">
        <w:rPr>
          <w:rFonts w:eastAsia="Calibri" w:asciiTheme="majorHAnsi" w:hAnsiTheme="majorHAnsi" w:cstheme="majorHAnsi"/>
        </w:rPr>
        <w:t>) in emergency situations. Minnesota established a Disaster Assistance Contingency Account (DACA) in 2014 to provide for prompt response and recovery from state-declared disaster situations.</w:t>
      </w:r>
      <w:r w:rsidRPr="000F4C13">
        <w:rPr>
          <w:rFonts w:eastAsia="Calibri" w:asciiTheme="majorHAnsi" w:hAnsiTheme="majorHAnsi" w:cstheme="majorHAnsi"/>
          <w:vertAlign w:val="superscript"/>
        </w:rPr>
        <w:footnoteReference w:id="104"/>
      </w:r>
      <w:r w:rsidRPr="000F4C13">
        <w:rPr>
          <w:rFonts w:eastAsia="Calibri" w:asciiTheme="majorHAnsi" w:hAnsiTheme="majorHAnsi" w:cstheme="majorHAnsi"/>
        </w:rPr>
        <w:t xml:space="preserve"> In 2024, the Minnesota legislature established a regular replenishment mechanism to bring the account balance </w:t>
      </w:r>
      <w:r w:rsidRPr="000F4C13" w:rsidR="0067385C">
        <w:rPr>
          <w:rFonts w:eastAsia="Calibri" w:asciiTheme="majorHAnsi" w:hAnsiTheme="majorHAnsi" w:cstheme="majorHAnsi"/>
        </w:rPr>
        <w:t>to $50 million at the end of each</w:t>
      </w:r>
      <w:r w:rsidRPr="000F4C13">
        <w:rPr>
          <w:rFonts w:eastAsia="Calibri" w:asciiTheme="majorHAnsi" w:hAnsiTheme="majorHAnsi" w:cstheme="majorHAnsi"/>
        </w:rPr>
        <w:t xml:space="preserve"> state biennium, rather than replenishing the account on an ad hoc basis.</w:t>
      </w:r>
      <w:r w:rsidRPr="000F4C13">
        <w:rPr>
          <w:rFonts w:eastAsia="Calibri" w:asciiTheme="majorHAnsi" w:hAnsiTheme="majorHAnsi" w:cstheme="majorHAnsi"/>
          <w:vertAlign w:val="superscript"/>
        </w:rPr>
        <w:footnoteReference w:id="105"/>
      </w:r>
      <w:r w:rsidRPr="000F4C13">
        <w:rPr>
          <w:rFonts w:eastAsia="Calibri" w:asciiTheme="majorHAnsi" w:hAnsiTheme="majorHAnsi" w:cstheme="majorHAnsi"/>
        </w:rPr>
        <w:t xml:space="preserve"> </w:t>
      </w:r>
    </w:p>
    <w:p w:rsidRPr="000F4C13" w:rsidR="00C96053" w:rsidRDefault="00B2522B" w14:paraId="0B97AFA8" w14:textId="77777777">
      <w:pPr>
        <w:pStyle w:val="Heading4"/>
        <w:rPr>
          <w:rFonts w:asciiTheme="majorHAnsi" w:hAnsiTheme="majorHAnsi" w:cstheme="majorHAnsi"/>
        </w:rPr>
      </w:pPr>
      <w:bookmarkStart w:name="_6igguhz0fmy9" w:colFirst="0" w:colLast="0" w:id="42"/>
      <w:bookmarkEnd w:id="42"/>
      <w:r w:rsidRPr="000F4C13">
        <w:rPr>
          <w:rFonts w:asciiTheme="majorHAnsi" w:hAnsiTheme="majorHAnsi" w:cstheme="majorHAnsi"/>
        </w:rPr>
        <w:t>Education Campaigns with Nonprofit and Local Partners</w:t>
      </w:r>
    </w:p>
    <w:p w:rsidRPr="000F4C13" w:rsidR="00C96053" w:rsidRDefault="00B2522B" w14:paraId="553A6738" w14:textId="1B7896CF">
      <w:pPr>
        <w:jc w:val="both"/>
        <w:rPr>
          <w:rFonts w:eastAsia="Calibri" w:asciiTheme="majorHAnsi" w:hAnsiTheme="majorHAnsi" w:cstheme="majorHAnsi"/>
        </w:rPr>
      </w:pPr>
      <w:r w:rsidRPr="000F4C13">
        <w:rPr>
          <w:rFonts w:eastAsia="Calibri" w:asciiTheme="majorHAnsi" w:hAnsiTheme="majorHAnsi" w:cstheme="majorHAnsi"/>
        </w:rPr>
        <w:t xml:space="preserve">Many states have effectively engaged non-governmental partners to expand education and outreach activities in support of programs that reduce property insurance risk. This includes direct outreach to consumers as well as engagement with the </w:t>
      </w:r>
      <w:r w:rsidRPr="000F4C13" w:rsidR="00853E1D">
        <w:rPr>
          <w:rFonts w:eastAsia="Calibri" w:asciiTheme="majorHAnsi" w:hAnsiTheme="majorHAnsi" w:cstheme="majorHAnsi"/>
        </w:rPr>
        <w:t>wide array of stakeholders involved in the construction, repair, and maintenance</w:t>
      </w:r>
      <w:r w:rsidRPr="000F4C13">
        <w:rPr>
          <w:rFonts w:eastAsia="Calibri" w:asciiTheme="majorHAnsi" w:hAnsiTheme="majorHAnsi" w:cstheme="majorHAnsi"/>
        </w:rPr>
        <w:t xml:space="preserve"> of homes. </w:t>
      </w:r>
    </w:p>
    <w:p w:rsidRPr="000F4C13" w:rsidR="00C96053" w:rsidRDefault="00B2522B" w14:paraId="3C96A91C" w14:textId="1CB7397F">
      <w:pPr>
        <w:jc w:val="both"/>
        <w:rPr>
          <w:rFonts w:eastAsia="Calibri" w:asciiTheme="majorHAnsi" w:hAnsiTheme="majorHAnsi" w:cstheme="majorHAnsi"/>
        </w:rPr>
      </w:pPr>
      <w:r w:rsidRPr="000F4C13">
        <w:rPr>
          <w:rFonts w:eastAsia="Calibri" w:asciiTheme="majorHAnsi" w:hAnsiTheme="majorHAnsi" w:cstheme="majorHAnsi"/>
        </w:rPr>
        <w:t xml:space="preserve">Several NAIC Consumer Representative organizations provide resources to </w:t>
      </w:r>
      <w:r w:rsidRPr="000F4C13" w:rsidR="00853E1D">
        <w:rPr>
          <w:rFonts w:eastAsia="Calibri" w:asciiTheme="majorHAnsi" w:hAnsiTheme="majorHAnsi" w:cstheme="majorHAnsi"/>
        </w:rPr>
        <w:t>help consumers</w:t>
      </w:r>
      <w:r w:rsidRPr="000F4C13">
        <w:rPr>
          <w:rFonts w:eastAsia="Calibri" w:asciiTheme="majorHAnsi" w:hAnsiTheme="majorHAnsi" w:cstheme="majorHAnsi"/>
        </w:rPr>
        <w:t xml:space="preserve"> find adequate coverage at an affordable price.</w:t>
      </w:r>
      <w:r w:rsidRPr="000F4C13">
        <w:rPr>
          <w:rFonts w:eastAsia="Calibri" w:asciiTheme="majorHAnsi" w:hAnsiTheme="majorHAnsi" w:cstheme="majorHAnsi"/>
          <w:vertAlign w:val="superscript"/>
        </w:rPr>
        <w:footnoteReference w:id="106"/>
      </w:r>
      <w:r w:rsidRPr="000F4C13">
        <w:rPr>
          <w:rFonts w:eastAsia="Calibri" w:asciiTheme="majorHAnsi" w:hAnsiTheme="majorHAnsi" w:cstheme="majorHAnsi"/>
        </w:rPr>
        <w:t xml:space="preserve"> The NAIC has partnered with nonprofit organizations, such as the Federal Alliance for Safe Homes (FLASH), </w:t>
      </w:r>
      <w:r w:rsidRPr="000F4C13" w:rsidR="00853E1D">
        <w:rPr>
          <w:rFonts w:eastAsia="Calibri" w:asciiTheme="majorHAnsi" w:hAnsiTheme="majorHAnsi" w:cstheme="majorHAnsi"/>
        </w:rPr>
        <w:t xml:space="preserve">to develop strategies for risk reduction in state insurance markets, which can </w:t>
      </w:r>
      <w:r w:rsidRPr="000F4C13">
        <w:rPr>
          <w:rFonts w:eastAsia="Calibri" w:asciiTheme="majorHAnsi" w:hAnsiTheme="majorHAnsi" w:cstheme="majorHAnsi"/>
        </w:rPr>
        <w:t>lower insurance costs for consumers.</w:t>
      </w:r>
      <w:r w:rsidRPr="000F4C13">
        <w:rPr>
          <w:rFonts w:eastAsia="Calibri" w:asciiTheme="majorHAnsi" w:hAnsiTheme="majorHAnsi" w:cstheme="majorHAnsi"/>
          <w:vertAlign w:val="superscript"/>
        </w:rPr>
        <w:footnoteReference w:id="107"/>
      </w:r>
      <w:r w:rsidRPr="000F4C13">
        <w:rPr>
          <w:rFonts w:eastAsia="Calibri" w:asciiTheme="majorHAnsi" w:hAnsiTheme="majorHAnsi" w:cstheme="majorHAnsi"/>
        </w:rPr>
        <w:t xml:space="preserve"> IBHS has partnered with state insurance departments on training and demonstration events showcasing Fortified roofs</w:t>
      </w:r>
      <w:r w:rsidRPr="000F4C13">
        <w:rPr>
          <w:rFonts w:eastAsia="Calibri" w:asciiTheme="majorHAnsi" w:hAnsiTheme="majorHAnsi" w:cstheme="majorHAnsi"/>
          <w:vertAlign w:val="superscript"/>
        </w:rPr>
        <w:footnoteReference w:id="108"/>
      </w:r>
      <w:r w:rsidRPr="000F4C13">
        <w:rPr>
          <w:rFonts w:eastAsia="Calibri" w:asciiTheme="majorHAnsi" w:hAnsiTheme="majorHAnsi" w:cstheme="majorHAnsi"/>
        </w:rPr>
        <w:t xml:space="preserve"> and Wildfire Prepared standards.</w:t>
      </w:r>
      <w:r w:rsidRPr="000F4C13">
        <w:rPr>
          <w:rFonts w:eastAsia="Calibri" w:asciiTheme="majorHAnsi" w:hAnsiTheme="majorHAnsi" w:cstheme="majorHAnsi"/>
          <w:vertAlign w:val="superscript"/>
        </w:rPr>
        <w:footnoteReference w:id="109"/>
      </w:r>
      <w:r w:rsidRPr="000F4C13">
        <w:rPr>
          <w:rFonts w:eastAsia="Calibri" w:asciiTheme="majorHAnsi" w:hAnsiTheme="majorHAnsi" w:cstheme="majorHAnsi"/>
        </w:rPr>
        <w:t xml:space="preserve"> </w:t>
      </w:r>
    </w:p>
    <w:p w:rsidRPr="000F4C13" w:rsidR="00C96053" w:rsidRDefault="00B2522B" w14:paraId="7AE261DF" w14:textId="77777777">
      <w:pPr>
        <w:jc w:val="both"/>
        <w:rPr>
          <w:rFonts w:eastAsia="Calibri" w:asciiTheme="majorHAnsi" w:hAnsiTheme="majorHAnsi" w:cstheme="majorHAnsi"/>
        </w:rPr>
      </w:pPr>
      <w:r w:rsidRPr="000F4C13">
        <w:rPr>
          <w:rFonts w:eastAsia="Calibri" w:asciiTheme="majorHAnsi" w:hAnsiTheme="majorHAnsi" w:cstheme="majorHAnsi"/>
        </w:rPr>
        <w:t>The Alabama and Louisiana Departments have collaborated with Smart Home America for subject-matter expertise and technical assistance in designing their respective Fortified grant programs. Smart Home America (as do other nonprofit organizations) also provides training and continuing education to home builders, licensed contractors, and real estate professionals.</w:t>
      </w:r>
      <w:r w:rsidRPr="000F4C13">
        <w:rPr>
          <w:rFonts w:eastAsia="Calibri" w:asciiTheme="majorHAnsi" w:hAnsiTheme="majorHAnsi" w:cstheme="majorHAnsi"/>
          <w:vertAlign w:val="superscript"/>
        </w:rPr>
        <w:footnoteReference w:id="110"/>
      </w:r>
      <w:r w:rsidRPr="000F4C13">
        <w:rPr>
          <w:rFonts w:eastAsia="Calibri" w:asciiTheme="majorHAnsi" w:hAnsiTheme="majorHAnsi" w:cstheme="majorHAnsi"/>
        </w:rPr>
        <w:t xml:space="preserve"> </w:t>
      </w:r>
    </w:p>
    <w:p w:rsidRPr="000F4C13" w:rsidR="00C96053" w:rsidRDefault="00B2522B" w14:paraId="59D1ABE2" w14:textId="77777777">
      <w:pPr>
        <w:pStyle w:val="Heading4"/>
        <w:rPr>
          <w:rFonts w:asciiTheme="majorHAnsi" w:hAnsiTheme="majorHAnsi" w:cstheme="majorHAnsi"/>
        </w:rPr>
      </w:pPr>
      <w:bookmarkStart w:name="_1f6m47j54ewc" w:colFirst="0" w:colLast="0" w:id="43"/>
      <w:bookmarkEnd w:id="43"/>
      <w:r w:rsidRPr="000F4C13">
        <w:rPr>
          <w:rFonts w:asciiTheme="majorHAnsi" w:hAnsiTheme="majorHAnsi" w:cstheme="majorHAnsi"/>
        </w:rPr>
        <w:t xml:space="preserve">Collaboration with Emergency Management and State Agencies for Disaster Response </w:t>
      </w:r>
    </w:p>
    <w:p w:rsidRPr="000F4C13" w:rsidR="00C96053" w:rsidRDefault="00B2522B" w14:paraId="5BBBF150" w14:textId="513B39B2">
      <w:pPr>
        <w:jc w:val="both"/>
        <w:rPr>
          <w:rFonts w:eastAsia="Calibri" w:asciiTheme="majorHAnsi" w:hAnsiTheme="majorHAnsi" w:cstheme="majorHAnsi"/>
        </w:rPr>
      </w:pPr>
      <w:r w:rsidRPr="000F4C13">
        <w:rPr>
          <w:rFonts w:eastAsia="Calibri" w:asciiTheme="majorHAnsi" w:hAnsiTheme="majorHAnsi" w:cstheme="majorHAnsi"/>
        </w:rPr>
        <w:t xml:space="preserve">Missouri State Emergency Management (SEMA) collaborates regularly with state agencies throughout all phases of emergency management, from pre-disaster to post-disaster. SEMA also regularly collaborates with local and national organizations, including those from the nonprofit, non-governmental, faith-based, and for-profit sectors, to provide post-disaster assistance. Examples include post-disaster Multi-Agency Resource Centers (MARCs) or Disaster Assistance Centers (DACs). Recent MARCs/DACs in Missouri supported thousands of individuals impacted by storms in 2025, including the St. Louis EF-3 tornado. </w:t>
      </w:r>
    </w:p>
    <w:p w:rsidRPr="000F4C13" w:rsidR="00C96053" w:rsidRDefault="00B2522B" w14:paraId="54257FB3" w14:textId="77777777">
      <w:pPr>
        <w:jc w:val="both"/>
        <w:rPr>
          <w:rFonts w:eastAsia="Calibri" w:asciiTheme="majorHAnsi" w:hAnsiTheme="majorHAnsi" w:cstheme="majorHAnsi"/>
        </w:rPr>
      </w:pPr>
      <w:r w:rsidRPr="000F4C13">
        <w:rPr>
          <w:rFonts w:eastAsia="Calibri" w:asciiTheme="majorHAnsi" w:hAnsiTheme="majorHAnsi" w:cstheme="majorHAnsi"/>
        </w:rPr>
        <w:t>Other states have established formal structures within their state governments that bring the state’s insurance commissioner and emergency management leadership together at the same table. The Alabama Resilience Council was created by executive order in 2023.</w:t>
      </w:r>
      <w:r w:rsidRPr="000F4C13">
        <w:rPr>
          <w:rFonts w:eastAsia="Calibri" w:asciiTheme="majorHAnsi" w:hAnsiTheme="majorHAnsi" w:cstheme="majorHAnsi"/>
          <w:vertAlign w:val="superscript"/>
        </w:rPr>
        <w:footnoteReference w:id="111"/>
      </w:r>
      <w:r w:rsidRPr="000F4C13">
        <w:rPr>
          <w:rFonts w:eastAsia="Calibri" w:asciiTheme="majorHAnsi" w:hAnsiTheme="majorHAnsi" w:cstheme="majorHAnsi"/>
        </w:rPr>
        <w:t xml:space="preserve"> The council coordinates state government activities and facilitates interactions between the state and private entities to proactively address impacts to Alabamians before they occur.</w:t>
      </w:r>
      <w:r w:rsidRPr="000F4C13">
        <w:rPr>
          <w:rFonts w:eastAsia="Calibri" w:asciiTheme="majorHAnsi" w:hAnsiTheme="majorHAnsi" w:cstheme="majorHAnsi"/>
          <w:vertAlign w:val="superscript"/>
        </w:rPr>
        <w:footnoteReference w:id="112"/>
      </w:r>
      <w:r w:rsidRPr="000F4C13">
        <w:rPr>
          <w:rFonts w:eastAsia="Calibri" w:asciiTheme="majorHAnsi" w:hAnsiTheme="majorHAnsi" w:cstheme="majorHAnsi"/>
        </w:rPr>
        <w:t xml:space="preserve"> The Council includes an additional 12 state entities, and its work provides a forum for advancing strategies that reduce risk exposure through improved resiliency (which translates into better insurance affordability for consumers and businesses). </w:t>
      </w:r>
    </w:p>
    <w:p w:rsidRPr="000F4C13" w:rsidR="00C96053" w:rsidRDefault="00B2522B" w14:paraId="3DA0D69C" w14:textId="2952FA38">
      <w:pPr>
        <w:jc w:val="both"/>
        <w:rPr>
          <w:rFonts w:eastAsia="Calibri" w:asciiTheme="majorHAnsi" w:hAnsiTheme="majorHAnsi" w:cstheme="majorHAnsi"/>
        </w:rPr>
      </w:pPr>
      <w:r w:rsidRPr="000F4C13">
        <w:rPr>
          <w:rFonts w:eastAsia="Calibri" w:asciiTheme="majorHAnsi" w:hAnsiTheme="majorHAnsi" w:cstheme="majorHAnsi"/>
        </w:rPr>
        <w:t xml:space="preserve">Similarly, the Connecticut Insurance Department formed a </w:t>
      </w:r>
      <w:r w:rsidRPr="000F4C13" w:rsidR="00FA059D">
        <w:rPr>
          <w:rFonts w:eastAsia="Calibri" w:asciiTheme="majorHAnsi" w:hAnsiTheme="majorHAnsi" w:cstheme="majorHAnsi"/>
        </w:rPr>
        <w:t>multidisciplinary advisory council in 2024 to develop and recommend risk-mitigation</w:t>
      </w:r>
      <w:r w:rsidRPr="000F4C13">
        <w:rPr>
          <w:rFonts w:eastAsia="Calibri" w:asciiTheme="majorHAnsi" w:hAnsiTheme="majorHAnsi" w:cstheme="majorHAnsi"/>
        </w:rPr>
        <w:t xml:space="preserve"> and resiliency programs in that state.</w:t>
      </w:r>
      <w:r w:rsidRPr="000F4C13">
        <w:rPr>
          <w:rFonts w:eastAsia="Calibri" w:asciiTheme="majorHAnsi" w:hAnsiTheme="majorHAnsi" w:cstheme="majorHAnsi"/>
          <w:vertAlign w:val="superscript"/>
        </w:rPr>
        <w:footnoteReference w:id="113"/>
      </w:r>
      <w:r w:rsidRPr="000F4C13">
        <w:rPr>
          <w:rFonts w:eastAsia="Calibri" w:asciiTheme="majorHAnsi" w:hAnsiTheme="majorHAnsi" w:cstheme="majorHAnsi"/>
        </w:rPr>
        <w:t xml:space="preserve"> The advisory council continues to discuss strategies for mitigation, </w:t>
      </w:r>
      <w:r w:rsidR="00BB7349">
        <w:rPr>
          <w:rFonts w:eastAsia="Calibri" w:asciiTheme="majorHAnsi" w:hAnsiTheme="majorHAnsi" w:cstheme="majorHAnsi"/>
        </w:rPr>
        <w:t>consumer incentives, funding sources, and how to target state resources for maximum impact</w:t>
      </w:r>
      <w:r w:rsidRPr="000F4C13">
        <w:rPr>
          <w:rFonts w:eastAsia="Calibri" w:asciiTheme="majorHAnsi" w:hAnsiTheme="majorHAnsi" w:cstheme="majorHAnsi"/>
        </w:rPr>
        <w:t>.</w:t>
      </w:r>
      <w:r w:rsidRPr="000F4C13">
        <w:rPr>
          <w:rFonts w:eastAsia="Calibri" w:asciiTheme="majorHAnsi" w:hAnsiTheme="majorHAnsi" w:cstheme="majorHAnsi"/>
          <w:vertAlign w:val="superscript"/>
        </w:rPr>
        <w:footnoteReference w:id="114"/>
      </w:r>
    </w:p>
    <w:p w:rsidRPr="000F4C13" w:rsidR="00C96053" w:rsidRDefault="00B2522B" w14:paraId="5E55FDAE" w14:textId="77777777">
      <w:pPr>
        <w:pStyle w:val="Heading3"/>
        <w:rPr>
          <w:rFonts w:asciiTheme="majorHAnsi" w:hAnsiTheme="majorHAnsi" w:cstheme="majorHAnsi"/>
        </w:rPr>
      </w:pPr>
      <w:bookmarkStart w:name="_5uk7a1bguqq" w:colFirst="0" w:colLast="0" w:id="44"/>
      <w:bookmarkEnd w:id="44"/>
      <w:r w:rsidRPr="000F4C13">
        <w:rPr>
          <w:rFonts w:asciiTheme="majorHAnsi" w:hAnsiTheme="majorHAnsi" w:cstheme="majorHAnsi"/>
        </w:rPr>
        <w:t>Technology and Data Innovation</w:t>
      </w:r>
    </w:p>
    <w:p w:rsidRPr="000F4C13" w:rsidR="00C96053" w:rsidRDefault="00B2522B" w14:paraId="23F1E257" w14:textId="77777777">
      <w:pPr>
        <w:pStyle w:val="Heading4"/>
        <w:rPr>
          <w:rFonts w:asciiTheme="majorHAnsi" w:hAnsiTheme="majorHAnsi" w:cstheme="majorHAnsi"/>
        </w:rPr>
      </w:pPr>
      <w:bookmarkStart w:name="_eg9486yprnw4" w:colFirst="0" w:colLast="0" w:id="45"/>
      <w:bookmarkEnd w:id="45"/>
      <w:r w:rsidRPr="000F4C13">
        <w:rPr>
          <w:rFonts w:asciiTheme="majorHAnsi" w:hAnsiTheme="majorHAnsi" w:cstheme="majorHAnsi"/>
        </w:rPr>
        <w:t>GIS/Satellite-based Risk Scoring and Post-disaster Verification</w:t>
      </w:r>
    </w:p>
    <w:p w:rsidRPr="000F4C13" w:rsidR="00C96053" w:rsidRDefault="00B2522B" w14:paraId="1184ED30" w14:textId="3C5BD1C5">
      <w:pPr>
        <w:jc w:val="both"/>
        <w:rPr>
          <w:rFonts w:eastAsia="Calibri" w:asciiTheme="majorHAnsi" w:hAnsiTheme="majorHAnsi" w:cstheme="majorHAnsi"/>
          <w:b/>
          <w:bCs/>
        </w:rPr>
      </w:pPr>
      <w:r w:rsidRPr="000F4C13">
        <w:rPr>
          <w:rFonts w:eastAsia="Calibri" w:asciiTheme="majorHAnsi" w:hAnsiTheme="majorHAnsi" w:cstheme="majorHAnsi"/>
        </w:rPr>
        <w:t xml:space="preserve">Insurers are increasingly using technology </w:t>
      </w:r>
      <w:r w:rsidRPr="000F4C13" w:rsidR="00853E1D">
        <w:rPr>
          <w:rFonts w:eastAsia="Calibri" w:asciiTheme="majorHAnsi" w:hAnsiTheme="majorHAnsi" w:cstheme="majorHAnsi"/>
        </w:rPr>
        <w:t>across</w:t>
      </w:r>
      <w:r w:rsidRPr="000F4C13">
        <w:rPr>
          <w:rFonts w:eastAsia="Calibri" w:asciiTheme="majorHAnsi" w:hAnsiTheme="majorHAnsi" w:cstheme="majorHAnsi"/>
        </w:rPr>
        <w:t xml:space="preserve"> underwriting, renewals, and post-disaster verification processes. Used appropriately, </w:t>
      </w:r>
      <w:r w:rsidRPr="000F4C13" w:rsidR="006C27AF">
        <w:rPr>
          <w:rFonts w:eastAsia="Calibri" w:asciiTheme="majorHAnsi" w:hAnsiTheme="majorHAnsi" w:cstheme="majorHAnsi"/>
        </w:rPr>
        <w:t>technology can</w:t>
      </w:r>
      <w:r w:rsidRPr="000F4C13">
        <w:rPr>
          <w:rFonts w:eastAsia="Calibri" w:asciiTheme="majorHAnsi" w:hAnsiTheme="majorHAnsi" w:cstheme="majorHAnsi"/>
        </w:rPr>
        <w:t xml:space="preserve"> increase insurers’ capacity to respond to disasters, adjust claims, and assist consumers. Regulators must understand how carriers are integrating new technologies into their workflows to evaluate whether their use is appropriate and </w:t>
      </w:r>
      <w:r w:rsidRPr="000F4C13" w:rsidR="00945CCC">
        <w:rPr>
          <w:rFonts w:eastAsia="Calibri" w:asciiTheme="majorHAnsi" w:hAnsiTheme="majorHAnsi" w:cstheme="majorHAnsi"/>
        </w:rPr>
        <w:t>in compliance with</w:t>
      </w:r>
      <w:r w:rsidRPr="000F4C13">
        <w:rPr>
          <w:rFonts w:eastAsia="Calibri" w:asciiTheme="majorHAnsi" w:hAnsiTheme="majorHAnsi" w:cstheme="majorHAnsi"/>
        </w:rPr>
        <w:t xml:space="preserve"> relevant state laws. </w:t>
      </w:r>
    </w:p>
    <w:p w:rsidRPr="000F4C13" w:rsidR="00C96053" w:rsidP="00F07990" w:rsidRDefault="00B2522B" w14:paraId="338C0C27" w14:textId="16F6BA9F">
      <w:pPr>
        <w:keepNext/>
        <w:keepLines/>
        <w:jc w:val="both"/>
        <w:rPr>
          <w:rFonts w:eastAsia="Calibri" w:asciiTheme="majorHAnsi" w:hAnsiTheme="majorHAnsi" w:cstheme="majorHAnsi"/>
        </w:rPr>
      </w:pPr>
      <w:r w:rsidRPr="000F4C13">
        <w:rPr>
          <w:rFonts w:eastAsia="Calibri" w:asciiTheme="majorHAnsi" w:hAnsiTheme="majorHAnsi" w:cstheme="majorHAnsi"/>
        </w:rPr>
        <w:t>For example, satellite imagery has long been used by insurers to understand the risk profile of specific geographic areas. But satellite and drone imagery is now being used in the renewal process and in post-disaster settings. These tools have the potential to augment a company’s modeling capacity to understand risk exposure</w:t>
      </w:r>
      <w:r w:rsidRPr="000F4C13" w:rsidR="00C93407">
        <w:rPr>
          <w:rFonts w:eastAsia="Calibri" w:asciiTheme="majorHAnsi" w:hAnsiTheme="majorHAnsi" w:cstheme="majorHAnsi"/>
        </w:rPr>
        <w:t>,</w:t>
      </w:r>
      <w:r w:rsidRPr="000F4C13">
        <w:rPr>
          <w:rFonts w:eastAsia="Calibri" w:asciiTheme="majorHAnsi" w:hAnsiTheme="majorHAnsi" w:cstheme="majorHAnsi"/>
        </w:rPr>
        <w:t xml:space="preserve"> but can also be used to limit policy sales and renewals. As with any technology, its use can </w:t>
      </w:r>
      <w:r w:rsidRPr="000F4C13" w:rsidR="00C93407">
        <w:rPr>
          <w:rFonts w:eastAsia="Calibri" w:asciiTheme="majorHAnsi" w:hAnsiTheme="majorHAnsi" w:cstheme="majorHAnsi"/>
        </w:rPr>
        <w:t>improve affordability for consumers, but it can</w:t>
      </w:r>
      <w:r w:rsidRPr="000F4C13">
        <w:rPr>
          <w:rFonts w:eastAsia="Calibri" w:asciiTheme="majorHAnsi" w:hAnsiTheme="majorHAnsi" w:cstheme="majorHAnsi"/>
        </w:rPr>
        <w:t xml:space="preserve"> also be used to restrict access to coverage.</w:t>
      </w:r>
    </w:p>
    <w:p w:rsidRPr="000F4C13" w:rsidR="00C96053" w:rsidRDefault="00B2522B" w14:paraId="1EBAF31C" w14:textId="77777777">
      <w:pPr>
        <w:pStyle w:val="Heading4"/>
        <w:rPr>
          <w:rFonts w:asciiTheme="majorHAnsi" w:hAnsiTheme="majorHAnsi" w:cstheme="majorHAnsi"/>
        </w:rPr>
      </w:pPr>
      <w:bookmarkStart w:name="_rfs9onwtyh98" w:colFirst="0" w:colLast="0" w:id="46"/>
      <w:bookmarkEnd w:id="46"/>
      <w:r w:rsidRPr="000F4C13">
        <w:rPr>
          <w:rFonts w:asciiTheme="majorHAnsi" w:hAnsiTheme="majorHAnsi" w:cstheme="majorHAnsi"/>
        </w:rPr>
        <w:t xml:space="preserve">Climate Model Integrations with State Affordability Forecasts </w:t>
      </w:r>
    </w:p>
    <w:p w:rsidRPr="000F4C13" w:rsidR="00C96053" w:rsidRDefault="00B2522B" w14:paraId="050D42D5" w14:textId="77777777">
      <w:pPr>
        <w:jc w:val="both"/>
        <w:rPr>
          <w:rFonts w:eastAsia="Calibri" w:asciiTheme="majorHAnsi" w:hAnsiTheme="majorHAnsi" w:cstheme="majorHAnsi"/>
        </w:rPr>
      </w:pPr>
      <w:r w:rsidRPr="000F4C13">
        <w:rPr>
          <w:rFonts w:eastAsia="Calibri" w:asciiTheme="majorHAnsi" w:hAnsiTheme="majorHAnsi" w:cstheme="majorHAnsi"/>
        </w:rPr>
        <w:t xml:space="preserve">Climate models are becoming increasingly important for insurers’ ability to accurately price risks associated with extreme weather events. States are taking a variety of approaches to understanding how climate models are used and how they affect consumer pricing. </w:t>
      </w:r>
    </w:p>
    <w:p w:rsidRPr="000F4C13" w:rsidR="00C96053" w:rsidRDefault="00B2522B" w14:paraId="68C987B2" w14:textId="0C47C590">
      <w:pPr>
        <w:jc w:val="both"/>
        <w:rPr>
          <w:rFonts w:eastAsia="Calibri" w:asciiTheme="majorHAnsi" w:hAnsiTheme="majorHAnsi" w:cstheme="majorHAnsi"/>
        </w:rPr>
      </w:pPr>
      <w:r w:rsidRPr="000F4C13">
        <w:rPr>
          <w:rFonts w:eastAsia="Calibri" w:asciiTheme="majorHAnsi" w:hAnsiTheme="majorHAnsi" w:cstheme="majorHAnsi"/>
        </w:rPr>
        <w:t xml:space="preserve">The Florida Public Hurricane Loss Model (FPHLM) was established by the Florida legislature in 1995 and </w:t>
      </w:r>
      <w:r w:rsidRPr="000F4C13" w:rsidR="00C93407">
        <w:rPr>
          <w:rFonts w:eastAsia="Calibri" w:asciiTheme="majorHAnsi" w:hAnsiTheme="majorHAnsi" w:cstheme="majorHAnsi"/>
        </w:rPr>
        <w:t xml:space="preserve">released its first version </w:t>
      </w:r>
      <w:r w:rsidRPr="000F4C13">
        <w:rPr>
          <w:rFonts w:eastAsia="Calibri" w:asciiTheme="majorHAnsi" w:hAnsiTheme="majorHAnsi" w:cstheme="majorHAnsi"/>
        </w:rPr>
        <w:t>in 2006.</w:t>
      </w:r>
      <w:r w:rsidRPr="000F4C13">
        <w:rPr>
          <w:rFonts w:eastAsia="Calibri" w:asciiTheme="majorHAnsi" w:hAnsiTheme="majorHAnsi" w:cstheme="majorHAnsi"/>
          <w:vertAlign w:val="superscript"/>
        </w:rPr>
        <w:footnoteReference w:id="115"/>
      </w:r>
      <w:r w:rsidRPr="000F4C13">
        <w:rPr>
          <w:rFonts w:eastAsia="Calibri" w:asciiTheme="majorHAnsi" w:hAnsiTheme="majorHAnsi" w:cstheme="majorHAnsi"/>
        </w:rPr>
        <w:t xml:space="preserve"> The FPHLM is </w:t>
      </w:r>
      <w:r w:rsidRPr="000F4C13" w:rsidR="008606AA">
        <w:rPr>
          <w:rFonts w:eastAsia="Calibri" w:asciiTheme="majorHAnsi" w:hAnsiTheme="majorHAnsi" w:cstheme="majorHAnsi"/>
        </w:rPr>
        <w:t xml:space="preserve">used </w:t>
      </w:r>
      <w:r w:rsidRPr="000F4C13">
        <w:rPr>
          <w:rFonts w:eastAsia="Calibri" w:asciiTheme="majorHAnsi" w:hAnsiTheme="majorHAnsi" w:cstheme="majorHAnsi"/>
        </w:rPr>
        <w:t>in insurance ratemaking, disaster planning, and state financial oversight of insurance companies. The model is a collaboration between the state, NOAA, risk consultants, and researchers from several universities in Florida and across the country.</w:t>
      </w:r>
      <w:r w:rsidRPr="000F4C13">
        <w:rPr>
          <w:rFonts w:eastAsia="Calibri" w:asciiTheme="majorHAnsi" w:hAnsiTheme="majorHAnsi" w:cstheme="majorHAnsi"/>
          <w:vertAlign w:val="superscript"/>
        </w:rPr>
        <w:footnoteReference w:id="116"/>
      </w:r>
      <w:r w:rsidRPr="000F4C13">
        <w:rPr>
          <w:rFonts w:eastAsia="Calibri" w:asciiTheme="majorHAnsi" w:hAnsiTheme="majorHAnsi" w:cstheme="majorHAnsi"/>
        </w:rPr>
        <w:t xml:space="preserve"> It is a strong model for states interested in integrating climate modeling into their insurance systems. </w:t>
      </w:r>
    </w:p>
    <w:p w:rsidRPr="000F4C13" w:rsidR="00C96053" w:rsidRDefault="00B2522B" w14:paraId="166798D9" w14:textId="0B812D85">
      <w:pPr>
        <w:jc w:val="both"/>
        <w:rPr>
          <w:rFonts w:eastAsia="Calibri" w:asciiTheme="majorHAnsi" w:hAnsiTheme="majorHAnsi" w:cstheme="majorHAnsi"/>
        </w:rPr>
      </w:pPr>
      <w:r w:rsidRPr="000F4C13">
        <w:rPr>
          <w:rFonts w:eastAsia="Calibri" w:asciiTheme="majorHAnsi" w:hAnsiTheme="majorHAnsi" w:cstheme="majorHAnsi"/>
        </w:rPr>
        <w:t>During the 2025 session, California passed a new law requiring the creation of a public wildfire catastrophe model.</w:t>
      </w:r>
      <w:r w:rsidRPr="000F4C13">
        <w:rPr>
          <w:rFonts w:eastAsia="Calibri" w:asciiTheme="majorHAnsi" w:hAnsiTheme="majorHAnsi" w:cstheme="majorHAnsi"/>
          <w:vertAlign w:val="superscript"/>
        </w:rPr>
        <w:footnoteReference w:id="117"/>
      </w:r>
      <w:r w:rsidRPr="000F4C13">
        <w:rPr>
          <w:rFonts w:eastAsia="Calibri" w:asciiTheme="majorHAnsi" w:hAnsiTheme="majorHAnsi" w:cstheme="majorHAnsi"/>
        </w:rPr>
        <w:t xml:space="preserve"> The California Insurance Department, in partnership with Cal Poly Humboldt, has convened a strategy group to inform the development of this new model and make recommendations on its construction and use.</w:t>
      </w:r>
      <w:r w:rsidRPr="000F4C13">
        <w:rPr>
          <w:rFonts w:eastAsia="Calibri" w:asciiTheme="majorHAnsi" w:hAnsiTheme="majorHAnsi" w:cstheme="majorHAnsi"/>
          <w:vertAlign w:val="superscript"/>
        </w:rPr>
        <w:footnoteReference w:id="118"/>
      </w:r>
      <w:r w:rsidRPr="000F4C13">
        <w:rPr>
          <w:rFonts w:eastAsia="Calibri" w:asciiTheme="majorHAnsi" w:hAnsiTheme="majorHAnsi" w:cstheme="majorHAnsi"/>
        </w:rPr>
        <w:t xml:space="preserve"> The new model will be public and used to both assess wildfire risk and help the California Insurance Department oversee </w:t>
      </w:r>
      <w:r w:rsidRPr="000F4C13" w:rsidR="00DF279F">
        <w:rPr>
          <w:rFonts w:eastAsia="Calibri" w:asciiTheme="majorHAnsi" w:hAnsiTheme="majorHAnsi" w:cstheme="majorHAnsi"/>
        </w:rPr>
        <w:t>insurers' rate filings</w:t>
      </w:r>
      <w:r w:rsidRPr="000F4C13">
        <w:rPr>
          <w:rFonts w:eastAsia="Calibri" w:asciiTheme="majorHAnsi" w:hAnsiTheme="majorHAnsi" w:cstheme="majorHAnsi"/>
        </w:rPr>
        <w:t xml:space="preserve">. </w:t>
      </w:r>
    </w:p>
    <w:p w:rsidRPr="000F4C13" w:rsidR="00C96053" w:rsidRDefault="00B2522B" w14:paraId="1F5F86DD" w14:textId="449A3588">
      <w:pPr>
        <w:jc w:val="both"/>
        <w:rPr>
          <w:rFonts w:eastAsia="Calibri" w:asciiTheme="majorHAnsi" w:hAnsiTheme="majorHAnsi" w:cstheme="majorHAnsi"/>
        </w:rPr>
      </w:pPr>
      <w:r w:rsidRPr="000F4C13">
        <w:rPr>
          <w:rFonts w:eastAsia="Calibri" w:asciiTheme="majorHAnsi" w:hAnsiTheme="majorHAnsi" w:cstheme="majorHAnsi"/>
        </w:rPr>
        <w:t>While Florida and California have established state models, many other states may not have the capacity to implement this approach. State regulators can</w:t>
      </w:r>
      <w:r w:rsidRPr="000F4C13" w:rsidR="00297293">
        <w:rPr>
          <w:rFonts w:eastAsia="Calibri" w:asciiTheme="majorHAnsi" w:hAnsiTheme="majorHAnsi" w:cstheme="majorHAnsi"/>
        </w:rPr>
        <w:t xml:space="preserve">, however, draw on </w:t>
      </w:r>
      <w:r w:rsidRPr="000F4C13" w:rsidR="00AC19E8">
        <w:rPr>
          <w:rFonts w:eastAsia="Calibri" w:asciiTheme="majorHAnsi" w:hAnsiTheme="majorHAnsi" w:cstheme="majorHAnsi"/>
        </w:rPr>
        <w:t xml:space="preserve">NAIC resources </w:t>
      </w:r>
      <w:r w:rsidRPr="000F4C13">
        <w:rPr>
          <w:rFonts w:eastAsia="Calibri" w:asciiTheme="majorHAnsi" w:hAnsiTheme="majorHAnsi" w:cstheme="majorHAnsi"/>
        </w:rPr>
        <w:t>to augment their capacity. The Catastrophe Risk Management Center of Excellence (COE) was established within the NAIC’s Center for Insurance Policy and Research (CIPR) to help regulators build technical capacity.</w:t>
      </w:r>
      <w:r w:rsidRPr="000F4C13">
        <w:rPr>
          <w:rFonts w:eastAsia="Calibri" w:asciiTheme="majorHAnsi" w:hAnsiTheme="majorHAnsi" w:cstheme="majorHAnsi"/>
          <w:vertAlign w:val="superscript"/>
        </w:rPr>
        <w:footnoteReference w:id="119"/>
      </w:r>
      <w:r w:rsidRPr="000F4C13">
        <w:rPr>
          <w:rFonts w:eastAsia="Calibri" w:asciiTheme="majorHAnsi" w:hAnsiTheme="majorHAnsi" w:cstheme="majorHAnsi"/>
        </w:rPr>
        <w:t xml:space="preserve"> The COE facilitates regulator access to catastrophe models, provides education and technical assistance to state departments, and conducts research in this space. The COE has partnered with states on several projects </w:t>
      </w:r>
      <w:r w:rsidRPr="000F4C13" w:rsidR="00E9729F">
        <w:rPr>
          <w:rFonts w:eastAsia="Calibri" w:asciiTheme="majorHAnsi" w:hAnsiTheme="majorHAnsi" w:cstheme="majorHAnsi"/>
        </w:rPr>
        <w:t>to lower insurance costs for consumers in those</w:t>
      </w:r>
      <w:r w:rsidRPr="000F4C13">
        <w:rPr>
          <w:rFonts w:eastAsia="Calibri" w:asciiTheme="majorHAnsi" w:hAnsiTheme="majorHAnsi" w:cstheme="majorHAnsi"/>
        </w:rPr>
        <w:t xml:space="preserve"> states. NAIC staff assisted Alabama in developing a discount floor for mandatory insurance premium reductions for homeowners who install a Fortified roof. Similarly, NAIC staff are assisting Minnesota in an assessment of how insurers are calculating discounts for Fortified roofs to improve the state’s speed-to-market in reviewing discount filings. </w:t>
      </w:r>
    </w:p>
    <w:p w:rsidRPr="000F4C13" w:rsidR="00C96053" w:rsidRDefault="00B2522B" w14:paraId="2EC59172" w14:textId="369153C8">
      <w:pPr>
        <w:jc w:val="both"/>
        <w:rPr>
          <w:rFonts w:eastAsia="Calibri" w:asciiTheme="majorHAnsi" w:hAnsiTheme="majorHAnsi" w:cstheme="majorHAnsi"/>
        </w:rPr>
      </w:pPr>
      <w:r w:rsidRPr="000F4C13">
        <w:rPr>
          <w:rFonts w:eastAsia="Calibri" w:asciiTheme="majorHAnsi" w:hAnsiTheme="majorHAnsi" w:cstheme="majorHAnsi"/>
        </w:rPr>
        <w:t xml:space="preserve">Oklahoma has collaborated with the COE to </w:t>
      </w:r>
      <w:r w:rsidRPr="000F4C13" w:rsidR="00E9729F">
        <w:rPr>
          <w:rFonts w:eastAsia="Calibri" w:asciiTheme="majorHAnsi" w:hAnsiTheme="majorHAnsi" w:cstheme="majorHAnsi"/>
        </w:rPr>
        <w:t>use data collected through the PCMI data call to target</w:t>
      </w:r>
      <w:r w:rsidRPr="000F4C13">
        <w:rPr>
          <w:rFonts w:eastAsia="Calibri" w:asciiTheme="majorHAnsi" w:hAnsiTheme="majorHAnsi" w:cstheme="majorHAnsi"/>
        </w:rPr>
        <w:t xml:space="preserve"> high-insurance-risk zip codes in population centers within the state for initial grants from the Strengthen Oklahoma Homes pilot project. This project integrates data collection, catastrophe modeling, and risk mitigation efforts to provide direct support for insurance affordability and accessibility for consumers. </w:t>
      </w:r>
    </w:p>
    <w:p w:rsidRPr="000F4C13" w:rsidR="00C96053" w:rsidRDefault="00B2522B" w14:paraId="6C698EFD" w14:textId="4FD36A76">
      <w:pPr>
        <w:jc w:val="both"/>
        <w:rPr>
          <w:rFonts w:eastAsia="Calibri" w:asciiTheme="majorHAnsi" w:hAnsiTheme="majorHAnsi" w:cstheme="majorHAnsi"/>
        </w:rPr>
      </w:pPr>
      <w:r w:rsidRPr="000F4C13">
        <w:rPr>
          <w:rFonts w:eastAsia="Calibri" w:asciiTheme="majorHAnsi" w:hAnsiTheme="majorHAnsi" w:cstheme="majorHAnsi"/>
        </w:rPr>
        <w:t xml:space="preserve">Many private entities have made catastrophe models available for public use. For example, First Street has developed several predictive models and utilizes them to translate catastrophe modeling outputs into clear, understandable communications, enabling consumers to understand their risk at home or at their place of business. States could consider using models like First Street’s to augment their use of FEMA risk maps when setting boundaries for insurance requirements for risks such as flooding or wildfire. Partnering with state housing agencies to </w:t>
      </w:r>
      <w:r w:rsidRPr="000F4C13" w:rsidR="00AC19E8">
        <w:rPr>
          <w:rFonts w:eastAsia="Calibri" w:asciiTheme="majorHAnsi" w:hAnsiTheme="majorHAnsi" w:cstheme="majorHAnsi"/>
        </w:rPr>
        <w:t xml:space="preserve">use this </w:t>
      </w:r>
      <w:r w:rsidRPr="000F4C13">
        <w:rPr>
          <w:rFonts w:eastAsia="Calibri" w:asciiTheme="majorHAnsi" w:hAnsiTheme="majorHAnsi" w:cstheme="majorHAnsi"/>
        </w:rPr>
        <w:t>model could also enhance insurance coverage for affordable housing providers and other businesses.</w:t>
      </w:r>
    </w:p>
    <w:p w:rsidRPr="000F4C13" w:rsidR="00C96053" w:rsidRDefault="00B2522B" w14:paraId="289F722D" w14:textId="77777777">
      <w:pPr>
        <w:pStyle w:val="Heading4"/>
        <w:rPr>
          <w:rFonts w:asciiTheme="majorHAnsi" w:hAnsiTheme="majorHAnsi" w:cstheme="majorHAnsi"/>
        </w:rPr>
      </w:pPr>
      <w:bookmarkStart w:name="_xvez7ind8aun" w:colFirst="0" w:colLast="0" w:id="47"/>
      <w:bookmarkEnd w:id="47"/>
      <w:r w:rsidRPr="000F4C13">
        <w:rPr>
          <w:rFonts w:asciiTheme="majorHAnsi" w:hAnsiTheme="majorHAnsi" w:cstheme="majorHAnsi"/>
        </w:rPr>
        <w:t>Artificial Intelligence for Claims Triage and Fraud Reduction</w:t>
      </w:r>
    </w:p>
    <w:p w:rsidRPr="000F4C13" w:rsidR="00C96053" w:rsidRDefault="00B2522B" w14:paraId="07EC0257" w14:textId="50AF57F8">
      <w:pPr>
        <w:jc w:val="both"/>
        <w:rPr>
          <w:rFonts w:eastAsia="Calibri" w:asciiTheme="majorHAnsi" w:hAnsiTheme="majorHAnsi" w:cstheme="majorHAnsi"/>
        </w:rPr>
      </w:pPr>
      <w:r w:rsidRPr="000F4C13">
        <w:rPr>
          <w:rFonts w:eastAsia="Calibri" w:asciiTheme="majorHAnsi" w:hAnsiTheme="majorHAnsi" w:cstheme="majorHAnsi"/>
        </w:rPr>
        <w:t xml:space="preserve">As insurers seek to leverage artificial intelligence </w:t>
      </w:r>
      <w:r w:rsidRPr="000F4C13" w:rsidR="00DA115B">
        <w:rPr>
          <w:rFonts w:eastAsia="Calibri" w:asciiTheme="majorHAnsi" w:hAnsiTheme="majorHAnsi" w:cstheme="majorHAnsi"/>
        </w:rPr>
        <w:t>to increase speed and efficiency, regulators must ensure transparency into how carriers use</w:t>
      </w:r>
      <w:r w:rsidRPr="000F4C13">
        <w:rPr>
          <w:rFonts w:eastAsia="Calibri" w:asciiTheme="majorHAnsi" w:hAnsiTheme="majorHAnsi" w:cstheme="majorHAnsi"/>
        </w:rPr>
        <w:t xml:space="preserve"> these tools in a rapidly evolving space. AI use has the potential to help insurers reduce administrative costs and detect or prevent fraud within the claims system, creating savings that could be passed on to consumers. However, AI use also raises several factors that pose risks to the affordability and availability of insurance for consumers and businesses. </w:t>
      </w:r>
      <w:r w:rsidRPr="000F4C13" w:rsidR="00F32B83">
        <w:rPr>
          <w:rFonts w:eastAsia="Calibri" w:asciiTheme="majorHAnsi" w:hAnsiTheme="majorHAnsi" w:cstheme="majorHAnsi"/>
        </w:rPr>
        <w:t xml:space="preserve">The </w:t>
      </w:r>
      <w:r w:rsidRPr="000F4C13" w:rsidR="00075F4E">
        <w:rPr>
          <w:rFonts w:eastAsia="Calibri" w:asciiTheme="majorHAnsi" w:hAnsiTheme="majorHAnsi" w:cstheme="majorHAnsi"/>
        </w:rPr>
        <w:t xml:space="preserve">NAIC </w:t>
      </w:r>
      <w:r w:rsidRPr="000F4C13" w:rsidR="00F32B83">
        <w:rPr>
          <w:rFonts w:eastAsia="Calibri" w:asciiTheme="majorHAnsi" w:hAnsiTheme="majorHAnsi" w:cstheme="majorHAnsi"/>
        </w:rPr>
        <w:t xml:space="preserve">Big Data and Artificial Intelligence (H) Working Group has developed a tool to assist regulators in support of their examinations or </w:t>
      </w:r>
      <w:r w:rsidRPr="000F4C13" w:rsidR="00075F4E">
        <w:rPr>
          <w:rFonts w:eastAsia="Calibri" w:asciiTheme="majorHAnsi" w:hAnsiTheme="majorHAnsi" w:cstheme="majorHAnsi"/>
        </w:rPr>
        <w:t>regulatory</w:t>
      </w:r>
      <w:r w:rsidRPr="000F4C13" w:rsidR="00F32B83">
        <w:rPr>
          <w:rFonts w:eastAsia="Calibri" w:asciiTheme="majorHAnsi" w:hAnsiTheme="majorHAnsi" w:cstheme="majorHAnsi"/>
        </w:rPr>
        <w:t xml:space="preserve"> inquiries. The </w:t>
      </w:r>
      <w:r w:rsidRPr="000F4C13" w:rsidR="00F0623F">
        <w:rPr>
          <w:rFonts w:eastAsia="Calibri" w:asciiTheme="majorHAnsi" w:hAnsiTheme="majorHAnsi" w:cstheme="majorHAnsi"/>
        </w:rPr>
        <w:t>t</w:t>
      </w:r>
      <w:r w:rsidRPr="000F4C13" w:rsidR="00F32B83">
        <w:rPr>
          <w:rFonts w:eastAsia="Calibri" w:asciiTheme="majorHAnsi" w:hAnsiTheme="majorHAnsi" w:cstheme="majorHAnsi"/>
        </w:rPr>
        <w:t xml:space="preserve">ool is now being piloted by 12 states. The </w:t>
      </w:r>
      <w:r w:rsidRPr="000F4C13" w:rsidR="00B255D6">
        <w:rPr>
          <w:rFonts w:eastAsia="Calibri" w:asciiTheme="majorHAnsi" w:hAnsiTheme="majorHAnsi" w:cstheme="majorHAnsi"/>
        </w:rPr>
        <w:t>pilot's experience</w:t>
      </w:r>
      <w:r w:rsidRPr="000F4C13" w:rsidR="00F32B83">
        <w:rPr>
          <w:rFonts w:eastAsia="Calibri" w:asciiTheme="majorHAnsi" w:hAnsiTheme="majorHAnsi" w:cstheme="majorHAnsi"/>
        </w:rPr>
        <w:t xml:space="preserve"> will provide insights </w:t>
      </w:r>
      <w:r w:rsidRPr="000F4C13" w:rsidR="00FB58CD">
        <w:rPr>
          <w:rFonts w:eastAsia="Calibri" w:asciiTheme="majorHAnsi" w:hAnsiTheme="majorHAnsi" w:cstheme="majorHAnsi"/>
        </w:rPr>
        <w:t>into updating</w:t>
      </w:r>
      <w:r w:rsidRPr="000F4C13" w:rsidR="00F0623F">
        <w:rPr>
          <w:rFonts w:eastAsia="Calibri" w:asciiTheme="majorHAnsi" w:hAnsiTheme="majorHAnsi" w:cstheme="majorHAnsi"/>
        </w:rPr>
        <w:t xml:space="preserve"> the tool,</w:t>
      </w:r>
      <w:r w:rsidRPr="000F4C13" w:rsidR="00F32B83">
        <w:rPr>
          <w:rFonts w:eastAsia="Calibri" w:asciiTheme="majorHAnsi" w:hAnsiTheme="majorHAnsi" w:cstheme="majorHAnsi"/>
        </w:rPr>
        <w:t xml:space="preserve"> which may be adopted later in 2026.</w:t>
      </w:r>
    </w:p>
    <w:p w:rsidRPr="000F4C13" w:rsidR="00C96053" w:rsidRDefault="00B2522B" w14:paraId="3A1C8858" w14:textId="12B1A11A">
      <w:pPr>
        <w:jc w:val="both"/>
        <w:rPr>
          <w:rFonts w:eastAsia="Calibri" w:asciiTheme="majorHAnsi" w:hAnsiTheme="majorHAnsi" w:cstheme="majorHAnsi"/>
          <w:b/>
          <w:bCs/>
        </w:rPr>
      </w:pPr>
      <w:r w:rsidRPr="000F4C13">
        <w:rPr>
          <w:rFonts w:eastAsia="Calibri" w:asciiTheme="majorHAnsi" w:hAnsiTheme="majorHAnsi" w:cstheme="majorHAnsi"/>
        </w:rPr>
        <w:t xml:space="preserve">The use of AI may pose several risks to consumers. AI models that </w:t>
      </w:r>
      <w:r w:rsidRPr="000F4C13" w:rsidR="00DA115B">
        <w:rPr>
          <w:rFonts w:eastAsia="Calibri" w:asciiTheme="majorHAnsi" w:hAnsiTheme="majorHAnsi" w:cstheme="majorHAnsi"/>
        </w:rPr>
        <w:t>use data (both internally developed and from third-party sources) that include variables serving as proxies for otherwise unfair</w:t>
      </w:r>
      <w:r w:rsidRPr="000F4C13">
        <w:rPr>
          <w:rFonts w:eastAsia="Calibri" w:asciiTheme="majorHAnsi" w:hAnsiTheme="majorHAnsi" w:cstheme="majorHAnsi"/>
        </w:rPr>
        <w:t xml:space="preserve"> discriminatory factors are of concern to regulators. Overly restrictive models can also lead to unnecessary non-renewals or coverage denials, particularly in disadvantaged communities. Insurance regulators also need to consider how insurers using AI gather and store information that may be classified as not public under state public information or data laws. The NAIC’s efforts in this space aim to maximize the benefits of AI for efficiency and fraud detection, while maintaining regulatory oversight to prevent unfair discrimination or unfair trade practices that may harm consumers. </w:t>
      </w:r>
    </w:p>
    <w:p w:rsidRPr="000F4C13" w:rsidR="00C96053" w:rsidRDefault="0035069D" w14:paraId="73A766F1" w14:textId="77777777">
      <w:pPr>
        <w:jc w:val="both"/>
        <w:rPr>
          <w:rFonts w:eastAsia="Calibri" w:asciiTheme="majorHAnsi" w:hAnsiTheme="majorHAnsi" w:cstheme="majorHAnsi"/>
        </w:rPr>
      </w:pPr>
      <w:r>
        <w:rPr>
          <w:rFonts w:asciiTheme="majorHAnsi" w:hAnsiTheme="majorHAnsi" w:cstheme="majorHAnsi"/>
        </w:rPr>
        <w:pict w14:anchorId="641F1BDE">
          <v:rect id="_x0000_i1030" style="width:0;height:1.5pt" o:hr="t" o:hrstd="t" o:hralign="center" fillcolor="#a0a0a0" stroked="f"/>
        </w:pict>
      </w:r>
    </w:p>
    <w:p w:rsidR="00D82853" w:rsidP="00463E2F" w:rsidRDefault="00D82853" w14:paraId="2D8E5383" w14:textId="77777777">
      <w:pPr>
        <w:pStyle w:val="Heading3"/>
        <w:spacing w:after="120"/>
        <w:rPr>
          <w:rFonts w:asciiTheme="majorHAnsi" w:hAnsiTheme="majorHAnsi" w:cstheme="majorHAnsi"/>
        </w:rPr>
      </w:pPr>
      <w:bookmarkStart w:name="_co7wye5wxgv5" w:colFirst="0" w:colLast="0" w:id="48"/>
      <w:bookmarkEnd w:id="48"/>
    </w:p>
    <w:p w:rsidR="00D82853" w:rsidP="00463E2F" w:rsidRDefault="00D82853" w14:paraId="0CE1AB42" w14:textId="77777777">
      <w:pPr>
        <w:pStyle w:val="Heading3"/>
        <w:spacing w:after="120"/>
        <w:rPr>
          <w:rFonts w:asciiTheme="majorHAnsi" w:hAnsiTheme="majorHAnsi" w:cstheme="majorHAnsi"/>
        </w:rPr>
      </w:pPr>
    </w:p>
    <w:p w:rsidR="00D82853" w:rsidP="00463E2F" w:rsidRDefault="00D82853" w14:paraId="1A259213" w14:textId="77777777">
      <w:pPr>
        <w:pStyle w:val="Heading3"/>
        <w:spacing w:after="120"/>
        <w:rPr>
          <w:rFonts w:asciiTheme="majorHAnsi" w:hAnsiTheme="majorHAnsi" w:cstheme="majorHAnsi"/>
        </w:rPr>
      </w:pPr>
    </w:p>
    <w:p w:rsidR="00D82853" w:rsidP="00463E2F" w:rsidRDefault="00D82853" w14:paraId="71FDCB75" w14:textId="77777777">
      <w:pPr>
        <w:pStyle w:val="Heading3"/>
        <w:spacing w:after="120"/>
        <w:rPr>
          <w:rFonts w:asciiTheme="majorHAnsi" w:hAnsiTheme="majorHAnsi" w:cstheme="majorHAnsi"/>
        </w:rPr>
      </w:pPr>
    </w:p>
    <w:p w:rsidR="00D82853" w:rsidP="00463E2F" w:rsidRDefault="00D82853" w14:paraId="508488A8" w14:textId="77777777">
      <w:pPr>
        <w:pStyle w:val="Heading3"/>
        <w:spacing w:after="120"/>
        <w:rPr>
          <w:rFonts w:asciiTheme="majorHAnsi" w:hAnsiTheme="majorHAnsi" w:cstheme="majorHAnsi"/>
        </w:rPr>
      </w:pPr>
    </w:p>
    <w:p w:rsidR="00D82853" w:rsidP="00463E2F" w:rsidRDefault="00D82853" w14:paraId="26E300F8" w14:textId="77777777">
      <w:pPr>
        <w:pStyle w:val="Heading3"/>
        <w:spacing w:after="120"/>
        <w:rPr>
          <w:rFonts w:asciiTheme="majorHAnsi" w:hAnsiTheme="majorHAnsi" w:cstheme="majorHAnsi"/>
        </w:rPr>
      </w:pPr>
    </w:p>
    <w:p w:rsidR="00D82853" w:rsidP="00463E2F" w:rsidRDefault="00D82853" w14:paraId="03D889BD" w14:textId="77777777">
      <w:pPr>
        <w:pStyle w:val="Heading3"/>
        <w:spacing w:after="120"/>
        <w:rPr>
          <w:rFonts w:asciiTheme="majorHAnsi" w:hAnsiTheme="majorHAnsi" w:cstheme="majorHAnsi"/>
        </w:rPr>
      </w:pPr>
    </w:p>
    <w:p w:rsidR="00D82853" w:rsidP="00463E2F" w:rsidRDefault="00D82853" w14:paraId="295C0B82" w14:textId="77777777">
      <w:pPr>
        <w:pStyle w:val="Heading3"/>
        <w:spacing w:after="120"/>
        <w:rPr>
          <w:rFonts w:asciiTheme="majorHAnsi" w:hAnsiTheme="majorHAnsi" w:cstheme="majorHAnsi"/>
        </w:rPr>
      </w:pPr>
    </w:p>
    <w:p w:rsidR="00D82853" w:rsidP="00463E2F" w:rsidRDefault="00D82853" w14:paraId="6376F15D" w14:textId="77777777">
      <w:pPr>
        <w:pStyle w:val="Heading3"/>
        <w:spacing w:after="120"/>
        <w:rPr>
          <w:rFonts w:asciiTheme="majorHAnsi" w:hAnsiTheme="majorHAnsi" w:cstheme="majorHAnsi"/>
        </w:rPr>
      </w:pPr>
    </w:p>
    <w:p w:rsidRPr="006B40C0" w:rsidR="00D82853" w:rsidP="00463E2F" w:rsidRDefault="00D82853" w14:paraId="2A138F9A" w14:textId="77777777">
      <w:pPr>
        <w:pStyle w:val="Heading3"/>
        <w:spacing w:after="120"/>
      </w:pPr>
    </w:p>
    <w:p w:rsidRPr="006B40C0" w:rsidR="00D82853" w:rsidP="00463E2F" w:rsidRDefault="00D82853" w14:paraId="754EE7F8" w14:textId="77777777">
      <w:pPr>
        <w:pStyle w:val="Heading3"/>
        <w:spacing w:after="120"/>
      </w:pPr>
    </w:p>
    <w:p w:rsidRPr="006B40C0" w:rsidR="00D82853" w:rsidP="00463E2F" w:rsidRDefault="00D82853" w14:paraId="1F29431B" w14:textId="77777777">
      <w:pPr>
        <w:pStyle w:val="Heading3"/>
        <w:spacing w:after="120"/>
      </w:pPr>
    </w:p>
    <w:p w:rsidRPr="006B40C0" w:rsidR="00D82853" w:rsidP="00463E2F" w:rsidRDefault="00D82853" w14:paraId="5957E9B0" w14:textId="77777777">
      <w:pPr>
        <w:pStyle w:val="Heading3"/>
        <w:spacing w:after="120"/>
      </w:pPr>
    </w:p>
    <w:p w:rsidRPr="006B40C0" w:rsidR="00D82853" w:rsidP="00463E2F" w:rsidRDefault="00D82853" w14:paraId="30A0364F" w14:textId="77777777">
      <w:pPr>
        <w:pStyle w:val="Heading3"/>
        <w:spacing w:after="120"/>
      </w:pPr>
    </w:p>
    <w:p w:rsidR="00D82853" w:rsidP="00463E2F" w:rsidRDefault="00D82853" w14:paraId="5AEDAC4E" w14:textId="77777777">
      <w:pPr>
        <w:pStyle w:val="Heading3"/>
        <w:spacing w:after="120"/>
      </w:pPr>
    </w:p>
    <w:p w:rsidRPr="00883E07" w:rsidR="00883E07" w:rsidP="00883E07" w:rsidRDefault="00883E07" w14:paraId="26833172" w14:textId="77777777"/>
    <w:p w:rsidRPr="006B40C0" w:rsidR="00CE5C2C" w:rsidP="00CE5C2C" w:rsidRDefault="00CE5C2C" w14:paraId="72778DC5" w14:textId="77777777">
      <w:pPr>
        <w:rPr>
          <w:rFonts w:ascii="Calibri" w:hAnsi="Calibri" w:cs="Calibri"/>
        </w:rPr>
      </w:pPr>
    </w:p>
    <w:p w:rsidRPr="006B40C0" w:rsidR="00CE5C2C" w:rsidP="00CE5C2C" w:rsidRDefault="00CE5C2C" w14:paraId="1BD085AA" w14:textId="77777777">
      <w:pPr>
        <w:rPr>
          <w:rFonts w:ascii="Calibri" w:hAnsi="Calibri" w:cs="Calibri"/>
        </w:rPr>
      </w:pPr>
    </w:p>
    <w:p w:rsidRPr="006B40C0" w:rsidR="00926630" w:rsidP="00926630" w:rsidRDefault="00926630" w14:paraId="72F94A9A" w14:textId="77777777">
      <w:pPr>
        <w:pStyle w:val="Heading3"/>
        <w:spacing w:after="120"/>
      </w:pPr>
      <w:r w:rsidRPr="006B40C0">
        <w:t xml:space="preserve">By Peril, By State Strategies </w:t>
      </w:r>
    </w:p>
    <w:p w:rsidRPr="006B40C0" w:rsidR="00C96053" w:rsidRDefault="00B2522B" w14:paraId="7825169F" w14:textId="4BFD787C">
      <w:pPr>
        <w:pStyle w:val="Heading2"/>
        <w:rPr>
          <w:sz w:val="28"/>
          <w:szCs w:val="28"/>
        </w:rPr>
      </w:pPr>
      <w:r w:rsidRPr="006B40C0">
        <w:rPr>
          <w:sz w:val="28"/>
          <w:szCs w:val="28"/>
        </w:rPr>
        <w:t>Hurricanes—Florida, Mississippi, and Alabama</w:t>
      </w:r>
    </w:p>
    <w:p w:rsidRPr="006B40C0" w:rsidR="00C96053" w:rsidP="00176416" w:rsidRDefault="006E1C8D" w14:paraId="41E1C155" w14:textId="72A2E617">
      <w:pPr>
        <w:pStyle w:val="Heading3"/>
        <w:spacing w:after="120"/>
      </w:pPr>
      <w:bookmarkStart w:name="_39jdem9z5g80" w:colFirst="0" w:colLast="0" w:id="49"/>
      <w:bookmarkEnd w:id="49"/>
      <w:r w:rsidRPr="006B40C0">
        <w:t>Overview</w:t>
      </w:r>
    </w:p>
    <w:p w:rsidRPr="000F4C13" w:rsidR="00C96053" w:rsidP="008924CD" w:rsidRDefault="00FB287A" w14:paraId="404D2A4D" w14:textId="19B7E2BC">
      <w:pPr>
        <w:spacing w:after="0"/>
        <w:jc w:val="both"/>
        <w:rPr>
          <w:rFonts w:eastAsia="Calibri" w:asciiTheme="majorHAnsi" w:hAnsiTheme="majorHAnsi" w:cstheme="majorHAnsi"/>
          <w:b/>
          <w:bCs/>
        </w:rPr>
      </w:pPr>
      <w:r w:rsidRPr="000F4C13">
        <w:rPr>
          <w:rFonts w:eastAsia="Calibri" w:asciiTheme="majorHAnsi" w:hAnsiTheme="majorHAnsi" w:cstheme="majorHAnsi"/>
          <w:lang w:val="en-US"/>
        </w:rPr>
        <w:t xml:space="preserve">Hurricanes continue to be one of the most challenging risks for homeowners insurance, especially in states along the Gulf Coast and Atlantic. In Florida, rapid coastal growth and rising sea levels are increasing the number of homes exposed to storm surge, wind, and flooding. In Mississippi and Alabama, repeated hurricane impacts interact with older housing stock, mixed coastal and inland exposure, and communities </w:t>
      </w:r>
      <w:r w:rsidRPr="000F4C13" w:rsidR="00253CAF">
        <w:rPr>
          <w:rFonts w:eastAsia="Calibri" w:asciiTheme="majorHAnsi" w:hAnsiTheme="majorHAnsi" w:cstheme="majorHAnsi"/>
          <w:lang w:val="en-US"/>
        </w:rPr>
        <w:t>with</w:t>
      </w:r>
      <w:r w:rsidRPr="000F4C13">
        <w:rPr>
          <w:rFonts w:eastAsia="Calibri" w:asciiTheme="majorHAnsi" w:hAnsiTheme="majorHAnsi" w:cstheme="majorHAnsi"/>
          <w:lang w:val="en-US"/>
        </w:rPr>
        <w:t xml:space="preserve"> fewer resources to recover from major storms. Across </w:t>
      </w:r>
      <w:r w:rsidRPr="000F4C13" w:rsidR="009F57A3">
        <w:rPr>
          <w:rFonts w:eastAsia="Calibri" w:asciiTheme="majorHAnsi" w:hAnsiTheme="majorHAnsi" w:cstheme="majorHAnsi"/>
          <w:lang w:val="en-US"/>
        </w:rPr>
        <w:t>the region</w:t>
      </w:r>
      <w:r w:rsidRPr="000F4C13">
        <w:rPr>
          <w:rFonts w:eastAsia="Calibri" w:asciiTheme="majorHAnsi" w:hAnsiTheme="majorHAnsi" w:cstheme="majorHAnsi"/>
          <w:lang w:val="en-US"/>
        </w:rPr>
        <w:t xml:space="preserve">, hurricanes </w:t>
      </w:r>
      <w:r w:rsidRPr="000F4C13" w:rsidR="009F57A3">
        <w:rPr>
          <w:rFonts w:eastAsia="Calibri" w:asciiTheme="majorHAnsi" w:hAnsiTheme="majorHAnsi" w:cstheme="majorHAnsi"/>
          <w:lang w:val="en-US"/>
        </w:rPr>
        <w:t xml:space="preserve">have </w:t>
      </w:r>
      <w:r w:rsidRPr="000F4C13">
        <w:rPr>
          <w:rFonts w:eastAsia="Calibri" w:asciiTheme="majorHAnsi" w:hAnsiTheme="majorHAnsi" w:cstheme="majorHAnsi"/>
          <w:lang w:val="en-US"/>
        </w:rPr>
        <w:t>drive</w:t>
      </w:r>
      <w:r w:rsidRPr="000F4C13" w:rsidR="009F57A3">
        <w:rPr>
          <w:rFonts w:eastAsia="Calibri" w:asciiTheme="majorHAnsi" w:hAnsiTheme="majorHAnsi" w:cstheme="majorHAnsi"/>
          <w:lang w:val="en-US"/>
        </w:rPr>
        <w:t>n</w:t>
      </w:r>
      <w:r w:rsidRPr="000F4C13">
        <w:rPr>
          <w:rFonts w:eastAsia="Calibri" w:asciiTheme="majorHAnsi" w:hAnsiTheme="majorHAnsi" w:cstheme="majorHAnsi"/>
          <w:lang w:val="en-US"/>
        </w:rPr>
        <w:t xml:space="preserve"> higher losses, rising insurance costs, and, in some areas, fewer coverage options as insurers reassess risk. While these challenges are shared, each state has responded differently through building standards, mitigation programs, data collection, and market oversight. The examples in this section are intended to highlight approaches that may be useful not only in Florida, Mississippi, and Alabama, but also in other states that face hurricane risk now or may face it more frequently in the future</w:t>
      </w:r>
      <w:r w:rsidRPr="000F4C13" w:rsidR="001A5228">
        <w:rPr>
          <w:rFonts w:eastAsia="Calibri" w:asciiTheme="majorHAnsi" w:hAnsiTheme="majorHAnsi" w:cstheme="majorHAnsi"/>
          <w:lang w:val="en-US"/>
        </w:rPr>
        <w:t>.</w:t>
      </w:r>
    </w:p>
    <w:p w:rsidRPr="000F4C13" w:rsidR="00C96053" w:rsidRDefault="00B2522B" w14:paraId="6B5CA6A2" w14:textId="77777777">
      <w:pPr>
        <w:pStyle w:val="Heading3"/>
        <w:spacing w:after="0"/>
        <w:rPr>
          <w:rFonts w:asciiTheme="majorHAnsi" w:hAnsiTheme="majorHAnsi" w:cstheme="majorHAnsi"/>
        </w:rPr>
      </w:pPr>
      <w:bookmarkStart w:name="_vjzfzo5h04zh" w:colFirst="0" w:colLast="0" w:id="50"/>
      <w:bookmarkEnd w:id="50"/>
      <w:r w:rsidRPr="000F4C13">
        <w:rPr>
          <w:rFonts w:asciiTheme="majorHAnsi" w:hAnsiTheme="majorHAnsi" w:cstheme="majorHAnsi"/>
        </w:rPr>
        <w:t>Florida</w:t>
      </w:r>
    </w:p>
    <w:p w:rsidRPr="000F4C13" w:rsidR="00C96053" w:rsidP="00107022" w:rsidRDefault="00B2522B" w14:paraId="5C718CCF" w14:textId="77777777">
      <w:pPr>
        <w:pStyle w:val="Heading4"/>
        <w:rPr>
          <w:rFonts w:asciiTheme="majorHAnsi" w:hAnsiTheme="majorHAnsi" w:cstheme="majorHAnsi"/>
        </w:rPr>
      </w:pPr>
      <w:bookmarkStart w:name="_g9wf0smg14b" w:colFirst="0" w:colLast="0" w:id="51"/>
      <w:bookmarkEnd w:id="51"/>
      <w:r w:rsidRPr="000F4C13">
        <w:rPr>
          <w:rFonts w:asciiTheme="majorHAnsi" w:hAnsiTheme="majorHAnsi" w:cstheme="majorHAnsi"/>
        </w:rPr>
        <w:t>Introduction</w:t>
      </w:r>
    </w:p>
    <w:p w:rsidRPr="000F4C13" w:rsidR="00C96053" w:rsidRDefault="00B2522B" w14:paraId="0B33DA10" w14:textId="7E68FC0E">
      <w:pPr>
        <w:jc w:val="both"/>
        <w:rPr>
          <w:rFonts w:eastAsia="Calibri" w:asciiTheme="majorHAnsi" w:hAnsiTheme="majorHAnsi" w:cstheme="majorHAnsi"/>
        </w:rPr>
      </w:pPr>
      <w:r w:rsidRPr="000F4C13">
        <w:rPr>
          <w:rFonts w:eastAsia="Calibri" w:asciiTheme="majorHAnsi" w:hAnsiTheme="majorHAnsi" w:cstheme="majorHAnsi"/>
        </w:rPr>
        <w:t xml:space="preserve">On August 24, 1992, Florida’s </w:t>
      </w:r>
      <w:r w:rsidRPr="000F4C13" w:rsidR="004423C2">
        <w:rPr>
          <w:rFonts w:eastAsia="Calibri" w:asciiTheme="majorHAnsi" w:hAnsiTheme="majorHAnsi" w:cstheme="majorHAnsi"/>
        </w:rPr>
        <w:t>i</w:t>
      </w:r>
      <w:r w:rsidRPr="000F4C13">
        <w:rPr>
          <w:rFonts w:eastAsia="Calibri" w:asciiTheme="majorHAnsi" w:hAnsiTheme="majorHAnsi" w:cstheme="majorHAnsi"/>
        </w:rPr>
        <w:t xml:space="preserve">nsurance </w:t>
      </w:r>
      <w:r w:rsidRPr="000F4C13" w:rsidR="004423C2">
        <w:rPr>
          <w:rFonts w:eastAsia="Calibri" w:asciiTheme="majorHAnsi" w:hAnsiTheme="majorHAnsi" w:cstheme="majorHAnsi"/>
        </w:rPr>
        <w:t>m</w:t>
      </w:r>
      <w:r w:rsidRPr="000F4C13">
        <w:rPr>
          <w:rFonts w:eastAsia="Calibri" w:asciiTheme="majorHAnsi" w:hAnsiTheme="majorHAnsi" w:cstheme="majorHAnsi"/>
        </w:rPr>
        <w:t xml:space="preserve">arket was changed forever when Hurricane Andrew made landfall near Homestead, Florida.  </w:t>
      </w:r>
    </w:p>
    <w:p w:rsidRPr="000F4C13" w:rsidR="009D073C" w:rsidRDefault="00D570D3" w14:paraId="37C2F2F8" w14:textId="1B6F3509">
      <w:pPr>
        <w:jc w:val="both"/>
        <w:rPr>
          <w:rFonts w:eastAsia="Calibri" w:asciiTheme="majorHAnsi" w:hAnsiTheme="majorHAnsi" w:cstheme="majorHAnsi"/>
        </w:rPr>
      </w:pPr>
      <w:r w:rsidRPr="000F4C13">
        <w:rPr>
          <w:rFonts w:eastAsia="Calibri" w:asciiTheme="majorHAnsi" w:hAnsiTheme="majorHAnsi" w:cstheme="majorHAnsi"/>
        </w:rPr>
        <w:t xml:space="preserve">In response, </w:t>
      </w:r>
      <w:r w:rsidRPr="000F4C13" w:rsidR="004423C2">
        <w:rPr>
          <w:rFonts w:eastAsia="Calibri" w:asciiTheme="majorHAnsi" w:hAnsiTheme="majorHAnsi" w:cstheme="majorHAnsi"/>
        </w:rPr>
        <w:t>Florida’s</w:t>
      </w:r>
      <w:r w:rsidRPr="000F4C13" w:rsidR="00906EC5">
        <w:rPr>
          <w:rFonts w:eastAsia="Calibri" w:asciiTheme="majorHAnsi" w:hAnsiTheme="majorHAnsi" w:cstheme="majorHAnsi"/>
        </w:rPr>
        <w:t xml:space="preserve"> Insurance Commissioner issued 27 Emergency Rules in 1992 and 30 </w:t>
      </w:r>
      <w:r w:rsidRPr="000F4C13" w:rsidR="004B4FB8">
        <w:rPr>
          <w:rFonts w:eastAsia="Calibri" w:asciiTheme="majorHAnsi" w:hAnsiTheme="majorHAnsi" w:cstheme="majorHAnsi"/>
        </w:rPr>
        <w:t xml:space="preserve">additional rules </w:t>
      </w:r>
      <w:r w:rsidRPr="000F4C13" w:rsidR="00906EC5">
        <w:rPr>
          <w:rFonts w:eastAsia="Calibri" w:asciiTheme="majorHAnsi" w:hAnsiTheme="majorHAnsi" w:cstheme="majorHAnsi"/>
        </w:rPr>
        <w:t xml:space="preserve">in 1993, beginning on August 31, 1992. </w:t>
      </w:r>
      <w:r w:rsidRPr="000F4C13" w:rsidR="00895603">
        <w:rPr>
          <w:rFonts w:eastAsia="Calibri" w:asciiTheme="majorHAnsi" w:hAnsiTheme="majorHAnsi" w:cstheme="majorHAnsi"/>
        </w:rPr>
        <w:t>Amo</w:t>
      </w:r>
      <w:r w:rsidRPr="000F4C13" w:rsidR="004D070A">
        <w:rPr>
          <w:rFonts w:eastAsia="Calibri" w:asciiTheme="majorHAnsi" w:hAnsiTheme="majorHAnsi" w:cstheme="majorHAnsi"/>
        </w:rPr>
        <w:t xml:space="preserve">ng </w:t>
      </w:r>
      <w:r w:rsidRPr="000F4C13" w:rsidR="00906EC5">
        <w:rPr>
          <w:rFonts w:eastAsia="Calibri" w:asciiTheme="majorHAnsi" w:hAnsiTheme="majorHAnsi" w:cstheme="majorHAnsi"/>
        </w:rPr>
        <w:t xml:space="preserve">the most </w:t>
      </w:r>
      <w:r w:rsidRPr="000F4C13" w:rsidR="009D073C">
        <w:rPr>
          <w:rFonts w:eastAsia="Calibri" w:asciiTheme="majorHAnsi" w:hAnsiTheme="majorHAnsi" w:cstheme="majorHAnsi"/>
        </w:rPr>
        <w:t>significant actions were:</w:t>
      </w:r>
    </w:p>
    <w:p w:rsidRPr="000F4C13" w:rsidR="00F35DB6" w:rsidP="0057045C" w:rsidRDefault="00F03D68" w14:paraId="54A30259" w14:textId="09FB1834">
      <w:pPr>
        <w:pStyle w:val="ListParagraph"/>
        <w:numPr>
          <w:ilvl w:val="0"/>
          <w:numId w:val="19"/>
        </w:numPr>
        <w:jc w:val="both"/>
        <w:rPr>
          <w:rFonts w:eastAsia="Calibri" w:asciiTheme="majorHAnsi" w:hAnsiTheme="majorHAnsi" w:cstheme="majorHAnsi"/>
        </w:rPr>
      </w:pPr>
      <w:r w:rsidRPr="000F4C13">
        <w:rPr>
          <w:rFonts w:eastAsia="Calibri" w:asciiTheme="majorHAnsi" w:hAnsiTheme="majorHAnsi" w:cstheme="majorHAnsi"/>
        </w:rPr>
        <w:t>E</w:t>
      </w:r>
      <w:r w:rsidRPr="000F4C13" w:rsidR="00906EC5">
        <w:rPr>
          <w:rFonts w:eastAsia="Calibri" w:asciiTheme="majorHAnsi" w:hAnsiTheme="majorHAnsi" w:cstheme="majorHAnsi"/>
        </w:rPr>
        <w:t>stablish</w:t>
      </w:r>
      <w:r w:rsidRPr="000F4C13">
        <w:rPr>
          <w:rFonts w:eastAsia="Calibri" w:asciiTheme="majorHAnsi" w:hAnsiTheme="majorHAnsi" w:cstheme="majorHAnsi"/>
        </w:rPr>
        <w:t>ing</w:t>
      </w:r>
      <w:r w:rsidRPr="000F4C13" w:rsidR="00906EC5">
        <w:rPr>
          <w:rFonts w:eastAsia="Calibri" w:asciiTheme="majorHAnsi" w:hAnsiTheme="majorHAnsi" w:cstheme="majorHAnsi"/>
        </w:rPr>
        <w:t xml:space="preserve"> a </w:t>
      </w:r>
      <w:r w:rsidRPr="000F4C13" w:rsidR="00906EC5">
        <w:rPr>
          <w:rFonts w:eastAsia="Calibri" w:asciiTheme="majorHAnsi" w:hAnsiTheme="majorHAnsi" w:cstheme="majorHAnsi"/>
          <w:b/>
        </w:rPr>
        <w:t>grace period for premium payments</w:t>
      </w:r>
      <w:r w:rsidRPr="000F4C13" w:rsidR="00906EC5">
        <w:rPr>
          <w:rFonts w:eastAsia="Calibri" w:asciiTheme="majorHAnsi" w:hAnsiTheme="majorHAnsi" w:cstheme="majorHAnsi"/>
        </w:rPr>
        <w:t xml:space="preserve"> to address communication and mail disruptions</w:t>
      </w:r>
      <w:r w:rsidRPr="000F4C13" w:rsidR="001633E1">
        <w:rPr>
          <w:rFonts w:eastAsia="Calibri" w:asciiTheme="majorHAnsi" w:hAnsiTheme="majorHAnsi" w:cstheme="majorHAnsi"/>
        </w:rPr>
        <w:t>; and</w:t>
      </w:r>
      <w:r w:rsidRPr="000F4C13" w:rsidR="00906EC5">
        <w:rPr>
          <w:rFonts w:eastAsia="Calibri" w:asciiTheme="majorHAnsi" w:hAnsiTheme="majorHAnsi" w:cstheme="majorHAnsi"/>
        </w:rPr>
        <w:t xml:space="preserve"> </w:t>
      </w:r>
    </w:p>
    <w:p w:rsidRPr="000F4C13" w:rsidR="007514B9" w:rsidP="0057045C" w:rsidRDefault="00EE6BD8" w14:paraId="22735DF5" w14:textId="7FE00638">
      <w:pPr>
        <w:pStyle w:val="ListParagraph"/>
        <w:numPr>
          <w:ilvl w:val="0"/>
          <w:numId w:val="19"/>
        </w:numPr>
        <w:jc w:val="both"/>
        <w:rPr>
          <w:rFonts w:eastAsia="Calibri" w:asciiTheme="majorHAnsi" w:hAnsiTheme="majorHAnsi" w:cstheme="majorHAnsi"/>
        </w:rPr>
      </w:pPr>
      <w:r w:rsidRPr="000F4C13">
        <w:rPr>
          <w:rFonts w:eastAsia="Calibri" w:asciiTheme="majorHAnsi" w:hAnsiTheme="majorHAnsi" w:cstheme="majorHAnsi"/>
        </w:rPr>
        <w:t xml:space="preserve">Implementing </w:t>
      </w:r>
      <w:r w:rsidRPr="000F4C13" w:rsidR="00906EC5">
        <w:rPr>
          <w:rFonts w:eastAsia="Calibri" w:asciiTheme="majorHAnsi" w:hAnsiTheme="majorHAnsi" w:cstheme="majorHAnsi"/>
        </w:rPr>
        <w:t xml:space="preserve">a </w:t>
      </w:r>
      <w:r w:rsidRPr="000F4C13" w:rsidR="00906EC5">
        <w:rPr>
          <w:rFonts w:eastAsia="Calibri" w:asciiTheme="majorHAnsi" w:hAnsiTheme="majorHAnsi" w:cstheme="majorHAnsi"/>
          <w:b/>
        </w:rPr>
        <w:t>moratorium</w:t>
      </w:r>
      <w:r w:rsidRPr="000F4C13" w:rsidR="00906EC5">
        <w:rPr>
          <w:rFonts w:eastAsia="Calibri" w:asciiTheme="majorHAnsi" w:hAnsiTheme="majorHAnsi" w:cstheme="majorHAnsi"/>
        </w:rPr>
        <w:t xml:space="preserve"> preventing insurers </w:t>
      </w:r>
      <w:r w:rsidRPr="000F4C13" w:rsidR="00906EC5">
        <w:rPr>
          <w:rFonts w:eastAsia="Calibri" w:asciiTheme="majorHAnsi" w:hAnsiTheme="majorHAnsi" w:cstheme="majorHAnsi"/>
          <w:b/>
        </w:rPr>
        <w:t>from canceling or non-renewing policies</w:t>
      </w:r>
      <w:r w:rsidRPr="000F4C13" w:rsidR="00C43D7C">
        <w:rPr>
          <w:rFonts w:eastAsia="Calibri" w:asciiTheme="majorHAnsi" w:hAnsiTheme="majorHAnsi" w:cstheme="majorHAnsi"/>
          <w:b/>
          <w:bCs/>
        </w:rPr>
        <w:t>.</w:t>
      </w:r>
      <w:r w:rsidRPr="000F4C13" w:rsidR="00906EC5">
        <w:rPr>
          <w:rFonts w:eastAsia="Calibri" w:asciiTheme="majorHAnsi" w:hAnsiTheme="majorHAnsi" w:cstheme="majorHAnsi"/>
        </w:rPr>
        <w:t xml:space="preserve"> </w:t>
      </w:r>
    </w:p>
    <w:p w:rsidRPr="000F4C13" w:rsidR="005D4CBF" w:rsidP="007514B9" w:rsidRDefault="004C2C3B" w14:paraId="4450067D" w14:textId="5165F5D5">
      <w:pPr>
        <w:jc w:val="both"/>
        <w:rPr>
          <w:rFonts w:eastAsia="Calibri" w:asciiTheme="majorHAnsi" w:hAnsiTheme="majorHAnsi" w:cstheme="majorHAnsi"/>
        </w:rPr>
      </w:pPr>
      <w:r w:rsidRPr="000F4C13">
        <w:rPr>
          <w:rFonts w:eastAsia="Calibri" w:asciiTheme="majorHAnsi" w:hAnsiTheme="majorHAnsi" w:cstheme="majorHAnsi"/>
        </w:rPr>
        <w:t>Following</w:t>
      </w:r>
      <w:r w:rsidRPr="000F4C13" w:rsidR="000A63AA">
        <w:rPr>
          <w:rFonts w:eastAsia="Calibri" w:asciiTheme="majorHAnsi" w:hAnsiTheme="majorHAnsi" w:cstheme="majorHAnsi"/>
        </w:rPr>
        <w:t xml:space="preserve"> </w:t>
      </w:r>
      <w:r w:rsidRPr="000F4C13">
        <w:rPr>
          <w:rFonts w:eastAsia="Calibri" w:asciiTheme="majorHAnsi" w:hAnsiTheme="majorHAnsi" w:cstheme="majorHAnsi"/>
        </w:rPr>
        <w:t xml:space="preserve">insurer </w:t>
      </w:r>
      <w:r w:rsidRPr="000F4C13" w:rsidR="000A63AA">
        <w:rPr>
          <w:rFonts w:eastAsia="Calibri" w:asciiTheme="majorHAnsi" w:hAnsiTheme="majorHAnsi" w:cstheme="majorHAnsi"/>
        </w:rPr>
        <w:t>insolvencies</w:t>
      </w:r>
      <w:r w:rsidRPr="000F4C13" w:rsidR="00F67DD7">
        <w:rPr>
          <w:rFonts w:eastAsia="Calibri" w:asciiTheme="majorHAnsi" w:hAnsiTheme="majorHAnsi" w:cstheme="majorHAnsi"/>
        </w:rPr>
        <w:t xml:space="preserve"> after Hurricane Andrew</w:t>
      </w:r>
      <w:r w:rsidRPr="000F4C13" w:rsidR="00610391">
        <w:rPr>
          <w:rFonts w:eastAsia="Calibri" w:asciiTheme="majorHAnsi" w:hAnsiTheme="majorHAnsi" w:cstheme="majorHAnsi"/>
        </w:rPr>
        <w:t xml:space="preserve"> and the Report of the Study Commission</w:t>
      </w:r>
      <w:r w:rsidRPr="000F4C13" w:rsidR="00F2570C">
        <w:rPr>
          <w:rFonts w:eastAsia="Calibri" w:asciiTheme="majorHAnsi" w:hAnsiTheme="majorHAnsi" w:cstheme="majorHAnsi"/>
        </w:rPr>
        <w:t xml:space="preserve"> on Property Insurance and Reinsurance</w:t>
      </w:r>
      <w:r w:rsidRPr="000F4C13" w:rsidR="000A63AA">
        <w:rPr>
          <w:rFonts w:eastAsia="Calibri" w:asciiTheme="majorHAnsi" w:hAnsiTheme="majorHAnsi" w:cstheme="majorHAnsi"/>
        </w:rPr>
        <w:t xml:space="preserve">, </w:t>
      </w:r>
      <w:r w:rsidRPr="000F4C13" w:rsidR="00906EC5">
        <w:rPr>
          <w:rFonts w:eastAsia="Calibri" w:asciiTheme="majorHAnsi" w:hAnsiTheme="majorHAnsi" w:cstheme="majorHAnsi"/>
        </w:rPr>
        <w:t xml:space="preserve">Florida </w:t>
      </w:r>
      <w:r w:rsidRPr="000F4C13" w:rsidR="00F67DD7">
        <w:rPr>
          <w:rFonts w:eastAsia="Calibri" w:asciiTheme="majorHAnsi" w:hAnsiTheme="majorHAnsi" w:cstheme="majorHAnsi"/>
        </w:rPr>
        <w:t>took additional structural actions to stabilize the market</w:t>
      </w:r>
      <w:r w:rsidRPr="000F4C13" w:rsidR="00DE4514">
        <w:rPr>
          <w:rFonts w:eastAsia="Calibri" w:asciiTheme="majorHAnsi" w:hAnsiTheme="majorHAnsi" w:cstheme="majorHAnsi"/>
        </w:rPr>
        <w:t xml:space="preserve"> by</w:t>
      </w:r>
      <w:r w:rsidRPr="000F4C13" w:rsidR="005427AD">
        <w:rPr>
          <w:rFonts w:eastAsia="Calibri" w:asciiTheme="majorHAnsi" w:hAnsiTheme="majorHAnsi" w:cstheme="majorHAnsi"/>
        </w:rPr>
        <w:t xml:space="preserve">: </w:t>
      </w:r>
    </w:p>
    <w:p w:rsidRPr="000F4C13" w:rsidR="003B389A" w:rsidP="0057045C" w:rsidRDefault="00574528" w14:paraId="58E90275" w14:textId="382BCF69">
      <w:pPr>
        <w:pStyle w:val="ListParagraph"/>
        <w:numPr>
          <w:ilvl w:val="0"/>
          <w:numId w:val="20"/>
        </w:numPr>
        <w:jc w:val="both"/>
        <w:rPr>
          <w:rFonts w:eastAsia="Calibri" w:asciiTheme="majorHAnsi" w:hAnsiTheme="majorHAnsi" w:cstheme="majorHAnsi"/>
        </w:rPr>
      </w:pPr>
      <w:r w:rsidRPr="000F4C13">
        <w:rPr>
          <w:rFonts w:eastAsia="Calibri" w:asciiTheme="majorHAnsi" w:hAnsiTheme="majorHAnsi" w:cstheme="majorHAnsi"/>
        </w:rPr>
        <w:t>C</w:t>
      </w:r>
      <w:r w:rsidRPr="000F4C13" w:rsidR="00906EC5">
        <w:rPr>
          <w:rFonts w:eastAsia="Calibri" w:asciiTheme="majorHAnsi" w:hAnsiTheme="majorHAnsi" w:cstheme="majorHAnsi"/>
        </w:rPr>
        <w:t xml:space="preserve">reating the </w:t>
      </w:r>
      <w:r w:rsidRPr="000F4C13" w:rsidR="00D6445A">
        <w:rPr>
          <w:rFonts w:eastAsia="Calibri" w:asciiTheme="majorHAnsi" w:hAnsiTheme="majorHAnsi" w:cstheme="majorHAnsi"/>
          <w:lang w:val="en"/>
        </w:rPr>
        <w:t>Florida Residential Property and Casualty Joint Underwriting Association (RPCJUA</w:t>
      </w:r>
      <w:r w:rsidRPr="000F4C13" w:rsidR="003F3EB9">
        <w:rPr>
          <w:rFonts w:eastAsia="Calibri" w:asciiTheme="majorHAnsi" w:hAnsiTheme="majorHAnsi" w:cstheme="majorHAnsi"/>
          <w:lang w:val="en"/>
        </w:rPr>
        <w:t>)</w:t>
      </w:r>
      <w:r w:rsidRPr="000F4C13" w:rsidR="000D6A7F">
        <w:rPr>
          <w:rFonts w:eastAsia="Calibri" w:asciiTheme="majorHAnsi" w:hAnsiTheme="majorHAnsi" w:cstheme="majorHAnsi"/>
          <w:lang w:val="en"/>
        </w:rPr>
        <w:t xml:space="preserve"> insurer of last resort</w:t>
      </w:r>
      <w:r w:rsidRPr="000F4C13" w:rsidR="00B42CAC">
        <w:rPr>
          <w:rFonts w:eastAsia="Calibri" w:asciiTheme="majorHAnsi" w:hAnsiTheme="majorHAnsi" w:cstheme="majorHAnsi"/>
          <w:lang w:val="en"/>
        </w:rPr>
        <w:t xml:space="preserve"> </w:t>
      </w:r>
      <w:r w:rsidRPr="000F4C13" w:rsidR="008670C0">
        <w:rPr>
          <w:rFonts w:eastAsia="Calibri" w:asciiTheme="majorHAnsi" w:hAnsiTheme="majorHAnsi" w:cstheme="majorHAnsi"/>
          <w:lang w:val="en"/>
        </w:rPr>
        <w:t>(</w:t>
      </w:r>
      <w:r w:rsidRPr="000F4C13" w:rsidR="00B42CAC">
        <w:rPr>
          <w:rFonts w:eastAsia="Calibri" w:asciiTheme="majorHAnsi" w:hAnsiTheme="majorHAnsi" w:cstheme="majorHAnsi"/>
          <w:lang w:val="en"/>
        </w:rPr>
        <w:t xml:space="preserve">which </w:t>
      </w:r>
      <w:r w:rsidRPr="000F4C13" w:rsidR="00DE147D">
        <w:rPr>
          <w:rFonts w:eastAsia="Calibri" w:asciiTheme="majorHAnsi" w:hAnsiTheme="majorHAnsi" w:cstheme="majorHAnsi"/>
          <w:lang w:val="en"/>
        </w:rPr>
        <w:t xml:space="preserve">merged with the </w:t>
      </w:r>
      <w:r w:rsidRPr="000F4C13" w:rsidR="000D6A7F">
        <w:rPr>
          <w:rFonts w:eastAsia="Calibri" w:asciiTheme="majorHAnsi" w:hAnsiTheme="majorHAnsi" w:cstheme="majorHAnsi"/>
          <w:lang w:val="en"/>
        </w:rPr>
        <w:t xml:space="preserve">Florida Windstorm Underwriting Association in 2002 to form </w:t>
      </w:r>
      <w:r w:rsidRPr="000F4C13" w:rsidR="000D6A7F">
        <w:rPr>
          <w:rFonts w:eastAsia="Calibri" w:asciiTheme="majorHAnsi" w:hAnsiTheme="majorHAnsi" w:cstheme="majorHAnsi"/>
          <w:b/>
          <w:lang w:val="en"/>
        </w:rPr>
        <w:t>Citizens Property Insurance Corporation</w:t>
      </w:r>
      <w:r w:rsidRPr="000F4C13" w:rsidR="00EE2540">
        <w:rPr>
          <w:rFonts w:eastAsia="Calibri" w:asciiTheme="majorHAnsi" w:hAnsiTheme="majorHAnsi" w:cstheme="majorHAnsi"/>
          <w:lang w:val="en"/>
        </w:rPr>
        <w:t>)</w:t>
      </w:r>
      <w:r w:rsidRPr="000F4C13" w:rsidR="002E778D">
        <w:rPr>
          <w:rFonts w:eastAsia="Calibri" w:asciiTheme="majorHAnsi" w:hAnsiTheme="majorHAnsi" w:cstheme="majorHAnsi"/>
          <w:lang w:val="en"/>
        </w:rPr>
        <w:t xml:space="preserve">, </w:t>
      </w:r>
    </w:p>
    <w:p w:rsidRPr="000F4C13" w:rsidR="00906EC5" w:rsidP="0057045C" w:rsidRDefault="003B389A" w14:paraId="5B1EEFAD" w14:textId="2DE9DF4B">
      <w:pPr>
        <w:pStyle w:val="ListParagraph"/>
        <w:numPr>
          <w:ilvl w:val="0"/>
          <w:numId w:val="20"/>
        </w:numPr>
        <w:jc w:val="both"/>
        <w:rPr>
          <w:rFonts w:eastAsia="Calibri" w:asciiTheme="majorHAnsi" w:hAnsiTheme="majorHAnsi" w:cstheme="majorHAnsi"/>
        </w:rPr>
      </w:pPr>
      <w:r w:rsidRPr="000F4C13">
        <w:rPr>
          <w:rFonts w:eastAsia="Calibri" w:asciiTheme="majorHAnsi" w:hAnsiTheme="majorHAnsi" w:cstheme="majorHAnsi"/>
        </w:rPr>
        <w:t>E</w:t>
      </w:r>
      <w:r w:rsidRPr="000F4C13" w:rsidR="00906EC5">
        <w:rPr>
          <w:rFonts w:eastAsia="Calibri" w:asciiTheme="majorHAnsi" w:hAnsiTheme="majorHAnsi" w:cstheme="majorHAnsi"/>
        </w:rPr>
        <w:t>xpand</w:t>
      </w:r>
      <w:r w:rsidRPr="000F4C13">
        <w:rPr>
          <w:rFonts w:eastAsia="Calibri" w:asciiTheme="majorHAnsi" w:hAnsiTheme="majorHAnsi" w:cstheme="majorHAnsi"/>
        </w:rPr>
        <w:t>ing</w:t>
      </w:r>
      <w:r w:rsidRPr="000F4C13" w:rsidR="00906EC5">
        <w:rPr>
          <w:rFonts w:eastAsia="Calibri" w:asciiTheme="majorHAnsi" w:hAnsiTheme="majorHAnsi" w:cstheme="majorHAnsi"/>
        </w:rPr>
        <w:t xml:space="preserve"> the capacity of </w:t>
      </w:r>
      <w:r w:rsidRPr="000F4C13">
        <w:rPr>
          <w:rFonts w:eastAsia="Calibri" w:asciiTheme="majorHAnsi" w:hAnsiTheme="majorHAnsi" w:cstheme="majorHAnsi"/>
        </w:rPr>
        <w:t xml:space="preserve">the </w:t>
      </w:r>
      <w:r w:rsidRPr="000F4C13">
        <w:rPr>
          <w:rFonts w:eastAsia="Calibri" w:asciiTheme="majorHAnsi" w:hAnsiTheme="majorHAnsi" w:cstheme="majorHAnsi"/>
          <w:b/>
        </w:rPr>
        <w:t>Florida Insurance Guaranty Association</w:t>
      </w:r>
      <w:r w:rsidRPr="000F4C13" w:rsidR="00906EC5">
        <w:rPr>
          <w:rFonts w:eastAsia="Calibri" w:asciiTheme="majorHAnsi" w:hAnsiTheme="majorHAnsi" w:cstheme="majorHAnsi"/>
          <w:b/>
        </w:rPr>
        <w:t xml:space="preserve"> </w:t>
      </w:r>
      <w:r w:rsidRPr="000F4C13">
        <w:rPr>
          <w:rFonts w:eastAsia="Calibri" w:asciiTheme="majorHAnsi" w:hAnsiTheme="majorHAnsi" w:cstheme="majorHAnsi"/>
          <w:b/>
        </w:rPr>
        <w:t>(</w:t>
      </w:r>
      <w:r w:rsidRPr="000F4C13" w:rsidR="00906EC5">
        <w:rPr>
          <w:rFonts w:eastAsia="Calibri" w:asciiTheme="majorHAnsi" w:hAnsiTheme="majorHAnsi" w:cstheme="majorHAnsi"/>
          <w:b/>
        </w:rPr>
        <w:t>FIGA</w:t>
      </w:r>
      <w:r w:rsidRPr="000F4C13">
        <w:rPr>
          <w:rFonts w:eastAsia="Calibri" w:asciiTheme="majorHAnsi" w:hAnsiTheme="majorHAnsi" w:cstheme="majorHAnsi"/>
          <w:b/>
        </w:rPr>
        <w:t>)</w:t>
      </w:r>
      <w:r w:rsidRPr="000F4C13" w:rsidR="00906EC5">
        <w:rPr>
          <w:rFonts w:eastAsia="Calibri" w:asciiTheme="majorHAnsi" w:hAnsiTheme="majorHAnsi" w:cstheme="majorHAnsi"/>
        </w:rPr>
        <w:t xml:space="preserve"> to include municipal bonds issued by </w:t>
      </w:r>
      <w:r w:rsidRPr="000F4C13" w:rsidR="00B10F63">
        <w:rPr>
          <w:rFonts w:eastAsia="Calibri" w:asciiTheme="majorHAnsi" w:hAnsiTheme="majorHAnsi" w:cstheme="majorHAnsi"/>
        </w:rPr>
        <w:t xml:space="preserve">hurricane-affected </w:t>
      </w:r>
      <w:r w:rsidRPr="000F4C13" w:rsidR="00906EC5">
        <w:rPr>
          <w:rFonts w:eastAsia="Calibri" w:asciiTheme="majorHAnsi" w:hAnsiTheme="majorHAnsi" w:cstheme="majorHAnsi"/>
        </w:rPr>
        <w:t>counties</w:t>
      </w:r>
      <w:r w:rsidRPr="000F4C13" w:rsidR="00C94127">
        <w:rPr>
          <w:rFonts w:eastAsia="Calibri" w:asciiTheme="majorHAnsi" w:hAnsiTheme="majorHAnsi" w:cstheme="majorHAnsi"/>
        </w:rPr>
        <w:t xml:space="preserve">, </w:t>
      </w:r>
    </w:p>
    <w:p w:rsidRPr="000F4C13" w:rsidR="00965334" w:rsidP="0057045C" w:rsidRDefault="00C94127" w14:paraId="6C0BC6D1" w14:textId="77777777">
      <w:pPr>
        <w:pStyle w:val="ListParagraph"/>
        <w:numPr>
          <w:ilvl w:val="0"/>
          <w:numId w:val="20"/>
        </w:numPr>
        <w:jc w:val="both"/>
        <w:rPr>
          <w:rFonts w:eastAsia="Calibri" w:asciiTheme="majorHAnsi" w:hAnsiTheme="majorHAnsi" w:cstheme="majorHAnsi"/>
        </w:rPr>
      </w:pPr>
      <w:r w:rsidRPr="000F4C13">
        <w:rPr>
          <w:rFonts w:eastAsia="Calibri" w:asciiTheme="majorHAnsi" w:hAnsiTheme="majorHAnsi" w:cstheme="majorHAnsi"/>
        </w:rPr>
        <w:t>E</w:t>
      </w:r>
      <w:r w:rsidRPr="000F4C13" w:rsidR="00880908">
        <w:rPr>
          <w:rFonts w:eastAsia="Calibri" w:asciiTheme="majorHAnsi" w:hAnsiTheme="majorHAnsi" w:cstheme="majorHAnsi"/>
        </w:rPr>
        <w:t>stablish</w:t>
      </w:r>
      <w:r w:rsidRPr="000F4C13">
        <w:rPr>
          <w:rFonts w:eastAsia="Calibri" w:asciiTheme="majorHAnsi" w:hAnsiTheme="majorHAnsi" w:cstheme="majorHAnsi"/>
        </w:rPr>
        <w:t>ing</w:t>
      </w:r>
      <w:r w:rsidRPr="000F4C13" w:rsidR="00880908">
        <w:rPr>
          <w:rFonts w:eastAsia="Calibri" w:asciiTheme="majorHAnsi" w:hAnsiTheme="majorHAnsi" w:cstheme="majorHAnsi"/>
        </w:rPr>
        <w:t xml:space="preserve"> the </w:t>
      </w:r>
      <w:r w:rsidRPr="000F4C13" w:rsidR="00880908">
        <w:rPr>
          <w:rFonts w:eastAsia="Calibri" w:asciiTheme="majorHAnsi" w:hAnsiTheme="majorHAnsi" w:cstheme="majorHAnsi"/>
          <w:b/>
        </w:rPr>
        <w:t>Florida Hurricane Catastrophe Fund (FHCF)</w:t>
      </w:r>
      <w:r w:rsidRPr="000F4C13" w:rsidR="00880908">
        <w:rPr>
          <w:rFonts w:eastAsia="Calibri" w:asciiTheme="majorHAnsi" w:hAnsiTheme="majorHAnsi" w:cstheme="majorHAnsi"/>
        </w:rPr>
        <w:t xml:space="preserve"> to provide catastrophe reinsurance to </w:t>
      </w:r>
      <w:r w:rsidRPr="000F4C13" w:rsidR="008D102D">
        <w:rPr>
          <w:rFonts w:eastAsia="Calibri" w:asciiTheme="majorHAnsi" w:hAnsiTheme="majorHAnsi" w:cstheme="majorHAnsi"/>
        </w:rPr>
        <w:t>residential</w:t>
      </w:r>
      <w:r w:rsidRPr="000F4C13" w:rsidR="00880908">
        <w:rPr>
          <w:rFonts w:eastAsia="Calibri" w:asciiTheme="majorHAnsi" w:hAnsiTheme="majorHAnsi" w:cstheme="majorHAnsi"/>
        </w:rPr>
        <w:t xml:space="preserve"> </w:t>
      </w:r>
      <w:r w:rsidRPr="000F4C13" w:rsidR="00854448">
        <w:rPr>
          <w:rFonts w:eastAsia="Calibri" w:asciiTheme="majorHAnsi" w:hAnsiTheme="majorHAnsi" w:cstheme="majorHAnsi"/>
        </w:rPr>
        <w:t>property insurers at more affordable rates than private reins</w:t>
      </w:r>
      <w:r w:rsidRPr="000F4C13" w:rsidR="0035518A">
        <w:rPr>
          <w:rFonts w:eastAsia="Calibri" w:asciiTheme="majorHAnsi" w:hAnsiTheme="majorHAnsi" w:cstheme="majorHAnsi"/>
        </w:rPr>
        <w:t>urers</w:t>
      </w:r>
      <w:r w:rsidRPr="000F4C13" w:rsidR="00880908">
        <w:rPr>
          <w:rFonts w:eastAsia="Calibri" w:asciiTheme="majorHAnsi" w:hAnsiTheme="majorHAnsi" w:cstheme="majorHAnsi"/>
        </w:rPr>
        <w:t>.</w:t>
      </w:r>
      <w:r w:rsidRPr="000F4C13" w:rsidR="0051314A">
        <w:rPr>
          <w:rFonts w:eastAsia="Calibri" w:asciiTheme="majorHAnsi" w:hAnsiTheme="majorHAnsi" w:cstheme="majorHAnsi"/>
        </w:rPr>
        <w:t xml:space="preserve"> This approach helps maintain market capacity and moderate premium volatility</w:t>
      </w:r>
      <w:r w:rsidRPr="000F4C13" w:rsidR="00FB1E74">
        <w:rPr>
          <w:rFonts w:eastAsia="Calibri" w:asciiTheme="majorHAnsi" w:hAnsiTheme="majorHAnsi" w:cstheme="majorHAnsi"/>
        </w:rPr>
        <w:t>, and</w:t>
      </w:r>
    </w:p>
    <w:p w:rsidRPr="000F4C13" w:rsidR="00EA2551" w:rsidP="0057045C" w:rsidRDefault="00294605" w14:paraId="7491FF49" w14:textId="45385CF5">
      <w:pPr>
        <w:pStyle w:val="ListParagraph"/>
        <w:numPr>
          <w:ilvl w:val="0"/>
          <w:numId w:val="20"/>
        </w:numPr>
        <w:jc w:val="both"/>
        <w:rPr>
          <w:rFonts w:eastAsia="Calibri" w:asciiTheme="majorHAnsi" w:hAnsiTheme="majorHAnsi" w:cstheme="majorHAnsi"/>
        </w:rPr>
      </w:pPr>
      <w:r w:rsidRPr="000F4C13">
        <w:rPr>
          <w:rFonts w:eastAsia="Calibri" w:asciiTheme="majorHAnsi" w:hAnsiTheme="majorHAnsi" w:cstheme="majorHAnsi"/>
        </w:rPr>
        <w:t>Requiring insurers</w:t>
      </w:r>
      <w:r w:rsidRPr="000F4C13" w:rsidR="007D638A">
        <w:rPr>
          <w:rFonts w:eastAsia="Calibri" w:asciiTheme="majorHAnsi" w:hAnsiTheme="majorHAnsi" w:cstheme="majorHAnsi"/>
        </w:rPr>
        <w:t xml:space="preserve"> to</w:t>
      </w:r>
      <w:r w:rsidRPr="000F4C13" w:rsidR="00995ED0">
        <w:rPr>
          <w:rFonts w:eastAsia="Calibri" w:asciiTheme="majorHAnsi" w:hAnsiTheme="majorHAnsi" w:cstheme="majorHAnsi"/>
        </w:rPr>
        <w:t xml:space="preserve"> offer premium discounts for structur</w:t>
      </w:r>
      <w:r w:rsidRPr="000F4C13" w:rsidR="004528AF">
        <w:rPr>
          <w:rFonts w:eastAsia="Calibri" w:asciiTheme="majorHAnsi" w:hAnsiTheme="majorHAnsi" w:cstheme="majorHAnsi"/>
        </w:rPr>
        <w:t>al mitigation improvements</w:t>
      </w:r>
      <w:r w:rsidRPr="000F4C13" w:rsidR="00675356">
        <w:rPr>
          <w:rFonts w:eastAsia="Calibri" w:asciiTheme="majorHAnsi" w:hAnsiTheme="majorHAnsi" w:cstheme="majorHAnsi"/>
        </w:rPr>
        <w:t>, such as hurricane shutters</w:t>
      </w:r>
      <w:r w:rsidRPr="000F4C13" w:rsidR="0051314A">
        <w:rPr>
          <w:rFonts w:eastAsia="Calibri" w:asciiTheme="majorHAnsi" w:hAnsiTheme="majorHAnsi" w:cstheme="majorHAnsi"/>
        </w:rPr>
        <w:t xml:space="preserve">. </w:t>
      </w:r>
    </w:p>
    <w:p w:rsidRPr="000F4C13" w:rsidR="00000810" w:rsidP="00E1280C" w:rsidRDefault="00D6312D" w14:paraId="6A6EAEF9" w14:textId="0985E105">
      <w:pPr>
        <w:jc w:val="both"/>
        <w:rPr>
          <w:rFonts w:eastAsia="Calibri" w:asciiTheme="majorHAnsi" w:hAnsiTheme="majorHAnsi" w:cstheme="majorHAnsi"/>
        </w:rPr>
      </w:pPr>
      <w:r w:rsidRPr="000F4C13">
        <w:rPr>
          <w:rFonts w:eastAsia="Calibri" w:asciiTheme="majorHAnsi" w:hAnsiTheme="majorHAnsi" w:cstheme="majorHAnsi"/>
        </w:rPr>
        <w:t xml:space="preserve">Florida also </w:t>
      </w:r>
      <w:r w:rsidRPr="000F4C13">
        <w:rPr>
          <w:rFonts w:eastAsia="Calibri" w:asciiTheme="majorHAnsi" w:hAnsiTheme="majorHAnsi" w:cstheme="majorHAnsi"/>
          <w:b/>
        </w:rPr>
        <w:t xml:space="preserve">enacted </w:t>
      </w:r>
      <w:r w:rsidRPr="000F4C13" w:rsidR="001622ED">
        <w:rPr>
          <w:rFonts w:eastAsia="Calibri" w:asciiTheme="majorHAnsi" w:hAnsiTheme="majorHAnsi" w:cstheme="majorHAnsi"/>
          <w:b/>
        </w:rPr>
        <w:t xml:space="preserve">a </w:t>
      </w:r>
      <w:r w:rsidRPr="000F4C13">
        <w:rPr>
          <w:rFonts w:eastAsia="Calibri" w:asciiTheme="majorHAnsi" w:hAnsiTheme="majorHAnsi" w:cstheme="majorHAnsi"/>
          <w:b/>
        </w:rPr>
        <w:t>strong statewide building code</w:t>
      </w:r>
      <w:r w:rsidRPr="000F4C13" w:rsidR="0007663D">
        <w:rPr>
          <w:rFonts w:eastAsia="Calibri" w:asciiTheme="majorHAnsi" w:hAnsiTheme="majorHAnsi" w:cstheme="majorHAnsi"/>
        </w:rPr>
        <w:t xml:space="preserve"> promoting wind mitigation</w:t>
      </w:r>
      <w:r w:rsidRPr="000F4C13" w:rsidR="00375824">
        <w:rPr>
          <w:rFonts w:eastAsia="Calibri" w:asciiTheme="majorHAnsi" w:hAnsiTheme="majorHAnsi" w:cstheme="majorHAnsi"/>
        </w:rPr>
        <w:t xml:space="preserve">. </w:t>
      </w:r>
      <w:r w:rsidRPr="000F4C13" w:rsidR="00E90095">
        <w:rPr>
          <w:rFonts w:eastAsia="Calibri" w:asciiTheme="majorHAnsi" w:hAnsiTheme="majorHAnsi" w:cstheme="majorHAnsi"/>
        </w:rPr>
        <w:t>T</w:t>
      </w:r>
      <w:r w:rsidRPr="000F4C13" w:rsidR="003079EC">
        <w:rPr>
          <w:rFonts w:eastAsia="Calibri" w:asciiTheme="majorHAnsi" w:hAnsiTheme="majorHAnsi" w:cstheme="majorHAnsi"/>
        </w:rPr>
        <w:t xml:space="preserve">he </w:t>
      </w:r>
      <w:r w:rsidRPr="000F4C13" w:rsidR="0007663D">
        <w:rPr>
          <w:rFonts w:eastAsia="Calibri" w:asciiTheme="majorHAnsi" w:hAnsiTheme="majorHAnsi" w:cstheme="majorHAnsi"/>
          <w:b/>
        </w:rPr>
        <w:t>Florida Commission on Hurricane Loss Projection Methodology</w:t>
      </w:r>
      <w:r w:rsidRPr="000F4C13" w:rsidR="003079EC">
        <w:rPr>
          <w:rFonts w:eastAsia="Calibri" w:asciiTheme="majorHAnsi" w:hAnsiTheme="majorHAnsi" w:cstheme="majorHAnsi"/>
        </w:rPr>
        <w:t xml:space="preserve"> was formed </w:t>
      </w:r>
      <w:r w:rsidRPr="000F4C13" w:rsidR="00BE1158">
        <w:rPr>
          <w:rFonts w:eastAsia="Calibri" w:asciiTheme="majorHAnsi" w:hAnsiTheme="majorHAnsi" w:cstheme="majorHAnsi"/>
        </w:rPr>
        <w:t xml:space="preserve">to review and approve models used for hurricane and </w:t>
      </w:r>
      <w:r w:rsidRPr="000F4C13" w:rsidR="00707A6C">
        <w:rPr>
          <w:rFonts w:eastAsia="Calibri" w:asciiTheme="majorHAnsi" w:hAnsiTheme="majorHAnsi" w:cstheme="majorHAnsi"/>
        </w:rPr>
        <w:t>flood-related</w:t>
      </w:r>
      <w:r w:rsidRPr="000F4C13" w:rsidR="00BE1158">
        <w:rPr>
          <w:rFonts w:eastAsia="Calibri" w:asciiTheme="majorHAnsi" w:hAnsiTheme="majorHAnsi" w:cstheme="majorHAnsi"/>
        </w:rPr>
        <w:t xml:space="preserve"> ratemaking. </w:t>
      </w:r>
      <w:r w:rsidRPr="000F4C13" w:rsidR="00E90095">
        <w:rPr>
          <w:rFonts w:eastAsia="Calibri" w:asciiTheme="majorHAnsi" w:hAnsiTheme="majorHAnsi" w:cstheme="majorHAnsi"/>
        </w:rPr>
        <w:t xml:space="preserve">As part of this, </w:t>
      </w:r>
      <w:r w:rsidRPr="000F4C13" w:rsidR="00000810">
        <w:rPr>
          <w:rFonts w:eastAsia="Calibri" w:asciiTheme="majorHAnsi" w:hAnsiTheme="majorHAnsi" w:cstheme="majorHAnsi"/>
        </w:rPr>
        <w:t xml:space="preserve">Florida’s first </w:t>
      </w:r>
      <w:r w:rsidRPr="000F4C13" w:rsidR="00D02B00">
        <w:rPr>
          <w:rFonts w:eastAsia="Calibri" w:asciiTheme="majorHAnsi" w:hAnsiTheme="majorHAnsi" w:cstheme="majorHAnsi"/>
          <w:b/>
        </w:rPr>
        <w:t>Public Hurricane Loss Projection Model</w:t>
      </w:r>
      <w:r w:rsidRPr="000F4C13" w:rsidR="00D02B00">
        <w:rPr>
          <w:rFonts w:eastAsia="Calibri" w:asciiTheme="majorHAnsi" w:hAnsiTheme="majorHAnsi" w:cstheme="majorHAnsi"/>
        </w:rPr>
        <w:t xml:space="preserve"> was developed. </w:t>
      </w:r>
    </w:p>
    <w:p w:rsidRPr="000F4C13" w:rsidR="00C96053" w:rsidP="00E1280C" w:rsidRDefault="004B5F29" w14:paraId="5F414AC3" w14:textId="6DC1C6F0">
      <w:pPr>
        <w:jc w:val="both"/>
        <w:rPr>
          <w:rFonts w:eastAsia="Calibri" w:asciiTheme="majorHAnsi" w:hAnsiTheme="majorHAnsi" w:cstheme="majorHAnsi"/>
          <w:b/>
          <w:bCs/>
        </w:rPr>
      </w:pPr>
      <w:r w:rsidRPr="000F4C13">
        <w:rPr>
          <w:rFonts w:eastAsia="Calibri" w:asciiTheme="majorHAnsi" w:hAnsiTheme="majorHAnsi" w:cstheme="majorHAnsi"/>
        </w:rPr>
        <w:t xml:space="preserve">Following the adoption of the 2002 Florida Building Code, the state developed a broader wind mitigation discount framework. After the 2004 hurricane season, which saw four named hurricanes making landfall and some areas hit three times, the Florida Legislature </w:t>
      </w:r>
      <w:r w:rsidRPr="000F4C13">
        <w:rPr>
          <w:rFonts w:eastAsia="Calibri" w:asciiTheme="majorHAnsi" w:hAnsiTheme="majorHAnsi" w:cstheme="majorHAnsi"/>
          <w:b/>
        </w:rPr>
        <w:t>revised the hurricane deductible</w:t>
      </w:r>
      <w:r w:rsidRPr="000F4C13">
        <w:rPr>
          <w:rFonts w:eastAsia="Calibri" w:asciiTheme="majorHAnsi" w:hAnsiTheme="majorHAnsi" w:cstheme="majorHAnsi"/>
        </w:rPr>
        <w:t xml:space="preserve">. The change moved from a per-event model to an annual, calendar-year basis to </w:t>
      </w:r>
      <w:r w:rsidRPr="000F4C13" w:rsidR="00DA1067">
        <w:rPr>
          <w:rFonts w:eastAsia="Calibri" w:asciiTheme="majorHAnsi" w:hAnsiTheme="majorHAnsi" w:cstheme="majorHAnsi"/>
        </w:rPr>
        <w:t>help homeowners</w:t>
      </w:r>
      <w:r w:rsidRPr="000F4C13">
        <w:rPr>
          <w:rFonts w:eastAsia="Calibri" w:asciiTheme="majorHAnsi" w:hAnsiTheme="majorHAnsi" w:cstheme="majorHAnsi"/>
        </w:rPr>
        <w:t>.</w:t>
      </w:r>
    </w:p>
    <w:p w:rsidRPr="000F4C13" w:rsidR="00C96053" w:rsidP="00D2789B" w:rsidRDefault="00B2522B" w14:paraId="66DE0875" w14:textId="77777777">
      <w:pPr>
        <w:pStyle w:val="Heading4"/>
        <w:rPr>
          <w:rFonts w:asciiTheme="majorHAnsi" w:hAnsiTheme="majorHAnsi" w:cstheme="majorHAnsi"/>
        </w:rPr>
      </w:pPr>
      <w:bookmarkStart w:name="_mwuyt94baxdy" w:colFirst="0" w:colLast="0" w:id="52"/>
      <w:bookmarkEnd w:id="52"/>
      <w:r w:rsidRPr="000F4C13">
        <w:rPr>
          <w:rFonts w:asciiTheme="majorHAnsi" w:hAnsiTheme="majorHAnsi" w:cstheme="majorHAnsi"/>
        </w:rPr>
        <w:t>Reports</w:t>
      </w:r>
    </w:p>
    <w:p w:rsidRPr="000F4C13" w:rsidR="00F26AFC" w:rsidP="0057045C" w:rsidRDefault="007356E3" w14:paraId="48994638" w14:textId="5CB9EA85">
      <w:pPr>
        <w:pStyle w:val="ListParagraph"/>
        <w:numPr>
          <w:ilvl w:val="0"/>
          <w:numId w:val="21"/>
        </w:numPr>
        <w:spacing w:after="0"/>
        <w:jc w:val="both"/>
        <w:rPr>
          <w:rFonts w:eastAsia="Calibri" w:asciiTheme="majorHAnsi" w:hAnsiTheme="majorHAnsi" w:cstheme="majorHAnsi"/>
          <w:b/>
          <w:bCs/>
        </w:rPr>
      </w:pPr>
      <w:hyperlink w:history="1" r:id="rId14">
        <w:r w:rsidRPr="000F4C13">
          <w:rPr>
            <w:rStyle w:val="Hyperlink"/>
            <w:rFonts w:eastAsia="Calibri" w:asciiTheme="majorHAnsi" w:hAnsiTheme="majorHAnsi" w:cstheme="majorHAnsi"/>
            <w:b/>
            <w:bCs/>
          </w:rPr>
          <w:t>Insurance Institute for Business &amp; Home Safety (IBHS) Rating the States report</w:t>
        </w:r>
      </w:hyperlink>
      <w:r w:rsidRPr="000F4C13" w:rsidR="00B23D0E">
        <w:rPr>
          <w:rFonts w:eastAsia="Calibri" w:asciiTheme="majorHAnsi" w:hAnsiTheme="majorHAnsi" w:cstheme="majorHAnsi"/>
          <w:b/>
          <w:bCs/>
          <w:color w:val="467886"/>
          <w:u w:val="single"/>
        </w:rPr>
        <w:t xml:space="preserve"> </w:t>
      </w:r>
      <w:r w:rsidRPr="000F4C13" w:rsidR="003E20E8">
        <w:rPr>
          <w:rFonts w:eastAsia="Calibri" w:asciiTheme="majorHAnsi" w:hAnsiTheme="majorHAnsi" w:cstheme="majorHAnsi"/>
        </w:rPr>
        <w:t xml:space="preserve">evaluates </w:t>
      </w:r>
      <w:r w:rsidRPr="000F4C13" w:rsidDel="007F40B9" w:rsidR="00B2522B">
        <w:rPr>
          <w:rFonts w:eastAsia="Calibri" w:asciiTheme="majorHAnsi" w:hAnsiTheme="majorHAnsi" w:cstheme="majorHAnsi"/>
        </w:rPr>
        <w:t xml:space="preserve">building code enforcement </w:t>
      </w:r>
      <w:r w:rsidRPr="000F4C13" w:rsidR="00F26AFC">
        <w:rPr>
          <w:rFonts w:eastAsia="Calibri" w:asciiTheme="majorHAnsi" w:hAnsiTheme="majorHAnsi" w:cstheme="majorHAnsi"/>
        </w:rPr>
        <w:t>and administration</w:t>
      </w:r>
      <w:r w:rsidRPr="000F4C13" w:rsidR="00C51C75">
        <w:rPr>
          <w:rFonts w:eastAsia="Calibri" w:asciiTheme="majorHAnsi" w:hAnsiTheme="majorHAnsi" w:cstheme="majorHAnsi"/>
        </w:rPr>
        <w:t>,</w:t>
      </w:r>
      <w:r w:rsidRPr="000F4C13" w:rsidR="00F26AFC">
        <w:rPr>
          <w:rFonts w:eastAsia="Calibri" w:asciiTheme="majorHAnsi" w:hAnsiTheme="majorHAnsi" w:cstheme="majorHAnsi"/>
        </w:rPr>
        <w:t xml:space="preserve"> and contractor licensing in the 18 Atlantic and Gulf coast states most vulnerable to catastrophic hurricanes.</w:t>
      </w:r>
      <w:r w:rsidRPr="000F4C13" w:rsidR="00F26AFC">
        <w:rPr>
          <w:rFonts w:eastAsia="Calibri" w:asciiTheme="majorHAnsi" w:hAnsiTheme="majorHAnsi" w:cstheme="majorHAnsi"/>
          <w:b/>
          <w:bCs/>
        </w:rPr>
        <w:t xml:space="preserve"> </w:t>
      </w:r>
    </w:p>
    <w:p w:rsidRPr="000F4C13" w:rsidR="00C96053" w:rsidP="00D2789B" w:rsidRDefault="00B2522B" w14:paraId="242D52A1" w14:textId="77777777">
      <w:pPr>
        <w:pStyle w:val="Heading4"/>
        <w:rPr>
          <w:rFonts w:asciiTheme="majorHAnsi" w:hAnsiTheme="majorHAnsi" w:cstheme="majorHAnsi"/>
        </w:rPr>
      </w:pPr>
      <w:bookmarkStart w:name="_to3i6fr459ko" w:colFirst="0" w:colLast="0" w:id="53"/>
      <w:bookmarkEnd w:id="53"/>
      <w:r w:rsidRPr="000F4C13">
        <w:rPr>
          <w:rFonts w:asciiTheme="majorHAnsi" w:hAnsiTheme="majorHAnsi" w:cstheme="majorHAnsi"/>
        </w:rPr>
        <w:t xml:space="preserve">Data Collection </w:t>
      </w:r>
    </w:p>
    <w:p w:rsidRPr="000F4C13" w:rsidR="00622F25" w:rsidP="00E1280C" w:rsidRDefault="00AD78FF" w14:paraId="0662C01B" w14:textId="77777777">
      <w:pPr>
        <w:spacing w:after="0"/>
        <w:jc w:val="both"/>
        <w:rPr>
          <w:rFonts w:eastAsia="Calibri" w:asciiTheme="majorHAnsi" w:hAnsiTheme="majorHAnsi" w:cstheme="majorHAnsi"/>
        </w:rPr>
      </w:pPr>
      <w:r w:rsidRPr="000F4C13">
        <w:rPr>
          <w:rFonts w:eastAsia="Calibri" w:asciiTheme="majorHAnsi" w:hAnsiTheme="majorHAnsi" w:cstheme="majorHAnsi"/>
        </w:rPr>
        <w:t>The Florida Office of Insurance Regulation (</w:t>
      </w:r>
      <w:r w:rsidRPr="000F4C13" w:rsidR="00B2522B">
        <w:rPr>
          <w:rFonts w:eastAsia="Calibri" w:asciiTheme="majorHAnsi" w:hAnsiTheme="majorHAnsi" w:cstheme="majorHAnsi"/>
        </w:rPr>
        <w:t>OIR</w:t>
      </w:r>
      <w:r w:rsidRPr="000F4C13">
        <w:rPr>
          <w:rFonts w:eastAsia="Calibri" w:asciiTheme="majorHAnsi" w:hAnsiTheme="majorHAnsi" w:cstheme="majorHAnsi"/>
        </w:rPr>
        <w:t>) maintains robust, granular insurance market dat</w:t>
      </w:r>
      <w:r w:rsidRPr="000F4C13" w:rsidR="00622F25">
        <w:rPr>
          <w:rFonts w:eastAsia="Calibri" w:asciiTheme="majorHAnsi" w:hAnsiTheme="majorHAnsi" w:cstheme="majorHAnsi"/>
        </w:rPr>
        <w:t>a, including:</w:t>
      </w:r>
    </w:p>
    <w:p w:rsidRPr="000F4C13" w:rsidR="00C96053" w:rsidP="0057045C" w:rsidRDefault="000123D3" w14:paraId="79C7A89A" w14:textId="576F4767">
      <w:pPr>
        <w:pStyle w:val="ListParagraph"/>
        <w:numPr>
          <w:ilvl w:val="0"/>
          <w:numId w:val="21"/>
        </w:numPr>
        <w:spacing w:after="0"/>
        <w:jc w:val="both"/>
        <w:rPr>
          <w:rFonts w:eastAsia="Calibri" w:asciiTheme="majorHAnsi" w:hAnsiTheme="majorHAnsi" w:cstheme="majorHAnsi"/>
        </w:rPr>
      </w:pPr>
      <w:r w:rsidRPr="000F4C13">
        <w:rPr>
          <w:rFonts w:eastAsia="Calibri" w:asciiTheme="majorHAnsi" w:hAnsiTheme="majorHAnsi" w:cstheme="majorHAnsi"/>
        </w:rPr>
        <w:t>A</w:t>
      </w:r>
      <w:r w:rsidRPr="000F4C13" w:rsidDel="00661599" w:rsidR="00B2522B">
        <w:rPr>
          <w:rFonts w:eastAsia="Calibri" w:asciiTheme="majorHAnsi" w:hAnsiTheme="majorHAnsi" w:cstheme="majorHAnsi"/>
          <w:b/>
        </w:rPr>
        <w:t xml:space="preserve"> </w:t>
      </w:r>
      <w:hyperlink r:id="rId15">
        <w:r w:rsidRPr="000F4C13" w:rsidR="00C96053">
          <w:rPr>
            <w:rFonts w:eastAsia="Calibri" w:asciiTheme="majorHAnsi" w:hAnsiTheme="majorHAnsi" w:cstheme="majorHAnsi"/>
            <w:b/>
            <w:color w:val="467886"/>
            <w:u w:val="single"/>
          </w:rPr>
          <w:t>Market Intelligence Report</w:t>
        </w:r>
      </w:hyperlink>
      <w:r w:rsidRPr="000F4C13" w:rsidR="00B2522B">
        <w:rPr>
          <w:rFonts w:eastAsia="Calibri" w:asciiTheme="majorHAnsi" w:hAnsiTheme="majorHAnsi" w:cstheme="majorHAnsi"/>
        </w:rPr>
        <w:t xml:space="preserve"> </w:t>
      </w:r>
      <w:r w:rsidRPr="000F4C13">
        <w:rPr>
          <w:rFonts w:eastAsia="Calibri" w:asciiTheme="majorHAnsi" w:hAnsiTheme="majorHAnsi" w:cstheme="majorHAnsi"/>
        </w:rPr>
        <w:t xml:space="preserve">that </w:t>
      </w:r>
      <w:r w:rsidRPr="000F4C13" w:rsidR="00B2522B">
        <w:rPr>
          <w:rFonts w:eastAsia="Calibri" w:asciiTheme="majorHAnsi" w:hAnsiTheme="majorHAnsi" w:cstheme="majorHAnsi"/>
        </w:rPr>
        <w:t>captures personal, residential, and commercial policies at a zip code level on a monthly basis.</w:t>
      </w:r>
    </w:p>
    <w:p w:rsidRPr="000F4C13" w:rsidR="0058098F" w:rsidP="0057045C" w:rsidRDefault="00C96053" w14:paraId="2F65F5A1" w14:textId="7D0DDA85">
      <w:pPr>
        <w:pStyle w:val="ListParagraph"/>
        <w:numPr>
          <w:ilvl w:val="0"/>
          <w:numId w:val="21"/>
        </w:numPr>
        <w:spacing w:after="0"/>
        <w:jc w:val="both"/>
        <w:rPr>
          <w:rFonts w:eastAsia="Calibri" w:asciiTheme="majorHAnsi" w:hAnsiTheme="majorHAnsi" w:cstheme="majorHAnsi"/>
        </w:rPr>
      </w:pPr>
      <w:hyperlink r:id="rId16">
        <w:r w:rsidRPr="000F4C13">
          <w:rPr>
            <w:rFonts w:eastAsia="Calibri" w:asciiTheme="majorHAnsi" w:hAnsiTheme="majorHAnsi" w:cstheme="majorHAnsi"/>
            <w:b/>
            <w:color w:val="467886"/>
            <w:u w:val="single"/>
          </w:rPr>
          <w:t>Catastrophe Claims Data and Reporting</w:t>
        </w:r>
      </w:hyperlink>
      <w:r w:rsidRPr="000F4C13" w:rsidR="00B2522B">
        <w:rPr>
          <w:rFonts w:eastAsia="Calibri" w:asciiTheme="majorHAnsi" w:hAnsiTheme="majorHAnsi" w:cstheme="majorHAnsi"/>
        </w:rPr>
        <w:t xml:space="preserve"> </w:t>
      </w:r>
      <w:r w:rsidRPr="000F4C13" w:rsidR="005B36E1">
        <w:rPr>
          <w:rFonts w:eastAsia="Calibri" w:asciiTheme="majorHAnsi" w:hAnsiTheme="majorHAnsi" w:cstheme="majorHAnsi"/>
        </w:rPr>
        <w:t xml:space="preserve">that </w:t>
      </w:r>
      <w:r w:rsidRPr="000F4C13" w:rsidR="00B2522B">
        <w:rPr>
          <w:rFonts w:eastAsia="Calibri" w:asciiTheme="majorHAnsi" w:hAnsiTheme="majorHAnsi" w:cstheme="majorHAnsi"/>
        </w:rPr>
        <w:t>c</w:t>
      </w:r>
      <w:r w:rsidRPr="000F4C13" w:rsidR="00725FEF">
        <w:rPr>
          <w:rFonts w:eastAsia="Calibri" w:asciiTheme="majorHAnsi" w:hAnsiTheme="majorHAnsi" w:cstheme="majorHAnsi"/>
        </w:rPr>
        <w:t xml:space="preserve">ollects </w:t>
      </w:r>
      <w:r w:rsidRPr="000F4C13" w:rsidR="007A037B">
        <w:rPr>
          <w:rFonts w:eastAsia="Calibri" w:asciiTheme="majorHAnsi" w:hAnsiTheme="majorHAnsi" w:cstheme="majorHAnsi"/>
        </w:rPr>
        <w:t>zip-code-level</w:t>
      </w:r>
      <w:r w:rsidRPr="000F4C13" w:rsidR="00725FEF">
        <w:rPr>
          <w:rFonts w:eastAsia="Calibri" w:asciiTheme="majorHAnsi" w:hAnsiTheme="majorHAnsi" w:cstheme="majorHAnsi"/>
        </w:rPr>
        <w:t xml:space="preserve"> </w:t>
      </w:r>
      <w:r w:rsidRPr="000F4C13" w:rsidR="00B2522B">
        <w:rPr>
          <w:rFonts w:eastAsia="Calibri" w:asciiTheme="majorHAnsi" w:hAnsiTheme="majorHAnsi" w:cstheme="majorHAnsi"/>
        </w:rPr>
        <w:t>claims data</w:t>
      </w:r>
      <w:r w:rsidRPr="000F4C13" w:rsidR="002E447F">
        <w:rPr>
          <w:rFonts w:eastAsia="Calibri" w:asciiTheme="majorHAnsi" w:hAnsiTheme="majorHAnsi" w:cstheme="majorHAnsi"/>
        </w:rPr>
        <w:t xml:space="preserve"> following </w:t>
      </w:r>
      <w:r w:rsidRPr="000F4C13" w:rsidR="00AB4F7E">
        <w:rPr>
          <w:rFonts w:eastAsia="Calibri" w:asciiTheme="majorHAnsi" w:hAnsiTheme="majorHAnsi" w:cstheme="majorHAnsi"/>
        </w:rPr>
        <w:t xml:space="preserve">landfalling hurricanes </w:t>
      </w:r>
      <w:r w:rsidRPr="000F4C13" w:rsidR="009A2BD7">
        <w:rPr>
          <w:rFonts w:eastAsia="Calibri" w:asciiTheme="majorHAnsi" w:hAnsiTheme="majorHAnsi" w:cstheme="majorHAnsi"/>
        </w:rPr>
        <w:t xml:space="preserve">for </w:t>
      </w:r>
      <w:r w:rsidRPr="000F4C13" w:rsidR="00B2522B">
        <w:rPr>
          <w:rFonts w:eastAsia="Calibri" w:asciiTheme="majorHAnsi" w:hAnsiTheme="majorHAnsi" w:cstheme="majorHAnsi"/>
        </w:rPr>
        <w:t>homeowners, dwelling, mobile homeowners, and other</w:t>
      </w:r>
      <w:r w:rsidRPr="000F4C13" w:rsidR="00DE332F">
        <w:rPr>
          <w:rFonts w:eastAsia="Calibri" w:asciiTheme="majorHAnsi" w:hAnsiTheme="majorHAnsi" w:cstheme="majorHAnsi"/>
        </w:rPr>
        <w:t xml:space="preserve"> lines.</w:t>
      </w:r>
      <w:r w:rsidRPr="000F4C13" w:rsidR="00B2522B">
        <w:rPr>
          <w:rFonts w:eastAsia="Calibri" w:asciiTheme="majorHAnsi" w:hAnsiTheme="majorHAnsi" w:cstheme="majorHAnsi"/>
        </w:rPr>
        <w:t xml:space="preserve"> </w:t>
      </w:r>
    </w:p>
    <w:p w:rsidRPr="000F4C13" w:rsidR="00C96053" w:rsidP="0057045C" w:rsidRDefault="00C96053" w14:paraId="4565C64B" w14:textId="79A1DFD6">
      <w:pPr>
        <w:pStyle w:val="ListParagraph"/>
        <w:numPr>
          <w:ilvl w:val="0"/>
          <w:numId w:val="21"/>
        </w:numPr>
        <w:spacing w:after="0"/>
        <w:jc w:val="both"/>
        <w:rPr>
          <w:rFonts w:asciiTheme="majorHAnsi" w:hAnsiTheme="majorHAnsi" w:cstheme="majorHAnsi"/>
        </w:rPr>
      </w:pPr>
      <w:hyperlink r:id="rId17">
        <w:r w:rsidRPr="000F4C13">
          <w:rPr>
            <w:rFonts w:asciiTheme="majorHAnsi" w:hAnsiTheme="majorHAnsi" w:cstheme="majorHAnsi"/>
            <w:b/>
            <w:color w:val="467886"/>
            <w:u w:val="single"/>
          </w:rPr>
          <w:t>Data Call Reporting Webpage</w:t>
        </w:r>
      </w:hyperlink>
      <w:r w:rsidRPr="000F4C13" w:rsidR="00B2522B">
        <w:rPr>
          <w:rFonts w:asciiTheme="majorHAnsi" w:hAnsiTheme="majorHAnsi" w:cstheme="majorHAnsi"/>
        </w:rPr>
        <w:t xml:space="preserve"> </w:t>
      </w:r>
      <w:r w:rsidRPr="000F4C13" w:rsidR="008A7EFD">
        <w:rPr>
          <w:rFonts w:asciiTheme="majorHAnsi" w:hAnsiTheme="majorHAnsi" w:cstheme="majorHAnsi"/>
        </w:rPr>
        <w:t xml:space="preserve">that </w:t>
      </w:r>
      <w:r w:rsidRPr="000F4C13" w:rsidR="00B2522B">
        <w:rPr>
          <w:rFonts w:asciiTheme="majorHAnsi" w:hAnsiTheme="majorHAnsi" w:cstheme="majorHAnsi"/>
        </w:rPr>
        <w:t>contains many helpful data calls</w:t>
      </w:r>
      <w:r w:rsidRPr="000F4C13" w:rsidR="008A7EFD">
        <w:rPr>
          <w:rFonts w:asciiTheme="majorHAnsi" w:hAnsiTheme="majorHAnsi" w:cstheme="majorHAnsi"/>
        </w:rPr>
        <w:t>, including the Florida Property Claims Lifecycle Data Call Reporting,</w:t>
      </w:r>
      <w:r w:rsidRPr="000F4C13" w:rsidR="00B2522B">
        <w:rPr>
          <w:rFonts w:asciiTheme="majorHAnsi" w:hAnsiTheme="majorHAnsi" w:cstheme="majorHAnsi"/>
        </w:rPr>
        <w:t xml:space="preserve"> which annually collects information on </w:t>
      </w:r>
      <w:r w:rsidRPr="000F4C13" w:rsidR="007D5689">
        <w:rPr>
          <w:rFonts w:asciiTheme="majorHAnsi" w:hAnsiTheme="majorHAnsi" w:cstheme="majorHAnsi"/>
        </w:rPr>
        <w:t xml:space="preserve">the lifecycle of </w:t>
      </w:r>
      <w:r w:rsidRPr="000F4C13" w:rsidR="00B2522B">
        <w:rPr>
          <w:rFonts w:asciiTheme="majorHAnsi" w:hAnsiTheme="majorHAnsi" w:cstheme="majorHAnsi"/>
        </w:rPr>
        <w:t xml:space="preserve">closed residential property claims. </w:t>
      </w:r>
    </w:p>
    <w:p w:rsidRPr="000F4C13" w:rsidR="00C96053" w:rsidP="00D2789B" w:rsidRDefault="00B2522B" w14:paraId="6C74FC9E" w14:textId="04C088CD">
      <w:pPr>
        <w:pStyle w:val="Heading4"/>
        <w:rPr>
          <w:rFonts w:asciiTheme="majorHAnsi" w:hAnsiTheme="majorHAnsi" w:cstheme="majorHAnsi"/>
        </w:rPr>
      </w:pPr>
      <w:bookmarkStart w:name="_reryygf3qfva" w:colFirst="0" w:colLast="0" w:id="54"/>
      <w:bookmarkEnd w:id="54"/>
      <w:r w:rsidRPr="000F4C13">
        <w:rPr>
          <w:rFonts w:asciiTheme="majorHAnsi" w:hAnsiTheme="majorHAnsi" w:cstheme="majorHAnsi"/>
        </w:rPr>
        <w:t xml:space="preserve">Strategy, Initiatives, &amp; Resources: </w:t>
      </w:r>
    </w:p>
    <w:p w:rsidRPr="000F4C13" w:rsidR="00D8554A" w:rsidP="00E1280C" w:rsidRDefault="00B2522B" w14:paraId="5307B4BD" w14:textId="57746238">
      <w:pPr>
        <w:spacing w:after="0"/>
        <w:jc w:val="both"/>
        <w:rPr>
          <w:rFonts w:eastAsia="Calibri" w:asciiTheme="majorHAnsi" w:hAnsiTheme="majorHAnsi" w:cstheme="majorHAnsi"/>
        </w:rPr>
      </w:pPr>
      <w:r w:rsidRPr="000F4C13">
        <w:rPr>
          <w:rFonts w:eastAsia="Calibri" w:asciiTheme="majorHAnsi" w:hAnsiTheme="majorHAnsi" w:cstheme="majorHAnsi"/>
        </w:rPr>
        <w:t xml:space="preserve">The Florida storm preparedness and risk mitigation landscape is supported by a comprehensive framework of programs, models, and regulations designed to protect property owners and ensure actuarial accuracy. </w:t>
      </w:r>
      <w:hyperlink r:id="rId18">
        <w:r w:rsidRPr="000F4C13" w:rsidDel="001671B6" w:rsidR="00C96053">
          <w:rPr>
            <w:rFonts w:eastAsia="Calibri" w:asciiTheme="majorHAnsi" w:hAnsiTheme="majorHAnsi" w:cstheme="majorHAnsi"/>
            <w:color w:val="467886"/>
            <w:u w:val="single"/>
          </w:rPr>
          <w:t>Florida Wind Mitigation Resources</w:t>
        </w:r>
      </w:hyperlink>
      <w:r w:rsidRPr="000F4C13" w:rsidR="005D0531">
        <w:rPr>
          <w:rFonts w:asciiTheme="majorHAnsi" w:hAnsiTheme="majorHAnsi" w:cstheme="majorHAnsi"/>
        </w:rPr>
        <w:t xml:space="preserve"> and key</w:t>
      </w:r>
      <w:r w:rsidRPr="000F4C13" w:rsidDel="00422D1B">
        <w:rPr>
          <w:rFonts w:eastAsia="Calibri" w:asciiTheme="majorHAnsi" w:hAnsiTheme="majorHAnsi" w:cstheme="majorHAnsi"/>
        </w:rPr>
        <w:t xml:space="preserve"> </w:t>
      </w:r>
      <w:r w:rsidRPr="000F4C13" w:rsidDel="00C375C9">
        <w:rPr>
          <w:rFonts w:eastAsia="Calibri" w:asciiTheme="majorHAnsi" w:hAnsiTheme="majorHAnsi" w:cstheme="majorHAnsi"/>
        </w:rPr>
        <w:t xml:space="preserve">initiatives that promote hurricane resilience </w:t>
      </w:r>
      <w:r w:rsidRPr="000F4C13" w:rsidR="00C60F67">
        <w:rPr>
          <w:rFonts w:eastAsia="Calibri" w:asciiTheme="majorHAnsi" w:hAnsiTheme="majorHAnsi" w:cstheme="majorHAnsi"/>
        </w:rPr>
        <w:t xml:space="preserve">for consumers and </w:t>
      </w:r>
      <w:r w:rsidRPr="000F4C13" w:rsidR="00B07634">
        <w:rPr>
          <w:rFonts w:eastAsia="Calibri" w:asciiTheme="majorHAnsi" w:hAnsiTheme="majorHAnsi" w:cstheme="majorHAnsi"/>
        </w:rPr>
        <w:t>insurers</w:t>
      </w:r>
      <w:r w:rsidRPr="000F4C13" w:rsidDel="00C375C9">
        <w:rPr>
          <w:rFonts w:eastAsia="Calibri" w:asciiTheme="majorHAnsi" w:hAnsiTheme="majorHAnsi" w:cstheme="majorHAnsi"/>
        </w:rPr>
        <w:t xml:space="preserve"> in Florida include</w:t>
      </w:r>
      <w:r w:rsidRPr="000F4C13" w:rsidR="0076264B">
        <w:rPr>
          <w:rFonts w:eastAsia="Calibri" w:asciiTheme="majorHAnsi" w:hAnsiTheme="majorHAnsi" w:cstheme="majorHAnsi"/>
        </w:rPr>
        <w:t xml:space="preserve"> the following:</w:t>
      </w:r>
    </w:p>
    <w:p w:rsidRPr="000F4C13" w:rsidR="00CC5D50" w:rsidP="00E1280C" w:rsidRDefault="00CC5D50" w14:paraId="7CE0F21F" w14:textId="77777777">
      <w:pPr>
        <w:spacing w:after="0"/>
        <w:jc w:val="both"/>
        <w:rPr>
          <w:rFonts w:eastAsia="Calibri" w:asciiTheme="majorHAnsi" w:hAnsiTheme="majorHAnsi" w:cstheme="majorHAnsi"/>
        </w:rPr>
      </w:pPr>
    </w:p>
    <w:p w:rsidRPr="000F4C13" w:rsidR="009652F7" w:rsidP="007A5D40" w:rsidRDefault="009652F7" w14:paraId="6171B488" w14:textId="5696321E">
      <w:pPr>
        <w:spacing w:after="0"/>
        <w:jc w:val="both"/>
        <w:rPr>
          <w:rFonts w:eastAsia="Calibri" w:asciiTheme="majorHAnsi" w:hAnsiTheme="majorHAnsi" w:cstheme="majorHAnsi"/>
        </w:rPr>
      </w:pPr>
      <w:hyperlink w:history="1" r:id="rId19">
        <w:r w:rsidRPr="000F4C13">
          <w:rPr>
            <w:rStyle w:val="Hyperlink"/>
            <w:rFonts w:eastAsia="Calibri" w:asciiTheme="majorHAnsi" w:hAnsiTheme="majorHAnsi" w:cstheme="majorHAnsi"/>
            <w:b/>
            <w:bCs/>
          </w:rPr>
          <w:t>Florida Hurricane Catastrophe Fund (FHCF)</w:t>
        </w:r>
      </w:hyperlink>
      <w:r w:rsidRPr="000F4C13">
        <w:rPr>
          <w:rFonts w:asciiTheme="majorHAnsi" w:hAnsiTheme="majorHAnsi" w:eastAsiaTheme="minorHAnsi" w:cstheme="majorHAnsi"/>
        </w:rPr>
        <w:t xml:space="preserve">, </w:t>
      </w:r>
      <w:r w:rsidRPr="000F4C13">
        <w:rPr>
          <w:rFonts w:eastAsia="Calibri" w:asciiTheme="majorHAnsi" w:hAnsiTheme="majorHAnsi" w:cstheme="majorHAnsi"/>
        </w:rPr>
        <w:t>a governmental, tax-exempt fund that requires all residential property companies in Florida to place a reimbursement contract applicable to their catastrophe reinsurance program, specifically for named storms (</w:t>
      </w:r>
      <w:hyperlink w:history="1" r:id="rId20">
        <w:r w:rsidRPr="000F4C13">
          <w:rPr>
            <w:rStyle w:val="Hyperlink"/>
            <w:rFonts w:eastAsia="Calibri" w:asciiTheme="majorHAnsi" w:hAnsiTheme="majorHAnsi" w:cstheme="majorHAnsi"/>
          </w:rPr>
          <w:t>section 215.555, Florida Statutes</w:t>
        </w:r>
      </w:hyperlink>
      <w:r w:rsidRPr="000F4C13">
        <w:rPr>
          <w:rFonts w:asciiTheme="majorHAnsi" w:hAnsiTheme="majorHAnsi" w:eastAsiaTheme="minorHAnsi" w:cstheme="majorHAnsi"/>
        </w:rPr>
        <w:t>).</w:t>
      </w:r>
      <w:r w:rsidRPr="000F4C13" w:rsidR="00DA5B96">
        <w:rPr>
          <w:rFonts w:eastAsia="Calibri" w:asciiTheme="majorHAnsi" w:hAnsiTheme="majorHAnsi" w:cstheme="majorHAnsi"/>
        </w:rPr>
        <w:t xml:space="preserve">  </w:t>
      </w:r>
    </w:p>
    <w:p w:rsidRPr="000F4C13" w:rsidR="00DA5B96" w:rsidP="00E1280C" w:rsidRDefault="00DA5B96" w14:paraId="08C5F56B" w14:textId="77777777">
      <w:pPr>
        <w:spacing w:after="0"/>
        <w:jc w:val="both"/>
        <w:rPr>
          <w:rFonts w:eastAsia="Calibri" w:asciiTheme="majorHAnsi" w:hAnsiTheme="majorHAnsi" w:cstheme="majorHAnsi"/>
        </w:rPr>
      </w:pPr>
    </w:p>
    <w:p w:rsidRPr="000F4C13" w:rsidR="00D369F3" w:rsidP="00E0104C" w:rsidRDefault="00D369F3" w14:paraId="125B0DEC" w14:textId="6C7459BF">
      <w:pPr>
        <w:spacing w:after="0"/>
        <w:jc w:val="both"/>
        <w:rPr>
          <w:rFonts w:eastAsia="Calibri" w:asciiTheme="majorHAnsi" w:hAnsiTheme="majorHAnsi" w:cstheme="majorHAnsi"/>
        </w:rPr>
      </w:pPr>
      <w:r w:rsidRPr="000F4C13">
        <w:rPr>
          <w:rFonts w:eastAsia="Calibri" w:asciiTheme="majorHAnsi" w:hAnsiTheme="majorHAnsi" w:cstheme="majorHAnsi"/>
        </w:rPr>
        <w:t xml:space="preserve">The Florida OIR uses the </w:t>
      </w:r>
      <w:hyperlink w:history="1" r:id="rId21">
        <w:r w:rsidRPr="000F4C13">
          <w:rPr>
            <w:rStyle w:val="Hyperlink"/>
            <w:rFonts w:eastAsia="Calibri" w:asciiTheme="majorHAnsi" w:hAnsiTheme="majorHAnsi" w:cstheme="majorHAnsi"/>
            <w:b/>
          </w:rPr>
          <w:t>Florida Public Hurricane Loss Projection Model</w:t>
        </w:r>
        <w:r w:rsidRPr="000F4C13" w:rsidR="009147AB">
          <w:rPr>
            <w:rStyle w:val="Hyperlink"/>
            <w:rFonts w:eastAsia="Calibri" w:asciiTheme="majorHAnsi" w:hAnsiTheme="majorHAnsi" w:cstheme="majorHAnsi"/>
            <w:b/>
          </w:rPr>
          <w:t xml:space="preserve"> (FPHLM)</w:t>
        </w:r>
      </w:hyperlink>
      <w:r w:rsidRPr="000F4C13" w:rsidR="0064755C">
        <w:rPr>
          <w:rFonts w:eastAsia="Calibri" w:asciiTheme="majorHAnsi" w:hAnsiTheme="majorHAnsi" w:cstheme="majorHAnsi"/>
        </w:rPr>
        <w:t xml:space="preserve">. </w:t>
      </w:r>
      <w:r w:rsidRPr="000F4C13" w:rsidR="00366B71">
        <w:rPr>
          <w:rFonts w:eastAsia="Calibri" w:asciiTheme="majorHAnsi" w:hAnsiTheme="majorHAnsi" w:cstheme="majorHAnsi"/>
        </w:rPr>
        <w:t xml:space="preserve">The FPHLM </w:t>
      </w:r>
      <w:r w:rsidRPr="000F4C13" w:rsidR="00B958C8">
        <w:rPr>
          <w:rFonts w:eastAsia="Calibri" w:asciiTheme="majorHAnsi" w:hAnsiTheme="majorHAnsi" w:cstheme="majorHAnsi"/>
        </w:rPr>
        <w:t>is an open-source</w:t>
      </w:r>
      <w:r w:rsidRPr="000F4C13" w:rsidR="008C0956">
        <w:rPr>
          <w:rFonts w:eastAsia="Calibri" w:asciiTheme="majorHAnsi" w:hAnsiTheme="majorHAnsi" w:cstheme="majorHAnsi"/>
        </w:rPr>
        <w:t xml:space="preserve"> tool</w:t>
      </w:r>
      <w:r w:rsidRPr="000F4C13">
        <w:rPr>
          <w:rFonts w:eastAsia="Calibri" w:asciiTheme="majorHAnsi" w:hAnsiTheme="majorHAnsi" w:cstheme="majorHAnsi"/>
        </w:rPr>
        <w:t xml:space="preserve"> developed by Florida International University (FIU), as referenced in </w:t>
      </w:r>
      <w:hyperlink w:history="1" r:id="rId22">
        <w:r w:rsidRPr="000F4C13">
          <w:rPr>
            <w:rStyle w:val="Hyperlink"/>
            <w:rFonts w:eastAsia="Calibri" w:asciiTheme="majorHAnsi" w:hAnsiTheme="majorHAnsi" w:cstheme="majorHAnsi"/>
          </w:rPr>
          <w:t>section 627.06281, Florida Statutes.</w:t>
        </w:r>
      </w:hyperlink>
      <w:r w:rsidRPr="000F4C13">
        <w:rPr>
          <w:rFonts w:eastAsia="Calibri" w:asciiTheme="majorHAnsi" w:hAnsiTheme="majorHAnsi" w:cstheme="majorHAnsi"/>
        </w:rPr>
        <w:t xml:space="preserve"> OIR runs insurer experience through the </w:t>
      </w:r>
      <w:r w:rsidRPr="000F4C13" w:rsidR="000A164C">
        <w:rPr>
          <w:rFonts w:eastAsia="Calibri" w:asciiTheme="majorHAnsi" w:hAnsiTheme="majorHAnsi" w:cstheme="majorHAnsi"/>
        </w:rPr>
        <w:t>FPHLM</w:t>
      </w:r>
      <w:r w:rsidRPr="000F4C13">
        <w:rPr>
          <w:rFonts w:eastAsia="Calibri" w:asciiTheme="majorHAnsi" w:hAnsiTheme="majorHAnsi" w:cstheme="majorHAnsi"/>
        </w:rPr>
        <w:t xml:space="preserve"> to compare insurer indications in rate filings and for catastrophe stress testing. Additionally, FIU has developed a </w:t>
      </w:r>
      <w:r w:rsidRPr="000F4C13">
        <w:rPr>
          <w:rFonts w:eastAsia="Calibri" w:asciiTheme="majorHAnsi" w:hAnsiTheme="majorHAnsi" w:cstheme="majorHAnsi"/>
          <w:b/>
        </w:rPr>
        <w:t xml:space="preserve">Public Flood Loss Projection Model </w:t>
      </w:r>
      <w:r w:rsidRPr="000F4C13">
        <w:rPr>
          <w:rFonts w:eastAsia="Calibri" w:asciiTheme="majorHAnsi" w:hAnsiTheme="majorHAnsi" w:cstheme="majorHAnsi"/>
        </w:rPr>
        <w:t xml:space="preserve">and is working on a </w:t>
      </w:r>
      <w:r w:rsidRPr="000F4C13">
        <w:rPr>
          <w:rFonts w:eastAsia="Calibri" w:asciiTheme="majorHAnsi" w:hAnsiTheme="majorHAnsi" w:cstheme="majorHAnsi"/>
          <w:b/>
        </w:rPr>
        <w:t>Public Severe Convective Storm Loss Projection Model</w:t>
      </w:r>
      <w:r w:rsidRPr="000F4C13">
        <w:rPr>
          <w:rFonts w:eastAsia="Calibri" w:asciiTheme="majorHAnsi" w:hAnsiTheme="majorHAnsi" w:cstheme="majorHAnsi"/>
        </w:rPr>
        <w:t>.</w:t>
      </w:r>
    </w:p>
    <w:p w:rsidRPr="000F4C13" w:rsidR="00D369F3" w:rsidP="00E1280C" w:rsidRDefault="00D369F3" w14:paraId="3AA9A280" w14:textId="77777777">
      <w:pPr>
        <w:spacing w:after="0"/>
        <w:jc w:val="both"/>
        <w:rPr>
          <w:rFonts w:eastAsia="Calibri" w:asciiTheme="majorHAnsi" w:hAnsiTheme="majorHAnsi" w:cstheme="majorHAnsi"/>
        </w:rPr>
      </w:pPr>
    </w:p>
    <w:p w:rsidRPr="000F4C13" w:rsidR="004B7E1E" w:rsidP="00E1280C" w:rsidRDefault="004B7E1E" w14:paraId="432703F0" w14:textId="0284370E">
      <w:pPr>
        <w:spacing w:after="0"/>
        <w:jc w:val="both"/>
        <w:rPr>
          <w:rFonts w:eastAsia="Calibri" w:asciiTheme="majorHAnsi" w:hAnsiTheme="majorHAnsi" w:cstheme="majorHAnsi"/>
          <w:lang w:val="en-US"/>
        </w:rPr>
      </w:pPr>
      <w:r w:rsidRPr="000F4C13">
        <w:rPr>
          <w:rFonts w:eastAsia="Calibri" w:asciiTheme="majorHAnsi" w:hAnsiTheme="majorHAnsi" w:cstheme="majorHAnsi"/>
          <w:lang w:val="en-US"/>
        </w:rPr>
        <w:t>Florida has also implemented targeted mitigation assistance programs, including</w:t>
      </w:r>
      <w:r w:rsidRPr="000F4C13" w:rsidR="00D04379">
        <w:rPr>
          <w:rFonts w:eastAsia="Calibri" w:asciiTheme="majorHAnsi" w:hAnsiTheme="majorHAnsi" w:cstheme="majorHAnsi"/>
          <w:lang w:val="en-US"/>
        </w:rPr>
        <w:t>:</w:t>
      </w:r>
    </w:p>
    <w:p w:rsidRPr="000F4C13" w:rsidR="00B23021" w:rsidP="0057045C" w:rsidRDefault="00B2522B" w14:paraId="5498FF27" w14:textId="10D7DE2B">
      <w:pPr>
        <w:pStyle w:val="ListParagraph"/>
        <w:numPr>
          <w:ilvl w:val="0"/>
          <w:numId w:val="22"/>
        </w:numPr>
        <w:spacing w:after="0"/>
        <w:jc w:val="both"/>
        <w:rPr>
          <w:rFonts w:eastAsia="Calibri" w:asciiTheme="majorHAnsi" w:hAnsiTheme="majorHAnsi" w:cstheme="majorHAnsi"/>
        </w:rPr>
      </w:pPr>
      <w:hyperlink w:history="1" r:id="rId23">
        <w:r w:rsidRPr="000F4C13">
          <w:rPr>
            <w:rStyle w:val="Hyperlink"/>
            <w:rFonts w:eastAsia="Calibri" w:asciiTheme="majorHAnsi" w:hAnsiTheme="majorHAnsi" w:cstheme="majorHAnsi"/>
            <w:b/>
          </w:rPr>
          <w:t>My Safe Florida Home Program</w:t>
        </w:r>
      </w:hyperlink>
      <w:r w:rsidRPr="000F4C13" w:rsidR="00925D02">
        <w:rPr>
          <w:rFonts w:eastAsia="Calibri" w:asciiTheme="majorHAnsi" w:hAnsiTheme="majorHAnsi" w:cstheme="majorHAnsi"/>
        </w:rPr>
        <w:t xml:space="preserve"> </w:t>
      </w:r>
      <w:r w:rsidRPr="000F4C13" w:rsidR="007904B6">
        <w:rPr>
          <w:rFonts w:eastAsia="Calibri" w:asciiTheme="majorHAnsi" w:hAnsiTheme="majorHAnsi" w:cstheme="majorHAnsi"/>
        </w:rPr>
        <w:t>help</w:t>
      </w:r>
      <w:r w:rsidRPr="000F4C13" w:rsidR="00A759E8">
        <w:rPr>
          <w:rFonts w:eastAsia="Calibri" w:asciiTheme="majorHAnsi" w:hAnsiTheme="majorHAnsi" w:cstheme="majorHAnsi"/>
        </w:rPr>
        <w:t>s</w:t>
      </w:r>
      <w:r w:rsidRPr="000F4C13" w:rsidR="007904B6">
        <w:rPr>
          <w:rFonts w:eastAsia="Calibri" w:asciiTheme="majorHAnsi" w:hAnsiTheme="majorHAnsi" w:cstheme="majorHAnsi"/>
        </w:rPr>
        <w:t xml:space="preserve"> homeowners strengthen their homes </w:t>
      </w:r>
      <w:r w:rsidRPr="000F4C13" w:rsidR="00E140C0">
        <w:rPr>
          <w:rFonts w:eastAsia="Calibri" w:asciiTheme="majorHAnsi" w:hAnsiTheme="majorHAnsi" w:cstheme="majorHAnsi"/>
        </w:rPr>
        <w:t>through wind mitigation inspections and grant assistance</w:t>
      </w:r>
      <w:r w:rsidRPr="000F4C13" w:rsidR="00374CDA">
        <w:rPr>
          <w:rFonts w:eastAsia="Calibri" w:asciiTheme="majorHAnsi" w:hAnsiTheme="majorHAnsi" w:cstheme="majorHAnsi"/>
        </w:rPr>
        <w:t xml:space="preserve">, and helps them </w:t>
      </w:r>
      <w:r w:rsidRPr="000F4C13" w:rsidR="007904B6">
        <w:rPr>
          <w:rFonts w:eastAsia="Calibri" w:asciiTheme="majorHAnsi" w:hAnsiTheme="majorHAnsi" w:cstheme="majorHAnsi"/>
        </w:rPr>
        <w:t>save on insurance</w:t>
      </w:r>
      <w:r w:rsidRPr="000F4C13" w:rsidR="00F875D4">
        <w:rPr>
          <w:rFonts w:eastAsia="Calibri" w:asciiTheme="majorHAnsi" w:hAnsiTheme="majorHAnsi" w:cstheme="majorHAnsi"/>
        </w:rPr>
        <w:t xml:space="preserve"> (</w:t>
      </w:r>
      <w:hyperlink w:history="1" r:id="rId24">
        <w:r w:rsidRPr="000F4C13" w:rsidR="007904B6">
          <w:rPr>
            <w:rStyle w:val="Hyperlink"/>
            <w:rFonts w:eastAsia="Calibri" w:asciiTheme="majorHAnsi" w:hAnsiTheme="majorHAnsi" w:cstheme="majorHAnsi"/>
          </w:rPr>
          <w:t>section 215.5586, Florida Statutes</w:t>
        </w:r>
      </w:hyperlink>
      <w:r w:rsidRPr="000F4C13" w:rsidR="00374CDA">
        <w:rPr>
          <w:rFonts w:eastAsia="Calibri" w:asciiTheme="majorHAnsi" w:hAnsiTheme="majorHAnsi" w:cstheme="majorHAnsi"/>
        </w:rPr>
        <w:t>).</w:t>
      </w:r>
      <w:r w:rsidRPr="000F4C13" w:rsidR="00F625A5">
        <w:rPr>
          <w:rFonts w:eastAsia="Calibri" w:asciiTheme="majorHAnsi" w:hAnsiTheme="majorHAnsi" w:cstheme="majorHAnsi"/>
        </w:rPr>
        <w:t xml:space="preserve">  </w:t>
      </w:r>
    </w:p>
    <w:p w:rsidRPr="000F4C13" w:rsidR="00F625A5" w:rsidP="0057045C" w:rsidRDefault="00F625A5" w14:paraId="76C3369B" w14:textId="0F4E3055">
      <w:pPr>
        <w:pStyle w:val="ListParagraph"/>
        <w:numPr>
          <w:ilvl w:val="0"/>
          <w:numId w:val="22"/>
        </w:numPr>
        <w:spacing w:after="0"/>
        <w:jc w:val="both"/>
        <w:rPr>
          <w:rFonts w:eastAsia="Calibri" w:asciiTheme="majorHAnsi" w:hAnsiTheme="majorHAnsi" w:cstheme="majorHAnsi"/>
        </w:rPr>
      </w:pPr>
      <w:hyperlink w:history="1" r:id="rId25">
        <w:r w:rsidRPr="000F4C13">
          <w:rPr>
            <w:rStyle w:val="Hyperlink"/>
            <w:rFonts w:eastAsia="Calibri" w:asciiTheme="majorHAnsi" w:hAnsiTheme="majorHAnsi" w:cstheme="majorHAnsi"/>
            <w:b/>
          </w:rPr>
          <w:t>My Safe Florida Condominium Pilot Program</w:t>
        </w:r>
      </w:hyperlink>
      <w:r w:rsidRPr="000F4C13">
        <w:rPr>
          <w:rFonts w:eastAsia="Calibri" w:asciiTheme="majorHAnsi" w:hAnsiTheme="majorHAnsi" w:cstheme="majorHAnsi"/>
        </w:rPr>
        <w:t xml:space="preserve"> assists condominium associations with hurricane readiness and </w:t>
      </w:r>
      <w:r w:rsidRPr="000F4C13" w:rsidR="006D5493">
        <w:rPr>
          <w:rFonts w:eastAsia="Calibri" w:asciiTheme="majorHAnsi" w:hAnsiTheme="majorHAnsi" w:cstheme="majorHAnsi"/>
        </w:rPr>
        <w:t xml:space="preserve">insurance </w:t>
      </w:r>
      <w:r w:rsidRPr="000F4C13">
        <w:rPr>
          <w:rFonts w:eastAsia="Calibri" w:asciiTheme="majorHAnsi" w:hAnsiTheme="majorHAnsi" w:cstheme="majorHAnsi"/>
        </w:rPr>
        <w:t>savings</w:t>
      </w:r>
      <w:r w:rsidRPr="000F4C13" w:rsidR="00D726B4">
        <w:rPr>
          <w:rFonts w:eastAsia="Calibri" w:asciiTheme="majorHAnsi" w:hAnsiTheme="majorHAnsi" w:cstheme="majorHAnsi"/>
        </w:rPr>
        <w:t xml:space="preserve"> (</w:t>
      </w:r>
      <w:hyperlink w:history="1" r:id="rId26">
        <w:r w:rsidRPr="000F4C13">
          <w:rPr>
            <w:rStyle w:val="Hyperlink"/>
            <w:rFonts w:eastAsia="Calibri" w:asciiTheme="majorHAnsi" w:hAnsiTheme="majorHAnsi" w:cstheme="majorHAnsi"/>
          </w:rPr>
          <w:t>section 215.55871, Florida Statutes</w:t>
        </w:r>
      </w:hyperlink>
      <w:r w:rsidRPr="000F4C13" w:rsidR="008605B7">
        <w:rPr>
          <w:rFonts w:eastAsia="Calibri" w:asciiTheme="majorHAnsi" w:hAnsiTheme="majorHAnsi" w:cstheme="majorHAnsi"/>
        </w:rPr>
        <w:t>).</w:t>
      </w:r>
    </w:p>
    <w:p w:rsidRPr="000F4C13" w:rsidR="00C96053" w:rsidP="00280902" w:rsidRDefault="00C96053" w14:paraId="36486D76" w14:textId="77777777">
      <w:pPr>
        <w:spacing w:after="0"/>
        <w:ind w:left="1800"/>
        <w:jc w:val="both"/>
        <w:rPr>
          <w:rFonts w:eastAsia="Calibri" w:asciiTheme="majorHAnsi" w:hAnsiTheme="majorHAnsi" w:cstheme="majorHAnsi"/>
        </w:rPr>
      </w:pPr>
    </w:p>
    <w:p w:rsidRPr="000F4C13" w:rsidR="00900EEF" w:rsidP="002A73EC" w:rsidRDefault="00A31A5F" w14:paraId="631FB347" w14:textId="1D6E04C2">
      <w:pPr>
        <w:spacing w:after="0"/>
        <w:jc w:val="both"/>
        <w:rPr>
          <w:rFonts w:eastAsia="Calibri" w:asciiTheme="majorHAnsi" w:hAnsiTheme="majorHAnsi" w:cstheme="majorHAnsi"/>
        </w:rPr>
      </w:pPr>
      <w:r w:rsidRPr="000F4C13">
        <w:rPr>
          <w:rFonts w:eastAsia="Calibri" w:asciiTheme="majorHAnsi" w:hAnsiTheme="majorHAnsi" w:cstheme="majorHAnsi"/>
        </w:rPr>
        <w:t xml:space="preserve">Florida requires standardized mitigation verification through </w:t>
      </w:r>
      <w:r w:rsidRPr="000F4C13" w:rsidR="00B2522B">
        <w:rPr>
          <w:rFonts w:eastAsia="Calibri" w:asciiTheme="majorHAnsi" w:hAnsiTheme="majorHAnsi" w:cstheme="majorHAnsi"/>
        </w:rPr>
        <w:t xml:space="preserve">the </w:t>
      </w:r>
      <w:hyperlink r:id="rId27">
        <w:r w:rsidRPr="000F4C13" w:rsidR="00C96053">
          <w:rPr>
            <w:rFonts w:eastAsia="Calibri" w:asciiTheme="majorHAnsi" w:hAnsiTheme="majorHAnsi" w:cstheme="majorHAnsi"/>
            <w:color w:val="467886"/>
            <w:u w:val="single"/>
          </w:rPr>
          <w:t>Uniform Mitigation Inspection Form (OIR-B1-1802)</w:t>
        </w:r>
      </w:hyperlink>
      <w:r w:rsidRPr="000F4C13" w:rsidR="00B2522B">
        <w:rPr>
          <w:rFonts w:eastAsia="Calibri" w:asciiTheme="majorHAnsi" w:hAnsiTheme="majorHAnsi" w:cstheme="majorHAnsi"/>
        </w:rPr>
        <w:t xml:space="preserve">. This form is completed by a licensed home inspector who validates the mitigation attributes or construction techniques. Insurers then evaluate the form to determine if the policyholder/applicant is eligible for any discounts to reduce their windstorm premium. </w:t>
      </w:r>
    </w:p>
    <w:p w:rsidRPr="000F4C13" w:rsidR="00900EEF" w:rsidP="002A73EC" w:rsidRDefault="00900EEF" w14:paraId="558C4F8A" w14:textId="77777777">
      <w:pPr>
        <w:spacing w:after="0"/>
        <w:jc w:val="both"/>
        <w:rPr>
          <w:rFonts w:eastAsia="Calibri" w:asciiTheme="majorHAnsi" w:hAnsiTheme="majorHAnsi" w:cstheme="majorHAnsi"/>
        </w:rPr>
      </w:pPr>
    </w:p>
    <w:p w:rsidRPr="000F4C13" w:rsidR="00F94550" w:rsidP="002A73EC" w:rsidRDefault="00B2522B" w14:paraId="04FB2A3F" w14:textId="5F19DAAA">
      <w:pPr>
        <w:spacing w:after="0"/>
        <w:jc w:val="both"/>
        <w:rPr>
          <w:rFonts w:eastAsia="Calibri" w:asciiTheme="majorHAnsi" w:hAnsiTheme="majorHAnsi" w:cstheme="majorHAnsi"/>
        </w:rPr>
      </w:pPr>
      <w:r w:rsidRPr="000F4C13">
        <w:rPr>
          <w:rFonts w:eastAsia="Calibri" w:asciiTheme="majorHAnsi" w:hAnsiTheme="majorHAnsi" w:cstheme="majorHAnsi"/>
        </w:rPr>
        <w:t>This form</w:t>
      </w:r>
      <w:r w:rsidRPr="000F4C13" w:rsidR="001D3F03">
        <w:rPr>
          <w:rFonts w:eastAsia="Calibri" w:asciiTheme="majorHAnsi" w:hAnsiTheme="majorHAnsi" w:cstheme="majorHAnsi"/>
        </w:rPr>
        <w:t xml:space="preserve"> and </w:t>
      </w:r>
      <w:r w:rsidRPr="000F4C13">
        <w:rPr>
          <w:rFonts w:eastAsia="Calibri" w:asciiTheme="majorHAnsi" w:hAnsiTheme="majorHAnsi" w:cstheme="majorHAnsi"/>
        </w:rPr>
        <w:t xml:space="preserve">the </w:t>
      </w:r>
      <w:r w:rsidRPr="000F4C13" w:rsidR="001D3F03">
        <w:rPr>
          <w:rFonts w:eastAsia="Calibri" w:asciiTheme="majorHAnsi" w:hAnsiTheme="majorHAnsi" w:cstheme="majorHAnsi"/>
        </w:rPr>
        <w:t xml:space="preserve">associated </w:t>
      </w:r>
      <w:r w:rsidRPr="000F4C13">
        <w:rPr>
          <w:rFonts w:eastAsia="Calibri" w:asciiTheme="majorHAnsi" w:hAnsiTheme="majorHAnsi" w:cstheme="majorHAnsi"/>
        </w:rPr>
        <w:t>discount tables</w:t>
      </w:r>
      <w:r w:rsidRPr="000F4C13" w:rsidDel="001D3F03">
        <w:rPr>
          <w:rFonts w:eastAsia="Calibri" w:asciiTheme="majorHAnsi" w:hAnsiTheme="majorHAnsi" w:cstheme="majorHAnsi"/>
        </w:rPr>
        <w:t xml:space="preserve"> </w:t>
      </w:r>
      <w:r w:rsidRPr="000F4C13">
        <w:rPr>
          <w:rFonts w:eastAsia="Calibri" w:asciiTheme="majorHAnsi" w:hAnsiTheme="majorHAnsi" w:cstheme="majorHAnsi"/>
        </w:rPr>
        <w:t xml:space="preserve">must be used by all Florida residential property insurers unless the insurer opts to conduct a separate study from OIR’s study. </w:t>
      </w:r>
      <w:r w:rsidRPr="000F4C13" w:rsidR="001125D1">
        <w:rPr>
          <w:rFonts w:eastAsia="Calibri" w:asciiTheme="majorHAnsi" w:hAnsiTheme="majorHAnsi" w:cstheme="majorHAnsi"/>
        </w:rPr>
        <w:t xml:space="preserve">The </w:t>
      </w:r>
      <w:r w:rsidRPr="000F4C13" w:rsidR="00312B14">
        <w:rPr>
          <w:rFonts w:eastAsia="Calibri" w:asciiTheme="majorHAnsi" w:hAnsiTheme="majorHAnsi" w:cstheme="majorHAnsi"/>
        </w:rPr>
        <w:t>related forms</w:t>
      </w:r>
      <w:r w:rsidRPr="000F4C13" w:rsidR="001125D1">
        <w:rPr>
          <w:rFonts w:eastAsia="Calibri" w:asciiTheme="majorHAnsi" w:hAnsiTheme="majorHAnsi" w:cstheme="majorHAnsi"/>
        </w:rPr>
        <w:t xml:space="preserve"> include:</w:t>
      </w:r>
    </w:p>
    <w:p w:rsidRPr="000F4C13" w:rsidR="0012098A" w:rsidP="0057045C" w:rsidRDefault="001125D1" w14:paraId="07D784CC" w14:textId="012A2AB5">
      <w:pPr>
        <w:pStyle w:val="ListParagraph"/>
        <w:numPr>
          <w:ilvl w:val="0"/>
          <w:numId w:val="23"/>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28">
        <w:r w:rsidRPr="000F4C13">
          <w:rPr>
            <w:rFonts w:eastAsia="Calibri" w:asciiTheme="majorHAnsi" w:hAnsiTheme="majorHAnsi" w:cstheme="majorHAnsi"/>
            <w:color w:val="467886"/>
            <w:u w:val="single"/>
          </w:rPr>
          <w:t>Windstorm Mitigation Discounts; Single Family Residences (OIR-B1-1699)</w:t>
        </w:r>
      </w:hyperlink>
      <w:r w:rsidRPr="000F4C13">
        <w:rPr>
          <w:rFonts w:eastAsia="Calibri" w:asciiTheme="majorHAnsi" w:hAnsiTheme="majorHAnsi" w:cstheme="majorHAnsi"/>
        </w:rPr>
        <w:t xml:space="preserve"> form</w:t>
      </w:r>
      <w:r w:rsidRPr="000F4C13" w:rsidR="00391F9F">
        <w:rPr>
          <w:rFonts w:eastAsia="Calibri" w:asciiTheme="majorHAnsi" w:hAnsiTheme="majorHAnsi" w:cstheme="majorHAnsi"/>
        </w:rPr>
        <w:t>, which</w:t>
      </w:r>
      <w:r w:rsidRPr="000F4C13">
        <w:rPr>
          <w:rFonts w:eastAsia="Calibri" w:asciiTheme="majorHAnsi" w:hAnsiTheme="majorHAnsi" w:cstheme="majorHAnsi"/>
        </w:rPr>
        <w:t xml:space="preserve"> displays the range of wind premium credits for existing construction on single-family residences. </w:t>
      </w:r>
    </w:p>
    <w:p w:rsidRPr="000F4C13" w:rsidR="00D40619" w:rsidP="0057045C" w:rsidRDefault="0012098A" w14:paraId="00C80196" w14:textId="0C06DCD8">
      <w:pPr>
        <w:pStyle w:val="ListParagraph"/>
        <w:numPr>
          <w:ilvl w:val="0"/>
          <w:numId w:val="23"/>
        </w:numPr>
        <w:spacing w:after="0"/>
        <w:jc w:val="both"/>
        <w:rPr>
          <w:rFonts w:eastAsia="Calibri" w:asciiTheme="majorHAnsi" w:hAnsiTheme="majorHAnsi" w:cstheme="majorHAnsi"/>
        </w:rPr>
      </w:pPr>
      <w:r w:rsidRPr="000F4C13">
        <w:rPr>
          <w:rFonts w:eastAsia="Calibri" w:asciiTheme="majorHAnsi" w:hAnsiTheme="majorHAnsi" w:cstheme="majorHAnsi"/>
        </w:rPr>
        <w:t>T</w:t>
      </w:r>
      <w:r w:rsidRPr="000F4C13" w:rsidR="001125D1">
        <w:rPr>
          <w:rFonts w:eastAsia="Calibri" w:asciiTheme="majorHAnsi" w:hAnsiTheme="majorHAnsi" w:cstheme="majorHAnsi"/>
        </w:rPr>
        <w:t xml:space="preserve">he </w:t>
      </w:r>
      <w:hyperlink r:id="rId29">
        <w:r w:rsidRPr="000F4C13" w:rsidR="001125D1">
          <w:rPr>
            <w:rFonts w:eastAsia="Calibri" w:asciiTheme="majorHAnsi" w:hAnsiTheme="majorHAnsi" w:cstheme="majorHAnsi"/>
            <w:color w:val="467886"/>
            <w:u w:val="single"/>
          </w:rPr>
          <w:t>Windstorm Mitigation Discounts; Non-Single Family Residences (OIR-B1-1700)</w:t>
        </w:r>
      </w:hyperlink>
      <w:r w:rsidRPr="000F4C13" w:rsidR="001125D1">
        <w:rPr>
          <w:rFonts w:eastAsia="Calibri" w:asciiTheme="majorHAnsi" w:hAnsiTheme="majorHAnsi" w:cstheme="majorHAnsi"/>
        </w:rPr>
        <w:t xml:space="preserve"> form</w:t>
      </w:r>
      <w:r w:rsidRPr="000F4C13" w:rsidR="00391F9F">
        <w:rPr>
          <w:rFonts w:eastAsia="Calibri" w:asciiTheme="majorHAnsi" w:hAnsiTheme="majorHAnsi" w:cstheme="majorHAnsi"/>
        </w:rPr>
        <w:t>, which</w:t>
      </w:r>
      <w:r w:rsidRPr="000F4C13" w:rsidR="001125D1">
        <w:rPr>
          <w:rFonts w:eastAsia="Calibri" w:asciiTheme="majorHAnsi" w:hAnsiTheme="majorHAnsi" w:cstheme="majorHAnsi"/>
        </w:rPr>
        <w:t xml:space="preserve"> displays the range of wind premium credits for existing construction on non-single family residences. </w:t>
      </w:r>
    </w:p>
    <w:p w:rsidRPr="000F4C13" w:rsidR="001125D1" w:rsidP="0057045C" w:rsidRDefault="00D40619" w14:paraId="569F58B1" w14:textId="2B3F3492">
      <w:pPr>
        <w:pStyle w:val="ListParagraph"/>
        <w:numPr>
          <w:ilvl w:val="0"/>
          <w:numId w:val="23"/>
        </w:numPr>
        <w:spacing w:after="0"/>
        <w:jc w:val="both"/>
        <w:rPr>
          <w:rFonts w:eastAsia="Calibri" w:asciiTheme="majorHAnsi" w:hAnsiTheme="majorHAnsi" w:cstheme="majorHAnsi"/>
        </w:rPr>
      </w:pPr>
      <w:r w:rsidRPr="000F4C13">
        <w:rPr>
          <w:rFonts w:eastAsia="Calibri" w:asciiTheme="majorHAnsi" w:hAnsiTheme="majorHAnsi" w:cstheme="majorHAnsi"/>
        </w:rPr>
        <w:t>T</w:t>
      </w:r>
      <w:r w:rsidRPr="000F4C13" w:rsidR="001125D1">
        <w:rPr>
          <w:rFonts w:eastAsia="Calibri" w:asciiTheme="majorHAnsi" w:hAnsiTheme="majorHAnsi" w:cstheme="majorHAnsi"/>
        </w:rPr>
        <w:t xml:space="preserve">he </w:t>
      </w:r>
      <w:hyperlink r:id="rId30">
        <w:r w:rsidRPr="000F4C13" w:rsidR="001125D1">
          <w:rPr>
            <w:rFonts w:eastAsia="Calibri" w:asciiTheme="majorHAnsi" w:hAnsiTheme="majorHAnsi" w:cstheme="majorHAnsi"/>
            <w:color w:val="467886"/>
            <w:u w:val="single"/>
          </w:rPr>
          <w:t>Notice of Premium Discounts for Hurricane Loss Mitigation (OIR-B1-1655)</w:t>
        </w:r>
      </w:hyperlink>
      <w:r w:rsidRPr="000F4C13" w:rsidR="001125D1">
        <w:rPr>
          <w:rFonts w:eastAsia="Calibri" w:asciiTheme="majorHAnsi" w:hAnsiTheme="majorHAnsi" w:cstheme="majorHAnsi"/>
        </w:rPr>
        <w:t xml:space="preserve"> form</w:t>
      </w:r>
      <w:r w:rsidRPr="000F4C13" w:rsidR="00C70269">
        <w:rPr>
          <w:rFonts w:eastAsia="Calibri" w:asciiTheme="majorHAnsi" w:hAnsiTheme="majorHAnsi" w:cstheme="majorHAnsi"/>
        </w:rPr>
        <w:t>, which</w:t>
      </w:r>
      <w:r w:rsidRPr="000F4C13" w:rsidR="001125D1">
        <w:rPr>
          <w:rFonts w:eastAsia="Calibri" w:asciiTheme="majorHAnsi" w:hAnsiTheme="majorHAnsi" w:cstheme="majorHAnsi"/>
        </w:rPr>
        <w:t xml:space="preserve"> is provided by the insurer to the policyholder for any personal lines residential policy at the time of issuance and at each renewal, </w:t>
      </w:r>
      <w:r w:rsidR="00DF72EB">
        <w:rPr>
          <w:rFonts w:eastAsia="Calibri" w:asciiTheme="majorHAnsi" w:hAnsiTheme="majorHAnsi" w:cstheme="majorHAnsi"/>
        </w:rPr>
        <w:t>describes</w:t>
      </w:r>
      <w:r w:rsidRPr="000F4C13" w:rsidR="001125D1">
        <w:rPr>
          <w:rFonts w:eastAsia="Calibri" w:asciiTheme="majorHAnsi" w:hAnsiTheme="majorHAnsi" w:cstheme="majorHAnsi"/>
        </w:rPr>
        <w:t xml:space="preserve"> what actions the policyholder may be able to take to reduce their windstorm premium.</w:t>
      </w:r>
    </w:p>
    <w:p w:rsidRPr="000F4C13" w:rsidR="00D621F7" w:rsidP="00D621F7" w:rsidRDefault="00D621F7" w14:paraId="7F674722" w14:textId="77777777">
      <w:pPr>
        <w:spacing w:after="0"/>
        <w:jc w:val="both"/>
        <w:rPr>
          <w:rFonts w:eastAsia="Calibri" w:asciiTheme="majorHAnsi" w:hAnsiTheme="majorHAnsi" w:cstheme="majorHAnsi"/>
        </w:rPr>
      </w:pPr>
    </w:p>
    <w:p w:rsidRPr="000F4C13" w:rsidR="00B86A6F" w:rsidP="00B86A6F" w:rsidRDefault="00B86A6F" w14:paraId="4AAACE25" w14:textId="6571B0A2">
      <w:pPr>
        <w:spacing w:after="0"/>
        <w:jc w:val="both"/>
        <w:rPr>
          <w:rFonts w:eastAsia="Calibri" w:asciiTheme="majorHAnsi" w:hAnsiTheme="majorHAnsi" w:cstheme="majorHAnsi"/>
        </w:rPr>
      </w:pPr>
      <w:r w:rsidRPr="000F4C13">
        <w:rPr>
          <w:rFonts w:eastAsia="Calibri" w:asciiTheme="majorHAnsi" w:hAnsiTheme="majorHAnsi" w:cstheme="majorHAnsi"/>
        </w:rPr>
        <w:t>Separate studies approved by the OIR must</w:t>
      </w:r>
      <w:r w:rsidRPr="000F4C13" w:rsidR="00BF2C8B">
        <w:rPr>
          <w:rFonts w:eastAsia="Calibri" w:asciiTheme="majorHAnsi" w:hAnsiTheme="majorHAnsi" w:cstheme="majorHAnsi"/>
        </w:rPr>
        <w:t>:</w:t>
      </w:r>
    </w:p>
    <w:p w:rsidRPr="000F4C13" w:rsidR="00BF2C8B" w:rsidP="0057045C" w:rsidRDefault="00BF2C8B" w14:paraId="43D2BCE7" w14:textId="5C4E92DF">
      <w:pPr>
        <w:pStyle w:val="ListParagraph"/>
        <w:numPr>
          <w:ilvl w:val="0"/>
          <w:numId w:val="34"/>
        </w:numPr>
        <w:spacing w:after="0"/>
        <w:jc w:val="both"/>
        <w:rPr>
          <w:rFonts w:eastAsia="Calibri" w:asciiTheme="majorHAnsi" w:hAnsiTheme="majorHAnsi" w:cstheme="majorHAnsi"/>
        </w:rPr>
      </w:pPr>
      <w:r w:rsidRPr="000F4C13">
        <w:rPr>
          <w:rFonts w:eastAsia="Calibri" w:asciiTheme="majorHAnsi" w:hAnsiTheme="majorHAnsi" w:cstheme="majorHAnsi"/>
        </w:rPr>
        <w:t>Disclose all assumptions</w:t>
      </w:r>
    </w:p>
    <w:p w:rsidRPr="000F4C13" w:rsidR="00BF2C8B" w:rsidP="0057045C" w:rsidRDefault="00BF2C8B" w14:paraId="1A6A1ECB" w14:textId="30A05E3D">
      <w:pPr>
        <w:pStyle w:val="ListParagraph"/>
        <w:numPr>
          <w:ilvl w:val="0"/>
          <w:numId w:val="34"/>
        </w:numPr>
        <w:spacing w:after="0"/>
        <w:jc w:val="both"/>
        <w:rPr>
          <w:rFonts w:eastAsia="Calibri" w:asciiTheme="majorHAnsi" w:hAnsiTheme="majorHAnsi" w:cstheme="majorHAnsi"/>
        </w:rPr>
      </w:pPr>
      <w:r w:rsidRPr="000F4C13">
        <w:rPr>
          <w:rFonts w:eastAsia="Calibri" w:asciiTheme="majorHAnsi" w:hAnsiTheme="majorHAnsi" w:cstheme="majorHAnsi"/>
        </w:rPr>
        <w:t>Evaluate the fixtures or construction techniques demonstrated to reduce the amount of loss in a windst</w:t>
      </w:r>
      <w:r w:rsidRPr="000F4C13" w:rsidR="00A426E1">
        <w:rPr>
          <w:rFonts w:eastAsia="Calibri" w:asciiTheme="majorHAnsi" w:hAnsiTheme="majorHAnsi" w:cstheme="majorHAnsi"/>
        </w:rPr>
        <w:t>orm and</w:t>
      </w:r>
    </w:p>
    <w:p w:rsidRPr="000F4C13" w:rsidR="00373F14" w:rsidP="0057045C" w:rsidRDefault="00A426E1" w14:paraId="6AC10BB4" w14:textId="65872BBF">
      <w:pPr>
        <w:pStyle w:val="ListParagraph"/>
        <w:numPr>
          <w:ilvl w:val="0"/>
          <w:numId w:val="34"/>
        </w:numPr>
        <w:spacing w:after="0"/>
        <w:jc w:val="both"/>
        <w:rPr>
          <w:rFonts w:eastAsia="Calibri" w:asciiTheme="majorHAnsi" w:hAnsiTheme="majorHAnsi" w:cstheme="majorHAnsi"/>
        </w:rPr>
      </w:pPr>
      <w:r w:rsidRPr="000F4C13">
        <w:rPr>
          <w:rFonts w:eastAsia="Calibri" w:asciiTheme="majorHAnsi" w:hAnsiTheme="majorHAnsi" w:cstheme="majorHAnsi"/>
        </w:rPr>
        <w:t>Quantify the discounts, credits, rate differentials</w:t>
      </w:r>
      <w:r w:rsidRPr="000F4C13" w:rsidR="00AD2119">
        <w:rPr>
          <w:rFonts w:eastAsia="Calibri" w:asciiTheme="majorHAnsi" w:hAnsiTheme="majorHAnsi" w:cstheme="majorHAnsi"/>
        </w:rPr>
        <w:t>, and deductible re</w:t>
      </w:r>
      <w:r w:rsidRPr="000F4C13" w:rsidR="00223AA7">
        <w:rPr>
          <w:rFonts w:eastAsia="Calibri" w:asciiTheme="majorHAnsi" w:hAnsiTheme="majorHAnsi" w:cstheme="majorHAnsi"/>
        </w:rPr>
        <w:t xml:space="preserve">ductions that reflect the full actuarial </w:t>
      </w:r>
      <w:r w:rsidRPr="000F4C13" w:rsidR="00B3442D">
        <w:rPr>
          <w:rFonts w:eastAsia="Calibri" w:asciiTheme="majorHAnsi" w:hAnsiTheme="majorHAnsi" w:cstheme="majorHAnsi"/>
        </w:rPr>
        <w:t>value</w:t>
      </w:r>
      <w:r w:rsidRPr="000F4C13" w:rsidR="00223AA7">
        <w:rPr>
          <w:rFonts w:eastAsia="Calibri" w:asciiTheme="majorHAnsi" w:hAnsiTheme="majorHAnsi" w:cstheme="majorHAnsi"/>
        </w:rPr>
        <w:t xml:space="preserve"> of such fixtures or construction techniques.</w:t>
      </w:r>
    </w:p>
    <w:p w:rsidRPr="000F4C13" w:rsidR="004B3C96" w:rsidP="00B42CD5" w:rsidRDefault="007855CC" w14:paraId="14786981" w14:textId="502D1346">
      <w:pPr>
        <w:widowControl w:val="0"/>
        <w:spacing w:before="80" w:after="0"/>
        <w:jc w:val="both"/>
        <w:rPr>
          <w:rFonts w:asciiTheme="majorHAnsi" w:hAnsiTheme="majorHAnsi" w:cstheme="majorHAnsi"/>
        </w:rPr>
      </w:pPr>
      <w:r w:rsidRPr="000F4C13">
        <w:rPr>
          <w:rFonts w:asciiTheme="majorHAnsi" w:hAnsiTheme="majorHAnsi" w:cstheme="majorHAnsi"/>
        </w:rPr>
        <w:t xml:space="preserve">Consumer education is an essential role of the state in helping homeowners navigate the unpredictable insurance market. </w:t>
      </w:r>
      <w:r w:rsidRPr="000F4C13" w:rsidR="00B2522B">
        <w:rPr>
          <w:rFonts w:asciiTheme="majorHAnsi" w:hAnsiTheme="majorHAnsi" w:cstheme="majorHAnsi"/>
        </w:rPr>
        <w:t xml:space="preserve">Florida’s Insurance Consumer Advocate and the Florida Department of Financial Services </w:t>
      </w:r>
      <w:r w:rsidRPr="000F4C13" w:rsidR="00071D95">
        <w:rPr>
          <w:rFonts w:asciiTheme="majorHAnsi" w:hAnsiTheme="majorHAnsi" w:cstheme="majorHAnsi"/>
        </w:rPr>
        <w:t>maintain the following online</w:t>
      </w:r>
      <w:r w:rsidRPr="000F4C13" w:rsidR="00B2522B">
        <w:rPr>
          <w:rFonts w:asciiTheme="majorHAnsi" w:hAnsiTheme="majorHAnsi" w:cstheme="majorHAnsi"/>
        </w:rPr>
        <w:t xml:space="preserve"> consumer educational materials:</w:t>
      </w:r>
      <w:r w:rsidRPr="000F4C13" w:rsidR="000E2356">
        <w:rPr>
          <w:rFonts w:asciiTheme="majorHAnsi" w:hAnsiTheme="majorHAnsi" w:cstheme="majorHAnsi"/>
        </w:rPr>
        <w:t xml:space="preserve"> </w:t>
      </w:r>
    </w:p>
    <w:p w:rsidRPr="000F4C13" w:rsidR="004B3C96" w:rsidP="0057045C" w:rsidRDefault="00C96053" w14:paraId="5316A06A" w14:textId="3328D0B3">
      <w:pPr>
        <w:pStyle w:val="ListParagraph"/>
        <w:widowControl w:val="0"/>
        <w:numPr>
          <w:ilvl w:val="0"/>
          <w:numId w:val="35"/>
        </w:numPr>
        <w:spacing w:before="80" w:after="0"/>
        <w:jc w:val="both"/>
        <w:rPr>
          <w:rFonts w:eastAsia="Calibri" w:asciiTheme="majorHAnsi" w:hAnsiTheme="majorHAnsi" w:cstheme="majorHAnsi"/>
        </w:rPr>
      </w:pPr>
      <w:hyperlink r:id="rId31">
        <w:r w:rsidRPr="000F4C13">
          <w:rPr>
            <w:rFonts w:eastAsia="Calibri" w:asciiTheme="majorHAnsi" w:hAnsiTheme="majorHAnsi" w:cstheme="majorHAnsi"/>
            <w:color w:val="467886"/>
            <w:u w:val="single"/>
          </w:rPr>
          <w:t>Consumer Outreach &amp; Education webpage</w:t>
        </w:r>
      </w:hyperlink>
      <w:r w:rsidRPr="000F4C13" w:rsidR="00710524">
        <w:rPr>
          <w:rFonts w:eastAsia="Calibri" w:asciiTheme="majorHAnsi" w:hAnsiTheme="majorHAnsi" w:cstheme="majorHAnsi"/>
        </w:rPr>
        <w:t>,</w:t>
      </w:r>
      <w:r w:rsidRPr="000F4C13" w:rsidR="00B2522B">
        <w:rPr>
          <w:rFonts w:eastAsia="Calibri" w:asciiTheme="majorHAnsi" w:hAnsiTheme="majorHAnsi" w:cstheme="majorHAnsi"/>
        </w:rPr>
        <w:t xml:space="preserve"> </w:t>
      </w:r>
    </w:p>
    <w:p w:rsidRPr="000F4C13" w:rsidR="004B3C96" w:rsidP="0057045C" w:rsidRDefault="00C96053" w14:paraId="6B937604" w14:textId="3C2788D9">
      <w:pPr>
        <w:pStyle w:val="ListParagraph"/>
        <w:widowControl w:val="0"/>
        <w:numPr>
          <w:ilvl w:val="0"/>
          <w:numId w:val="35"/>
        </w:numPr>
        <w:spacing w:before="80" w:after="0"/>
        <w:jc w:val="both"/>
        <w:rPr>
          <w:rFonts w:eastAsia="Calibri" w:asciiTheme="majorHAnsi" w:hAnsiTheme="majorHAnsi" w:cstheme="majorHAnsi"/>
        </w:rPr>
      </w:pPr>
      <w:hyperlink r:id="rId32">
        <w:r w:rsidRPr="000F4C13">
          <w:rPr>
            <w:rFonts w:eastAsia="Calibri" w:asciiTheme="majorHAnsi" w:hAnsiTheme="majorHAnsi" w:cstheme="majorHAnsi"/>
            <w:color w:val="467886"/>
            <w:u w:val="single"/>
          </w:rPr>
          <w:t>Plan Prepare Protect: Are You Disaster Ready?</w:t>
        </w:r>
      </w:hyperlink>
      <w:r w:rsidRPr="000F4C13" w:rsidR="00710524">
        <w:rPr>
          <w:rFonts w:asciiTheme="majorHAnsi" w:hAnsiTheme="majorHAnsi" w:cstheme="majorHAnsi"/>
        </w:rPr>
        <w:t>,</w:t>
      </w:r>
      <w:r w:rsidRPr="000F4C13" w:rsidR="00B2522B">
        <w:rPr>
          <w:rFonts w:eastAsia="Calibri" w:asciiTheme="majorHAnsi" w:hAnsiTheme="majorHAnsi" w:cstheme="majorHAnsi"/>
        </w:rPr>
        <w:t xml:space="preserve"> </w:t>
      </w:r>
    </w:p>
    <w:p w:rsidRPr="000F4C13" w:rsidR="004B3C96" w:rsidP="0057045C" w:rsidRDefault="00C96053" w14:paraId="179974EB" w14:textId="5EFBAB39">
      <w:pPr>
        <w:pStyle w:val="ListParagraph"/>
        <w:widowControl w:val="0"/>
        <w:numPr>
          <w:ilvl w:val="0"/>
          <w:numId w:val="35"/>
        </w:numPr>
        <w:spacing w:before="80" w:after="0"/>
        <w:jc w:val="both"/>
        <w:rPr>
          <w:rFonts w:eastAsia="Calibri" w:asciiTheme="majorHAnsi" w:hAnsiTheme="majorHAnsi" w:cstheme="majorHAnsi"/>
        </w:rPr>
      </w:pPr>
      <w:hyperlink r:id="rId33">
        <w:r w:rsidRPr="000F4C13">
          <w:rPr>
            <w:rFonts w:eastAsia="Calibri" w:asciiTheme="majorHAnsi" w:hAnsiTheme="majorHAnsi" w:cstheme="majorHAnsi"/>
            <w:color w:val="467886"/>
            <w:u w:val="single"/>
          </w:rPr>
          <w:t>Demolish Contractor Fraud: Steps to Avoid Falling Victim</w:t>
        </w:r>
      </w:hyperlink>
      <w:r w:rsidRPr="000F4C13" w:rsidR="00710524">
        <w:rPr>
          <w:rFonts w:eastAsia="Calibri" w:asciiTheme="majorHAnsi" w:hAnsiTheme="majorHAnsi" w:cstheme="majorHAnsi"/>
        </w:rPr>
        <w:t>,</w:t>
      </w:r>
      <w:r w:rsidRPr="000F4C13" w:rsidR="00B2522B">
        <w:rPr>
          <w:rFonts w:eastAsia="Calibri" w:asciiTheme="majorHAnsi" w:hAnsiTheme="majorHAnsi" w:cstheme="majorHAnsi"/>
        </w:rPr>
        <w:t xml:space="preserve"> and </w:t>
      </w:r>
    </w:p>
    <w:p w:rsidRPr="000F4C13" w:rsidR="00C96053" w:rsidP="0057045C" w:rsidRDefault="00C96053" w14:paraId="48343BFF" w14:textId="52686E15">
      <w:pPr>
        <w:pStyle w:val="ListParagraph"/>
        <w:widowControl w:val="0"/>
        <w:numPr>
          <w:ilvl w:val="0"/>
          <w:numId w:val="35"/>
        </w:numPr>
        <w:spacing w:before="80" w:after="0"/>
        <w:jc w:val="both"/>
        <w:rPr>
          <w:rFonts w:eastAsia="Calibri" w:asciiTheme="majorHAnsi" w:hAnsiTheme="majorHAnsi" w:cstheme="majorHAnsi"/>
        </w:rPr>
      </w:pPr>
      <w:hyperlink r:id="rId34">
        <w:r w:rsidRPr="000F4C13">
          <w:rPr>
            <w:rFonts w:eastAsia="Calibri" w:asciiTheme="majorHAnsi" w:hAnsiTheme="majorHAnsi" w:cstheme="majorHAnsi"/>
            <w:color w:val="467886"/>
            <w:u w:val="single"/>
          </w:rPr>
          <w:t>Applying For Homeowners Insurance</w:t>
        </w:r>
      </w:hyperlink>
      <w:r w:rsidRPr="000F4C13" w:rsidR="00B2522B">
        <w:rPr>
          <w:rFonts w:eastAsia="Calibri" w:asciiTheme="majorHAnsi" w:hAnsiTheme="majorHAnsi" w:cstheme="majorHAnsi"/>
        </w:rPr>
        <w:t>.</w:t>
      </w:r>
    </w:p>
    <w:p w:rsidRPr="000F4C13" w:rsidR="00C96053" w:rsidP="00EC2A83" w:rsidRDefault="00B2522B" w14:paraId="56A01CDD" w14:textId="588F0758">
      <w:pPr>
        <w:pStyle w:val="Heading4"/>
        <w:keepNext w:val="0"/>
        <w:keepLines w:val="0"/>
        <w:widowControl w:val="0"/>
        <w:rPr>
          <w:rFonts w:asciiTheme="majorHAnsi" w:hAnsiTheme="majorHAnsi" w:cstheme="majorHAnsi"/>
        </w:rPr>
      </w:pPr>
      <w:bookmarkStart w:name="_s6f7hnbljovh" w:colFirst="0" w:colLast="0" w:id="55"/>
      <w:bookmarkEnd w:id="55"/>
      <w:r w:rsidRPr="000F4C13">
        <w:rPr>
          <w:rFonts w:asciiTheme="majorHAnsi" w:hAnsiTheme="majorHAnsi" w:cstheme="majorHAnsi"/>
        </w:rPr>
        <w:t xml:space="preserve">Partnerships </w:t>
      </w:r>
    </w:p>
    <w:p w:rsidRPr="000F4C13" w:rsidR="001402C2" w:rsidP="00EC2A83" w:rsidRDefault="00501149" w14:paraId="6DD816D1" w14:textId="5DAD24E1">
      <w:pPr>
        <w:widowControl w:val="0"/>
        <w:spacing w:after="0"/>
        <w:jc w:val="both"/>
        <w:rPr>
          <w:rFonts w:asciiTheme="majorHAnsi" w:hAnsiTheme="majorHAnsi" w:cstheme="majorHAnsi"/>
        </w:rPr>
      </w:pPr>
      <w:hyperlink w:history="1" r:id="rId35">
        <w:r w:rsidRPr="000F4C13">
          <w:rPr>
            <w:rStyle w:val="Hyperlink"/>
            <w:rFonts w:asciiTheme="majorHAnsi" w:hAnsiTheme="majorHAnsi" w:cstheme="majorHAnsi"/>
            <w:b/>
            <w:bCs/>
          </w:rPr>
          <w:t>Citizens Property Insurance Corporation (Citizens)</w:t>
        </w:r>
      </w:hyperlink>
      <w:r w:rsidRPr="000F4C13">
        <w:rPr>
          <w:rFonts w:asciiTheme="majorHAnsi" w:hAnsiTheme="majorHAnsi" w:cstheme="majorHAnsi"/>
        </w:rPr>
        <w:t xml:space="preserve"> is a state-run insurer </w:t>
      </w:r>
      <w:r w:rsidRPr="000F4C13" w:rsidR="009D0206">
        <w:rPr>
          <w:rFonts w:asciiTheme="majorHAnsi" w:hAnsiTheme="majorHAnsi" w:cstheme="majorHAnsi"/>
        </w:rPr>
        <w:t>created by the Florida Legislature in 2002 to provide insurance protection to Florida policyholders who are unable to obtain</w:t>
      </w:r>
      <w:r w:rsidRPr="000F4C13">
        <w:rPr>
          <w:rFonts w:asciiTheme="majorHAnsi" w:hAnsiTheme="majorHAnsi" w:cstheme="majorHAnsi"/>
        </w:rPr>
        <w:t xml:space="preserve"> property insurance coverage in the private market. </w:t>
      </w:r>
    </w:p>
    <w:p w:rsidRPr="000F4C13" w:rsidR="001402C2" w:rsidP="00EC2A83" w:rsidRDefault="001402C2" w14:paraId="308333F8" w14:textId="77777777">
      <w:pPr>
        <w:widowControl w:val="0"/>
        <w:spacing w:after="0"/>
        <w:jc w:val="both"/>
        <w:rPr>
          <w:rFonts w:asciiTheme="majorHAnsi" w:hAnsiTheme="majorHAnsi" w:cstheme="majorHAnsi"/>
        </w:rPr>
      </w:pPr>
    </w:p>
    <w:p w:rsidRPr="000F4C13" w:rsidR="00FB55AC" w:rsidP="00EC2A83" w:rsidRDefault="00501149" w14:paraId="6D32701B" w14:textId="259F5C52">
      <w:pPr>
        <w:widowControl w:val="0"/>
        <w:spacing w:after="0"/>
        <w:jc w:val="both"/>
        <w:rPr>
          <w:rFonts w:asciiTheme="majorHAnsi" w:hAnsiTheme="majorHAnsi" w:cstheme="majorHAnsi"/>
        </w:rPr>
      </w:pPr>
      <w:r w:rsidRPr="000F4C13">
        <w:rPr>
          <w:rFonts w:asciiTheme="majorHAnsi" w:hAnsiTheme="majorHAnsi" w:cstheme="majorHAnsi"/>
        </w:rPr>
        <w:t>Citizens is funded by policyholder premiums, and if its surplus is depleted by a storm or series of storms, Florida law requires Citizens to levy assessments on most Florida property-casualty insurance policyholders until any deficit is eliminated.</w:t>
      </w:r>
      <w:r w:rsidRPr="000F4C13" w:rsidR="00564B18">
        <w:rPr>
          <w:rFonts w:asciiTheme="majorHAnsi" w:hAnsiTheme="majorHAnsi" w:cstheme="majorHAnsi"/>
        </w:rPr>
        <w:t xml:space="preserve"> After the back-to-back active storm seasons of 2004 and 2005, many policyholders were either unable to find coverage in the private market or were faced with large rate increases as companies stopped writing business in Florida or struggled to return to profitability. Because of this, many agents began offering quotes </w:t>
      </w:r>
      <w:r w:rsidRPr="000F4C13" w:rsidR="00046249">
        <w:rPr>
          <w:rFonts w:asciiTheme="majorHAnsi" w:hAnsiTheme="majorHAnsi" w:cstheme="majorHAnsi"/>
        </w:rPr>
        <w:t>through Citizens, as they could</w:t>
      </w:r>
      <w:r w:rsidRPr="000F4C13" w:rsidR="00564B18">
        <w:rPr>
          <w:rFonts w:asciiTheme="majorHAnsi" w:hAnsiTheme="majorHAnsi" w:cstheme="majorHAnsi"/>
        </w:rPr>
        <w:t xml:space="preserve"> offer more affordable premiums. Citizens soon </w:t>
      </w:r>
      <w:r w:rsidRPr="000F4C13" w:rsidR="00046249">
        <w:rPr>
          <w:rFonts w:asciiTheme="majorHAnsi" w:hAnsiTheme="majorHAnsi" w:cstheme="majorHAnsi"/>
        </w:rPr>
        <w:t xml:space="preserve">became a competitor in the marketplace rather than the “insurer of last resort” as </w:t>
      </w:r>
      <w:r w:rsidRPr="000F4C13" w:rsidR="00564B18">
        <w:rPr>
          <w:rFonts w:asciiTheme="majorHAnsi" w:hAnsiTheme="majorHAnsi" w:cstheme="majorHAnsi"/>
        </w:rPr>
        <w:t xml:space="preserve">originally intended.  </w:t>
      </w:r>
    </w:p>
    <w:p w:rsidRPr="000F4C13" w:rsidR="00FB55AC" w:rsidP="00EC2A83" w:rsidRDefault="00FB55AC" w14:paraId="02A3AA1A" w14:textId="77777777">
      <w:pPr>
        <w:widowControl w:val="0"/>
        <w:spacing w:after="0"/>
        <w:jc w:val="both"/>
        <w:rPr>
          <w:rFonts w:asciiTheme="majorHAnsi" w:hAnsiTheme="majorHAnsi" w:cstheme="majorHAnsi"/>
        </w:rPr>
      </w:pPr>
    </w:p>
    <w:p w:rsidRPr="000F4C13" w:rsidR="00B96E87" w:rsidP="00EC2A83" w:rsidRDefault="00C20EAE" w14:paraId="04B26054" w14:textId="4EC28264">
      <w:pPr>
        <w:widowControl w:val="0"/>
        <w:spacing w:after="0"/>
        <w:jc w:val="both"/>
        <w:rPr>
          <w:rFonts w:asciiTheme="majorHAnsi" w:hAnsiTheme="majorHAnsi" w:cstheme="majorHAnsi"/>
        </w:rPr>
      </w:pPr>
      <w:r w:rsidRPr="000F4C13">
        <w:rPr>
          <w:rFonts w:asciiTheme="majorHAnsi" w:hAnsiTheme="majorHAnsi" w:cstheme="majorHAnsi"/>
        </w:rPr>
        <w:t xml:space="preserve">The </w:t>
      </w:r>
      <w:hyperlink r:id="rId36">
        <w:r w:rsidRPr="000F4C13" w:rsidR="00EA0045">
          <w:rPr>
            <w:rFonts w:eastAsia="Calibri" w:asciiTheme="majorHAnsi" w:hAnsiTheme="majorHAnsi" w:cstheme="majorHAnsi"/>
            <w:color w:val="467886"/>
            <w:u w:val="single"/>
          </w:rPr>
          <w:t>Citizens Property Insurance Corporation</w:t>
        </w:r>
      </w:hyperlink>
      <w:r w:rsidRPr="000F4C13" w:rsidR="00EA0045">
        <w:rPr>
          <w:rFonts w:eastAsia="Calibri" w:asciiTheme="majorHAnsi" w:hAnsiTheme="majorHAnsi" w:cstheme="majorHAnsi"/>
          <w:color w:val="467886"/>
          <w:u w:val="single"/>
        </w:rPr>
        <w:t xml:space="preserve"> – Depopulation/Takeout Program</w:t>
      </w:r>
      <w:r w:rsidRPr="000F4C13" w:rsidR="000C6FD8">
        <w:rPr>
          <w:rFonts w:asciiTheme="majorHAnsi" w:hAnsiTheme="majorHAnsi" w:cstheme="majorHAnsi"/>
        </w:rPr>
        <w:t xml:space="preserve"> </w:t>
      </w:r>
      <w:r w:rsidRPr="000F4C13">
        <w:rPr>
          <w:rFonts w:asciiTheme="majorHAnsi" w:hAnsiTheme="majorHAnsi" w:cstheme="majorHAnsi"/>
        </w:rPr>
        <w:t xml:space="preserve">was created to help return Citizens policies to the private market and reduce the risk of additional assessments for all Floridians. Some of the benefits to policyholders </w:t>
      </w:r>
      <w:r w:rsidRPr="000F4C13" w:rsidR="00B96E87">
        <w:rPr>
          <w:rFonts w:asciiTheme="majorHAnsi" w:hAnsiTheme="majorHAnsi" w:cstheme="majorHAnsi"/>
        </w:rPr>
        <w:t>include:</w:t>
      </w:r>
    </w:p>
    <w:p w:rsidRPr="000F4C13" w:rsidR="009C2B09" w:rsidP="0057045C" w:rsidRDefault="00C20EAE" w14:paraId="2C6FCD02" w14:textId="17112826">
      <w:pPr>
        <w:pStyle w:val="ListParagraph"/>
        <w:widowControl w:val="0"/>
        <w:numPr>
          <w:ilvl w:val="0"/>
          <w:numId w:val="24"/>
        </w:numPr>
        <w:spacing w:after="0"/>
        <w:jc w:val="both"/>
        <w:rPr>
          <w:rFonts w:asciiTheme="majorHAnsi" w:hAnsiTheme="majorHAnsi" w:cstheme="majorHAnsi"/>
        </w:rPr>
      </w:pPr>
      <w:r w:rsidRPr="000F4C13">
        <w:rPr>
          <w:rFonts w:asciiTheme="majorHAnsi" w:hAnsiTheme="majorHAnsi" w:cstheme="majorHAnsi"/>
        </w:rPr>
        <w:t xml:space="preserve">lower premiums, </w:t>
      </w:r>
    </w:p>
    <w:p w:rsidRPr="000F4C13" w:rsidR="003B49E9" w:rsidP="0057045C" w:rsidRDefault="00C20EAE" w14:paraId="019CE5FC" w14:textId="083DE9EA">
      <w:pPr>
        <w:pStyle w:val="ListParagraph"/>
        <w:widowControl w:val="0"/>
        <w:numPr>
          <w:ilvl w:val="0"/>
          <w:numId w:val="24"/>
        </w:numPr>
        <w:spacing w:after="0"/>
        <w:jc w:val="both"/>
        <w:rPr>
          <w:rFonts w:asciiTheme="majorHAnsi" w:hAnsiTheme="majorHAnsi" w:cstheme="majorHAnsi"/>
        </w:rPr>
      </w:pPr>
      <w:r w:rsidRPr="000F4C13">
        <w:rPr>
          <w:rFonts w:asciiTheme="majorHAnsi" w:hAnsiTheme="majorHAnsi" w:cstheme="majorHAnsi"/>
        </w:rPr>
        <w:t xml:space="preserve">more comprehensive coverage, and </w:t>
      </w:r>
    </w:p>
    <w:p w:rsidRPr="000F4C13" w:rsidR="00372F94" w:rsidP="0057045C" w:rsidRDefault="00372F94" w14:paraId="4B43AB6A" w14:textId="77777777">
      <w:pPr>
        <w:pStyle w:val="ListParagraph"/>
        <w:widowControl w:val="0"/>
        <w:numPr>
          <w:ilvl w:val="0"/>
          <w:numId w:val="24"/>
        </w:numPr>
        <w:spacing w:after="0"/>
        <w:jc w:val="both"/>
        <w:rPr>
          <w:rFonts w:asciiTheme="majorHAnsi" w:hAnsiTheme="majorHAnsi" w:cstheme="majorHAnsi"/>
        </w:rPr>
      </w:pPr>
      <w:r w:rsidRPr="000F4C13">
        <w:rPr>
          <w:rFonts w:asciiTheme="majorHAnsi" w:hAnsiTheme="majorHAnsi" w:cstheme="majorHAnsi"/>
        </w:rPr>
        <w:t>l</w:t>
      </w:r>
      <w:r w:rsidRPr="000F4C13" w:rsidR="00C20EAE">
        <w:rPr>
          <w:rFonts w:asciiTheme="majorHAnsi" w:hAnsiTheme="majorHAnsi" w:cstheme="majorHAnsi"/>
        </w:rPr>
        <w:t>ower risk of premium assessments.</w:t>
      </w:r>
      <w:r w:rsidRPr="000F4C13" w:rsidR="00241B19">
        <w:rPr>
          <w:rFonts w:asciiTheme="majorHAnsi" w:hAnsiTheme="majorHAnsi" w:cstheme="majorHAnsi"/>
        </w:rPr>
        <w:t xml:space="preserve"> </w:t>
      </w:r>
    </w:p>
    <w:p w:rsidRPr="000F4C13" w:rsidR="00B407B9" w:rsidP="00EC2A83" w:rsidRDefault="00B407B9" w14:paraId="1AC55633" w14:textId="77777777">
      <w:pPr>
        <w:widowControl w:val="0"/>
        <w:spacing w:after="0"/>
        <w:jc w:val="both"/>
        <w:rPr>
          <w:rFonts w:asciiTheme="majorHAnsi" w:hAnsiTheme="majorHAnsi" w:cstheme="majorHAnsi"/>
        </w:rPr>
      </w:pPr>
    </w:p>
    <w:p w:rsidRPr="000F4C13" w:rsidR="00BE5875" w:rsidP="00EC2A83" w:rsidRDefault="00241B19" w14:paraId="0E5CD20E" w14:textId="14F96554">
      <w:pPr>
        <w:widowControl w:val="0"/>
        <w:spacing w:after="0"/>
        <w:jc w:val="both"/>
        <w:rPr>
          <w:rFonts w:asciiTheme="majorHAnsi" w:hAnsiTheme="majorHAnsi" w:cstheme="majorHAnsi"/>
        </w:rPr>
      </w:pPr>
      <w:r w:rsidRPr="000F4C13">
        <w:rPr>
          <w:rFonts w:asciiTheme="majorHAnsi" w:hAnsiTheme="majorHAnsi" w:cstheme="majorHAnsi"/>
        </w:rPr>
        <w:t xml:space="preserve">The </w:t>
      </w:r>
      <w:r w:rsidRPr="000F4C13" w:rsidR="00E7747B">
        <w:rPr>
          <w:rFonts w:asciiTheme="majorHAnsi" w:hAnsiTheme="majorHAnsi" w:cstheme="majorHAnsi"/>
        </w:rPr>
        <w:t xml:space="preserve">depopulation </w:t>
      </w:r>
      <w:r w:rsidRPr="000F4C13">
        <w:rPr>
          <w:rFonts w:asciiTheme="majorHAnsi" w:hAnsiTheme="majorHAnsi" w:cstheme="majorHAnsi"/>
        </w:rPr>
        <w:t xml:space="preserve">process begins approximately 100 days prior to the actual assumption date. All information required </w:t>
      </w:r>
      <w:r w:rsidRPr="000F4C13" w:rsidR="008A2DD4">
        <w:rPr>
          <w:rFonts w:asciiTheme="majorHAnsi" w:hAnsiTheme="majorHAnsi" w:cstheme="majorHAnsi"/>
        </w:rPr>
        <w:t>for the depopulation application can be found</w:t>
      </w:r>
      <w:r w:rsidRPr="000F4C13">
        <w:rPr>
          <w:rFonts w:asciiTheme="majorHAnsi" w:hAnsiTheme="majorHAnsi" w:cstheme="majorHAnsi"/>
        </w:rPr>
        <w:t xml:space="preserve"> on </w:t>
      </w:r>
      <w:hyperlink w:history="1" r:id="rId37">
        <w:r w:rsidRPr="000F4C13" w:rsidR="00CE07D3">
          <w:rPr>
            <w:rStyle w:val="Hyperlink"/>
            <w:rFonts w:asciiTheme="majorHAnsi" w:hAnsiTheme="majorHAnsi" w:cstheme="majorHAnsi"/>
          </w:rPr>
          <w:t>OIR’s Take-Out Webpage</w:t>
        </w:r>
        <w:r w:rsidRPr="000F4C13">
          <w:rPr>
            <w:rStyle w:val="Hyperlink"/>
            <w:rFonts w:asciiTheme="majorHAnsi" w:hAnsiTheme="majorHAnsi" w:cstheme="majorHAnsi"/>
          </w:rPr>
          <w:t>.</w:t>
        </w:r>
      </w:hyperlink>
      <w:r w:rsidRPr="000F4C13">
        <w:rPr>
          <w:rFonts w:asciiTheme="majorHAnsi" w:hAnsiTheme="majorHAnsi" w:cstheme="majorHAnsi"/>
        </w:rPr>
        <w:t xml:space="preserve"> </w:t>
      </w:r>
      <w:r w:rsidRPr="000F4C13" w:rsidR="00CE07D3">
        <w:rPr>
          <w:rFonts w:asciiTheme="majorHAnsi" w:hAnsiTheme="majorHAnsi" w:cstheme="majorHAnsi"/>
        </w:rPr>
        <w:t xml:space="preserve">OIR </w:t>
      </w:r>
      <w:r w:rsidRPr="000F4C13">
        <w:rPr>
          <w:rFonts w:asciiTheme="majorHAnsi" w:hAnsiTheme="majorHAnsi" w:cstheme="majorHAnsi"/>
        </w:rPr>
        <w:t xml:space="preserve">must review all submitted documentation. If OIR determines </w:t>
      </w:r>
      <w:r w:rsidRPr="000F4C13" w:rsidR="009E750F">
        <w:rPr>
          <w:rFonts w:asciiTheme="majorHAnsi" w:hAnsiTheme="majorHAnsi" w:cstheme="majorHAnsi"/>
        </w:rPr>
        <w:t xml:space="preserve">that the take-out company is approved to participate in the depopulation, the approval is granted via a </w:t>
      </w:r>
      <w:r w:rsidRPr="000F4C13">
        <w:rPr>
          <w:rFonts w:asciiTheme="majorHAnsi" w:hAnsiTheme="majorHAnsi" w:cstheme="majorHAnsi"/>
        </w:rPr>
        <w:t>Consent Order. Once the OIR approves a company to participate, that company must then complete a separate process with Citizens.</w:t>
      </w:r>
    </w:p>
    <w:p w:rsidRPr="000F4C13" w:rsidR="00C96053" w:rsidP="004B3C2A" w:rsidRDefault="00B2522B" w14:paraId="1E275B64" w14:textId="0623D9BB">
      <w:pPr>
        <w:pStyle w:val="Heading3"/>
        <w:spacing w:after="0"/>
        <w:rPr>
          <w:rFonts w:asciiTheme="majorHAnsi" w:hAnsiTheme="majorHAnsi" w:cstheme="majorHAnsi"/>
          <w:highlight w:val="yellow"/>
        </w:rPr>
      </w:pPr>
      <w:bookmarkStart w:name="_h6an2wywp1k" w:colFirst="0" w:colLast="0" w:id="56"/>
      <w:bookmarkEnd w:id="56"/>
      <w:r w:rsidRPr="000F4C13">
        <w:rPr>
          <w:rFonts w:asciiTheme="majorHAnsi" w:hAnsiTheme="majorHAnsi" w:cstheme="majorHAnsi"/>
        </w:rPr>
        <w:t>Mississippi</w:t>
      </w:r>
      <w:bookmarkStart w:name="_ui8gi6yr0qbo" w:colFirst="0" w:colLast="0" w:id="57"/>
      <w:bookmarkEnd w:id="57"/>
    </w:p>
    <w:p w:rsidRPr="000F4C13" w:rsidR="00B95719" w:rsidP="00B95719" w:rsidRDefault="00B95719" w14:paraId="01554F0C" w14:textId="77777777">
      <w:pPr>
        <w:pStyle w:val="Heading4"/>
        <w:rPr>
          <w:rFonts w:asciiTheme="majorHAnsi" w:hAnsiTheme="majorHAnsi" w:cstheme="majorHAnsi"/>
        </w:rPr>
      </w:pPr>
      <w:r w:rsidRPr="000F4C13">
        <w:rPr>
          <w:rFonts w:asciiTheme="majorHAnsi" w:hAnsiTheme="majorHAnsi" w:cstheme="majorHAnsi"/>
        </w:rPr>
        <w:t>Introduction</w:t>
      </w:r>
    </w:p>
    <w:p w:rsidRPr="000F4C13" w:rsidR="00904A74" w:rsidP="00904A74" w:rsidRDefault="00904A74" w14:paraId="2E5AC5BD" w14:textId="77777777">
      <w:pPr>
        <w:jc w:val="both"/>
        <w:rPr>
          <w:rFonts w:asciiTheme="majorHAnsi" w:hAnsiTheme="majorHAnsi" w:cstheme="majorHAnsi"/>
        </w:rPr>
      </w:pPr>
      <w:r w:rsidRPr="000F4C13">
        <w:rPr>
          <w:rFonts w:asciiTheme="majorHAnsi" w:hAnsiTheme="majorHAnsi" w:cstheme="majorHAnsi"/>
        </w:rPr>
        <w:t xml:space="preserve">Following the devastating effects of Hurricane Katrina, the state of Mississippi recognized the critical importance of preparedness in the face of natural disasters and is implementing a comprehensive approach to managing and mitigating the risks they pose. As part of climate risk management, the Mississippi Insurance Department (MID) collects catastrophe data and collaborates with other insurance departments for comparative analysis. </w:t>
      </w:r>
    </w:p>
    <w:p w:rsidRPr="000F4C13" w:rsidR="00904A74" w:rsidP="00904A74" w:rsidRDefault="00904A74" w14:paraId="6B60B01F" w14:textId="77777777">
      <w:pPr>
        <w:jc w:val="both"/>
        <w:rPr>
          <w:rFonts w:asciiTheme="majorHAnsi" w:hAnsiTheme="majorHAnsi" w:cstheme="majorHAnsi"/>
        </w:rPr>
      </w:pPr>
      <w:r w:rsidRPr="000F4C13">
        <w:rPr>
          <w:rFonts w:asciiTheme="majorHAnsi" w:hAnsiTheme="majorHAnsi" w:cstheme="majorHAnsi"/>
        </w:rPr>
        <w:t xml:space="preserve">Additionally, the department encourages homeowners to maintain updated home inventories to mitigate post-event losses. The </w:t>
      </w:r>
      <w:hyperlink w:history="1" r:id="rId38">
        <w:r w:rsidRPr="000F4C13">
          <w:rPr>
            <w:rStyle w:val="Hyperlink"/>
            <w:rFonts w:asciiTheme="majorHAnsi" w:hAnsiTheme="majorHAnsi" w:cstheme="majorHAnsi"/>
          </w:rPr>
          <w:t>Strengthen Mississippi Homes</w:t>
        </w:r>
      </w:hyperlink>
      <w:r w:rsidRPr="000F4C13">
        <w:rPr>
          <w:rFonts w:asciiTheme="majorHAnsi" w:hAnsiTheme="majorHAnsi" w:cstheme="majorHAnsi"/>
        </w:rPr>
        <w:t xml:space="preserve"> and </w:t>
      </w:r>
      <w:hyperlink w:history="1" r:id="rId39">
        <w:r w:rsidRPr="000F4C13">
          <w:rPr>
            <w:rStyle w:val="Hyperlink"/>
            <w:rFonts w:asciiTheme="majorHAnsi" w:hAnsiTheme="majorHAnsi" w:cstheme="majorHAnsi"/>
          </w:rPr>
          <w:t>MEMA Safe Room Grant</w:t>
        </w:r>
      </w:hyperlink>
      <w:r w:rsidRPr="000F4C13">
        <w:rPr>
          <w:rFonts w:asciiTheme="majorHAnsi" w:hAnsiTheme="majorHAnsi" w:cstheme="majorHAnsi"/>
        </w:rPr>
        <w:t xml:space="preserve"> programs offer financial assistance for hurricane and tornado preparedness. MID prioritizes consumer education through press releases and social media, promoting severe weather preparedness. Partnerships with MEMA, Federal Emergency Management Agency (FEMA), and Smart Home America enhance disaster resilience efforts. The 2024 Extreme Wind Conference and the 2025 Disaster Leadership Conference underscored the importance of effective disaster response strategies and the role of technology in recovery.  Through these combined efforts, Mississippi is forging a path to better availability and affordability in the insurance market.</w:t>
      </w:r>
    </w:p>
    <w:p w:rsidRPr="000F4C13" w:rsidR="00904A74" w:rsidP="00904A74" w:rsidRDefault="00904A74" w14:paraId="77519041" w14:textId="77777777">
      <w:pPr>
        <w:pStyle w:val="Heading4"/>
        <w:rPr>
          <w:rFonts w:asciiTheme="majorHAnsi" w:hAnsiTheme="majorHAnsi" w:cstheme="majorHAnsi"/>
        </w:rPr>
      </w:pPr>
      <w:r w:rsidRPr="000F4C13">
        <w:rPr>
          <w:rFonts w:asciiTheme="majorHAnsi" w:hAnsiTheme="majorHAnsi" w:cstheme="majorHAnsi"/>
        </w:rPr>
        <w:t>Reports:</w:t>
      </w:r>
    </w:p>
    <w:p w:rsidRPr="000F4C13" w:rsidR="00904A74" w:rsidP="00904A74" w:rsidRDefault="00904A74" w14:paraId="0F1800EE" w14:textId="77777777">
      <w:pPr>
        <w:pStyle w:val="ListParagraph"/>
        <w:keepNext/>
        <w:keepLines/>
        <w:numPr>
          <w:ilvl w:val="0"/>
          <w:numId w:val="29"/>
        </w:num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2024 Extreme Wind Conference: </w:t>
      </w:r>
      <w:hyperlink r:id="rId40">
        <w:r w:rsidRPr="000F4C13">
          <w:rPr>
            <w:rFonts w:eastAsia="Calibri" w:asciiTheme="majorHAnsi" w:hAnsiTheme="majorHAnsi" w:cstheme="majorHAnsi"/>
            <w:color w:val="467886"/>
            <w:u w:val="single"/>
          </w:rPr>
          <w:t>State leaders discuss hurricane mitigation program during Extreme Wind Conference</w:t>
        </w:r>
      </w:hyperlink>
    </w:p>
    <w:p w:rsidRPr="000F4C13" w:rsidR="00904A74" w:rsidP="00904A74" w:rsidRDefault="00904A74" w14:paraId="26E872EB" w14:textId="77777777">
      <w:pPr>
        <w:pStyle w:val="ListParagraph"/>
        <w:numPr>
          <w:ilvl w:val="0"/>
          <w:numId w:val="29"/>
        </w:numPr>
        <w:spacing w:after="0"/>
        <w:jc w:val="both"/>
        <w:rPr>
          <w:rFonts w:eastAsia="Calibri" w:asciiTheme="majorHAnsi" w:hAnsiTheme="majorHAnsi" w:cstheme="majorHAnsi"/>
        </w:rPr>
      </w:pPr>
      <w:r w:rsidRPr="000F4C13">
        <w:rPr>
          <w:rFonts w:eastAsia="Calibri" w:asciiTheme="majorHAnsi" w:hAnsiTheme="majorHAnsi" w:cstheme="majorHAnsi"/>
        </w:rPr>
        <w:t xml:space="preserve">2025 Disaster Leadership Conference; Gulf Coast states joining to stand against insurance rate hikes: </w:t>
      </w:r>
      <w:hyperlink r:id="rId41">
        <w:r w:rsidRPr="000F4C13">
          <w:rPr>
            <w:rFonts w:eastAsia="Calibri" w:asciiTheme="majorHAnsi" w:hAnsiTheme="majorHAnsi" w:cstheme="majorHAnsi"/>
            <w:color w:val="467886"/>
            <w:u w:val="single"/>
          </w:rPr>
          <w:t>Gulf Coast states joining to stand against insurance rate hikes</w:t>
        </w:r>
      </w:hyperlink>
      <w:r w:rsidRPr="000F4C13">
        <w:rPr>
          <w:rFonts w:eastAsia="Calibri" w:asciiTheme="majorHAnsi" w:hAnsiTheme="majorHAnsi" w:cstheme="majorHAnsi"/>
        </w:rPr>
        <w:t xml:space="preserve"> </w:t>
      </w:r>
    </w:p>
    <w:p w:rsidRPr="000F4C13" w:rsidR="00904A74" w:rsidP="00904A74" w:rsidRDefault="00904A74" w14:paraId="3E8D6DA6" w14:textId="77777777">
      <w:pPr>
        <w:pStyle w:val="ListParagraph"/>
        <w:numPr>
          <w:ilvl w:val="0"/>
          <w:numId w:val="29"/>
        </w:numPr>
        <w:spacing w:after="0"/>
        <w:jc w:val="both"/>
        <w:rPr>
          <w:rFonts w:eastAsia="Calibri" w:asciiTheme="majorHAnsi" w:hAnsiTheme="majorHAnsi" w:cstheme="majorHAnsi"/>
        </w:rPr>
      </w:pPr>
      <w:r w:rsidRPr="000F4C13">
        <w:rPr>
          <w:rFonts w:eastAsia="Calibri" w:asciiTheme="majorHAnsi" w:hAnsiTheme="majorHAnsi" w:cstheme="majorHAnsi"/>
        </w:rPr>
        <w:t xml:space="preserve">Local leaders discuss response plans at annual Disaster Leadership Conference: </w:t>
      </w:r>
      <w:hyperlink w:history="1" r:id="rId42">
        <w:r w:rsidRPr="000F4C13">
          <w:rPr>
            <w:rStyle w:val="Hyperlink"/>
            <w:rFonts w:eastAsia="Calibri" w:asciiTheme="majorHAnsi" w:hAnsiTheme="majorHAnsi" w:cstheme="majorHAnsi"/>
          </w:rPr>
          <w:t>https://www.wxxv25.com/local-leaders-discuss-response-plans-at-annual-disaster-leadership-conference/</w:t>
        </w:r>
      </w:hyperlink>
    </w:p>
    <w:p w:rsidRPr="000F4C13" w:rsidR="00904A74" w:rsidP="00904A74" w:rsidRDefault="00904A74" w14:paraId="52B44FB2" w14:textId="77777777">
      <w:pPr>
        <w:pStyle w:val="ListParagraph"/>
        <w:numPr>
          <w:ilvl w:val="0"/>
          <w:numId w:val="29"/>
        </w:numPr>
        <w:spacing w:after="0" w:line="240" w:lineRule="auto"/>
        <w:rPr>
          <w:rFonts w:eastAsia="Calibri" w:asciiTheme="majorHAnsi" w:hAnsiTheme="majorHAnsi" w:cstheme="majorHAnsi"/>
        </w:rPr>
      </w:pPr>
      <w:r w:rsidRPr="000F4C13">
        <w:rPr>
          <w:rFonts w:eastAsia="Calibri" w:asciiTheme="majorHAnsi" w:hAnsiTheme="majorHAnsi" w:cstheme="majorHAnsi"/>
        </w:rPr>
        <w:t xml:space="preserve">Disaster Leadership Conference in Biloxi hosted by Mississippi: </w:t>
      </w:r>
      <w:hyperlink w:history="1" r:id="rId43">
        <w:r w:rsidRPr="000F4C13">
          <w:rPr>
            <w:rStyle w:val="Hyperlink"/>
            <w:rFonts w:eastAsia="Calibri" w:asciiTheme="majorHAnsi" w:hAnsiTheme="majorHAnsi" w:cstheme="majorHAnsi"/>
          </w:rPr>
          <w:t>https://magnoliatribune.com/2025/11/11/mississippi-hosting-disaster-leadership-conference-in-biloxi/</w:t>
        </w:r>
      </w:hyperlink>
    </w:p>
    <w:p w:rsidRPr="000F4C13" w:rsidR="00904A74" w:rsidP="00904A74" w:rsidRDefault="00904A74" w14:paraId="6A624A0F" w14:textId="77777777">
      <w:pPr>
        <w:pStyle w:val="ListParagraph"/>
        <w:numPr>
          <w:ilvl w:val="0"/>
          <w:numId w:val="29"/>
        </w:numPr>
        <w:spacing w:after="0"/>
        <w:rPr>
          <w:rFonts w:eastAsia="Calibri" w:asciiTheme="majorHAnsi" w:hAnsiTheme="majorHAnsi" w:cstheme="majorHAnsi"/>
        </w:rPr>
      </w:pPr>
      <w:r w:rsidRPr="000F4C13">
        <w:rPr>
          <w:rFonts w:eastAsia="Calibri" w:asciiTheme="majorHAnsi" w:hAnsiTheme="majorHAnsi" w:cstheme="majorHAnsi"/>
        </w:rPr>
        <w:t xml:space="preserve">Mississippi Senate Study Committee on Housing Report: </w:t>
      </w:r>
      <w:hyperlink w:history="1" r:id="rId44">
        <w:r w:rsidRPr="000F4C13">
          <w:rPr>
            <w:rStyle w:val="Hyperlink"/>
            <w:rFonts w:asciiTheme="majorHAnsi" w:hAnsiTheme="majorHAnsi" w:cstheme="majorHAnsi"/>
          </w:rPr>
          <w:t>https://acrobat.adobe.com/id/urn:aaid:sc:US:15b427b8-57f9-4ad7-8120-</w:t>
        </w:r>
        <w:r w:rsidRPr="000F4C13">
          <w:rPr>
            <w:rStyle w:val="Hyperlink"/>
            <w:rFonts w:asciiTheme="majorHAnsi" w:hAnsiTheme="majorHAnsi" w:cstheme="majorHAnsi"/>
          </w:rPr>
          <w:tab/>
        </w:r>
        <w:r w:rsidRPr="000F4C13">
          <w:rPr>
            <w:rStyle w:val="Hyperlink"/>
            <w:rFonts w:asciiTheme="majorHAnsi" w:hAnsiTheme="majorHAnsi" w:cstheme="majorHAnsi"/>
          </w:rPr>
          <w:t>4f00b4b80e24</w:t>
        </w:r>
      </w:hyperlink>
    </w:p>
    <w:p w:rsidRPr="000F4C13" w:rsidR="00904A74" w:rsidP="00904A74" w:rsidRDefault="00904A74" w14:paraId="57C01EF4" w14:textId="77777777">
      <w:pPr>
        <w:spacing w:after="0"/>
        <w:ind w:left="720"/>
        <w:jc w:val="both"/>
        <w:rPr>
          <w:rFonts w:eastAsia="Calibri" w:asciiTheme="majorHAnsi" w:hAnsiTheme="majorHAnsi" w:cstheme="majorHAnsi"/>
        </w:rPr>
      </w:pPr>
    </w:p>
    <w:p w:rsidRPr="000F4C13" w:rsidR="00904A74" w:rsidP="00904A74" w:rsidRDefault="00904A74" w14:paraId="00705A00" w14:textId="77777777">
      <w:pPr>
        <w:pStyle w:val="Heading4"/>
        <w:spacing w:after="0"/>
        <w:rPr>
          <w:rFonts w:asciiTheme="majorHAnsi" w:hAnsiTheme="majorHAnsi" w:cstheme="majorHAnsi"/>
        </w:rPr>
      </w:pPr>
      <w:r w:rsidRPr="000F4C13">
        <w:rPr>
          <w:rFonts w:asciiTheme="majorHAnsi" w:hAnsiTheme="majorHAnsi" w:cstheme="majorHAnsi"/>
        </w:rPr>
        <w:t>Data Collection:</w:t>
      </w:r>
    </w:p>
    <w:p w:rsidRPr="000F4C13" w:rsidR="00904A74" w:rsidP="00904A74" w:rsidRDefault="00904A74" w14:paraId="71395FEE" w14:textId="77777777">
      <w:pPr>
        <w:pStyle w:val="ListParagraph"/>
        <w:numPr>
          <w:ilvl w:val="0"/>
          <w:numId w:val="31"/>
        </w:numPr>
        <w:spacing w:after="0"/>
        <w:jc w:val="both"/>
        <w:rPr>
          <w:rFonts w:eastAsia="Calibri" w:asciiTheme="majorHAnsi" w:hAnsiTheme="majorHAnsi" w:cstheme="majorHAnsi"/>
        </w:rPr>
      </w:pPr>
      <w:r w:rsidRPr="000F4C13">
        <w:rPr>
          <w:rFonts w:eastAsia="Calibri" w:asciiTheme="majorHAnsi" w:hAnsiTheme="majorHAnsi" w:cstheme="majorHAnsi"/>
        </w:rPr>
        <w:t>MID is part of the NAIC Homeowners Market Data Call (C) Task Force supporting NAIC and state efforts to gather updated zip code and county data for market study.</w:t>
      </w:r>
    </w:p>
    <w:p w:rsidRPr="000F4C13" w:rsidR="00904A74" w:rsidP="00904A74" w:rsidRDefault="00904A74" w14:paraId="41221490" w14:textId="77777777">
      <w:pPr>
        <w:pStyle w:val="ListParagraph"/>
        <w:numPr>
          <w:ilvl w:val="0"/>
          <w:numId w:val="30"/>
        </w:numPr>
        <w:jc w:val="both"/>
        <w:rPr>
          <w:rFonts w:eastAsia="Calibri" w:asciiTheme="majorHAnsi" w:hAnsiTheme="majorHAnsi" w:cstheme="majorHAnsi"/>
        </w:rPr>
      </w:pPr>
      <w:r w:rsidRPr="000F4C13">
        <w:rPr>
          <w:rFonts w:eastAsia="Calibri" w:asciiTheme="majorHAnsi" w:hAnsiTheme="majorHAnsi" w:cstheme="majorHAnsi"/>
        </w:rPr>
        <w:t xml:space="preserve">MID is developing a joint data call with the Louisiana Department of Insurance to compare market dynamics between our states. </w:t>
      </w:r>
    </w:p>
    <w:p w:rsidRPr="000F4C13" w:rsidR="00904A74" w:rsidP="00904A74" w:rsidRDefault="00904A74" w14:paraId="537BBB4B" w14:textId="77777777">
      <w:pPr>
        <w:pStyle w:val="Heading4"/>
        <w:spacing w:after="0"/>
        <w:rPr>
          <w:rFonts w:asciiTheme="majorHAnsi" w:hAnsiTheme="majorHAnsi" w:cstheme="majorHAnsi"/>
        </w:rPr>
      </w:pPr>
      <w:r w:rsidRPr="000F4C13">
        <w:rPr>
          <w:rFonts w:asciiTheme="majorHAnsi" w:hAnsiTheme="majorHAnsi" w:cstheme="majorHAnsi"/>
        </w:rPr>
        <w:t xml:space="preserve">Strategy, Initiatives, &amp; Resources: </w:t>
      </w:r>
    </w:p>
    <w:p w:rsidRPr="000F4C13" w:rsidR="00904A74" w:rsidP="00904A74" w:rsidRDefault="00904A74" w14:paraId="4CCD0410" w14:textId="77777777">
      <w:pPr>
        <w:jc w:val="both"/>
        <w:rPr>
          <w:rFonts w:eastAsia="Calibri" w:asciiTheme="majorHAnsi" w:hAnsiTheme="majorHAnsi" w:cstheme="majorHAnsi"/>
          <w:b/>
          <w:bCs/>
        </w:rPr>
      </w:pPr>
      <w:r w:rsidRPr="000F4C13">
        <w:rPr>
          <w:rFonts w:eastAsia="Calibri" w:asciiTheme="majorHAnsi" w:hAnsiTheme="majorHAnsi" w:cstheme="majorHAnsi"/>
        </w:rPr>
        <w:t>Mississippi is actively engaging in </w:t>
      </w:r>
      <w:r w:rsidRPr="000F4C13">
        <w:rPr>
          <w:rFonts w:eastAsia="Calibri" w:asciiTheme="majorHAnsi" w:hAnsiTheme="majorHAnsi" w:cstheme="majorHAnsi"/>
          <w:b/>
          <w:bCs/>
        </w:rPr>
        <w:t>policyholder education on retrofitting, risk-based pricing, and local hazard zones</w:t>
      </w:r>
      <w:r w:rsidRPr="000F4C13">
        <w:rPr>
          <w:rFonts w:eastAsia="Calibri" w:asciiTheme="majorHAnsi" w:hAnsiTheme="majorHAnsi" w:cstheme="majorHAnsi"/>
        </w:rPr>
        <w:t> for mitigation through several initiatives, including</w:t>
      </w:r>
      <w:r w:rsidRPr="000F4C13">
        <w:rPr>
          <w:rFonts w:eastAsia="Calibri" w:asciiTheme="majorHAnsi" w:hAnsiTheme="majorHAnsi" w:cstheme="majorHAnsi"/>
          <w:b/>
          <w:bCs/>
        </w:rPr>
        <w:t>:</w:t>
      </w:r>
    </w:p>
    <w:p w:rsidRPr="000F4C13" w:rsidR="00904A74" w:rsidP="00904A74" w:rsidRDefault="00904A74" w14:paraId="7021AF27" w14:textId="77777777">
      <w:pPr>
        <w:pStyle w:val="ListParagraph"/>
        <w:numPr>
          <w:ilvl w:val="0"/>
          <w:numId w:val="32"/>
        </w:numPr>
        <w:jc w:val="both"/>
        <w:rPr>
          <w:rFonts w:eastAsia="Calibri" w:asciiTheme="majorHAnsi" w:hAnsiTheme="majorHAnsi" w:cstheme="majorHAnsi"/>
          <w:b/>
          <w:bCs/>
        </w:rPr>
      </w:pPr>
      <w:r w:rsidRPr="000F4C13">
        <w:rPr>
          <w:rFonts w:asciiTheme="majorHAnsi" w:hAnsiTheme="majorHAnsi" w:cstheme="majorHAnsi"/>
        </w:rPr>
        <w:t>T</w:t>
      </w:r>
      <w:r w:rsidRPr="000F4C13">
        <w:rPr>
          <w:rFonts w:eastAsia="Calibri" w:asciiTheme="majorHAnsi" w:hAnsiTheme="majorHAnsi" w:cstheme="majorHAnsi"/>
        </w:rPr>
        <w:t xml:space="preserve">he Comprehensive Hurricane Damage Mitigation Program aka “Strengthen Mississippi Homes (SMH),” offers grants </w:t>
      </w:r>
      <w:r w:rsidRPr="000F4C13">
        <w:rPr>
          <w:rFonts w:eastAsia="Calibri" w:asciiTheme="majorHAnsi" w:hAnsiTheme="majorHAnsi" w:cstheme="majorHAnsi"/>
          <w:lang w:val="en"/>
        </w:rPr>
        <w:t>to help homeowners retrofit their properties against damage from hurricanes, tornadoes, and other severe wind events. </w:t>
      </w:r>
    </w:p>
    <w:p w:rsidRPr="000F4C13" w:rsidR="00904A74" w:rsidP="00904A74" w:rsidRDefault="00904A74" w14:paraId="57496719" w14:textId="77777777">
      <w:pPr>
        <w:ind w:left="720"/>
        <w:jc w:val="both"/>
        <w:rPr>
          <w:rFonts w:asciiTheme="majorHAnsi" w:hAnsiTheme="majorHAnsi" w:cstheme="majorHAnsi"/>
          <w:color w:val="000000"/>
          <w:lang w:val="en-US"/>
        </w:rPr>
      </w:pPr>
      <w:r w:rsidRPr="000F4C13">
        <w:rPr>
          <w:rFonts w:asciiTheme="majorHAnsi" w:hAnsiTheme="majorHAnsi" w:cstheme="majorHAnsi"/>
          <w:i/>
          <w:iCs/>
          <w:color w:val="000000"/>
          <w:lang w:val="en-US"/>
        </w:rPr>
        <w:t>Status:</w:t>
      </w:r>
      <w:r w:rsidRPr="000F4C13">
        <w:rPr>
          <w:rFonts w:asciiTheme="majorHAnsi" w:hAnsiTheme="majorHAnsi" w:cstheme="majorHAnsi"/>
          <w:color w:val="000000"/>
          <w:lang w:val="en-US"/>
        </w:rPr>
        <w:t xml:space="preserve"> The Mississippi Legislature suspended funding for the SMH Fortified Home program during the 2025 special session. The grant program is not accepting applications until funding is restored</w:t>
      </w:r>
    </w:p>
    <w:p w:rsidRPr="000F4C13" w:rsidR="00904A74" w:rsidP="00904A74" w:rsidRDefault="00904A74" w14:paraId="360514B5" w14:textId="77777777">
      <w:pPr>
        <w:pStyle w:val="ListParagraph"/>
        <w:numPr>
          <w:ilvl w:val="0"/>
          <w:numId w:val="32"/>
        </w:numPr>
        <w:rPr>
          <w:rFonts w:eastAsia="Calibri" w:asciiTheme="majorHAnsi" w:hAnsiTheme="majorHAnsi" w:cstheme="majorHAnsi"/>
        </w:rPr>
      </w:pPr>
      <w:r w:rsidRPr="000F4C13">
        <w:rPr>
          <w:rFonts w:eastAsia="Calibri" w:asciiTheme="majorHAnsi" w:hAnsiTheme="majorHAnsi" w:cstheme="majorHAnsi"/>
          <w:b/>
          <w:bCs/>
        </w:rPr>
        <w:t>FEMA’s </w:t>
      </w:r>
      <w:hyperlink r:id="rId45">
        <w:r w:rsidRPr="000F4C13">
          <w:rPr>
            <w:rFonts w:eastAsia="Calibri" w:asciiTheme="majorHAnsi" w:hAnsiTheme="majorHAnsi" w:cstheme="majorHAnsi"/>
            <w:b/>
            <w:bCs/>
            <w:color w:val="467886"/>
            <w:u w:val="single"/>
          </w:rPr>
          <w:t>Wind Retrofit Guide for Residential Buildings</w:t>
        </w:r>
      </w:hyperlink>
      <w:r w:rsidRPr="000F4C13">
        <w:rPr>
          <w:rFonts w:eastAsia="Calibri" w:asciiTheme="majorHAnsi" w:hAnsiTheme="majorHAnsi" w:cstheme="majorHAnsi"/>
          <w:b/>
          <w:bCs/>
        </w:rPr>
        <w:t>,</w:t>
      </w:r>
      <w:r w:rsidRPr="000F4C13">
        <w:rPr>
          <w:rFonts w:eastAsia="Calibri" w:asciiTheme="majorHAnsi" w:hAnsiTheme="majorHAnsi" w:cstheme="majorHAnsi"/>
        </w:rPr>
        <w:t> which offers technical information for selecting and implementing effective retrofit projects in hurricane-prone regions. </w:t>
      </w:r>
    </w:p>
    <w:p w:rsidRPr="000F4C13" w:rsidR="00904A74" w:rsidP="00904A74" w:rsidRDefault="00904A74" w14:paraId="7BF8296F" w14:textId="77777777">
      <w:pPr>
        <w:jc w:val="both"/>
        <w:rPr>
          <w:rFonts w:asciiTheme="majorHAnsi" w:hAnsiTheme="majorHAnsi" w:cstheme="majorHAnsi"/>
          <w:color w:val="000000"/>
        </w:rPr>
      </w:pPr>
      <w:r w:rsidRPr="000F4C13">
        <w:rPr>
          <w:rFonts w:asciiTheme="majorHAnsi" w:hAnsiTheme="majorHAnsi" w:cstheme="majorHAnsi"/>
          <w:color w:val="000000"/>
        </w:rPr>
        <w:t xml:space="preserve">Mississippi has </w:t>
      </w:r>
      <w:r w:rsidRPr="000F4C13">
        <w:rPr>
          <w:rFonts w:asciiTheme="majorHAnsi" w:hAnsiTheme="majorHAnsi" w:cstheme="majorHAnsi"/>
          <w:b/>
          <w:bCs/>
          <w:color w:val="000000"/>
        </w:rPr>
        <w:t>two insurers of last resort</w:t>
      </w:r>
      <w:r w:rsidRPr="000F4C13">
        <w:rPr>
          <w:rFonts w:asciiTheme="majorHAnsi" w:hAnsiTheme="majorHAnsi" w:cstheme="majorHAnsi"/>
          <w:color w:val="000000"/>
        </w:rPr>
        <w:t xml:space="preserve"> to provide coverage to </w:t>
      </w:r>
      <w:r w:rsidRPr="000F4C13">
        <w:rPr>
          <w:rFonts w:eastAsia="Calibri" w:asciiTheme="majorHAnsi" w:hAnsiTheme="majorHAnsi" w:cstheme="majorHAnsi"/>
        </w:rPr>
        <w:t xml:space="preserve">property owners who cannot find coverage in the open insurance market: the </w:t>
      </w:r>
      <w:r w:rsidRPr="000F4C13">
        <w:rPr>
          <w:rFonts w:asciiTheme="majorHAnsi" w:hAnsiTheme="majorHAnsi" w:cstheme="majorHAnsi"/>
          <w:color w:val="000000"/>
        </w:rPr>
        <w:t xml:space="preserve">Mississippi Windstorm Underwriting Association (MWUA) and the Mississippi Residential Property Insurance Underwriting Association (MRPIUA). </w:t>
      </w:r>
    </w:p>
    <w:p w:rsidRPr="000F4C13" w:rsidR="00904A74" w:rsidP="00904A74" w:rsidRDefault="00904A74" w14:paraId="7A5A84AD" w14:textId="77777777">
      <w:pPr>
        <w:jc w:val="both"/>
        <w:rPr>
          <w:rFonts w:asciiTheme="majorHAnsi" w:hAnsiTheme="majorHAnsi" w:cstheme="majorHAnsi"/>
          <w:bCs/>
        </w:rPr>
      </w:pPr>
      <w:r w:rsidRPr="000F4C13">
        <w:rPr>
          <w:rFonts w:asciiTheme="majorHAnsi" w:hAnsiTheme="majorHAnsi" w:cstheme="majorHAnsi"/>
          <w:bCs/>
          <w:color w:val="000000"/>
        </w:rPr>
        <w:t xml:space="preserve">MWUA focuses exclusively on wind and hail in specified coastal counties and provides incentives to help lower the cost of making homes more resilient against these risks, including: </w:t>
      </w:r>
    </w:p>
    <w:p w:rsidRPr="000F4C13" w:rsidR="00904A74" w:rsidP="00904A74" w:rsidRDefault="00904A74" w14:paraId="7DA0DCB3" w14:textId="77777777">
      <w:pPr>
        <w:pStyle w:val="ListParagraph"/>
        <w:numPr>
          <w:ilvl w:val="0"/>
          <w:numId w:val="28"/>
        </w:numPr>
        <w:spacing w:after="0"/>
        <w:jc w:val="both"/>
        <w:rPr>
          <w:rFonts w:eastAsia="Calibri" w:asciiTheme="majorHAnsi" w:hAnsiTheme="majorHAnsi" w:cstheme="majorHAnsi"/>
          <w:b/>
          <w:bCs/>
        </w:rPr>
      </w:pPr>
      <w:r w:rsidRPr="000F4C13">
        <w:rPr>
          <w:rFonts w:eastAsia="Calibri" w:asciiTheme="majorHAnsi" w:hAnsiTheme="majorHAnsi" w:cstheme="majorHAnsi"/>
          <w:b/>
          <w:bCs/>
        </w:rPr>
        <w:t>Wind mitigation discounts</w:t>
      </w:r>
      <w:r w:rsidRPr="000F4C13">
        <w:rPr>
          <w:rFonts w:eastAsia="Calibri" w:asciiTheme="majorHAnsi" w:hAnsiTheme="majorHAnsi" w:cstheme="majorHAnsi"/>
        </w:rPr>
        <w:t xml:space="preserve"> for use of wind mitigation techniques, including building code compliance and IBHS certifications.</w:t>
      </w:r>
    </w:p>
    <w:p w:rsidRPr="000F4C13" w:rsidR="00904A74" w:rsidP="00904A74" w:rsidRDefault="00904A74" w14:paraId="1F3FC8F9" w14:textId="77777777">
      <w:pPr>
        <w:pStyle w:val="ListParagraph"/>
        <w:numPr>
          <w:ilvl w:val="0"/>
          <w:numId w:val="28"/>
        </w:numPr>
        <w:spacing w:after="0"/>
        <w:jc w:val="both"/>
        <w:rPr>
          <w:rFonts w:eastAsia="Calibri" w:asciiTheme="majorHAnsi" w:hAnsiTheme="majorHAnsi" w:cstheme="majorHAnsi"/>
          <w:b/>
          <w:bCs/>
        </w:rPr>
      </w:pPr>
      <w:r w:rsidRPr="000F4C13">
        <w:rPr>
          <w:rFonts w:eastAsia="Calibri" w:asciiTheme="majorHAnsi" w:hAnsiTheme="majorHAnsi" w:cstheme="majorHAnsi"/>
          <w:b/>
          <w:bCs/>
        </w:rPr>
        <w:t xml:space="preserve">IBHS certification discounts </w:t>
      </w:r>
      <w:r w:rsidRPr="000F4C13">
        <w:rPr>
          <w:rFonts w:eastAsia="Calibri" w:asciiTheme="majorHAnsi" w:hAnsiTheme="majorHAnsi" w:cstheme="majorHAnsi"/>
        </w:rPr>
        <w:t xml:space="preserve">of at least 40% for homes certified by the IBHS as Fortified for Safer Living. </w:t>
      </w:r>
    </w:p>
    <w:p w:rsidRPr="000F4C13" w:rsidR="00904A74" w:rsidP="00904A74" w:rsidRDefault="00904A74" w14:paraId="6D0DBB5E" w14:textId="77777777">
      <w:pPr>
        <w:pStyle w:val="ListParagraph"/>
        <w:numPr>
          <w:ilvl w:val="0"/>
          <w:numId w:val="28"/>
        </w:numPr>
        <w:spacing w:after="0"/>
        <w:jc w:val="both"/>
        <w:rPr>
          <w:rFonts w:eastAsia="Calibri" w:asciiTheme="majorHAnsi" w:hAnsiTheme="majorHAnsi" w:cstheme="majorHAnsi"/>
          <w:b/>
          <w:bCs/>
        </w:rPr>
      </w:pPr>
      <w:r w:rsidRPr="000F4C13">
        <w:rPr>
          <w:rFonts w:eastAsia="Calibri" w:asciiTheme="majorHAnsi" w:hAnsiTheme="majorHAnsi" w:cstheme="majorHAnsi"/>
          <w:b/>
          <w:bCs/>
        </w:rPr>
        <w:t>Community enforcement discounts</w:t>
      </w:r>
      <w:r w:rsidRPr="000F4C13">
        <w:rPr>
          <w:rFonts w:eastAsia="Calibri" w:asciiTheme="majorHAnsi" w:hAnsiTheme="majorHAnsi" w:cstheme="majorHAnsi"/>
        </w:rPr>
        <w:t xml:space="preserve"> for qualifying homes certified under the IBHS Fortified for Existing Homes program. </w:t>
      </w:r>
    </w:p>
    <w:p w:rsidRPr="000F4C13" w:rsidR="00904A74" w:rsidP="00904A74" w:rsidRDefault="00904A74" w14:paraId="42D9E6DB" w14:textId="77777777">
      <w:pPr>
        <w:pStyle w:val="ListParagraph"/>
        <w:numPr>
          <w:ilvl w:val="0"/>
          <w:numId w:val="28"/>
        </w:numPr>
        <w:jc w:val="both"/>
        <w:rPr>
          <w:rFonts w:asciiTheme="majorHAnsi" w:hAnsiTheme="majorHAnsi" w:cstheme="majorHAnsi"/>
        </w:rPr>
      </w:pPr>
      <w:r w:rsidRPr="000F4C13">
        <w:rPr>
          <w:rFonts w:eastAsia="Calibri" w:asciiTheme="majorHAnsi" w:hAnsiTheme="majorHAnsi" w:cstheme="majorHAnsi"/>
          <w:b/>
          <w:bCs/>
        </w:rPr>
        <w:t>FORTIFIED Roof and Home discounts</w:t>
      </w:r>
      <w:r w:rsidRPr="000F4C13">
        <w:rPr>
          <w:rFonts w:eastAsia="Calibri" w:asciiTheme="majorHAnsi" w:hAnsiTheme="majorHAnsi" w:cstheme="majorHAnsi"/>
        </w:rPr>
        <w:t xml:space="preserve"> of 12-55% off the wind portion of the insurance premium for installing a FORTIFIED Roof or building a FORTIFIED Home.</w:t>
      </w:r>
    </w:p>
    <w:p w:rsidRPr="000F4C13" w:rsidR="00904A74" w:rsidP="00904A74" w:rsidRDefault="00904A74" w14:paraId="3C7A3401" w14:textId="77777777">
      <w:pPr>
        <w:jc w:val="both"/>
        <w:rPr>
          <w:rFonts w:asciiTheme="majorHAnsi" w:hAnsiTheme="majorHAnsi" w:cstheme="majorHAnsi"/>
        </w:rPr>
      </w:pPr>
      <w:hyperlink r:id="rId46">
        <w:r w:rsidRPr="000F4C13">
          <w:rPr>
            <w:rFonts w:eastAsia="Calibri" w:asciiTheme="majorHAnsi" w:hAnsiTheme="majorHAnsi" w:cstheme="majorHAnsi"/>
            <w:color w:val="467886"/>
            <w:u w:val="single"/>
          </w:rPr>
          <w:t>MRPIUA</w:t>
        </w:r>
      </w:hyperlink>
      <w:r w:rsidRPr="000F4C13">
        <w:rPr>
          <w:rFonts w:eastAsia="Calibri" w:asciiTheme="majorHAnsi" w:hAnsiTheme="majorHAnsi" w:cstheme="majorHAnsi"/>
        </w:rPr>
        <w:t xml:space="preserve"> </w:t>
      </w:r>
      <w:r w:rsidRPr="000F4C13">
        <w:rPr>
          <w:rFonts w:asciiTheme="majorHAnsi" w:hAnsiTheme="majorHAnsi" w:cstheme="majorHAnsi"/>
        </w:rPr>
        <w:t xml:space="preserve">offers coverage for a broader range of risks, including fire and other types of property damage. It was created in 2003 when the Mississippi Legislature passed </w:t>
      </w:r>
      <w:hyperlink w:history="1" r:id="rId47">
        <w:r w:rsidRPr="000F4C13">
          <w:rPr>
            <w:rFonts w:asciiTheme="majorHAnsi" w:hAnsiTheme="majorHAnsi" w:cstheme="majorHAnsi"/>
            <w:color w:val="0000FF"/>
            <w:u w:val="single"/>
          </w:rPr>
          <w:t>HB1113</w:t>
        </w:r>
      </w:hyperlink>
      <w:r w:rsidRPr="000F4C13">
        <w:rPr>
          <w:rFonts w:asciiTheme="majorHAnsi" w:hAnsiTheme="majorHAnsi" w:cstheme="majorHAnsi"/>
        </w:rPr>
        <w:t xml:space="preserve">, which updated state law and replaced the earlier Mississippi Rural Risk Underwriting Association (MRRUA) with MRPIUA. </w:t>
      </w:r>
      <w:r w:rsidRPr="000F4C13">
        <w:rPr>
          <w:rFonts w:eastAsia="Calibri" w:asciiTheme="majorHAnsi" w:hAnsiTheme="majorHAnsi" w:cstheme="majorHAnsi"/>
        </w:rPr>
        <w:t>The purpose of the MRPIUA is as follows:</w:t>
      </w:r>
    </w:p>
    <w:p w:rsidRPr="000F4C13" w:rsidR="00904A74" w:rsidP="00904A74" w:rsidRDefault="00904A74" w14:paraId="3729D90A" w14:textId="77777777">
      <w:pPr>
        <w:pStyle w:val="ListParagraph"/>
        <w:numPr>
          <w:ilvl w:val="0"/>
          <w:numId w:val="33"/>
        </w:numPr>
        <w:jc w:val="both"/>
        <w:rPr>
          <w:rFonts w:eastAsia="Calibri" w:asciiTheme="majorHAnsi" w:hAnsiTheme="majorHAnsi" w:cstheme="majorHAnsi"/>
        </w:rPr>
      </w:pPr>
      <w:r w:rsidRPr="000F4C13">
        <w:rPr>
          <w:rFonts w:eastAsia="Calibri" w:asciiTheme="majorHAnsi" w:hAnsiTheme="majorHAnsi" w:cstheme="majorHAnsi"/>
        </w:rPr>
        <w:t>To provide an adequate market for residential coverage insurance throughout Mississippi in order to ensure its orderly growth and development.</w:t>
      </w:r>
    </w:p>
    <w:p w:rsidRPr="000F4C13" w:rsidR="00904A74" w:rsidP="00904A74" w:rsidRDefault="00904A74" w14:paraId="5B7823D5" w14:textId="77777777">
      <w:pPr>
        <w:pStyle w:val="ListParagraph"/>
        <w:numPr>
          <w:ilvl w:val="0"/>
          <w:numId w:val="33"/>
        </w:numPr>
        <w:jc w:val="both"/>
        <w:rPr>
          <w:rFonts w:eastAsia="Calibri" w:asciiTheme="majorHAnsi" w:hAnsiTheme="majorHAnsi" w:cstheme="majorHAnsi"/>
        </w:rPr>
      </w:pPr>
      <w:r w:rsidRPr="000F4C13">
        <w:rPr>
          <w:rFonts w:eastAsia="Calibri" w:asciiTheme="majorHAnsi" w:hAnsiTheme="majorHAnsi" w:cstheme="majorHAnsi"/>
        </w:rPr>
        <w:t>To provide adequate insurance upon property in all areas to enable homeowners to obtain financing for the purchase and improvement of their property.</w:t>
      </w:r>
    </w:p>
    <w:p w:rsidRPr="000F4C13" w:rsidR="00904A74" w:rsidP="00904A74" w:rsidRDefault="00904A74" w14:paraId="2B037BFF" w14:textId="77777777">
      <w:pPr>
        <w:pStyle w:val="ListParagraph"/>
        <w:numPr>
          <w:ilvl w:val="0"/>
          <w:numId w:val="33"/>
        </w:numPr>
        <w:jc w:val="both"/>
        <w:rPr>
          <w:rFonts w:eastAsia="Calibri" w:asciiTheme="majorHAnsi" w:hAnsiTheme="majorHAnsi" w:cstheme="majorHAnsi"/>
        </w:rPr>
      </w:pPr>
      <w:r w:rsidRPr="000F4C13">
        <w:rPr>
          <w:rFonts w:eastAsia="Calibri" w:asciiTheme="majorHAnsi" w:hAnsiTheme="majorHAnsi" w:cstheme="majorHAnsi"/>
        </w:rPr>
        <w:t>To provide an equitable method whereby every licensed insurer writing fire and extended coverage in Mississippi is required to meet its public responsibility.</w:t>
      </w:r>
    </w:p>
    <w:p w:rsidRPr="000F4C13" w:rsidR="00904A74" w:rsidP="00904A74" w:rsidRDefault="00904A74" w14:paraId="3FB8A267" w14:textId="77777777">
      <w:pPr>
        <w:pStyle w:val="ListParagraph"/>
        <w:numPr>
          <w:ilvl w:val="0"/>
          <w:numId w:val="33"/>
        </w:numPr>
        <w:jc w:val="both"/>
        <w:rPr>
          <w:rFonts w:eastAsia="Calibri" w:asciiTheme="majorHAnsi" w:hAnsiTheme="majorHAnsi" w:cstheme="majorHAnsi"/>
        </w:rPr>
      </w:pPr>
      <w:r w:rsidRPr="000F4C13">
        <w:rPr>
          <w:rFonts w:eastAsia="Calibri" w:asciiTheme="majorHAnsi" w:hAnsiTheme="majorHAnsi" w:cstheme="majorHAnsi"/>
        </w:rPr>
        <w:t>To provide a mandatory Plan to assure an adequate market for fire and extended coverage throughout Mississippi to fulfill the purposes provided by the Mississippi Legislature.</w:t>
      </w:r>
    </w:p>
    <w:p w:rsidRPr="000F4C13" w:rsidR="00904A74" w:rsidP="00904A74" w:rsidRDefault="00904A74" w14:paraId="293B2F2C" w14:textId="77777777">
      <w:pPr>
        <w:spacing w:after="0"/>
        <w:jc w:val="both"/>
        <w:rPr>
          <w:rFonts w:eastAsia="Calibri" w:asciiTheme="majorHAnsi" w:hAnsiTheme="majorHAnsi" w:cstheme="majorHAnsi"/>
          <w:b/>
          <w:bCs/>
          <w:u w:val="single"/>
        </w:rPr>
      </w:pPr>
      <w:r w:rsidRPr="000F4C13">
        <w:rPr>
          <w:rFonts w:eastAsia="Calibri" w:asciiTheme="majorHAnsi" w:hAnsiTheme="majorHAnsi" w:cstheme="majorHAnsi"/>
          <w:b/>
          <w:bCs/>
          <w:u w:val="single"/>
        </w:rPr>
        <w:t xml:space="preserve">Premium Discounts and New Construction Standards (IBHS FORTIFIED) </w:t>
      </w:r>
    </w:p>
    <w:p w:rsidRPr="000F4C13" w:rsidR="00904A74" w:rsidP="00904A74" w:rsidRDefault="00904A74" w14:paraId="5E8D7816" w14:textId="32D08062">
      <w:pPr>
        <w:spacing w:after="0"/>
        <w:jc w:val="both"/>
        <w:rPr>
          <w:rFonts w:eastAsia="Calibri" w:asciiTheme="majorHAnsi" w:hAnsiTheme="majorHAnsi" w:cstheme="majorHAnsi"/>
          <w:lang w:val="en-US"/>
        </w:rPr>
      </w:pPr>
      <w:r w:rsidRPr="000F4C13">
        <w:rPr>
          <w:rFonts w:eastAsia="Calibri" w:asciiTheme="majorHAnsi" w:hAnsiTheme="majorHAnsi" w:cstheme="majorHAnsi"/>
          <w:lang w:val="en-US"/>
        </w:rPr>
        <w:t xml:space="preserve">Implementing IBHS FORTIFIED standards in new residential, commercial, and multifamily construction enhances resilience to severe weather events. </w:t>
      </w:r>
      <w:r w:rsidRPr="000F4C13">
        <w:rPr>
          <w:rFonts w:eastAsia="Calibri" w:asciiTheme="majorHAnsi" w:hAnsiTheme="majorHAnsi" w:cstheme="majorHAnsi"/>
        </w:rPr>
        <w:t xml:space="preserve">Mississippi has found </w:t>
      </w:r>
      <w:r w:rsidR="00DF72EB">
        <w:rPr>
          <w:rFonts w:eastAsia="Calibri" w:asciiTheme="majorHAnsi" w:hAnsiTheme="majorHAnsi" w:cstheme="majorHAnsi"/>
        </w:rPr>
        <w:t xml:space="preserve">that </w:t>
      </w:r>
      <w:r w:rsidRPr="000F4C13">
        <w:rPr>
          <w:rFonts w:eastAsia="Calibri" w:asciiTheme="majorHAnsi" w:hAnsiTheme="majorHAnsi" w:cstheme="majorHAnsi"/>
        </w:rPr>
        <w:t>targeting new construction is a key component of successful implementation because it is more cost-effective to build to higher, resilient standards initially than to retrofit existing, older structures.</w:t>
      </w:r>
      <w:r w:rsidRPr="000F4C13">
        <w:rPr>
          <w:rFonts w:eastAsia="Calibri" w:asciiTheme="majorHAnsi" w:hAnsiTheme="majorHAnsi" w:cstheme="majorHAnsi"/>
          <w:lang w:val="en-US"/>
        </w:rPr>
        <w:t xml:space="preserve"> </w:t>
      </w:r>
    </w:p>
    <w:p w:rsidRPr="000F4C13" w:rsidR="00904A74" w:rsidP="00904A74" w:rsidRDefault="00904A74" w14:paraId="7444BA4F" w14:textId="77777777">
      <w:pPr>
        <w:spacing w:after="0"/>
        <w:jc w:val="both"/>
        <w:rPr>
          <w:rFonts w:eastAsia="Calibri" w:asciiTheme="majorHAnsi" w:hAnsiTheme="majorHAnsi" w:cstheme="majorHAnsi"/>
          <w:lang w:val="en-US"/>
        </w:rPr>
      </w:pPr>
    </w:p>
    <w:p w:rsidRPr="000F4C13" w:rsidR="00904A74" w:rsidP="00904A74" w:rsidRDefault="00904A74" w14:paraId="0BAC4C22" w14:textId="77777777">
      <w:pPr>
        <w:jc w:val="both"/>
        <w:rPr>
          <w:rFonts w:eastAsia="Calibri" w:asciiTheme="majorHAnsi" w:hAnsiTheme="majorHAnsi" w:cstheme="majorHAnsi"/>
          <w:lang w:val="en-US"/>
        </w:rPr>
      </w:pPr>
      <w:r w:rsidRPr="000F4C13">
        <w:rPr>
          <w:rFonts w:eastAsia="Calibri" w:asciiTheme="majorHAnsi" w:hAnsiTheme="majorHAnsi" w:cstheme="majorHAnsi"/>
          <w:lang w:val="en-US"/>
        </w:rPr>
        <w:t>Updated standards, like the 2025 FORTIFIED Home, FORTIFIED Commercial, and FORTIFIED Multifamily, enhance key building components by implementing measures such as more stringent roof-deck nailing patterns and testing for roof-mounted vents to prevent wind-driven rain intrusion. These standards have demonstrated effectiveness in hurricane-prone areas and are now applicable to inland regions. A transition period allows contractors and evaluators to prepare for compliance by November 1, 2025.</w:t>
      </w:r>
    </w:p>
    <w:p w:rsidRPr="000F4C13" w:rsidR="00904A74" w:rsidP="00904A74" w:rsidRDefault="00904A74" w14:paraId="6BF16953" w14:textId="77777777">
      <w:pPr>
        <w:spacing w:after="0"/>
        <w:jc w:val="both"/>
        <w:rPr>
          <w:rFonts w:eastAsia="Calibri" w:asciiTheme="majorHAnsi" w:hAnsiTheme="majorHAnsi" w:cstheme="majorHAnsi"/>
        </w:rPr>
      </w:pPr>
      <w:r w:rsidRPr="000F4C13">
        <w:rPr>
          <w:rFonts w:eastAsia="Calibri" w:asciiTheme="majorHAnsi" w:hAnsiTheme="majorHAnsi" w:cstheme="majorHAnsi"/>
          <w:b/>
          <w:bCs/>
          <w:u w:val="single"/>
        </w:rPr>
        <w:t xml:space="preserve">Through proactive building code conversations, the MID </w:t>
      </w:r>
      <w:r w:rsidRPr="000F4C13">
        <w:rPr>
          <w:rFonts w:eastAsia="Calibri" w:asciiTheme="majorHAnsi" w:hAnsiTheme="majorHAnsi" w:cstheme="majorHAnsi"/>
        </w:rPr>
        <w:t>informs on the importance of strengthening building codes to mitigate risks from hurricanes and other natural disasters and to support insurance availability.</w:t>
      </w:r>
    </w:p>
    <w:p w:rsidRPr="000F4C13" w:rsidR="00904A74" w:rsidP="00904A74" w:rsidRDefault="00904A74" w14:paraId="27627F1A" w14:textId="77777777">
      <w:pPr>
        <w:spacing w:after="0"/>
        <w:jc w:val="both"/>
        <w:rPr>
          <w:rFonts w:eastAsia="Calibri" w:asciiTheme="majorHAnsi" w:hAnsiTheme="majorHAnsi" w:cstheme="majorHAnsi"/>
          <w:b/>
          <w:bCs/>
          <w:u w:val="single"/>
        </w:rPr>
      </w:pPr>
    </w:p>
    <w:p w:rsidRPr="000F4C13" w:rsidR="00904A74" w:rsidP="00904A74" w:rsidRDefault="00904A74" w14:paraId="08B2DC4B" w14:textId="77777777">
      <w:pPr>
        <w:spacing w:after="0"/>
        <w:jc w:val="both"/>
        <w:rPr>
          <w:rFonts w:eastAsia="Calibri" w:asciiTheme="majorHAnsi" w:hAnsiTheme="majorHAnsi" w:cstheme="majorHAnsi"/>
          <w:b/>
          <w:bCs/>
          <w:u w:val="single"/>
        </w:rPr>
      </w:pPr>
      <w:r w:rsidRPr="000F4C13">
        <w:rPr>
          <w:rFonts w:eastAsia="Calibri" w:asciiTheme="majorHAnsi" w:hAnsiTheme="majorHAnsi" w:cstheme="majorHAnsi"/>
          <w:b/>
          <w:bCs/>
          <w:u w:val="single"/>
        </w:rPr>
        <w:t>Focus on rural tornado-prone communities and safe housing retrofits:</w:t>
      </w:r>
    </w:p>
    <w:p w:rsidRPr="000F4C13" w:rsidR="00904A74" w:rsidP="00904A74" w:rsidRDefault="00904A74" w14:paraId="50B9E689" w14:textId="77777777">
      <w:pPr>
        <w:spacing w:after="0"/>
        <w:jc w:val="both"/>
        <w:rPr>
          <w:rFonts w:eastAsia="Calibri" w:asciiTheme="majorHAnsi" w:hAnsiTheme="majorHAnsi" w:cstheme="majorHAnsi"/>
          <w:b/>
          <w:bCs/>
          <w:u w:val="single"/>
        </w:rPr>
      </w:pPr>
      <w:r w:rsidRPr="000F4C13">
        <w:rPr>
          <w:rFonts w:eastAsia="Calibri" w:asciiTheme="majorHAnsi" w:hAnsiTheme="majorHAnsi" w:cstheme="majorHAnsi"/>
        </w:rPr>
        <w:t xml:space="preserve">Mississippi has a </w:t>
      </w:r>
      <w:hyperlink r:id="rId48">
        <w:r w:rsidRPr="000F4C13">
          <w:rPr>
            <w:rFonts w:eastAsia="Calibri" w:asciiTheme="majorHAnsi" w:hAnsiTheme="majorHAnsi" w:cstheme="majorHAnsi"/>
            <w:color w:val="467886"/>
            <w:u w:val="single"/>
          </w:rPr>
          <w:t>Statewide Residential Safe Room Grant Program</w:t>
        </w:r>
      </w:hyperlink>
      <w:r w:rsidRPr="000F4C13">
        <w:rPr>
          <w:rFonts w:eastAsia="Calibri" w:asciiTheme="majorHAnsi" w:hAnsiTheme="majorHAnsi" w:cstheme="majorHAnsi"/>
        </w:rPr>
        <w:t xml:space="preserve"> to help homeowners build storm shelters and safe rooms. The program is funded through FEMA’s </w:t>
      </w:r>
      <w:hyperlink r:id="rId49">
        <w:r w:rsidRPr="000F4C13">
          <w:rPr>
            <w:rFonts w:eastAsia="Calibri" w:asciiTheme="majorHAnsi" w:hAnsiTheme="majorHAnsi" w:cstheme="majorHAnsi"/>
            <w:color w:val="467886"/>
            <w:u w:val="single"/>
          </w:rPr>
          <w:t>Hazard Mitigation Grant Program</w:t>
        </w:r>
      </w:hyperlink>
      <w:r w:rsidRPr="000F4C13">
        <w:rPr>
          <w:rFonts w:eastAsia="Calibri" w:asciiTheme="majorHAnsi" w:hAnsiTheme="majorHAnsi" w:cstheme="majorHAnsi"/>
        </w:rPr>
        <w:t> and offers up to $3,500 to cover 75% of the cost of constructing a FEMA-approved safe room. There are thirty-eight available grants per county. The goal is to improve statewide storm preparedness and reduce weather-related deaths.</w:t>
      </w:r>
    </w:p>
    <w:p w:rsidRPr="000F4C13" w:rsidR="00904A74" w:rsidP="00904A74" w:rsidRDefault="00904A74" w14:paraId="06CE05F1" w14:textId="77777777">
      <w:pPr>
        <w:spacing w:after="0"/>
        <w:ind w:left="1440"/>
        <w:jc w:val="both"/>
        <w:rPr>
          <w:rFonts w:eastAsia="Calibri" w:asciiTheme="majorHAnsi" w:hAnsiTheme="majorHAnsi" w:cstheme="majorHAnsi"/>
          <w:b/>
          <w:bCs/>
          <w:u w:val="single"/>
        </w:rPr>
      </w:pPr>
    </w:p>
    <w:p w:rsidRPr="000F4C13" w:rsidR="00904A74" w:rsidP="00904A74" w:rsidRDefault="00904A74" w14:paraId="28C69ECE" w14:textId="77777777">
      <w:pPr>
        <w:pStyle w:val="Heading4"/>
        <w:rPr>
          <w:rFonts w:asciiTheme="majorHAnsi" w:hAnsiTheme="majorHAnsi" w:cstheme="majorHAnsi"/>
        </w:rPr>
      </w:pPr>
      <w:r w:rsidRPr="000F4C13">
        <w:rPr>
          <w:rFonts w:asciiTheme="majorHAnsi" w:hAnsiTheme="majorHAnsi" w:cstheme="majorHAnsi"/>
        </w:rPr>
        <w:t xml:space="preserve">Consumer Outreach and Educational Materials: </w:t>
      </w:r>
    </w:p>
    <w:p w:rsidRPr="000F4C13" w:rsidR="00904A74" w:rsidP="00904A74" w:rsidRDefault="00904A74" w14:paraId="66C71DC6" w14:textId="77777777">
      <w:pPr>
        <w:jc w:val="both"/>
        <w:rPr>
          <w:rFonts w:eastAsia="Calibri" w:asciiTheme="majorHAnsi" w:hAnsiTheme="majorHAnsi" w:cstheme="majorHAnsi"/>
        </w:rPr>
      </w:pPr>
      <w:r w:rsidRPr="000F4C13">
        <w:rPr>
          <w:rFonts w:eastAsia="Calibri" w:asciiTheme="majorHAnsi" w:hAnsiTheme="majorHAnsi" w:cstheme="majorHAnsi"/>
        </w:rPr>
        <w:t>The Mississippi Insurance Department held Disaster Conferences in 2024 and 2025 to reach out and educate city and county officials on available programs and our efforts to reactivate funding for the Strengthen Mississippi Homes program.</w:t>
      </w:r>
    </w:p>
    <w:p w:rsidRPr="000F4C13" w:rsidR="00904A74" w:rsidP="00904A74" w:rsidRDefault="00904A74" w14:paraId="7FCE2611" w14:textId="77777777">
      <w:pPr>
        <w:jc w:val="both"/>
        <w:rPr>
          <w:rFonts w:eastAsia="Calibri" w:asciiTheme="majorHAnsi" w:hAnsiTheme="majorHAnsi" w:cstheme="majorHAnsi"/>
        </w:rPr>
      </w:pPr>
      <w:r w:rsidRPr="000F4C13">
        <w:rPr>
          <w:rFonts w:eastAsia="Calibri" w:asciiTheme="majorHAnsi" w:hAnsiTheme="majorHAnsi" w:cstheme="majorHAnsi"/>
        </w:rPr>
        <w:t>Disaster prep resources:</w:t>
      </w:r>
    </w:p>
    <w:p w:rsidRPr="000F4C13" w:rsidR="00904A74" w:rsidP="00904A74" w:rsidRDefault="00904A74" w14:paraId="22976505" w14:textId="77777777">
      <w:pPr>
        <w:jc w:val="both"/>
        <w:rPr>
          <w:rFonts w:eastAsia="Calibri" w:asciiTheme="majorHAnsi" w:hAnsiTheme="majorHAnsi" w:cstheme="majorHAnsi"/>
        </w:rPr>
      </w:pPr>
      <w:r w:rsidRPr="000F4C13">
        <w:rPr>
          <w:rFonts w:eastAsia="Calibri" w:asciiTheme="majorHAnsi" w:hAnsiTheme="majorHAnsi" w:cstheme="majorHAnsi"/>
        </w:rPr>
        <w:t xml:space="preserve">Mississippi offers resources to assist homeowners, including a Homeowner's Insurance Shopping Tool, Consumer Hurricane Checklist, and information on the Mississippi Residential Property Insurance Underwriting Association. </w:t>
      </w:r>
      <w:r w:rsidRPr="000F4C13">
        <w:rPr>
          <w:rFonts w:eastAsia="Calibri" w:asciiTheme="majorHAnsi" w:hAnsiTheme="majorHAnsi" w:cstheme="majorHAnsi"/>
        </w:rPr>
        <w:tab/>
      </w:r>
      <w:r w:rsidRPr="000F4C13">
        <w:rPr>
          <w:rFonts w:eastAsia="Calibri" w:asciiTheme="majorHAnsi" w:hAnsiTheme="majorHAnsi" w:cstheme="majorHAnsi"/>
        </w:rPr>
        <w:t xml:space="preserve">Located on our website: </w:t>
      </w:r>
      <w:hyperlink r:id="rId50">
        <w:r w:rsidRPr="000F4C13">
          <w:rPr>
            <w:rFonts w:eastAsia="Calibri" w:asciiTheme="majorHAnsi" w:hAnsiTheme="majorHAnsi" w:cstheme="majorHAnsi"/>
            <w:color w:val="467886"/>
            <w:u w:val="single"/>
          </w:rPr>
          <w:t>Weather Disaster Preparedness</w:t>
        </w:r>
      </w:hyperlink>
    </w:p>
    <w:p w:rsidRPr="000F4C13" w:rsidR="00904A74" w:rsidP="00904A74" w:rsidRDefault="00904A74" w14:paraId="250B3A9F" w14:textId="77777777">
      <w:pPr>
        <w:jc w:val="both"/>
        <w:rPr>
          <w:rFonts w:eastAsia="Calibri" w:asciiTheme="majorHAnsi" w:hAnsiTheme="majorHAnsi" w:cstheme="majorHAnsi"/>
        </w:rPr>
      </w:pPr>
      <w:r w:rsidRPr="000F4C13">
        <w:rPr>
          <w:rFonts w:eastAsia="Calibri" w:asciiTheme="majorHAnsi" w:hAnsiTheme="majorHAnsi" w:cstheme="majorHAnsi"/>
        </w:rPr>
        <w:t>MID supports other states and rural insurers in urging FHFA to eliminate the requirement that all federally backed mortgages must have RCV coverage in place. Elimination of this requirement would provide more consumer choice for price-conscious insurance purchasers.</w:t>
      </w:r>
    </w:p>
    <w:p w:rsidRPr="000F4C13" w:rsidR="00904A74" w:rsidP="00904A74" w:rsidRDefault="00904A74" w14:paraId="3AD4BC61" w14:textId="77777777">
      <w:pPr>
        <w:pStyle w:val="Heading4"/>
        <w:rPr>
          <w:rFonts w:asciiTheme="majorHAnsi" w:hAnsiTheme="majorHAnsi" w:cstheme="majorHAnsi"/>
        </w:rPr>
      </w:pPr>
      <w:r w:rsidRPr="000F4C13">
        <w:rPr>
          <w:rFonts w:asciiTheme="majorHAnsi" w:hAnsiTheme="majorHAnsi" w:cstheme="majorHAnsi"/>
        </w:rPr>
        <w:t xml:space="preserve">Partnerships: </w:t>
      </w:r>
    </w:p>
    <w:p w:rsidRPr="000F4C13" w:rsidR="00904A74" w:rsidP="00904A74" w:rsidRDefault="00904A74" w14:paraId="0E4BAE2E" w14:textId="77777777">
      <w:pPr>
        <w:jc w:val="both"/>
        <w:rPr>
          <w:rFonts w:eastAsia="Calibri" w:asciiTheme="majorHAnsi" w:hAnsiTheme="majorHAnsi" w:cstheme="majorHAnsi"/>
        </w:rPr>
      </w:pPr>
      <w:hyperlink r:id="rId51">
        <w:r w:rsidRPr="000F4C13">
          <w:rPr>
            <w:rFonts w:eastAsia="Calibri" w:asciiTheme="majorHAnsi" w:hAnsiTheme="majorHAnsi" w:cstheme="majorHAnsi"/>
            <w:color w:val="467886"/>
            <w:u w:val="single"/>
          </w:rPr>
          <w:t>Windstorm Insurance Network</w:t>
        </w:r>
      </w:hyperlink>
      <w:r w:rsidRPr="000F4C13">
        <w:rPr>
          <w:rFonts w:eastAsia="Calibri" w:asciiTheme="majorHAnsi" w:hAnsiTheme="majorHAnsi" w:cstheme="majorHAnsi"/>
        </w:rPr>
        <w:t xml:space="preserve"> (WIND) is a member association that hosts an annual conference to bring together defense and policyholder professionals to engage on property/windstorm insurance claims issues, regional mitigation lessons, and emerging policy innovations. </w:t>
      </w:r>
    </w:p>
    <w:p w:rsidRPr="000F4C13" w:rsidR="00C96053" w:rsidRDefault="00B2522B" w14:paraId="7285E78A" w14:textId="77777777">
      <w:pPr>
        <w:pStyle w:val="Heading3"/>
        <w:spacing w:after="0"/>
        <w:rPr>
          <w:rFonts w:asciiTheme="majorHAnsi" w:hAnsiTheme="majorHAnsi" w:cstheme="majorHAnsi"/>
        </w:rPr>
      </w:pPr>
      <w:bookmarkStart w:name="_nl7r71daq0zs" w:colFirst="0" w:colLast="0" w:id="58"/>
      <w:bookmarkStart w:name="_imafkevpw53s" w:colFirst="0" w:colLast="0" w:id="59"/>
      <w:bookmarkStart w:name="_s1didva6d77w" w:colFirst="0" w:colLast="0" w:id="60"/>
      <w:bookmarkStart w:name="_1f411ybn8t6m" w:colFirst="0" w:colLast="0" w:id="61"/>
      <w:bookmarkStart w:name="_6kkbku2gjgmt" w:colFirst="0" w:colLast="0" w:id="62"/>
      <w:bookmarkStart w:name="_a8fatklvj72w" w:colFirst="0" w:colLast="0" w:id="63"/>
      <w:bookmarkEnd w:id="58"/>
      <w:bookmarkEnd w:id="59"/>
      <w:bookmarkEnd w:id="60"/>
      <w:bookmarkEnd w:id="61"/>
      <w:bookmarkEnd w:id="62"/>
      <w:bookmarkEnd w:id="63"/>
      <w:r w:rsidRPr="000F4C13">
        <w:rPr>
          <w:rFonts w:asciiTheme="majorHAnsi" w:hAnsiTheme="majorHAnsi" w:cstheme="majorHAnsi"/>
        </w:rPr>
        <w:t>Alabama</w:t>
      </w:r>
    </w:p>
    <w:p w:rsidRPr="000F4C13" w:rsidR="00B2091D" w:rsidP="00B2091D" w:rsidRDefault="00B2091D" w14:paraId="04432302" w14:textId="77777777">
      <w:pPr>
        <w:pStyle w:val="Heading4"/>
        <w:rPr>
          <w:rFonts w:asciiTheme="majorHAnsi" w:hAnsiTheme="majorHAnsi" w:cstheme="majorHAnsi"/>
        </w:rPr>
      </w:pPr>
      <w:bookmarkStart w:name="_ewy20bdpkkd2" w:colFirst="0" w:colLast="0" w:id="64"/>
      <w:bookmarkEnd w:id="64"/>
      <w:r w:rsidRPr="000F4C13">
        <w:rPr>
          <w:rFonts w:asciiTheme="majorHAnsi" w:hAnsiTheme="majorHAnsi" w:cstheme="majorHAnsi"/>
        </w:rPr>
        <w:t>Introduction</w:t>
      </w:r>
    </w:p>
    <w:p w:rsidRPr="000F4C13" w:rsidR="00A701A7" w:rsidP="00791817" w:rsidRDefault="006F13C1" w14:paraId="5D8B10E2" w14:textId="684C3DD7">
      <w:pPr>
        <w:pStyle w:val="Heading4"/>
        <w:spacing w:after="0"/>
        <w:rPr>
          <w:rFonts w:asciiTheme="majorHAnsi" w:hAnsiTheme="majorHAnsi" w:cstheme="majorHAnsi"/>
          <w:color w:val="auto"/>
          <w:highlight w:val="yellow"/>
        </w:rPr>
      </w:pPr>
      <w:r w:rsidRPr="000F4C13">
        <w:rPr>
          <w:rFonts w:asciiTheme="majorHAnsi" w:hAnsiTheme="majorHAnsi" w:cstheme="majorHAnsi"/>
          <w:i w:val="0"/>
          <w:iCs w:val="0"/>
          <w:color w:val="auto"/>
        </w:rPr>
        <w:t>Alabama is continuing its efforts to become more resilient across the</w:t>
      </w:r>
      <w:r w:rsidRPr="000F4C13" w:rsidR="00A701A7">
        <w:rPr>
          <w:rFonts w:asciiTheme="majorHAnsi" w:hAnsiTheme="majorHAnsi" w:cstheme="majorHAnsi"/>
          <w:i w:val="0"/>
          <w:iCs w:val="0"/>
          <w:color w:val="auto"/>
        </w:rPr>
        <w:t xml:space="preserve"> state. With a small coastline that touches two counties, </w:t>
      </w:r>
      <w:r w:rsidRPr="000F4C13" w:rsidR="0001354C">
        <w:rPr>
          <w:rFonts w:asciiTheme="majorHAnsi" w:hAnsiTheme="majorHAnsi" w:cstheme="majorHAnsi"/>
          <w:i w:val="0"/>
          <w:iCs w:val="0"/>
          <w:color w:val="auto"/>
        </w:rPr>
        <w:t>our state has unfortunately suffered</w:t>
      </w:r>
      <w:r w:rsidRPr="000F4C13" w:rsidR="00A701A7">
        <w:rPr>
          <w:rFonts w:asciiTheme="majorHAnsi" w:hAnsiTheme="majorHAnsi" w:cstheme="majorHAnsi"/>
          <w:i w:val="0"/>
          <w:iCs w:val="0"/>
          <w:color w:val="auto"/>
        </w:rPr>
        <w:t xml:space="preserve"> numerous catastrophic hurricanes.  The rest of our state has </w:t>
      </w:r>
      <w:r w:rsidRPr="000F4C13" w:rsidR="003A36F3">
        <w:rPr>
          <w:rFonts w:asciiTheme="majorHAnsi" w:hAnsiTheme="majorHAnsi" w:cstheme="majorHAnsi"/>
          <w:i w:val="0"/>
          <w:iCs w:val="0"/>
          <w:color w:val="auto"/>
        </w:rPr>
        <w:t>also suffered from many perils</w:t>
      </w:r>
      <w:r w:rsidRPr="000F4C13" w:rsidR="00A701A7">
        <w:rPr>
          <w:rFonts w:asciiTheme="majorHAnsi" w:hAnsiTheme="majorHAnsi" w:cstheme="majorHAnsi"/>
          <w:i w:val="0"/>
          <w:iCs w:val="0"/>
          <w:color w:val="auto"/>
        </w:rPr>
        <w:t xml:space="preserve">.  Effects from the hurricanes are felt from the coast to the northernmost state boundaries. </w:t>
      </w:r>
      <w:r w:rsidRPr="000F4C13" w:rsidR="003A36F3">
        <w:rPr>
          <w:rFonts w:asciiTheme="majorHAnsi" w:hAnsiTheme="majorHAnsi" w:cstheme="majorHAnsi"/>
          <w:i w:val="0"/>
          <w:iCs w:val="0"/>
          <w:color w:val="auto"/>
        </w:rPr>
        <w:t>Tornadoes</w:t>
      </w:r>
      <w:r w:rsidRPr="000F4C13" w:rsidR="00A701A7">
        <w:rPr>
          <w:rFonts w:asciiTheme="majorHAnsi" w:hAnsiTheme="majorHAnsi" w:cstheme="majorHAnsi"/>
          <w:i w:val="0"/>
          <w:iCs w:val="0"/>
          <w:color w:val="auto"/>
        </w:rPr>
        <w:t xml:space="preserve">, hailstorms, and convective windstorms are dealt with all year long by Alabama residents.  Resilience work covers all perils, with </w:t>
      </w:r>
      <w:r w:rsidRPr="000F4C13" w:rsidR="008F5ED9">
        <w:rPr>
          <w:rFonts w:asciiTheme="majorHAnsi" w:hAnsiTheme="majorHAnsi" w:cstheme="majorHAnsi"/>
          <w:i w:val="0"/>
          <w:iCs w:val="0"/>
          <w:color w:val="auto"/>
        </w:rPr>
        <w:t>none more important than the others, especially for</w:t>
      </w:r>
      <w:r w:rsidRPr="000F4C13" w:rsidR="00A701A7">
        <w:rPr>
          <w:rFonts w:asciiTheme="majorHAnsi" w:hAnsiTheme="majorHAnsi" w:cstheme="majorHAnsi"/>
          <w:i w:val="0"/>
          <w:iCs w:val="0"/>
          <w:color w:val="auto"/>
        </w:rPr>
        <w:t xml:space="preserve"> the individual going through the event.</w:t>
      </w:r>
    </w:p>
    <w:p w:rsidRPr="000F4C13" w:rsidR="00C96053" w:rsidRDefault="00B2522B" w14:paraId="14D495A2" w14:textId="77777777">
      <w:pPr>
        <w:pStyle w:val="Heading4"/>
        <w:spacing w:after="0"/>
        <w:rPr>
          <w:rFonts w:asciiTheme="majorHAnsi" w:hAnsiTheme="majorHAnsi" w:cstheme="majorHAnsi"/>
        </w:rPr>
      </w:pPr>
      <w:bookmarkStart w:name="_l0txfd607qne" w:colFirst="0" w:colLast="0" w:id="65"/>
      <w:bookmarkEnd w:id="65"/>
      <w:r w:rsidRPr="000F4C13">
        <w:rPr>
          <w:rFonts w:asciiTheme="majorHAnsi" w:hAnsiTheme="majorHAnsi" w:cstheme="majorHAnsi"/>
        </w:rPr>
        <w:t>Reports:</w:t>
      </w:r>
    </w:p>
    <w:p w:rsidRPr="000F4C13" w:rsidR="00C96053" w:rsidRDefault="00C96053" w14:paraId="3A7D151C" w14:textId="77777777">
      <w:pPr>
        <w:spacing w:after="0"/>
        <w:jc w:val="both"/>
        <w:rPr>
          <w:rFonts w:eastAsia="Calibri" w:asciiTheme="majorHAnsi" w:hAnsiTheme="majorHAnsi" w:cstheme="majorHAnsi"/>
        </w:rPr>
      </w:pPr>
      <w:hyperlink r:id="rId52">
        <w:r w:rsidRPr="000F4C13">
          <w:rPr>
            <w:rFonts w:eastAsia="Calibri" w:asciiTheme="majorHAnsi" w:hAnsiTheme="majorHAnsi" w:cstheme="majorHAnsi"/>
            <w:color w:val="467886"/>
            <w:u w:val="single"/>
          </w:rPr>
          <w:t>FORTIFIED Homes Study</w:t>
        </w:r>
      </w:hyperlink>
      <w:r w:rsidRPr="000F4C13">
        <w:rPr>
          <w:rFonts w:eastAsia="Calibri" w:asciiTheme="majorHAnsi" w:hAnsiTheme="majorHAnsi" w:cstheme="majorHAnsi"/>
          <w:b/>
          <w:bCs/>
        </w:rPr>
        <w:t xml:space="preserve">: </w:t>
      </w:r>
      <w:hyperlink r:id="rId53">
        <w:r w:rsidRPr="000F4C13">
          <w:rPr>
            <w:rFonts w:eastAsia="Calibri" w:asciiTheme="majorHAnsi" w:hAnsiTheme="majorHAnsi" w:cstheme="majorHAnsi"/>
            <w:color w:val="467886"/>
            <w:u w:val="single"/>
          </w:rPr>
          <w:t>The Alabama Department of Insurance (.gov)</w:t>
        </w:r>
      </w:hyperlink>
      <w:r w:rsidRPr="000F4C13">
        <w:rPr>
          <w:rFonts w:eastAsia="Calibri" w:asciiTheme="majorHAnsi" w:hAnsiTheme="majorHAnsi" w:cstheme="majorHAnsi"/>
        </w:rPr>
        <w:t> commissioned a study by the University of Alabama's Center for Risk and Insurance Research, which found that FORTIFIED homes, built to a higher standard of construction, suffered significantly less damage and required fewer insurance claims during Hurricane Sally compared to standard construction homes. This study highlights the potential for mitigation efforts to improve insurance affordability and availability in coastal areas. </w:t>
      </w:r>
    </w:p>
    <w:p w:rsidRPr="000F4C13" w:rsidR="00C96053" w:rsidRDefault="00C96053" w14:paraId="6B9FA1EB" w14:textId="77777777">
      <w:pPr>
        <w:spacing w:after="0"/>
        <w:jc w:val="both"/>
        <w:rPr>
          <w:rFonts w:eastAsia="Calibri" w:asciiTheme="majorHAnsi" w:hAnsiTheme="majorHAnsi" w:cstheme="majorHAnsi"/>
        </w:rPr>
      </w:pPr>
      <w:hyperlink r:id="rId54">
        <w:r w:rsidRPr="000F4C13">
          <w:rPr>
            <w:rFonts w:eastAsia="Calibri" w:asciiTheme="majorHAnsi" w:hAnsiTheme="majorHAnsi" w:cstheme="majorHAnsi"/>
            <w:color w:val="467886"/>
            <w:u w:val="single"/>
          </w:rPr>
          <w:t>Affordable Homeowners Insurance Commission Report</w:t>
        </w:r>
      </w:hyperlink>
      <w:r w:rsidRPr="000F4C13">
        <w:rPr>
          <w:rFonts w:eastAsia="Calibri" w:asciiTheme="majorHAnsi" w:hAnsiTheme="majorHAnsi" w:cstheme="majorHAnsi"/>
          <w:b/>
          <w:bCs/>
        </w:rPr>
        <w:t xml:space="preserve">: </w:t>
      </w:r>
      <w:r w:rsidRPr="000F4C13">
        <w:rPr>
          <w:rFonts w:eastAsia="Calibri" w:asciiTheme="majorHAnsi" w:hAnsiTheme="majorHAnsi" w:cstheme="majorHAnsi"/>
        </w:rPr>
        <w:t>Governor Bentley created this commission to address the rising cost and limited availability of homeowners insurance, particularly in coastal areas vulnerable to storms. The commission produced a report with recommendations to address these issues. </w:t>
      </w:r>
    </w:p>
    <w:p w:rsidRPr="000F4C13" w:rsidR="00C96053" w:rsidRDefault="00C96053" w14:paraId="6613B0E6" w14:textId="77777777">
      <w:pPr>
        <w:spacing w:after="0"/>
        <w:jc w:val="both"/>
        <w:rPr>
          <w:rFonts w:eastAsia="Calibri" w:asciiTheme="majorHAnsi" w:hAnsiTheme="majorHAnsi" w:cstheme="majorHAnsi"/>
        </w:rPr>
      </w:pPr>
      <w:hyperlink r:id="rId55">
        <w:r w:rsidRPr="000F4C13">
          <w:rPr>
            <w:rFonts w:eastAsia="Calibri" w:asciiTheme="majorHAnsi" w:hAnsiTheme="majorHAnsi" w:cstheme="majorHAnsi"/>
            <w:color w:val="467886"/>
            <w:u w:val="single"/>
          </w:rPr>
          <w:t>Coastal Insurance Working Group Report</w:t>
        </w:r>
      </w:hyperlink>
      <w:r w:rsidRPr="000F4C13">
        <w:rPr>
          <w:rFonts w:eastAsia="Calibri" w:asciiTheme="majorHAnsi" w:hAnsiTheme="majorHAnsi" w:cstheme="majorHAnsi"/>
          <w:b/>
          <w:bCs/>
        </w:rPr>
        <w:t xml:space="preserve">: </w:t>
      </w:r>
      <w:r w:rsidRPr="000F4C13">
        <w:rPr>
          <w:rFonts w:eastAsia="Calibri" w:asciiTheme="majorHAnsi" w:hAnsiTheme="majorHAnsi" w:cstheme="majorHAnsi"/>
        </w:rPr>
        <w:t>This group, created by Governor Bentley, focused on public policy and multi-state approaches to address the cost of property insurance along Alabama's Gulf Coast. Their report includes potential solutions for lowering insurance costs by decreasing expected losses, expenses, and capital costs, according to the Alabama Department of Insurance</w:t>
      </w:r>
    </w:p>
    <w:p w:rsidRPr="000F4C13" w:rsidR="00C96053" w:rsidRDefault="00C96053" w14:paraId="1C766390" w14:textId="77777777">
      <w:pPr>
        <w:spacing w:after="0"/>
        <w:ind w:left="720"/>
        <w:jc w:val="both"/>
        <w:rPr>
          <w:rFonts w:eastAsia="Calibri" w:asciiTheme="majorHAnsi" w:hAnsiTheme="majorHAnsi" w:cstheme="majorHAnsi"/>
        </w:rPr>
      </w:pPr>
    </w:p>
    <w:p w:rsidRPr="000F4C13" w:rsidR="00C96053" w:rsidRDefault="00B2522B" w14:paraId="04D65665" w14:textId="77777777">
      <w:pPr>
        <w:pStyle w:val="Heading4"/>
        <w:spacing w:after="0"/>
        <w:rPr>
          <w:rFonts w:asciiTheme="majorHAnsi" w:hAnsiTheme="majorHAnsi" w:cstheme="majorHAnsi"/>
        </w:rPr>
      </w:pPr>
      <w:bookmarkStart w:name="_9gevgy9oezlu" w:colFirst="0" w:colLast="0" w:id="66"/>
      <w:bookmarkEnd w:id="66"/>
      <w:r w:rsidRPr="000F4C13">
        <w:rPr>
          <w:rFonts w:asciiTheme="majorHAnsi" w:hAnsiTheme="majorHAnsi" w:cstheme="majorHAnsi"/>
        </w:rPr>
        <w:t>Data Collection:</w:t>
      </w:r>
    </w:p>
    <w:p w:rsidRPr="000F4C13" w:rsidR="00C96053" w:rsidRDefault="004247D1" w14:paraId="2DBD1452" w14:textId="164430EC">
      <w:pPr>
        <w:spacing w:after="0"/>
        <w:jc w:val="both"/>
        <w:rPr>
          <w:rStyle w:val="Hyperlink"/>
          <w:rFonts w:eastAsia="Calibri" w:asciiTheme="majorHAnsi" w:hAnsiTheme="majorHAnsi" w:cstheme="majorHAnsi"/>
        </w:rPr>
      </w:pPr>
      <w:r w:rsidRPr="000F4C13">
        <w:rPr>
          <w:rFonts w:eastAsia="Calibri" w:asciiTheme="majorHAnsi" w:hAnsiTheme="majorHAnsi" w:cstheme="majorHAnsi"/>
        </w:rPr>
        <w:fldChar w:fldCharType="begin"/>
      </w:r>
      <w:r w:rsidRPr="000F4C13">
        <w:rPr>
          <w:rFonts w:eastAsia="Calibri" w:asciiTheme="majorHAnsi" w:hAnsiTheme="majorHAnsi" w:cstheme="majorHAnsi"/>
        </w:rPr>
        <w:instrText>HYPERLINK "C:\\Users\\AObersteadt\\AppData\\Local\\Microsoft\\Windows\\INetCache\\Content.Outlook\\Sally report\\Sally_Report_Final.pdf"</w:instrText>
      </w:r>
      <w:r w:rsidRPr="000F4C13">
        <w:rPr>
          <w:rFonts w:eastAsia="Calibri" w:asciiTheme="majorHAnsi" w:hAnsiTheme="majorHAnsi" w:cstheme="majorHAnsi"/>
        </w:rPr>
      </w:r>
      <w:r w:rsidRPr="000F4C13">
        <w:rPr>
          <w:rFonts w:eastAsia="Calibri" w:asciiTheme="majorHAnsi" w:hAnsiTheme="majorHAnsi" w:cstheme="majorHAnsi"/>
        </w:rPr>
        <w:fldChar w:fldCharType="separate"/>
      </w:r>
      <w:r w:rsidRPr="000F4C13" w:rsidR="00B2522B">
        <w:rPr>
          <w:rStyle w:val="Hyperlink"/>
          <w:rFonts w:eastAsia="Calibri" w:asciiTheme="majorHAnsi" w:hAnsiTheme="majorHAnsi" w:cstheme="majorHAnsi"/>
        </w:rPr>
        <w:t xml:space="preserve">Hurricane Sally data </w:t>
      </w:r>
      <w:r w:rsidRPr="000F4C13" w:rsidR="009A2401">
        <w:rPr>
          <w:rStyle w:val="Hyperlink"/>
          <w:rFonts w:eastAsia="Calibri" w:asciiTheme="majorHAnsi" w:hAnsiTheme="majorHAnsi" w:cstheme="majorHAnsi"/>
        </w:rPr>
        <w:t xml:space="preserve">report </w:t>
      </w:r>
    </w:p>
    <w:p w:rsidRPr="000F4C13" w:rsidR="00C96053" w:rsidRDefault="004247D1" w14:paraId="49C14709" w14:textId="43EBAAAC">
      <w:pPr>
        <w:spacing w:after="0"/>
        <w:jc w:val="both"/>
        <w:rPr>
          <w:rFonts w:eastAsia="Calibri" w:asciiTheme="majorHAnsi" w:hAnsiTheme="majorHAnsi" w:cstheme="majorHAnsi"/>
        </w:rPr>
      </w:pPr>
      <w:r w:rsidRPr="000F4C13">
        <w:rPr>
          <w:rFonts w:eastAsia="Calibri" w:asciiTheme="majorHAnsi" w:hAnsiTheme="majorHAnsi" w:cstheme="majorHAnsi"/>
        </w:rPr>
        <w:fldChar w:fldCharType="end"/>
      </w:r>
      <w:r w:rsidRPr="000F4C13" w:rsidR="00613348">
        <w:rPr>
          <w:rFonts w:eastAsia="Calibri" w:asciiTheme="majorHAnsi" w:hAnsiTheme="majorHAnsi" w:cstheme="majorHAnsi"/>
        </w:rPr>
        <w:t xml:space="preserve">The </w:t>
      </w:r>
      <w:r w:rsidRPr="000F4C13" w:rsidR="00B2522B">
        <w:rPr>
          <w:rFonts w:eastAsia="Calibri" w:asciiTheme="majorHAnsi" w:hAnsiTheme="majorHAnsi" w:cstheme="majorHAnsi"/>
        </w:rPr>
        <w:t>Property Insurance Clarity Act requires insurers to report annual data on homeowners' policies, premiums, and losses.</w:t>
      </w:r>
    </w:p>
    <w:p w:rsidRPr="000F4C13" w:rsidR="00C96053" w:rsidRDefault="00C96053" w14:paraId="16CEF56B" w14:textId="77777777">
      <w:pPr>
        <w:spacing w:after="0"/>
        <w:ind w:left="720"/>
        <w:jc w:val="both"/>
        <w:rPr>
          <w:rFonts w:eastAsia="Calibri" w:asciiTheme="majorHAnsi" w:hAnsiTheme="majorHAnsi" w:cstheme="majorHAnsi"/>
        </w:rPr>
      </w:pPr>
    </w:p>
    <w:p w:rsidRPr="000F4C13" w:rsidR="00C96053" w:rsidRDefault="00B2522B" w14:paraId="1CA9D8D9" w14:textId="77777777">
      <w:pPr>
        <w:pStyle w:val="Heading4"/>
        <w:spacing w:after="0"/>
        <w:rPr>
          <w:rFonts w:asciiTheme="majorHAnsi" w:hAnsiTheme="majorHAnsi" w:cstheme="majorHAnsi"/>
        </w:rPr>
      </w:pPr>
      <w:bookmarkStart w:name="_y5bkpwj84d2e" w:colFirst="0" w:colLast="0" w:id="67"/>
      <w:bookmarkEnd w:id="67"/>
      <w:r w:rsidRPr="000F4C13">
        <w:rPr>
          <w:rFonts w:asciiTheme="majorHAnsi" w:hAnsiTheme="majorHAnsi" w:cstheme="majorHAnsi"/>
        </w:rPr>
        <w:t xml:space="preserve">Strategy, Initiatives, &amp; Resources: </w:t>
      </w:r>
    </w:p>
    <w:p w:rsidRPr="000F4C13" w:rsidR="004C23C2" w:rsidRDefault="00B2522B" w14:paraId="2B5C80E8" w14:textId="2187E48B">
      <w:pPr>
        <w:spacing w:after="0" w:line="259" w:lineRule="auto"/>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56">
        <w:r w:rsidRPr="000F4C13" w:rsidR="00C96053">
          <w:rPr>
            <w:rFonts w:eastAsia="Calibri" w:asciiTheme="majorHAnsi" w:hAnsiTheme="majorHAnsi" w:cstheme="majorHAnsi"/>
            <w:color w:val="467886"/>
            <w:u w:val="single"/>
          </w:rPr>
          <w:t>Strengthen Alabama Homes</w:t>
        </w:r>
      </w:hyperlink>
      <w:r w:rsidRPr="000F4C13">
        <w:rPr>
          <w:rFonts w:eastAsia="Calibri" w:asciiTheme="majorHAnsi" w:hAnsiTheme="majorHAnsi" w:cstheme="majorHAnsi"/>
        </w:rPr>
        <w:t xml:space="preserve"> program (SAH) </w:t>
      </w:r>
      <w:r w:rsidRPr="000F4C13" w:rsidR="00C3184A">
        <w:rPr>
          <w:rFonts w:eastAsia="Calibri" w:asciiTheme="majorHAnsi" w:hAnsiTheme="majorHAnsi" w:cstheme="majorHAnsi"/>
        </w:rPr>
        <w:t>offers</w:t>
      </w:r>
      <w:r w:rsidRPr="000F4C13">
        <w:rPr>
          <w:rFonts w:eastAsia="Calibri" w:asciiTheme="majorHAnsi" w:hAnsiTheme="majorHAnsi" w:cstheme="majorHAnsi"/>
        </w:rPr>
        <w:t xml:space="preserve"> wind mitigation grants to homeowners, particularly in coastal areas, to help them retrofit their homes to meet the FORTIFIED™ standard. This initiative aims to protect properties from hurricane</w:t>
      </w:r>
      <w:r w:rsidRPr="000F4C13" w:rsidR="002040C3">
        <w:rPr>
          <w:rFonts w:eastAsia="Calibri" w:asciiTheme="majorHAnsi" w:hAnsiTheme="majorHAnsi" w:cstheme="majorHAnsi"/>
        </w:rPr>
        <w:t>s</w:t>
      </w:r>
      <w:r w:rsidRPr="000F4C13">
        <w:rPr>
          <w:rFonts w:eastAsia="Calibri" w:asciiTheme="majorHAnsi" w:hAnsiTheme="majorHAnsi" w:cstheme="majorHAnsi"/>
        </w:rPr>
        <w:t>, convective windstorms, and hail damage</w:t>
      </w:r>
      <w:r w:rsidRPr="000F4C13" w:rsidR="002040C3">
        <w:rPr>
          <w:rFonts w:eastAsia="Calibri" w:asciiTheme="majorHAnsi" w:hAnsiTheme="majorHAnsi" w:cstheme="majorHAnsi"/>
        </w:rPr>
        <w:t>,</w:t>
      </w:r>
      <w:r w:rsidRPr="000F4C13">
        <w:rPr>
          <w:rFonts w:eastAsia="Calibri" w:asciiTheme="majorHAnsi" w:hAnsiTheme="majorHAnsi" w:cstheme="majorHAnsi"/>
        </w:rPr>
        <w:t xml:space="preserve"> </w:t>
      </w:r>
      <w:r w:rsidRPr="000F4C13" w:rsidR="00094686">
        <w:rPr>
          <w:rFonts w:eastAsia="Calibri" w:asciiTheme="majorHAnsi" w:hAnsiTheme="majorHAnsi" w:cstheme="majorHAnsi"/>
        </w:rPr>
        <w:t xml:space="preserve">thereby reducing homeowners' insurance premiums </w:t>
      </w:r>
      <w:r w:rsidRPr="000F4C13">
        <w:rPr>
          <w:rFonts w:eastAsia="Calibri" w:asciiTheme="majorHAnsi" w:hAnsiTheme="majorHAnsi" w:cstheme="majorHAnsi"/>
        </w:rPr>
        <w:t xml:space="preserve">through legislation passed in 2012. SAH is quickly approaching 10,000 homes that have </w:t>
      </w:r>
      <w:r w:rsidRPr="000F4C13" w:rsidR="00491DA6">
        <w:rPr>
          <w:rFonts w:eastAsia="Calibri" w:asciiTheme="majorHAnsi" w:hAnsiTheme="majorHAnsi" w:cstheme="majorHAnsi"/>
        </w:rPr>
        <w:t>received roof mitigation, and $100 million has been</w:t>
      </w:r>
      <w:r w:rsidRPr="000F4C13">
        <w:rPr>
          <w:rFonts w:eastAsia="Calibri" w:asciiTheme="majorHAnsi" w:hAnsiTheme="majorHAnsi" w:cstheme="majorHAnsi"/>
        </w:rPr>
        <w:t xml:space="preserve"> invested in the program by the Alabama Department of Insurance.  The Hurricane Sally data call conducted by the Alabama Department of Insurance &amp; Center for Risk and Insurance Research validated the FORTIFIED program</w:t>
      </w:r>
      <w:r w:rsidRPr="000F4C13" w:rsidR="00C00B5B">
        <w:rPr>
          <w:rFonts w:eastAsia="Calibri" w:asciiTheme="majorHAnsi" w:hAnsiTheme="majorHAnsi" w:cstheme="majorHAnsi"/>
        </w:rPr>
        <w:t xml:space="preserve">, showing that it </w:t>
      </w:r>
      <w:r w:rsidRPr="000F4C13">
        <w:rPr>
          <w:rFonts w:eastAsia="Calibri" w:asciiTheme="majorHAnsi" w:hAnsiTheme="majorHAnsi" w:cstheme="majorHAnsi"/>
        </w:rPr>
        <w:t xml:space="preserve">reduced claims by 70% and claim severity by </w:t>
      </w:r>
      <w:r w:rsidRPr="000F4C13" w:rsidR="00CE61CF">
        <w:rPr>
          <w:rFonts w:eastAsia="Calibri" w:asciiTheme="majorHAnsi" w:hAnsiTheme="majorHAnsi" w:cstheme="majorHAnsi"/>
        </w:rPr>
        <w:t>up to</w:t>
      </w:r>
      <w:r w:rsidRPr="000F4C13">
        <w:rPr>
          <w:rFonts w:eastAsia="Calibri" w:asciiTheme="majorHAnsi" w:hAnsiTheme="majorHAnsi" w:cstheme="majorHAnsi"/>
        </w:rPr>
        <w:t xml:space="preserve"> 60%.   </w:t>
      </w:r>
    </w:p>
    <w:p w:rsidRPr="000F4C13" w:rsidR="008B12AE" w:rsidRDefault="008B12AE" w14:paraId="0A949CC7" w14:textId="77777777">
      <w:pPr>
        <w:spacing w:after="0" w:line="259" w:lineRule="auto"/>
        <w:jc w:val="both"/>
        <w:rPr>
          <w:rFonts w:eastAsia="Calibri" w:asciiTheme="majorHAnsi" w:hAnsiTheme="majorHAnsi" w:cstheme="majorHAnsi"/>
        </w:rPr>
      </w:pPr>
    </w:p>
    <w:p w:rsidRPr="000F4C13" w:rsidR="00C96053" w:rsidRDefault="00B2522B" w14:paraId="413DBAA0" w14:textId="75576675">
      <w:pPr>
        <w:spacing w:after="0" w:line="259" w:lineRule="auto"/>
        <w:jc w:val="both"/>
        <w:rPr>
          <w:rFonts w:eastAsia="Calibri" w:asciiTheme="majorHAnsi" w:hAnsiTheme="majorHAnsi" w:cstheme="majorHAnsi"/>
        </w:rPr>
      </w:pPr>
      <w:r w:rsidRPr="000F4C13">
        <w:rPr>
          <w:rFonts w:eastAsia="Calibri" w:asciiTheme="majorHAnsi" w:hAnsiTheme="majorHAnsi" w:cstheme="majorHAnsi"/>
        </w:rPr>
        <w:t xml:space="preserve">The Alabama Insurance Underwriting Association (AIUA) offers various mitigation incentives to </w:t>
      </w:r>
      <w:r w:rsidRPr="000F4C13" w:rsidR="00CE61CF">
        <w:rPr>
          <w:rFonts w:eastAsia="Calibri" w:asciiTheme="majorHAnsi" w:hAnsiTheme="majorHAnsi" w:cstheme="majorHAnsi"/>
        </w:rPr>
        <w:t xml:space="preserve">help homeowners and businesses </w:t>
      </w:r>
      <w:r w:rsidRPr="000F4C13">
        <w:rPr>
          <w:rFonts w:eastAsia="Calibri" w:asciiTheme="majorHAnsi" w:hAnsiTheme="majorHAnsi" w:cstheme="majorHAnsi"/>
        </w:rPr>
        <w:t>protect against wind damage. Key incentives available include wind mitigation discounts, which involve building codes and IBHS certifications, significantly reducing insurance premiums. Homes certified by the IBHS as Fortified for Safer Living receive a minimum of 40% insurance discount. Additionally, community enforcement discounts are available for homes certified for the IBHS mitigation program</w:t>
      </w:r>
      <w:r w:rsidRPr="000F4C13" w:rsidR="00CE61CF">
        <w:rPr>
          <w:rFonts w:eastAsia="Calibri" w:asciiTheme="majorHAnsi" w:hAnsiTheme="majorHAnsi" w:cstheme="majorHAnsi"/>
        </w:rPr>
        <w:t>,</w:t>
      </w:r>
      <w:r w:rsidRPr="000F4C13">
        <w:rPr>
          <w:rFonts w:eastAsia="Calibri" w:asciiTheme="majorHAnsi" w:hAnsiTheme="majorHAnsi" w:cstheme="majorHAnsi"/>
        </w:rPr>
        <w:t xml:space="preserve"> Fortified for Existing Homes. Homeowners can also qualify for insurance discounts by installing a FORTIFIED Roof™ or building a FORTIFIED Home™, with savings ranging from 20-55% off the wind portion of the property owner's insurance. These incentives are designed to help homeowners and businesses reduce their risk of wind damage and lower their insurance costs. It is important for individuals to stay informed about these programs and take advantage of the available discounts to protect their properties.</w:t>
      </w:r>
    </w:p>
    <w:p w:rsidRPr="000F4C13" w:rsidR="004C23C2" w:rsidRDefault="004C23C2" w14:paraId="3CE8B4A0" w14:textId="77777777">
      <w:pPr>
        <w:keepNext/>
        <w:keepLines/>
        <w:spacing w:after="0" w:line="276" w:lineRule="auto"/>
        <w:jc w:val="both"/>
        <w:rPr>
          <w:rFonts w:eastAsia="Calibri" w:asciiTheme="majorHAnsi" w:hAnsiTheme="majorHAnsi" w:cstheme="majorHAnsi"/>
        </w:rPr>
      </w:pPr>
    </w:p>
    <w:p w:rsidRPr="000F4C13" w:rsidR="00C96053" w:rsidP="00274EC8" w:rsidRDefault="00B2522B" w14:paraId="024B73C9" w14:textId="5779BCD3">
      <w:pPr>
        <w:widowControl w:val="0"/>
        <w:spacing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Mitigation grant programs such as </w:t>
      </w:r>
      <w:r w:rsidRPr="000F4C13" w:rsidR="004C23C2">
        <w:rPr>
          <w:rFonts w:eastAsia="Calibri" w:asciiTheme="majorHAnsi" w:hAnsiTheme="majorHAnsi" w:cstheme="majorHAnsi"/>
        </w:rPr>
        <w:t xml:space="preserve">Alabama’s </w:t>
      </w:r>
      <w:r w:rsidRPr="000F4C13">
        <w:rPr>
          <w:rFonts w:eastAsia="Calibri" w:asciiTheme="majorHAnsi" w:hAnsiTheme="majorHAnsi" w:cstheme="majorHAnsi"/>
        </w:rPr>
        <w:t xml:space="preserve">are </w:t>
      </w:r>
      <w:r w:rsidRPr="000F4C13" w:rsidR="00A206DF">
        <w:rPr>
          <w:rFonts w:eastAsia="Calibri" w:asciiTheme="majorHAnsi" w:hAnsiTheme="majorHAnsi" w:cstheme="majorHAnsi"/>
        </w:rPr>
        <w:t xml:space="preserve">increasing the adoption of mitigation practices </w:t>
      </w:r>
      <w:r w:rsidRPr="000F4C13">
        <w:rPr>
          <w:rFonts w:eastAsia="Calibri" w:asciiTheme="majorHAnsi" w:hAnsiTheme="majorHAnsi" w:cstheme="majorHAnsi"/>
        </w:rPr>
        <w:t>nationwide, even without code changes</w:t>
      </w:r>
      <w:r w:rsidRPr="000F4C13" w:rsidR="00822373">
        <w:rPr>
          <w:rFonts w:eastAsia="Calibri" w:asciiTheme="majorHAnsi" w:hAnsiTheme="majorHAnsi" w:cstheme="majorHAnsi"/>
        </w:rPr>
        <w:t>.</w:t>
      </w:r>
      <w:r w:rsidRPr="000F4C13" w:rsidR="00F377FD">
        <w:rPr>
          <w:rFonts w:eastAsia="Calibri" w:asciiTheme="majorHAnsi" w:hAnsiTheme="majorHAnsi" w:cstheme="majorHAnsi"/>
        </w:rPr>
        <w:t xml:space="preserve"> </w:t>
      </w:r>
      <w:r w:rsidRPr="000F4C13">
        <w:rPr>
          <w:rFonts w:eastAsia="Calibri" w:asciiTheme="majorHAnsi" w:hAnsiTheme="majorHAnsi" w:cstheme="majorHAnsi"/>
        </w:rPr>
        <w:t xml:space="preserve">Alabama’s building code adoption and Fortified program </w:t>
      </w:r>
      <w:r w:rsidRPr="000F4C13" w:rsidR="00E90AEC">
        <w:rPr>
          <w:rFonts w:eastAsia="Calibri" w:asciiTheme="majorHAnsi" w:hAnsiTheme="majorHAnsi" w:cstheme="majorHAnsi"/>
        </w:rPr>
        <w:t xml:space="preserve">have </w:t>
      </w:r>
      <w:r w:rsidRPr="000F4C13" w:rsidR="00A206DF">
        <w:rPr>
          <w:rFonts w:eastAsia="Calibri" w:asciiTheme="majorHAnsi" w:hAnsiTheme="majorHAnsi" w:cstheme="majorHAnsi"/>
        </w:rPr>
        <w:t xml:space="preserve">resulted in </w:t>
      </w:r>
      <w:r w:rsidRPr="000F4C13">
        <w:rPr>
          <w:rFonts w:eastAsia="Calibri" w:asciiTheme="majorHAnsi" w:hAnsiTheme="majorHAnsi" w:cstheme="majorHAnsi"/>
        </w:rPr>
        <w:t>25% of coastal homes now meeting Fortified or improved standards</w:t>
      </w:r>
      <w:r w:rsidRPr="000F4C13" w:rsidR="00274EC8">
        <w:rPr>
          <w:rFonts w:eastAsia="Calibri" w:asciiTheme="majorHAnsi" w:hAnsiTheme="majorHAnsi" w:cstheme="majorHAnsi"/>
        </w:rPr>
        <w:t>.</w:t>
      </w:r>
      <w:r w:rsidRPr="000F4C13">
        <w:rPr>
          <w:rFonts w:eastAsia="Calibri" w:asciiTheme="majorHAnsi" w:hAnsiTheme="majorHAnsi" w:cstheme="majorHAnsi"/>
        </w:rPr>
        <w:t xml:space="preserve"> </w:t>
      </w:r>
      <w:r w:rsidRPr="000F4C13" w:rsidR="00951759">
        <w:rPr>
          <w:rFonts w:eastAsia="Calibri" w:asciiTheme="majorHAnsi" w:hAnsiTheme="majorHAnsi" w:cstheme="majorHAnsi"/>
        </w:rPr>
        <w:t>The following is a summary of the FORTIFIED program</w:t>
      </w:r>
      <w:r w:rsidRPr="000F4C13" w:rsidR="00E3203E">
        <w:rPr>
          <w:rFonts w:eastAsia="Calibri" w:asciiTheme="majorHAnsi" w:hAnsiTheme="majorHAnsi" w:cstheme="majorHAnsi"/>
        </w:rPr>
        <w:t>:</w:t>
      </w:r>
    </w:p>
    <w:p w:rsidRPr="000F4C13" w:rsidR="00793CA5" w:rsidP="0057045C" w:rsidRDefault="00C96053" w14:paraId="7F885949" w14:textId="29274FBF">
      <w:pPr>
        <w:pStyle w:val="ListParagraph"/>
        <w:keepNext/>
        <w:keepLines/>
        <w:numPr>
          <w:ilvl w:val="0"/>
          <w:numId w:val="36"/>
        </w:numPr>
        <w:spacing w:after="0" w:line="276" w:lineRule="auto"/>
        <w:jc w:val="both"/>
        <w:rPr>
          <w:rFonts w:eastAsia="Calibri" w:asciiTheme="majorHAnsi" w:hAnsiTheme="majorHAnsi" w:cstheme="majorHAnsi"/>
        </w:rPr>
      </w:pPr>
      <w:hyperlink r:id="rId57">
        <w:r w:rsidRPr="000F4C13">
          <w:rPr>
            <w:rFonts w:eastAsia="Calibri" w:asciiTheme="majorHAnsi" w:hAnsiTheme="majorHAnsi" w:cstheme="majorHAnsi"/>
            <w:color w:val="467886"/>
            <w:u w:val="single"/>
          </w:rPr>
          <w:t>Premium Discounts-FORTIFIED</w:t>
        </w:r>
      </w:hyperlink>
    </w:p>
    <w:p w:rsidRPr="000F4C13" w:rsidR="00C96053" w:rsidP="0057045C" w:rsidRDefault="00B2522B" w14:paraId="20410E5E" w14:textId="77777777">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FORTIFIED Roof: 25–35% discount on the wind portion of the premium.</w:t>
      </w:r>
    </w:p>
    <w:p w:rsidRPr="000F4C13" w:rsidR="00C96053" w:rsidP="0057045C" w:rsidRDefault="00B2522B" w14:paraId="7AD0FE44" w14:textId="77777777">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FORTIFIED Silver: 35–45% discount.</w:t>
      </w:r>
    </w:p>
    <w:p w:rsidRPr="000F4C13" w:rsidR="00C96053" w:rsidP="0057045C" w:rsidRDefault="00B2522B" w14:paraId="3EB779E7" w14:textId="77777777">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FORTIFIED Gold: 45–55% discount.</w:t>
      </w:r>
    </w:p>
    <w:p w:rsidRPr="000F4C13" w:rsidR="00C96053" w:rsidP="0057045C" w:rsidRDefault="00B2522B" w14:paraId="1FCC6EDB" w14:textId="77777777">
      <w:pPr>
        <w:pStyle w:val="ListParagraph"/>
        <w:keepNext/>
        <w:keepLines/>
        <w:numPr>
          <w:ilvl w:val="0"/>
          <w:numId w:val="36"/>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Tax incentive for home mitigation</w:t>
      </w:r>
    </w:p>
    <w:p w:rsidRPr="000F4C13" w:rsidR="00C96053" w:rsidP="0057045C" w:rsidRDefault="00B2522B" w14:paraId="00C59C88" w14:textId="77777777">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Retrofit Tax Deduction</w:t>
      </w:r>
    </w:p>
    <w:p w:rsidRPr="000F4C13" w:rsidR="00C96053" w:rsidP="0057045C" w:rsidRDefault="00B2522B" w14:paraId="3812C022" w14:textId="77777777">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Catastrophe Savings Accounts</w:t>
      </w:r>
    </w:p>
    <w:p w:rsidRPr="000F4C13" w:rsidR="00C96053" w:rsidRDefault="00C96053" w14:paraId="4261B111" w14:textId="77777777">
      <w:pPr>
        <w:keepNext/>
        <w:keepLines/>
        <w:spacing w:after="0" w:line="276" w:lineRule="auto"/>
        <w:ind w:left="1440"/>
        <w:jc w:val="both"/>
        <w:rPr>
          <w:rFonts w:eastAsia="Calibri" w:asciiTheme="majorHAnsi" w:hAnsiTheme="majorHAnsi" w:cstheme="majorHAnsi"/>
        </w:rPr>
      </w:pPr>
    </w:p>
    <w:p w:rsidRPr="000F4C13" w:rsidR="00C96053" w:rsidRDefault="00B2522B" w14:paraId="38D2C0E1" w14:textId="77777777">
      <w:pPr>
        <w:pStyle w:val="Heading4"/>
        <w:spacing w:after="0"/>
        <w:rPr>
          <w:rFonts w:asciiTheme="majorHAnsi" w:hAnsiTheme="majorHAnsi" w:cstheme="majorHAnsi"/>
        </w:rPr>
      </w:pPr>
      <w:bookmarkStart w:name="_677wqtpcvkwb" w:colFirst="0" w:colLast="0" w:id="68"/>
      <w:bookmarkEnd w:id="68"/>
      <w:r w:rsidRPr="000F4C13">
        <w:rPr>
          <w:rFonts w:asciiTheme="majorHAnsi" w:hAnsiTheme="majorHAnsi" w:cstheme="majorHAnsi"/>
        </w:rPr>
        <w:t xml:space="preserve">Consumer Outreach and Educational Materials: </w:t>
      </w:r>
    </w:p>
    <w:p w:rsidRPr="000F4C13" w:rsidR="002B77C0" w:rsidRDefault="002B77C0" w14:paraId="1C602E82" w14:textId="7F75D863">
      <w:pPr>
        <w:spacing w:after="0"/>
        <w:jc w:val="both"/>
        <w:rPr>
          <w:rFonts w:asciiTheme="majorHAnsi" w:hAnsiTheme="majorHAnsi" w:cstheme="majorHAnsi"/>
        </w:rPr>
      </w:pPr>
      <w:r w:rsidRPr="000F4C13">
        <w:rPr>
          <w:rFonts w:asciiTheme="majorHAnsi" w:hAnsiTheme="majorHAnsi" w:cstheme="majorHAnsi"/>
        </w:rPr>
        <w:t xml:space="preserve">Consumer outreach activities </w:t>
      </w:r>
      <w:r w:rsidRPr="000F4C13" w:rsidR="00AF7CFD">
        <w:rPr>
          <w:rFonts w:asciiTheme="majorHAnsi" w:hAnsiTheme="majorHAnsi" w:cstheme="majorHAnsi"/>
        </w:rPr>
        <w:t xml:space="preserve">and educational materials </w:t>
      </w:r>
      <w:r w:rsidRPr="000F4C13">
        <w:rPr>
          <w:rFonts w:asciiTheme="majorHAnsi" w:hAnsiTheme="majorHAnsi" w:cstheme="majorHAnsi"/>
        </w:rPr>
        <w:t>include:</w:t>
      </w:r>
    </w:p>
    <w:p w:rsidRPr="000F4C13" w:rsidR="00C96053" w:rsidP="0057045C" w:rsidRDefault="00C96053" w14:paraId="083E3A34" w14:textId="6D5621EB">
      <w:pPr>
        <w:pStyle w:val="ListParagraph"/>
        <w:numPr>
          <w:ilvl w:val="0"/>
          <w:numId w:val="36"/>
        </w:numPr>
        <w:spacing w:after="0"/>
        <w:jc w:val="both"/>
        <w:rPr>
          <w:rFonts w:eastAsia="Calibri" w:asciiTheme="majorHAnsi" w:hAnsiTheme="majorHAnsi" w:cstheme="majorHAnsi"/>
          <w:b/>
          <w:bCs/>
        </w:rPr>
      </w:pPr>
      <w:hyperlink r:id="rId58">
        <w:r w:rsidRPr="000F4C13">
          <w:rPr>
            <w:rFonts w:eastAsia="Calibri" w:asciiTheme="majorHAnsi" w:hAnsiTheme="majorHAnsi" w:cstheme="majorHAnsi"/>
            <w:color w:val="467886"/>
            <w:u w:val="single"/>
          </w:rPr>
          <w:t>County Safe Rooms</w:t>
        </w:r>
      </w:hyperlink>
    </w:p>
    <w:p w:rsidRPr="000F4C13" w:rsidR="00C96053" w:rsidP="0057045C" w:rsidRDefault="00B2522B" w14:paraId="564B94C9" w14:textId="77777777">
      <w:pPr>
        <w:pStyle w:val="ListParagraph"/>
        <w:numPr>
          <w:ilvl w:val="0"/>
          <w:numId w:val="36"/>
        </w:numPr>
        <w:spacing w:after="0"/>
        <w:jc w:val="both"/>
        <w:rPr>
          <w:rFonts w:eastAsia="Calibri" w:asciiTheme="majorHAnsi" w:hAnsiTheme="majorHAnsi" w:cstheme="majorHAnsi"/>
          <w:b/>
          <w:bCs/>
        </w:rPr>
      </w:pPr>
      <w:r w:rsidRPr="000F4C13">
        <w:rPr>
          <w:rFonts w:eastAsia="Calibri" w:asciiTheme="majorHAnsi" w:hAnsiTheme="majorHAnsi" w:cstheme="majorHAnsi"/>
        </w:rPr>
        <w:t>Speaking to community and consumer groups throughout the state.</w:t>
      </w:r>
    </w:p>
    <w:p w:rsidRPr="000F4C13" w:rsidR="00C96053" w:rsidP="0057045C" w:rsidRDefault="00B2522B" w14:paraId="2C97D031" w14:textId="386CE299">
      <w:pPr>
        <w:pStyle w:val="ListParagraph"/>
        <w:numPr>
          <w:ilvl w:val="0"/>
          <w:numId w:val="36"/>
        </w:numPr>
        <w:spacing w:after="0"/>
        <w:jc w:val="both"/>
        <w:rPr>
          <w:rFonts w:eastAsia="Calibri" w:asciiTheme="majorHAnsi" w:hAnsiTheme="majorHAnsi" w:cstheme="majorHAnsi"/>
          <w:b/>
          <w:bCs/>
        </w:rPr>
      </w:pPr>
      <w:r w:rsidRPr="000F4C13">
        <w:rPr>
          <w:rFonts w:eastAsia="Calibri" w:asciiTheme="majorHAnsi" w:hAnsiTheme="majorHAnsi" w:cstheme="majorHAnsi"/>
        </w:rPr>
        <w:t>After major storms, deploy</w:t>
      </w:r>
      <w:r w:rsidRPr="000F4C13" w:rsidR="00EC0CC0">
        <w:rPr>
          <w:rFonts w:eastAsia="Calibri" w:asciiTheme="majorHAnsi" w:hAnsiTheme="majorHAnsi" w:cstheme="majorHAnsi"/>
        </w:rPr>
        <w:t>ing</w:t>
      </w:r>
      <w:r w:rsidRPr="000F4C13">
        <w:rPr>
          <w:rFonts w:eastAsia="Calibri" w:asciiTheme="majorHAnsi" w:hAnsiTheme="majorHAnsi" w:cstheme="majorHAnsi"/>
        </w:rPr>
        <w:t xml:space="preserve"> staff to Disaster Recovery Centers to assist Alabamians with insurance issues.</w:t>
      </w:r>
    </w:p>
    <w:p w:rsidRPr="000F4C13" w:rsidR="00C96053" w:rsidP="0057045C" w:rsidRDefault="00B2522B" w14:paraId="571AB43A" w14:textId="16708D3A">
      <w:pPr>
        <w:pStyle w:val="ListParagraph"/>
        <w:numPr>
          <w:ilvl w:val="0"/>
          <w:numId w:val="36"/>
        </w:numPr>
        <w:spacing w:after="0"/>
        <w:jc w:val="both"/>
        <w:rPr>
          <w:rFonts w:eastAsia="Calibri" w:asciiTheme="majorHAnsi" w:hAnsiTheme="majorHAnsi" w:cstheme="majorHAnsi"/>
          <w:b/>
          <w:bCs/>
        </w:rPr>
      </w:pPr>
      <w:r w:rsidRPr="000F4C13">
        <w:rPr>
          <w:rFonts w:eastAsia="Calibri" w:asciiTheme="majorHAnsi" w:hAnsiTheme="majorHAnsi" w:cstheme="majorHAnsi"/>
        </w:rPr>
        <w:t>Distribut</w:t>
      </w:r>
      <w:r w:rsidRPr="000F4C13" w:rsidR="00EC0CC0">
        <w:rPr>
          <w:rFonts w:eastAsia="Calibri" w:asciiTheme="majorHAnsi" w:hAnsiTheme="majorHAnsi" w:cstheme="majorHAnsi"/>
        </w:rPr>
        <w:t>ing</w:t>
      </w:r>
      <w:r w:rsidRPr="000F4C13">
        <w:rPr>
          <w:rFonts w:eastAsia="Calibri" w:asciiTheme="majorHAnsi" w:hAnsiTheme="majorHAnsi" w:cstheme="majorHAnsi"/>
        </w:rPr>
        <w:t xml:space="preserve"> thousands of information packets at events like the Alabama National Fair.</w:t>
      </w:r>
    </w:p>
    <w:p w:rsidRPr="000F4C13" w:rsidR="00C96053" w:rsidP="0057045C" w:rsidRDefault="00B2522B" w14:paraId="3680F966" w14:textId="76E6A290">
      <w:pPr>
        <w:pStyle w:val="ListParagraph"/>
        <w:numPr>
          <w:ilvl w:val="0"/>
          <w:numId w:val="36"/>
        </w:numPr>
        <w:spacing w:after="0"/>
        <w:jc w:val="both"/>
        <w:rPr>
          <w:rFonts w:eastAsia="Calibri" w:asciiTheme="majorHAnsi" w:hAnsiTheme="majorHAnsi" w:cstheme="majorHAnsi"/>
          <w:b/>
          <w:bCs/>
        </w:rPr>
      </w:pPr>
      <w:r w:rsidRPr="000F4C13">
        <w:rPr>
          <w:rFonts w:eastAsia="Calibri" w:asciiTheme="majorHAnsi" w:hAnsiTheme="majorHAnsi" w:cstheme="majorHAnsi"/>
        </w:rPr>
        <w:t>Offer</w:t>
      </w:r>
      <w:r w:rsidRPr="000F4C13" w:rsidR="00EC0CC0">
        <w:rPr>
          <w:rFonts w:eastAsia="Calibri" w:asciiTheme="majorHAnsi" w:hAnsiTheme="majorHAnsi" w:cstheme="majorHAnsi"/>
        </w:rPr>
        <w:t>ing</w:t>
      </w:r>
      <w:r w:rsidRPr="000F4C13">
        <w:rPr>
          <w:rFonts w:eastAsia="Calibri" w:asciiTheme="majorHAnsi" w:hAnsiTheme="majorHAnsi" w:cstheme="majorHAnsi"/>
        </w:rPr>
        <w:t xml:space="preserve"> a "Consumer's Guide to Homeowners Insurance" </w:t>
      </w:r>
    </w:p>
    <w:p w:rsidRPr="000F4C13" w:rsidR="00C96053" w:rsidP="0057045C" w:rsidRDefault="00AF7CFD" w14:paraId="0CECA037" w14:textId="08F76CDF">
      <w:pPr>
        <w:pStyle w:val="ListParagraph"/>
        <w:numPr>
          <w:ilvl w:val="0"/>
          <w:numId w:val="36"/>
        </w:num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Offering </w:t>
      </w:r>
      <w:r w:rsidRPr="000F4C13" w:rsidR="00B2522B">
        <w:rPr>
          <w:rFonts w:eastAsia="Calibri" w:asciiTheme="majorHAnsi" w:hAnsiTheme="majorHAnsi" w:cstheme="majorHAnsi"/>
        </w:rPr>
        <w:t>tools to compare homeowners insurance premiums from different companies</w:t>
      </w:r>
      <w:r w:rsidRPr="000F4C13">
        <w:rPr>
          <w:rFonts w:eastAsia="Calibri" w:asciiTheme="majorHAnsi" w:hAnsiTheme="majorHAnsi" w:cstheme="majorHAnsi"/>
        </w:rPr>
        <w:t xml:space="preserve"> on the Department’s website</w:t>
      </w:r>
      <w:r w:rsidRPr="000F4C13" w:rsidR="00B2522B">
        <w:rPr>
          <w:rFonts w:eastAsia="Calibri" w:asciiTheme="majorHAnsi" w:hAnsiTheme="majorHAnsi" w:cstheme="majorHAnsi"/>
        </w:rPr>
        <w:t>.</w:t>
      </w:r>
    </w:p>
    <w:p w:rsidRPr="000F4C13" w:rsidR="00EA75FC" w:rsidRDefault="00EA75FC" w14:paraId="298F9DC3" w14:textId="77777777">
      <w:pPr>
        <w:pStyle w:val="Heading4"/>
        <w:spacing w:after="0"/>
        <w:rPr>
          <w:rFonts w:asciiTheme="majorHAnsi" w:hAnsiTheme="majorHAnsi" w:cstheme="majorHAnsi"/>
        </w:rPr>
      </w:pPr>
      <w:bookmarkStart w:name="_v4erzyf2pk79" w:colFirst="0" w:colLast="0" w:id="69"/>
      <w:bookmarkEnd w:id="69"/>
    </w:p>
    <w:p w:rsidRPr="000F4C13" w:rsidR="00C96053" w:rsidRDefault="00B2522B" w14:paraId="6CCB0F81" w14:textId="120A208E">
      <w:pPr>
        <w:pStyle w:val="Heading4"/>
        <w:spacing w:after="0"/>
        <w:rPr>
          <w:rFonts w:asciiTheme="majorHAnsi" w:hAnsiTheme="majorHAnsi" w:cstheme="majorHAnsi"/>
        </w:rPr>
      </w:pPr>
      <w:r w:rsidRPr="000F4C13">
        <w:rPr>
          <w:rFonts w:asciiTheme="majorHAnsi" w:hAnsiTheme="majorHAnsi" w:cstheme="majorHAnsi"/>
        </w:rPr>
        <w:t xml:space="preserve">Partnerships: </w:t>
      </w:r>
    </w:p>
    <w:p w:rsidRPr="000F4C13" w:rsidR="00C96053" w:rsidP="0057045C" w:rsidRDefault="00C96053" w14:paraId="451ECA8A" w14:textId="77777777">
      <w:pPr>
        <w:pStyle w:val="ListParagraph"/>
        <w:keepNext/>
        <w:keepLines/>
        <w:numPr>
          <w:ilvl w:val="0"/>
          <w:numId w:val="38"/>
        </w:numPr>
        <w:spacing w:after="0" w:line="276" w:lineRule="auto"/>
        <w:jc w:val="both"/>
        <w:rPr>
          <w:rFonts w:eastAsia="Calibri" w:asciiTheme="majorHAnsi" w:hAnsiTheme="majorHAnsi" w:cstheme="majorHAnsi"/>
        </w:rPr>
      </w:pPr>
      <w:hyperlink r:id="rId59">
        <w:r w:rsidRPr="000F4C13">
          <w:rPr>
            <w:rFonts w:eastAsia="Calibri" w:asciiTheme="majorHAnsi" w:hAnsiTheme="majorHAnsi" w:cstheme="majorHAnsi"/>
            <w:color w:val="467886"/>
            <w:u w:val="single"/>
          </w:rPr>
          <w:t>Alabama Insurance Underwriting Association</w:t>
        </w:r>
      </w:hyperlink>
    </w:p>
    <w:p w:rsidRPr="000F4C13" w:rsidR="00C96053" w:rsidP="0057045C" w:rsidRDefault="00B2522B" w14:paraId="494CE194" w14:textId="77777777">
      <w:pPr>
        <w:pStyle w:val="ListParagraph"/>
        <w:keepNext/>
        <w:keepLines/>
        <w:numPr>
          <w:ilvl w:val="0"/>
          <w:numId w:val="38"/>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60">
        <w:r w:rsidRPr="000F4C13" w:rsidR="00C96053">
          <w:rPr>
            <w:rFonts w:eastAsia="Calibri" w:asciiTheme="majorHAnsi" w:hAnsiTheme="majorHAnsi" w:cstheme="majorHAnsi"/>
            <w:color w:val="467886"/>
            <w:u w:val="single"/>
          </w:rPr>
          <w:t>Hurricane Insurance Issues Task Force</w:t>
        </w:r>
      </w:hyperlink>
      <w:r w:rsidRPr="000F4C13">
        <w:rPr>
          <w:rFonts w:eastAsia="Calibri" w:asciiTheme="majorHAnsi" w:hAnsiTheme="majorHAnsi" w:cstheme="majorHAnsi"/>
        </w:rPr>
        <w:t xml:space="preserve"> discussed during its April 20, 2025, meeting creating an insurance referral service for homeowners in challenging coastal coverage areas</w:t>
      </w:r>
    </w:p>
    <w:p w:rsidRPr="000F4C13" w:rsidR="00C96053" w:rsidRDefault="0035069D" w14:paraId="5AEDC29F" w14:textId="77777777">
      <w:pPr>
        <w:jc w:val="both"/>
        <w:rPr>
          <w:rFonts w:eastAsia="Calibri" w:asciiTheme="majorHAnsi" w:hAnsiTheme="majorHAnsi" w:cstheme="majorHAnsi"/>
        </w:rPr>
      </w:pPr>
      <w:r>
        <w:rPr>
          <w:rFonts w:asciiTheme="majorHAnsi" w:hAnsiTheme="majorHAnsi" w:cstheme="majorHAnsi"/>
        </w:rPr>
        <w:pict w14:anchorId="187CED7D">
          <v:rect id="_x0000_i1031" style="width:0;height:1.5pt" o:bullet="t" o:hr="t" o:hrstd="t" o:hralign="center" fillcolor="#a0a0a0" stroked="f"/>
        </w:pict>
      </w:r>
    </w:p>
    <w:p w:rsidRPr="000F4C13" w:rsidR="00A331E6" w:rsidRDefault="00A331E6" w14:paraId="2BAFA41C" w14:textId="77777777">
      <w:pPr>
        <w:pStyle w:val="Heading2"/>
        <w:rPr>
          <w:rFonts w:asciiTheme="majorHAnsi" w:hAnsiTheme="majorHAnsi" w:cstheme="majorHAnsi"/>
          <w:sz w:val="24"/>
          <w:szCs w:val="24"/>
        </w:rPr>
      </w:pPr>
      <w:bookmarkStart w:name="_u3akjedrv2ni" w:colFirst="0" w:colLast="0" w:id="70"/>
      <w:bookmarkEnd w:id="70"/>
    </w:p>
    <w:p w:rsidRPr="000F4C13" w:rsidR="00681E31" w:rsidP="00681E31" w:rsidRDefault="00681E31" w14:paraId="538631A3" w14:textId="77777777">
      <w:pPr>
        <w:rPr>
          <w:rFonts w:asciiTheme="majorHAnsi" w:hAnsiTheme="majorHAnsi" w:cstheme="majorHAnsi"/>
        </w:rPr>
      </w:pPr>
    </w:p>
    <w:p w:rsidRPr="000F4C13" w:rsidR="00F80912" w:rsidP="00F80912" w:rsidRDefault="00F80912" w14:paraId="4D61CD44" w14:textId="77777777">
      <w:pPr>
        <w:rPr>
          <w:rFonts w:asciiTheme="majorHAnsi" w:hAnsiTheme="majorHAnsi" w:cstheme="majorHAnsi"/>
        </w:rPr>
      </w:pPr>
    </w:p>
    <w:p w:rsidRPr="000F4C13" w:rsidR="00F80912" w:rsidP="00F80912" w:rsidRDefault="00F80912" w14:paraId="2674CE2C" w14:textId="77777777">
      <w:pPr>
        <w:rPr>
          <w:rFonts w:asciiTheme="majorHAnsi" w:hAnsiTheme="majorHAnsi" w:cstheme="majorHAnsi"/>
        </w:rPr>
      </w:pPr>
    </w:p>
    <w:p w:rsidRPr="000F4C13" w:rsidR="00C96053" w:rsidRDefault="00B2522B" w14:paraId="6E503EC0" w14:textId="35C3636D">
      <w:pPr>
        <w:pStyle w:val="Heading2"/>
        <w:rPr>
          <w:rFonts w:asciiTheme="majorHAnsi" w:hAnsiTheme="majorHAnsi" w:cstheme="majorHAnsi"/>
        </w:rPr>
      </w:pPr>
      <w:r w:rsidRPr="000F4C13">
        <w:rPr>
          <w:rFonts w:asciiTheme="majorHAnsi" w:hAnsiTheme="majorHAnsi" w:cstheme="majorHAnsi"/>
        </w:rPr>
        <w:t>Severe Convective Storms, Tornadoes, Hail, and Wind—Alabama, Oklahoma, Minnesota, Mississippi, and Wyoming</w:t>
      </w:r>
    </w:p>
    <w:p w:rsidRPr="000F4C13" w:rsidR="00C96053" w:rsidRDefault="004A141F" w14:paraId="178448A9" w14:textId="2F391E33">
      <w:pPr>
        <w:pStyle w:val="Heading3"/>
        <w:rPr>
          <w:rFonts w:asciiTheme="majorHAnsi" w:hAnsiTheme="majorHAnsi" w:cstheme="majorHAnsi"/>
        </w:rPr>
      </w:pPr>
      <w:bookmarkStart w:name="_vfly6eg2kevk" w:colFirst="0" w:colLast="0" w:id="71"/>
      <w:bookmarkEnd w:id="71"/>
      <w:r w:rsidRPr="000F4C13">
        <w:rPr>
          <w:rFonts w:asciiTheme="majorHAnsi" w:hAnsiTheme="majorHAnsi" w:cstheme="majorHAnsi"/>
        </w:rPr>
        <w:t>Overview</w:t>
      </w:r>
    </w:p>
    <w:p w:rsidRPr="000F4C13" w:rsidR="00C96053" w:rsidRDefault="00B2522B" w14:paraId="48E42714" w14:textId="1F86B212">
      <w:pPr>
        <w:spacing w:after="0"/>
        <w:jc w:val="both"/>
        <w:rPr>
          <w:rFonts w:eastAsia="Calibri" w:asciiTheme="majorHAnsi" w:hAnsiTheme="majorHAnsi" w:cstheme="majorHAnsi"/>
        </w:rPr>
      </w:pPr>
      <w:r w:rsidRPr="000F4C13">
        <w:rPr>
          <w:rFonts w:eastAsia="Calibri" w:asciiTheme="majorHAnsi" w:hAnsiTheme="majorHAnsi" w:cstheme="majorHAnsi"/>
        </w:rPr>
        <w:t>Severe convective storms</w:t>
      </w:r>
      <w:r w:rsidRPr="000F4C13" w:rsidR="004A141F">
        <w:rPr>
          <w:rFonts w:eastAsia="Calibri" w:asciiTheme="majorHAnsi" w:hAnsiTheme="majorHAnsi" w:cstheme="majorHAnsi"/>
        </w:rPr>
        <w:t xml:space="preserve">, </w:t>
      </w:r>
      <w:r w:rsidRPr="000F4C13">
        <w:rPr>
          <w:rFonts w:eastAsia="Calibri" w:asciiTheme="majorHAnsi" w:hAnsiTheme="majorHAnsi" w:cstheme="majorHAnsi"/>
        </w:rPr>
        <w:t>including tornadoes, hail, and damaging winds</w:t>
      </w:r>
      <w:r w:rsidRPr="000F4C13" w:rsidR="004A141F">
        <w:rPr>
          <w:rFonts w:eastAsia="Calibri" w:asciiTheme="majorHAnsi" w:hAnsiTheme="majorHAnsi" w:cstheme="majorHAnsi"/>
        </w:rPr>
        <w:t xml:space="preserve">, </w:t>
      </w:r>
      <w:r w:rsidRPr="000F4C13">
        <w:rPr>
          <w:rFonts w:eastAsia="Calibri" w:asciiTheme="majorHAnsi" w:hAnsiTheme="majorHAnsi" w:cstheme="majorHAnsi"/>
        </w:rPr>
        <w:t>are becoming increasingly frequent and intense across the Southeast, Upper Midwest, Midwest, and Western United States. Recent years have seen a notable shift in storm patterns, with tornado activity migrating eastward into the Southeast, resulting in more severe impacts in regions less historically prepared for such events. The Midwest and Upper Midwest are experiencing more frequent convective outbreaks, larger hail events, and higher wind losses, while the Western states face growing risks from high winds and hail, compounded by the threat of wildfires. These evolving weather trends are driving significant increases in insured losses, prompting insurers to raise premiums, tighten underwriting standards, and, in some cases, reduce coverage or exit high-risk markets. As a result, homeowners and businesses across these regions are facing higher costs and greater challenges in securing adequate insurance protection, underscoring the urgent need for adaptive risk management and resilience strategies.</w:t>
      </w:r>
      <w:r w:rsidRPr="000F4C13" w:rsidR="00FA66C5">
        <w:rPr>
          <w:rFonts w:eastAsia="Calibri" w:asciiTheme="majorHAnsi" w:hAnsiTheme="majorHAnsi" w:cstheme="majorHAnsi"/>
        </w:rPr>
        <w:t xml:space="preserve"> </w:t>
      </w:r>
      <w:r w:rsidRPr="000F4C13" w:rsidR="00225AC3">
        <w:rPr>
          <w:rFonts w:eastAsia="Calibri" w:asciiTheme="majorHAnsi" w:hAnsiTheme="majorHAnsi" w:cstheme="majorHAnsi"/>
        </w:rPr>
        <w:t xml:space="preserve">This section provides an overview of the tools and strategies Alabama, Oklahoma, Minnesota, Mississippi, and Wyoming use to </w:t>
      </w:r>
      <w:r w:rsidRPr="000F4C13" w:rsidR="00262867">
        <w:rPr>
          <w:rFonts w:eastAsia="Calibri" w:asciiTheme="majorHAnsi" w:hAnsiTheme="majorHAnsi" w:cstheme="majorHAnsi"/>
        </w:rPr>
        <w:t>manage</w:t>
      </w:r>
      <w:r w:rsidRPr="000F4C13" w:rsidR="00225AC3">
        <w:rPr>
          <w:rFonts w:eastAsia="Calibri" w:asciiTheme="majorHAnsi" w:hAnsiTheme="majorHAnsi" w:cstheme="majorHAnsi"/>
        </w:rPr>
        <w:t xml:space="preserve"> these risks </w:t>
      </w:r>
      <w:r w:rsidRPr="000F4C13" w:rsidR="00262867">
        <w:rPr>
          <w:rFonts w:eastAsia="Calibri" w:asciiTheme="majorHAnsi" w:hAnsiTheme="majorHAnsi" w:cstheme="majorHAnsi"/>
        </w:rPr>
        <w:t>within</w:t>
      </w:r>
      <w:r w:rsidRPr="000F4C13" w:rsidR="00225AC3">
        <w:rPr>
          <w:rFonts w:eastAsia="Calibri" w:asciiTheme="majorHAnsi" w:hAnsiTheme="majorHAnsi" w:cstheme="majorHAnsi"/>
        </w:rPr>
        <w:t xml:space="preserve"> their states. </w:t>
      </w:r>
    </w:p>
    <w:p w:rsidRPr="000F4C13" w:rsidR="00C96053" w:rsidRDefault="00C96053" w14:paraId="73BC0021" w14:textId="77777777">
      <w:pPr>
        <w:spacing w:after="0"/>
        <w:jc w:val="both"/>
        <w:rPr>
          <w:rFonts w:eastAsia="Calibri" w:asciiTheme="majorHAnsi" w:hAnsiTheme="majorHAnsi" w:cstheme="majorHAnsi"/>
          <w:b/>
          <w:bCs/>
        </w:rPr>
      </w:pPr>
    </w:p>
    <w:p w:rsidRPr="000F4C13" w:rsidR="00C96053" w:rsidRDefault="00B2522B" w14:paraId="0E5DF857" w14:textId="77777777">
      <w:pPr>
        <w:pStyle w:val="Heading3"/>
        <w:spacing w:after="0"/>
        <w:rPr>
          <w:rFonts w:asciiTheme="majorHAnsi" w:hAnsiTheme="majorHAnsi" w:cstheme="majorHAnsi"/>
        </w:rPr>
      </w:pPr>
      <w:bookmarkStart w:name="_vfgqs4861ayb" w:colFirst="0" w:colLast="0" w:id="72"/>
      <w:bookmarkEnd w:id="72"/>
      <w:r w:rsidRPr="000F4C13">
        <w:rPr>
          <w:rFonts w:asciiTheme="majorHAnsi" w:hAnsiTheme="majorHAnsi" w:cstheme="majorHAnsi"/>
        </w:rPr>
        <w:t>Alabama</w:t>
      </w:r>
    </w:p>
    <w:p w:rsidRPr="000F4C13" w:rsidR="00910DB0" w:rsidP="00910DB0" w:rsidRDefault="00910DB0" w14:paraId="2630D65C" w14:textId="77777777">
      <w:pPr>
        <w:pStyle w:val="Heading4"/>
        <w:rPr>
          <w:rFonts w:asciiTheme="majorHAnsi" w:hAnsiTheme="majorHAnsi" w:cstheme="majorHAnsi"/>
        </w:rPr>
      </w:pPr>
      <w:bookmarkStart w:name="_qqkxqw5cv8gi" w:colFirst="0" w:colLast="0" w:id="73"/>
      <w:bookmarkEnd w:id="73"/>
      <w:r w:rsidRPr="000F4C13">
        <w:rPr>
          <w:rFonts w:asciiTheme="majorHAnsi" w:hAnsiTheme="majorHAnsi" w:cstheme="majorHAnsi"/>
        </w:rPr>
        <w:t>Introduction</w:t>
      </w:r>
    </w:p>
    <w:p w:rsidRPr="000F4C13" w:rsidR="0088464E" w:rsidP="00121FD6" w:rsidRDefault="00DA60E0" w14:paraId="1789F31A" w14:textId="226AFA08">
      <w:pPr>
        <w:pStyle w:val="Heading4"/>
        <w:rPr>
          <w:rFonts w:asciiTheme="majorHAnsi" w:hAnsiTheme="majorHAnsi" w:cstheme="majorHAnsi"/>
          <w:i w:val="0"/>
          <w:iCs w:val="0"/>
          <w:color w:val="auto"/>
        </w:rPr>
      </w:pPr>
      <w:r w:rsidRPr="000F4C13">
        <w:rPr>
          <w:rFonts w:asciiTheme="majorHAnsi" w:hAnsiTheme="majorHAnsi" w:cstheme="majorHAnsi"/>
          <w:i w:val="0"/>
          <w:iCs w:val="0"/>
          <w:color w:val="auto"/>
        </w:rPr>
        <w:t xml:space="preserve">Alabama faces significant challenges from severe convective storms, tornadoes, hail, and high winds, which continue to impact communities across the state. </w:t>
      </w:r>
      <w:r w:rsidRPr="000F4C13" w:rsidR="00AC2A65">
        <w:rPr>
          <w:rFonts w:asciiTheme="majorHAnsi" w:hAnsiTheme="majorHAnsi" w:cstheme="majorHAnsi"/>
          <w:i w:val="0"/>
          <w:iCs w:val="0"/>
          <w:color w:val="auto"/>
        </w:rPr>
        <w:t xml:space="preserve">To address these challenges, Alabama proactively employs </w:t>
      </w:r>
      <w:r w:rsidRPr="000F4C13" w:rsidR="00121FD6">
        <w:rPr>
          <w:rFonts w:asciiTheme="majorHAnsi" w:hAnsiTheme="majorHAnsi" w:cstheme="majorHAnsi"/>
          <w:i w:val="0"/>
          <w:iCs w:val="0"/>
          <w:color w:val="auto"/>
        </w:rPr>
        <w:t>a range of</w:t>
      </w:r>
      <w:r w:rsidRPr="000F4C13" w:rsidR="00AC2A65">
        <w:rPr>
          <w:rFonts w:asciiTheme="majorHAnsi" w:hAnsiTheme="majorHAnsi" w:cstheme="majorHAnsi"/>
          <w:i w:val="0"/>
          <w:iCs w:val="0"/>
          <w:color w:val="auto"/>
        </w:rPr>
        <w:t xml:space="preserve"> tools, partnerships, and resources to safeguard homeowners and businesses. The state works to improve insurance affordability, enhance market stability, and build resilience against harsh weather. Using all available means, Alabama endeavors to provide its residents with the most affordable homeowners insurance possible. Amid the changing insurance landscape, Alabama aims to </w:t>
      </w:r>
      <w:r w:rsidRPr="000F4C13" w:rsidR="00121FD6">
        <w:rPr>
          <w:rFonts w:asciiTheme="majorHAnsi" w:hAnsiTheme="majorHAnsi" w:cstheme="majorHAnsi"/>
          <w:i w:val="0"/>
          <w:iCs w:val="0"/>
          <w:color w:val="auto"/>
        </w:rPr>
        <w:t>maintain a stable insurance market</w:t>
      </w:r>
      <w:r w:rsidRPr="000F4C13" w:rsidR="00AC2A65">
        <w:rPr>
          <w:rFonts w:asciiTheme="majorHAnsi" w:hAnsiTheme="majorHAnsi" w:cstheme="majorHAnsi"/>
          <w:i w:val="0"/>
          <w:iCs w:val="0"/>
          <w:color w:val="auto"/>
        </w:rPr>
        <w:t>.</w:t>
      </w:r>
    </w:p>
    <w:p w:rsidRPr="000F4C13" w:rsidR="00C96053" w:rsidRDefault="00B2522B" w14:paraId="7385AD40" w14:textId="77777777">
      <w:pPr>
        <w:pStyle w:val="Heading4"/>
        <w:spacing w:after="0"/>
        <w:rPr>
          <w:rFonts w:asciiTheme="majorHAnsi" w:hAnsiTheme="majorHAnsi" w:cstheme="majorHAnsi"/>
        </w:rPr>
      </w:pPr>
      <w:bookmarkStart w:name="_kpyq869r3t4i" w:colFirst="0" w:colLast="0" w:id="74"/>
      <w:bookmarkEnd w:id="74"/>
      <w:r w:rsidRPr="000F4C13">
        <w:rPr>
          <w:rFonts w:asciiTheme="majorHAnsi" w:hAnsiTheme="majorHAnsi" w:cstheme="majorHAnsi"/>
        </w:rPr>
        <w:t>Reports:</w:t>
      </w:r>
    </w:p>
    <w:p w:rsidRPr="000F4C13" w:rsidR="00C96053" w:rsidP="0057045C" w:rsidRDefault="00C96053" w14:paraId="6A545913" w14:textId="77777777">
      <w:pPr>
        <w:pStyle w:val="ListParagraph"/>
        <w:numPr>
          <w:ilvl w:val="0"/>
          <w:numId w:val="39"/>
        </w:numPr>
        <w:spacing w:after="0"/>
        <w:jc w:val="both"/>
        <w:rPr>
          <w:rFonts w:eastAsia="Calibri" w:asciiTheme="majorHAnsi" w:hAnsiTheme="majorHAnsi" w:cstheme="majorHAnsi"/>
          <w:b/>
          <w:bCs/>
        </w:rPr>
      </w:pPr>
      <w:hyperlink r:id="rId61">
        <w:r w:rsidRPr="000F4C13">
          <w:rPr>
            <w:rFonts w:eastAsia="Calibri" w:asciiTheme="majorHAnsi" w:hAnsiTheme="majorHAnsi" w:cstheme="majorHAnsi"/>
            <w:color w:val="467886"/>
            <w:u w:val="single"/>
          </w:rPr>
          <w:t>Affordable Homeowners Insurance Commission Report</w:t>
        </w:r>
      </w:hyperlink>
      <w:r w:rsidRPr="000F4C13">
        <w:rPr>
          <w:rFonts w:eastAsia="Calibri" w:asciiTheme="majorHAnsi" w:hAnsiTheme="majorHAnsi" w:cstheme="majorHAnsi"/>
        </w:rPr>
        <w:t xml:space="preserve"> (2012): Recommendations to address tornado-related affordability and transparency.</w:t>
      </w:r>
    </w:p>
    <w:p w:rsidRPr="000F4C13" w:rsidR="00C96053" w:rsidP="0057045C" w:rsidRDefault="00B2522B" w14:paraId="40EA0C3D" w14:textId="77777777">
      <w:pPr>
        <w:pStyle w:val="ListParagraph"/>
        <w:numPr>
          <w:ilvl w:val="0"/>
          <w:numId w:val="39"/>
        </w:num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Hurricane Sally IBHS Study: Validates effectiveness of FORTIFIED construction. </w:t>
      </w:r>
    </w:p>
    <w:p w:rsidRPr="000F4C13" w:rsidR="00C96053" w:rsidRDefault="00C96053" w14:paraId="6DE44DEF" w14:textId="77777777">
      <w:pPr>
        <w:spacing w:after="0"/>
        <w:ind w:left="720"/>
        <w:jc w:val="both"/>
        <w:rPr>
          <w:rFonts w:eastAsia="Calibri" w:asciiTheme="majorHAnsi" w:hAnsiTheme="majorHAnsi" w:cstheme="majorHAnsi"/>
          <w:b/>
          <w:bCs/>
        </w:rPr>
      </w:pPr>
    </w:p>
    <w:p w:rsidRPr="000F4C13" w:rsidR="00C96053" w:rsidP="00BC3949" w:rsidRDefault="00B2522B" w14:paraId="6A8EB87E" w14:textId="77777777">
      <w:pPr>
        <w:pStyle w:val="Heading4"/>
        <w:keepNext w:val="0"/>
        <w:keepLines w:val="0"/>
        <w:widowControl w:val="0"/>
        <w:spacing w:after="0"/>
        <w:rPr>
          <w:rFonts w:asciiTheme="majorHAnsi" w:hAnsiTheme="majorHAnsi" w:cstheme="majorHAnsi"/>
        </w:rPr>
      </w:pPr>
      <w:bookmarkStart w:name="_4osh4rr0185s" w:colFirst="0" w:colLast="0" w:id="75"/>
      <w:bookmarkEnd w:id="75"/>
      <w:r w:rsidRPr="000F4C13">
        <w:rPr>
          <w:rFonts w:asciiTheme="majorHAnsi" w:hAnsiTheme="majorHAnsi" w:cstheme="majorHAnsi"/>
        </w:rPr>
        <w:t xml:space="preserve"> Data Collection:</w:t>
      </w:r>
    </w:p>
    <w:p w:rsidRPr="000F4C13" w:rsidR="00C96053" w:rsidP="0057045C" w:rsidRDefault="00B2522B" w14:paraId="00489E8E" w14:textId="77777777">
      <w:pPr>
        <w:pStyle w:val="ListParagraph"/>
        <w:numPr>
          <w:ilvl w:val="0"/>
          <w:numId w:val="39"/>
        </w:numPr>
        <w:spacing w:after="0"/>
        <w:jc w:val="both"/>
        <w:rPr>
          <w:rFonts w:eastAsia="Calibri" w:asciiTheme="majorHAnsi" w:hAnsiTheme="majorHAnsi" w:cstheme="majorHAnsi"/>
        </w:rPr>
      </w:pPr>
      <w:r w:rsidRPr="000F4C13">
        <w:rPr>
          <w:rFonts w:eastAsia="Calibri" w:asciiTheme="majorHAnsi" w:hAnsiTheme="majorHAnsi" w:cstheme="majorHAnsi"/>
        </w:rPr>
        <w:t>Annual insurer reporting via SB 210.</w:t>
      </w:r>
    </w:p>
    <w:p w:rsidRPr="000F4C13" w:rsidR="00C96053" w:rsidP="0057045C" w:rsidRDefault="00B2522B" w14:paraId="7CF76CD2" w14:textId="77777777">
      <w:pPr>
        <w:pStyle w:val="ListParagraph"/>
        <w:numPr>
          <w:ilvl w:val="0"/>
          <w:numId w:val="39"/>
        </w:numPr>
        <w:spacing w:after="0"/>
        <w:jc w:val="both"/>
        <w:rPr>
          <w:rFonts w:eastAsia="Calibri" w:asciiTheme="majorHAnsi" w:hAnsiTheme="majorHAnsi" w:cstheme="majorHAnsi"/>
        </w:rPr>
      </w:pPr>
      <w:r w:rsidRPr="000F4C13">
        <w:rPr>
          <w:rFonts w:eastAsia="Calibri" w:asciiTheme="majorHAnsi" w:hAnsiTheme="majorHAnsi" w:cstheme="majorHAnsi"/>
        </w:rPr>
        <w:t>Post-catastrophe claims data calls</w:t>
      </w:r>
    </w:p>
    <w:p w:rsidRPr="000F4C13" w:rsidR="00C96053" w:rsidP="00BC3949" w:rsidRDefault="00C96053" w14:paraId="3B16C02F" w14:textId="77777777">
      <w:pPr>
        <w:widowControl w:val="0"/>
        <w:spacing w:after="0" w:line="276" w:lineRule="auto"/>
        <w:jc w:val="both"/>
        <w:rPr>
          <w:rFonts w:eastAsia="Calibri" w:asciiTheme="majorHAnsi" w:hAnsiTheme="majorHAnsi" w:cstheme="majorHAnsi"/>
        </w:rPr>
      </w:pPr>
    </w:p>
    <w:p w:rsidRPr="000F4C13" w:rsidR="00C96053" w:rsidP="00BC3949" w:rsidRDefault="00B2522B" w14:paraId="72D791BB" w14:textId="77777777">
      <w:pPr>
        <w:pStyle w:val="Heading4"/>
        <w:keepNext w:val="0"/>
        <w:keepLines w:val="0"/>
        <w:widowControl w:val="0"/>
        <w:spacing w:after="0"/>
        <w:rPr>
          <w:rFonts w:asciiTheme="majorHAnsi" w:hAnsiTheme="majorHAnsi" w:cstheme="majorHAnsi"/>
        </w:rPr>
      </w:pPr>
      <w:bookmarkStart w:name="_fjm27blwjf0w" w:colFirst="0" w:colLast="0" w:id="76"/>
      <w:bookmarkEnd w:id="76"/>
      <w:r w:rsidRPr="000F4C13">
        <w:rPr>
          <w:rFonts w:asciiTheme="majorHAnsi" w:hAnsiTheme="majorHAnsi" w:cstheme="majorHAnsi"/>
        </w:rPr>
        <w:t>Strategy, Initiatives, &amp; Resources:</w:t>
      </w:r>
    </w:p>
    <w:p w:rsidRPr="000F4C13" w:rsidR="00C96053" w:rsidP="0057045C" w:rsidRDefault="00B2522B" w14:paraId="52FE97C9" w14:textId="77777777">
      <w:pPr>
        <w:pStyle w:val="ListParagraph"/>
        <w:numPr>
          <w:ilvl w:val="0"/>
          <w:numId w:val="39"/>
        </w:numPr>
        <w:spacing w:after="0"/>
        <w:jc w:val="both"/>
        <w:rPr>
          <w:rFonts w:eastAsia="Calibri" w:asciiTheme="majorHAnsi" w:hAnsiTheme="majorHAnsi" w:cstheme="majorHAnsi"/>
        </w:rPr>
      </w:pPr>
      <w:r w:rsidRPr="000F4C13">
        <w:rPr>
          <w:rFonts w:eastAsia="Calibri" w:asciiTheme="majorHAnsi" w:hAnsiTheme="majorHAnsi" w:cstheme="majorHAnsi"/>
        </w:rPr>
        <w:t>See Alabama’s Hurricane section.</w:t>
      </w:r>
    </w:p>
    <w:p w:rsidRPr="000F4C13" w:rsidR="00C96053" w:rsidP="00C47D4D" w:rsidRDefault="00C96053" w14:paraId="0C11E6BE" w14:textId="77777777">
      <w:pPr>
        <w:keepNext/>
        <w:keepLines/>
        <w:spacing w:after="0" w:line="276" w:lineRule="auto"/>
        <w:jc w:val="both"/>
        <w:rPr>
          <w:rFonts w:eastAsia="Calibri" w:asciiTheme="majorHAnsi" w:hAnsiTheme="majorHAnsi" w:cstheme="majorHAnsi"/>
        </w:rPr>
      </w:pPr>
    </w:p>
    <w:p w:rsidRPr="000F4C13" w:rsidR="00C96053" w:rsidRDefault="00B2522B" w14:paraId="25CDD001" w14:textId="77777777">
      <w:pPr>
        <w:pStyle w:val="Heading4"/>
        <w:spacing w:after="0"/>
        <w:rPr>
          <w:rFonts w:asciiTheme="majorHAnsi" w:hAnsiTheme="majorHAnsi" w:cstheme="majorHAnsi"/>
        </w:rPr>
      </w:pPr>
      <w:bookmarkStart w:name="_naajrc6ajsbt" w:colFirst="0" w:colLast="0" w:id="77"/>
      <w:bookmarkEnd w:id="77"/>
      <w:r w:rsidRPr="000F4C13">
        <w:rPr>
          <w:rFonts w:asciiTheme="majorHAnsi" w:hAnsiTheme="majorHAnsi" w:cstheme="majorHAnsi"/>
        </w:rPr>
        <w:t>Partnerships:</w:t>
      </w:r>
    </w:p>
    <w:p w:rsidRPr="000F4C13" w:rsidR="00C96053" w:rsidP="0057045C" w:rsidRDefault="00B2522B" w14:paraId="63B18D0E" w14:textId="77777777">
      <w:pPr>
        <w:pStyle w:val="ListParagraph"/>
        <w:numPr>
          <w:ilvl w:val="0"/>
          <w:numId w:val="39"/>
        </w:numPr>
        <w:spacing w:after="0"/>
        <w:jc w:val="both"/>
        <w:rPr>
          <w:rFonts w:eastAsia="Calibri" w:asciiTheme="majorHAnsi" w:hAnsiTheme="majorHAnsi" w:cstheme="majorHAnsi"/>
        </w:rPr>
      </w:pPr>
      <w:r w:rsidRPr="000F4C13">
        <w:rPr>
          <w:rFonts w:eastAsia="Calibri" w:asciiTheme="majorHAnsi" w:hAnsiTheme="majorHAnsi" w:cstheme="majorHAnsi"/>
        </w:rPr>
        <w:t>IBHS and Smart Home America for FORTIFIED</w:t>
      </w:r>
    </w:p>
    <w:p w:rsidRPr="000F4C13" w:rsidR="00372082" w:rsidP="0057045C" w:rsidRDefault="00B2522B" w14:paraId="114D97F1" w14:textId="7B5A1B6A">
      <w:pPr>
        <w:pStyle w:val="ListParagraph"/>
        <w:numPr>
          <w:ilvl w:val="0"/>
          <w:numId w:val="39"/>
        </w:numPr>
        <w:spacing w:after="0"/>
        <w:jc w:val="both"/>
        <w:rPr>
          <w:rFonts w:eastAsia="Calibri" w:asciiTheme="majorHAnsi" w:hAnsiTheme="majorHAnsi" w:cstheme="majorHAnsi"/>
        </w:rPr>
      </w:pPr>
      <w:r w:rsidRPr="000F4C13">
        <w:rPr>
          <w:rFonts w:eastAsia="Calibri" w:asciiTheme="majorHAnsi" w:hAnsiTheme="majorHAnsi" w:cstheme="majorHAnsi"/>
        </w:rPr>
        <w:t>FEMA and AEMA collaboration</w:t>
      </w:r>
    </w:p>
    <w:p w:rsidRPr="000F4C13" w:rsidR="00C96053" w:rsidP="0057045C" w:rsidRDefault="00646309" w14:paraId="41A4841A" w14:textId="5A24A569">
      <w:pPr>
        <w:pStyle w:val="ListParagraph"/>
        <w:numPr>
          <w:ilvl w:val="0"/>
          <w:numId w:val="39"/>
        </w:numPr>
        <w:spacing w:after="0"/>
        <w:jc w:val="both"/>
        <w:rPr>
          <w:rFonts w:eastAsia="Calibri" w:asciiTheme="majorHAnsi" w:hAnsiTheme="majorHAnsi" w:cstheme="majorHAnsi"/>
          <w:b/>
          <w:bCs/>
        </w:rPr>
      </w:pPr>
      <w:hyperlink w:tgtFrame="_blank" w:history="1" r:id="rId62">
        <w:r w:rsidRPr="000F4C13">
          <w:rPr>
            <w:rStyle w:val="Hyperlink"/>
            <w:rFonts w:eastAsia="Calibri" w:asciiTheme="majorHAnsi" w:hAnsiTheme="majorHAnsi" w:cstheme="majorHAnsi"/>
            <w:lang w:val="en"/>
          </w:rPr>
          <w:t>Center for Risk and Insurance Research at the University of Alabama</w:t>
        </w:r>
      </w:hyperlink>
      <w:r w:rsidRPr="000F4C13">
        <w:rPr>
          <w:rFonts w:eastAsia="Calibri" w:asciiTheme="majorHAnsi" w:hAnsiTheme="majorHAnsi" w:cstheme="majorHAnsi"/>
        </w:rPr>
        <w:t xml:space="preserve"> </w:t>
      </w:r>
      <w:r w:rsidRPr="000F4C13" w:rsidR="00B2522B">
        <w:rPr>
          <w:rFonts w:eastAsia="Calibri" w:asciiTheme="majorHAnsi" w:hAnsiTheme="majorHAnsi" w:cstheme="majorHAnsi"/>
        </w:rPr>
        <w:t xml:space="preserve">at </w:t>
      </w:r>
      <w:r w:rsidRPr="000F4C13">
        <w:rPr>
          <w:rFonts w:eastAsia="Calibri" w:asciiTheme="majorHAnsi" w:hAnsiTheme="majorHAnsi" w:cstheme="majorHAnsi"/>
        </w:rPr>
        <w:t>t</w:t>
      </w:r>
      <w:r w:rsidRPr="000F4C13" w:rsidR="00B2522B">
        <w:rPr>
          <w:rFonts w:eastAsia="Calibri" w:asciiTheme="majorHAnsi" w:hAnsiTheme="majorHAnsi" w:cstheme="majorHAnsi"/>
        </w:rPr>
        <w:t>he University of Alabama Culverhouse College of Commerce has partnered with</w:t>
      </w:r>
      <w:r w:rsidRPr="000F4C13" w:rsidR="00723AA8">
        <w:rPr>
          <w:rFonts w:eastAsia="Calibri" w:asciiTheme="majorHAnsi" w:hAnsiTheme="majorHAnsi" w:cstheme="majorHAnsi"/>
        </w:rPr>
        <w:t xml:space="preserve"> the</w:t>
      </w:r>
      <w:r w:rsidRPr="000F4C13" w:rsidR="00B2522B">
        <w:rPr>
          <w:rFonts w:eastAsia="Calibri" w:asciiTheme="majorHAnsi" w:hAnsiTheme="majorHAnsi" w:cstheme="majorHAnsi"/>
        </w:rPr>
        <w:t xml:space="preserve"> </w:t>
      </w:r>
      <w:r w:rsidRPr="000F4C13" w:rsidR="009933C0">
        <w:rPr>
          <w:rFonts w:eastAsia="Calibri" w:asciiTheme="majorHAnsi" w:hAnsiTheme="majorHAnsi" w:cstheme="majorHAnsi"/>
        </w:rPr>
        <w:t>American Property Casualty Insurance Association (APCIA)</w:t>
      </w:r>
      <w:r w:rsidRPr="000F4C13" w:rsidR="00B2522B">
        <w:rPr>
          <w:rFonts w:eastAsia="Calibri" w:asciiTheme="majorHAnsi" w:hAnsiTheme="majorHAnsi" w:cstheme="majorHAnsi"/>
        </w:rPr>
        <w:t>, the Alabama Department of Insurance and Smart Home America to produce the</w:t>
      </w:r>
      <w:r w:rsidRPr="000F4C13" w:rsidR="00047AAB">
        <w:rPr>
          <w:rFonts w:eastAsia="Calibri" w:asciiTheme="majorHAnsi" w:hAnsiTheme="majorHAnsi" w:cstheme="majorHAnsi"/>
        </w:rPr>
        <w:t xml:space="preserve"> </w:t>
      </w:r>
      <w:hyperlink w:history="1" w:anchor="/8120d9b9/1" r:id="rId63">
        <w:r w:rsidRPr="000F4C13" w:rsidR="00047AAB">
          <w:rPr>
            <w:rStyle w:val="Hyperlink"/>
            <w:rFonts w:asciiTheme="majorHAnsi" w:hAnsiTheme="majorHAnsi" w:cstheme="majorHAnsi"/>
          </w:rPr>
          <w:t>2016 Tornado Preparedness Guide &amp; Insurance Tips</w:t>
        </w:r>
      </w:hyperlink>
    </w:p>
    <w:p w:rsidRPr="000F4C13" w:rsidR="00C96053" w:rsidRDefault="00B2522B" w14:paraId="5F6C9FA7" w14:textId="77777777">
      <w:pPr>
        <w:pStyle w:val="Heading3"/>
        <w:spacing w:after="0"/>
        <w:rPr>
          <w:rFonts w:asciiTheme="majorHAnsi" w:hAnsiTheme="majorHAnsi" w:cstheme="majorHAnsi"/>
        </w:rPr>
      </w:pPr>
      <w:bookmarkStart w:name="_bwjpmk6388ez" w:colFirst="0" w:colLast="0" w:id="78"/>
      <w:bookmarkEnd w:id="78"/>
      <w:r w:rsidRPr="000F4C13">
        <w:rPr>
          <w:rFonts w:asciiTheme="majorHAnsi" w:hAnsiTheme="majorHAnsi" w:cstheme="majorHAnsi"/>
        </w:rPr>
        <w:t>Oklahoma</w:t>
      </w:r>
    </w:p>
    <w:p w:rsidRPr="000F4C13" w:rsidR="00372082" w:rsidP="00372082" w:rsidRDefault="00372082" w14:paraId="352C549D" w14:textId="77777777">
      <w:pPr>
        <w:pStyle w:val="Heading4"/>
        <w:rPr>
          <w:rFonts w:asciiTheme="majorHAnsi" w:hAnsiTheme="majorHAnsi" w:cstheme="majorHAnsi"/>
        </w:rPr>
      </w:pPr>
      <w:bookmarkStart w:name="_jbdhlim3cwdu" w:colFirst="0" w:colLast="0" w:id="79"/>
      <w:bookmarkEnd w:id="79"/>
      <w:r w:rsidRPr="000F4C13">
        <w:rPr>
          <w:rFonts w:asciiTheme="majorHAnsi" w:hAnsiTheme="majorHAnsi" w:cstheme="majorHAnsi"/>
        </w:rPr>
        <w:t>Introduction</w:t>
      </w:r>
    </w:p>
    <w:p w:rsidRPr="000F4C13" w:rsidR="003D1A6C" w:rsidP="00253CB3" w:rsidRDefault="004F1DA1" w14:paraId="7A5F381D" w14:textId="7D881663">
      <w:pPr>
        <w:jc w:val="both"/>
        <w:rPr>
          <w:rFonts w:asciiTheme="majorHAnsi" w:hAnsiTheme="majorHAnsi" w:cstheme="majorHAnsi"/>
          <w:highlight w:val="yellow"/>
        </w:rPr>
      </w:pPr>
      <w:r w:rsidRPr="000F4C13">
        <w:rPr>
          <w:rFonts w:asciiTheme="majorHAnsi" w:hAnsiTheme="majorHAnsi" w:cstheme="majorHAnsi"/>
        </w:rPr>
        <w:t xml:space="preserve">Oklahoma is situated in the heart of Tornado Alley, one of the most tornado-prone regions in the world, with an average of over 50 tornadoes annually. Tornadoes are most frequent in Oklahoma during spring, when the state faces significant threats from supercell storms. To address these risks, Oklahoma promotes disaster resilience through proactive planning, innovative projects, and collaborative efforts. </w:t>
      </w:r>
    </w:p>
    <w:p w:rsidRPr="000F4C13" w:rsidR="00C96053" w:rsidRDefault="00B2522B" w14:paraId="56F0D6D6" w14:textId="77777777">
      <w:pPr>
        <w:pStyle w:val="Heading4"/>
        <w:spacing w:after="0"/>
        <w:rPr>
          <w:rFonts w:asciiTheme="majorHAnsi" w:hAnsiTheme="majorHAnsi" w:cstheme="majorHAnsi"/>
        </w:rPr>
      </w:pPr>
      <w:bookmarkStart w:name="_c653szm71ymx" w:colFirst="0" w:colLast="0" w:id="80"/>
      <w:bookmarkEnd w:id="80"/>
      <w:r w:rsidRPr="000F4C13">
        <w:rPr>
          <w:rFonts w:asciiTheme="majorHAnsi" w:hAnsiTheme="majorHAnsi" w:cstheme="majorHAnsi"/>
        </w:rPr>
        <w:t>Reports:</w:t>
      </w:r>
    </w:p>
    <w:p w:rsidRPr="000F4C13" w:rsidR="00FC577A" w:rsidRDefault="00B2522B" w14:paraId="5C6A0CCF" w14:textId="2D0D17ED">
      <w:pPr>
        <w:keepNext/>
        <w:keepLines/>
        <w:spacing w:after="0"/>
        <w:jc w:val="both"/>
        <w:rPr>
          <w:rFonts w:eastAsia="Calibri" w:asciiTheme="majorHAnsi" w:hAnsiTheme="majorHAnsi" w:cstheme="majorHAnsi"/>
        </w:rPr>
      </w:pPr>
      <w:r w:rsidRPr="000F4C13">
        <w:rPr>
          <w:rFonts w:eastAsia="Calibri" w:asciiTheme="majorHAnsi" w:hAnsiTheme="majorHAnsi" w:cstheme="majorHAnsi"/>
        </w:rPr>
        <w:t xml:space="preserve">Oklahoma continues to advance a comprehensive, data-driven approach to disaster resilience, with a particular emphasis on </w:t>
      </w:r>
      <w:r w:rsidRPr="000F4C13" w:rsidR="0016388D">
        <w:rPr>
          <w:rFonts w:eastAsia="Calibri" w:asciiTheme="majorHAnsi" w:hAnsiTheme="majorHAnsi" w:cstheme="majorHAnsi"/>
        </w:rPr>
        <w:t>tornadoes</w:t>
      </w:r>
      <w:r w:rsidRPr="000F4C13">
        <w:rPr>
          <w:rFonts w:eastAsia="Calibri" w:asciiTheme="majorHAnsi" w:hAnsiTheme="majorHAnsi" w:cstheme="majorHAnsi"/>
        </w:rPr>
        <w:t xml:space="preserve"> and severe wind and hail mitigation. The state’s efforts are supported by ongoing analytical work, robust data collection practices, targeted homeowner-focused initiatives, and strong interagency and private-sector partnerships. A key component of Oklahoma’s mitigation strategy is the use of evidence-based research to guide policy and investment decisions. </w:t>
      </w:r>
    </w:p>
    <w:p w:rsidRPr="000F4C13" w:rsidR="00CB56E6" w:rsidRDefault="00CB56E6" w14:paraId="445E168A" w14:textId="77777777">
      <w:pPr>
        <w:keepNext/>
        <w:keepLines/>
        <w:spacing w:after="0"/>
        <w:jc w:val="both"/>
        <w:rPr>
          <w:rFonts w:eastAsia="Calibri" w:asciiTheme="majorHAnsi" w:hAnsiTheme="majorHAnsi" w:cstheme="majorHAnsi"/>
        </w:rPr>
      </w:pPr>
    </w:p>
    <w:p w:rsidRPr="000F4C13" w:rsidR="00C96053" w:rsidRDefault="00B2522B" w14:paraId="706EAEE6" w14:textId="72E3A1DC">
      <w:pPr>
        <w:keepNext/>
        <w:keepLines/>
        <w:spacing w:after="0"/>
        <w:jc w:val="both"/>
        <w:rPr>
          <w:rFonts w:eastAsia="Calibri" w:asciiTheme="majorHAnsi" w:hAnsiTheme="majorHAnsi" w:cstheme="majorHAnsi"/>
        </w:rPr>
      </w:pPr>
      <w:r w:rsidRPr="000F4C13">
        <w:rPr>
          <w:rFonts w:eastAsia="Calibri" w:asciiTheme="majorHAnsi" w:hAnsiTheme="majorHAnsi" w:cstheme="majorHAnsi"/>
        </w:rPr>
        <w:t>The report</w:t>
      </w:r>
      <w:r w:rsidRPr="000F4C13" w:rsidR="0088265C">
        <w:rPr>
          <w:rFonts w:eastAsia="Calibri" w:asciiTheme="majorHAnsi" w:hAnsiTheme="majorHAnsi" w:cstheme="majorHAnsi"/>
        </w:rPr>
        <w:t xml:space="preserve"> </w:t>
      </w:r>
      <w:hyperlink r:id="rId64">
        <w:r w:rsidRPr="000F4C13" w:rsidR="0088265C">
          <w:rPr>
            <w:rFonts w:eastAsia="Calibri" w:asciiTheme="majorHAnsi" w:hAnsiTheme="majorHAnsi" w:cstheme="majorHAnsi"/>
            <w:i/>
            <w:iCs/>
            <w:color w:val="0000FF"/>
            <w:u w:val="single"/>
          </w:rPr>
          <w:t>Tornado Damage Mitigation: Benefit–Cost Analysis of Enhanced Building Codes in Oklahoma</w:t>
        </w:r>
      </w:hyperlink>
      <w:r w:rsidRPr="000F4C13" w:rsidR="0088265C">
        <w:rPr>
          <w:rFonts w:eastAsia="Calibri" w:asciiTheme="majorHAnsi" w:hAnsiTheme="majorHAnsi" w:cstheme="majorHAnsi"/>
        </w:rPr>
        <w:t xml:space="preserve"> </w:t>
      </w:r>
      <w:r w:rsidRPr="000F4C13">
        <w:rPr>
          <w:rFonts w:eastAsia="Calibri" w:asciiTheme="majorHAnsi" w:hAnsiTheme="majorHAnsi" w:cstheme="majorHAnsi"/>
        </w:rPr>
        <w:t xml:space="preserve">leverages data provided by the Oklahoma Department of Insurance (OID) to quantify the economic and safety benefits of stronger construction standards. This analysis underscores the value of pre-disaster mitigation and helps inform state leadership, insurers, and homeowners about the long-term savings associated with resilient building practices. </w:t>
      </w:r>
    </w:p>
    <w:p w:rsidRPr="000F4C13" w:rsidR="00C96053" w:rsidRDefault="00C96053" w14:paraId="6138A19E" w14:textId="77777777">
      <w:pPr>
        <w:spacing w:after="0"/>
        <w:ind w:left="720"/>
        <w:jc w:val="both"/>
        <w:rPr>
          <w:rFonts w:eastAsia="Calibri" w:asciiTheme="majorHAnsi" w:hAnsiTheme="majorHAnsi" w:cstheme="majorHAnsi"/>
          <w:b/>
          <w:bCs/>
        </w:rPr>
      </w:pPr>
    </w:p>
    <w:p w:rsidRPr="000F4C13" w:rsidR="00C96053" w:rsidRDefault="00B2522B" w14:paraId="549D122C" w14:textId="77777777">
      <w:pPr>
        <w:pStyle w:val="Heading4"/>
        <w:spacing w:after="0"/>
        <w:rPr>
          <w:rFonts w:asciiTheme="majorHAnsi" w:hAnsiTheme="majorHAnsi" w:cstheme="majorHAnsi"/>
        </w:rPr>
      </w:pPr>
      <w:bookmarkStart w:name="_ye25zxjxcbfm" w:colFirst="0" w:colLast="0" w:id="81"/>
      <w:bookmarkEnd w:id="81"/>
      <w:r w:rsidRPr="000F4C13">
        <w:rPr>
          <w:rFonts w:asciiTheme="majorHAnsi" w:hAnsiTheme="majorHAnsi" w:cstheme="majorHAnsi"/>
        </w:rPr>
        <w:t>Data Collection:</w:t>
      </w:r>
    </w:p>
    <w:p w:rsidRPr="000F4C13" w:rsidR="00C96053" w:rsidRDefault="00B2522B" w14:paraId="28CF11C7" w14:textId="591DEB87">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Oklahoma’s commitment to high-quality data is also reflected in its structured approach to information gathering before and after major disasters. Through coordinated pre- and post-disaster data calls, the state collects critical information on damage, claims, and homeowner needs, </w:t>
      </w:r>
      <w:r w:rsidRPr="000F4C13" w:rsidR="001A307F">
        <w:rPr>
          <w:rFonts w:eastAsia="Calibri" w:asciiTheme="majorHAnsi" w:hAnsiTheme="majorHAnsi" w:cstheme="majorHAnsi"/>
        </w:rPr>
        <w:t>enabling faster responses</w:t>
      </w:r>
      <w:r w:rsidRPr="000F4C13">
        <w:rPr>
          <w:rFonts w:eastAsia="Calibri" w:asciiTheme="majorHAnsi" w:hAnsiTheme="majorHAnsi" w:cstheme="majorHAnsi"/>
        </w:rPr>
        <w:t xml:space="preserve">, improved situational awareness, and more accurate assessments of long-term mitigation opportunities. </w:t>
      </w:r>
      <w:hyperlink w:anchor="1641846305882-000cb9a3-f80c" r:id="rId65">
        <w:r w:rsidRPr="000F4C13" w:rsidR="00C96053">
          <w:rPr>
            <w:rFonts w:eastAsia="Calibri" w:asciiTheme="majorHAnsi" w:hAnsiTheme="majorHAnsi" w:cstheme="majorHAnsi"/>
            <w:color w:val="0000FF"/>
            <w:u w:val="single"/>
          </w:rPr>
          <w:t>Pre and Post Disaster Data Calls</w:t>
        </w:r>
      </w:hyperlink>
    </w:p>
    <w:p w:rsidRPr="000F4C13" w:rsidR="00C96053" w:rsidRDefault="00C96053" w14:paraId="2AE9D96F" w14:textId="77777777">
      <w:pPr>
        <w:spacing w:after="0"/>
        <w:ind w:left="720"/>
        <w:jc w:val="both"/>
        <w:rPr>
          <w:rFonts w:eastAsia="Calibri" w:asciiTheme="majorHAnsi" w:hAnsiTheme="majorHAnsi" w:cstheme="majorHAnsi"/>
          <w:b/>
          <w:bCs/>
        </w:rPr>
      </w:pPr>
    </w:p>
    <w:p w:rsidRPr="000F4C13" w:rsidR="00C96053" w:rsidRDefault="00B2522B" w14:paraId="68473E81" w14:textId="77777777">
      <w:pPr>
        <w:pStyle w:val="Heading4"/>
        <w:spacing w:after="0"/>
        <w:rPr>
          <w:rFonts w:asciiTheme="majorHAnsi" w:hAnsiTheme="majorHAnsi" w:cstheme="majorHAnsi"/>
        </w:rPr>
      </w:pPr>
      <w:bookmarkStart w:name="_xstnhtqwsxe9" w:colFirst="0" w:colLast="0" w:id="82"/>
      <w:bookmarkEnd w:id="82"/>
      <w:r w:rsidRPr="000F4C13">
        <w:rPr>
          <w:rFonts w:asciiTheme="majorHAnsi" w:hAnsiTheme="majorHAnsi" w:cstheme="majorHAnsi"/>
        </w:rPr>
        <w:t>Strategy, Initiatives, &amp; Resources:</w:t>
      </w:r>
    </w:p>
    <w:p w:rsidRPr="000F4C13" w:rsidR="00C96053" w:rsidRDefault="00B2522B" w14:paraId="1035CA23" w14:textId="77777777">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The state supports several flagship initiatives designed to strengthen residential structures and reduce casualties from severe weather. The </w:t>
      </w:r>
      <w:hyperlink r:id="rId66">
        <w:r w:rsidRPr="000F4C13" w:rsidR="00C96053">
          <w:rPr>
            <w:rFonts w:eastAsia="Calibri" w:asciiTheme="majorHAnsi" w:hAnsiTheme="majorHAnsi" w:cstheme="majorHAnsi"/>
            <w:color w:val="0000FF"/>
            <w:u w:val="single"/>
          </w:rPr>
          <w:t>SoonerSafe Safe Room Rebate Program</w:t>
        </w:r>
      </w:hyperlink>
      <w:r w:rsidRPr="000F4C13">
        <w:rPr>
          <w:rFonts w:eastAsia="Calibri" w:asciiTheme="majorHAnsi" w:hAnsiTheme="majorHAnsi" w:cstheme="majorHAnsi"/>
          <w:b/>
          <w:bCs/>
        </w:rPr>
        <w:t xml:space="preserve"> </w:t>
      </w:r>
      <w:r w:rsidRPr="000F4C13">
        <w:rPr>
          <w:rFonts w:eastAsia="Calibri" w:asciiTheme="majorHAnsi" w:hAnsiTheme="majorHAnsi" w:cstheme="majorHAnsi"/>
        </w:rPr>
        <w:t xml:space="preserve">offers rebates to help residents install storm shelters, significantly increasing survival rates during tornado events. </w:t>
      </w:r>
    </w:p>
    <w:p w:rsidRPr="000F4C13" w:rsidR="0052023B" w:rsidRDefault="0052023B" w14:paraId="47E1A29B" w14:textId="77777777">
      <w:pPr>
        <w:spacing w:after="0"/>
        <w:jc w:val="both"/>
        <w:rPr>
          <w:rFonts w:eastAsia="Calibri" w:asciiTheme="majorHAnsi" w:hAnsiTheme="majorHAnsi" w:cstheme="majorHAnsi"/>
        </w:rPr>
      </w:pPr>
    </w:p>
    <w:p w:rsidRPr="000F4C13" w:rsidR="00C96053" w:rsidRDefault="00B2522B" w14:paraId="7A984A12" w14:textId="430F955B">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For homeowners who struggle to obtain traditional insurance coverage, the </w:t>
      </w:r>
      <w:hyperlink r:id="rId67">
        <w:r w:rsidRPr="000F4C13" w:rsidR="00C96053">
          <w:rPr>
            <w:rFonts w:eastAsia="Calibri" w:asciiTheme="majorHAnsi" w:hAnsiTheme="majorHAnsi" w:cstheme="majorHAnsi"/>
            <w:color w:val="0000FF"/>
            <w:u w:val="single"/>
          </w:rPr>
          <w:t>OK-MAP</w:t>
        </w:r>
      </w:hyperlink>
      <w:r w:rsidRPr="000F4C13">
        <w:rPr>
          <w:rFonts w:eastAsia="Calibri" w:asciiTheme="majorHAnsi" w:hAnsiTheme="majorHAnsi" w:cstheme="majorHAnsi"/>
        </w:rPr>
        <w:t xml:space="preserve"> program serves as a high-risk insurance pool, providing access to essential protection for individuals who have been denied coverage at least twice in the standard market. </w:t>
      </w:r>
    </w:p>
    <w:p w:rsidRPr="000F4C13" w:rsidR="0052023B" w:rsidRDefault="0052023B" w14:paraId="60A5BE0E" w14:textId="77777777">
      <w:pPr>
        <w:spacing w:after="0"/>
        <w:jc w:val="both"/>
        <w:rPr>
          <w:rFonts w:eastAsia="Calibri" w:asciiTheme="majorHAnsi" w:hAnsiTheme="majorHAnsi" w:cstheme="majorHAnsi"/>
        </w:rPr>
      </w:pPr>
    </w:p>
    <w:p w:rsidRPr="000F4C13" w:rsidR="00C96053" w:rsidRDefault="00B2522B" w14:paraId="3F5E9EEF" w14:textId="3E0F00FD">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In 2025, OID further expanded its mitigation portfolio by launching applications for the </w:t>
      </w:r>
      <w:hyperlink w:anchor="1733437142116-a883cf08-1c11" r:id="rId68">
        <w:r w:rsidRPr="000F4C13" w:rsidR="00C96053">
          <w:rPr>
            <w:rFonts w:eastAsia="Calibri" w:asciiTheme="majorHAnsi" w:hAnsiTheme="majorHAnsi" w:cstheme="majorHAnsi"/>
            <w:color w:val="0000FF"/>
            <w:u w:val="single"/>
          </w:rPr>
          <w:t>OKReady grant program</w:t>
        </w:r>
      </w:hyperlink>
      <w:r w:rsidRPr="000F4C13">
        <w:rPr>
          <w:rFonts w:eastAsia="Calibri" w:asciiTheme="majorHAnsi" w:hAnsiTheme="majorHAnsi" w:cstheme="majorHAnsi"/>
        </w:rPr>
        <w:t xml:space="preserve">, a central feature of the Strengthen Oklahoma Homes initiative. Through a partnership with the Insurance Institute for Business &amp; Home Safety (IBHS), the program helps homeowners upgrade to IBHS FORTIFIED Home standards, improving resilience to wind and hail and reducing long-term property losses statewide. </w:t>
      </w:r>
    </w:p>
    <w:p w:rsidRPr="000F4C13" w:rsidR="0052023B" w:rsidRDefault="0052023B" w14:paraId="3E70FDBA" w14:textId="77777777">
      <w:pPr>
        <w:spacing w:after="0"/>
        <w:jc w:val="both"/>
        <w:rPr>
          <w:rFonts w:eastAsia="Calibri" w:asciiTheme="majorHAnsi" w:hAnsiTheme="majorHAnsi" w:cstheme="majorHAnsi"/>
        </w:rPr>
      </w:pPr>
    </w:p>
    <w:p w:rsidRPr="000F4C13" w:rsidR="00C96053" w:rsidRDefault="00B2522B" w14:paraId="2C03FD2F" w14:textId="131241BF">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Insights gathered from prior National Tornado Summits continue to inform these programs, helping the state refine its understanding of tornado risk, building performance, and community preparedness.  </w:t>
      </w:r>
      <w:hyperlink r:id="rId69">
        <w:r w:rsidRPr="000F4C13" w:rsidR="00C96053">
          <w:rPr>
            <w:rFonts w:eastAsia="Calibri" w:asciiTheme="majorHAnsi" w:hAnsiTheme="majorHAnsi" w:cstheme="majorHAnsi"/>
            <w:color w:val="0000FF"/>
            <w:u w:val="single"/>
          </w:rPr>
          <w:t>Prior National Tornado Summits</w:t>
        </w:r>
      </w:hyperlink>
      <w:r w:rsidRPr="000F4C13">
        <w:rPr>
          <w:rFonts w:eastAsia="Calibri" w:asciiTheme="majorHAnsi" w:hAnsiTheme="majorHAnsi" w:cstheme="majorHAnsi"/>
        </w:rPr>
        <w:t xml:space="preserve">- </w:t>
      </w:r>
      <w:hyperlink r:id="rId70">
        <w:r w:rsidRPr="000F4C13" w:rsidR="00C96053">
          <w:rPr>
            <w:rFonts w:eastAsia="Calibri" w:asciiTheme="majorHAnsi" w:hAnsiTheme="majorHAnsi" w:cstheme="majorHAnsi"/>
            <w:color w:val="0000FF"/>
            <w:u w:val="single"/>
          </w:rPr>
          <w:t>Insights</w:t>
        </w:r>
      </w:hyperlink>
    </w:p>
    <w:p w:rsidRPr="000F4C13" w:rsidR="00C96053" w:rsidRDefault="00C96053" w14:paraId="3014BD0E" w14:textId="77777777">
      <w:pPr>
        <w:spacing w:after="0"/>
        <w:ind w:left="720"/>
        <w:jc w:val="both"/>
        <w:rPr>
          <w:rFonts w:eastAsia="Calibri" w:asciiTheme="majorHAnsi" w:hAnsiTheme="majorHAnsi" w:cstheme="majorHAnsi"/>
          <w:b/>
          <w:bCs/>
        </w:rPr>
      </w:pPr>
    </w:p>
    <w:p w:rsidRPr="000F4C13" w:rsidR="00C96053" w:rsidRDefault="00B2522B" w14:paraId="26A598C8" w14:textId="77777777">
      <w:pPr>
        <w:pStyle w:val="Heading4"/>
        <w:spacing w:after="0"/>
        <w:rPr>
          <w:rFonts w:asciiTheme="majorHAnsi" w:hAnsiTheme="majorHAnsi" w:cstheme="majorHAnsi"/>
        </w:rPr>
      </w:pPr>
      <w:bookmarkStart w:name="_pmior3c492yr" w:colFirst="0" w:colLast="0" w:id="83"/>
      <w:bookmarkEnd w:id="83"/>
      <w:r w:rsidRPr="000F4C13">
        <w:rPr>
          <w:rFonts w:asciiTheme="majorHAnsi" w:hAnsiTheme="majorHAnsi" w:cstheme="majorHAnsi"/>
        </w:rPr>
        <w:t>Consumer Outreach:</w:t>
      </w:r>
    </w:p>
    <w:p w:rsidRPr="000F4C13" w:rsidR="00C96053" w:rsidRDefault="00B2522B" w14:paraId="39E2EA34" w14:textId="77777777">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Oklahoma’s consumer outreach efforts remain a cornerstone of its mitigation and preparedness strategy. OID regularly distributes public bulletins—such as </w:t>
      </w:r>
      <w:r w:rsidRPr="000F4C13">
        <w:rPr>
          <w:rFonts w:eastAsia="Calibri" w:asciiTheme="majorHAnsi" w:hAnsiTheme="majorHAnsi" w:cstheme="majorHAnsi"/>
          <w:i/>
          <w:iCs/>
        </w:rPr>
        <w:t>“Are You Ready for Storm Season?”—</w:t>
      </w:r>
      <w:r w:rsidRPr="000F4C13">
        <w:rPr>
          <w:rFonts w:eastAsia="Calibri" w:asciiTheme="majorHAnsi" w:hAnsiTheme="majorHAnsi" w:cstheme="majorHAnsi"/>
        </w:rPr>
        <w:t xml:space="preserve">alongside fraud-prevention guides to help residents safeguard themselves both physically and financially. </w:t>
      </w:r>
    </w:p>
    <w:p w:rsidRPr="000F4C13" w:rsidR="00117D71" w:rsidRDefault="00117D71" w14:paraId="58B2D53B" w14:textId="77777777">
      <w:pPr>
        <w:spacing w:after="0"/>
        <w:jc w:val="both"/>
        <w:rPr>
          <w:rFonts w:eastAsia="Calibri" w:asciiTheme="majorHAnsi" w:hAnsiTheme="majorHAnsi" w:cstheme="majorHAnsi"/>
        </w:rPr>
      </w:pPr>
    </w:p>
    <w:p w:rsidRPr="000F4C13" w:rsidR="00C96053" w:rsidRDefault="00B2522B" w14:paraId="513F938C" w14:textId="367F9CE5">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Public awareness tools, including the NAIC home inventory app, are promoted annually to support pre-storm planning. </w:t>
      </w:r>
    </w:p>
    <w:p w:rsidRPr="000F4C13" w:rsidR="00117D71" w:rsidRDefault="00117D71" w14:paraId="7F3E1C6E" w14:textId="77777777">
      <w:pPr>
        <w:spacing w:after="0"/>
        <w:jc w:val="both"/>
        <w:rPr>
          <w:rFonts w:eastAsia="Calibri" w:asciiTheme="majorHAnsi" w:hAnsiTheme="majorHAnsi" w:cstheme="majorHAnsi"/>
        </w:rPr>
      </w:pPr>
    </w:p>
    <w:p w:rsidRPr="000F4C13" w:rsidR="00C96053" w:rsidRDefault="00B2522B" w14:paraId="0F0C46B7" w14:textId="3A7D9807">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The OID leverages modern communication platforms such as the </w:t>
      </w:r>
      <w:hyperlink r:id="rId71">
        <w:r w:rsidRPr="000F4C13" w:rsidR="00C96053">
          <w:rPr>
            <w:rFonts w:eastAsia="Calibri" w:asciiTheme="majorHAnsi" w:hAnsiTheme="majorHAnsi" w:cstheme="majorHAnsi"/>
            <w:color w:val="0000FF"/>
            <w:u w:val="single"/>
          </w:rPr>
          <w:t>Mulready Minutes Podcast</w:t>
        </w:r>
      </w:hyperlink>
      <w:r w:rsidRPr="000F4C13">
        <w:rPr>
          <w:rFonts w:eastAsia="Calibri" w:asciiTheme="majorHAnsi" w:hAnsiTheme="majorHAnsi" w:cstheme="majorHAnsi"/>
        </w:rPr>
        <w:t xml:space="preserve"> to educate consumers on insurance topics, mitigation practices, and seasonal hazards. </w:t>
      </w:r>
    </w:p>
    <w:p w:rsidRPr="000F4C13" w:rsidR="00117D71" w:rsidRDefault="00117D71" w14:paraId="0778F43D" w14:textId="77777777">
      <w:pPr>
        <w:spacing w:after="0"/>
        <w:jc w:val="both"/>
        <w:rPr>
          <w:rFonts w:eastAsia="Calibri" w:asciiTheme="majorHAnsi" w:hAnsiTheme="majorHAnsi" w:cstheme="majorHAnsi"/>
        </w:rPr>
      </w:pPr>
    </w:p>
    <w:p w:rsidRPr="000F4C13" w:rsidR="00C96053" w:rsidRDefault="00B2522B" w14:paraId="6501A0B0" w14:textId="09471839">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After disasters, Oklahoma deploys Multi-Agency Resource Centers (MARCs) to offer on-site assistance, and the state maintains ongoing investments in </w:t>
      </w:r>
      <w:hyperlink r:id="rId72">
        <w:r w:rsidRPr="000F4C13" w:rsidR="00C96053">
          <w:rPr>
            <w:rFonts w:eastAsia="Calibri" w:asciiTheme="majorHAnsi" w:hAnsiTheme="majorHAnsi" w:cstheme="majorHAnsi"/>
            <w:color w:val="0000FF"/>
            <w:u w:val="single"/>
          </w:rPr>
          <w:t>Statewide public education campaigns and early warning investments</w:t>
        </w:r>
      </w:hyperlink>
      <w:r w:rsidRPr="000F4C13">
        <w:rPr>
          <w:rFonts w:eastAsia="Calibri" w:asciiTheme="majorHAnsi" w:hAnsiTheme="majorHAnsi" w:cstheme="majorHAnsi"/>
        </w:rPr>
        <w:t xml:space="preserve"> to improve safety and reduce losses.</w:t>
      </w:r>
    </w:p>
    <w:p w:rsidRPr="000F4C13" w:rsidR="00C96053" w:rsidRDefault="00C96053" w14:paraId="0A7E6159" w14:textId="77777777">
      <w:pPr>
        <w:spacing w:after="0"/>
        <w:ind w:left="720"/>
        <w:jc w:val="both"/>
        <w:rPr>
          <w:rFonts w:eastAsia="Calibri" w:asciiTheme="majorHAnsi" w:hAnsiTheme="majorHAnsi" w:cstheme="majorHAnsi"/>
          <w:b/>
          <w:bCs/>
        </w:rPr>
      </w:pPr>
    </w:p>
    <w:p w:rsidRPr="000F4C13" w:rsidR="00C96053" w:rsidRDefault="00B2522B" w14:paraId="2D694BE8" w14:textId="77777777">
      <w:pPr>
        <w:pStyle w:val="Heading4"/>
        <w:spacing w:after="0"/>
        <w:rPr>
          <w:rFonts w:asciiTheme="majorHAnsi" w:hAnsiTheme="majorHAnsi" w:cstheme="majorHAnsi"/>
        </w:rPr>
      </w:pPr>
      <w:bookmarkStart w:name="_uh90yfcjq2dx" w:colFirst="0" w:colLast="0" w:id="84"/>
      <w:bookmarkEnd w:id="84"/>
      <w:r w:rsidRPr="000F4C13">
        <w:rPr>
          <w:rFonts w:asciiTheme="majorHAnsi" w:hAnsiTheme="majorHAnsi" w:cstheme="majorHAnsi"/>
        </w:rPr>
        <w:t>Partnerships:</w:t>
      </w:r>
    </w:p>
    <w:p w:rsidRPr="000F4C13" w:rsidR="00C96053" w:rsidRDefault="00B2522B" w14:paraId="3B91BC14" w14:textId="77777777">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These efforts are strengthened by collaborative partnerships across state agencies and external organizations. OID works closely with the Oklahoma Department of Emergency Management (OEM) to align mitigation priorities and coordinate disaster response. </w:t>
      </w:r>
    </w:p>
    <w:p w:rsidRPr="000F4C13" w:rsidR="00730113" w:rsidRDefault="00730113" w14:paraId="6EA84D77" w14:textId="77777777">
      <w:pPr>
        <w:spacing w:after="0"/>
        <w:jc w:val="both"/>
        <w:rPr>
          <w:rFonts w:eastAsia="Calibri" w:asciiTheme="majorHAnsi" w:hAnsiTheme="majorHAnsi" w:cstheme="majorHAnsi"/>
        </w:rPr>
      </w:pPr>
    </w:p>
    <w:p w:rsidRPr="000F4C13" w:rsidR="00C96053" w:rsidRDefault="00B2522B" w14:paraId="60E918F7" w14:textId="77777777">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The Department also partners with IBHS to administer the Strengthen Oklahoma Homes program, ensuring that FORTIFIED standards are implemented with technical rigor. </w:t>
      </w:r>
    </w:p>
    <w:p w:rsidRPr="000F4C13" w:rsidR="00730113" w:rsidRDefault="00730113" w14:paraId="6345DF35" w14:textId="77777777">
      <w:pPr>
        <w:spacing w:after="0"/>
        <w:jc w:val="both"/>
        <w:rPr>
          <w:rFonts w:eastAsia="Calibri" w:asciiTheme="majorHAnsi" w:hAnsiTheme="majorHAnsi" w:cstheme="majorHAnsi"/>
        </w:rPr>
      </w:pPr>
    </w:p>
    <w:p w:rsidRPr="000F4C13" w:rsidR="00C96053" w:rsidRDefault="00B2522B" w14:paraId="696FA36E" w14:textId="7DB2366C">
      <w:pPr>
        <w:spacing w:after="0"/>
        <w:jc w:val="both"/>
        <w:rPr>
          <w:rFonts w:eastAsia="Calibri" w:asciiTheme="majorHAnsi" w:hAnsiTheme="majorHAnsi" w:cstheme="majorHAnsi"/>
          <w:b/>
          <w:bCs/>
        </w:rPr>
      </w:pPr>
      <w:r w:rsidRPr="000F4C13">
        <w:rPr>
          <w:rFonts w:eastAsia="Calibri" w:asciiTheme="majorHAnsi" w:hAnsiTheme="majorHAnsi" w:cstheme="majorHAnsi"/>
        </w:rPr>
        <w:t xml:space="preserve">Furthermore, OID, OEM, and the University of Central Oklahoma collaborate on the statewide “Get Ready” campaign, enhancing community preparedness through accessible, research-based messaging. Through these combined strategies—rigorous analysis, improved building practices, direct consumer support, and strong cross-sector partnerships—Oklahoma continues to strengthen its resilience </w:t>
      </w:r>
      <w:r w:rsidRPr="000F4C13" w:rsidR="007572BE">
        <w:rPr>
          <w:rFonts w:eastAsia="Calibri" w:asciiTheme="majorHAnsi" w:hAnsiTheme="majorHAnsi" w:cstheme="majorHAnsi"/>
        </w:rPr>
        <w:t>against tornadoes and other severe weather hazards while improving homeowner protection</w:t>
      </w:r>
      <w:r w:rsidRPr="000F4C13">
        <w:rPr>
          <w:rFonts w:eastAsia="Calibri" w:asciiTheme="majorHAnsi" w:hAnsiTheme="majorHAnsi" w:cstheme="majorHAnsi"/>
        </w:rPr>
        <w:t xml:space="preserve"> across the state.</w:t>
      </w:r>
    </w:p>
    <w:p w:rsidRPr="000F4C13" w:rsidR="00C96053" w:rsidP="0037406E" w:rsidRDefault="00B2522B" w14:paraId="7ADD9BC8" w14:textId="77777777">
      <w:pPr>
        <w:pStyle w:val="Heading3"/>
        <w:keepNext w:val="0"/>
        <w:keepLines w:val="0"/>
        <w:spacing w:after="0"/>
        <w:rPr>
          <w:rFonts w:asciiTheme="majorHAnsi" w:hAnsiTheme="majorHAnsi" w:cstheme="majorHAnsi"/>
        </w:rPr>
      </w:pPr>
      <w:bookmarkStart w:name="_u4g0t4o6uwss" w:colFirst="0" w:colLast="0" w:id="85"/>
      <w:bookmarkEnd w:id="85"/>
      <w:r w:rsidRPr="000F4C13">
        <w:rPr>
          <w:rFonts w:asciiTheme="majorHAnsi" w:hAnsiTheme="majorHAnsi" w:cstheme="majorHAnsi"/>
        </w:rPr>
        <w:t>Minnesota</w:t>
      </w:r>
    </w:p>
    <w:p w:rsidRPr="000F4C13" w:rsidR="00302997" w:rsidP="00302997" w:rsidRDefault="00302997" w14:paraId="3EC73EE8" w14:textId="527B3832">
      <w:pPr>
        <w:pStyle w:val="Heading4"/>
        <w:keepNext w:val="0"/>
        <w:keepLines w:val="0"/>
        <w:spacing w:after="0" w:line="276" w:lineRule="auto"/>
        <w:rPr>
          <w:rFonts w:asciiTheme="majorHAnsi" w:hAnsiTheme="majorHAnsi" w:cstheme="majorHAnsi"/>
        </w:rPr>
      </w:pPr>
      <w:bookmarkStart w:name="_i25ntqxdiskj" w:colFirst="0" w:colLast="0" w:id="86"/>
      <w:bookmarkEnd w:id="86"/>
      <w:r w:rsidRPr="000F4C13">
        <w:rPr>
          <w:rFonts w:asciiTheme="majorHAnsi" w:hAnsiTheme="majorHAnsi" w:cstheme="majorHAnsi"/>
        </w:rPr>
        <w:t>Introduction</w:t>
      </w:r>
    </w:p>
    <w:p w:rsidRPr="000F4C13" w:rsidR="005124EA" w:rsidP="00302997" w:rsidRDefault="005124EA" w14:paraId="751747A9" w14:textId="012050E6">
      <w:pPr>
        <w:jc w:val="both"/>
        <w:rPr>
          <w:rFonts w:asciiTheme="majorHAnsi" w:hAnsiTheme="majorHAnsi" w:cstheme="majorHAnsi"/>
        </w:rPr>
      </w:pPr>
      <w:r w:rsidRPr="000F4C13">
        <w:rPr>
          <w:rFonts w:asciiTheme="majorHAnsi" w:hAnsiTheme="majorHAnsi" w:cstheme="majorHAnsi"/>
          <w:color w:val="000000"/>
        </w:rPr>
        <w:t>Severe convective storms in Minnesota</w:t>
      </w:r>
      <w:r w:rsidRPr="000F4C13" w:rsidR="00FE4883">
        <w:rPr>
          <w:rFonts w:asciiTheme="majorHAnsi" w:hAnsiTheme="majorHAnsi" w:cstheme="majorHAnsi"/>
          <w:color w:val="000000"/>
        </w:rPr>
        <w:t xml:space="preserve"> </w:t>
      </w:r>
      <w:r w:rsidRPr="000F4C13">
        <w:rPr>
          <w:rFonts w:asciiTheme="majorHAnsi" w:hAnsiTheme="majorHAnsi" w:cstheme="majorHAnsi"/>
          <w:color w:val="000000"/>
        </w:rPr>
        <w:t xml:space="preserve">typically </w:t>
      </w:r>
      <w:r w:rsidR="002C2438">
        <w:rPr>
          <w:rFonts w:asciiTheme="majorHAnsi" w:hAnsiTheme="majorHAnsi" w:cstheme="majorHAnsi"/>
          <w:color w:val="000000"/>
        </w:rPr>
        <w:t>peak</w:t>
      </w:r>
      <w:r w:rsidRPr="000F4C13">
        <w:rPr>
          <w:rFonts w:asciiTheme="majorHAnsi" w:hAnsiTheme="majorHAnsi" w:cstheme="majorHAnsi"/>
          <w:color w:val="000000"/>
        </w:rPr>
        <w:t xml:space="preserve"> in</w:t>
      </w:r>
      <w:r w:rsidRPr="000F4C13" w:rsidR="00FE4883">
        <w:rPr>
          <w:rFonts w:asciiTheme="majorHAnsi" w:hAnsiTheme="majorHAnsi" w:cstheme="majorHAnsi"/>
          <w:color w:val="000000"/>
        </w:rPr>
        <w:t xml:space="preserve"> late summer, causing </w:t>
      </w:r>
      <w:r w:rsidRPr="000F4C13">
        <w:rPr>
          <w:rFonts w:asciiTheme="majorHAnsi" w:hAnsiTheme="majorHAnsi" w:cstheme="majorHAnsi"/>
          <w:color w:val="000000"/>
        </w:rPr>
        <w:t xml:space="preserve">significant, localized destruction through tornadoes, large hail, and high-speed straight-line winds. These events, which have included an average of 46 tornadoes annually and numerous derechos in recent years, </w:t>
      </w:r>
      <w:r w:rsidR="002C2438">
        <w:rPr>
          <w:rFonts w:asciiTheme="majorHAnsi" w:hAnsiTheme="majorHAnsi" w:cstheme="majorHAnsi"/>
          <w:color w:val="000000"/>
        </w:rPr>
        <w:t>have heavily impacted both</w:t>
      </w:r>
      <w:r w:rsidRPr="000F4C13">
        <w:rPr>
          <w:rFonts w:asciiTheme="majorHAnsi" w:hAnsiTheme="majorHAnsi" w:cstheme="majorHAnsi"/>
          <w:color w:val="000000"/>
        </w:rPr>
        <w:t xml:space="preserve"> </w:t>
      </w:r>
      <w:r w:rsidRPr="000F4C13" w:rsidR="00F76C66">
        <w:rPr>
          <w:rFonts w:asciiTheme="majorHAnsi" w:hAnsiTheme="majorHAnsi" w:cstheme="majorHAnsi"/>
          <w:color w:val="000000"/>
        </w:rPr>
        <w:t xml:space="preserve">rural and urban </w:t>
      </w:r>
      <w:r w:rsidRPr="000F4C13">
        <w:rPr>
          <w:rFonts w:asciiTheme="majorHAnsi" w:hAnsiTheme="majorHAnsi" w:cstheme="majorHAnsi"/>
          <w:color w:val="000000"/>
        </w:rPr>
        <w:t xml:space="preserve">residential properties, </w:t>
      </w:r>
      <w:r w:rsidRPr="000F4C13" w:rsidR="005B053F">
        <w:rPr>
          <w:rFonts w:asciiTheme="majorHAnsi" w:hAnsiTheme="majorHAnsi" w:cstheme="majorHAnsi"/>
          <w:color w:val="000000"/>
        </w:rPr>
        <w:t xml:space="preserve">increasing </w:t>
      </w:r>
      <w:r w:rsidRPr="000F4C13" w:rsidR="00AB4FC7">
        <w:rPr>
          <w:rFonts w:asciiTheme="majorHAnsi" w:hAnsiTheme="majorHAnsi" w:cstheme="majorHAnsi"/>
          <w:color w:val="000000"/>
        </w:rPr>
        <w:t>pressure</w:t>
      </w:r>
      <w:r w:rsidRPr="000F4C13" w:rsidR="005B053F">
        <w:rPr>
          <w:rFonts w:asciiTheme="majorHAnsi" w:hAnsiTheme="majorHAnsi" w:cstheme="majorHAnsi"/>
          <w:color w:val="000000"/>
        </w:rPr>
        <w:t xml:space="preserve"> on insurance markets. </w:t>
      </w:r>
    </w:p>
    <w:p w:rsidRPr="000F4C13" w:rsidR="00C96053" w:rsidP="0037406E" w:rsidRDefault="00B2522B" w14:paraId="13B12D1E" w14:textId="77777777">
      <w:pPr>
        <w:pStyle w:val="Heading4"/>
        <w:keepNext w:val="0"/>
        <w:keepLines w:val="0"/>
        <w:spacing w:after="0" w:line="276" w:lineRule="auto"/>
        <w:rPr>
          <w:rFonts w:asciiTheme="majorHAnsi" w:hAnsiTheme="majorHAnsi" w:cstheme="majorHAnsi"/>
        </w:rPr>
      </w:pPr>
      <w:bookmarkStart w:name="_53wwybbvt4n1" w:colFirst="0" w:colLast="0" w:id="87"/>
      <w:bookmarkEnd w:id="87"/>
      <w:r w:rsidRPr="000F4C13">
        <w:rPr>
          <w:rFonts w:asciiTheme="majorHAnsi" w:hAnsiTheme="majorHAnsi" w:cstheme="majorHAnsi"/>
        </w:rPr>
        <w:t>Reports</w:t>
      </w:r>
    </w:p>
    <w:p w:rsidRPr="000F4C13" w:rsidR="00C96053" w:rsidP="00B04126" w:rsidRDefault="00B2522B" w14:paraId="0F1C8BE7" w14:textId="6929B1C4">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In early 2025, the Minneapolis Federal Reserve released </w:t>
      </w:r>
      <w:hyperlink r:id="rId73">
        <w:r w:rsidRPr="000F4C13" w:rsidR="00C96053">
          <w:rPr>
            <w:rFonts w:eastAsia="Calibri" w:asciiTheme="majorHAnsi" w:hAnsiTheme="majorHAnsi" w:cstheme="majorHAnsi"/>
            <w:color w:val="467886"/>
            <w:u w:val="single"/>
          </w:rPr>
          <w:t>an analysis of Minnesota’s insurance markets</w:t>
        </w:r>
      </w:hyperlink>
      <w:r w:rsidRPr="000F4C13" w:rsidR="00530ED4">
        <w:rPr>
          <w:rFonts w:asciiTheme="majorHAnsi" w:hAnsiTheme="majorHAnsi" w:cstheme="majorHAnsi"/>
        </w:rPr>
        <w:t>,</w:t>
      </w:r>
      <w:r w:rsidRPr="000F4C13">
        <w:rPr>
          <w:rFonts w:eastAsia="Calibri" w:asciiTheme="majorHAnsi" w:hAnsiTheme="majorHAnsi" w:cstheme="majorHAnsi"/>
        </w:rPr>
        <w:t xml:space="preserve"> </w:t>
      </w:r>
      <w:r w:rsidR="002C2438">
        <w:rPr>
          <w:rFonts w:eastAsia="Calibri" w:asciiTheme="majorHAnsi" w:hAnsiTheme="majorHAnsi" w:cstheme="majorHAnsi"/>
        </w:rPr>
        <w:t>focusing</w:t>
      </w:r>
      <w:r w:rsidRPr="000F4C13">
        <w:rPr>
          <w:rFonts w:eastAsia="Calibri" w:asciiTheme="majorHAnsi" w:hAnsiTheme="majorHAnsi" w:cstheme="majorHAnsi"/>
        </w:rPr>
        <w:t xml:space="preserve"> on how </w:t>
      </w:r>
      <w:r w:rsidRPr="000F4C13" w:rsidR="00653A5D">
        <w:rPr>
          <w:rFonts w:eastAsia="Calibri" w:asciiTheme="majorHAnsi" w:hAnsiTheme="majorHAnsi" w:cstheme="majorHAnsi"/>
        </w:rPr>
        <w:t>rising premiums and reduced availability are affecting</w:t>
      </w:r>
      <w:r w:rsidRPr="000F4C13">
        <w:rPr>
          <w:rFonts w:eastAsia="Calibri" w:asciiTheme="majorHAnsi" w:hAnsiTheme="majorHAnsi" w:cstheme="majorHAnsi"/>
        </w:rPr>
        <w:t xml:space="preserve"> multifamily housing. The report found that annual premiums increased significantly between 2023 and 2024</w:t>
      </w:r>
      <w:r w:rsidRPr="000F4C13" w:rsidR="008D282E">
        <w:rPr>
          <w:rFonts w:eastAsia="Calibri" w:asciiTheme="majorHAnsi" w:hAnsiTheme="majorHAnsi" w:cstheme="majorHAnsi"/>
        </w:rPr>
        <w:t xml:space="preserve">, while affordable housing providers </w:t>
      </w:r>
      <w:r w:rsidRPr="000F4C13" w:rsidR="004401D7">
        <w:rPr>
          <w:rFonts w:eastAsia="Calibri" w:asciiTheme="majorHAnsi" w:hAnsiTheme="majorHAnsi" w:cstheme="majorHAnsi"/>
        </w:rPr>
        <w:t>experienced reductions in coverage and struggled</w:t>
      </w:r>
      <w:r w:rsidRPr="000F4C13">
        <w:rPr>
          <w:rFonts w:eastAsia="Calibri" w:asciiTheme="majorHAnsi" w:hAnsiTheme="majorHAnsi" w:cstheme="majorHAnsi"/>
        </w:rPr>
        <w:t xml:space="preserve"> to find insurers willing to write their business. </w:t>
      </w:r>
    </w:p>
    <w:p w:rsidRPr="000F4C13" w:rsidR="00C96053" w:rsidP="00B04126" w:rsidRDefault="00B2522B" w14:paraId="552FD2A4" w14:textId="660B99DA">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During the 2025 session, the Minnesota Legislature recognized the need for additional study of multiple issues impacting the state’s home insurance markets. It convened a task force to evaluate issues and provide recommendation</w:t>
      </w:r>
      <w:r w:rsidRPr="000F4C13" w:rsidR="00257B77">
        <w:rPr>
          <w:rFonts w:eastAsia="Calibri" w:asciiTheme="majorHAnsi" w:hAnsiTheme="majorHAnsi" w:cstheme="majorHAnsi"/>
        </w:rPr>
        <w:t>s</w:t>
      </w:r>
      <w:r w:rsidRPr="000F4C13">
        <w:rPr>
          <w:rFonts w:eastAsia="Calibri" w:asciiTheme="majorHAnsi" w:hAnsiTheme="majorHAnsi" w:cstheme="majorHAnsi"/>
        </w:rPr>
        <w:t xml:space="preserve"> </w:t>
      </w:r>
      <w:r w:rsidRPr="000F4C13" w:rsidR="00257B77">
        <w:rPr>
          <w:rFonts w:eastAsia="Calibri" w:asciiTheme="majorHAnsi" w:hAnsiTheme="majorHAnsi" w:cstheme="majorHAnsi"/>
        </w:rPr>
        <w:t>on insurance affordability across</w:t>
      </w:r>
      <w:r w:rsidRPr="000F4C13">
        <w:rPr>
          <w:rFonts w:eastAsia="Calibri" w:asciiTheme="majorHAnsi" w:hAnsiTheme="majorHAnsi" w:cstheme="majorHAnsi"/>
        </w:rPr>
        <w:t xml:space="preserve"> multiple markets. The task force was charged with reviewing nine topic areas and returning a report to the legislature with recommendations for additional actions to support access to affordable insurance. </w:t>
      </w:r>
    </w:p>
    <w:p w:rsidRPr="000F4C13" w:rsidR="00C96053" w:rsidP="00B04126" w:rsidRDefault="00B2522B" w14:paraId="26B0C07C" w14:textId="143747FE">
      <w:pPr>
        <w:spacing w:before="200" w:after="0" w:line="276" w:lineRule="auto"/>
        <w:jc w:val="both"/>
        <w:rPr>
          <w:rFonts w:eastAsia="Calibri" w:asciiTheme="majorHAnsi" w:hAnsiTheme="majorHAnsi" w:cstheme="majorHAnsi"/>
        </w:rPr>
      </w:pPr>
      <w:hyperlink w:history="1" r:id="rId74">
        <w:r w:rsidRPr="000F4C13">
          <w:rPr>
            <w:rStyle w:val="Hyperlink"/>
            <w:rFonts w:eastAsia="Calibri" w:asciiTheme="majorHAnsi" w:hAnsiTheme="majorHAnsi" w:cstheme="majorHAnsi"/>
          </w:rPr>
          <w:t>The Task Force’s final report</w:t>
        </w:r>
      </w:hyperlink>
      <w:r w:rsidRPr="000F4C13">
        <w:rPr>
          <w:rFonts w:eastAsia="Calibri" w:asciiTheme="majorHAnsi" w:hAnsiTheme="majorHAnsi" w:cstheme="majorHAnsi"/>
        </w:rPr>
        <w:t xml:space="preserve"> returned seven recommendations</w:t>
      </w:r>
      <w:r w:rsidRPr="000F4C13" w:rsidR="00997F42">
        <w:rPr>
          <w:rFonts w:eastAsia="Calibri" w:asciiTheme="majorHAnsi" w:hAnsiTheme="majorHAnsi" w:cstheme="majorHAnsi"/>
        </w:rPr>
        <w:t>,</w:t>
      </w:r>
      <w:r w:rsidRPr="000F4C13">
        <w:rPr>
          <w:rFonts w:eastAsia="Calibri" w:asciiTheme="majorHAnsi" w:hAnsiTheme="majorHAnsi" w:cstheme="majorHAnsi"/>
        </w:rPr>
        <w:t xml:space="preserve"> including studying whether the state’s FAIR Plan can expand its product offerings, funding the Strengthen Minnesota Homes grant program, examining the feasibility of creating catastrophe savings accounts</w:t>
      </w:r>
      <w:r w:rsidRPr="000F4C13" w:rsidR="00997F42">
        <w:rPr>
          <w:rFonts w:eastAsia="Calibri" w:asciiTheme="majorHAnsi" w:hAnsiTheme="majorHAnsi" w:cstheme="majorHAnsi"/>
        </w:rPr>
        <w:t>,</w:t>
      </w:r>
      <w:r w:rsidRPr="000F4C13">
        <w:rPr>
          <w:rFonts w:eastAsia="Calibri" w:asciiTheme="majorHAnsi" w:hAnsiTheme="majorHAnsi" w:cstheme="majorHAnsi"/>
        </w:rPr>
        <w:t xml:space="preserve"> and clarifying the state’s existing alternative dispute resolution process to provide more consistency for policyholders and companies. </w:t>
      </w:r>
    </w:p>
    <w:p w:rsidRPr="000F4C13" w:rsidR="00C96053" w:rsidP="00B04126" w:rsidRDefault="00B2522B" w14:paraId="3D1B9BA8" w14:textId="77777777">
      <w:pPr>
        <w:pStyle w:val="Heading4"/>
        <w:keepNext w:val="0"/>
        <w:keepLines w:val="0"/>
        <w:spacing w:before="200" w:after="0" w:line="276" w:lineRule="auto"/>
        <w:rPr>
          <w:rFonts w:asciiTheme="majorHAnsi" w:hAnsiTheme="majorHAnsi" w:cstheme="majorHAnsi"/>
        </w:rPr>
      </w:pPr>
      <w:bookmarkStart w:name="_4klwghfhs2aq" w:colFirst="0" w:colLast="0" w:id="88"/>
      <w:bookmarkEnd w:id="88"/>
      <w:r w:rsidRPr="000F4C13">
        <w:rPr>
          <w:rFonts w:asciiTheme="majorHAnsi" w:hAnsiTheme="majorHAnsi" w:cstheme="majorHAnsi"/>
        </w:rPr>
        <w:t xml:space="preserve">Data Collection </w:t>
      </w:r>
    </w:p>
    <w:p w:rsidRPr="000F4C13" w:rsidR="00C96053" w:rsidP="006C6E86" w:rsidRDefault="00B2522B" w14:paraId="672F5139" w14:textId="27D1A53B">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In 2023, Minnesota </w:t>
      </w:r>
      <w:r w:rsidRPr="000F4C13" w:rsidR="005537CD">
        <w:rPr>
          <w:rFonts w:eastAsia="Calibri" w:asciiTheme="majorHAnsi" w:hAnsiTheme="majorHAnsi" w:cstheme="majorHAnsi"/>
        </w:rPr>
        <w:t>enacted a statutory mandate requiring insurers to offer</w:t>
      </w:r>
      <w:r w:rsidRPr="000F4C13">
        <w:rPr>
          <w:rFonts w:eastAsia="Calibri" w:asciiTheme="majorHAnsi" w:hAnsiTheme="majorHAnsi" w:cstheme="majorHAnsi"/>
        </w:rPr>
        <w:t xml:space="preserve"> policyholders a premium discount or rate reduction for receiving a FORTIFIED designation from IBHS. With a small number of existing FORTIFIED designations in the state, however, regulators had a limited frame of reference with which to evaluate company filings in compliance with this requirement. </w:t>
      </w:r>
    </w:p>
    <w:p w:rsidRPr="000F4C13" w:rsidR="00C96053" w:rsidP="006C6E86" w:rsidRDefault="00B2522B" w14:paraId="1D4BE5B4" w14:textId="2AC4D1CF">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Working in partnership with the NAIC CIPR Catastrophe Risk Management Center of Excellence, the Minnesota Department of Commerce issued a voluntary data call that collected company information for analysis using catastrophe models and actuarial analysis. This collaborative approach resulted in the Department issuing a bulletin to carriers outlining the regulatory review process for insurer filings at or above an expected discount threshold</w:t>
      </w:r>
      <w:r w:rsidRPr="000F4C13" w:rsidR="001647E8">
        <w:rPr>
          <w:rFonts w:eastAsia="Calibri" w:asciiTheme="majorHAnsi" w:hAnsiTheme="majorHAnsi" w:cstheme="majorHAnsi"/>
        </w:rPr>
        <w:t xml:space="preserve">, as well as for filings </w:t>
      </w:r>
      <w:r w:rsidRPr="000F4C13">
        <w:rPr>
          <w:rFonts w:eastAsia="Calibri" w:asciiTheme="majorHAnsi" w:hAnsiTheme="majorHAnsi" w:cstheme="majorHAnsi"/>
        </w:rPr>
        <w:t xml:space="preserve">below that threshold. </w:t>
      </w:r>
      <w:r w:rsidRPr="000F4C13" w:rsidR="006E4936">
        <w:rPr>
          <w:rFonts w:eastAsia="Calibri" w:asciiTheme="majorHAnsi" w:hAnsiTheme="majorHAnsi" w:cstheme="majorHAnsi"/>
        </w:rPr>
        <w:t xml:space="preserve">[Placeholder for MN Bulletin] </w:t>
      </w:r>
      <w:r w:rsidRPr="000F4C13">
        <w:rPr>
          <w:rFonts w:eastAsia="Calibri" w:asciiTheme="majorHAnsi" w:hAnsiTheme="majorHAnsi" w:cstheme="majorHAnsi"/>
        </w:rPr>
        <w:t xml:space="preserve">This project </w:t>
      </w:r>
      <w:r w:rsidR="002C2438">
        <w:rPr>
          <w:rFonts w:eastAsia="Calibri" w:asciiTheme="majorHAnsi" w:hAnsiTheme="majorHAnsi" w:cstheme="majorHAnsi"/>
        </w:rPr>
        <w:t>enabled the Department to design a faster, more efficient filing process, improving speed-to-market for carriers and increasing</w:t>
      </w:r>
      <w:r w:rsidRPr="000F4C13">
        <w:rPr>
          <w:rFonts w:eastAsia="Calibri" w:asciiTheme="majorHAnsi" w:hAnsiTheme="majorHAnsi" w:cstheme="majorHAnsi"/>
        </w:rPr>
        <w:t xml:space="preserve"> access to cost savings for policyholders.</w:t>
      </w:r>
    </w:p>
    <w:p w:rsidRPr="000F4C13" w:rsidR="00C96053" w:rsidP="006C6E86" w:rsidRDefault="00B2522B" w14:paraId="4381B462" w14:textId="5A79022E">
      <w:pPr>
        <w:pStyle w:val="Heading4"/>
        <w:keepNext w:val="0"/>
        <w:keepLines w:val="0"/>
        <w:spacing w:before="200" w:after="0" w:line="276" w:lineRule="auto"/>
        <w:rPr>
          <w:rFonts w:asciiTheme="majorHAnsi" w:hAnsiTheme="majorHAnsi" w:cstheme="majorHAnsi"/>
        </w:rPr>
      </w:pPr>
      <w:bookmarkStart w:name="_8ud2vtdjflz9" w:colFirst="0" w:colLast="0" w:id="89"/>
      <w:bookmarkEnd w:id="89"/>
      <w:r w:rsidRPr="000F4C13">
        <w:rPr>
          <w:rFonts w:asciiTheme="majorHAnsi" w:hAnsiTheme="majorHAnsi" w:cstheme="majorHAnsi"/>
        </w:rPr>
        <w:t>Strategy, Initiatives &amp; Resources</w:t>
      </w:r>
    </w:p>
    <w:p w:rsidRPr="000F4C13" w:rsidR="00C96053" w:rsidP="006C6E86" w:rsidRDefault="00B2522B" w14:paraId="61F1F9E0" w14:textId="1B2E3EE0">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The Minnesota Department of Commerce has developed resources for state residents </w:t>
      </w:r>
      <w:r w:rsidR="002C2438">
        <w:rPr>
          <w:rFonts w:eastAsia="Calibri" w:asciiTheme="majorHAnsi" w:hAnsiTheme="majorHAnsi" w:cstheme="majorHAnsi"/>
        </w:rPr>
        <w:t>seeking to navigate the purchase and use of home insurance</w:t>
      </w:r>
      <w:r w:rsidRPr="000F4C13">
        <w:rPr>
          <w:rFonts w:eastAsia="Calibri" w:asciiTheme="majorHAnsi" w:hAnsiTheme="majorHAnsi" w:cstheme="majorHAnsi"/>
        </w:rPr>
        <w:t xml:space="preserve">. Department resources are housed on </w:t>
      </w:r>
      <w:hyperlink r:id="rId75">
        <w:r w:rsidRPr="000F4C13" w:rsidR="00C96053">
          <w:rPr>
            <w:rFonts w:eastAsia="Calibri" w:asciiTheme="majorHAnsi" w:hAnsiTheme="majorHAnsi" w:cstheme="majorHAnsi"/>
            <w:color w:val="467886"/>
            <w:u w:val="single"/>
          </w:rPr>
          <w:t>Commerce’s Disaster Information Center</w:t>
        </w:r>
      </w:hyperlink>
      <w:r w:rsidRPr="000F4C13">
        <w:rPr>
          <w:rFonts w:eastAsia="Calibri" w:asciiTheme="majorHAnsi" w:hAnsiTheme="majorHAnsi" w:cstheme="majorHAnsi"/>
        </w:rPr>
        <w:t xml:space="preserve"> and organized for consumers on how to </w:t>
      </w:r>
      <w:hyperlink r:id="rId76">
        <w:r w:rsidRPr="000F4C13" w:rsidR="00C96053">
          <w:rPr>
            <w:rFonts w:eastAsia="Calibri" w:asciiTheme="majorHAnsi" w:hAnsiTheme="majorHAnsi" w:cstheme="majorHAnsi"/>
            <w:color w:val="467886"/>
            <w:u w:val="single"/>
          </w:rPr>
          <w:t>prepare before</w:t>
        </w:r>
      </w:hyperlink>
      <w:r w:rsidRPr="000F4C13">
        <w:rPr>
          <w:rFonts w:eastAsia="Calibri" w:asciiTheme="majorHAnsi" w:hAnsiTheme="majorHAnsi" w:cstheme="majorHAnsi"/>
        </w:rPr>
        <w:t xml:space="preserve"> and </w:t>
      </w:r>
      <w:hyperlink r:id="rId77">
        <w:r w:rsidRPr="000F4C13" w:rsidR="00C96053">
          <w:rPr>
            <w:rFonts w:eastAsia="Calibri" w:asciiTheme="majorHAnsi" w:hAnsiTheme="majorHAnsi" w:cstheme="majorHAnsi"/>
            <w:color w:val="467886"/>
            <w:u w:val="single"/>
          </w:rPr>
          <w:t>respond after</w:t>
        </w:r>
      </w:hyperlink>
      <w:r w:rsidRPr="000F4C13">
        <w:rPr>
          <w:rFonts w:eastAsia="Calibri" w:asciiTheme="majorHAnsi" w:hAnsiTheme="majorHAnsi" w:cstheme="majorHAnsi"/>
        </w:rPr>
        <w:t xml:space="preserve"> disasters occur. These materials are also </w:t>
      </w:r>
      <w:r w:rsidR="002C2438">
        <w:rPr>
          <w:rFonts w:eastAsia="Calibri" w:asciiTheme="majorHAnsi" w:hAnsiTheme="majorHAnsi" w:cstheme="majorHAnsi"/>
        </w:rPr>
        <w:t>used by Department staff when responding in the field following disasters to assist Minnesotans</w:t>
      </w:r>
      <w:r w:rsidRPr="000F4C13">
        <w:rPr>
          <w:rFonts w:eastAsia="Calibri" w:asciiTheme="majorHAnsi" w:hAnsiTheme="majorHAnsi" w:cstheme="majorHAnsi"/>
        </w:rPr>
        <w:t xml:space="preserve">. </w:t>
      </w:r>
    </w:p>
    <w:p w:rsidRPr="000F4C13" w:rsidR="00C96053" w:rsidP="006C6E86" w:rsidRDefault="00B2522B" w14:paraId="1B0C0442" w14:textId="5BB187C5">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A cornerstone of the Department’s efforts to help Minnesotans prepare for disasters is the development of resources </w:t>
      </w:r>
      <w:r w:rsidR="00646905">
        <w:rPr>
          <w:rFonts w:eastAsia="Calibri" w:asciiTheme="majorHAnsi" w:hAnsiTheme="majorHAnsi" w:cstheme="majorHAnsi"/>
        </w:rPr>
        <w:t>to help consumers create</w:t>
      </w:r>
      <w:r w:rsidRPr="000F4C13">
        <w:rPr>
          <w:rFonts w:eastAsia="Calibri" w:asciiTheme="majorHAnsi" w:hAnsiTheme="majorHAnsi" w:cstheme="majorHAnsi"/>
        </w:rPr>
        <w:t xml:space="preserve"> a home inventory. This includes a </w:t>
      </w:r>
      <w:hyperlink r:id="rId78">
        <w:r w:rsidRPr="000F4C13" w:rsidR="00C96053">
          <w:rPr>
            <w:rFonts w:eastAsia="Calibri" w:asciiTheme="majorHAnsi" w:hAnsiTheme="majorHAnsi" w:cstheme="majorHAnsi"/>
            <w:color w:val="467886"/>
            <w:u w:val="single"/>
          </w:rPr>
          <w:t>written checklist and template</w:t>
        </w:r>
      </w:hyperlink>
      <w:r w:rsidRPr="000F4C13">
        <w:rPr>
          <w:rFonts w:eastAsia="Calibri" w:asciiTheme="majorHAnsi" w:hAnsiTheme="majorHAnsi" w:cstheme="majorHAnsi"/>
        </w:rPr>
        <w:t xml:space="preserve"> for creating an inventory</w:t>
      </w:r>
      <w:r w:rsidR="00646905">
        <w:rPr>
          <w:rFonts w:eastAsia="Calibri" w:asciiTheme="majorHAnsi" w:hAnsiTheme="majorHAnsi" w:cstheme="majorHAnsi"/>
        </w:rPr>
        <w:t>, along with a video</w:t>
      </w:r>
      <w:r w:rsidRPr="000F4C13">
        <w:rPr>
          <w:rFonts w:eastAsia="Calibri" w:asciiTheme="majorHAnsi" w:hAnsiTheme="majorHAnsi" w:cstheme="majorHAnsi"/>
        </w:rPr>
        <w:t xml:space="preserve"> demonstrating </w:t>
      </w:r>
      <w:hyperlink r:id="rId79">
        <w:r w:rsidRPr="000F4C13" w:rsidR="00C96053">
          <w:rPr>
            <w:rFonts w:eastAsia="Calibri" w:asciiTheme="majorHAnsi" w:hAnsiTheme="majorHAnsi" w:cstheme="majorHAnsi"/>
            <w:color w:val="467886"/>
            <w:u w:val="single"/>
          </w:rPr>
          <w:t>how valuable a home inventory can be if your home is damaged in a storm</w:t>
        </w:r>
      </w:hyperlink>
      <w:r w:rsidRPr="000F4C13">
        <w:rPr>
          <w:rFonts w:eastAsia="Calibri" w:asciiTheme="majorHAnsi" w:hAnsiTheme="majorHAnsi" w:cstheme="majorHAnsi"/>
        </w:rPr>
        <w:t xml:space="preserve">. Commerce has also developed video content aimed at helping consumers understand their </w:t>
      </w:r>
      <w:hyperlink r:id="rId80">
        <w:r w:rsidRPr="000F4C13" w:rsidR="00C96053">
          <w:rPr>
            <w:rFonts w:eastAsia="Calibri" w:asciiTheme="majorHAnsi" w:hAnsiTheme="majorHAnsi" w:cstheme="majorHAnsi"/>
            <w:color w:val="467886"/>
            <w:u w:val="single"/>
          </w:rPr>
          <w:t>homeowners insurance policy</w:t>
        </w:r>
      </w:hyperlink>
      <w:r w:rsidRPr="000F4C13">
        <w:rPr>
          <w:rFonts w:eastAsia="Calibri" w:asciiTheme="majorHAnsi" w:hAnsiTheme="majorHAnsi" w:cstheme="majorHAnsi"/>
        </w:rPr>
        <w:t xml:space="preserve">. </w:t>
      </w:r>
    </w:p>
    <w:p w:rsidRPr="000F4C13" w:rsidR="00C96053" w:rsidP="006C6E86" w:rsidRDefault="00B2522B" w14:paraId="370C1173" w14:textId="77777777">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In 2023, the Minnesota Legislature passed two initiatives brought forward by the Department designed to directly support the affordability of home insurance in the state. The state </w:t>
      </w:r>
      <w:hyperlink r:id="rId81">
        <w:r w:rsidRPr="000F4C13" w:rsidR="00C96053">
          <w:rPr>
            <w:rFonts w:eastAsia="Calibri" w:asciiTheme="majorHAnsi" w:hAnsiTheme="majorHAnsi" w:cstheme="majorHAnsi"/>
            <w:color w:val="467886"/>
            <w:u w:val="single"/>
          </w:rPr>
          <w:t>established a mitigation grant program</w:t>
        </w:r>
      </w:hyperlink>
      <w:r w:rsidRPr="000F4C13">
        <w:rPr>
          <w:rFonts w:eastAsia="Calibri" w:asciiTheme="majorHAnsi" w:hAnsiTheme="majorHAnsi" w:cstheme="majorHAnsi"/>
        </w:rPr>
        <w:t xml:space="preserve">, </w:t>
      </w:r>
      <w:hyperlink r:id="rId82">
        <w:r w:rsidRPr="000F4C13" w:rsidR="00C96053">
          <w:rPr>
            <w:rFonts w:eastAsia="Calibri" w:asciiTheme="majorHAnsi" w:hAnsiTheme="majorHAnsi" w:cstheme="majorHAnsi"/>
            <w:color w:val="467886"/>
            <w:u w:val="single"/>
          </w:rPr>
          <w:t>Strengthen Minnesota Homes</w:t>
        </w:r>
      </w:hyperlink>
      <w:r w:rsidRPr="000F4C13">
        <w:rPr>
          <w:rFonts w:eastAsia="Calibri" w:asciiTheme="majorHAnsi" w:hAnsiTheme="majorHAnsi" w:cstheme="majorHAnsi"/>
        </w:rPr>
        <w:t xml:space="preserve">. Modeled on like programs in other states, the grant program is designed to help Minnesotans receive a FORTIFIED designation on their home. </w:t>
      </w:r>
    </w:p>
    <w:p w:rsidRPr="000F4C13" w:rsidR="00C96053" w:rsidP="006C6E86" w:rsidRDefault="00B2522B" w14:paraId="65062877" w14:textId="77777777">
      <w:pPr>
        <w:spacing w:before="200"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Separately, </w:t>
      </w:r>
      <w:hyperlink r:id="rId83">
        <w:r w:rsidRPr="000F4C13" w:rsidR="00C96053">
          <w:rPr>
            <w:rFonts w:eastAsia="Calibri" w:asciiTheme="majorHAnsi" w:hAnsiTheme="majorHAnsi" w:cstheme="majorHAnsi"/>
            <w:color w:val="467886"/>
            <w:u w:val="single"/>
          </w:rPr>
          <w:t>the state required insurers to provide a premium discount or rate reduction to Minnesota policyholders who receive a FORTIFIED designation</w:t>
        </w:r>
      </w:hyperlink>
      <w:r w:rsidRPr="000F4C13">
        <w:rPr>
          <w:rFonts w:eastAsia="Calibri" w:asciiTheme="majorHAnsi" w:hAnsiTheme="majorHAnsi" w:cstheme="majorHAnsi"/>
        </w:rPr>
        <w:t xml:space="preserve">. This requirement took effect on August 1, 2023, and applies to any home with a FORTIFIED designation, not just homes that receive a grant from the Strengthen Minnesota Homes program. </w:t>
      </w:r>
    </w:p>
    <w:p w:rsidRPr="000F4C13" w:rsidR="00C96053" w:rsidRDefault="00C96053" w14:paraId="384B4635" w14:textId="77777777">
      <w:pPr>
        <w:spacing w:after="0"/>
        <w:jc w:val="both"/>
        <w:rPr>
          <w:rFonts w:eastAsia="Calibri" w:asciiTheme="majorHAnsi" w:hAnsiTheme="majorHAnsi" w:cstheme="majorHAnsi"/>
          <w:b/>
          <w:bCs/>
        </w:rPr>
      </w:pPr>
    </w:p>
    <w:p w:rsidRPr="000F4C13" w:rsidR="00C96053" w:rsidRDefault="00B2522B" w14:paraId="3AD12516" w14:textId="77777777">
      <w:pPr>
        <w:pStyle w:val="Heading3"/>
        <w:spacing w:after="0"/>
        <w:rPr>
          <w:rFonts w:asciiTheme="majorHAnsi" w:hAnsiTheme="majorHAnsi" w:cstheme="majorHAnsi"/>
        </w:rPr>
      </w:pPr>
      <w:bookmarkStart w:name="_rsx36dtj9la" w:colFirst="0" w:colLast="0" w:id="90"/>
      <w:bookmarkEnd w:id="90"/>
      <w:r w:rsidRPr="000F4C13">
        <w:rPr>
          <w:rFonts w:asciiTheme="majorHAnsi" w:hAnsiTheme="majorHAnsi" w:cstheme="majorHAnsi"/>
        </w:rPr>
        <w:t>Mississippi</w:t>
      </w:r>
    </w:p>
    <w:p w:rsidRPr="000F4C13" w:rsidR="004344A4" w:rsidP="004344A4" w:rsidRDefault="004344A4" w14:paraId="3A8456F7" w14:textId="43B30D66">
      <w:pPr>
        <w:pStyle w:val="Heading4"/>
        <w:spacing w:after="0"/>
        <w:rPr>
          <w:rFonts w:asciiTheme="majorHAnsi" w:hAnsiTheme="majorHAnsi" w:cstheme="majorHAnsi"/>
        </w:rPr>
      </w:pPr>
      <w:bookmarkStart w:name="_30pqyna26sd8" w:colFirst="0" w:colLast="0" w:id="91"/>
      <w:bookmarkEnd w:id="91"/>
      <w:r w:rsidRPr="000F4C13">
        <w:rPr>
          <w:rFonts w:asciiTheme="majorHAnsi" w:hAnsiTheme="majorHAnsi" w:cstheme="majorHAnsi"/>
        </w:rPr>
        <w:t>Introduction:</w:t>
      </w:r>
    </w:p>
    <w:p w:rsidRPr="000F4C13" w:rsidR="003744F5" w:rsidP="003744F5" w:rsidRDefault="003744F5" w14:paraId="61E537B1" w14:textId="77777777">
      <w:pPr>
        <w:jc w:val="both"/>
        <w:rPr>
          <w:rFonts w:asciiTheme="majorHAnsi" w:hAnsiTheme="majorHAnsi" w:cstheme="majorHAnsi"/>
          <w:highlight w:val="yellow"/>
        </w:rPr>
      </w:pPr>
      <w:r w:rsidRPr="000F4C13">
        <w:rPr>
          <w:rFonts w:asciiTheme="majorHAnsi" w:hAnsiTheme="majorHAnsi" w:cstheme="majorHAnsi"/>
        </w:rPr>
        <w:t>Mississippi employs every available resource to ensure our residents have access to the most affordable homeowners insurance coverage possible. In the constantly evolving world of insurance, Mississippi is dedicated to maintaining a stable and reliable insurance market.</w:t>
      </w:r>
      <w:r w:rsidRPr="000F4C13" w:rsidDel="006F2255">
        <w:rPr>
          <w:rFonts w:asciiTheme="majorHAnsi" w:hAnsiTheme="majorHAnsi" w:cstheme="majorHAnsi"/>
          <w:highlight w:val="yellow"/>
        </w:rPr>
        <w:t xml:space="preserve"> </w:t>
      </w:r>
    </w:p>
    <w:p w:rsidRPr="000F4C13" w:rsidR="003744F5" w:rsidP="003744F5" w:rsidRDefault="003744F5" w14:paraId="31966B40" w14:textId="77777777">
      <w:pPr>
        <w:pStyle w:val="Heading4"/>
        <w:spacing w:after="0"/>
        <w:rPr>
          <w:rFonts w:asciiTheme="majorHAnsi" w:hAnsiTheme="majorHAnsi" w:cstheme="majorHAnsi"/>
        </w:rPr>
      </w:pPr>
      <w:r w:rsidRPr="000F4C13">
        <w:rPr>
          <w:rFonts w:asciiTheme="majorHAnsi" w:hAnsiTheme="majorHAnsi" w:cstheme="majorHAnsi"/>
        </w:rPr>
        <w:t>Reports:</w:t>
      </w:r>
    </w:p>
    <w:p w:rsidRPr="000F4C13" w:rsidR="003744F5" w:rsidP="003744F5" w:rsidRDefault="003744F5" w14:paraId="172A9EA3" w14:textId="77777777">
      <w:pPr>
        <w:pStyle w:val="ListParagraph"/>
        <w:numPr>
          <w:ilvl w:val="0"/>
          <w:numId w:val="40"/>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Property Insurance Clarity Act created by </w:t>
      </w:r>
      <w:hyperlink r:id="rId84">
        <w:r w:rsidRPr="000F4C13">
          <w:rPr>
            <w:rFonts w:eastAsia="Calibri" w:asciiTheme="majorHAnsi" w:hAnsiTheme="majorHAnsi" w:cstheme="majorHAnsi"/>
            <w:color w:val="467886"/>
            <w:u w:val="single"/>
          </w:rPr>
          <w:t>HB 739</w:t>
        </w:r>
      </w:hyperlink>
      <w:r w:rsidRPr="000F4C13">
        <w:rPr>
          <w:rFonts w:eastAsia="Calibri" w:asciiTheme="majorHAnsi" w:hAnsiTheme="majorHAnsi" w:cstheme="majorHAnsi"/>
        </w:rPr>
        <w:t xml:space="preserve"> requires insurers authorized to transact homeowners insurance business in the State of Mississippi to provide policy and premium information to the Mississippi Insurance Department.</w:t>
      </w:r>
    </w:p>
    <w:p w:rsidRPr="000F4C13" w:rsidR="003744F5" w:rsidP="003744F5" w:rsidRDefault="003744F5" w14:paraId="59147EE6" w14:textId="77777777">
      <w:pPr>
        <w:spacing w:after="0"/>
        <w:jc w:val="both"/>
        <w:rPr>
          <w:rFonts w:eastAsia="Calibri" w:asciiTheme="majorHAnsi" w:hAnsiTheme="majorHAnsi" w:cstheme="majorHAnsi"/>
        </w:rPr>
      </w:pPr>
    </w:p>
    <w:p w:rsidRPr="000F4C13" w:rsidR="003744F5" w:rsidP="003744F5" w:rsidRDefault="003744F5" w14:paraId="0255136D" w14:textId="77777777">
      <w:pPr>
        <w:pStyle w:val="Heading4"/>
        <w:spacing w:after="0"/>
        <w:rPr>
          <w:rFonts w:asciiTheme="majorHAnsi" w:hAnsiTheme="majorHAnsi" w:cstheme="majorHAnsi"/>
        </w:rPr>
      </w:pPr>
      <w:r w:rsidRPr="000F4C13">
        <w:rPr>
          <w:rFonts w:asciiTheme="majorHAnsi" w:hAnsiTheme="majorHAnsi" w:cstheme="majorHAnsi"/>
        </w:rPr>
        <w:t>Data Collection:</w:t>
      </w:r>
    </w:p>
    <w:p w:rsidRPr="000F4C13" w:rsidR="003744F5" w:rsidP="003744F5" w:rsidRDefault="003744F5" w14:paraId="14D6F638" w14:textId="77777777">
      <w:pPr>
        <w:pStyle w:val="ListParagraph"/>
        <w:numPr>
          <w:ilvl w:val="0"/>
          <w:numId w:val="41"/>
        </w:numPr>
        <w:spacing w:after="0"/>
        <w:jc w:val="both"/>
        <w:rPr>
          <w:rFonts w:eastAsia="Calibri" w:asciiTheme="majorHAnsi" w:hAnsiTheme="majorHAnsi" w:cstheme="majorHAnsi"/>
        </w:rPr>
      </w:pPr>
      <w:r w:rsidRPr="000F4C13">
        <w:rPr>
          <w:rFonts w:eastAsia="Calibri" w:asciiTheme="majorHAnsi" w:hAnsiTheme="majorHAnsi" w:cstheme="majorHAnsi"/>
        </w:rPr>
        <w:t xml:space="preserve">Clarity Act Database: </w:t>
      </w:r>
      <w:hyperlink r:id="rId85">
        <w:r w:rsidRPr="000F4C13">
          <w:rPr>
            <w:rFonts w:eastAsia="Calibri" w:asciiTheme="majorHAnsi" w:hAnsiTheme="majorHAnsi" w:cstheme="majorHAnsi"/>
            <w:color w:val="467886"/>
            <w:u w:val="single"/>
          </w:rPr>
          <w:t>Clarity Act/Market Analysis Data Call</w:t>
        </w:r>
      </w:hyperlink>
    </w:p>
    <w:p w:rsidRPr="000F4C13" w:rsidR="003744F5" w:rsidP="003744F5" w:rsidRDefault="003744F5" w14:paraId="15B08FFA" w14:textId="77777777">
      <w:pPr>
        <w:pStyle w:val="ListParagraph"/>
        <w:numPr>
          <w:ilvl w:val="0"/>
          <w:numId w:val="41"/>
        </w:numPr>
        <w:spacing w:after="0"/>
        <w:jc w:val="both"/>
        <w:rPr>
          <w:rFonts w:eastAsia="Calibri" w:asciiTheme="majorHAnsi" w:hAnsiTheme="majorHAnsi" w:cstheme="majorHAnsi"/>
        </w:rPr>
      </w:pPr>
      <w:r w:rsidRPr="000F4C13">
        <w:rPr>
          <w:rFonts w:eastAsia="Calibri" w:asciiTheme="majorHAnsi" w:hAnsiTheme="majorHAnsi" w:cstheme="majorHAnsi"/>
        </w:rPr>
        <w:t xml:space="preserve">NAIC catastrophe data call: MID is a member of the </w:t>
      </w:r>
      <w:hyperlink r:id="rId86">
        <w:r w:rsidRPr="000F4C13">
          <w:rPr>
            <w:rFonts w:eastAsia="Calibri" w:asciiTheme="majorHAnsi" w:hAnsiTheme="majorHAnsi" w:cstheme="majorHAnsi"/>
            <w:color w:val="467886"/>
            <w:u w:val="single"/>
          </w:rPr>
          <w:t>Climate and Resiliency (EX) Task Force,</w:t>
        </w:r>
      </w:hyperlink>
      <w:r w:rsidRPr="000F4C13">
        <w:rPr>
          <w:rFonts w:eastAsia="Calibri" w:asciiTheme="majorHAnsi" w:hAnsiTheme="majorHAnsi" w:cstheme="majorHAnsi"/>
        </w:rPr>
        <w:t xml:space="preserve"> which serves as the coordinating NAIC body for discussion and engagement on climate-related risk and resiliency issues. MID also serves on the Catastrophe Insurance (C) Working Group, which monitors and recommends measures to improve the availability and affordability of insurance and reinsurance for catastrophe perils in personal and commercial lines.</w:t>
      </w:r>
    </w:p>
    <w:p w:rsidRPr="000F4C13" w:rsidR="003744F5" w:rsidP="003744F5" w:rsidRDefault="003744F5" w14:paraId="319014D5" w14:textId="77777777">
      <w:pPr>
        <w:pStyle w:val="ListParagraph"/>
        <w:numPr>
          <w:ilvl w:val="0"/>
          <w:numId w:val="41"/>
        </w:numPr>
        <w:spacing w:after="0"/>
        <w:jc w:val="both"/>
        <w:rPr>
          <w:rFonts w:asciiTheme="majorHAnsi" w:hAnsiTheme="majorHAnsi" w:cstheme="majorHAnsi"/>
        </w:rPr>
      </w:pPr>
      <w:r w:rsidRPr="000F4C13">
        <w:rPr>
          <w:rFonts w:eastAsia="Calibri" w:asciiTheme="majorHAnsi" w:hAnsiTheme="majorHAnsi" w:cstheme="majorHAnsi"/>
        </w:rPr>
        <w:t xml:space="preserve">The Louisiana and Mississippi Departments of Insurance are currently discussing a joint data collection effort to compare insurance market dynamics side by side. Commissioners Chaney and Temple are finalizing the details.  </w:t>
      </w:r>
    </w:p>
    <w:p w:rsidRPr="000F4C13" w:rsidR="003744F5" w:rsidP="003744F5" w:rsidRDefault="003744F5" w14:paraId="7F7BECE4" w14:textId="77777777">
      <w:pPr>
        <w:pStyle w:val="ListParagraph"/>
        <w:numPr>
          <w:ilvl w:val="0"/>
          <w:numId w:val="41"/>
        </w:numPr>
        <w:spacing w:after="0"/>
        <w:jc w:val="both"/>
        <w:rPr>
          <w:rFonts w:asciiTheme="majorHAnsi" w:hAnsiTheme="majorHAnsi" w:cstheme="majorHAnsi"/>
        </w:rPr>
      </w:pPr>
      <w:r w:rsidRPr="000F4C13">
        <w:rPr>
          <w:rFonts w:eastAsia="Calibri" w:asciiTheme="majorHAnsi" w:hAnsiTheme="majorHAnsi" w:cstheme="majorHAnsi"/>
        </w:rPr>
        <w:t>The National Weather Service Damage Assessment Toolkit, now known as the Climate Central Database, is a tool used to track billion-dollar weather and climate disasters.  It was formerly run by NOAA but has now become a non-profit organization and is being led by former NOAA scientists.</w:t>
      </w:r>
    </w:p>
    <w:p w:rsidRPr="000F4C13" w:rsidR="003744F5" w:rsidP="003744F5" w:rsidRDefault="003744F5" w14:paraId="503BEBE6" w14:textId="77777777">
      <w:pPr>
        <w:spacing w:after="0"/>
        <w:ind w:left="2160"/>
        <w:jc w:val="both"/>
        <w:rPr>
          <w:rFonts w:eastAsia="Calibri" w:asciiTheme="majorHAnsi" w:hAnsiTheme="majorHAnsi" w:cstheme="majorHAnsi"/>
        </w:rPr>
      </w:pPr>
    </w:p>
    <w:p w:rsidRPr="000F4C13" w:rsidR="003744F5" w:rsidP="003744F5" w:rsidRDefault="003744F5" w14:paraId="25D5C72D" w14:textId="77777777">
      <w:pPr>
        <w:pStyle w:val="Heading4"/>
        <w:spacing w:after="0"/>
        <w:rPr>
          <w:rFonts w:asciiTheme="majorHAnsi" w:hAnsiTheme="majorHAnsi" w:cstheme="majorHAnsi"/>
        </w:rPr>
      </w:pPr>
      <w:r w:rsidRPr="000F4C13">
        <w:rPr>
          <w:rFonts w:asciiTheme="majorHAnsi" w:hAnsiTheme="majorHAnsi" w:cstheme="majorHAnsi"/>
        </w:rPr>
        <w:t>Strategy, Initiatives, &amp; Resources:</w:t>
      </w:r>
    </w:p>
    <w:p w:rsidRPr="000F4C13" w:rsidR="003744F5" w:rsidP="003744F5" w:rsidRDefault="003744F5" w14:paraId="1546BD0D" w14:textId="77777777">
      <w:pPr>
        <w:pStyle w:val="ListParagraph"/>
        <w:numPr>
          <w:ilvl w:val="0"/>
          <w:numId w:val="42"/>
        </w:numPr>
        <w:spacing w:after="0"/>
        <w:jc w:val="both"/>
        <w:rPr>
          <w:rFonts w:eastAsia="Calibri" w:asciiTheme="majorHAnsi" w:hAnsiTheme="majorHAnsi" w:cstheme="majorHAnsi"/>
        </w:rPr>
      </w:pPr>
      <w:r w:rsidRPr="000F4C13">
        <w:rPr>
          <w:rFonts w:eastAsia="Calibri" w:asciiTheme="majorHAnsi" w:hAnsiTheme="majorHAnsi" w:cstheme="majorHAnsi"/>
        </w:rPr>
        <w:t>Strengthen MS Homes grants (FORTIFIED Roof). (Suspended Pending 2026 Legislative Session)</w:t>
      </w:r>
    </w:p>
    <w:p w:rsidRPr="000F4C13" w:rsidR="003744F5" w:rsidP="003744F5" w:rsidRDefault="003744F5" w14:paraId="55CF5BEF" w14:textId="77777777">
      <w:pPr>
        <w:pStyle w:val="ListParagraph"/>
        <w:numPr>
          <w:ilvl w:val="0"/>
          <w:numId w:val="42"/>
        </w:numPr>
        <w:spacing w:after="0"/>
        <w:rPr>
          <w:rFonts w:eastAsia="Calibri" w:asciiTheme="majorHAnsi" w:hAnsiTheme="majorHAnsi" w:cstheme="majorHAnsi"/>
        </w:rPr>
      </w:pPr>
      <w:r w:rsidRPr="000F4C13">
        <w:rPr>
          <w:rFonts w:eastAsia="Calibri" w:asciiTheme="majorHAnsi" w:hAnsiTheme="majorHAnsi" w:cstheme="majorHAnsi"/>
        </w:rPr>
        <w:t xml:space="preserve">The Strengthen Mississippi Homes (SMH) Program </w:t>
      </w:r>
      <w:hyperlink r:id="rId87">
        <w:r w:rsidRPr="000F4C13">
          <w:rPr>
            <w:rFonts w:eastAsia="Calibri" w:asciiTheme="majorHAnsi" w:hAnsiTheme="majorHAnsi" w:cstheme="majorHAnsi"/>
            <w:color w:val="467886"/>
            <w:u w:val="single"/>
          </w:rPr>
          <w:t>SMH Program</w:t>
        </w:r>
      </w:hyperlink>
      <w:r w:rsidRPr="000F4C13">
        <w:rPr>
          <w:rFonts w:eastAsia="Calibri" w:asciiTheme="majorHAnsi" w:hAnsiTheme="majorHAnsi" w:cstheme="majorHAnsi"/>
        </w:rPr>
        <w:t xml:space="preserve"> is a comprehensive initiative aimed at providing financial grants (up to $10,000) to homeowners in Mississippi for retrofitting their homes against hurricane damage. The program is part of the Mississippi Comprehensive Hurricane Damage Mitigation Program </w:t>
      </w:r>
      <w:hyperlink r:id="rId88">
        <w:r w:rsidRPr="000F4C13">
          <w:rPr>
            <w:rFonts w:eastAsia="Calibri" w:asciiTheme="majorHAnsi" w:hAnsiTheme="majorHAnsi" w:cstheme="majorHAnsi"/>
            <w:color w:val="467886"/>
            <w:u w:val="single"/>
          </w:rPr>
          <w:t>HB 753</w:t>
        </w:r>
      </w:hyperlink>
      <w:r w:rsidRPr="000F4C13">
        <w:rPr>
          <w:rFonts w:eastAsia="Calibri" w:asciiTheme="majorHAnsi" w:hAnsiTheme="majorHAnsi" w:cstheme="majorHAnsi"/>
        </w:rPr>
        <w:t xml:space="preserve">. </w:t>
      </w:r>
    </w:p>
    <w:p w:rsidRPr="000F4C13" w:rsidR="003744F5" w:rsidP="003744F5" w:rsidRDefault="003744F5" w14:paraId="0F06D338" w14:textId="77777777">
      <w:pPr>
        <w:pStyle w:val="ListParagraph"/>
        <w:numPr>
          <w:ilvl w:val="0"/>
          <w:numId w:val="42"/>
        </w:numPr>
        <w:spacing w:after="0"/>
        <w:rPr>
          <w:rFonts w:eastAsia="Calibri" w:asciiTheme="majorHAnsi" w:hAnsiTheme="majorHAnsi" w:cstheme="majorHAnsi"/>
        </w:rPr>
      </w:pPr>
      <w:r w:rsidRPr="000F4C13">
        <w:rPr>
          <w:rFonts w:eastAsia="Calibri" w:asciiTheme="majorHAnsi" w:hAnsiTheme="majorHAnsi" w:cstheme="majorHAnsi"/>
        </w:rPr>
        <w:t>The </w:t>
      </w:r>
      <w:hyperlink r:id="rId89">
        <w:r w:rsidRPr="000F4C13">
          <w:rPr>
            <w:rFonts w:eastAsia="Calibri" w:asciiTheme="majorHAnsi" w:hAnsiTheme="majorHAnsi" w:cstheme="majorHAnsi"/>
            <w:color w:val="467886"/>
            <w:u w:val="single"/>
          </w:rPr>
          <w:t>MEMA Safe Room Grant Program</w:t>
        </w:r>
      </w:hyperlink>
      <w:r w:rsidRPr="000F4C13">
        <w:rPr>
          <w:rFonts w:eastAsia="Calibri" w:asciiTheme="majorHAnsi" w:hAnsiTheme="majorHAnsi" w:cstheme="majorHAnsi"/>
        </w:rPr>
        <w:t xml:space="preserve"> offers reimbursement grants of up to $3,500 for Mississippi homeowners to install FEMA-compliant safe rooms.</w:t>
      </w:r>
    </w:p>
    <w:p w:rsidRPr="000F4C13" w:rsidR="003744F5" w:rsidP="003744F5" w:rsidRDefault="003744F5" w14:paraId="13E1B455" w14:textId="77777777">
      <w:pPr>
        <w:pStyle w:val="ListParagraph"/>
        <w:spacing w:after="0"/>
        <w:jc w:val="both"/>
        <w:rPr>
          <w:rFonts w:eastAsia="Calibri" w:asciiTheme="majorHAnsi" w:hAnsiTheme="majorHAnsi" w:cstheme="majorHAnsi"/>
        </w:rPr>
      </w:pPr>
    </w:p>
    <w:p w:rsidRPr="000F4C13" w:rsidR="003744F5" w:rsidP="003744F5" w:rsidRDefault="003744F5" w14:paraId="54CFE211" w14:textId="77777777">
      <w:pPr>
        <w:pStyle w:val="Heading4"/>
        <w:spacing w:after="0"/>
        <w:rPr>
          <w:rFonts w:asciiTheme="majorHAnsi" w:hAnsiTheme="majorHAnsi" w:cstheme="majorHAnsi"/>
        </w:rPr>
      </w:pPr>
      <w:r w:rsidRPr="000F4C13">
        <w:rPr>
          <w:rFonts w:asciiTheme="majorHAnsi" w:hAnsiTheme="majorHAnsi" w:cstheme="majorHAnsi"/>
        </w:rPr>
        <w:t>Consumer Outreach and Educational Materials:</w:t>
      </w:r>
    </w:p>
    <w:p w:rsidRPr="000F4C13" w:rsidR="003744F5" w:rsidP="003744F5" w:rsidRDefault="003744F5" w14:paraId="46208110" w14:textId="77777777">
      <w:pPr>
        <w:spacing w:after="0"/>
        <w:jc w:val="both"/>
        <w:rPr>
          <w:rFonts w:eastAsia="Calibri" w:asciiTheme="majorHAnsi" w:hAnsiTheme="majorHAnsi" w:cstheme="majorHAnsi"/>
        </w:rPr>
      </w:pPr>
      <w:r w:rsidRPr="000F4C13">
        <w:rPr>
          <w:rFonts w:eastAsia="Calibri" w:asciiTheme="majorHAnsi" w:hAnsiTheme="majorHAnsi" w:cstheme="majorHAnsi"/>
        </w:rPr>
        <w:t>The MID issues bulletins, press releases and practical tips across various social media channels, focusing on severe weather preparedness. These include:</w:t>
      </w:r>
    </w:p>
    <w:p w:rsidRPr="000F4C13" w:rsidR="003744F5" w:rsidP="003744F5" w:rsidRDefault="003744F5" w14:paraId="68042950" w14:textId="77777777">
      <w:pPr>
        <w:pStyle w:val="ListParagraph"/>
        <w:numPr>
          <w:ilvl w:val="0"/>
          <w:numId w:val="44"/>
        </w:numPr>
        <w:spacing w:after="0"/>
        <w:jc w:val="both"/>
        <w:rPr>
          <w:rFonts w:eastAsia="Calibri" w:asciiTheme="majorHAnsi" w:hAnsiTheme="majorHAnsi" w:cstheme="majorHAnsi"/>
        </w:rPr>
      </w:pPr>
      <w:r w:rsidRPr="000F4C13">
        <w:rPr>
          <w:rFonts w:eastAsia="Calibri" w:asciiTheme="majorHAnsi" w:hAnsiTheme="majorHAnsi" w:cstheme="majorHAnsi"/>
        </w:rPr>
        <w:t xml:space="preserve">Tornado Claims Bulletin </w:t>
      </w:r>
      <w:hyperlink r:id="rId90">
        <w:r w:rsidRPr="000F4C13">
          <w:rPr>
            <w:rFonts w:eastAsia="Calibri" w:asciiTheme="majorHAnsi" w:hAnsiTheme="majorHAnsi" w:cstheme="majorHAnsi"/>
            <w:color w:val="467886"/>
            <w:u w:val="single"/>
          </w:rPr>
          <w:t>Insurance Coverage For Tornado Damage</w:t>
        </w:r>
      </w:hyperlink>
    </w:p>
    <w:p w:rsidRPr="000F4C13" w:rsidR="003744F5" w:rsidP="003744F5" w:rsidRDefault="003744F5" w14:paraId="02B1CE7D" w14:textId="77777777">
      <w:pPr>
        <w:pStyle w:val="ListParagraph"/>
        <w:numPr>
          <w:ilvl w:val="0"/>
          <w:numId w:val="44"/>
        </w:numPr>
        <w:spacing w:after="0"/>
        <w:jc w:val="both"/>
        <w:rPr>
          <w:rFonts w:eastAsia="Calibri" w:asciiTheme="majorHAnsi" w:hAnsiTheme="majorHAnsi" w:cstheme="majorHAnsi"/>
        </w:rPr>
      </w:pPr>
      <w:r w:rsidRPr="000F4C13">
        <w:rPr>
          <w:rFonts w:eastAsia="Calibri" w:asciiTheme="majorHAnsi" w:hAnsiTheme="majorHAnsi" w:cstheme="majorHAnsi"/>
        </w:rPr>
        <w:t xml:space="preserve">Claims and Preparedness Guides and Press Releases: </w:t>
      </w:r>
    </w:p>
    <w:p w:rsidRPr="000F4C13" w:rsidR="003744F5" w:rsidP="003744F5" w:rsidRDefault="003744F5" w14:paraId="7A4B3E84" w14:textId="77777777">
      <w:pPr>
        <w:pStyle w:val="ListParagraph"/>
        <w:numPr>
          <w:ilvl w:val="1"/>
          <w:numId w:val="44"/>
        </w:numPr>
        <w:spacing w:after="0"/>
        <w:jc w:val="both"/>
        <w:rPr>
          <w:rFonts w:eastAsia="Calibri" w:asciiTheme="majorHAnsi" w:hAnsiTheme="majorHAnsi" w:cstheme="majorHAnsi"/>
        </w:rPr>
      </w:pPr>
      <w:hyperlink r:id="rId91">
        <w:r w:rsidRPr="000F4C13">
          <w:rPr>
            <w:rFonts w:eastAsia="Calibri" w:asciiTheme="majorHAnsi" w:hAnsiTheme="majorHAnsi" w:cstheme="majorHAnsi"/>
            <w:color w:val="467886"/>
            <w:u w:val="single"/>
          </w:rPr>
          <w:t>Storm Response and Claims Tips</w:t>
        </w:r>
      </w:hyperlink>
    </w:p>
    <w:p w:rsidRPr="000F4C13" w:rsidR="003744F5" w:rsidP="003744F5" w:rsidRDefault="003744F5" w14:paraId="33AA3522" w14:textId="77777777">
      <w:pPr>
        <w:pStyle w:val="ListParagraph"/>
        <w:numPr>
          <w:ilvl w:val="1"/>
          <w:numId w:val="44"/>
        </w:numPr>
        <w:spacing w:after="0"/>
        <w:jc w:val="both"/>
        <w:rPr>
          <w:rFonts w:eastAsia="Calibri" w:asciiTheme="majorHAnsi" w:hAnsiTheme="majorHAnsi" w:cstheme="majorHAnsi"/>
        </w:rPr>
      </w:pPr>
      <w:hyperlink r:id="rId92">
        <w:r w:rsidRPr="000F4C13">
          <w:rPr>
            <w:rFonts w:eastAsia="Calibri" w:asciiTheme="majorHAnsi" w:hAnsiTheme="majorHAnsi" w:cstheme="majorHAnsi"/>
            <w:color w:val="467886"/>
            <w:u w:val="single"/>
          </w:rPr>
          <w:t>Protect Your Home From Winter Damage</w:t>
        </w:r>
      </w:hyperlink>
    </w:p>
    <w:p w:rsidRPr="000F4C13" w:rsidR="003744F5" w:rsidP="003744F5" w:rsidRDefault="003744F5" w14:paraId="23C52867" w14:textId="77777777">
      <w:pPr>
        <w:pStyle w:val="ListParagraph"/>
        <w:numPr>
          <w:ilvl w:val="1"/>
          <w:numId w:val="44"/>
        </w:numPr>
        <w:spacing w:after="0"/>
        <w:jc w:val="both"/>
        <w:rPr>
          <w:rFonts w:eastAsia="Calibri" w:asciiTheme="majorHAnsi" w:hAnsiTheme="majorHAnsi" w:cstheme="majorHAnsi"/>
        </w:rPr>
      </w:pPr>
      <w:hyperlink r:id="rId93">
        <w:r w:rsidRPr="000F4C13">
          <w:rPr>
            <w:rFonts w:eastAsia="Calibri" w:asciiTheme="majorHAnsi" w:hAnsiTheme="majorHAnsi" w:cstheme="majorHAnsi"/>
            <w:color w:val="467886"/>
            <w:u w:val="single"/>
          </w:rPr>
          <w:t>September is National Preparedness Month</w:t>
        </w:r>
      </w:hyperlink>
    </w:p>
    <w:p w:rsidRPr="000F4C13" w:rsidR="003744F5" w:rsidP="003744F5" w:rsidRDefault="003744F5" w14:paraId="5DABC318" w14:textId="77777777">
      <w:pPr>
        <w:pStyle w:val="ListParagraph"/>
        <w:numPr>
          <w:ilvl w:val="1"/>
          <w:numId w:val="44"/>
        </w:numPr>
        <w:spacing w:after="0"/>
        <w:jc w:val="both"/>
        <w:rPr>
          <w:rFonts w:eastAsia="Calibri" w:asciiTheme="majorHAnsi" w:hAnsiTheme="majorHAnsi" w:cstheme="majorHAnsi"/>
        </w:rPr>
      </w:pPr>
      <w:hyperlink r:id="rId94">
        <w:r w:rsidRPr="000F4C13">
          <w:rPr>
            <w:rFonts w:eastAsia="Calibri" w:asciiTheme="majorHAnsi" w:hAnsiTheme="majorHAnsi" w:cstheme="majorHAnsi"/>
            <w:color w:val="467886"/>
            <w:u w:val="single"/>
          </w:rPr>
          <w:t>Filing a Claim Following Severe Storms</w:t>
        </w:r>
      </w:hyperlink>
    </w:p>
    <w:p w:rsidRPr="000F4C13" w:rsidR="003744F5" w:rsidP="003744F5" w:rsidRDefault="003744F5" w14:paraId="21685B18" w14:textId="77777777">
      <w:pPr>
        <w:pStyle w:val="ListParagraph"/>
        <w:numPr>
          <w:ilvl w:val="1"/>
          <w:numId w:val="44"/>
        </w:numPr>
        <w:spacing w:after="0"/>
        <w:jc w:val="both"/>
        <w:rPr>
          <w:rFonts w:eastAsia="Calibri" w:asciiTheme="majorHAnsi" w:hAnsiTheme="majorHAnsi" w:cstheme="majorHAnsi"/>
        </w:rPr>
      </w:pPr>
      <w:hyperlink r:id="rId95">
        <w:r w:rsidRPr="000F4C13">
          <w:rPr>
            <w:rFonts w:eastAsia="Calibri" w:asciiTheme="majorHAnsi" w:hAnsiTheme="majorHAnsi" w:cstheme="majorHAnsi"/>
            <w:color w:val="467886"/>
            <w:u w:val="single"/>
          </w:rPr>
          <w:t>Insurance Explained As Hurricane Season Begins</w:t>
        </w:r>
      </w:hyperlink>
    </w:p>
    <w:p w:rsidRPr="000F4C13" w:rsidR="003744F5" w:rsidP="003744F5" w:rsidRDefault="003744F5" w14:paraId="3B7B665C" w14:textId="77777777">
      <w:pPr>
        <w:pStyle w:val="ListParagraph"/>
        <w:numPr>
          <w:ilvl w:val="1"/>
          <w:numId w:val="44"/>
        </w:numPr>
        <w:spacing w:after="0"/>
        <w:jc w:val="both"/>
        <w:rPr>
          <w:rFonts w:eastAsia="Calibri" w:asciiTheme="majorHAnsi" w:hAnsiTheme="majorHAnsi" w:cstheme="majorHAnsi"/>
        </w:rPr>
      </w:pPr>
      <w:hyperlink r:id="rId96">
        <w:r w:rsidRPr="000F4C13">
          <w:rPr>
            <w:rFonts w:eastAsia="Calibri" w:asciiTheme="majorHAnsi" w:hAnsiTheme="majorHAnsi" w:cstheme="majorHAnsi"/>
            <w:color w:val="467886"/>
            <w:u w:val="single"/>
          </w:rPr>
          <w:t>PREPARE NOW FOR HURRICANE SEASON, REVIEW INSURANCE</w:t>
        </w:r>
      </w:hyperlink>
      <w:r w:rsidRPr="000F4C13">
        <w:rPr>
          <w:rFonts w:eastAsia="Calibri" w:asciiTheme="majorHAnsi" w:hAnsiTheme="majorHAnsi" w:cstheme="majorHAnsi"/>
        </w:rPr>
        <w:t xml:space="preserve"> </w:t>
      </w:r>
      <w:hyperlink r:id="rId97">
        <w:r w:rsidRPr="000F4C13">
          <w:rPr>
            <w:rFonts w:eastAsia="Calibri" w:asciiTheme="majorHAnsi" w:hAnsiTheme="majorHAnsi" w:cstheme="majorHAnsi"/>
            <w:color w:val="467886"/>
            <w:u w:val="single"/>
          </w:rPr>
          <w:t>HURRICANE PREP</w:t>
        </w:r>
      </w:hyperlink>
    </w:p>
    <w:p w:rsidRPr="000F4C13" w:rsidR="003744F5" w:rsidP="003744F5" w:rsidRDefault="003744F5" w14:paraId="0812AB92" w14:textId="77777777">
      <w:pPr>
        <w:numPr>
          <w:ilvl w:val="1"/>
          <w:numId w:val="44"/>
        </w:numPr>
        <w:spacing w:after="0"/>
        <w:jc w:val="both"/>
        <w:rPr>
          <w:rFonts w:eastAsia="Calibri" w:asciiTheme="majorHAnsi" w:hAnsiTheme="majorHAnsi" w:cstheme="majorHAnsi"/>
        </w:rPr>
      </w:pPr>
      <w:hyperlink r:id="rId98">
        <w:r w:rsidRPr="000F4C13">
          <w:rPr>
            <w:rFonts w:eastAsia="Calibri" w:asciiTheme="majorHAnsi" w:hAnsiTheme="majorHAnsi" w:cstheme="majorHAnsi"/>
            <w:color w:val="467886"/>
            <w:u w:val="single"/>
          </w:rPr>
          <w:t>Updating Home Inventory Should be at The Top of your Holiday To-Do List</w:t>
        </w:r>
      </w:hyperlink>
    </w:p>
    <w:p w:rsidRPr="000F4C13" w:rsidR="003744F5" w:rsidP="003744F5" w:rsidRDefault="003744F5" w14:paraId="4F4CB2D7" w14:textId="77777777">
      <w:pPr>
        <w:numPr>
          <w:ilvl w:val="0"/>
          <w:numId w:val="43"/>
        </w:numPr>
        <w:spacing w:after="0"/>
        <w:jc w:val="both"/>
        <w:rPr>
          <w:rFonts w:eastAsia="Calibri" w:asciiTheme="majorHAnsi" w:hAnsiTheme="majorHAnsi" w:cstheme="majorHAnsi"/>
        </w:rPr>
      </w:pPr>
      <w:hyperlink r:id="rId99">
        <w:r w:rsidRPr="000F4C13">
          <w:rPr>
            <w:rFonts w:eastAsia="Calibri" w:asciiTheme="majorHAnsi" w:hAnsiTheme="majorHAnsi" w:cstheme="majorHAnsi"/>
            <w:color w:val="467886"/>
            <w:u w:val="single"/>
          </w:rPr>
          <w:t>Weather Disaster Preparedness - Official Website of the Mississippi Insurance Department</w:t>
        </w:r>
      </w:hyperlink>
    </w:p>
    <w:p w:rsidRPr="000F4C13" w:rsidR="003744F5" w:rsidP="003744F5" w:rsidRDefault="003744F5" w14:paraId="4C75C1CA" w14:textId="77777777">
      <w:pPr>
        <w:numPr>
          <w:ilvl w:val="0"/>
          <w:numId w:val="43"/>
        </w:numPr>
        <w:spacing w:after="0"/>
        <w:jc w:val="both"/>
        <w:rPr>
          <w:rFonts w:eastAsia="Calibri" w:asciiTheme="majorHAnsi" w:hAnsiTheme="majorHAnsi" w:cstheme="majorHAnsi"/>
        </w:rPr>
      </w:pPr>
      <w:r w:rsidRPr="000F4C13">
        <w:rPr>
          <w:rFonts w:eastAsia="Calibri" w:asciiTheme="majorHAnsi" w:hAnsiTheme="majorHAnsi" w:cstheme="majorHAnsi"/>
        </w:rPr>
        <w:t>Annual Severe Weather Preparedness Weeks</w:t>
      </w:r>
    </w:p>
    <w:p w:rsidRPr="000F4C13" w:rsidR="003744F5" w:rsidDel="00E47E4E" w:rsidP="003744F5" w:rsidRDefault="003744F5" w14:paraId="5C983A7F" w14:textId="77777777">
      <w:pPr>
        <w:spacing w:after="0"/>
        <w:ind w:left="360"/>
        <w:jc w:val="both"/>
        <w:rPr>
          <w:rFonts w:eastAsia="Calibri" w:asciiTheme="majorHAnsi" w:hAnsiTheme="majorHAnsi" w:cstheme="majorHAnsi"/>
        </w:rPr>
      </w:pPr>
    </w:p>
    <w:p w:rsidRPr="000F4C13" w:rsidR="003744F5" w:rsidP="003744F5" w:rsidRDefault="003744F5" w14:paraId="57090B5A" w14:textId="77777777">
      <w:pPr>
        <w:spacing w:after="0"/>
        <w:jc w:val="both"/>
        <w:rPr>
          <w:rFonts w:eastAsia="Calibri" w:asciiTheme="majorHAnsi" w:hAnsiTheme="majorHAnsi" w:cstheme="majorHAnsi"/>
        </w:rPr>
      </w:pPr>
      <w:r w:rsidRPr="000F4C13">
        <w:rPr>
          <w:rFonts w:eastAsia="Calibri" w:asciiTheme="majorHAnsi" w:hAnsiTheme="majorHAnsi" w:cstheme="majorHAnsi"/>
        </w:rPr>
        <w:t>The MID also often assists in setting up on-site claims centers following extreme disaster events.</w:t>
      </w:r>
    </w:p>
    <w:p w:rsidRPr="000F4C13" w:rsidR="003744F5" w:rsidP="003744F5" w:rsidRDefault="003744F5" w14:paraId="11056725" w14:textId="77777777">
      <w:pPr>
        <w:spacing w:after="0"/>
        <w:jc w:val="both"/>
        <w:rPr>
          <w:rFonts w:eastAsia="Calibri" w:asciiTheme="majorHAnsi" w:hAnsiTheme="majorHAnsi" w:cstheme="majorHAnsi"/>
        </w:rPr>
      </w:pPr>
    </w:p>
    <w:p w:rsidRPr="000F4C13" w:rsidR="003744F5" w:rsidP="003744F5" w:rsidRDefault="003744F5" w14:paraId="1752BC0D" w14:textId="77777777">
      <w:pPr>
        <w:spacing w:after="0"/>
        <w:jc w:val="both"/>
        <w:rPr>
          <w:rFonts w:eastAsia="Calibri" w:asciiTheme="majorHAnsi" w:hAnsiTheme="majorHAnsi" w:cstheme="majorHAnsi"/>
        </w:rPr>
      </w:pPr>
      <w:r w:rsidRPr="000F4C13">
        <w:rPr>
          <w:rFonts w:eastAsia="Calibri" w:asciiTheme="majorHAnsi" w:hAnsiTheme="majorHAnsi" w:cstheme="majorHAnsi"/>
        </w:rPr>
        <w:t>Additionally, the Mississippi Emergency Management Agency (</w:t>
      </w:r>
      <w:hyperlink r:id="rId100">
        <w:r w:rsidRPr="000F4C13">
          <w:rPr>
            <w:rFonts w:eastAsia="Calibri" w:asciiTheme="majorHAnsi" w:hAnsiTheme="majorHAnsi" w:cstheme="majorHAnsi"/>
            <w:color w:val="467886"/>
            <w:u w:val="single"/>
          </w:rPr>
          <w:t>MEMA</w:t>
        </w:r>
      </w:hyperlink>
      <w:r w:rsidRPr="000F4C13">
        <w:rPr>
          <w:rFonts w:eastAsia="Calibri" w:asciiTheme="majorHAnsi" w:hAnsiTheme="majorHAnsi" w:cstheme="majorHAnsi"/>
        </w:rPr>
        <w:t xml:space="preserve">), with funding from </w:t>
      </w:r>
      <w:hyperlink r:id="rId101">
        <w:r w:rsidRPr="000F4C13">
          <w:rPr>
            <w:rFonts w:eastAsia="Calibri" w:asciiTheme="majorHAnsi" w:hAnsiTheme="majorHAnsi" w:cstheme="majorHAnsi"/>
            <w:color w:val="467886"/>
            <w:u w:val="single"/>
          </w:rPr>
          <w:t>FEMA's Hazard Mitigation Grant Program</w:t>
        </w:r>
      </w:hyperlink>
      <w:r w:rsidRPr="000F4C13">
        <w:rPr>
          <w:rFonts w:eastAsia="Calibri" w:asciiTheme="majorHAnsi" w:hAnsiTheme="majorHAnsi" w:cstheme="majorHAnsi"/>
        </w:rPr>
        <w:t xml:space="preserve"> offers reimbursement grants to help Mississippi homeowners install FEMA-compliant safe rooms.</w:t>
      </w:r>
    </w:p>
    <w:p w:rsidRPr="000F4C13" w:rsidR="003744F5" w:rsidP="003744F5" w:rsidRDefault="003744F5" w14:paraId="5C050EBF" w14:textId="77777777">
      <w:pPr>
        <w:spacing w:after="0"/>
        <w:ind w:left="1440"/>
        <w:jc w:val="both"/>
        <w:rPr>
          <w:rFonts w:eastAsia="Calibri" w:asciiTheme="majorHAnsi" w:hAnsiTheme="majorHAnsi" w:cstheme="majorHAnsi"/>
        </w:rPr>
      </w:pPr>
    </w:p>
    <w:p w:rsidRPr="000F4C13" w:rsidR="003744F5" w:rsidP="003744F5" w:rsidRDefault="003744F5" w14:paraId="49138EED" w14:textId="77777777">
      <w:pPr>
        <w:pStyle w:val="Heading4"/>
        <w:spacing w:after="0"/>
        <w:rPr>
          <w:rFonts w:asciiTheme="majorHAnsi" w:hAnsiTheme="majorHAnsi" w:cstheme="majorHAnsi"/>
        </w:rPr>
      </w:pPr>
      <w:r w:rsidRPr="000F4C13">
        <w:rPr>
          <w:rFonts w:asciiTheme="majorHAnsi" w:hAnsiTheme="majorHAnsi" w:cstheme="majorHAnsi"/>
        </w:rPr>
        <w:t>Partnerships:</w:t>
      </w:r>
    </w:p>
    <w:p w:rsidRPr="000F4C13" w:rsidR="003744F5" w:rsidP="003744F5" w:rsidRDefault="003744F5" w14:paraId="0E5EF643" w14:textId="77777777">
      <w:pPr>
        <w:spacing w:after="0"/>
        <w:jc w:val="both"/>
        <w:rPr>
          <w:rFonts w:eastAsia="Calibri" w:asciiTheme="majorHAnsi" w:hAnsiTheme="majorHAnsi" w:cstheme="majorHAnsi"/>
        </w:rPr>
      </w:pPr>
      <w:r w:rsidRPr="000F4C13">
        <w:rPr>
          <w:rFonts w:eastAsia="Calibri" w:asciiTheme="majorHAnsi" w:hAnsiTheme="majorHAnsi" w:cstheme="majorHAnsi"/>
        </w:rPr>
        <w:t>MID and MEMA coordination</w:t>
      </w:r>
    </w:p>
    <w:p w:rsidRPr="000F4C13" w:rsidR="003744F5" w:rsidP="003744F5" w:rsidRDefault="003744F5" w14:paraId="6C1A2BD9" w14:textId="77777777">
      <w:pPr>
        <w:pStyle w:val="ListParagraph"/>
        <w:numPr>
          <w:ilvl w:val="0"/>
          <w:numId w:val="45"/>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102">
        <w:r w:rsidRPr="000F4C13">
          <w:rPr>
            <w:rFonts w:eastAsia="Calibri" w:asciiTheme="majorHAnsi" w:hAnsiTheme="majorHAnsi" w:cstheme="majorHAnsi"/>
            <w:color w:val="0000FF"/>
            <w:u w:val="single"/>
          </w:rPr>
          <w:t>MID</w:t>
        </w:r>
      </w:hyperlink>
      <w:r w:rsidRPr="000F4C13">
        <w:rPr>
          <w:rFonts w:eastAsia="Calibri" w:asciiTheme="majorHAnsi" w:hAnsiTheme="majorHAnsi" w:cstheme="majorHAnsi"/>
        </w:rPr>
        <w:t xml:space="preserve"> and </w:t>
      </w:r>
      <w:hyperlink r:id="rId103">
        <w:r w:rsidRPr="000F4C13">
          <w:rPr>
            <w:rFonts w:eastAsia="Calibri" w:asciiTheme="majorHAnsi" w:hAnsiTheme="majorHAnsi" w:cstheme="majorHAnsi"/>
            <w:color w:val="467886"/>
            <w:u w:val="single"/>
          </w:rPr>
          <w:t>MEMA</w:t>
        </w:r>
      </w:hyperlink>
      <w:r w:rsidRPr="000F4C13">
        <w:rPr>
          <w:rFonts w:eastAsia="Calibri" w:asciiTheme="majorHAnsi" w:hAnsiTheme="majorHAnsi" w:cstheme="majorHAnsi"/>
        </w:rPr>
        <w:t xml:space="preserve"> coordinate during disasters through a comprehensive and integrated program of disaster preparedness, response, recovery, and mitigation initiatives. </w:t>
      </w:r>
      <w:hyperlink r:id="rId104">
        <w:r w:rsidRPr="000F4C13">
          <w:rPr>
            <w:rFonts w:eastAsia="Calibri" w:asciiTheme="majorHAnsi" w:hAnsiTheme="majorHAnsi" w:cstheme="majorHAnsi"/>
            <w:color w:val="467886"/>
            <w:u w:val="single"/>
          </w:rPr>
          <w:t>MEMA</w:t>
        </w:r>
      </w:hyperlink>
      <w:r w:rsidRPr="000F4C13">
        <w:rPr>
          <w:rFonts w:eastAsia="Calibri" w:asciiTheme="majorHAnsi" w:hAnsiTheme="majorHAnsi" w:cstheme="majorHAnsi"/>
        </w:rPr>
        <w:t xml:space="preserve"> is responsible for coordinating state and federal resources to respond to and recover from natural and man-made disasters within the state. </w:t>
      </w:r>
    </w:p>
    <w:p w:rsidRPr="000F4C13" w:rsidR="003744F5" w:rsidP="003744F5" w:rsidRDefault="003744F5" w14:paraId="431116EC" w14:textId="77777777">
      <w:pPr>
        <w:spacing w:after="0"/>
        <w:jc w:val="both"/>
        <w:rPr>
          <w:rFonts w:eastAsia="Calibri" w:asciiTheme="majorHAnsi" w:hAnsiTheme="majorHAnsi" w:cstheme="majorHAnsi"/>
        </w:rPr>
      </w:pPr>
    </w:p>
    <w:p w:rsidRPr="000F4C13" w:rsidR="003744F5" w:rsidP="003744F5" w:rsidRDefault="003744F5" w14:paraId="01A93594" w14:textId="77777777">
      <w:pPr>
        <w:spacing w:after="0"/>
        <w:jc w:val="both"/>
        <w:rPr>
          <w:rFonts w:eastAsia="Calibri" w:asciiTheme="majorHAnsi" w:hAnsiTheme="majorHAnsi" w:cstheme="majorHAnsi"/>
        </w:rPr>
      </w:pPr>
      <w:r w:rsidRPr="000F4C13">
        <w:rPr>
          <w:rFonts w:eastAsia="Calibri" w:asciiTheme="majorHAnsi" w:hAnsiTheme="majorHAnsi" w:cstheme="majorHAnsi"/>
        </w:rPr>
        <w:t>FEMA and IBHS relationships</w:t>
      </w:r>
    </w:p>
    <w:p w:rsidRPr="000F4C13" w:rsidR="003744F5" w:rsidP="003744F5" w:rsidRDefault="003744F5" w14:paraId="53791A13" w14:textId="77777777">
      <w:pPr>
        <w:pStyle w:val="ListParagraph"/>
        <w:keepNext/>
        <w:numPr>
          <w:ilvl w:val="0"/>
          <w:numId w:val="18"/>
        </w:numPr>
        <w:suppressAutoHyphens/>
        <w:jc w:val="both"/>
        <w:rPr>
          <w:rFonts w:eastAsia="Calibri" w:asciiTheme="majorHAnsi" w:hAnsiTheme="majorHAnsi" w:cstheme="majorHAnsi"/>
        </w:rPr>
      </w:pPr>
      <w:r w:rsidRPr="000F4C13">
        <w:rPr>
          <w:rFonts w:eastAsia="Calibri" w:asciiTheme="majorHAnsi" w:hAnsiTheme="majorHAnsi" w:cstheme="majorHAnsi"/>
        </w:rPr>
        <w:t xml:space="preserve">MID collaborates with </w:t>
      </w:r>
      <w:hyperlink r:id="rId105">
        <w:r w:rsidRPr="000F4C13">
          <w:rPr>
            <w:rFonts w:eastAsia="Calibri" w:asciiTheme="majorHAnsi" w:hAnsiTheme="majorHAnsi" w:cstheme="majorHAnsi"/>
            <w:color w:val="467886"/>
            <w:u w:val="single"/>
          </w:rPr>
          <w:t xml:space="preserve">FEMA's Hazard Mitigation Assistance (HMA) </w:t>
        </w:r>
      </w:hyperlink>
      <w:r w:rsidRPr="000F4C13">
        <w:rPr>
          <w:rFonts w:eastAsia="Calibri" w:asciiTheme="majorHAnsi" w:hAnsiTheme="majorHAnsi" w:cstheme="majorHAnsi"/>
        </w:rPr>
        <w:t xml:space="preserve"> to provide additional safe room funding. The program provides funding for eligible mitigation activities that protect life and property from future disaster damage.</w:t>
      </w:r>
    </w:p>
    <w:p w:rsidRPr="000F4C13" w:rsidR="003744F5" w:rsidP="003744F5" w:rsidRDefault="003744F5" w14:paraId="67EA244A" w14:textId="77777777">
      <w:pPr>
        <w:pStyle w:val="ListParagraph"/>
        <w:keepNext/>
        <w:numPr>
          <w:ilvl w:val="0"/>
          <w:numId w:val="18"/>
        </w:numPr>
        <w:suppressAutoHyphens/>
        <w:jc w:val="both"/>
        <w:rPr>
          <w:rFonts w:asciiTheme="majorHAnsi" w:hAnsiTheme="majorHAnsi" w:cstheme="majorHAnsi"/>
        </w:rPr>
      </w:pPr>
      <w:r w:rsidRPr="000F4C13">
        <w:rPr>
          <w:rFonts w:asciiTheme="majorHAnsi" w:hAnsiTheme="majorHAnsi" w:cstheme="majorHAnsi"/>
        </w:rPr>
        <w:t xml:space="preserve">Smart Home America program alignment: </w:t>
      </w:r>
      <w:hyperlink r:id="rId106">
        <w:r w:rsidRPr="000F4C13">
          <w:rPr>
            <w:rFonts w:asciiTheme="majorHAnsi" w:hAnsiTheme="majorHAnsi" w:cstheme="majorHAnsi"/>
            <w:color w:val="467886"/>
            <w:u w:val="single"/>
          </w:rPr>
          <w:t>Smart Home America</w:t>
        </w:r>
      </w:hyperlink>
      <w:r w:rsidRPr="000F4C13">
        <w:rPr>
          <w:rFonts w:asciiTheme="majorHAnsi" w:hAnsiTheme="majorHAnsi" w:cstheme="majorHAnsi"/>
        </w:rPr>
        <w:t xml:space="preserve"> and its staff and its partners are experts in FORTIFIED construction, disaster resilience, property mitigation, and insurance. They offer a directory of certified service providers in Mississippi. Smart Home America provides a </w:t>
      </w:r>
      <w:hyperlink r:id="rId107">
        <w:r w:rsidRPr="000F4C13">
          <w:rPr>
            <w:rFonts w:asciiTheme="majorHAnsi" w:hAnsiTheme="majorHAnsi" w:cstheme="majorHAnsi"/>
            <w:color w:val="467886"/>
            <w:u w:val="single"/>
          </w:rPr>
          <w:t>Coastal Construction Code Supplement</w:t>
        </w:r>
      </w:hyperlink>
    </w:p>
    <w:p w:rsidRPr="000F4C13" w:rsidR="003744F5" w:rsidP="003744F5" w:rsidRDefault="003744F5" w14:paraId="1C7F2AF0" w14:textId="77777777">
      <w:pPr>
        <w:pStyle w:val="ListParagraph"/>
        <w:keepNext/>
        <w:suppressAutoHyphens/>
        <w:jc w:val="both"/>
        <w:rPr>
          <w:rFonts w:asciiTheme="majorHAnsi" w:hAnsiTheme="majorHAnsi" w:cstheme="majorHAnsi"/>
        </w:rPr>
      </w:pPr>
    </w:p>
    <w:p w:rsidRPr="000F4C13" w:rsidR="003744F5" w:rsidP="003744F5" w:rsidRDefault="003744F5" w14:paraId="559EFCEC" w14:textId="77777777">
      <w:pPr>
        <w:spacing w:after="0"/>
        <w:jc w:val="both"/>
        <w:rPr>
          <w:rFonts w:eastAsia="Calibri" w:asciiTheme="majorHAnsi" w:hAnsiTheme="majorHAnsi" w:cstheme="majorHAnsi"/>
          <w:b/>
          <w:bCs/>
        </w:rPr>
      </w:pPr>
      <w:r w:rsidRPr="000F4C13">
        <w:rPr>
          <w:rFonts w:eastAsia="Calibri" w:asciiTheme="majorHAnsi" w:hAnsiTheme="majorHAnsi" w:cstheme="majorHAnsi"/>
        </w:rPr>
        <w:t>Tornado/Wind Conference</w:t>
      </w:r>
    </w:p>
    <w:p w:rsidRPr="000F4C13" w:rsidR="003744F5" w:rsidP="003744F5" w:rsidRDefault="003744F5" w14:paraId="42DBA2A0" w14:textId="44B27F29">
      <w:pPr>
        <w:pStyle w:val="ListParagraph"/>
        <w:keepNext/>
        <w:numPr>
          <w:ilvl w:val="0"/>
          <w:numId w:val="18"/>
        </w:numPr>
        <w:suppressAutoHyphens/>
        <w:spacing w:after="0"/>
        <w:jc w:val="both"/>
        <w:rPr>
          <w:rFonts w:eastAsia="Calibri" w:asciiTheme="majorHAnsi" w:hAnsiTheme="majorHAnsi" w:cstheme="majorHAnsi"/>
          <w:b/>
          <w:bCs/>
        </w:rPr>
      </w:pPr>
      <w:r w:rsidRPr="000F4C13">
        <w:rPr>
          <w:rFonts w:asciiTheme="majorHAnsi" w:hAnsiTheme="majorHAnsi" w:cstheme="majorHAnsi"/>
        </w:rPr>
        <w:t xml:space="preserve">The 2024 Extreme Wind Conference was a significant event held by the MID, focusing on the impact of extreme wind events and the need for effective disaster response and recovery strategies. The conference was held to educate city leaders, insurance regulators, emergency responders, and the insurance industry about the various roles and responsibilities involved in extreme weather events. It also provided insights into </w:t>
      </w:r>
      <w:r w:rsidR="00646905">
        <w:rPr>
          <w:rFonts w:asciiTheme="majorHAnsi" w:hAnsiTheme="majorHAnsi" w:cstheme="majorHAnsi"/>
        </w:rPr>
        <w:t xml:space="preserve">the </w:t>
      </w:r>
      <w:r w:rsidRPr="000F4C13">
        <w:rPr>
          <w:rFonts w:asciiTheme="majorHAnsi" w:hAnsiTheme="majorHAnsi" w:cstheme="majorHAnsi"/>
        </w:rPr>
        <w:t xml:space="preserve">technology used by insurance companies and what tools and information city leaders need to assist with quick recovery efforts. </w:t>
      </w:r>
      <w:r w:rsidRPr="000F4C13">
        <w:rPr>
          <w:rFonts w:eastAsia="Calibri" w:asciiTheme="majorHAnsi" w:hAnsiTheme="majorHAnsi" w:cstheme="majorHAnsi"/>
          <w:b/>
          <w:bCs/>
        </w:rPr>
        <w:t xml:space="preserve">   </w:t>
      </w:r>
    </w:p>
    <w:p w:rsidRPr="000F4C13" w:rsidR="00C96053" w:rsidRDefault="00B2522B" w14:paraId="2E7422CC" w14:textId="7DD62C0B">
      <w:pPr>
        <w:spacing w:after="0"/>
        <w:ind w:left="1440"/>
        <w:jc w:val="both"/>
        <w:rPr>
          <w:rFonts w:eastAsia="Calibri" w:asciiTheme="majorHAnsi" w:hAnsiTheme="majorHAnsi" w:cstheme="majorHAnsi"/>
          <w:b/>
          <w:bCs/>
        </w:rPr>
      </w:pPr>
      <w:bookmarkStart w:name="_f7nb1uh5ocah" w:colFirst="0" w:colLast="0" w:id="92"/>
      <w:bookmarkStart w:name="_r3fd7epw3snc" w:colFirst="0" w:colLast="0" w:id="93"/>
      <w:bookmarkStart w:name="_eoq18nn49j9n" w:colFirst="0" w:colLast="0" w:id="94"/>
      <w:bookmarkStart w:name="_m9kmg2nofi56" w:colFirst="0" w:colLast="0" w:id="95"/>
      <w:bookmarkStart w:name="_slyryjp3a09k" w:colFirst="0" w:colLast="0" w:id="96"/>
      <w:bookmarkEnd w:id="92"/>
      <w:bookmarkEnd w:id="93"/>
      <w:bookmarkEnd w:id="94"/>
      <w:bookmarkEnd w:id="95"/>
      <w:bookmarkEnd w:id="96"/>
      <w:r w:rsidRPr="000F4C13">
        <w:rPr>
          <w:rFonts w:eastAsia="Calibri" w:asciiTheme="majorHAnsi" w:hAnsiTheme="majorHAnsi" w:cstheme="majorHAnsi"/>
          <w:b/>
          <w:bCs/>
        </w:rPr>
        <w:t xml:space="preserve">     </w:t>
      </w:r>
    </w:p>
    <w:p w:rsidRPr="000F4C13" w:rsidR="00C96053" w:rsidRDefault="00B2522B" w14:paraId="3867BCA8" w14:textId="77777777">
      <w:pPr>
        <w:pStyle w:val="Heading3"/>
        <w:spacing w:after="0"/>
        <w:rPr>
          <w:rFonts w:asciiTheme="majorHAnsi" w:hAnsiTheme="majorHAnsi" w:cstheme="majorHAnsi"/>
          <w:sz w:val="24"/>
          <w:szCs w:val="24"/>
        </w:rPr>
      </w:pPr>
      <w:bookmarkStart w:name="_iw48jpfe7wm7" w:colFirst="0" w:colLast="0" w:id="97"/>
      <w:bookmarkEnd w:id="97"/>
      <w:r w:rsidRPr="000F4C13">
        <w:rPr>
          <w:rFonts w:asciiTheme="majorHAnsi" w:hAnsiTheme="majorHAnsi" w:cstheme="majorHAnsi"/>
          <w:sz w:val="24"/>
          <w:szCs w:val="24"/>
        </w:rPr>
        <w:t>Wyoming</w:t>
      </w:r>
    </w:p>
    <w:p w:rsidRPr="000F4C13" w:rsidR="00847373" w:rsidP="00847373" w:rsidRDefault="00847373" w14:paraId="6D65F0E5" w14:textId="77CF44FB">
      <w:pPr>
        <w:pStyle w:val="Heading4"/>
        <w:spacing w:after="0"/>
        <w:rPr>
          <w:rFonts w:asciiTheme="majorHAnsi" w:hAnsiTheme="majorHAnsi" w:cstheme="majorHAnsi"/>
        </w:rPr>
      </w:pPr>
      <w:r w:rsidRPr="000F4C13">
        <w:rPr>
          <w:rFonts w:asciiTheme="majorHAnsi" w:hAnsiTheme="majorHAnsi" w:cstheme="majorHAnsi"/>
        </w:rPr>
        <w:t>Introduction</w:t>
      </w:r>
    </w:p>
    <w:p w:rsidRPr="000F4C13" w:rsidR="00F77BBA" w:rsidP="00365DD3" w:rsidRDefault="00F030D3" w14:paraId="74567885" w14:textId="3C41743F">
      <w:pPr>
        <w:jc w:val="both"/>
        <w:rPr>
          <w:rFonts w:asciiTheme="majorHAnsi" w:hAnsiTheme="majorHAnsi" w:cstheme="majorHAnsi"/>
        </w:rPr>
      </w:pPr>
      <w:r w:rsidRPr="000F4C13">
        <w:rPr>
          <w:rFonts w:asciiTheme="majorHAnsi" w:hAnsiTheme="majorHAnsi" w:cstheme="majorHAnsi"/>
        </w:rPr>
        <w:t xml:space="preserve">Wyoming homeowners insurance is significantly affected by roof and siding damage resulting from high winds, hail, and occasional tornadoes, with the eastern plains being particularly susceptible. The region experiences elevated wind speeds and frequent thunderstorms, especially during major wind events, and has recorded gusts exceeding 100 mph. Although Wyoming generally sustains less property damage than areas designated as "Tornado Alley," extreme weather occurrences remain a concern. </w:t>
      </w:r>
      <w:r w:rsidRPr="000F4C13" w:rsidR="00365DD3">
        <w:rPr>
          <w:rFonts w:asciiTheme="majorHAnsi" w:hAnsiTheme="majorHAnsi" w:cstheme="majorHAnsi"/>
        </w:rPr>
        <w:t>As a result</w:t>
      </w:r>
      <w:r w:rsidRPr="000F4C13">
        <w:rPr>
          <w:rFonts w:asciiTheme="majorHAnsi" w:hAnsiTheme="majorHAnsi" w:cstheme="majorHAnsi"/>
        </w:rPr>
        <w:t>, insurers in Wyoming have increasingly implemented higher percentage-based deductibles for wind and hail claims</w:t>
      </w:r>
      <w:r w:rsidR="00646905">
        <w:rPr>
          <w:rFonts w:asciiTheme="majorHAnsi" w:hAnsiTheme="majorHAnsi" w:cstheme="majorHAnsi"/>
        </w:rPr>
        <w:t xml:space="preserve"> rather than traditional flat-dollar</w:t>
      </w:r>
      <w:r w:rsidRPr="000F4C13">
        <w:rPr>
          <w:rFonts w:asciiTheme="majorHAnsi" w:hAnsiTheme="majorHAnsi" w:cstheme="majorHAnsi"/>
        </w:rPr>
        <w:t xml:space="preserve"> amounts.</w:t>
      </w:r>
    </w:p>
    <w:p w:rsidRPr="000F4C13" w:rsidR="00C96053" w:rsidP="0095068E" w:rsidRDefault="00B2522B" w14:paraId="7EBD5CFB" w14:textId="65CB8EF9">
      <w:pPr>
        <w:pStyle w:val="Heading4"/>
        <w:spacing w:after="0"/>
        <w:rPr>
          <w:rFonts w:asciiTheme="majorHAnsi" w:hAnsiTheme="majorHAnsi" w:cstheme="majorHAnsi"/>
        </w:rPr>
      </w:pPr>
      <w:r w:rsidRPr="000F4C13">
        <w:rPr>
          <w:rFonts w:asciiTheme="majorHAnsi" w:hAnsiTheme="majorHAnsi" w:cstheme="majorHAnsi"/>
        </w:rPr>
        <w:t>Reports</w:t>
      </w:r>
    </w:p>
    <w:p w:rsidRPr="000F4C13" w:rsidR="00C96053" w:rsidRDefault="00B2522B" w14:paraId="41A5153A" w14:textId="1F91695F">
      <w:pPr>
        <w:spacing w:after="0"/>
        <w:jc w:val="both"/>
        <w:rPr>
          <w:rFonts w:eastAsia="Calibri" w:asciiTheme="majorHAnsi" w:hAnsiTheme="majorHAnsi" w:cstheme="majorHAnsi"/>
        </w:rPr>
      </w:pPr>
      <w:r w:rsidRPr="000F4C13">
        <w:rPr>
          <w:rFonts w:eastAsia="Calibri" w:asciiTheme="majorHAnsi" w:hAnsiTheme="majorHAnsi" w:cstheme="majorHAnsi"/>
        </w:rPr>
        <w:t>Wyoming does not regulate insurance rates or rules; however, the</w:t>
      </w:r>
      <w:r w:rsidRPr="000F4C13" w:rsidR="008211F6">
        <w:rPr>
          <w:rFonts w:eastAsia="Calibri" w:asciiTheme="majorHAnsi" w:hAnsiTheme="majorHAnsi" w:cstheme="majorHAnsi"/>
        </w:rPr>
        <w:t xml:space="preserve"> Wyoming</w:t>
      </w:r>
      <w:r w:rsidRPr="000F4C13">
        <w:rPr>
          <w:rFonts w:eastAsia="Calibri" w:asciiTheme="majorHAnsi" w:hAnsiTheme="majorHAnsi" w:cstheme="majorHAnsi"/>
        </w:rPr>
        <w:t xml:space="preserve"> Department of Insurance (DOI) has recently conducted data calls for rules on the top seven companies selling homeowners’ insurance. This initiative was prompted by changes in policy language and additions to rules.</w:t>
      </w:r>
    </w:p>
    <w:p w:rsidRPr="000F4C13" w:rsidR="00C96053" w:rsidRDefault="00C96053" w14:paraId="752C1846" w14:textId="77777777">
      <w:pPr>
        <w:spacing w:after="0"/>
        <w:ind w:left="1080"/>
        <w:jc w:val="both"/>
        <w:rPr>
          <w:rFonts w:eastAsia="Calibri" w:asciiTheme="majorHAnsi" w:hAnsiTheme="majorHAnsi" w:cstheme="majorHAnsi"/>
        </w:rPr>
      </w:pPr>
    </w:p>
    <w:p w:rsidRPr="000F4C13" w:rsidR="00C96053" w:rsidRDefault="00B2522B" w14:paraId="37AC3D33" w14:textId="77777777">
      <w:pPr>
        <w:pStyle w:val="Heading4"/>
        <w:spacing w:after="0"/>
        <w:rPr>
          <w:rFonts w:asciiTheme="majorHAnsi" w:hAnsiTheme="majorHAnsi" w:cstheme="majorHAnsi"/>
        </w:rPr>
      </w:pPr>
      <w:bookmarkStart w:name="_mfonomd5fyt" w:colFirst="0" w:colLast="0" w:id="98"/>
      <w:bookmarkEnd w:id="98"/>
      <w:r w:rsidRPr="000F4C13">
        <w:rPr>
          <w:rFonts w:asciiTheme="majorHAnsi" w:hAnsiTheme="majorHAnsi" w:cstheme="majorHAnsi"/>
        </w:rPr>
        <w:t>Data Collection</w:t>
      </w:r>
    </w:p>
    <w:p w:rsidRPr="000F4C13" w:rsidR="00C96053" w:rsidP="0057045C" w:rsidRDefault="00B2522B" w14:paraId="5F490A06" w14:textId="77777777">
      <w:pPr>
        <w:pStyle w:val="ListParagraph"/>
        <w:numPr>
          <w:ilvl w:val="0"/>
          <w:numId w:val="18"/>
        </w:numPr>
        <w:spacing w:after="0"/>
        <w:jc w:val="both"/>
        <w:rPr>
          <w:rFonts w:eastAsia="Calibri" w:asciiTheme="majorHAnsi" w:hAnsiTheme="majorHAnsi" w:cstheme="majorHAnsi"/>
        </w:rPr>
      </w:pPr>
      <w:r w:rsidRPr="000F4C13">
        <w:rPr>
          <w:rFonts w:eastAsia="Calibri" w:asciiTheme="majorHAnsi" w:hAnsiTheme="majorHAnsi" w:cstheme="majorHAnsi"/>
        </w:rPr>
        <w:t>Recent data calls focused on the top seven homeowners’ insurance providers.</w:t>
      </w:r>
    </w:p>
    <w:p w:rsidRPr="000F4C13" w:rsidR="00C96053" w:rsidRDefault="00C96053" w14:paraId="10127C3F" w14:textId="77777777">
      <w:pPr>
        <w:spacing w:after="0"/>
        <w:ind w:left="1080"/>
        <w:jc w:val="both"/>
        <w:rPr>
          <w:rFonts w:eastAsia="Calibri" w:asciiTheme="majorHAnsi" w:hAnsiTheme="majorHAnsi" w:cstheme="majorHAnsi"/>
        </w:rPr>
      </w:pPr>
    </w:p>
    <w:p w:rsidRPr="000F4C13" w:rsidR="00C96053" w:rsidRDefault="00B2522B" w14:paraId="30353E3A" w14:textId="77777777">
      <w:pPr>
        <w:pStyle w:val="Heading4"/>
        <w:spacing w:after="0"/>
        <w:rPr>
          <w:rFonts w:asciiTheme="majorHAnsi" w:hAnsiTheme="majorHAnsi" w:cstheme="majorHAnsi"/>
        </w:rPr>
      </w:pPr>
      <w:bookmarkStart w:name="_b8n1lsmbks3" w:colFirst="0" w:colLast="0" w:id="99"/>
      <w:bookmarkEnd w:id="99"/>
      <w:r w:rsidRPr="000F4C13">
        <w:rPr>
          <w:rFonts w:asciiTheme="majorHAnsi" w:hAnsiTheme="majorHAnsi" w:cstheme="majorHAnsi"/>
        </w:rPr>
        <w:t>Strategies, Initiatives, and Resources</w:t>
      </w:r>
    </w:p>
    <w:p w:rsidRPr="000F4C13" w:rsidR="00C923F7" w:rsidP="0057045C" w:rsidRDefault="00C923F7" w14:paraId="2A191644" w14:textId="77777777">
      <w:pPr>
        <w:pStyle w:val="ListParagraph"/>
        <w:numPr>
          <w:ilvl w:val="0"/>
          <w:numId w:val="18"/>
        </w:numPr>
        <w:spacing w:after="0"/>
        <w:jc w:val="both"/>
        <w:rPr>
          <w:rFonts w:eastAsia="Calibri" w:asciiTheme="majorHAnsi" w:hAnsiTheme="majorHAnsi" w:cstheme="majorHAnsi"/>
        </w:rPr>
      </w:pPr>
      <w:r w:rsidRPr="000F4C13">
        <w:rPr>
          <w:rFonts w:eastAsia="Calibri" w:asciiTheme="majorHAnsi" w:hAnsiTheme="majorHAnsi" w:cstheme="majorHAnsi"/>
        </w:rPr>
        <w:t>While Wyoming does not regulate rates or rules, the DOI monitors changes in policy language and rule additions.</w:t>
      </w:r>
    </w:p>
    <w:p w:rsidRPr="000F4C13" w:rsidR="00C96053" w:rsidP="0057045C" w:rsidRDefault="00E76404" w14:paraId="05A0F989" w14:textId="3F7B12FA">
      <w:pPr>
        <w:pStyle w:val="ListParagraph"/>
        <w:numPr>
          <w:ilvl w:val="0"/>
          <w:numId w:val="18"/>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DOI </w:t>
      </w:r>
      <w:r w:rsidRPr="000F4C13" w:rsidR="00C923F7">
        <w:rPr>
          <w:rFonts w:eastAsia="Calibri" w:asciiTheme="majorHAnsi" w:hAnsiTheme="majorHAnsi" w:cstheme="majorHAnsi"/>
        </w:rPr>
        <w:t xml:space="preserve">also </w:t>
      </w:r>
      <w:r w:rsidRPr="000F4C13" w:rsidR="00160287">
        <w:rPr>
          <w:rFonts w:eastAsia="Calibri" w:asciiTheme="majorHAnsi" w:hAnsiTheme="majorHAnsi" w:cstheme="majorHAnsi"/>
        </w:rPr>
        <w:t xml:space="preserve">encourages insurers to off loss prevention incentives, such as </w:t>
      </w:r>
      <w:r w:rsidRPr="000F4C13" w:rsidR="00B2522B">
        <w:rPr>
          <w:rFonts w:eastAsia="Calibri" w:asciiTheme="majorHAnsi" w:hAnsiTheme="majorHAnsi" w:cstheme="majorHAnsi"/>
        </w:rPr>
        <w:t xml:space="preserve">water detection devices free of charge to homeowners to reduce water-related claims. </w:t>
      </w:r>
    </w:p>
    <w:p w:rsidRPr="000F4C13" w:rsidR="00C96053" w:rsidRDefault="00C96053" w14:paraId="0B91B4AB" w14:textId="77777777">
      <w:pPr>
        <w:spacing w:after="0"/>
        <w:ind w:left="1080"/>
        <w:jc w:val="both"/>
        <w:rPr>
          <w:rFonts w:eastAsia="Calibri" w:asciiTheme="majorHAnsi" w:hAnsiTheme="majorHAnsi" w:cstheme="majorHAnsi"/>
        </w:rPr>
      </w:pPr>
    </w:p>
    <w:p w:rsidRPr="000F4C13" w:rsidR="00C96053" w:rsidRDefault="00B2522B" w14:paraId="6FCCCAED" w14:textId="77777777">
      <w:pPr>
        <w:pStyle w:val="Heading4"/>
        <w:spacing w:after="0"/>
        <w:rPr>
          <w:rFonts w:asciiTheme="majorHAnsi" w:hAnsiTheme="majorHAnsi" w:cstheme="majorHAnsi"/>
        </w:rPr>
      </w:pPr>
      <w:bookmarkStart w:name="_4h2ysxifof3x" w:colFirst="0" w:colLast="0" w:id="100"/>
      <w:bookmarkEnd w:id="100"/>
      <w:r w:rsidRPr="000F4C13">
        <w:rPr>
          <w:rFonts w:asciiTheme="majorHAnsi" w:hAnsiTheme="majorHAnsi" w:cstheme="majorHAnsi"/>
        </w:rPr>
        <w:t>Consumer Outreach and Educational Materials:</w:t>
      </w:r>
    </w:p>
    <w:p w:rsidRPr="000F4C13" w:rsidR="00521D54" w:rsidP="0057045C" w:rsidRDefault="00B2522B" w14:paraId="36A37B1D" w14:textId="6700DBD1">
      <w:pPr>
        <w:pStyle w:val="ListParagraph"/>
        <w:numPr>
          <w:ilvl w:val="0"/>
          <w:numId w:val="46"/>
        </w:numPr>
        <w:spacing w:after="0"/>
        <w:jc w:val="both"/>
        <w:rPr>
          <w:rFonts w:eastAsia="Calibri" w:asciiTheme="majorHAnsi" w:hAnsiTheme="majorHAnsi" w:cstheme="majorHAnsi"/>
        </w:rPr>
      </w:pPr>
      <w:r w:rsidRPr="000F4C13">
        <w:rPr>
          <w:rFonts w:eastAsia="Calibri" w:asciiTheme="majorHAnsi" w:hAnsiTheme="majorHAnsi" w:cstheme="majorHAnsi"/>
        </w:rPr>
        <w:t>The DOI provides resources</w:t>
      </w:r>
      <w:r w:rsidRPr="000F4C13" w:rsidR="00B87B8D">
        <w:rPr>
          <w:rFonts w:eastAsia="Calibri" w:asciiTheme="majorHAnsi" w:hAnsiTheme="majorHAnsi" w:cstheme="majorHAnsi"/>
        </w:rPr>
        <w:t>,</w:t>
      </w:r>
      <w:r w:rsidRPr="000F4C13">
        <w:rPr>
          <w:rFonts w:eastAsia="Calibri" w:asciiTheme="majorHAnsi" w:hAnsiTheme="majorHAnsi" w:cstheme="majorHAnsi"/>
        </w:rPr>
        <w:t xml:space="preserve"> such as the Consumer’s Guide to Home Insurance and a Home Insurance Shopping Tool. </w:t>
      </w:r>
    </w:p>
    <w:p w:rsidRPr="000F4C13" w:rsidR="00B87B8D" w:rsidP="0057045C" w:rsidRDefault="00B2522B" w14:paraId="04EFE914" w14:textId="77777777">
      <w:pPr>
        <w:pStyle w:val="ListParagraph"/>
        <w:numPr>
          <w:ilvl w:val="0"/>
          <w:numId w:val="46"/>
        </w:numPr>
        <w:spacing w:after="0"/>
        <w:jc w:val="both"/>
        <w:rPr>
          <w:rFonts w:eastAsia="Calibri" w:asciiTheme="majorHAnsi" w:hAnsiTheme="majorHAnsi" w:cstheme="majorHAnsi"/>
        </w:rPr>
      </w:pPr>
      <w:r w:rsidRPr="000F4C13">
        <w:rPr>
          <w:rFonts w:eastAsia="Calibri" w:asciiTheme="majorHAnsi" w:hAnsiTheme="majorHAnsi" w:cstheme="majorHAnsi"/>
        </w:rPr>
        <w:t xml:space="preserve">Public awareness campaigns highlight common claims issues in Wyoming, particularly high wind damage. </w:t>
      </w:r>
    </w:p>
    <w:p w:rsidRPr="000F4C13" w:rsidR="00C96053" w:rsidP="0057045C" w:rsidRDefault="00B2522B" w14:paraId="1E91D8E4" w14:textId="351515BE">
      <w:pPr>
        <w:pStyle w:val="ListParagraph"/>
        <w:numPr>
          <w:ilvl w:val="0"/>
          <w:numId w:val="46"/>
        </w:numPr>
        <w:spacing w:after="0"/>
        <w:jc w:val="both"/>
        <w:rPr>
          <w:rFonts w:eastAsia="Calibri" w:asciiTheme="majorHAnsi" w:hAnsiTheme="majorHAnsi" w:cstheme="majorHAnsi"/>
        </w:rPr>
      </w:pPr>
      <w:r w:rsidRPr="000F4C13">
        <w:rPr>
          <w:rFonts w:eastAsia="Calibri" w:asciiTheme="majorHAnsi" w:hAnsiTheme="majorHAnsi" w:cstheme="majorHAnsi"/>
        </w:rPr>
        <w:t>These efforts include monthly Public Service Announcements and information posted on the DOI website.</w:t>
      </w:r>
    </w:p>
    <w:p w:rsidRPr="000F4C13" w:rsidR="00C96053" w:rsidRDefault="00C96053" w14:paraId="5C3A60CB" w14:textId="77777777">
      <w:pPr>
        <w:spacing w:after="0"/>
        <w:ind w:left="1080"/>
        <w:jc w:val="both"/>
        <w:rPr>
          <w:rFonts w:eastAsia="Calibri" w:asciiTheme="majorHAnsi" w:hAnsiTheme="majorHAnsi" w:cstheme="majorHAnsi"/>
        </w:rPr>
      </w:pPr>
    </w:p>
    <w:p w:rsidRPr="000F4C13" w:rsidR="00C96053" w:rsidRDefault="00B2522B" w14:paraId="46A02DE7" w14:textId="77777777">
      <w:pPr>
        <w:pStyle w:val="Heading4"/>
        <w:spacing w:after="0"/>
        <w:rPr>
          <w:rFonts w:asciiTheme="majorHAnsi" w:hAnsiTheme="majorHAnsi" w:cstheme="majorHAnsi"/>
        </w:rPr>
      </w:pPr>
      <w:bookmarkStart w:name="_f8uqdxpqx97r" w:colFirst="0" w:colLast="0" w:id="101"/>
      <w:bookmarkEnd w:id="101"/>
      <w:r w:rsidRPr="000F4C13">
        <w:rPr>
          <w:rFonts w:asciiTheme="majorHAnsi" w:hAnsiTheme="majorHAnsi" w:cstheme="majorHAnsi"/>
        </w:rPr>
        <w:t>Partnerships</w:t>
      </w:r>
    </w:p>
    <w:p w:rsidRPr="000F4C13" w:rsidR="00C96053" w:rsidRDefault="00B2522B" w14:paraId="0A0DCED0" w14:textId="77777777">
      <w:pPr>
        <w:jc w:val="both"/>
        <w:rPr>
          <w:rFonts w:eastAsia="Calibri" w:asciiTheme="majorHAnsi" w:hAnsiTheme="majorHAnsi" w:cstheme="majorHAnsi"/>
        </w:rPr>
      </w:pPr>
      <w:r w:rsidRPr="000F4C13">
        <w:rPr>
          <w:rFonts w:eastAsia="Calibri" w:asciiTheme="majorHAnsi" w:hAnsiTheme="majorHAnsi" w:cstheme="majorHAnsi"/>
        </w:rPr>
        <w:t>The DOI regularly communicates with professional trade organizations representing Property and Casualty Insurance companies to keep the public informed about ongoing issues impacting property insurance.</w:t>
      </w:r>
    </w:p>
    <w:p w:rsidRPr="000F4C13" w:rsidR="00C96053" w:rsidRDefault="0035069D" w14:paraId="4EC3B783" w14:textId="77777777">
      <w:pPr>
        <w:jc w:val="both"/>
        <w:rPr>
          <w:rFonts w:eastAsia="Calibri" w:asciiTheme="majorHAnsi" w:hAnsiTheme="majorHAnsi" w:cstheme="majorHAnsi"/>
        </w:rPr>
      </w:pPr>
      <w:r>
        <w:rPr>
          <w:rFonts w:asciiTheme="majorHAnsi" w:hAnsiTheme="majorHAnsi" w:cstheme="majorHAnsi"/>
        </w:rPr>
        <w:pict w14:anchorId="0BAFA616">
          <v:rect id="_x0000_i1032" style="width:0;height:1.5pt" o:hr="t" o:hrstd="t" o:hralign="center" fillcolor="#a0a0a0" stroked="f"/>
        </w:pict>
      </w:r>
    </w:p>
    <w:p w:rsidRPr="000F4C13" w:rsidR="004B3E35" w:rsidRDefault="004B3E35" w14:paraId="28D92F5A" w14:textId="77777777">
      <w:pPr>
        <w:pStyle w:val="Heading2"/>
        <w:rPr>
          <w:rFonts w:asciiTheme="majorHAnsi" w:hAnsiTheme="majorHAnsi" w:cstheme="majorHAnsi"/>
          <w:sz w:val="24"/>
          <w:szCs w:val="24"/>
        </w:rPr>
      </w:pPr>
      <w:bookmarkStart w:name="_ifl4pg936ydp" w:colFirst="0" w:colLast="0" w:id="102"/>
      <w:bookmarkEnd w:id="102"/>
    </w:p>
    <w:p w:rsidRPr="000F4C13" w:rsidR="004B3E35" w:rsidP="004B3E35" w:rsidRDefault="004B3E35" w14:paraId="208B38C2" w14:textId="77777777">
      <w:pPr>
        <w:rPr>
          <w:rFonts w:asciiTheme="majorHAnsi" w:hAnsiTheme="majorHAnsi" w:cstheme="majorHAnsi"/>
        </w:rPr>
      </w:pPr>
    </w:p>
    <w:p w:rsidRPr="000F4C13" w:rsidR="004B3E35" w:rsidP="004B3E35" w:rsidRDefault="004B3E35" w14:paraId="4EF19562" w14:textId="77777777">
      <w:pPr>
        <w:rPr>
          <w:rFonts w:asciiTheme="majorHAnsi" w:hAnsiTheme="majorHAnsi" w:cstheme="majorHAnsi"/>
        </w:rPr>
      </w:pPr>
    </w:p>
    <w:p w:rsidRPr="000F4C13" w:rsidR="004B3E35" w:rsidP="004B3E35" w:rsidRDefault="004B3E35" w14:paraId="0D4015EC" w14:textId="77777777">
      <w:pPr>
        <w:rPr>
          <w:rFonts w:asciiTheme="majorHAnsi" w:hAnsiTheme="majorHAnsi" w:cstheme="majorHAnsi"/>
        </w:rPr>
      </w:pPr>
    </w:p>
    <w:p w:rsidRPr="000F4C13" w:rsidR="004B3E35" w:rsidP="004B3E35" w:rsidRDefault="004B3E35" w14:paraId="01EADBE3" w14:textId="77777777">
      <w:pPr>
        <w:rPr>
          <w:rFonts w:asciiTheme="majorHAnsi" w:hAnsiTheme="majorHAnsi" w:cstheme="majorHAnsi"/>
        </w:rPr>
      </w:pPr>
    </w:p>
    <w:p w:rsidRPr="000F4C13" w:rsidR="004B3E35" w:rsidP="004B3E35" w:rsidRDefault="004B3E35" w14:paraId="31CD7B3B" w14:textId="77777777">
      <w:pPr>
        <w:rPr>
          <w:rFonts w:asciiTheme="majorHAnsi" w:hAnsiTheme="majorHAnsi" w:cstheme="majorHAnsi"/>
        </w:rPr>
      </w:pPr>
    </w:p>
    <w:p w:rsidRPr="000F4C13" w:rsidR="00C96053" w:rsidRDefault="00B2522B" w14:paraId="4563EE09" w14:textId="49782CDF">
      <w:pPr>
        <w:pStyle w:val="Heading2"/>
        <w:rPr>
          <w:rFonts w:asciiTheme="majorHAnsi" w:hAnsiTheme="majorHAnsi" w:cstheme="majorHAnsi"/>
        </w:rPr>
      </w:pPr>
      <w:r w:rsidRPr="000F4C13">
        <w:rPr>
          <w:rFonts w:asciiTheme="majorHAnsi" w:hAnsiTheme="majorHAnsi" w:cstheme="majorHAnsi"/>
        </w:rPr>
        <w:t>Wildfire</w:t>
      </w:r>
      <w:r w:rsidRPr="000F4C13" w:rsidR="00FA0D83">
        <w:rPr>
          <w:rFonts w:asciiTheme="majorHAnsi" w:hAnsiTheme="majorHAnsi" w:cstheme="majorHAnsi"/>
          <w:sz w:val="28"/>
          <w:szCs w:val="28"/>
        </w:rPr>
        <w:t>—</w:t>
      </w:r>
      <w:r w:rsidRPr="000F4C13">
        <w:rPr>
          <w:rFonts w:asciiTheme="majorHAnsi" w:hAnsiTheme="majorHAnsi" w:cstheme="majorHAnsi"/>
        </w:rPr>
        <w:t xml:space="preserve">California, Colorado, Washington, and Wyoming </w:t>
      </w:r>
    </w:p>
    <w:p w:rsidRPr="000F4C13" w:rsidR="00C96053" w:rsidRDefault="00D24D54" w14:paraId="25AFBA1F" w14:textId="7AC4A2C9">
      <w:pPr>
        <w:pStyle w:val="Heading3"/>
        <w:rPr>
          <w:rFonts w:asciiTheme="majorHAnsi" w:hAnsiTheme="majorHAnsi" w:cstheme="majorHAnsi"/>
        </w:rPr>
      </w:pPr>
      <w:bookmarkStart w:name="_kebcm926neng" w:colFirst="0" w:colLast="0" w:id="103"/>
      <w:bookmarkEnd w:id="103"/>
      <w:r w:rsidRPr="000F4C13">
        <w:rPr>
          <w:rFonts w:asciiTheme="majorHAnsi" w:hAnsiTheme="majorHAnsi" w:cstheme="majorHAnsi"/>
        </w:rPr>
        <w:t>Overview</w:t>
      </w:r>
    </w:p>
    <w:p w:rsidRPr="000F4C13" w:rsidR="00413889" w:rsidP="001A2D53" w:rsidRDefault="00413889" w14:paraId="127F2F88" w14:textId="68365E04">
      <w:pPr>
        <w:jc w:val="both"/>
        <w:rPr>
          <w:rFonts w:asciiTheme="majorHAnsi" w:hAnsiTheme="majorHAnsi" w:cstheme="majorHAnsi"/>
        </w:rPr>
      </w:pPr>
      <w:r w:rsidRPr="000F4C13">
        <w:rPr>
          <w:rFonts w:asciiTheme="majorHAnsi" w:hAnsiTheme="majorHAnsi" w:cstheme="majorHAnsi"/>
        </w:rPr>
        <w:t xml:space="preserve">Wildfires impose shocking costs on property owners, homeowners, renters, </w:t>
      </w:r>
      <w:r w:rsidR="00717325">
        <w:rPr>
          <w:rFonts w:asciiTheme="majorHAnsi" w:hAnsiTheme="majorHAnsi" w:cstheme="majorHAnsi"/>
        </w:rPr>
        <w:t>and businesses, and disrupt and depress</w:t>
      </w:r>
      <w:r w:rsidRPr="000F4C13">
        <w:rPr>
          <w:rFonts w:asciiTheme="majorHAnsi" w:hAnsiTheme="majorHAnsi" w:cstheme="majorHAnsi"/>
        </w:rPr>
        <w:t xml:space="preserve"> local economies. Globally, wildfires burned through nearly one billion acres in 2025 – equivalent to 44% of the entire United States’ land area – yet the costliest event of the year, the January fires in and around Los Angeles, burned just 57,000 acres while causing more than $53 billion in damage.</w:t>
      </w:r>
      <w:r w:rsidRPr="000F4C13">
        <w:rPr>
          <w:rFonts w:asciiTheme="majorHAnsi" w:hAnsiTheme="majorHAnsi" w:cstheme="majorHAnsi"/>
          <w:vertAlign w:val="superscript"/>
        </w:rPr>
        <w:footnoteReference w:id="120"/>
      </w:r>
      <w:r w:rsidRPr="000F4C13">
        <w:rPr>
          <w:rFonts w:asciiTheme="majorHAnsi" w:hAnsiTheme="majorHAnsi" w:cstheme="majorHAnsi"/>
        </w:rPr>
        <w:t xml:space="preserve"> In California, drought-stressed forests and wildland-urban interface (WUI) expansion </w:t>
      </w:r>
      <w:r w:rsidR="00B771A1">
        <w:rPr>
          <w:rFonts w:asciiTheme="majorHAnsi" w:hAnsiTheme="majorHAnsi" w:cstheme="majorHAnsi"/>
        </w:rPr>
        <w:t>have</w:t>
      </w:r>
      <w:r w:rsidRPr="000F4C13">
        <w:rPr>
          <w:rFonts w:asciiTheme="majorHAnsi" w:hAnsiTheme="majorHAnsi" w:cstheme="majorHAnsi"/>
        </w:rPr>
        <w:t xml:space="preserve"> intensified wildfire risk, contributing to unprecedented levels of acres burned, structures destroyed, people evacuated, and overall costs in recent years. As the WUI—areas in which development occurs within or adjacent to wildlands—</w:t>
      </w:r>
      <w:r w:rsidR="00717325">
        <w:rPr>
          <w:rFonts w:asciiTheme="majorHAnsi" w:hAnsiTheme="majorHAnsi" w:cstheme="majorHAnsi"/>
        </w:rPr>
        <w:t>continue</w:t>
      </w:r>
      <w:r w:rsidRPr="000F4C13">
        <w:rPr>
          <w:rFonts w:asciiTheme="majorHAnsi" w:hAnsiTheme="majorHAnsi" w:cstheme="majorHAnsi"/>
        </w:rPr>
        <w:t xml:space="preserve"> to be developed, in conjunction with increased heat and drought, and the legacy from decades of severe fire suppression in forested areas, high-severity wildfires will occur more frequently.</w:t>
      </w:r>
      <w:r w:rsidRPr="000F4C13">
        <w:rPr>
          <w:rFonts w:asciiTheme="majorHAnsi" w:hAnsiTheme="majorHAnsi" w:cstheme="majorHAnsi"/>
          <w:vertAlign w:val="superscript"/>
        </w:rPr>
        <w:footnoteReference w:id="121"/>
      </w:r>
      <w:r w:rsidRPr="000F4C13">
        <w:rPr>
          <w:rFonts w:asciiTheme="majorHAnsi" w:hAnsiTheme="majorHAnsi" w:cstheme="majorHAnsi"/>
          <w:vertAlign w:val="superscript"/>
        </w:rPr>
        <w:t>,</w:t>
      </w:r>
      <w:r w:rsidRPr="000F4C13">
        <w:rPr>
          <w:rFonts w:asciiTheme="majorHAnsi" w:hAnsiTheme="majorHAnsi" w:cstheme="majorHAnsi"/>
          <w:vertAlign w:val="superscript"/>
        </w:rPr>
        <w:footnoteReference w:id="122"/>
      </w:r>
      <w:r w:rsidRPr="000F4C13">
        <w:rPr>
          <w:rFonts w:asciiTheme="majorHAnsi" w:hAnsiTheme="majorHAnsi" w:cstheme="majorHAnsi"/>
        </w:rPr>
        <w:t xml:space="preserve"> The California Fourth Climate Assessment found that, if greenhouse gas emissions continue to rise, the frequency of extreme wildfires will increase, and the average area burned statewide will grow by 77 percent by 2100. In recent years, </w:t>
      </w:r>
      <w:r w:rsidR="0074212C">
        <w:rPr>
          <w:rFonts w:asciiTheme="majorHAnsi" w:hAnsiTheme="majorHAnsi" w:cstheme="majorHAnsi"/>
        </w:rPr>
        <w:t xml:space="preserve">challenges with wildfire insurance availability and affordability </w:t>
      </w:r>
      <w:r w:rsidRPr="000F4C13">
        <w:rPr>
          <w:rFonts w:asciiTheme="majorHAnsi" w:hAnsiTheme="majorHAnsi" w:cstheme="majorHAnsi"/>
        </w:rPr>
        <w:t xml:space="preserve">have significantly increased. </w:t>
      </w:r>
    </w:p>
    <w:p w:rsidRPr="000F4C13" w:rsidR="00C96053" w:rsidRDefault="00413889" w14:paraId="6183EB7C" w14:textId="5228C603">
      <w:pPr>
        <w:jc w:val="both"/>
        <w:rPr>
          <w:rFonts w:asciiTheme="majorHAnsi" w:hAnsiTheme="majorHAnsi" w:cstheme="majorHAnsi"/>
        </w:rPr>
      </w:pPr>
      <w:r w:rsidRPr="000F4C13">
        <w:rPr>
          <w:rFonts w:asciiTheme="majorHAnsi" w:hAnsiTheme="majorHAnsi" w:cstheme="majorHAnsi"/>
        </w:rPr>
        <w:t xml:space="preserve">In Wyoming, drought and bark beetles have made some forests highly flammable, and increased development in these areas could raise the risk of large fires and limit insurance options. Officials warn that unchecked expansion into forests may </w:t>
      </w:r>
      <w:r w:rsidR="00717325">
        <w:rPr>
          <w:rFonts w:asciiTheme="majorHAnsi" w:hAnsiTheme="majorHAnsi" w:cstheme="majorHAnsi"/>
        </w:rPr>
        <w:t>lead to insurance problems similar to those in California</w:t>
      </w:r>
      <w:r w:rsidRPr="000F4C13">
        <w:rPr>
          <w:rFonts w:asciiTheme="majorHAnsi" w:hAnsiTheme="majorHAnsi" w:cstheme="majorHAnsi"/>
        </w:rPr>
        <w:t xml:space="preserve">, prompting a focus on mitigation grants and potential regulatory action. In Oregon and Washington, drought and increased </w:t>
      </w:r>
      <w:r w:rsidR="00717325">
        <w:rPr>
          <w:rFonts w:asciiTheme="majorHAnsi" w:hAnsiTheme="majorHAnsi" w:cstheme="majorHAnsi"/>
        </w:rPr>
        <w:t>outdoor recreation have led to a significant increase in human-caused fires, as fuel buildup and drought</w:t>
      </w:r>
      <w:r w:rsidRPr="000F4C13">
        <w:rPr>
          <w:rFonts w:asciiTheme="majorHAnsi" w:hAnsiTheme="majorHAnsi" w:cstheme="majorHAnsi"/>
        </w:rPr>
        <w:t xml:space="preserve"> make the areas more combustible. As the WUI expands and fire seasons lengthen, Colorado faces rising wildfire risks and volatile insurance markets.</w:t>
      </w:r>
    </w:p>
    <w:p w:rsidRPr="000F4C13" w:rsidR="00C96053" w:rsidRDefault="00B2522B" w14:paraId="1CEDE50B" w14:textId="77777777">
      <w:pPr>
        <w:pStyle w:val="Heading3"/>
        <w:spacing w:after="0"/>
        <w:rPr>
          <w:rFonts w:asciiTheme="majorHAnsi" w:hAnsiTheme="majorHAnsi" w:cstheme="majorHAnsi"/>
        </w:rPr>
      </w:pPr>
      <w:bookmarkStart w:name="_ku7eise8gy62" w:colFirst="0" w:colLast="0" w:id="104"/>
      <w:bookmarkEnd w:id="104"/>
      <w:r w:rsidRPr="000F4C13">
        <w:rPr>
          <w:rFonts w:asciiTheme="majorHAnsi" w:hAnsiTheme="majorHAnsi" w:cstheme="majorHAnsi"/>
        </w:rPr>
        <w:t>California</w:t>
      </w:r>
    </w:p>
    <w:p w:rsidRPr="000F4C13" w:rsidR="00C96053" w:rsidRDefault="009143EA" w14:paraId="6D78872C" w14:textId="36CA1F33">
      <w:pPr>
        <w:pStyle w:val="Heading4"/>
        <w:rPr>
          <w:rFonts w:asciiTheme="majorHAnsi" w:hAnsiTheme="majorHAnsi" w:cstheme="majorHAnsi"/>
        </w:rPr>
      </w:pPr>
      <w:r w:rsidRPr="000F4C13">
        <w:rPr>
          <w:rFonts w:asciiTheme="majorHAnsi" w:hAnsiTheme="majorHAnsi" w:cstheme="majorHAnsi"/>
        </w:rPr>
        <w:t>Introduction</w:t>
      </w:r>
    </w:p>
    <w:p w:rsidRPr="000F4C13" w:rsidR="006D6A77" w:rsidP="006D6A77" w:rsidRDefault="007D39DF" w14:paraId="0B95E105" w14:textId="4879C024">
      <w:pPr>
        <w:rPr>
          <w:rFonts w:asciiTheme="majorHAnsi" w:hAnsiTheme="majorHAnsi" w:cstheme="majorHAnsi"/>
        </w:rPr>
      </w:pPr>
      <w:r w:rsidRPr="000F4C13">
        <w:rPr>
          <w:rFonts w:asciiTheme="majorHAnsi" w:hAnsiTheme="majorHAnsi" w:cstheme="majorHAnsi"/>
        </w:rPr>
        <w:t xml:space="preserve">The California homeowners insurance market is </w:t>
      </w:r>
      <w:r w:rsidRPr="000F4C13" w:rsidR="00C24FC4">
        <w:rPr>
          <w:rFonts w:asciiTheme="majorHAnsi" w:hAnsiTheme="majorHAnsi" w:cstheme="majorHAnsi"/>
        </w:rPr>
        <w:t xml:space="preserve">highly impacted by </w:t>
      </w:r>
      <w:r w:rsidRPr="000F4C13">
        <w:rPr>
          <w:rFonts w:asciiTheme="majorHAnsi" w:hAnsiTheme="majorHAnsi" w:cstheme="majorHAnsi"/>
        </w:rPr>
        <w:t>increasing wildfire frequency, intensity, and the resulting insured losses</w:t>
      </w:r>
      <w:r w:rsidRPr="000F4C13" w:rsidR="00DC1997">
        <w:rPr>
          <w:rFonts w:asciiTheme="majorHAnsi" w:hAnsiTheme="majorHAnsi" w:cstheme="majorHAnsi"/>
        </w:rPr>
        <w:t>.</w:t>
      </w:r>
      <w:r w:rsidRPr="000F4C13" w:rsidR="006D6A77">
        <w:rPr>
          <w:rFonts w:asciiTheme="majorHAnsi" w:hAnsiTheme="majorHAnsi" w:cstheme="majorHAnsi"/>
        </w:rPr>
        <w:t xml:space="preserve"> While premiums are currently rising and reliance on the state’s insurer of last resort is higher, </w:t>
      </w:r>
      <w:r w:rsidRPr="000F4C13" w:rsidR="00422B56">
        <w:rPr>
          <w:rFonts w:asciiTheme="majorHAnsi" w:hAnsiTheme="majorHAnsi" w:cstheme="majorHAnsi"/>
        </w:rPr>
        <w:t xml:space="preserve">regulatory reforms are being implemented to support </w:t>
      </w:r>
      <w:r w:rsidRPr="000F4C13" w:rsidR="00DC1997">
        <w:rPr>
          <w:rFonts w:asciiTheme="majorHAnsi" w:hAnsiTheme="majorHAnsi" w:cstheme="majorHAnsi"/>
        </w:rPr>
        <w:t>market stability.</w:t>
      </w:r>
    </w:p>
    <w:p w:rsidRPr="000F4C13" w:rsidR="004643DD" w:rsidP="004643DD" w:rsidRDefault="004643DD" w14:paraId="741BFB19" w14:textId="56610F2A">
      <w:pPr>
        <w:pStyle w:val="Heading4"/>
        <w:rPr>
          <w:rFonts w:asciiTheme="majorHAnsi" w:hAnsiTheme="majorHAnsi" w:cstheme="majorHAnsi"/>
        </w:rPr>
      </w:pPr>
      <w:r w:rsidRPr="000F4C13">
        <w:rPr>
          <w:rFonts w:asciiTheme="majorHAnsi" w:hAnsiTheme="majorHAnsi" w:cstheme="majorHAnsi"/>
        </w:rPr>
        <w:t>Reports</w:t>
      </w:r>
    </w:p>
    <w:p w:rsidRPr="000F4C13" w:rsidR="00272FC5" w:rsidP="00272FC5" w:rsidRDefault="00272FC5" w14:paraId="1482CCA1" w14:textId="265A0C62">
      <w:pPr>
        <w:jc w:val="both"/>
        <w:rPr>
          <w:rFonts w:eastAsia="Calibri" w:asciiTheme="majorHAnsi" w:hAnsiTheme="majorHAnsi" w:cstheme="majorHAnsi"/>
        </w:rPr>
      </w:pPr>
      <w:hyperlink r:id="rId108">
        <w:r w:rsidRPr="000F4C13">
          <w:rPr>
            <w:rFonts w:eastAsia="Calibri" w:asciiTheme="majorHAnsi" w:hAnsiTheme="majorHAnsi" w:cstheme="majorHAnsi"/>
            <w:color w:val="467886"/>
            <w:u w:val="single"/>
          </w:rPr>
          <w:t>Climate Insurance Report</w:t>
        </w:r>
      </w:hyperlink>
      <w:r w:rsidRPr="000F4C13">
        <w:rPr>
          <w:rFonts w:eastAsia="Calibri" w:asciiTheme="majorHAnsi" w:hAnsiTheme="majorHAnsi" w:cstheme="majorHAnsi"/>
        </w:rPr>
        <w:t>: Senate Bill 30 (Chapter 614, Statutes of 2018) established a working group of environmental advocates, researchers, and insurance experts to make recommendations on policies to reduce the costs of wildfires, extreme heat, and flooding. They released the first-ever report in 2021 titled "Protecting Communities, Preserving Nature, and Building Resiliency; How First-of-Its-Kind Climate Insurance Will Help Combat the Costs of Wildfires, Extreme Heat, and Floods."</w:t>
      </w:r>
    </w:p>
    <w:p w:rsidRPr="000F4C13" w:rsidR="00272FC5" w:rsidP="00863833" w:rsidRDefault="00272FC5" w14:paraId="540E83AC" w14:textId="4A033CB7">
      <w:pPr>
        <w:jc w:val="both"/>
        <w:rPr>
          <w:rFonts w:eastAsia="Calibri" w:asciiTheme="majorHAnsi" w:hAnsiTheme="majorHAnsi" w:cstheme="majorHAnsi"/>
          <w:b/>
          <w:bCs/>
        </w:rPr>
      </w:pPr>
      <w:r w:rsidRPr="000F4C13">
        <w:rPr>
          <w:rFonts w:eastAsia="Calibri" w:asciiTheme="majorHAnsi" w:hAnsiTheme="majorHAnsi" w:cstheme="majorHAnsi"/>
        </w:rPr>
        <w:t xml:space="preserve">The report’s wildfire recommendations include: (1) Develop a publicly available mitigation model that can be used by local governments and state mitigation investments, (2) Make Fire Hazard Severity Maps more comprehensive, including by creating moderate, high, and very high hazard designations for the entire state, rather than only for the State Responsibility Areas. (3) Align insurance incentives with mitigation </w:t>
      </w:r>
      <w:r w:rsidR="007D27D6">
        <w:rPr>
          <w:rFonts w:eastAsia="Calibri" w:asciiTheme="majorHAnsi" w:hAnsiTheme="majorHAnsi" w:cstheme="majorHAnsi"/>
        </w:rPr>
        <w:t>requirements</w:t>
      </w:r>
      <w:r w:rsidRPr="000F4C13">
        <w:rPr>
          <w:rFonts w:eastAsia="Calibri" w:asciiTheme="majorHAnsi" w:hAnsiTheme="majorHAnsi" w:cstheme="majorHAnsi"/>
        </w:rPr>
        <w:t>, (4) Close the community wildfire mitigation gap with stronger planning and documentation of successful home and community mitigation.</w:t>
      </w:r>
    </w:p>
    <w:p w:rsidRPr="000F4C13" w:rsidR="00C96053" w:rsidP="00863833" w:rsidRDefault="00C96053" w14:paraId="43E69B52" w14:textId="771AA3E5">
      <w:pPr>
        <w:jc w:val="both"/>
        <w:rPr>
          <w:rFonts w:eastAsia="Calibri" w:asciiTheme="majorHAnsi" w:hAnsiTheme="majorHAnsi" w:cstheme="majorHAnsi"/>
        </w:rPr>
      </w:pPr>
      <w:hyperlink r:id="rId109">
        <w:r w:rsidRPr="000F4C13">
          <w:rPr>
            <w:rFonts w:eastAsia="Calibri" w:asciiTheme="majorHAnsi" w:hAnsiTheme="majorHAnsi" w:cstheme="majorHAnsi"/>
            <w:color w:val="467886"/>
            <w:u w:val="single"/>
          </w:rPr>
          <w:t>Sustainable Insurance Roadmap</w:t>
        </w:r>
      </w:hyperlink>
      <w:r w:rsidRPr="000F4C13">
        <w:rPr>
          <w:rFonts w:eastAsia="Calibri" w:asciiTheme="majorHAnsi" w:hAnsiTheme="majorHAnsi" w:cstheme="majorHAnsi"/>
        </w:rPr>
        <w:t xml:space="preserve">: In 2022, Insurance Commissioner Ricardo Lara and the United Nations’ Principles for Sustainable Insurance Initiative (PSI) announced a first-of-its-kind “Sustainable Insurance Roadmap” for </w:t>
      </w:r>
      <w:r w:rsidRPr="000F4C13" w:rsidR="00B95C13">
        <w:rPr>
          <w:rFonts w:eastAsia="Calibri" w:asciiTheme="majorHAnsi" w:hAnsiTheme="majorHAnsi" w:cstheme="majorHAnsi"/>
        </w:rPr>
        <w:t>California</w:t>
      </w:r>
      <w:r w:rsidRPr="000F4C13">
        <w:rPr>
          <w:rFonts w:eastAsia="Calibri" w:asciiTheme="majorHAnsi" w:hAnsiTheme="majorHAnsi" w:cstheme="majorHAnsi"/>
        </w:rPr>
        <w:t xml:space="preserve">. The Roadmap highlights the four interlocking goals of reducing emissions, accelerating community mitigation, keeping insurance affordable and available for vulnerable communities, and closing protection gaps between insured and uninsured losses. </w:t>
      </w:r>
    </w:p>
    <w:p w:rsidRPr="000F4C13" w:rsidR="00C96053" w:rsidP="00863833" w:rsidRDefault="00B95C13" w14:paraId="00E167D8" w14:textId="51F3F9CE">
      <w:pPr>
        <w:jc w:val="both"/>
        <w:rPr>
          <w:rFonts w:eastAsia="Calibri" w:asciiTheme="majorHAnsi" w:hAnsiTheme="majorHAnsi" w:cstheme="majorHAnsi"/>
        </w:rPr>
      </w:pPr>
      <w:r w:rsidRPr="000F4C13">
        <w:rPr>
          <w:rFonts w:eastAsia="Calibri" w:asciiTheme="majorHAnsi" w:hAnsiTheme="majorHAnsi" w:cstheme="majorHAnsi"/>
        </w:rPr>
        <w:t>It</w:t>
      </w:r>
      <w:r w:rsidRPr="000F4C13" w:rsidR="00B2522B">
        <w:rPr>
          <w:rFonts w:eastAsia="Calibri" w:asciiTheme="majorHAnsi" w:hAnsiTheme="majorHAnsi" w:cstheme="majorHAnsi"/>
        </w:rPr>
        <w:t xml:space="preserve"> addresses different strategies to reduce risks of wildfire, such as (1) Collaborate with state agencies and engage with risk scientists to establish a list of home and community hardening actions (see Required Wildfire Mitigation Discounts Regulation), (2) Support Cultural and Prescribed Fire to reduce wildfire risks, (3) Identify areas of high risk and wide protection gaps.</w:t>
      </w:r>
    </w:p>
    <w:p w:rsidRPr="000F4C13" w:rsidR="00C96053" w:rsidRDefault="00B2522B" w14:paraId="27E82F03" w14:textId="77777777">
      <w:pPr>
        <w:pStyle w:val="Heading4"/>
        <w:rPr>
          <w:rFonts w:asciiTheme="majorHAnsi" w:hAnsiTheme="majorHAnsi" w:cstheme="majorHAnsi"/>
        </w:rPr>
      </w:pPr>
      <w:bookmarkStart w:name="_bznjzhlj0m4" w:colFirst="0" w:colLast="0" w:id="105"/>
      <w:bookmarkEnd w:id="105"/>
      <w:r w:rsidRPr="000F4C13">
        <w:rPr>
          <w:rFonts w:asciiTheme="majorHAnsi" w:hAnsiTheme="majorHAnsi" w:cstheme="majorHAnsi"/>
        </w:rPr>
        <w:t>Regulations</w:t>
      </w:r>
    </w:p>
    <w:p w:rsidRPr="000F4C13" w:rsidR="00C96053" w:rsidP="00863833" w:rsidRDefault="00C96053" w14:paraId="11605238" w14:textId="77777777">
      <w:pPr>
        <w:jc w:val="both"/>
        <w:rPr>
          <w:rFonts w:eastAsia="Calibri" w:asciiTheme="majorHAnsi" w:hAnsiTheme="majorHAnsi" w:cstheme="majorHAnsi"/>
        </w:rPr>
      </w:pPr>
      <w:hyperlink r:id="rId110">
        <w:r w:rsidRPr="000F4C13">
          <w:rPr>
            <w:rFonts w:eastAsia="Calibri" w:asciiTheme="majorHAnsi" w:hAnsiTheme="majorHAnsi" w:cstheme="majorHAnsi"/>
            <w:color w:val="467886"/>
            <w:u w:val="single"/>
          </w:rPr>
          <w:t>Mandatory One Year Moratorium on Non-Renewals:</w:t>
        </w:r>
      </w:hyperlink>
      <w:r w:rsidRPr="000F4C13">
        <w:rPr>
          <w:rFonts w:eastAsia="Calibri" w:asciiTheme="majorHAnsi" w:hAnsiTheme="majorHAnsi" w:cstheme="majorHAnsi"/>
        </w:rPr>
        <w:t xml:space="preserve"> Requires a mandatory one-year moratorium on insurance companies canceling or non-renewing residential insurance policies in certain areas within or adjacent to a fire perimeter after a declared state of emergency is issued by the Governor.</w:t>
      </w:r>
    </w:p>
    <w:p w:rsidRPr="000F4C13" w:rsidR="00C96053" w:rsidP="00863833" w:rsidRDefault="00C96053" w14:paraId="373EF6CD" w14:textId="353439A3">
      <w:pPr>
        <w:jc w:val="both"/>
        <w:rPr>
          <w:rFonts w:eastAsia="Calibri" w:asciiTheme="majorHAnsi" w:hAnsiTheme="majorHAnsi" w:cstheme="majorHAnsi"/>
        </w:rPr>
      </w:pPr>
      <w:hyperlink r:id="rId111">
        <w:r w:rsidRPr="000F4C13">
          <w:rPr>
            <w:rFonts w:eastAsia="Calibri" w:asciiTheme="majorHAnsi" w:hAnsiTheme="majorHAnsi" w:cstheme="majorHAnsi"/>
            <w:color w:val="467886"/>
            <w:u w:val="single"/>
          </w:rPr>
          <w:t>Consideration of Mitigation Factors; Wildfire Risk Models. (Safer from Wildfire Regulations)</w:t>
        </w:r>
      </w:hyperlink>
      <w:r w:rsidRPr="000F4C13">
        <w:rPr>
          <w:rFonts w:eastAsia="Calibri" w:asciiTheme="majorHAnsi" w:hAnsiTheme="majorHAnsi" w:cstheme="majorHAnsi"/>
        </w:rPr>
        <w:t xml:space="preserve">: An insurer that applies or uses a rate that is developed with, determined by, or relies upon a rating plan that segments, creates a rate differential, or surcharges the premium based upon a policyholder or applicant's wildfire risk must comply with Section 2644.9 of Title 10 of the California Code of Regulations.  Under this regulation, insurance companies are required to take </w:t>
      </w:r>
      <w:r w:rsidR="007D27D6">
        <w:rPr>
          <w:rFonts w:eastAsia="Calibri" w:asciiTheme="majorHAnsi" w:hAnsiTheme="majorHAnsi" w:cstheme="majorHAnsi"/>
        </w:rPr>
        <w:t xml:space="preserve">completed property-level mitigation efforts and community-level designations into account </w:t>
      </w:r>
      <w:r w:rsidRPr="000F4C13">
        <w:rPr>
          <w:rFonts w:eastAsia="Calibri" w:asciiTheme="majorHAnsi" w:hAnsiTheme="majorHAnsi" w:cstheme="majorHAnsi"/>
        </w:rPr>
        <w:t>in their rating plans.</w:t>
      </w:r>
    </w:p>
    <w:p w:rsidRPr="000F4C13" w:rsidR="00C96053" w:rsidP="00863833" w:rsidRDefault="00C96053" w14:paraId="058EE2C1" w14:textId="77777777">
      <w:pPr>
        <w:jc w:val="both"/>
        <w:rPr>
          <w:rFonts w:eastAsia="Calibri" w:asciiTheme="majorHAnsi" w:hAnsiTheme="majorHAnsi" w:cstheme="majorHAnsi"/>
        </w:rPr>
      </w:pPr>
      <w:hyperlink r:id="rId112">
        <w:r w:rsidRPr="000F4C13">
          <w:rPr>
            <w:rFonts w:eastAsia="Calibri" w:asciiTheme="majorHAnsi" w:hAnsiTheme="majorHAnsi" w:cstheme="majorHAnsi"/>
            <w:color w:val="467886"/>
            <w:u w:val="single"/>
          </w:rPr>
          <w:t>Sustainable Insurance Strategy</w:t>
        </w:r>
      </w:hyperlink>
      <w:r w:rsidRPr="000F4C13">
        <w:rPr>
          <w:rFonts w:eastAsia="Calibri" w:asciiTheme="majorHAnsi" w:hAnsiTheme="majorHAnsi" w:cstheme="majorHAnsi"/>
          <w:b/>
          <w:bCs/>
        </w:rPr>
        <w:t>:</w:t>
      </w:r>
      <w:r w:rsidRPr="000F4C13">
        <w:rPr>
          <w:rFonts w:eastAsia="Calibri" w:asciiTheme="majorHAnsi" w:hAnsiTheme="majorHAnsi" w:cstheme="majorHAnsi"/>
        </w:rPr>
        <w:t xml:space="preserve"> Since 2017, California has experienced the eight largest wildfires in state history, as well as fourteen of the most destructive wildfires, and seven of the deadliest wildfires, which include the Camp Fire - the single deadliest wildfire in the history of the state, resulting in the loss of 85 lives. In 2023, a number of insurance carriers representing more than 60% of the admitted market share announced plans to either limit or stop issuing new homeowners and commercial property insurance policies. To address the critical affordability and availability issues impacting policyholders, CDI developed a comprehensive package of reforms designed to modernize, strengthen, and stabilize California's marketplace for homeowners' insurance and commercial property insurance. Key regulatory components included:</w:t>
      </w:r>
    </w:p>
    <w:p w:rsidRPr="000F4C13" w:rsidR="00C96053" w:rsidP="00863833" w:rsidRDefault="00B2522B" w14:paraId="559DB624" w14:textId="25AE9B17">
      <w:pPr>
        <w:jc w:val="both"/>
        <w:rPr>
          <w:rFonts w:eastAsia="Calibri" w:asciiTheme="majorHAnsi" w:hAnsiTheme="majorHAnsi" w:cstheme="majorHAnsi"/>
          <w:b/>
          <w:bCs/>
        </w:rPr>
      </w:pPr>
      <w:r w:rsidRPr="000F4C13">
        <w:rPr>
          <w:rFonts w:eastAsia="Calibri" w:asciiTheme="majorHAnsi" w:hAnsiTheme="majorHAnsi" w:cstheme="majorHAnsi"/>
          <w:b/>
        </w:rPr>
        <w:t>Complete Rate Application</w:t>
      </w:r>
      <w:r w:rsidRPr="000F4C13">
        <w:rPr>
          <w:rFonts w:eastAsia="Calibri" w:asciiTheme="majorHAnsi" w:hAnsiTheme="majorHAnsi" w:cstheme="majorHAnsi"/>
        </w:rPr>
        <w:t xml:space="preserve">: CDI amended Sections </w:t>
      </w:r>
      <w:hyperlink r:id="rId113">
        <w:r w:rsidRPr="000F4C13" w:rsidR="00C96053">
          <w:rPr>
            <w:rFonts w:eastAsia="Calibri" w:asciiTheme="majorHAnsi" w:hAnsiTheme="majorHAnsi" w:cstheme="majorHAnsi"/>
            <w:color w:val="467886"/>
            <w:u w:val="single"/>
          </w:rPr>
          <w:t>2648.1</w:t>
        </w:r>
      </w:hyperlink>
      <w:r w:rsidRPr="000F4C13">
        <w:rPr>
          <w:rFonts w:eastAsia="Calibri" w:asciiTheme="majorHAnsi" w:hAnsiTheme="majorHAnsi" w:cstheme="majorHAnsi"/>
        </w:rPr>
        <w:t xml:space="preserve">, </w:t>
      </w:r>
      <w:hyperlink r:id="rId114">
        <w:r w:rsidRPr="000F4C13" w:rsidR="00C96053">
          <w:rPr>
            <w:rFonts w:eastAsia="Calibri" w:asciiTheme="majorHAnsi" w:hAnsiTheme="majorHAnsi" w:cstheme="majorHAnsi"/>
            <w:color w:val="467886"/>
            <w:u w:val="single"/>
          </w:rPr>
          <w:t>2648.2</w:t>
        </w:r>
      </w:hyperlink>
      <w:r w:rsidRPr="000F4C13">
        <w:rPr>
          <w:rFonts w:eastAsia="Calibri" w:asciiTheme="majorHAnsi" w:hAnsiTheme="majorHAnsi" w:cstheme="majorHAnsi"/>
        </w:rPr>
        <w:t xml:space="preserve">, and </w:t>
      </w:r>
      <w:hyperlink r:id="rId115">
        <w:r w:rsidRPr="000F4C13" w:rsidR="00C96053">
          <w:rPr>
            <w:rFonts w:eastAsia="Calibri" w:asciiTheme="majorHAnsi" w:hAnsiTheme="majorHAnsi" w:cstheme="majorHAnsi"/>
            <w:color w:val="467886"/>
            <w:u w:val="single"/>
          </w:rPr>
          <w:t>2648.4</w:t>
        </w:r>
      </w:hyperlink>
      <w:r w:rsidRPr="000F4C13">
        <w:rPr>
          <w:rFonts w:eastAsia="Calibri" w:asciiTheme="majorHAnsi" w:hAnsiTheme="majorHAnsi" w:cstheme="majorHAnsi"/>
        </w:rPr>
        <w:t xml:space="preserve"> of Title 10 of the California Code of Regulations to specify the materials and information that must be included initially in a complete rate filing application submitted to the California Insurance Commissioner. This rulemaking increases expediency and transparency in the prior rate approval process by reducing unnecessary delays in the rate review and approval process, providing consumer </w:t>
      </w:r>
      <w:r w:rsidRPr="000F4C13" w:rsidR="00BF47E4">
        <w:rPr>
          <w:rFonts w:eastAsia="Calibri" w:asciiTheme="majorHAnsi" w:hAnsiTheme="majorHAnsi" w:cstheme="majorHAnsi"/>
        </w:rPr>
        <w:t>representatives with</w:t>
      </w:r>
      <w:r w:rsidRPr="000F4C13">
        <w:rPr>
          <w:rFonts w:eastAsia="Calibri" w:asciiTheme="majorHAnsi" w:hAnsiTheme="majorHAnsi" w:cstheme="majorHAnsi"/>
        </w:rPr>
        <w:t xml:space="preserve"> more opportunity to timely review all of the materials, information, and documents required as part of a complete rate application in order to decide whether to intervene in the rate review process.  Finally, by clarifying the steps </w:t>
      </w:r>
      <w:r w:rsidR="00BF47E4">
        <w:rPr>
          <w:rFonts w:eastAsia="Calibri" w:asciiTheme="majorHAnsi" w:hAnsiTheme="majorHAnsi" w:cstheme="majorHAnsi"/>
        </w:rPr>
        <w:t xml:space="preserve">required to submit a complete rate application to CDI before the clock on reviewing the application begins, and by eliminating lengthy exchanges </w:t>
      </w:r>
      <w:r w:rsidRPr="000F4C13">
        <w:rPr>
          <w:rFonts w:eastAsia="Calibri" w:asciiTheme="majorHAnsi" w:hAnsiTheme="majorHAnsi" w:cstheme="majorHAnsi"/>
        </w:rPr>
        <w:t>about incomplete applications before the rate review process may actually begin.</w:t>
      </w:r>
    </w:p>
    <w:p w:rsidRPr="000F4C13" w:rsidR="00C96053" w:rsidP="00863833" w:rsidRDefault="00B2522B" w14:paraId="1E616D7B" w14:textId="2C10AEC5">
      <w:pPr>
        <w:jc w:val="both"/>
        <w:rPr>
          <w:rFonts w:eastAsia="Calibri" w:asciiTheme="majorHAnsi" w:hAnsiTheme="majorHAnsi" w:cstheme="majorHAnsi"/>
        </w:rPr>
      </w:pPr>
      <w:r w:rsidRPr="000F4C13">
        <w:rPr>
          <w:rFonts w:eastAsia="Calibri" w:asciiTheme="majorHAnsi" w:hAnsiTheme="majorHAnsi" w:cstheme="majorHAnsi"/>
          <w:b/>
        </w:rPr>
        <w:t>Catastrophe Modeling and Ratemaking</w:t>
      </w:r>
      <w:r w:rsidRPr="000F4C13">
        <w:rPr>
          <w:rFonts w:eastAsia="Calibri" w:asciiTheme="majorHAnsi" w:hAnsiTheme="majorHAnsi" w:cstheme="majorHAnsi"/>
        </w:rPr>
        <w:t xml:space="preserve">: CDI amended or adopted Sections </w:t>
      </w:r>
      <w:hyperlink r:id="rId116">
        <w:r w:rsidRPr="000F4C13" w:rsidR="00C96053">
          <w:rPr>
            <w:rFonts w:eastAsia="Calibri" w:asciiTheme="majorHAnsi" w:hAnsiTheme="majorHAnsi" w:cstheme="majorHAnsi"/>
            <w:color w:val="467886"/>
            <w:u w:val="single"/>
          </w:rPr>
          <w:t>2644.4</w:t>
        </w:r>
      </w:hyperlink>
      <w:r w:rsidRPr="000F4C13">
        <w:rPr>
          <w:rFonts w:eastAsia="Calibri" w:asciiTheme="majorHAnsi" w:hAnsiTheme="majorHAnsi" w:cstheme="majorHAnsi"/>
        </w:rPr>
        <w:t xml:space="preserve">, </w:t>
      </w:r>
      <w:hyperlink r:id="rId117">
        <w:r w:rsidRPr="000F4C13" w:rsidR="00C96053">
          <w:rPr>
            <w:rFonts w:eastAsia="Calibri" w:asciiTheme="majorHAnsi" w:hAnsiTheme="majorHAnsi" w:cstheme="majorHAnsi"/>
            <w:color w:val="467886"/>
            <w:u w:val="single"/>
          </w:rPr>
          <w:t>2644.4.5</w:t>
        </w:r>
      </w:hyperlink>
      <w:r w:rsidRPr="000F4C13">
        <w:rPr>
          <w:rFonts w:eastAsia="Calibri" w:asciiTheme="majorHAnsi" w:hAnsiTheme="majorHAnsi" w:cstheme="majorHAnsi"/>
        </w:rPr>
        <w:t xml:space="preserve">, </w:t>
      </w:r>
      <w:hyperlink r:id="rId118">
        <w:r w:rsidRPr="000F4C13" w:rsidR="00C96053">
          <w:rPr>
            <w:rFonts w:eastAsia="Calibri" w:asciiTheme="majorHAnsi" w:hAnsiTheme="majorHAnsi" w:cstheme="majorHAnsi"/>
            <w:color w:val="467886"/>
            <w:u w:val="single"/>
          </w:rPr>
          <w:t>2644.4.8</w:t>
        </w:r>
      </w:hyperlink>
      <w:r w:rsidRPr="000F4C13">
        <w:rPr>
          <w:rFonts w:eastAsia="Calibri" w:asciiTheme="majorHAnsi" w:hAnsiTheme="majorHAnsi" w:cstheme="majorHAnsi"/>
        </w:rPr>
        <w:t xml:space="preserve">, </w:t>
      </w:r>
      <w:hyperlink r:id="rId119">
        <w:r w:rsidRPr="000F4C13" w:rsidR="00C96053">
          <w:rPr>
            <w:rFonts w:eastAsia="Calibri" w:asciiTheme="majorHAnsi" w:hAnsiTheme="majorHAnsi" w:cstheme="majorHAnsi"/>
            <w:color w:val="467886"/>
            <w:u w:val="single"/>
          </w:rPr>
          <w:t>2644.5</w:t>
        </w:r>
      </w:hyperlink>
      <w:r w:rsidRPr="000F4C13">
        <w:rPr>
          <w:rFonts w:eastAsia="Calibri" w:asciiTheme="majorHAnsi" w:hAnsiTheme="majorHAnsi" w:cstheme="majorHAnsi"/>
        </w:rPr>
        <w:t xml:space="preserve">, </w:t>
      </w:r>
      <w:hyperlink r:id="rId120">
        <w:r w:rsidRPr="000F4C13" w:rsidR="00C96053">
          <w:rPr>
            <w:rFonts w:eastAsia="Calibri" w:asciiTheme="majorHAnsi" w:hAnsiTheme="majorHAnsi" w:cstheme="majorHAnsi"/>
            <w:color w:val="467886"/>
            <w:u w:val="single"/>
          </w:rPr>
          <w:t>2644.8</w:t>
        </w:r>
      </w:hyperlink>
      <w:r w:rsidRPr="000F4C13">
        <w:rPr>
          <w:rFonts w:eastAsia="Calibri" w:asciiTheme="majorHAnsi" w:hAnsiTheme="majorHAnsi" w:cstheme="majorHAnsi"/>
        </w:rPr>
        <w:t xml:space="preserve">, and </w:t>
      </w:r>
      <w:hyperlink r:id="rId121">
        <w:r w:rsidRPr="000F4C13" w:rsidR="00C96053">
          <w:rPr>
            <w:rFonts w:eastAsia="Calibri" w:asciiTheme="majorHAnsi" w:hAnsiTheme="majorHAnsi" w:cstheme="majorHAnsi"/>
            <w:color w:val="467886"/>
            <w:u w:val="single"/>
          </w:rPr>
          <w:t>2644.27</w:t>
        </w:r>
      </w:hyperlink>
      <w:r w:rsidRPr="000F4C13">
        <w:rPr>
          <w:rFonts w:eastAsia="Calibri" w:asciiTheme="majorHAnsi" w:hAnsiTheme="majorHAnsi" w:cstheme="majorHAnsi"/>
        </w:rPr>
        <w:t>, of Title 10 of the California Code of Regulations. Prior to this rulemaking, California insurance rates were determined</w:t>
      </w:r>
      <w:r w:rsidR="00BF47E4">
        <w:rPr>
          <w:rFonts w:eastAsia="Calibri" w:asciiTheme="majorHAnsi" w:hAnsiTheme="majorHAnsi" w:cstheme="majorHAnsi"/>
        </w:rPr>
        <w:t>, in part, based on</w:t>
      </w:r>
      <w:r w:rsidRPr="000F4C13">
        <w:rPr>
          <w:rFonts w:eastAsia="Calibri" w:asciiTheme="majorHAnsi" w:hAnsiTheme="majorHAnsi" w:cstheme="majorHAnsi"/>
        </w:rPr>
        <w:t xml:space="preserve"> insurers’ historical losses. This rulemaking permits insurance companies to use catastrophe modeling to determine their catastrophe </w:t>
      </w:r>
      <w:r w:rsidR="004B32DE">
        <w:rPr>
          <w:rFonts w:eastAsia="Calibri" w:asciiTheme="majorHAnsi" w:hAnsiTheme="majorHAnsi" w:cstheme="majorHAnsi"/>
        </w:rPr>
        <w:t>loss adjustments in the ratemaking formula, where they are presumed to have demonstrated a need to do so by committing to take on the risk of writing additional business or maintaining existing business in higher-risk,</w:t>
      </w:r>
      <w:r w:rsidRPr="000F4C13">
        <w:rPr>
          <w:rFonts w:eastAsia="Calibri" w:asciiTheme="majorHAnsi" w:hAnsiTheme="majorHAnsi" w:cstheme="majorHAnsi"/>
        </w:rPr>
        <w:t xml:space="preserve"> wildfire-prone areas. </w:t>
      </w:r>
    </w:p>
    <w:p w:rsidRPr="000F4C13" w:rsidR="00C96053" w:rsidP="00863833" w:rsidRDefault="00B2522B" w14:paraId="1AB1B877" w14:textId="77777777">
      <w:pPr>
        <w:jc w:val="both"/>
        <w:rPr>
          <w:rFonts w:eastAsia="Calibri" w:asciiTheme="majorHAnsi" w:hAnsiTheme="majorHAnsi" w:cstheme="majorHAnsi"/>
          <w:b/>
          <w:bCs/>
        </w:rPr>
      </w:pPr>
      <w:r w:rsidRPr="000F4C13">
        <w:rPr>
          <w:rFonts w:eastAsia="Calibri" w:asciiTheme="majorHAnsi" w:hAnsiTheme="majorHAnsi" w:cstheme="majorHAnsi"/>
          <w:b/>
        </w:rPr>
        <w:t>Pre-Application Required Information Determination (“PRID”) Procedure</w:t>
      </w:r>
      <w:r w:rsidRPr="000F4C13">
        <w:rPr>
          <w:rFonts w:eastAsia="Calibri" w:asciiTheme="majorHAnsi" w:hAnsiTheme="majorHAnsi" w:cstheme="majorHAnsi"/>
        </w:rPr>
        <w:t xml:space="preserve">: CDI adopted Section </w:t>
      </w:r>
      <w:hyperlink r:id="rId122">
        <w:r w:rsidRPr="000F4C13" w:rsidR="00C96053">
          <w:rPr>
            <w:rFonts w:eastAsia="Calibri" w:asciiTheme="majorHAnsi" w:hAnsiTheme="majorHAnsi" w:cstheme="majorHAnsi"/>
            <w:color w:val="467886"/>
            <w:u w:val="single"/>
          </w:rPr>
          <w:t>2648.5</w:t>
        </w:r>
      </w:hyperlink>
      <w:r w:rsidRPr="000F4C13">
        <w:rPr>
          <w:rFonts w:eastAsia="Calibri" w:asciiTheme="majorHAnsi" w:hAnsiTheme="majorHAnsi" w:cstheme="majorHAnsi"/>
        </w:rPr>
        <w:t xml:space="preserve"> of Title 10 of the California Code of Regulations, which sets forth a new process where insurers, before submitting a complete rate application to the Commissioner, can submit information and data regarding a model and obtain a nonadjudicative determination specifying all information and data regarding a model that are required to be submitted as part of a complete rate application that relies upon the model for purposes of requesting a proposed rate change.</w:t>
      </w:r>
    </w:p>
    <w:p w:rsidRPr="000F4C13" w:rsidR="00C96053" w:rsidP="00863833" w:rsidRDefault="00B2522B" w14:paraId="2EFE6A39" w14:textId="1EE3D218">
      <w:pPr>
        <w:jc w:val="both"/>
        <w:rPr>
          <w:rFonts w:eastAsia="Calibri" w:asciiTheme="majorHAnsi" w:hAnsiTheme="majorHAnsi" w:cstheme="majorHAnsi"/>
          <w:b/>
          <w:bCs/>
        </w:rPr>
      </w:pPr>
      <w:r w:rsidRPr="000F4C13">
        <w:rPr>
          <w:rFonts w:eastAsia="Calibri" w:asciiTheme="majorHAnsi" w:hAnsiTheme="majorHAnsi" w:cstheme="majorHAnsi"/>
          <w:b/>
        </w:rPr>
        <w:t>Standard Net Cost of Reinsurance (NCOR)</w:t>
      </w:r>
      <w:r w:rsidRPr="000F4C13">
        <w:rPr>
          <w:rFonts w:eastAsia="Calibri" w:asciiTheme="majorHAnsi" w:hAnsiTheme="majorHAnsi" w:cstheme="majorHAnsi"/>
        </w:rPr>
        <w:t xml:space="preserve">: CDI amended Sections </w:t>
      </w:r>
      <w:hyperlink r:id="rId123">
        <w:r w:rsidRPr="000F4C13" w:rsidR="00C96053">
          <w:rPr>
            <w:rFonts w:eastAsia="Calibri" w:asciiTheme="majorHAnsi" w:hAnsiTheme="majorHAnsi" w:cstheme="majorHAnsi"/>
            <w:color w:val="467886"/>
            <w:u w:val="single"/>
          </w:rPr>
          <w:t>2342.7</w:t>
        </w:r>
      </w:hyperlink>
      <w:r w:rsidRPr="000F4C13">
        <w:rPr>
          <w:rFonts w:eastAsia="Calibri" w:asciiTheme="majorHAnsi" w:hAnsiTheme="majorHAnsi" w:cstheme="majorHAnsi"/>
        </w:rPr>
        <w:t xml:space="preserve">, </w:t>
      </w:r>
      <w:hyperlink r:id="rId124">
        <w:r w:rsidRPr="000F4C13" w:rsidR="00C96053">
          <w:rPr>
            <w:rFonts w:eastAsia="Calibri" w:asciiTheme="majorHAnsi" w:hAnsiTheme="majorHAnsi" w:cstheme="majorHAnsi"/>
            <w:color w:val="467886"/>
            <w:u w:val="single"/>
          </w:rPr>
          <w:t>2644.16</w:t>
        </w:r>
      </w:hyperlink>
      <w:r w:rsidRPr="000F4C13">
        <w:rPr>
          <w:rFonts w:eastAsia="Calibri" w:asciiTheme="majorHAnsi" w:hAnsiTheme="majorHAnsi" w:cstheme="majorHAnsi"/>
        </w:rPr>
        <w:t xml:space="preserve">, </w:t>
      </w:r>
      <w:hyperlink r:id="rId125">
        <w:r w:rsidRPr="000F4C13" w:rsidR="00C96053">
          <w:rPr>
            <w:rFonts w:eastAsia="Calibri" w:asciiTheme="majorHAnsi" w:hAnsiTheme="majorHAnsi" w:cstheme="majorHAnsi"/>
            <w:color w:val="467886"/>
            <w:u w:val="single"/>
          </w:rPr>
          <w:t>2644.25</w:t>
        </w:r>
      </w:hyperlink>
      <w:r w:rsidRPr="000F4C13">
        <w:rPr>
          <w:rFonts w:eastAsia="Calibri" w:asciiTheme="majorHAnsi" w:hAnsiTheme="majorHAnsi" w:cstheme="majorHAnsi"/>
        </w:rPr>
        <w:t xml:space="preserve">, </w:t>
      </w:r>
      <w:hyperlink r:id="rId126">
        <w:r w:rsidRPr="000F4C13" w:rsidR="00C96053">
          <w:rPr>
            <w:rFonts w:eastAsia="Calibri" w:asciiTheme="majorHAnsi" w:hAnsiTheme="majorHAnsi" w:cstheme="majorHAnsi"/>
            <w:color w:val="467886"/>
            <w:u w:val="single"/>
          </w:rPr>
          <w:t>2644.27</w:t>
        </w:r>
      </w:hyperlink>
      <w:r w:rsidRPr="000F4C13">
        <w:rPr>
          <w:rFonts w:eastAsia="Calibri" w:asciiTheme="majorHAnsi" w:hAnsiTheme="majorHAnsi" w:cstheme="majorHAnsi"/>
        </w:rPr>
        <w:t xml:space="preserve">, and adopted Section </w:t>
      </w:r>
      <w:hyperlink r:id="rId127">
        <w:r w:rsidRPr="000F4C13" w:rsidR="00C96053">
          <w:rPr>
            <w:rFonts w:eastAsia="Calibri" w:asciiTheme="majorHAnsi" w:hAnsiTheme="majorHAnsi" w:cstheme="majorHAnsi"/>
            <w:color w:val="467886"/>
            <w:u w:val="single"/>
          </w:rPr>
          <w:t>2644.25.1</w:t>
        </w:r>
      </w:hyperlink>
      <w:r w:rsidRPr="000F4C13">
        <w:rPr>
          <w:rFonts w:eastAsia="Calibri" w:asciiTheme="majorHAnsi" w:hAnsiTheme="majorHAnsi" w:cstheme="majorHAnsi"/>
        </w:rPr>
        <w:t xml:space="preserve">, </w:t>
      </w:r>
      <w:hyperlink r:id="rId128">
        <w:r w:rsidRPr="000F4C13" w:rsidR="00C96053">
          <w:rPr>
            <w:rFonts w:eastAsia="Calibri" w:asciiTheme="majorHAnsi" w:hAnsiTheme="majorHAnsi" w:cstheme="majorHAnsi"/>
            <w:color w:val="467886"/>
            <w:u w:val="single"/>
          </w:rPr>
          <w:t>2644.25.2</w:t>
        </w:r>
      </w:hyperlink>
      <w:r w:rsidRPr="000F4C13">
        <w:rPr>
          <w:rFonts w:eastAsia="Calibri" w:asciiTheme="majorHAnsi" w:hAnsiTheme="majorHAnsi" w:cstheme="majorHAnsi"/>
        </w:rPr>
        <w:t xml:space="preserve">, and </w:t>
      </w:r>
      <w:hyperlink r:id="rId129">
        <w:r w:rsidRPr="000F4C13" w:rsidR="00C96053">
          <w:rPr>
            <w:rFonts w:eastAsia="Calibri" w:asciiTheme="majorHAnsi" w:hAnsiTheme="majorHAnsi" w:cstheme="majorHAnsi"/>
            <w:color w:val="467886"/>
            <w:u w:val="single"/>
          </w:rPr>
          <w:t>2644.25.3</w:t>
        </w:r>
      </w:hyperlink>
      <w:r w:rsidRPr="000F4C13">
        <w:rPr>
          <w:rFonts w:eastAsia="Calibri" w:asciiTheme="majorHAnsi" w:hAnsiTheme="majorHAnsi" w:cstheme="majorHAnsi"/>
        </w:rPr>
        <w:t>, of Title 10 of the California Code of Regulations</w:t>
      </w:r>
      <w:r w:rsidR="004B32DE">
        <w:rPr>
          <w:rFonts w:eastAsia="Calibri" w:asciiTheme="majorHAnsi" w:hAnsiTheme="majorHAnsi" w:cstheme="majorHAnsi"/>
        </w:rPr>
        <w:t>,</w:t>
      </w:r>
      <w:r w:rsidRPr="000F4C13">
        <w:rPr>
          <w:rFonts w:eastAsia="Calibri" w:asciiTheme="majorHAnsi" w:hAnsiTheme="majorHAnsi" w:cstheme="majorHAnsi"/>
        </w:rPr>
        <w:t xml:space="preserve"> which allows the consideration of the cost or benefits of reinsurance for specific catastrophe perils and exposure for commercial property insurance and residential property insurance within specific property lines. Allowing insurance companies to recognize and recover their California-only NCOR in their rates will encourage carriers to re-enter and expand their business in the California property market because their rates will more accurately reflect the cost of doing business in California. In addition to providing necessary insurance coverage to protect consumers and businesses, </w:t>
      </w:r>
      <w:r w:rsidR="004B32DE">
        <w:rPr>
          <w:rFonts w:eastAsia="Calibri" w:asciiTheme="majorHAnsi" w:hAnsiTheme="majorHAnsi" w:cstheme="majorHAnsi"/>
        </w:rPr>
        <w:t>calculating and including</w:t>
      </w:r>
      <w:r w:rsidRPr="000F4C13">
        <w:rPr>
          <w:rFonts w:eastAsia="Calibri" w:asciiTheme="majorHAnsi" w:hAnsiTheme="majorHAnsi" w:cstheme="majorHAnsi"/>
        </w:rPr>
        <w:t xml:space="preserve"> the NCOR in residential and commercial property insurance rates promotes insurer solvency and market stability. Companies utilizing reinsurance must commit to increasing coverage in the higher-risk wildfire-prone areas defined by the CDI in its separate Catastrophe Modeling and Ratemaking regulation</w:t>
      </w:r>
      <w:r w:rsidRPr="000F4C13" w:rsidR="00081B8A">
        <w:rPr>
          <w:rFonts w:eastAsia="Calibri" w:asciiTheme="majorHAnsi" w:hAnsiTheme="majorHAnsi" w:cstheme="majorHAnsi"/>
        </w:rPr>
        <w:t>s</w:t>
      </w:r>
      <w:r w:rsidRPr="000F4C13">
        <w:rPr>
          <w:rFonts w:eastAsia="Calibri" w:asciiTheme="majorHAnsi" w:hAnsiTheme="majorHAnsi" w:cstheme="majorHAnsi"/>
        </w:rPr>
        <w:t xml:space="preserve">. </w:t>
      </w:r>
    </w:p>
    <w:p w:rsidRPr="000F4C13" w:rsidR="00C96053" w:rsidRDefault="00B2522B" w14:paraId="713DE100" w14:textId="77777777">
      <w:pPr>
        <w:pStyle w:val="Heading4"/>
        <w:rPr>
          <w:rFonts w:asciiTheme="majorHAnsi" w:hAnsiTheme="majorHAnsi" w:cstheme="majorHAnsi"/>
        </w:rPr>
      </w:pPr>
      <w:bookmarkStart w:name="_k49s9lf64g57" w:colFirst="0" w:colLast="0" w:id="106"/>
      <w:bookmarkEnd w:id="106"/>
      <w:r w:rsidRPr="000F4C13">
        <w:rPr>
          <w:rFonts w:asciiTheme="majorHAnsi" w:hAnsiTheme="majorHAnsi" w:cstheme="majorHAnsi"/>
        </w:rPr>
        <w:t>Adopted Legislation Highlights</w:t>
      </w:r>
    </w:p>
    <w:p w:rsidRPr="000F4C13" w:rsidR="0011488D" w:rsidP="0011488D" w:rsidRDefault="0011488D" w14:paraId="40816B08" w14:textId="77777777">
      <w:pPr>
        <w:jc w:val="both"/>
        <w:rPr>
          <w:rFonts w:eastAsia="Calibri" w:asciiTheme="majorHAnsi" w:hAnsiTheme="majorHAnsi" w:cstheme="majorHAnsi"/>
        </w:rPr>
      </w:pPr>
      <w:r w:rsidRPr="000F4C13">
        <w:rPr>
          <w:rFonts w:eastAsia="Calibri" w:asciiTheme="majorHAnsi" w:hAnsiTheme="majorHAnsi" w:cstheme="majorHAnsi"/>
          <w:b/>
        </w:rPr>
        <w:t>Wildfire Resilience Grant Program:</w:t>
      </w:r>
      <w:r w:rsidRPr="000F4C13">
        <w:rPr>
          <w:rFonts w:eastAsia="Calibri" w:asciiTheme="majorHAnsi" w:hAnsiTheme="majorHAnsi" w:cstheme="majorHAnsi"/>
        </w:rPr>
        <w:t xml:space="preserve"> </w:t>
      </w:r>
      <w:hyperlink r:id="rId130">
        <w:r w:rsidRPr="000F4C13">
          <w:rPr>
            <w:rFonts w:eastAsia="Calibri" w:asciiTheme="majorHAnsi" w:hAnsiTheme="majorHAnsi" w:cstheme="majorHAnsi"/>
            <w:color w:val="467886"/>
            <w:u w:val="single"/>
          </w:rPr>
          <w:t>AB-888 California Safe Homes Grant Program.</w:t>
        </w:r>
      </w:hyperlink>
      <w:r w:rsidRPr="000F4C13">
        <w:rPr>
          <w:rFonts w:eastAsia="Calibri" w:asciiTheme="majorHAnsi" w:hAnsiTheme="majorHAnsi" w:cstheme="majorHAnsi"/>
        </w:rPr>
        <w:t xml:space="preserve"> (Insurance Code, section 2033).</w:t>
      </w:r>
      <w:r w:rsidRPr="000F4C13" w:rsidR="009A3601">
        <w:rPr>
          <w:rFonts w:eastAsia="Calibri" w:asciiTheme="majorHAnsi" w:hAnsiTheme="majorHAnsi" w:cstheme="majorHAnsi"/>
        </w:rPr>
        <w:t xml:space="preserve"> </w:t>
      </w:r>
      <w:r w:rsidRPr="000F4C13">
        <w:rPr>
          <w:rFonts w:eastAsia="Calibri" w:asciiTheme="majorHAnsi" w:hAnsiTheme="majorHAnsi" w:cstheme="majorHAnsi"/>
        </w:rPr>
        <w:t>The law establishes the California Safe Homes grant program to be developed by CDI to reduce local and statewide wildfire losses. It requires CDI to prioritize specified needs when awarding grant funds, and would require eligible program applicants, which would include individuals, cities, counties, and special districts, to meet specified criteria. CDI is required to collect specified information about the performance of the program and, on or before January 1, 2027, and every 2 years thereafter, to publish a performance report that would be posted to its internet website and submitted to the Legislature.</w:t>
      </w:r>
    </w:p>
    <w:p w:rsidRPr="000F4C13" w:rsidR="0011488D" w:rsidP="0011488D" w:rsidRDefault="0011488D" w14:paraId="3FF3F9E8" w14:textId="77777777">
      <w:pPr>
        <w:jc w:val="both"/>
        <w:rPr>
          <w:rFonts w:eastAsia="Calibri" w:asciiTheme="majorHAnsi" w:hAnsiTheme="majorHAnsi" w:cstheme="majorHAnsi"/>
        </w:rPr>
      </w:pPr>
      <w:r w:rsidRPr="000F4C13">
        <w:rPr>
          <w:rFonts w:eastAsia="Calibri" w:asciiTheme="majorHAnsi" w:hAnsiTheme="majorHAnsi" w:cstheme="majorHAnsi"/>
          <w:b/>
        </w:rPr>
        <w:t>Grant Funding for a Public Wildfire Catastrophe Model:</w:t>
      </w:r>
      <w:r w:rsidRPr="000F4C13">
        <w:rPr>
          <w:rFonts w:eastAsia="Calibri" w:asciiTheme="majorHAnsi" w:hAnsiTheme="majorHAnsi" w:cstheme="majorHAnsi"/>
        </w:rPr>
        <w:t xml:space="preserve"> </w:t>
      </w:r>
      <w:hyperlink r:id="rId131">
        <w:r w:rsidRPr="000F4C13">
          <w:rPr>
            <w:rFonts w:eastAsia="Calibri" w:asciiTheme="majorHAnsi" w:hAnsiTheme="majorHAnsi" w:cstheme="majorHAnsi"/>
            <w:color w:val="467886"/>
            <w:u w:val="single"/>
          </w:rPr>
          <w:t>SB-429 Wildfire Safety and Risk Mitigation Program</w:t>
        </w:r>
      </w:hyperlink>
      <w:r w:rsidRPr="000F4C13">
        <w:rPr>
          <w:rFonts w:eastAsia="Calibri" w:asciiTheme="majorHAnsi" w:hAnsiTheme="majorHAnsi" w:cstheme="majorHAnsi"/>
        </w:rPr>
        <w:t xml:space="preserve">. (Insurance Code, section 970). The law establishes the Wildfire Safety and Risk Mitigation Program to fund a public wildfire catastrophe model and to provide grant funding to one or more universities for eligible projects with specified criteria for the purpose of creating a research and educational center responsible for developing, demonstrating, and deploying a public wildfire catastrophe model that provides significant wildfire safety benefits to California communities and assists alignment of federal, state, and local wildfire risk reduction efforts. CDI is required to create a framework and multiyear plan with available data for a public wildfire catastrophe model. </w:t>
      </w:r>
    </w:p>
    <w:p w:rsidRPr="000F4C13" w:rsidR="0011488D" w:rsidP="00863833" w:rsidRDefault="0011488D" w14:paraId="58D37816" w14:textId="2A812A46">
      <w:pPr>
        <w:jc w:val="both"/>
        <w:rPr>
          <w:rFonts w:eastAsia="Calibri" w:asciiTheme="majorHAnsi" w:hAnsiTheme="majorHAnsi" w:cstheme="majorHAnsi"/>
        </w:rPr>
      </w:pPr>
      <w:r w:rsidRPr="000F4C13">
        <w:rPr>
          <w:rFonts w:eastAsia="Calibri" w:asciiTheme="majorHAnsi" w:hAnsiTheme="majorHAnsi" w:cstheme="majorHAnsi"/>
          <w:b/>
        </w:rPr>
        <w:t>Collecting Reinsurance Data:</w:t>
      </w:r>
      <w:r w:rsidRPr="000F4C13">
        <w:rPr>
          <w:rFonts w:eastAsia="Calibri" w:asciiTheme="majorHAnsi" w:hAnsiTheme="majorHAnsi" w:cstheme="majorHAnsi"/>
        </w:rPr>
        <w:t xml:space="preserve"> </w:t>
      </w:r>
      <w:hyperlink r:id="rId132">
        <w:r w:rsidRPr="000F4C13">
          <w:rPr>
            <w:rFonts w:eastAsia="Calibri" w:asciiTheme="majorHAnsi" w:hAnsiTheme="majorHAnsi" w:cstheme="majorHAnsi"/>
            <w:color w:val="467886"/>
            <w:u w:val="single"/>
          </w:rPr>
          <w:t>SB-495 Insurance</w:t>
        </w:r>
      </w:hyperlink>
      <w:r w:rsidRPr="000F4C13">
        <w:rPr>
          <w:rFonts w:eastAsia="Calibri" w:asciiTheme="majorHAnsi" w:hAnsiTheme="majorHAnsi" w:cstheme="majorHAnsi"/>
        </w:rPr>
        <w:t>. (Insurance Code, Article 10.85) The law requires, on or before March 1, 2026, and on or before March 1 every year thereafter, an admitted insurer in a group with written premiums in the prior year from specified lines of insurance totaling $50,000,000 to submit a report to the commissioner that includes data and information necessary to understand its reinsurance program placement data and use of probabilistic catastrophic models for the previous year.</w:t>
      </w:r>
    </w:p>
    <w:p w:rsidRPr="000F4C13" w:rsidR="00C96053" w:rsidP="00863833" w:rsidRDefault="00B2522B" w14:paraId="09D4ED69" w14:textId="77777777">
      <w:pPr>
        <w:jc w:val="both"/>
        <w:rPr>
          <w:rFonts w:eastAsia="Calibri" w:asciiTheme="majorHAnsi" w:hAnsiTheme="majorHAnsi" w:cstheme="majorHAnsi"/>
        </w:rPr>
      </w:pPr>
      <w:r w:rsidRPr="000F4C13">
        <w:rPr>
          <w:rFonts w:eastAsia="Calibri" w:asciiTheme="majorHAnsi" w:hAnsiTheme="majorHAnsi" w:cstheme="majorHAnsi"/>
          <w:b/>
        </w:rPr>
        <w:t>One Year Wildfire Insurance Moratoriums:</w:t>
      </w:r>
      <w:r w:rsidRPr="000F4C13">
        <w:rPr>
          <w:rFonts w:eastAsia="Calibri" w:asciiTheme="majorHAnsi" w:hAnsiTheme="majorHAnsi" w:cstheme="majorHAnsi"/>
        </w:rPr>
        <w:t xml:space="preserve"> </w:t>
      </w:r>
      <w:hyperlink r:id="rId133">
        <w:r w:rsidRPr="000F4C13" w:rsidR="00C96053">
          <w:rPr>
            <w:rFonts w:eastAsia="Calibri" w:asciiTheme="majorHAnsi" w:hAnsiTheme="majorHAnsi" w:cstheme="majorHAnsi"/>
            <w:color w:val="467886"/>
            <w:u w:val="single"/>
          </w:rPr>
          <w:t>SB-824  Insurers: declared disaster:  homeowners’ insurance policies</w:t>
        </w:r>
      </w:hyperlink>
      <w:r w:rsidRPr="000F4C13">
        <w:rPr>
          <w:rFonts w:eastAsia="Calibri" w:asciiTheme="majorHAnsi" w:hAnsiTheme="majorHAnsi" w:cstheme="majorHAnsi"/>
        </w:rPr>
        <w:t xml:space="preserve">. (Insurance Code, section </w:t>
      </w:r>
      <w:hyperlink r:id="rId134">
        <w:r w:rsidRPr="000F4C13" w:rsidR="00C96053">
          <w:rPr>
            <w:rFonts w:eastAsia="Calibri" w:asciiTheme="majorHAnsi" w:hAnsiTheme="majorHAnsi" w:cstheme="majorHAnsi"/>
            <w:color w:val="467886"/>
            <w:u w:val="single"/>
          </w:rPr>
          <w:t>675.1.</w:t>
        </w:r>
      </w:hyperlink>
      <w:r w:rsidRPr="000F4C13">
        <w:rPr>
          <w:rFonts w:eastAsia="Calibri" w:asciiTheme="majorHAnsi" w:hAnsiTheme="majorHAnsi" w:cstheme="majorHAnsi"/>
        </w:rPr>
        <w:t>) The law</w:t>
      </w:r>
      <w:r w:rsidRPr="000F4C13">
        <w:rPr>
          <w:rFonts w:eastAsia="Calibri" w:asciiTheme="majorHAnsi" w:hAnsiTheme="majorHAnsi" w:cstheme="majorHAnsi"/>
          <w:u w:val="single"/>
        </w:rPr>
        <w:t xml:space="preserve"> </w:t>
      </w:r>
      <w:r w:rsidRPr="000F4C13">
        <w:rPr>
          <w:rFonts w:eastAsia="Calibri" w:asciiTheme="majorHAnsi" w:hAnsiTheme="majorHAnsi" w:cstheme="majorHAnsi"/>
        </w:rPr>
        <w:t>prohibits, subject to certain exceptions, an insurer from canceling or refusing to renew a policy of residential property insurance for one year after the declaration of a state of emergency based solely on the fact that the insured structure is located in an area in which a wildfire has occurred, with respect to an insured property located within or adjacent to the fire perimeter, as specified.</w:t>
      </w:r>
    </w:p>
    <w:p w:rsidRPr="000F4C13" w:rsidR="00C96053" w:rsidP="00863833" w:rsidRDefault="00B2522B" w14:paraId="48A4798F" w14:textId="77777777">
      <w:pPr>
        <w:jc w:val="both"/>
        <w:rPr>
          <w:rFonts w:eastAsia="Calibri" w:asciiTheme="majorHAnsi" w:hAnsiTheme="majorHAnsi" w:cstheme="majorHAnsi"/>
          <w:u w:val="single"/>
        </w:rPr>
      </w:pPr>
      <w:r w:rsidRPr="000F4C13">
        <w:rPr>
          <w:rFonts w:eastAsia="Calibri" w:asciiTheme="majorHAnsi" w:hAnsiTheme="majorHAnsi" w:cstheme="majorHAnsi"/>
          <w:b/>
        </w:rPr>
        <w:t>Wildfire Data Collection:</w:t>
      </w:r>
      <w:r w:rsidRPr="000F4C13">
        <w:rPr>
          <w:rFonts w:eastAsia="Calibri" w:asciiTheme="majorHAnsi" w:hAnsiTheme="majorHAnsi" w:cstheme="majorHAnsi"/>
        </w:rPr>
        <w:t xml:space="preserve"> </w:t>
      </w:r>
      <w:hyperlink r:id="rId135">
        <w:r w:rsidRPr="000F4C13" w:rsidR="00C96053">
          <w:rPr>
            <w:rFonts w:eastAsia="Calibri" w:asciiTheme="majorHAnsi" w:hAnsiTheme="majorHAnsi" w:cstheme="majorHAnsi"/>
            <w:color w:val="467886"/>
            <w:u w:val="single"/>
          </w:rPr>
          <w:t>SB-824  Insurers: declared disaster: homeowners’ insurance policies</w:t>
        </w:r>
      </w:hyperlink>
      <w:r w:rsidRPr="000F4C13">
        <w:rPr>
          <w:rFonts w:eastAsia="Calibri" w:asciiTheme="majorHAnsi" w:hAnsiTheme="majorHAnsi" w:cstheme="majorHAnsi"/>
        </w:rPr>
        <w:t>. The law requires an admitted insurer with written California premiums above a specified threshold to submit a report with specified fire risk information on its residential property policies to the commissioner biennially. Reports can be found on CDI’s website (see Data Collection section).</w:t>
      </w:r>
    </w:p>
    <w:p w:rsidRPr="000F4C13" w:rsidR="00C96053" w:rsidP="00863833" w:rsidRDefault="00B2522B" w14:paraId="68D8476D" w14:textId="77777777">
      <w:pPr>
        <w:jc w:val="both"/>
        <w:rPr>
          <w:rFonts w:eastAsia="Calibri" w:asciiTheme="majorHAnsi" w:hAnsiTheme="majorHAnsi" w:cstheme="majorHAnsi"/>
        </w:rPr>
      </w:pPr>
      <w:r w:rsidRPr="000F4C13">
        <w:rPr>
          <w:rFonts w:eastAsia="Calibri" w:asciiTheme="majorHAnsi" w:hAnsiTheme="majorHAnsi" w:cstheme="majorHAnsi"/>
          <w:b/>
        </w:rPr>
        <w:t>Defensible Space Guidelines:</w:t>
      </w:r>
      <w:r w:rsidRPr="000F4C13">
        <w:rPr>
          <w:rFonts w:eastAsia="Calibri" w:asciiTheme="majorHAnsi" w:hAnsiTheme="majorHAnsi" w:cstheme="majorHAnsi"/>
        </w:rPr>
        <w:t xml:space="preserve"> </w:t>
      </w:r>
      <w:hyperlink r:id="rId136">
        <w:r w:rsidRPr="000F4C13" w:rsidR="00C96053">
          <w:rPr>
            <w:rFonts w:eastAsia="Calibri" w:asciiTheme="majorHAnsi" w:hAnsiTheme="majorHAnsi" w:cstheme="majorHAnsi"/>
            <w:color w:val="467886"/>
            <w:u w:val="single"/>
          </w:rPr>
          <w:t>SB-190 Fire safety: building standards: defensible space program</w:t>
        </w:r>
      </w:hyperlink>
      <w:r w:rsidRPr="000F4C13">
        <w:rPr>
          <w:rFonts w:eastAsia="Calibri" w:asciiTheme="majorHAnsi" w:hAnsiTheme="majorHAnsi" w:cstheme="majorHAnsi"/>
        </w:rPr>
        <w:t>. (Government Code, 51189; Health and Safety Code, 18931.7 and 13159.5). The law requires the State Fire Marshal to develop model defensible space guidelines that local governments can use to enforce rules on reducing flammable vegetation around at-risk homes.</w:t>
      </w:r>
    </w:p>
    <w:p w:rsidRPr="000F4C13" w:rsidR="00C96053" w:rsidP="00863833" w:rsidRDefault="00B2522B" w14:paraId="4C3910B1" w14:textId="7084B758">
      <w:pPr>
        <w:jc w:val="both"/>
        <w:rPr>
          <w:rFonts w:eastAsia="Calibri" w:asciiTheme="majorHAnsi" w:hAnsiTheme="majorHAnsi" w:cstheme="majorHAnsi"/>
          <w:u w:val="single"/>
        </w:rPr>
      </w:pPr>
      <w:r w:rsidRPr="000F4C13">
        <w:rPr>
          <w:rFonts w:eastAsia="Calibri" w:asciiTheme="majorHAnsi" w:hAnsiTheme="majorHAnsi" w:cstheme="majorHAnsi"/>
          <w:b/>
        </w:rPr>
        <w:t xml:space="preserve">Insurance </w:t>
      </w:r>
      <w:r w:rsidRPr="000F4C13" w:rsidR="00634D15">
        <w:rPr>
          <w:rFonts w:eastAsia="Calibri" w:asciiTheme="majorHAnsi" w:hAnsiTheme="majorHAnsi" w:cstheme="majorHAnsi"/>
          <w:b/>
          <w:bCs/>
        </w:rPr>
        <w:t>A</w:t>
      </w:r>
      <w:r w:rsidRPr="000F4C13">
        <w:rPr>
          <w:rFonts w:eastAsia="Calibri" w:asciiTheme="majorHAnsi" w:hAnsiTheme="majorHAnsi" w:cstheme="majorHAnsi"/>
          <w:b/>
        </w:rPr>
        <w:t>vailability for Agricultural Structures:</w:t>
      </w:r>
      <w:r w:rsidRPr="000F4C13">
        <w:rPr>
          <w:rFonts w:eastAsia="Calibri" w:asciiTheme="majorHAnsi" w:hAnsiTheme="majorHAnsi" w:cstheme="majorHAnsi"/>
        </w:rPr>
        <w:t xml:space="preserve"> </w:t>
      </w:r>
      <w:hyperlink r:id="rId137">
        <w:r w:rsidRPr="000F4C13" w:rsidR="00C96053">
          <w:rPr>
            <w:rFonts w:eastAsia="Calibri" w:asciiTheme="majorHAnsi" w:hAnsiTheme="majorHAnsi" w:cstheme="majorHAnsi"/>
            <w:color w:val="467886"/>
            <w:u w:val="single"/>
          </w:rPr>
          <w:t>SB-11 The California FAIR Plan Association: basic property insurance: exclusions.</w:t>
        </w:r>
      </w:hyperlink>
      <w:r w:rsidRPr="000F4C13">
        <w:rPr>
          <w:rFonts w:eastAsia="Calibri" w:asciiTheme="majorHAnsi" w:hAnsiTheme="majorHAnsi" w:cstheme="majorHAnsi"/>
        </w:rPr>
        <w:t xml:space="preserve"> (Insurance Code, section 10094.5). The law allows for the FAIR Plan to sell commercial coverage to farms covering structures. (See section on “Modernization of FAIR Plan”)</w:t>
      </w:r>
    </w:p>
    <w:p w:rsidRPr="000F4C13" w:rsidR="00C96053" w:rsidP="00863833" w:rsidRDefault="00B2522B" w14:paraId="444225F3" w14:textId="7CD88655">
      <w:pPr>
        <w:jc w:val="both"/>
        <w:rPr>
          <w:rFonts w:eastAsia="Calibri" w:asciiTheme="majorHAnsi" w:hAnsiTheme="majorHAnsi" w:cstheme="majorHAnsi"/>
        </w:rPr>
      </w:pPr>
      <w:r w:rsidRPr="000F4C13">
        <w:rPr>
          <w:rFonts w:eastAsia="Calibri" w:asciiTheme="majorHAnsi" w:hAnsiTheme="majorHAnsi" w:cstheme="majorHAnsi"/>
          <w:b/>
        </w:rPr>
        <w:t>Promoting Safe Prescribed Burning and Insurance Coverage:</w:t>
      </w:r>
      <w:r w:rsidRPr="000F4C13">
        <w:rPr>
          <w:rFonts w:eastAsia="Calibri" w:asciiTheme="majorHAnsi" w:hAnsiTheme="majorHAnsi" w:cstheme="majorHAnsi"/>
        </w:rPr>
        <w:t xml:space="preserve"> </w:t>
      </w:r>
      <w:hyperlink r:id="rId138">
        <w:r w:rsidRPr="000F4C13" w:rsidR="00C96053">
          <w:rPr>
            <w:rFonts w:eastAsia="Calibri" w:asciiTheme="majorHAnsi" w:hAnsiTheme="majorHAnsi" w:cstheme="majorHAnsi"/>
            <w:color w:val="467886"/>
            <w:u w:val="single"/>
          </w:rPr>
          <w:t>SB-332 Civil liability: prescribed burning operations: gross negligence.</w:t>
        </w:r>
      </w:hyperlink>
      <w:r w:rsidRPr="000F4C13">
        <w:rPr>
          <w:rFonts w:eastAsia="Calibri" w:asciiTheme="majorHAnsi" w:hAnsiTheme="majorHAnsi" w:cstheme="majorHAnsi"/>
        </w:rPr>
        <w:t xml:space="preserve"> (Civil Code, section </w:t>
      </w:r>
      <w:hyperlink r:id="rId139">
        <w:r w:rsidRPr="000F4C13" w:rsidR="00C96053">
          <w:rPr>
            <w:rFonts w:eastAsia="Calibri" w:asciiTheme="majorHAnsi" w:hAnsiTheme="majorHAnsi" w:cstheme="majorHAnsi"/>
            <w:color w:val="467886"/>
            <w:u w:val="single"/>
          </w:rPr>
          <w:t>3333.8</w:t>
        </w:r>
      </w:hyperlink>
      <w:r w:rsidRPr="000F4C13">
        <w:rPr>
          <w:rFonts w:eastAsia="Calibri" w:asciiTheme="majorHAnsi" w:hAnsiTheme="majorHAnsi" w:cstheme="majorHAnsi"/>
        </w:rPr>
        <w:t xml:space="preserve">). The law provides that a burn boss and a private landowner upon whose property a burn boss carries out a prescribed burn are immune from liability for damages or injuries to persons or property as a result of a prescribed burn, unless the burn was conducted in a grossly negligent manner. CDI helped create and develop a state-backed liability fund to cover prescribed and cultural burning. Cultural and prescribed burning </w:t>
      </w:r>
      <w:r w:rsidR="004B32DE">
        <w:rPr>
          <w:rFonts w:eastAsia="Calibri" w:asciiTheme="majorHAnsi" w:hAnsiTheme="majorHAnsi" w:cstheme="majorHAnsi"/>
        </w:rPr>
        <w:t>are essential practices for meeting</w:t>
      </w:r>
      <w:r w:rsidRPr="000F4C13">
        <w:rPr>
          <w:rFonts w:eastAsia="Calibri" w:asciiTheme="majorHAnsi" w:hAnsiTheme="majorHAnsi" w:cstheme="majorHAnsi"/>
        </w:rPr>
        <w:t xml:space="preserve"> diverse objectives, including wildfire risk reduction and biodiversity stewardship. These practices have faced insurance barriers. Together with the Nature Conservancy, CAL FIRE, and the University of California Cooperative Extension, CDI, has helped create the “</w:t>
      </w:r>
      <w:hyperlink r:id="rId140">
        <w:r w:rsidRPr="000F4C13" w:rsidR="00C96053">
          <w:rPr>
            <w:rFonts w:eastAsia="Calibri" w:asciiTheme="majorHAnsi" w:hAnsiTheme="majorHAnsi" w:cstheme="majorHAnsi"/>
            <w:color w:val="467886"/>
            <w:u w:val="single"/>
          </w:rPr>
          <w:t>Prescribed Burn Claims Fund Pilot</w:t>
        </w:r>
      </w:hyperlink>
      <w:r w:rsidRPr="000F4C13">
        <w:rPr>
          <w:rFonts w:eastAsia="Calibri" w:asciiTheme="majorHAnsi" w:hAnsiTheme="majorHAnsi" w:cstheme="majorHAnsi"/>
        </w:rPr>
        <w:t xml:space="preserve">”, which removes a significant barrier to obtaining insurance for potential damages from a prescribed fire or cultural burn conducted by a certified prescribed fire burn boss or a cultural fire practitioner. The Fund was codified a year later through </w:t>
      </w:r>
      <w:hyperlink r:id="rId141">
        <w:r w:rsidRPr="000F4C13" w:rsidR="00C96053">
          <w:rPr>
            <w:rFonts w:eastAsia="Calibri" w:asciiTheme="majorHAnsi" w:hAnsiTheme="majorHAnsi" w:cstheme="majorHAnsi"/>
            <w:color w:val="467886"/>
            <w:u w:val="single"/>
          </w:rPr>
          <w:t>SB-926</w:t>
        </w:r>
      </w:hyperlink>
      <w:r w:rsidRPr="000F4C13">
        <w:rPr>
          <w:rFonts w:eastAsia="Calibri" w:asciiTheme="majorHAnsi" w:hAnsiTheme="majorHAnsi" w:cstheme="majorHAnsi"/>
        </w:rPr>
        <w:t xml:space="preserve"> (Dodd, 2022).</w:t>
      </w:r>
    </w:p>
    <w:p w:rsidRPr="000F4C13" w:rsidR="00C96053" w:rsidP="00863833" w:rsidRDefault="00B2522B" w14:paraId="38B6B857" w14:textId="44D17A4A">
      <w:pPr>
        <w:jc w:val="both"/>
        <w:rPr>
          <w:rFonts w:eastAsia="Calibri" w:asciiTheme="majorHAnsi" w:hAnsiTheme="majorHAnsi" w:cstheme="majorHAnsi"/>
        </w:rPr>
      </w:pPr>
      <w:r w:rsidRPr="000F4C13">
        <w:rPr>
          <w:rFonts w:eastAsia="Calibri" w:asciiTheme="majorHAnsi" w:hAnsiTheme="majorHAnsi" w:cstheme="majorHAnsi"/>
        </w:rPr>
        <w:t xml:space="preserve">In 2024, a follow-up bill, </w:t>
      </w:r>
      <w:hyperlink r:id="rId142">
        <w:r w:rsidRPr="000F4C13" w:rsidR="00C96053">
          <w:rPr>
            <w:rFonts w:eastAsia="Calibri" w:asciiTheme="majorHAnsi" w:hAnsiTheme="majorHAnsi" w:cstheme="majorHAnsi"/>
            <w:color w:val="467886"/>
            <w:u w:val="single"/>
          </w:rPr>
          <w:t>SB-310</w:t>
        </w:r>
      </w:hyperlink>
      <w:r w:rsidRPr="000F4C13">
        <w:rPr>
          <w:rFonts w:eastAsia="Calibri" w:asciiTheme="majorHAnsi" w:hAnsiTheme="majorHAnsi" w:cstheme="majorHAnsi"/>
        </w:rPr>
        <w:t xml:space="preserve">, passed (Civil Code, section </w:t>
      </w:r>
      <w:hyperlink r:id="rId143">
        <w:r w:rsidRPr="000F4C13" w:rsidR="00C96053">
          <w:rPr>
            <w:rFonts w:eastAsia="Calibri" w:asciiTheme="majorHAnsi" w:hAnsiTheme="majorHAnsi" w:cstheme="majorHAnsi"/>
            <w:color w:val="467886"/>
            <w:u w:val="single"/>
          </w:rPr>
          <w:t>3333.8</w:t>
        </w:r>
      </w:hyperlink>
      <w:r w:rsidRPr="000F4C13">
        <w:rPr>
          <w:rFonts w:eastAsia="Calibri" w:asciiTheme="majorHAnsi" w:hAnsiTheme="majorHAnsi" w:cstheme="majorHAnsi"/>
        </w:rPr>
        <w:t xml:space="preserve">; Public Resources Code, sections </w:t>
      </w:r>
      <w:hyperlink r:id="rId144">
        <w:r w:rsidRPr="000F4C13" w:rsidR="00C96053">
          <w:rPr>
            <w:rFonts w:eastAsia="Calibri" w:asciiTheme="majorHAnsi" w:hAnsiTheme="majorHAnsi" w:cstheme="majorHAnsi"/>
            <w:color w:val="467886"/>
            <w:u w:val="single"/>
          </w:rPr>
          <w:t>4002.4</w:t>
        </w:r>
      </w:hyperlink>
      <w:r w:rsidRPr="000F4C13">
        <w:rPr>
          <w:rFonts w:eastAsia="Calibri" w:asciiTheme="majorHAnsi" w:hAnsiTheme="majorHAnsi" w:cstheme="majorHAnsi"/>
        </w:rPr>
        <w:t xml:space="preserve"> and </w:t>
      </w:r>
      <w:hyperlink r:id="rId145">
        <w:r w:rsidRPr="000F4C13" w:rsidR="00C96053">
          <w:rPr>
            <w:rFonts w:eastAsia="Calibri" w:asciiTheme="majorHAnsi" w:hAnsiTheme="majorHAnsi" w:cstheme="majorHAnsi"/>
            <w:color w:val="467886"/>
            <w:u w:val="single"/>
          </w:rPr>
          <w:t>4002.6</w:t>
        </w:r>
      </w:hyperlink>
      <w:r w:rsidRPr="000F4C13">
        <w:rPr>
          <w:rFonts w:eastAsia="Calibri" w:asciiTheme="majorHAnsi" w:hAnsiTheme="majorHAnsi" w:cstheme="majorHAnsi"/>
        </w:rPr>
        <w:t>)</w:t>
      </w:r>
      <w:r w:rsidR="009074AC">
        <w:rPr>
          <w:rFonts w:eastAsia="Calibri" w:asciiTheme="majorHAnsi" w:hAnsiTheme="majorHAnsi" w:cstheme="majorHAnsi"/>
        </w:rPr>
        <w:t>,</w:t>
      </w:r>
      <w:r w:rsidRPr="000F4C13">
        <w:rPr>
          <w:rFonts w:eastAsia="Calibri" w:asciiTheme="majorHAnsi" w:hAnsiTheme="majorHAnsi" w:cstheme="majorHAnsi"/>
        </w:rPr>
        <w:t xml:space="preserve"> authorizing the Secretary of the Natural Resources Agency and local air districts to enter into written agreements with federally recognized California Native American Tribes to waive certain state requirements for cultural burns in ancestral territories and expands the definition of burn boss.</w:t>
      </w:r>
    </w:p>
    <w:p w:rsidRPr="000F4C13" w:rsidR="00C96053" w:rsidP="00863833" w:rsidRDefault="00B2522B" w14:paraId="54CAAC02" w14:textId="271A657E">
      <w:pPr>
        <w:jc w:val="both"/>
        <w:rPr>
          <w:rFonts w:eastAsia="Calibri" w:asciiTheme="majorHAnsi" w:hAnsiTheme="majorHAnsi" w:cstheme="majorHAnsi"/>
        </w:rPr>
      </w:pPr>
      <w:r w:rsidRPr="000F4C13">
        <w:rPr>
          <w:rFonts w:eastAsia="Calibri" w:asciiTheme="majorHAnsi" w:hAnsiTheme="majorHAnsi" w:cstheme="majorHAnsi"/>
          <w:b/>
        </w:rPr>
        <w:t xml:space="preserve">Promoting Resilience Through a New Type of Financing Districts: </w:t>
      </w:r>
      <w:hyperlink r:id="rId146">
        <w:r w:rsidRPr="000F4C13" w:rsidR="00C96053">
          <w:rPr>
            <w:rFonts w:eastAsia="Calibri" w:asciiTheme="majorHAnsi" w:hAnsiTheme="majorHAnsi" w:cstheme="majorHAnsi"/>
            <w:color w:val="467886"/>
            <w:u w:val="single"/>
          </w:rPr>
          <w:t>SB-852 Climate resilience districts: formation: funding mechanisms.</w:t>
        </w:r>
      </w:hyperlink>
      <w:r w:rsidRPr="000F4C13">
        <w:rPr>
          <w:rFonts w:eastAsia="Calibri" w:asciiTheme="majorHAnsi" w:hAnsiTheme="majorHAnsi" w:cstheme="majorHAnsi"/>
        </w:rPr>
        <w:t xml:space="preserve"> (Government Code, section </w:t>
      </w:r>
      <w:hyperlink r:id="rId147">
        <w:r w:rsidRPr="000F4C13" w:rsidR="00C96053">
          <w:rPr>
            <w:rFonts w:eastAsia="Calibri" w:asciiTheme="majorHAnsi" w:hAnsiTheme="majorHAnsi" w:cstheme="majorHAnsi"/>
            <w:color w:val="467886"/>
            <w:u w:val="single"/>
          </w:rPr>
          <w:t>62300</w:t>
        </w:r>
      </w:hyperlink>
      <w:r w:rsidRPr="000F4C13">
        <w:rPr>
          <w:rFonts w:eastAsia="Calibri" w:asciiTheme="majorHAnsi" w:hAnsiTheme="majorHAnsi" w:cstheme="majorHAnsi"/>
        </w:rPr>
        <w:t>). This law authorizes local cit</w:t>
      </w:r>
      <w:r w:rsidRPr="000F4C13" w:rsidR="00790D69">
        <w:rPr>
          <w:rFonts w:eastAsia="Calibri" w:asciiTheme="majorHAnsi" w:hAnsiTheme="majorHAnsi" w:cstheme="majorHAnsi"/>
        </w:rPr>
        <w:t>ies</w:t>
      </w:r>
      <w:r w:rsidRPr="000F4C13">
        <w:rPr>
          <w:rFonts w:eastAsia="Calibri" w:asciiTheme="majorHAnsi" w:hAnsiTheme="majorHAnsi" w:cstheme="majorHAnsi"/>
        </w:rPr>
        <w:t xml:space="preserve"> and governments to establish Climate Resilience Districts. These districts are empowered to finance and implement projects </w:t>
      </w:r>
      <w:r w:rsidR="009074AC">
        <w:rPr>
          <w:rFonts w:eastAsia="Calibri" w:asciiTheme="majorHAnsi" w:hAnsiTheme="majorHAnsi" w:cstheme="majorHAnsi"/>
        </w:rPr>
        <w:t>to mitigate</w:t>
      </w:r>
      <w:r w:rsidRPr="000F4C13">
        <w:rPr>
          <w:rFonts w:eastAsia="Calibri" w:asciiTheme="majorHAnsi" w:hAnsiTheme="majorHAnsi" w:cstheme="majorHAnsi"/>
        </w:rPr>
        <w:t xml:space="preserve"> </w:t>
      </w:r>
      <w:r w:rsidR="009074AC">
        <w:rPr>
          <w:rFonts w:eastAsia="Calibri" w:asciiTheme="majorHAnsi" w:hAnsiTheme="majorHAnsi" w:cstheme="majorHAnsi"/>
        </w:rPr>
        <w:t>the impacts of climate change,</w:t>
      </w:r>
      <w:r w:rsidRPr="000F4C13">
        <w:rPr>
          <w:rFonts w:eastAsia="Calibri" w:asciiTheme="majorHAnsi" w:hAnsiTheme="majorHAnsi" w:cstheme="majorHAnsi"/>
        </w:rPr>
        <w:t xml:space="preserve"> such as wildfires, sea-level rise, extreme heat, drought, and flooding.</w:t>
      </w:r>
    </w:p>
    <w:p w:rsidRPr="000F4C13" w:rsidR="0011488D" w:rsidP="0011488D" w:rsidRDefault="0011488D" w14:paraId="01970A42" w14:textId="77777777">
      <w:pPr>
        <w:jc w:val="both"/>
        <w:rPr>
          <w:rFonts w:eastAsia="Calibri" w:asciiTheme="majorHAnsi" w:hAnsiTheme="majorHAnsi" w:cstheme="majorHAnsi"/>
          <w:u w:val="single"/>
        </w:rPr>
      </w:pPr>
      <w:r w:rsidRPr="000F4C13">
        <w:rPr>
          <w:rFonts w:eastAsia="Calibri" w:asciiTheme="majorHAnsi" w:hAnsiTheme="majorHAnsi" w:cstheme="majorHAnsi"/>
          <w:b/>
        </w:rPr>
        <w:t>Climate Risk Insurance Solutions:</w:t>
      </w:r>
      <w:r w:rsidRPr="000F4C13">
        <w:rPr>
          <w:rFonts w:eastAsia="Calibri" w:asciiTheme="majorHAnsi" w:hAnsiTheme="majorHAnsi" w:cstheme="majorHAnsi"/>
        </w:rPr>
        <w:t xml:space="preserve"> </w:t>
      </w:r>
      <w:hyperlink r:id="rId148">
        <w:r w:rsidRPr="000F4C13">
          <w:rPr>
            <w:rFonts w:eastAsia="Calibri" w:asciiTheme="majorHAnsi" w:hAnsiTheme="majorHAnsi" w:cstheme="majorHAnsi"/>
            <w:color w:val="467886"/>
            <w:u w:val="single"/>
          </w:rPr>
          <w:t>SB-30 Insurance: climate change</w:t>
        </w:r>
      </w:hyperlink>
      <w:r w:rsidRPr="000F4C13">
        <w:rPr>
          <w:rFonts w:eastAsia="Calibri" w:asciiTheme="majorHAnsi" w:hAnsiTheme="majorHAnsi" w:cstheme="majorHAnsi"/>
        </w:rPr>
        <w:t xml:space="preserve">. (Insurance Code, section </w:t>
      </w:r>
      <w:hyperlink r:id="rId149">
        <w:r w:rsidRPr="000F4C13">
          <w:rPr>
            <w:rFonts w:eastAsia="Calibri" w:asciiTheme="majorHAnsi" w:hAnsiTheme="majorHAnsi" w:cstheme="majorHAnsi"/>
            <w:color w:val="467886"/>
            <w:u w:val="single"/>
          </w:rPr>
          <w:t>12922.5</w:t>
        </w:r>
      </w:hyperlink>
      <w:r w:rsidRPr="000F4C13">
        <w:rPr>
          <w:rFonts w:eastAsia="Calibri" w:asciiTheme="majorHAnsi" w:hAnsiTheme="majorHAnsi" w:cstheme="majorHAnsi"/>
        </w:rPr>
        <w:t>). With California communities increasingly exposed to climate change-related threats, Commissioner Ricardo Lara wrote the nation’s first climate insurance law, passed by the State Legislature and signed by the Governor in 2018. The law requires the Insurance Commissioner to convene a working group to identify, assess, and recommend risk transfer market mechanisms that, among other things, promote investment in natural infrastructure to reduce the risks of climate change related to catastrophic events, create incentives for investment in natural infrastructure to reduce risks to communities, and provide mitigation incentives for private investment in natural lands to lessen exposure and reduce climate risks to public safety, property, utilities, and infrastructure.</w:t>
      </w:r>
      <w:r w:rsidRPr="000F4C13">
        <w:rPr>
          <w:rFonts w:eastAsia="Calibri" w:asciiTheme="majorHAnsi" w:hAnsiTheme="majorHAnsi" w:cstheme="majorHAnsi"/>
          <w:u w:val="single"/>
        </w:rPr>
        <w:t xml:space="preserve"> </w:t>
      </w:r>
    </w:p>
    <w:p w:rsidRPr="000F4C13" w:rsidR="0011488D" w:rsidP="009074AC" w:rsidRDefault="0011488D" w14:paraId="1810E063" w14:textId="05DD812D">
      <w:pPr>
        <w:numPr>
          <w:ilvl w:val="1"/>
          <w:numId w:val="69"/>
        </w:numPr>
        <w:jc w:val="both"/>
        <w:rPr>
          <w:rFonts w:eastAsia="Calibri" w:asciiTheme="majorHAnsi" w:hAnsiTheme="majorHAnsi" w:cstheme="majorHAnsi"/>
        </w:rPr>
      </w:pPr>
      <w:hyperlink r:id="rId150">
        <w:r w:rsidRPr="000F4C13">
          <w:rPr>
            <w:rFonts w:eastAsia="Calibri" w:asciiTheme="majorHAnsi" w:hAnsiTheme="majorHAnsi" w:cstheme="majorHAnsi"/>
            <w:color w:val="467886"/>
            <w:u w:val="single"/>
          </w:rPr>
          <w:t>Climate Insurance Working Group</w:t>
        </w:r>
      </w:hyperlink>
      <w:r w:rsidRPr="000F4C13">
        <w:rPr>
          <w:rFonts w:eastAsia="Calibri" w:asciiTheme="majorHAnsi" w:hAnsiTheme="majorHAnsi" w:cstheme="majorHAnsi"/>
          <w:u w:val="single"/>
        </w:rPr>
        <w:t>:</w:t>
      </w:r>
      <w:r w:rsidRPr="000F4C13">
        <w:rPr>
          <w:rFonts w:eastAsia="Calibri" w:asciiTheme="majorHAnsi" w:hAnsiTheme="majorHAnsi" w:cstheme="majorHAnsi"/>
        </w:rPr>
        <w:t xml:space="preserve"> Pursuant to SB-30, Commissioner Lara appointed a working group of environmental advocates, public policy experts, researchers, and insurance experts to make recommendations to reduce the threat from wildfires, floods, mudflows, urban high heat, sea-level rise, and other issues facing California. In 2021, the group </w:t>
      </w:r>
      <w:hyperlink r:id="rId151">
        <w:r w:rsidRPr="000F4C13">
          <w:rPr>
            <w:rFonts w:eastAsia="Calibri" w:asciiTheme="majorHAnsi" w:hAnsiTheme="majorHAnsi" w:cstheme="majorHAnsi"/>
            <w:color w:val="467886"/>
            <w:u w:val="single"/>
          </w:rPr>
          <w:t>published a report</w:t>
        </w:r>
      </w:hyperlink>
      <w:r w:rsidRPr="000F4C13">
        <w:rPr>
          <w:rFonts w:eastAsia="Calibri" w:asciiTheme="majorHAnsi" w:hAnsiTheme="majorHAnsi" w:cstheme="majorHAnsi"/>
          <w:u w:val="single"/>
        </w:rPr>
        <w:t xml:space="preserve"> </w:t>
      </w:r>
      <w:r w:rsidRPr="000F4C13">
        <w:rPr>
          <w:rFonts w:eastAsia="Calibri" w:asciiTheme="majorHAnsi" w:hAnsiTheme="majorHAnsi" w:cstheme="majorHAnsi"/>
        </w:rPr>
        <w:t>titled "Protecting Communities, Preserving Nature, and Building Resiliency; How First-of-Its-Kind Climate Insurance Will Help Combat the Costs of Wildfires, Extreme Heat, and Floods." (see Reports section).</w:t>
      </w:r>
    </w:p>
    <w:p w:rsidRPr="000F4C13" w:rsidR="00A47EC5" w:rsidP="0011488D" w:rsidRDefault="00B2522B" w14:paraId="29F2C80C" w14:textId="418B7DA8">
      <w:pPr>
        <w:pStyle w:val="Heading4"/>
        <w:rPr>
          <w:rFonts w:asciiTheme="majorHAnsi" w:hAnsiTheme="majorHAnsi" w:cstheme="majorHAnsi"/>
        </w:rPr>
      </w:pPr>
      <w:bookmarkStart w:name="_c8xgkcrxhfyg" w:colFirst="0" w:colLast="0" w:id="107"/>
      <w:bookmarkEnd w:id="107"/>
      <w:r w:rsidRPr="000F4C13">
        <w:rPr>
          <w:rFonts w:asciiTheme="majorHAnsi" w:hAnsiTheme="majorHAnsi" w:cstheme="majorHAnsi"/>
        </w:rPr>
        <w:t xml:space="preserve">Highlighted Legislative Ideas </w:t>
      </w:r>
    </w:p>
    <w:p w:rsidRPr="000F4C13" w:rsidR="00C96053" w:rsidP="00863833" w:rsidRDefault="00B2522B" w14:paraId="442EA894" w14:textId="68A8AC9C">
      <w:pPr>
        <w:jc w:val="both"/>
        <w:rPr>
          <w:rFonts w:eastAsia="Calibri" w:asciiTheme="majorHAnsi" w:hAnsiTheme="majorHAnsi" w:cstheme="majorHAnsi"/>
        </w:rPr>
      </w:pPr>
      <w:r w:rsidRPr="000F4C13">
        <w:rPr>
          <w:rFonts w:eastAsia="Calibri" w:asciiTheme="majorHAnsi" w:hAnsiTheme="majorHAnsi" w:cstheme="majorHAnsi"/>
          <w:b/>
        </w:rPr>
        <w:t>Innovative Insurance Grant Program:</w:t>
      </w:r>
      <w:r w:rsidRPr="000F4C13">
        <w:rPr>
          <w:rFonts w:eastAsia="Calibri" w:asciiTheme="majorHAnsi" w:hAnsiTheme="majorHAnsi" w:cstheme="majorHAnsi"/>
        </w:rPr>
        <w:t xml:space="preserve"> </w:t>
      </w:r>
      <w:hyperlink r:id="rId152">
        <w:r w:rsidRPr="000F4C13" w:rsidR="00C96053">
          <w:rPr>
            <w:rFonts w:eastAsia="Calibri" w:asciiTheme="majorHAnsi" w:hAnsiTheme="majorHAnsi" w:cstheme="majorHAnsi"/>
            <w:color w:val="467886"/>
            <w:u w:val="single"/>
          </w:rPr>
          <w:t>AB-1236 Insurance: Climate and Sustainability Insurance and Risk Reduction Grant Program.</w:t>
        </w:r>
      </w:hyperlink>
      <w:r w:rsidRPr="000F4C13">
        <w:rPr>
          <w:rFonts w:eastAsia="Calibri" w:asciiTheme="majorHAnsi" w:hAnsiTheme="majorHAnsi" w:cstheme="majorHAnsi"/>
          <w:u w:val="single"/>
        </w:rPr>
        <w:t xml:space="preserve"> </w:t>
      </w:r>
      <w:r w:rsidRPr="000F4C13">
        <w:rPr>
          <w:rFonts w:eastAsia="Calibri" w:asciiTheme="majorHAnsi" w:hAnsiTheme="majorHAnsi" w:cstheme="majorHAnsi"/>
        </w:rPr>
        <w:t xml:space="preserve">This bill would have required the department to establish and administer the Climate and Sustainability Insurance and Risk Reduction Grant Program, to be funded upon appropriation by the Legislature, for the purpose of achieving specified goals, including developing proofs of concept that expand </w:t>
      </w:r>
      <w:r w:rsidRPr="000F4C13" w:rsidR="00686C51">
        <w:rPr>
          <w:rFonts w:eastAsia="Calibri" w:asciiTheme="majorHAnsi" w:hAnsiTheme="majorHAnsi" w:cstheme="majorHAnsi"/>
        </w:rPr>
        <w:t xml:space="preserve">innovative </w:t>
      </w:r>
      <w:r w:rsidRPr="000F4C13">
        <w:rPr>
          <w:rFonts w:eastAsia="Calibri" w:asciiTheme="majorHAnsi" w:hAnsiTheme="majorHAnsi" w:cstheme="majorHAnsi"/>
        </w:rPr>
        <w:t>insurance options and testing community-</w:t>
      </w:r>
      <w:r w:rsidRPr="000F4C13" w:rsidR="00686C51">
        <w:rPr>
          <w:rFonts w:eastAsia="Calibri" w:asciiTheme="majorHAnsi" w:hAnsiTheme="majorHAnsi" w:cstheme="majorHAnsi"/>
        </w:rPr>
        <w:t xml:space="preserve">based </w:t>
      </w:r>
      <w:r w:rsidRPr="000F4C13">
        <w:rPr>
          <w:rFonts w:eastAsia="Calibri" w:asciiTheme="majorHAnsi" w:hAnsiTheme="majorHAnsi" w:cstheme="majorHAnsi"/>
        </w:rPr>
        <w:t>insurance to reduce overall insurance costs.</w:t>
      </w:r>
    </w:p>
    <w:p w:rsidRPr="000F4C13" w:rsidR="00C96053" w:rsidP="00863833" w:rsidRDefault="00B2522B" w14:paraId="4D0610CE" w14:textId="77777777">
      <w:pPr>
        <w:jc w:val="both"/>
        <w:rPr>
          <w:rFonts w:eastAsia="Calibri" w:asciiTheme="majorHAnsi" w:hAnsiTheme="majorHAnsi" w:cstheme="majorHAnsi"/>
        </w:rPr>
      </w:pPr>
      <w:r w:rsidRPr="000F4C13">
        <w:rPr>
          <w:rFonts w:eastAsia="Calibri" w:asciiTheme="majorHAnsi" w:hAnsiTheme="majorHAnsi" w:cstheme="majorHAnsi"/>
          <w:b/>
        </w:rPr>
        <w:t>Planning and Zoning:</w:t>
      </w:r>
      <w:r w:rsidRPr="000F4C13">
        <w:rPr>
          <w:rFonts w:eastAsia="Calibri" w:asciiTheme="majorHAnsi" w:hAnsiTheme="majorHAnsi" w:cstheme="majorHAnsi"/>
        </w:rPr>
        <w:t xml:space="preserve"> </w:t>
      </w:r>
      <w:hyperlink r:id="rId153">
        <w:r w:rsidRPr="000F4C13" w:rsidR="00C96053">
          <w:rPr>
            <w:rFonts w:eastAsia="Calibri" w:asciiTheme="majorHAnsi" w:hAnsiTheme="majorHAnsi" w:cstheme="majorHAnsi"/>
            <w:color w:val="467886"/>
            <w:u w:val="single"/>
          </w:rPr>
          <w:t>SB-182 Local government: planning and zoning: wildfires</w:t>
        </w:r>
      </w:hyperlink>
      <w:r w:rsidRPr="000F4C13">
        <w:rPr>
          <w:rFonts w:eastAsia="Calibri" w:asciiTheme="majorHAnsi" w:hAnsiTheme="majorHAnsi" w:cstheme="majorHAnsi"/>
        </w:rPr>
        <w:t xml:space="preserve">. This bill would have imposed certain fire hazard planning responsibilities on local governments and requires cities and counties to make specified findings on fire standards prior to permitting development in the very high fire hazard severity zone. </w:t>
      </w:r>
    </w:p>
    <w:p w:rsidRPr="000F4C13" w:rsidR="00C96053" w:rsidP="00863833" w:rsidRDefault="00B2522B" w14:paraId="7CBF7CE8" w14:textId="77777777">
      <w:pPr>
        <w:jc w:val="both"/>
        <w:rPr>
          <w:rFonts w:eastAsia="Calibri" w:asciiTheme="majorHAnsi" w:hAnsiTheme="majorHAnsi" w:cstheme="majorHAnsi"/>
        </w:rPr>
      </w:pPr>
      <w:r w:rsidRPr="000F4C13">
        <w:rPr>
          <w:rFonts w:eastAsia="Calibri" w:asciiTheme="majorHAnsi" w:hAnsiTheme="majorHAnsi" w:cstheme="majorHAnsi"/>
          <w:b/>
        </w:rPr>
        <w:t>Tax Incentives for Home Hardening:</w:t>
      </w:r>
      <w:r w:rsidRPr="000F4C13">
        <w:rPr>
          <w:rFonts w:eastAsia="Calibri" w:asciiTheme="majorHAnsi" w:hAnsiTheme="majorHAnsi" w:cstheme="majorHAnsi"/>
        </w:rPr>
        <w:t xml:space="preserve"> </w:t>
      </w:r>
      <w:hyperlink r:id="rId154">
        <w:r w:rsidRPr="000F4C13" w:rsidR="00C96053">
          <w:rPr>
            <w:rFonts w:eastAsia="Calibri" w:asciiTheme="majorHAnsi" w:hAnsiTheme="majorHAnsi" w:cstheme="majorHAnsi"/>
            <w:color w:val="467886"/>
            <w:u w:val="single"/>
          </w:rPr>
          <w:t>SB-295 Personal income taxes: Fire Safe Home Tax Credits.</w:t>
        </w:r>
      </w:hyperlink>
      <w:r w:rsidRPr="000F4C13">
        <w:rPr>
          <w:rFonts w:eastAsia="Calibri" w:asciiTheme="majorHAnsi" w:hAnsiTheme="majorHAnsi" w:cstheme="majorHAnsi"/>
          <w:b/>
          <w:bCs/>
          <w:u w:val="single"/>
        </w:rPr>
        <w:t xml:space="preserve"> </w:t>
      </w:r>
      <w:r w:rsidRPr="000F4C13">
        <w:rPr>
          <w:rFonts w:eastAsia="Calibri" w:asciiTheme="majorHAnsi" w:hAnsiTheme="majorHAnsi" w:cstheme="majorHAnsi"/>
        </w:rPr>
        <w:t>The bill would have created two 50% tax credits under the Personal Income Tax Law for qualified homeowners who live in moderate, high, or very high fire hazard severity zones who incur expenses for vegetation management and/or make qualified home hardening improvements.</w:t>
      </w:r>
    </w:p>
    <w:p w:rsidRPr="000F4C13" w:rsidR="00C96053" w:rsidRDefault="00B2522B" w14:paraId="5927DAD3" w14:textId="77777777">
      <w:pPr>
        <w:pStyle w:val="Heading4"/>
        <w:rPr>
          <w:rFonts w:asciiTheme="majorHAnsi" w:hAnsiTheme="majorHAnsi" w:cstheme="majorHAnsi"/>
        </w:rPr>
      </w:pPr>
      <w:bookmarkStart w:name="_przu38hq9cbg" w:colFirst="0" w:colLast="0" w:id="108"/>
      <w:bookmarkEnd w:id="108"/>
      <w:r w:rsidRPr="000F4C13">
        <w:rPr>
          <w:rFonts w:asciiTheme="majorHAnsi" w:hAnsiTheme="majorHAnsi" w:cstheme="majorHAnsi"/>
        </w:rPr>
        <w:t>Strategies, Initiatives and Resources</w:t>
      </w:r>
    </w:p>
    <w:p w:rsidRPr="000F4C13" w:rsidR="009A3601" w:rsidP="009A3601" w:rsidRDefault="00B2522B" w14:paraId="67F88958" w14:textId="77777777">
      <w:pPr>
        <w:pStyle w:val="Heading5"/>
        <w:rPr>
          <w:rFonts w:asciiTheme="majorHAnsi" w:hAnsiTheme="majorHAnsi" w:cstheme="majorHAnsi"/>
        </w:rPr>
      </w:pPr>
      <w:r w:rsidRPr="000F4C13">
        <w:rPr>
          <w:rFonts w:asciiTheme="majorHAnsi" w:hAnsiTheme="majorHAnsi" w:cstheme="majorHAnsi"/>
        </w:rPr>
        <w:t>Modernization of the FAIR Plan</w:t>
      </w:r>
    </w:p>
    <w:p w:rsidRPr="000F4C13" w:rsidR="00C96053" w:rsidP="00863833" w:rsidRDefault="00B2522B" w14:paraId="6902A4F2" w14:textId="67AE8B56">
      <w:pPr>
        <w:jc w:val="both"/>
        <w:rPr>
          <w:rFonts w:eastAsia="Calibri" w:asciiTheme="majorHAnsi" w:hAnsiTheme="majorHAnsi" w:cstheme="majorHAnsi"/>
        </w:rPr>
      </w:pPr>
      <w:r w:rsidRPr="000F4C13">
        <w:rPr>
          <w:rFonts w:eastAsia="Calibri" w:asciiTheme="majorHAnsi" w:hAnsiTheme="majorHAnsi" w:cstheme="majorHAnsi"/>
        </w:rPr>
        <w:t xml:space="preserve">As discussed in the Regulations section above, the Sustainable Insurance Strategy is a comprehensive initiative aimed at modernizing the state’s insurance market to ensure accessible insurance for all Californians, creating a resilient insurance marketplace, and protecting consumers and communities from the adverse impacts of climate change. While the regulations adopted as part of the Sustainable Insurance Strategy were foundational components of the approach </w:t>
      </w:r>
      <w:r w:rsidRPr="000F4C13">
        <w:rPr>
          <w:rFonts w:eastAsia="Calibri" w:asciiTheme="majorHAnsi" w:hAnsiTheme="majorHAnsi" w:cstheme="majorHAnsi"/>
          <w:i/>
          <w:iCs/>
        </w:rPr>
        <w:t>(Complete Rate Application, Catastrophe Modeling and Ratemaking, Pre-Application Required Information Determination (“PRID”) Procedure, and the Standard Net Cost of Reinsurance (NCOR)</w:t>
      </w:r>
      <w:r w:rsidRPr="000F4C13">
        <w:rPr>
          <w:rFonts w:eastAsia="Calibri" w:asciiTheme="majorHAnsi" w:hAnsiTheme="majorHAnsi" w:cstheme="majorHAnsi"/>
        </w:rPr>
        <w:t xml:space="preserve">), another crucial component of the strategy is the modernization of the FAIR Plan. For decades, the FAIR Plan has functioned as a last-resort backstop for many Californians. However, </w:t>
      </w:r>
      <w:r w:rsidR="00276FD9">
        <w:rPr>
          <w:rFonts w:eastAsia="Calibri" w:asciiTheme="majorHAnsi" w:hAnsiTheme="majorHAnsi" w:cstheme="majorHAnsi"/>
        </w:rPr>
        <w:t>over the past 10 years, its expansion has revealed deep flaws in a system that was never designed to bear the weight it now carries</w:t>
      </w:r>
      <w:r w:rsidRPr="000F4C13">
        <w:rPr>
          <w:rFonts w:eastAsia="Calibri" w:asciiTheme="majorHAnsi" w:hAnsiTheme="majorHAnsi" w:cstheme="majorHAnsi"/>
        </w:rPr>
        <w:t xml:space="preserve">. Under Proposition 103, insurance companies are permitted to bypass high-risk areas, </w:t>
      </w:r>
      <w:r w:rsidR="00276FD9">
        <w:rPr>
          <w:rFonts w:eastAsia="Calibri" w:asciiTheme="majorHAnsi" w:hAnsiTheme="majorHAnsi" w:cstheme="majorHAnsi"/>
        </w:rPr>
        <w:t>resulting</w:t>
      </w:r>
      <w:r w:rsidRPr="000F4C13">
        <w:rPr>
          <w:rFonts w:eastAsia="Calibri" w:asciiTheme="majorHAnsi" w:hAnsiTheme="majorHAnsi" w:cstheme="majorHAnsi"/>
        </w:rPr>
        <w:t xml:space="preserve"> in an increasing number of homeowners and business owners having to rely on the more expensive and limited FAIR Plan coverage. </w:t>
      </w:r>
    </w:p>
    <w:p w:rsidRPr="000F4C13" w:rsidR="00C96053" w:rsidP="00863833" w:rsidRDefault="00B2522B" w14:paraId="257EBF04" w14:textId="77777777">
      <w:pPr>
        <w:jc w:val="both"/>
        <w:rPr>
          <w:rFonts w:eastAsia="Calibri" w:asciiTheme="majorHAnsi" w:hAnsiTheme="majorHAnsi" w:cstheme="majorHAnsi"/>
        </w:rPr>
      </w:pPr>
      <w:r w:rsidRPr="000F4C13">
        <w:rPr>
          <w:rFonts w:eastAsia="Calibri" w:asciiTheme="majorHAnsi" w:hAnsiTheme="majorHAnsi" w:cstheme="majorHAnsi"/>
        </w:rPr>
        <w:t>CDI is continuing to restore the FAIR Plan to its original purpose – as a temporary solution, not a permanent one – while giving Californians more options and stronger protections in the traditional insurance market. CDI’s major FAIR Plan reforms include:</w:t>
      </w:r>
    </w:p>
    <w:p w:rsidRPr="000F4C13" w:rsidR="00C96053" w:rsidP="0057045C" w:rsidRDefault="00B2522B" w14:paraId="0A72D3E6" w14:textId="1AA80229">
      <w:pPr>
        <w:numPr>
          <w:ilvl w:val="1"/>
          <w:numId w:val="25"/>
        </w:numPr>
        <w:spacing w:after="0"/>
        <w:jc w:val="both"/>
        <w:rPr>
          <w:rFonts w:eastAsia="Calibri" w:asciiTheme="majorHAnsi" w:hAnsiTheme="majorHAnsi" w:cstheme="majorHAnsi"/>
        </w:rPr>
      </w:pPr>
      <w:r w:rsidRPr="000F4C13">
        <w:rPr>
          <w:rFonts w:eastAsia="Calibri" w:asciiTheme="majorHAnsi" w:hAnsiTheme="majorHAnsi" w:cstheme="majorHAnsi"/>
          <w:b/>
        </w:rPr>
        <w:t>Greater coverage</w:t>
      </w:r>
      <w:r w:rsidRPr="000F4C13">
        <w:rPr>
          <w:rFonts w:eastAsia="Calibri" w:asciiTheme="majorHAnsi" w:hAnsiTheme="majorHAnsi" w:cstheme="majorHAnsi"/>
        </w:rPr>
        <w:t>: FAIR Plan coverage has been temporarily expanded for high-value commercial properties, homeowners associations, and affordable housing developments, available July 26, 2025. This new “</w:t>
      </w:r>
      <w:r w:rsidRPr="000F4C13" w:rsidR="007C468E">
        <w:rPr>
          <w:rFonts w:eastAsia="Calibri" w:asciiTheme="majorHAnsi" w:hAnsiTheme="majorHAnsi" w:cstheme="majorHAnsi"/>
        </w:rPr>
        <w:t>high value</w:t>
      </w:r>
      <w:r w:rsidRPr="000F4C13">
        <w:rPr>
          <w:rFonts w:eastAsia="Calibri" w:asciiTheme="majorHAnsi" w:hAnsiTheme="majorHAnsi" w:cstheme="majorHAnsi"/>
        </w:rPr>
        <w:t>” commercial coverage option would cover properties with limits up to $20 million for each building</w:t>
      </w:r>
      <w:r w:rsidR="007C468E">
        <w:rPr>
          <w:rFonts w:eastAsia="Calibri" w:asciiTheme="majorHAnsi" w:hAnsiTheme="majorHAnsi" w:cstheme="majorHAnsi"/>
        </w:rPr>
        <w:t>, with a total maximum limit of $100 million per location,</w:t>
      </w:r>
      <w:r w:rsidRPr="000F4C13">
        <w:rPr>
          <w:rFonts w:eastAsia="Calibri" w:asciiTheme="majorHAnsi" w:hAnsiTheme="majorHAnsi" w:cstheme="majorHAnsi"/>
        </w:rPr>
        <w:t xml:space="preserve"> and would sunset in 2028.</w:t>
      </w:r>
    </w:p>
    <w:p w:rsidRPr="000F4C13" w:rsidR="00C96053" w:rsidP="0057045C" w:rsidRDefault="00B2522B" w14:paraId="7237D10E" w14:textId="77777777">
      <w:pPr>
        <w:numPr>
          <w:ilvl w:val="1"/>
          <w:numId w:val="25"/>
        </w:numPr>
        <w:spacing w:after="0"/>
        <w:jc w:val="both"/>
        <w:rPr>
          <w:rFonts w:eastAsia="Calibri" w:asciiTheme="majorHAnsi" w:hAnsiTheme="majorHAnsi" w:cstheme="majorHAnsi"/>
        </w:rPr>
      </w:pPr>
      <w:r w:rsidRPr="000F4C13">
        <w:rPr>
          <w:rFonts w:eastAsia="Calibri" w:asciiTheme="majorHAnsi" w:hAnsiTheme="majorHAnsi" w:cstheme="majorHAnsi"/>
          <w:b/>
        </w:rPr>
        <w:t>Improved transparency</w:t>
      </w:r>
      <w:r w:rsidRPr="000F4C13">
        <w:rPr>
          <w:rFonts w:eastAsia="Calibri" w:asciiTheme="majorHAnsi" w:hAnsiTheme="majorHAnsi" w:cstheme="majorHAnsi"/>
        </w:rPr>
        <w:t xml:space="preserve">: FAIR Plan transparency expansions became effective July 1, 2025, including the requirement that total exposures, policy counts, financial data, and other information be publicly posted on the FAIR Plan website and shared with policymakers. </w:t>
      </w:r>
    </w:p>
    <w:p w:rsidRPr="000F4C13" w:rsidR="00C96053" w:rsidP="0057045C" w:rsidRDefault="00B2522B" w14:paraId="625BF042" w14:textId="3A678F13">
      <w:pPr>
        <w:numPr>
          <w:ilvl w:val="1"/>
          <w:numId w:val="25"/>
        </w:numPr>
        <w:spacing w:after="0"/>
        <w:jc w:val="both"/>
        <w:rPr>
          <w:rFonts w:eastAsia="Calibri" w:asciiTheme="majorHAnsi" w:hAnsiTheme="majorHAnsi" w:cstheme="majorHAnsi"/>
        </w:rPr>
      </w:pPr>
      <w:r w:rsidRPr="000F4C13">
        <w:rPr>
          <w:rFonts w:eastAsia="Calibri" w:asciiTheme="majorHAnsi" w:hAnsiTheme="majorHAnsi" w:cstheme="majorHAnsi"/>
          <w:b/>
        </w:rPr>
        <w:t>Full and fair payment of Los Angeles wildfire claims</w:t>
      </w:r>
      <w:r w:rsidRPr="000F4C13">
        <w:rPr>
          <w:rFonts w:eastAsia="Calibri" w:asciiTheme="majorHAnsi" w:hAnsiTheme="majorHAnsi" w:cstheme="majorHAnsi"/>
        </w:rPr>
        <w:t xml:space="preserve">: CDI is currently investigating the FAIR Plan’s handling of smoke damage claims from the Los Angeles wildfires to resolve consumers’ complaints and help get people back on their feet as they recover their lives. </w:t>
      </w:r>
    </w:p>
    <w:p w:rsidRPr="000F4C13" w:rsidR="00C96053" w:rsidP="0057045C" w:rsidRDefault="00B2522B" w14:paraId="7C1CFCA6" w14:textId="77777777">
      <w:pPr>
        <w:numPr>
          <w:ilvl w:val="1"/>
          <w:numId w:val="25"/>
        </w:numPr>
        <w:spacing w:after="0"/>
        <w:jc w:val="both"/>
        <w:rPr>
          <w:rFonts w:eastAsia="Calibri" w:asciiTheme="majorHAnsi" w:hAnsiTheme="majorHAnsi" w:cstheme="majorHAnsi"/>
        </w:rPr>
      </w:pPr>
      <w:r w:rsidRPr="000F4C13">
        <w:rPr>
          <w:rFonts w:eastAsia="Calibri" w:asciiTheme="majorHAnsi" w:hAnsiTheme="majorHAnsi" w:cstheme="majorHAnsi"/>
          <w:b/>
        </w:rPr>
        <w:t>Improved processes and staff adequacy</w:t>
      </w:r>
      <w:r w:rsidRPr="000F4C13">
        <w:rPr>
          <w:rFonts w:eastAsia="Calibri" w:asciiTheme="majorHAnsi" w:hAnsiTheme="majorHAnsi" w:cstheme="majorHAnsi"/>
        </w:rPr>
        <w:t>: CDI required the FAIR Plan to hire more staff, improve its claims process, and shift costs away from consumers.</w:t>
      </w:r>
    </w:p>
    <w:p w:rsidRPr="000F4C13" w:rsidR="00C96053" w:rsidP="0057045C" w:rsidRDefault="00B2522B" w14:paraId="7F1562FD" w14:textId="43FD6946">
      <w:pPr>
        <w:numPr>
          <w:ilvl w:val="1"/>
          <w:numId w:val="25"/>
        </w:numPr>
        <w:spacing w:after="0"/>
        <w:jc w:val="both"/>
        <w:rPr>
          <w:rFonts w:eastAsia="Calibri" w:asciiTheme="majorHAnsi" w:hAnsiTheme="majorHAnsi" w:cstheme="majorHAnsi"/>
        </w:rPr>
      </w:pPr>
      <w:r w:rsidRPr="000F4C13">
        <w:rPr>
          <w:rFonts w:eastAsia="Calibri" w:asciiTheme="majorHAnsi" w:hAnsiTheme="majorHAnsi" w:cstheme="majorHAnsi"/>
          <w:b/>
        </w:rPr>
        <w:t>Greater operational accountability</w:t>
      </w:r>
      <w:r w:rsidRPr="000F4C13">
        <w:rPr>
          <w:rFonts w:eastAsia="Calibri" w:asciiTheme="majorHAnsi" w:hAnsiTheme="majorHAnsi" w:cstheme="majorHAnsi"/>
        </w:rPr>
        <w:t>: Commissioner Lara expects to file in the coming weeks the Department’s Report of Examination for an ongoing financial examination of the FAIR Plan, including its compliance with recommendations from CDI’s 2022 Operational Assessment Report. The report called for significant changes in the FAIR Plan’s governance, operations, underwriting</w:t>
      </w:r>
      <w:r w:rsidR="007C468E">
        <w:rPr>
          <w:rFonts w:eastAsia="Calibri" w:asciiTheme="majorHAnsi" w:hAnsiTheme="majorHAnsi" w:cstheme="majorHAnsi"/>
        </w:rPr>
        <w:t>,</w:t>
      </w:r>
      <w:r w:rsidRPr="000F4C13">
        <w:rPr>
          <w:rFonts w:eastAsia="Calibri" w:asciiTheme="majorHAnsi" w:hAnsiTheme="majorHAnsi" w:cstheme="majorHAnsi"/>
        </w:rPr>
        <w:t xml:space="preserve"> claims handling, risk management, customer service, and financial planning strategies and policies.</w:t>
      </w:r>
    </w:p>
    <w:p w:rsidRPr="000F4C13" w:rsidR="00C96053" w:rsidP="0057045C" w:rsidRDefault="00B2522B" w14:paraId="72837952" w14:textId="77777777">
      <w:pPr>
        <w:numPr>
          <w:ilvl w:val="1"/>
          <w:numId w:val="25"/>
        </w:numPr>
        <w:spacing w:after="0"/>
        <w:jc w:val="both"/>
        <w:rPr>
          <w:rFonts w:eastAsia="Calibri" w:asciiTheme="majorHAnsi" w:hAnsiTheme="majorHAnsi" w:cstheme="majorHAnsi"/>
        </w:rPr>
      </w:pPr>
      <w:r w:rsidRPr="000F4C13">
        <w:rPr>
          <w:rFonts w:eastAsia="Calibri" w:asciiTheme="majorHAnsi" w:hAnsiTheme="majorHAnsi" w:cstheme="majorHAnsi"/>
          <w:b/>
        </w:rPr>
        <w:t>Additional fiscally responsible tools</w:t>
      </w:r>
      <w:r w:rsidRPr="000F4C13">
        <w:rPr>
          <w:rFonts w:eastAsia="Calibri" w:asciiTheme="majorHAnsi" w:hAnsiTheme="majorHAnsi" w:cstheme="majorHAnsi"/>
        </w:rPr>
        <w:t xml:space="preserve">: Commissioner Lara is proud to co-sponsor Assembly Bill 226, jointly authored by Assembly Members Lisa Calderon and David Alvarez. This bill would authorize the FAIR Plan to access bonds, loans, and lines of credit, subject to prior approval by the Insurance Commissioner, to make fire insurance more accessible. </w:t>
      </w:r>
    </w:p>
    <w:p w:rsidRPr="000F4C13" w:rsidR="00B80BD0" w:rsidP="00863833" w:rsidRDefault="00B2522B" w14:paraId="337DF92D" w14:textId="61683EA1">
      <w:pPr>
        <w:pStyle w:val="Heading5"/>
        <w:jc w:val="both"/>
        <w:rPr>
          <w:rFonts w:asciiTheme="majorHAnsi" w:hAnsiTheme="majorHAnsi" w:cstheme="majorHAnsi"/>
        </w:rPr>
      </w:pPr>
      <w:r w:rsidRPr="000F4C13">
        <w:rPr>
          <w:rFonts w:asciiTheme="majorHAnsi" w:hAnsiTheme="majorHAnsi" w:cstheme="majorHAnsi"/>
        </w:rPr>
        <w:t xml:space="preserve">Inclusive and Innovative Insurance Pilot Projects </w:t>
      </w:r>
    </w:p>
    <w:p w:rsidRPr="000F4C13" w:rsidR="00C96053" w:rsidP="00863833" w:rsidRDefault="00B2522B" w14:paraId="38D230E8" w14:textId="3E6B3FDE">
      <w:pPr>
        <w:spacing w:before="80" w:after="40"/>
        <w:jc w:val="both"/>
        <w:rPr>
          <w:rFonts w:eastAsia="Calibri" w:asciiTheme="majorHAnsi" w:hAnsiTheme="majorHAnsi" w:cstheme="majorHAnsi"/>
        </w:rPr>
      </w:pPr>
      <w:r w:rsidRPr="000F4C13">
        <w:rPr>
          <w:rFonts w:eastAsia="Calibri" w:asciiTheme="majorHAnsi" w:hAnsiTheme="majorHAnsi" w:cstheme="majorHAnsi"/>
        </w:rPr>
        <w:t xml:space="preserve">CDI is working to develop innovative wildfire insurance options in the communities, aligning with California's support of home and neighborhood hardening efforts through the California Wildfire Mitigation Program Authority. </w:t>
      </w:r>
    </w:p>
    <w:p w:rsidRPr="000F4C13" w:rsidR="00C96053" w:rsidP="00863833" w:rsidRDefault="00B2522B" w14:paraId="72AB0055" w14:textId="77777777">
      <w:pPr>
        <w:pStyle w:val="Heading5"/>
        <w:jc w:val="both"/>
        <w:rPr>
          <w:rFonts w:eastAsia="Calibri" w:asciiTheme="majorHAnsi" w:hAnsiTheme="majorHAnsi" w:cstheme="majorHAnsi"/>
        </w:rPr>
      </w:pPr>
      <w:bookmarkStart w:name="_uzbwopdr8xpb" w:colFirst="0" w:colLast="0" w:id="109"/>
      <w:bookmarkEnd w:id="109"/>
      <w:r w:rsidRPr="000F4C13">
        <w:rPr>
          <w:rFonts w:eastAsia="Calibri" w:asciiTheme="majorHAnsi" w:hAnsiTheme="majorHAnsi" w:cstheme="majorHAnsi"/>
        </w:rPr>
        <w:t>Data Collection</w:t>
      </w:r>
    </w:p>
    <w:p w:rsidRPr="000F4C13" w:rsidR="00C96053" w:rsidP="00863833" w:rsidRDefault="00B2522B" w14:paraId="2538A4BB" w14:textId="77777777">
      <w:pPr>
        <w:jc w:val="both"/>
        <w:rPr>
          <w:rFonts w:eastAsia="Calibri" w:asciiTheme="majorHAnsi" w:hAnsiTheme="majorHAnsi" w:cstheme="majorHAnsi"/>
        </w:rPr>
      </w:pPr>
      <w:r w:rsidRPr="000F4C13">
        <w:rPr>
          <w:rFonts w:eastAsia="Calibri" w:asciiTheme="majorHAnsi" w:hAnsiTheme="majorHAnsi" w:cstheme="majorHAnsi"/>
        </w:rPr>
        <w:t xml:space="preserve">The Data Analytics and Reporting (DAR) Division collects, analyzes, and reports data on non-renewals and FAIR Plan policies in the residential market, implements data collections on losses in relation to wildfire risk categories, and delivers regular updates to CDI’s </w:t>
      </w:r>
      <w:hyperlink r:id="rId155">
        <w:r w:rsidRPr="000F4C13" w:rsidR="00C96053">
          <w:rPr>
            <w:rFonts w:eastAsia="Calibri" w:asciiTheme="majorHAnsi" w:hAnsiTheme="majorHAnsi" w:cstheme="majorHAnsi"/>
            <w:color w:val="467886"/>
            <w:u w:val="single"/>
          </w:rPr>
          <w:t>wildfire data webpage</w:t>
        </w:r>
      </w:hyperlink>
      <w:r w:rsidRPr="000F4C13">
        <w:rPr>
          <w:rFonts w:eastAsia="Calibri" w:asciiTheme="majorHAnsi" w:hAnsiTheme="majorHAnsi" w:cstheme="majorHAnsi"/>
        </w:rPr>
        <w:t xml:space="preserve"> to provide a consistent, publicly accessible place for data resources related to wildfire. This data provided the backbone of information used to develop the implementation approach for the Commissioner’s Sustainable Insurance Strategy.</w:t>
      </w:r>
    </w:p>
    <w:p w:rsidRPr="000F4C13" w:rsidR="00C96053" w:rsidP="00863833" w:rsidRDefault="00B2522B" w14:paraId="09146A7C" w14:textId="77777777">
      <w:pPr>
        <w:pStyle w:val="Heading5"/>
        <w:jc w:val="both"/>
        <w:rPr>
          <w:rFonts w:eastAsia="Calibri" w:asciiTheme="majorHAnsi" w:hAnsiTheme="majorHAnsi" w:cstheme="majorHAnsi"/>
        </w:rPr>
      </w:pPr>
      <w:bookmarkStart w:name="_n6lmjpwhruml" w:colFirst="0" w:colLast="0" w:id="110"/>
      <w:bookmarkEnd w:id="110"/>
      <w:r w:rsidRPr="000F4C13">
        <w:rPr>
          <w:rFonts w:eastAsia="Calibri" w:asciiTheme="majorHAnsi" w:hAnsiTheme="majorHAnsi" w:cstheme="majorHAnsi"/>
        </w:rPr>
        <w:t>Consumer Outreach and Engagement</w:t>
      </w:r>
    </w:p>
    <w:bookmarkStart w:name="_lpk6v2pe6jp9" w:colFirst="0" w:colLast="0" w:id="111"/>
    <w:bookmarkEnd w:id="111"/>
    <w:p w:rsidRPr="000F4C13" w:rsidR="00C96053" w:rsidP="00863833" w:rsidRDefault="00B2522B" w14:paraId="64FB56E4" w14:textId="6BBC8688">
      <w:pPr>
        <w:jc w:val="both"/>
        <w:rPr>
          <w:rFonts w:eastAsia="Calibri" w:asciiTheme="majorHAnsi" w:hAnsiTheme="majorHAnsi" w:cstheme="majorHAnsi"/>
        </w:rPr>
      </w:pPr>
      <w:r w:rsidRPr="000F4C13">
        <w:rPr>
          <w:rFonts w:asciiTheme="majorHAnsi" w:hAnsiTheme="majorHAnsi" w:cstheme="majorHAnsi"/>
        </w:rPr>
        <w:fldChar w:fldCharType="begin"/>
      </w:r>
      <w:r w:rsidRPr="000F4C13">
        <w:rPr>
          <w:rFonts w:asciiTheme="majorHAnsi" w:hAnsiTheme="majorHAnsi" w:cstheme="majorHAnsi"/>
        </w:rPr>
        <w:instrText>HYPERLINK "https://www.insurance.ca.gov/01-consumers/105-type/95-guides/Partnership_Initiative.cfm"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eastAsia="Calibri" w:asciiTheme="majorHAnsi" w:hAnsiTheme="majorHAnsi" w:cstheme="majorHAnsi"/>
          <w:color w:val="467886"/>
          <w:u w:val="single"/>
        </w:rPr>
        <w:t>Partnership Initiative</w:t>
      </w:r>
      <w:r w:rsidRPr="000F4C13">
        <w:rPr>
          <w:rFonts w:asciiTheme="majorHAnsi" w:hAnsiTheme="majorHAnsi" w:cstheme="majorHAnsi"/>
        </w:rPr>
        <w:fldChar w:fldCharType="end"/>
      </w:r>
      <w:bookmarkStart w:name="_9gheu3jphtlj" w:colFirst="0" w:colLast="0" w:id="112"/>
      <w:bookmarkEnd w:id="112"/>
      <w:r w:rsidRPr="000F4C13" w:rsidR="00DC333E">
        <w:rPr>
          <w:rFonts w:asciiTheme="majorHAnsi" w:hAnsiTheme="majorHAnsi" w:cstheme="majorHAnsi"/>
        </w:rPr>
        <w:t>:</w:t>
      </w:r>
      <w:r w:rsidRPr="000F4C13" w:rsidR="00DC333E">
        <w:rPr>
          <w:rFonts w:eastAsia="Calibri" w:asciiTheme="majorHAnsi" w:hAnsiTheme="majorHAnsi" w:cstheme="majorHAnsi"/>
        </w:rPr>
        <w:t xml:space="preserve"> </w:t>
      </w:r>
      <w:r w:rsidRPr="000F4C13">
        <w:rPr>
          <w:rFonts w:eastAsia="Calibri" w:asciiTheme="majorHAnsi" w:hAnsiTheme="majorHAnsi" w:cstheme="majorHAnsi"/>
        </w:rPr>
        <w:t>CDI’s consumer outreach activities aim to empower every household in California to understand basic insurance concepts, guard against fraud, and protect their most valuable financial assets, especially as climate-related disasters and market instability continue to rise. The social and economic value of equipping Californians with this critical insurance education is both significant and far-reaching.</w:t>
      </w:r>
    </w:p>
    <w:p w:rsidRPr="000F4C13" w:rsidR="00C96053" w:rsidP="00863833" w:rsidRDefault="00B2522B" w14:paraId="19415567" w14:textId="77777777">
      <w:pPr>
        <w:spacing w:after="0"/>
        <w:jc w:val="both"/>
        <w:rPr>
          <w:rFonts w:eastAsia="Calibri" w:asciiTheme="majorHAnsi" w:hAnsiTheme="majorHAnsi" w:cstheme="majorHAnsi"/>
          <w:b/>
          <w:bCs/>
        </w:rPr>
      </w:pPr>
      <w:bookmarkStart w:name="_gs7r8m8tqi0m" w:colFirst="0" w:colLast="0" w:id="113"/>
      <w:bookmarkEnd w:id="113"/>
      <w:r w:rsidRPr="000F4C13">
        <w:rPr>
          <w:rFonts w:eastAsia="Calibri" w:asciiTheme="majorHAnsi" w:hAnsiTheme="majorHAnsi" w:cstheme="majorHAnsi"/>
        </w:rPr>
        <w:t>Initiative Goals:</w:t>
      </w:r>
    </w:p>
    <w:p w:rsidRPr="000F4C13" w:rsidR="00C96053" w:rsidP="0057045C" w:rsidRDefault="00B2522B" w14:paraId="7A760B75" w14:textId="77777777">
      <w:pPr>
        <w:numPr>
          <w:ilvl w:val="1"/>
          <w:numId w:val="26"/>
        </w:numPr>
        <w:spacing w:after="0"/>
        <w:jc w:val="both"/>
        <w:rPr>
          <w:rFonts w:eastAsia="Calibri" w:asciiTheme="majorHAnsi" w:hAnsiTheme="majorHAnsi" w:cstheme="majorHAnsi"/>
        </w:rPr>
      </w:pPr>
      <w:bookmarkStart w:name="_z5w5xuohsmzr" w:colFirst="0" w:colLast="0" w:id="114"/>
      <w:bookmarkEnd w:id="114"/>
      <w:r w:rsidRPr="000F4C13">
        <w:rPr>
          <w:rFonts w:eastAsia="Calibri" w:asciiTheme="majorHAnsi" w:hAnsiTheme="majorHAnsi" w:cstheme="majorHAnsi"/>
        </w:rPr>
        <w:t>Increase consumer awareness of CDI’s role, responsibilities, and available services</w:t>
      </w:r>
    </w:p>
    <w:p w:rsidRPr="000F4C13" w:rsidR="00C96053" w:rsidP="0057045C" w:rsidRDefault="00B2522B" w14:paraId="1DA28CCE" w14:textId="77777777">
      <w:pPr>
        <w:numPr>
          <w:ilvl w:val="1"/>
          <w:numId w:val="26"/>
        </w:numPr>
        <w:spacing w:after="0"/>
        <w:jc w:val="both"/>
        <w:rPr>
          <w:rFonts w:eastAsia="Calibri" w:asciiTheme="majorHAnsi" w:hAnsiTheme="majorHAnsi" w:cstheme="majorHAnsi"/>
        </w:rPr>
      </w:pPr>
      <w:bookmarkStart w:name="_ts8txhh28ax7" w:colFirst="0" w:colLast="0" w:id="115"/>
      <w:bookmarkEnd w:id="115"/>
      <w:r w:rsidRPr="000F4C13">
        <w:rPr>
          <w:rFonts w:eastAsia="Calibri" w:asciiTheme="majorHAnsi" w:hAnsiTheme="majorHAnsi" w:cstheme="majorHAnsi"/>
        </w:rPr>
        <w:t>Expand awareness of insurance access and fraud prevention</w:t>
      </w:r>
    </w:p>
    <w:p w:rsidRPr="000F4C13" w:rsidR="00C96053" w:rsidP="0057045C" w:rsidRDefault="00B2522B" w14:paraId="000073B6" w14:textId="3A820305">
      <w:pPr>
        <w:numPr>
          <w:ilvl w:val="1"/>
          <w:numId w:val="26"/>
        </w:numPr>
        <w:spacing w:after="0"/>
        <w:jc w:val="both"/>
        <w:rPr>
          <w:rFonts w:eastAsia="Calibri" w:asciiTheme="majorHAnsi" w:hAnsiTheme="majorHAnsi" w:cstheme="majorHAnsi"/>
        </w:rPr>
      </w:pPr>
      <w:bookmarkStart w:name="_98dcvyyhgrmb" w:colFirst="0" w:colLast="0" w:id="116"/>
      <w:bookmarkEnd w:id="116"/>
      <w:r w:rsidRPr="000F4C13">
        <w:rPr>
          <w:rFonts w:eastAsia="Calibri" w:asciiTheme="majorHAnsi" w:hAnsiTheme="majorHAnsi" w:cstheme="majorHAnsi"/>
        </w:rPr>
        <w:t>Host monthly “Partnership Introduction Webinars</w:t>
      </w:r>
      <w:r w:rsidR="007C468E">
        <w:rPr>
          <w:rFonts w:eastAsia="Calibri" w:asciiTheme="majorHAnsi" w:hAnsiTheme="majorHAnsi" w:cstheme="majorHAnsi"/>
        </w:rPr>
        <w:t>.</w:t>
      </w:r>
      <w:r w:rsidRPr="000F4C13">
        <w:rPr>
          <w:rFonts w:eastAsia="Calibri" w:asciiTheme="majorHAnsi" w:hAnsiTheme="majorHAnsi" w:cstheme="majorHAnsi"/>
        </w:rPr>
        <w:t xml:space="preserve">” </w:t>
      </w:r>
    </w:p>
    <w:bookmarkStart w:name="_23zzcdlwevdq" w:colFirst="0" w:colLast="0" w:id="117"/>
    <w:bookmarkEnd w:id="117"/>
    <w:p w:rsidRPr="000F4C13" w:rsidR="00C96053" w:rsidP="00863833" w:rsidRDefault="00B2522B" w14:paraId="2C63BB6D" w14:textId="1EAA5C9A">
      <w:pPr>
        <w:spacing w:before="80" w:after="40"/>
        <w:jc w:val="both"/>
        <w:rPr>
          <w:rFonts w:eastAsia="Calibri" w:asciiTheme="majorHAnsi" w:hAnsiTheme="majorHAnsi" w:cstheme="majorHAnsi"/>
          <w:b/>
          <w:bCs/>
        </w:rPr>
      </w:pPr>
      <w:r w:rsidRPr="000F4C13">
        <w:rPr>
          <w:rFonts w:asciiTheme="majorHAnsi" w:hAnsiTheme="majorHAnsi" w:cstheme="majorHAnsi"/>
        </w:rPr>
        <w:fldChar w:fldCharType="begin"/>
      </w:r>
      <w:r w:rsidRPr="000F4C13">
        <w:rPr>
          <w:rFonts w:asciiTheme="majorHAnsi" w:hAnsiTheme="majorHAnsi" w:cstheme="majorHAnsi"/>
        </w:rPr>
        <w:instrText>HYPERLINK "https://www.insurance.ca.gov/01-consumers/105-type/95-guides/Climate-Change-Portal.cfm"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eastAsia="Calibri" w:asciiTheme="majorHAnsi" w:hAnsiTheme="majorHAnsi" w:cstheme="majorHAnsi"/>
          <w:color w:val="467886"/>
          <w:u w:val="single"/>
        </w:rPr>
        <w:t>Local Climate Planning Hub</w:t>
      </w:r>
      <w:r w:rsidRPr="000F4C13">
        <w:rPr>
          <w:rFonts w:asciiTheme="majorHAnsi" w:hAnsiTheme="majorHAnsi" w:cstheme="majorHAnsi"/>
        </w:rPr>
        <w:fldChar w:fldCharType="end"/>
      </w:r>
      <w:r w:rsidRPr="000F4C13">
        <w:rPr>
          <w:rFonts w:eastAsia="Calibri" w:asciiTheme="majorHAnsi" w:hAnsiTheme="majorHAnsi" w:cstheme="majorHAnsi"/>
        </w:rPr>
        <w:t xml:space="preserve">: This local government outreach portal serves as a centralized resource for cities, counties, and municipalities to navigate the evolving risks of climate change and learn about innovative insurance strategies </w:t>
      </w:r>
      <w:r w:rsidR="007C468E">
        <w:rPr>
          <w:rFonts w:eastAsia="Calibri" w:asciiTheme="majorHAnsi" w:hAnsiTheme="majorHAnsi" w:cstheme="majorHAnsi"/>
        </w:rPr>
        <w:t>to reduce these risks and promote</w:t>
      </w:r>
      <w:r w:rsidRPr="000F4C13">
        <w:rPr>
          <w:rFonts w:eastAsia="Calibri" w:asciiTheme="majorHAnsi" w:hAnsiTheme="majorHAnsi" w:cstheme="majorHAnsi"/>
        </w:rPr>
        <w:t xml:space="preserve"> resilience.</w:t>
      </w:r>
    </w:p>
    <w:p w:rsidRPr="000F4C13" w:rsidR="00C96053" w:rsidP="00DC333E" w:rsidRDefault="00B2522B" w14:paraId="091A01D2" w14:textId="77777777">
      <w:pPr>
        <w:pStyle w:val="Heading5"/>
        <w:jc w:val="both"/>
        <w:rPr>
          <w:rFonts w:eastAsia="Calibri" w:asciiTheme="majorHAnsi" w:hAnsiTheme="majorHAnsi" w:cstheme="majorHAnsi"/>
        </w:rPr>
      </w:pPr>
      <w:bookmarkStart w:name="_t08piv3cvfzh" w:colFirst="0" w:colLast="0" w:id="118"/>
      <w:bookmarkEnd w:id="118"/>
      <w:r w:rsidRPr="000F4C13">
        <w:rPr>
          <w:rFonts w:eastAsia="Calibri" w:asciiTheme="majorHAnsi" w:hAnsiTheme="majorHAnsi" w:cstheme="majorHAnsi"/>
        </w:rPr>
        <w:t xml:space="preserve">Consumer Resources </w:t>
      </w:r>
    </w:p>
    <w:p w:rsidRPr="000F4C13" w:rsidR="00C96053" w:rsidP="00DC333E" w:rsidRDefault="00B2522B" w14:paraId="45C47F8C" w14:textId="77777777">
      <w:pPr>
        <w:jc w:val="both"/>
        <w:rPr>
          <w:rFonts w:eastAsia="Calibri" w:asciiTheme="majorHAnsi" w:hAnsiTheme="majorHAnsi" w:cstheme="majorHAnsi"/>
        </w:rPr>
      </w:pPr>
      <w:r w:rsidRPr="000F4C13">
        <w:rPr>
          <w:rFonts w:eastAsia="Calibri" w:asciiTheme="majorHAnsi" w:hAnsiTheme="majorHAnsi" w:cstheme="majorHAnsi"/>
        </w:rPr>
        <w:t xml:space="preserve">To help policyholders access and maintain insurance coverage, CDI has developed several tools and fact sheets that provide guidance on risk mitigation, insurance availability, and claims support. These include:   </w:t>
      </w:r>
    </w:p>
    <w:p w:rsidRPr="000F4C13" w:rsidR="00C96053" w:rsidP="0057045C" w:rsidRDefault="00C96053" w14:paraId="1E5E08C9" w14:textId="77777777">
      <w:pPr>
        <w:numPr>
          <w:ilvl w:val="0"/>
          <w:numId w:val="10"/>
        </w:numPr>
        <w:spacing w:after="0"/>
        <w:ind w:left="720"/>
        <w:jc w:val="both"/>
        <w:rPr>
          <w:rFonts w:eastAsia="Calibri" w:asciiTheme="majorHAnsi" w:hAnsiTheme="majorHAnsi" w:cstheme="majorHAnsi"/>
        </w:rPr>
      </w:pPr>
      <w:hyperlink r:id="rId156">
        <w:r w:rsidRPr="000F4C13">
          <w:rPr>
            <w:rFonts w:eastAsia="Calibri" w:asciiTheme="majorHAnsi" w:hAnsiTheme="majorHAnsi" w:cstheme="majorHAnsi"/>
            <w:color w:val="467886"/>
            <w:u w:val="single"/>
          </w:rPr>
          <w:t>Safer from Wildfires Consumer FAQ</w:t>
        </w:r>
      </w:hyperlink>
      <w:r w:rsidRPr="000F4C13">
        <w:rPr>
          <w:rFonts w:eastAsia="Calibri" w:asciiTheme="majorHAnsi" w:hAnsiTheme="majorHAnsi" w:cstheme="majorHAnsi"/>
        </w:rPr>
        <w:t>: Fact sheet to inform residential and commercial policyholders of the insurance mitigation discounts under the “Consideration of Mitigation Factors” regulation (see section on Regulation).</w:t>
      </w:r>
      <w:r w:rsidRPr="000F4C13">
        <w:rPr>
          <w:rFonts w:eastAsia="Calibri" w:asciiTheme="majorHAnsi" w:hAnsiTheme="majorHAnsi" w:cstheme="majorHAnsi"/>
          <w:u w:val="single"/>
        </w:rPr>
        <w:t xml:space="preserve"> </w:t>
      </w:r>
    </w:p>
    <w:p w:rsidRPr="000F4C13" w:rsidR="0088231A" w:rsidP="0057045C" w:rsidRDefault="00C96053" w14:paraId="61B22701" w14:textId="42845B76">
      <w:pPr>
        <w:numPr>
          <w:ilvl w:val="0"/>
          <w:numId w:val="10"/>
        </w:numPr>
        <w:spacing w:after="0"/>
        <w:ind w:left="720"/>
        <w:jc w:val="both"/>
        <w:rPr>
          <w:rFonts w:eastAsia="Calibri" w:asciiTheme="majorHAnsi" w:hAnsiTheme="majorHAnsi" w:cstheme="majorHAnsi"/>
        </w:rPr>
      </w:pPr>
      <w:hyperlink r:id="rId157">
        <w:r w:rsidRPr="000F4C13">
          <w:rPr>
            <w:rFonts w:eastAsia="Calibri" w:asciiTheme="majorHAnsi" w:hAnsiTheme="majorHAnsi" w:cstheme="majorHAnsi"/>
            <w:color w:val="467886"/>
            <w:u w:val="single"/>
          </w:rPr>
          <w:t>Home Insurance Finder</w:t>
        </w:r>
      </w:hyperlink>
      <w:r w:rsidRPr="000F4C13">
        <w:rPr>
          <w:rFonts w:eastAsia="Calibri" w:asciiTheme="majorHAnsi" w:hAnsiTheme="majorHAnsi" w:cstheme="majorHAnsi"/>
        </w:rPr>
        <w:t xml:space="preserve">: This online service allows consumers to search </w:t>
      </w:r>
      <w:r w:rsidR="007E7225">
        <w:rPr>
          <w:rFonts w:eastAsia="Calibri" w:asciiTheme="majorHAnsi" w:hAnsiTheme="majorHAnsi" w:cstheme="majorHAnsi"/>
        </w:rPr>
        <w:t xml:space="preserve">for </w:t>
      </w:r>
      <w:r w:rsidRPr="000F4C13">
        <w:rPr>
          <w:rFonts w:eastAsia="Calibri" w:asciiTheme="majorHAnsi" w:hAnsiTheme="majorHAnsi" w:cstheme="majorHAnsi"/>
        </w:rPr>
        <w:t>insurance, renters, condominium, or mobile home insurance in a specific area. Consumers may search by:</w:t>
      </w:r>
    </w:p>
    <w:p w:rsidRPr="000F4C13" w:rsidR="00C96053" w:rsidP="0057045C" w:rsidRDefault="00B2522B" w14:paraId="11BE7E7E" w14:textId="32B4EB43">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Type of insurance (homeowners, renters, condominium, or mobile home, etc.)</w:t>
      </w:r>
    </w:p>
    <w:p w:rsidRPr="000F4C13" w:rsidR="00C96053" w:rsidP="0057045C" w:rsidRDefault="00B2522B" w14:paraId="54075853" w14:textId="77777777">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Desired spoken language (Cantonese, English, Spanish, etc.)</w:t>
      </w:r>
    </w:p>
    <w:p w:rsidRPr="000F4C13" w:rsidR="00C96053" w:rsidP="0057045C" w:rsidRDefault="00B2522B" w14:paraId="38D45CF7" w14:textId="77777777">
      <w:pPr>
        <w:pStyle w:val="ListParagraph"/>
        <w:keepNext/>
        <w:keepLines/>
        <w:numPr>
          <w:ilvl w:val="1"/>
          <w:numId w:val="37"/>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Agents/brokers who are located within either 5, 10, 25, 50, or 75 miles of a selected ZIP code or city in California.</w:t>
      </w:r>
    </w:p>
    <w:p w:rsidRPr="000F4C13" w:rsidR="00C96053" w:rsidP="00DC333E" w:rsidRDefault="00B2522B" w14:paraId="45FF5063" w14:textId="77777777">
      <w:pPr>
        <w:pStyle w:val="Heading5"/>
        <w:jc w:val="both"/>
        <w:rPr>
          <w:rFonts w:asciiTheme="majorHAnsi" w:hAnsiTheme="majorHAnsi" w:cstheme="majorHAnsi"/>
        </w:rPr>
      </w:pPr>
      <w:r w:rsidRPr="000F4C13">
        <w:rPr>
          <w:rFonts w:asciiTheme="majorHAnsi" w:hAnsiTheme="majorHAnsi" w:cstheme="majorHAnsi"/>
        </w:rPr>
        <w:t>Engagement with Universities and Researchers</w:t>
      </w:r>
    </w:p>
    <w:p w:rsidRPr="000F4C13" w:rsidR="00C96053" w:rsidP="0057045C" w:rsidRDefault="00B2522B" w14:paraId="6EBBCBF1" w14:textId="77777777">
      <w:pPr>
        <w:numPr>
          <w:ilvl w:val="1"/>
          <w:numId w:val="26"/>
        </w:numPr>
        <w:spacing w:after="0"/>
        <w:jc w:val="both"/>
        <w:rPr>
          <w:rFonts w:eastAsia="Calibri" w:asciiTheme="majorHAnsi" w:hAnsiTheme="majorHAnsi" w:cstheme="majorHAnsi"/>
        </w:rPr>
      </w:pPr>
      <w:r w:rsidRPr="000F4C13">
        <w:rPr>
          <w:rFonts w:eastAsia="Calibri" w:asciiTheme="majorHAnsi" w:hAnsiTheme="majorHAnsi" w:cstheme="majorHAnsi"/>
        </w:rPr>
        <w:t>CDI continues to partner with researchers at the University of California, California State University, and other research institutions to examine risk assessment and risk reduction measures.</w:t>
      </w:r>
    </w:p>
    <w:p w:rsidRPr="000F4C13" w:rsidR="00A34121" w:rsidP="0057045C" w:rsidRDefault="00B2522B" w14:paraId="724F2BCD" w14:textId="55C2F2D1">
      <w:pPr>
        <w:numPr>
          <w:ilvl w:val="1"/>
          <w:numId w:val="26"/>
        </w:numPr>
        <w:spacing w:after="0"/>
        <w:jc w:val="both"/>
        <w:rPr>
          <w:rFonts w:eastAsia="Calibri" w:asciiTheme="majorHAnsi" w:hAnsiTheme="majorHAnsi" w:cstheme="majorHAnsi"/>
        </w:rPr>
      </w:pPr>
      <w:r w:rsidRPr="000F4C13">
        <w:rPr>
          <w:rFonts w:eastAsia="Calibri" w:asciiTheme="majorHAnsi" w:hAnsiTheme="majorHAnsi" w:cstheme="majorHAnsi"/>
        </w:rPr>
        <w:t xml:space="preserve">CDI has collaborated with Dr. LeRoy Westerling and colleagues, researchers at </w:t>
      </w:r>
      <w:r w:rsidR="007E7225">
        <w:rPr>
          <w:rFonts w:eastAsia="Calibri" w:asciiTheme="majorHAnsi" w:hAnsiTheme="majorHAnsi" w:cstheme="majorHAnsi"/>
        </w:rPr>
        <w:t>the University of California, Merced, who focus on wildfire scenario modeling, to create a suite of mapping models for predicting fire severity and statistically downscaling simulated wildfire</w:t>
      </w:r>
      <w:r w:rsidRPr="000F4C13">
        <w:rPr>
          <w:rFonts w:eastAsia="Calibri" w:asciiTheme="majorHAnsi" w:hAnsiTheme="majorHAnsi" w:cstheme="majorHAnsi"/>
        </w:rPr>
        <w:t xml:space="preserve"> burned areas by severity class to 30-meter resolution.</w:t>
      </w:r>
    </w:p>
    <w:p w:rsidRPr="000F4C13" w:rsidR="00C96053" w:rsidP="0057045C" w:rsidRDefault="00C96053" w14:paraId="4D1A3DE7" w14:textId="1400130D">
      <w:pPr>
        <w:numPr>
          <w:ilvl w:val="1"/>
          <w:numId w:val="26"/>
        </w:numPr>
        <w:spacing w:after="0"/>
        <w:jc w:val="both"/>
        <w:rPr>
          <w:rFonts w:eastAsia="Calibri" w:asciiTheme="majorHAnsi" w:hAnsiTheme="majorHAnsi" w:cstheme="majorHAnsi"/>
        </w:rPr>
      </w:pPr>
      <w:hyperlink r:id="rId158">
        <w:r w:rsidRPr="000F4C13">
          <w:rPr>
            <w:rFonts w:eastAsia="Calibri" w:asciiTheme="majorHAnsi" w:hAnsiTheme="majorHAnsi" w:cstheme="majorHAnsi"/>
            <w:color w:val="467886"/>
            <w:u w:val="single"/>
          </w:rPr>
          <w:t>Public Wildfire Catastrophe Model Strategy Group</w:t>
        </w:r>
      </w:hyperlink>
      <w:r w:rsidRPr="000F4C13">
        <w:rPr>
          <w:rFonts w:eastAsia="Calibri" w:asciiTheme="majorHAnsi" w:hAnsiTheme="majorHAnsi" w:cstheme="majorHAnsi"/>
        </w:rPr>
        <w:t xml:space="preserve">: Cal Poly Humboldt has convened a strategy group of researchers and wildland fire experts to make recommendations to Insurance Commissioner Ricardo Lara for steps to create the nation’s first public wildfire catastrophe model. A public wildfire catastrophe model </w:t>
      </w:r>
      <w:r w:rsidR="007E7225">
        <w:rPr>
          <w:rFonts w:eastAsia="Calibri" w:asciiTheme="majorHAnsi" w:hAnsiTheme="majorHAnsi" w:cstheme="majorHAnsi"/>
        </w:rPr>
        <w:t>can predict future losses, serve as a benchmark for reviewing catastrophe risks in</w:t>
      </w:r>
      <w:r w:rsidRPr="000F4C13">
        <w:rPr>
          <w:rFonts w:eastAsia="Calibri" w:asciiTheme="majorHAnsi" w:hAnsiTheme="majorHAnsi" w:cstheme="majorHAnsi"/>
        </w:rPr>
        <w:t xml:space="preserve"> the insurance sector, provide accessible data for wildfire safety efforts, and create educational and career opportunities for California students. Cal Poly Humboldt chairs the strategy group, which </w:t>
      </w:r>
      <w:r w:rsidR="007E7225">
        <w:rPr>
          <w:rFonts w:eastAsia="Calibri" w:asciiTheme="majorHAnsi" w:hAnsiTheme="majorHAnsi" w:cstheme="majorHAnsi"/>
        </w:rPr>
        <w:t>comprises researchers, wildfire risk-reduction experts, and higher education leaders from across the California State University, the University of California, and other sectors</w:t>
      </w:r>
      <w:r w:rsidRPr="000F4C13">
        <w:rPr>
          <w:rFonts w:eastAsia="Calibri" w:asciiTheme="majorHAnsi" w:hAnsiTheme="majorHAnsi" w:cstheme="majorHAnsi"/>
        </w:rPr>
        <w:t xml:space="preserve">. </w:t>
      </w:r>
      <w:hyperlink w:history="1" r:id="rId159">
        <w:r w:rsidRPr="000F4C13" w:rsidR="00DA3483">
          <w:rPr>
            <w:rStyle w:val="Hyperlink"/>
            <w:rFonts w:eastAsia="Calibri" w:asciiTheme="majorHAnsi" w:hAnsiTheme="majorHAnsi" w:cstheme="majorHAnsi"/>
          </w:rPr>
          <w:t>In May 2025, the Group published its recommendations for Future Directions and Considerations of Modeling Wildfire Risk</w:t>
        </w:r>
      </w:hyperlink>
      <w:r w:rsidRPr="000F4C13" w:rsidR="00DA3483">
        <w:rPr>
          <w:rFonts w:eastAsia="Calibri" w:asciiTheme="majorHAnsi" w:hAnsiTheme="majorHAnsi" w:cstheme="majorHAnsi"/>
        </w:rPr>
        <w:t xml:space="preserve"> </w:t>
      </w:r>
      <w:r w:rsidRPr="000F4C13">
        <w:rPr>
          <w:rFonts w:eastAsia="Calibri" w:asciiTheme="majorHAnsi" w:hAnsiTheme="majorHAnsi" w:cstheme="majorHAnsi"/>
        </w:rPr>
        <w:t>(</w:t>
      </w:r>
      <w:r w:rsidRPr="000F4C13" w:rsidR="003B6069">
        <w:rPr>
          <w:rFonts w:eastAsia="Calibri" w:asciiTheme="majorHAnsi" w:hAnsiTheme="majorHAnsi" w:cstheme="majorHAnsi"/>
        </w:rPr>
        <w:t xml:space="preserve">see </w:t>
      </w:r>
      <w:r w:rsidRPr="000F4C13">
        <w:rPr>
          <w:rFonts w:eastAsia="Calibri" w:asciiTheme="majorHAnsi" w:hAnsiTheme="majorHAnsi" w:cstheme="majorHAnsi"/>
        </w:rPr>
        <w:t xml:space="preserve">related </w:t>
      </w:r>
      <w:r w:rsidRPr="000F4C13" w:rsidR="003B6069">
        <w:rPr>
          <w:rFonts w:eastAsia="Calibri" w:asciiTheme="majorHAnsi" w:hAnsiTheme="majorHAnsi" w:cstheme="majorHAnsi"/>
        </w:rPr>
        <w:t xml:space="preserve">adopted </w:t>
      </w:r>
      <w:r w:rsidRPr="000F4C13">
        <w:rPr>
          <w:rFonts w:eastAsia="Calibri" w:asciiTheme="majorHAnsi" w:hAnsiTheme="majorHAnsi" w:cstheme="majorHAnsi"/>
        </w:rPr>
        <w:t>legislation above)</w:t>
      </w:r>
      <w:r w:rsidRPr="000F4C13" w:rsidR="003B6069">
        <w:rPr>
          <w:rFonts w:eastAsia="Calibri" w:asciiTheme="majorHAnsi" w:hAnsiTheme="majorHAnsi" w:cstheme="majorHAnsi"/>
        </w:rPr>
        <w:t>.</w:t>
      </w:r>
    </w:p>
    <w:p w:rsidRPr="000F4C13" w:rsidR="00C96053" w:rsidP="00DC333E" w:rsidRDefault="00B2522B" w14:paraId="02C5AB7A" w14:textId="77777777">
      <w:pPr>
        <w:pStyle w:val="Heading5"/>
        <w:jc w:val="both"/>
        <w:rPr>
          <w:rFonts w:asciiTheme="majorHAnsi" w:hAnsiTheme="majorHAnsi" w:cstheme="majorHAnsi"/>
        </w:rPr>
      </w:pPr>
      <w:r w:rsidRPr="000F4C13">
        <w:rPr>
          <w:rFonts w:asciiTheme="majorHAnsi" w:hAnsiTheme="majorHAnsi" w:cstheme="majorHAnsi"/>
        </w:rPr>
        <w:t xml:space="preserve">Partnerships among Insurance Regulators </w:t>
      </w:r>
    </w:p>
    <w:p w:rsidRPr="000F4C13" w:rsidR="008E45AE" w:rsidP="0057045C" w:rsidRDefault="00C96053" w14:paraId="751405A2" w14:textId="4AFD59E4">
      <w:pPr>
        <w:pStyle w:val="ListParagraph"/>
        <w:numPr>
          <w:ilvl w:val="0"/>
          <w:numId w:val="47"/>
        </w:numPr>
        <w:spacing w:after="0"/>
        <w:jc w:val="both"/>
        <w:rPr>
          <w:rFonts w:eastAsia="Calibri" w:asciiTheme="majorHAnsi" w:hAnsiTheme="majorHAnsi" w:cstheme="majorHAnsi"/>
        </w:rPr>
      </w:pPr>
      <w:hyperlink r:id="rId160">
        <w:r w:rsidRPr="000F4C13">
          <w:rPr>
            <w:rFonts w:eastAsia="Calibri" w:asciiTheme="majorHAnsi" w:hAnsiTheme="majorHAnsi" w:cstheme="majorHAnsi"/>
            <w:color w:val="467886"/>
            <w:u w:val="single"/>
          </w:rPr>
          <w:t>NAIC Climate and Resiliency Task Force</w:t>
        </w:r>
      </w:hyperlink>
      <w:r w:rsidRPr="000F4C13">
        <w:rPr>
          <w:rFonts w:eastAsia="Calibri" w:asciiTheme="majorHAnsi" w:hAnsiTheme="majorHAnsi" w:cstheme="majorHAnsi"/>
        </w:rPr>
        <w:t>: In 2021, CDI led the NAIC in establishing an Executive Committee Task Force on Climate and Resilienc</w:t>
      </w:r>
      <w:r w:rsidRPr="000F4C13" w:rsidR="005B40B8">
        <w:rPr>
          <w:rFonts w:eastAsia="Calibri" w:asciiTheme="majorHAnsi" w:hAnsiTheme="majorHAnsi" w:cstheme="majorHAnsi"/>
        </w:rPr>
        <w:t>y</w:t>
      </w:r>
      <w:r w:rsidRPr="000F4C13">
        <w:rPr>
          <w:rFonts w:eastAsia="Calibri" w:asciiTheme="majorHAnsi" w:hAnsiTheme="majorHAnsi" w:cstheme="majorHAnsi"/>
        </w:rPr>
        <w:t xml:space="preserve">. The Task Force developed recommendations that were adopted by the NAIC through the </w:t>
      </w:r>
      <w:hyperlink r:id="rId161">
        <w:r w:rsidRPr="000F4C13">
          <w:rPr>
            <w:rFonts w:eastAsia="Calibri" w:asciiTheme="majorHAnsi" w:hAnsiTheme="majorHAnsi" w:cstheme="majorHAnsi"/>
            <w:color w:val="467886"/>
            <w:u w:val="single"/>
          </w:rPr>
          <w:t>National Climate Resilience Strategy for Insurance</w:t>
        </w:r>
      </w:hyperlink>
      <w:r w:rsidRPr="000F4C13">
        <w:rPr>
          <w:rFonts w:eastAsia="Calibri" w:asciiTheme="majorHAnsi" w:hAnsiTheme="majorHAnsi" w:cstheme="majorHAnsi"/>
        </w:rPr>
        <w:t>. CDI will continue to work closely with our fellow state insurance regulators at the NAIC on pre-disaster mitigation, solvency, technology, and innovation</w:t>
      </w:r>
    </w:p>
    <w:p w:rsidRPr="000F4C13" w:rsidR="00C96053" w:rsidP="0057045C" w:rsidRDefault="00C96053" w14:paraId="3927D377" w14:textId="6D28970F">
      <w:pPr>
        <w:pStyle w:val="ListParagraph"/>
        <w:numPr>
          <w:ilvl w:val="0"/>
          <w:numId w:val="47"/>
        </w:numPr>
        <w:spacing w:after="0"/>
        <w:jc w:val="both"/>
        <w:rPr>
          <w:rFonts w:eastAsia="Calibri" w:asciiTheme="majorHAnsi" w:hAnsiTheme="majorHAnsi" w:cstheme="majorHAnsi"/>
        </w:rPr>
      </w:pPr>
      <w:hyperlink r:id="rId162">
        <w:r w:rsidRPr="000F4C13">
          <w:rPr>
            <w:rFonts w:eastAsia="Calibri" w:asciiTheme="majorHAnsi" w:hAnsiTheme="majorHAnsi" w:cstheme="majorHAnsi"/>
            <w:color w:val="467886"/>
            <w:u w:val="single"/>
          </w:rPr>
          <w:t>International Association of Insurance Supervisors (IAIS</w:t>
        </w:r>
      </w:hyperlink>
      <w:r w:rsidRPr="000F4C13">
        <w:rPr>
          <w:rFonts w:eastAsia="Calibri" w:asciiTheme="majorHAnsi" w:hAnsiTheme="majorHAnsi" w:cstheme="majorHAnsi"/>
        </w:rPr>
        <w:t xml:space="preserve">): CDI engage with the IAIS to advance initiatives on </w:t>
      </w:r>
      <w:hyperlink r:id="rId163">
        <w:r w:rsidRPr="000F4C13">
          <w:rPr>
            <w:rFonts w:eastAsia="Calibri" w:asciiTheme="majorHAnsi" w:hAnsiTheme="majorHAnsi" w:cstheme="majorHAnsi"/>
            <w:color w:val="467886"/>
            <w:u w:val="single"/>
          </w:rPr>
          <w:t>closing protection gaps</w:t>
        </w:r>
      </w:hyperlink>
      <w:r w:rsidRPr="000F4C13">
        <w:rPr>
          <w:rFonts w:eastAsia="Calibri" w:asciiTheme="majorHAnsi" w:hAnsiTheme="majorHAnsi" w:cstheme="majorHAnsi"/>
        </w:rPr>
        <w:t>, solvency standards and tools and building capacity among regulators.</w:t>
      </w:r>
    </w:p>
    <w:p w:rsidRPr="000F4C13" w:rsidR="00C96053" w:rsidRDefault="00B2522B" w14:paraId="47E84104" w14:textId="77777777">
      <w:pPr>
        <w:pStyle w:val="Heading3"/>
        <w:spacing w:after="0"/>
        <w:rPr>
          <w:rFonts w:asciiTheme="majorHAnsi" w:hAnsiTheme="majorHAnsi" w:cstheme="majorHAnsi"/>
        </w:rPr>
      </w:pPr>
      <w:bookmarkStart w:name="_ubc9ezid2tso" w:colFirst="0" w:colLast="0" w:id="119"/>
      <w:bookmarkEnd w:id="119"/>
      <w:r w:rsidRPr="000F4C13">
        <w:rPr>
          <w:rFonts w:asciiTheme="majorHAnsi" w:hAnsiTheme="majorHAnsi" w:cstheme="majorHAnsi"/>
        </w:rPr>
        <w:t>Colorado</w:t>
      </w:r>
    </w:p>
    <w:p w:rsidRPr="000F4C13" w:rsidR="00957A44" w:rsidRDefault="0039054F" w14:paraId="2123115E" w14:textId="642EAB3D">
      <w:pPr>
        <w:pStyle w:val="Heading4"/>
        <w:rPr>
          <w:rFonts w:asciiTheme="majorHAnsi" w:hAnsiTheme="majorHAnsi" w:cstheme="majorHAnsi"/>
        </w:rPr>
      </w:pPr>
      <w:bookmarkStart w:name="_7oajdcir1pp1" w:colFirst="0" w:colLast="0" w:id="120"/>
      <w:bookmarkEnd w:id="120"/>
      <w:r w:rsidRPr="000F4C13">
        <w:rPr>
          <w:rFonts w:asciiTheme="majorHAnsi" w:hAnsiTheme="majorHAnsi" w:cstheme="majorHAnsi"/>
        </w:rPr>
        <w:t>Introduction</w:t>
      </w:r>
    </w:p>
    <w:p w:rsidRPr="000F4C13" w:rsidR="0039054F" w:rsidP="005640B3" w:rsidRDefault="005640B3" w14:paraId="47F433CF" w14:textId="0A463908">
      <w:pPr>
        <w:jc w:val="both"/>
        <w:rPr>
          <w:rFonts w:asciiTheme="majorHAnsi" w:hAnsiTheme="majorHAnsi" w:cstheme="majorHAnsi"/>
        </w:rPr>
      </w:pPr>
      <w:r w:rsidRPr="000F4C13">
        <w:rPr>
          <w:rFonts w:asciiTheme="majorHAnsi" w:hAnsiTheme="majorHAnsi" w:cstheme="majorHAnsi"/>
          <w:lang w:val="en-US"/>
        </w:rPr>
        <w:t xml:space="preserve">Colorado faces a major and growing challenge, with about half of the state's people living in the Wildland-Urban Interface (WUI) where houses are close to flammable vegetation. In recent years, fire behavior has </w:t>
      </w:r>
      <w:r w:rsidR="007E7225">
        <w:rPr>
          <w:rFonts w:asciiTheme="majorHAnsi" w:hAnsiTheme="majorHAnsi" w:cstheme="majorHAnsi"/>
          <w:lang w:val="en-US"/>
        </w:rPr>
        <w:t>changed dramatically, with larger, more intense fires occurring</w:t>
      </w:r>
      <w:r w:rsidRPr="000F4C13">
        <w:rPr>
          <w:rFonts w:asciiTheme="majorHAnsi" w:hAnsiTheme="majorHAnsi" w:cstheme="majorHAnsi"/>
          <w:lang w:val="en-US"/>
        </w:rPr>
        <w:t xml:space="preserve"> outside traditional "fire seasons" due to ongoing drought and strong wind events. Wildfire risks have caused notable shifts in Colorado’s homeowners insurance market, including rising premiums, less availability in high-risk areas, and new state-level measures. </w:t>
      </w:r>
    </w:p>
    <w:p w:rsidRPr="000F4C13" w:rsidR="00C96053" w:rsidRDefault="00B2522B" w14:paraId="3413068D" w14:textId="51AE2736">
      <w:pPr>
        <w:pStyle w:val="Heading4"/>
        <w:rPr>
          <w:rFonts w:asciiTheme="majorHAnsi" w:hAnsiTheme="majorHAnsi" w:cstheme="majorHAnsi"/>
        </w:rPr>
      </w:pPr>
      <w:r w:rsidRPr="000F4C13">
        <w:rPr>
          <w:rFonts w:asciiTheme="majorHAnsi" w:hAnsiTheme="majorHAnsi" w:cstheme="majorHAnsi"/>
        </w:rPr>
        <w:t>Reports</w:t>
      </w:r>
    </w:p>
    <w:p w:rsidRPr="000F4C13" w:rsidR="00C96053" w:rsidRDefault="00B2522B" w14:paraId="58EF2FBB" w14:textId="670F39E9">
      <w:pPr>
        <w:jc w:val="both"/>
        <w:rPr>
          <w:rFonts w:eastAsia="Calibri" w:asciiTheme="majorHAnsi" w:hAnsiTheme="majorHAnsi" w:cstheme="majorHAnsi"/>
        </w:rPr>
      </w:pPr>
      <w:r w:rsidRPr="000F4C13">
        <w:rPr>
          <w:rFonts w:eastAsia="Calibri" w:asciiTheme="majorHAnsi" w:hAnsiTheme="majorHAnsi" w:cstheme="majorHAnsi"/>
        </w:rPr>
        <w:t xml:space="preserve">In the aftermath of the 2021 Marshall Fire, several studies were </w:t>
      </w:r>
      <w:r w:rsidR="007E7225">
        <w:rPr>
          <w:rFonts w:eastAsia="Calibri" w:asciiTheme="majorHAnsi" w:hAnsiTheme="majorHAnsi" w:cstheme="majorHAnsi"/>
        </w:rPr>
        <w:t>conducted to understand the extent of underinsurance and to inform responses</w:t>
      </w:r>
      <w:r w:rsidRPr="000F4C13">
        <w:rPr>
          <w:rFonts w:eastAsia="Calibri" w:asciiTheme="majorHAnsi" w:hAnsiTheme="majorHAnsi" w:cstheme="majorHAnsi"/>
        </w:rPr>
        <w:t xml:space="preserve"> to catastrophic wildfires. The </w:t>
      </w:r>
      <w:hyperlink r:id="rId164">
        <w:r w:rsidRPr="000F4C13" w:rsidR="00C96053">
          <w:rPr>
            <w:rFonts w:eastAsia="Calibri" w:asciiTheme="majorHAnsi" w:hAnsiTheme="majorHAnsi" w:cstheme="majorHAnsi"/>
            <w:color w:val="1155CC"/>
            <w:u w:val="single"/>
          </w:rPr>
          <w:t>Marshall Fire Insurance Claims Study (2024)</w:t>
        </w:r>
      </w:hyperlink>
      <w:r w:rsidRPr="000F4C13">
        <w:rPr>
          <w:rFonts w:eastAsia="Calibri" w:asciiTheme="majorHAnsi" w:hAnsiTheme="majorHAnsi" w:cstheme="majorHAnsi"/>
        </w:rPr>
        <w:t xml:space="preserve"> by the University of Colorado found that 36% of homeowners were "severely" underinsured. The research further suggested that the homeowner's insurance company is the most important predictor of underinsurance, indicating that insurers' proprietary rebuilding cost estimates are often insufficient.</w:t>
      </w:r>
      <w:r w:rsidRPr="000F4C13">
        <w:rPr>
          <w:rFonts w:eastAsia="Calibri" w:asciiTheme="majorHAnsi" w:hAnsiTheme="majorHAnsi" w:cstheme="majorHAnsi"/>
          <w:vertAlign w:val="superscript"/>
        </w:rPr>
        <w:footnoteReference w:id="123"/>
      </w:r>
      <w:r w:rsidRPr="000F4C13">
        <w:rPr>
          <w:rFonts w:eastAsia="Calibri" w:asciiTheme="majorHAnsi" w:hAnsiTheme="majorHAnsi" w:cstheme="majorHAnsi"/>
        </w:rPr>
        <w:t xml:space="preserve"> Marshall Fire Operational After-Action Report, designed to formally analyze the emergency response to the Marshall Fire incident, underscored the extreme scale and speed of catastrophic Wildland-Urban Interface (WUI) fires. For the Division of Insurance, the AAR's findings </w:t>
      </w:r>
      <w:r w:rsidR="001C3E49">
        <w:rPr>
          <w:rFonts w:eastAsia="Calibri" w:asciiTheme="majorHAnsi" w:hAnsiTheme="majorHAnsi" w:cstheme="majorHAnsi"/>
        </w:rPr>
        <w:t>underscore the need to develop market resilience strategies and to coordinate</w:t>
      </w:r>
      <w:r w:rsidRPr="000F4C13">
        <w:rPr>
          <w:rFonts w:eastAsia="Calibri" w:asciiTheme="majorHAnsi" w:hAnsiTheme="majorHAnsi" w:cstheme="majorHAnsi"/>
        </w:rPr>
        <w:t xml:space="preserve"> disaster planning between emergency services and the insurance sector.</w:t>
      </w:r>
    </w:p>
    <w:p w:rsidRPr="000F4C13" w:rsidR="00C96053" w:rsidRDefault="00B2522B" w14:paraId="6B06F0F9" w14:textId="4B53934B">
      <w:pPr>
        <w:jc w:val="both"/>
        <w:rPr>
          <w:rFonts w:eastAsia="Calibri" w:asciiTheme="majorHAnsi" w:hAnsiTheme="majorHAnsi" w:cstheme="majorHAnsi"/>
        </w:rPr>
      </w:pPr>
      <w:r w:rsidRPr="000F4C13">
        <w:rPr>
          <w:rFonts w:eastAsia="Calibri" w:asciiTheme="majorHAnsi" w:hAnsiTheme="majorHAnsi" w:cstheme="majorHAnsi"/>
        </w:rPr>
        <w:t xml:space="preserve">The DOI’s 2023 report on homeowners insurance availability highlighted trends in the Colorado market. The report, mandated by </w:t>
      </w:r>
      <w:hyperlink r:id="rId165">
        <w:r w:rsidRPr="000F4C13" w:rsidR="00C96053">
          <w:rPr>
            <w:rFonts w:eastAsia="Calibri" w:asciiTheme="majorHAnsi" w:hAnsiTheme="majorHAnsi" w:cstheme="majorHAnsi"/>
            <w:color w:val="1155CC"/>
            <w:u w:val="single"/>
          </w:rPr>
          <w:t>Senate Bill 22-206</w:t>
        </w:r>
      </w:hyperlink>
      <w:r w:rsidRPr="000F4C13">
        <w:rPr>
          <w:rFonts w:eastAsia="Calibri" w:asciiTheme="majorHAnsi" w:hAnsiTheme="majorHAnsi" w:cstheme="majorHAnsi"/>
        </w:rPr>
        <w:t>, analyzed the availability of coverage, premiums, and wildfire exposure. It revealed that the homeowners insurance loss ratio in Colorado averaged 78.6% between 2020 and 2024, a figure heavily influenced by severe catastrophe activity, which directly fueled sharp rate increases.</w:t>
      </w:r>
      <w:r w:rsidRPr="000F4C13">
        <w:rPr>
          <w:rFonts w:eastAsia="Calibri" w:asciiTheme="majorHAnsi" w:hAnsiTheme="majorHAnsi" w:cstheme="majorHAnsi"/>
          <w:vertAlign w:val="superscript"/>
        </w:rPr>
        <w:footnoteReference w:id="124"/>
      </w:r>
      <w:r w:rsidRPr="000F4C13">
        <w:rPr>
          <w:rFonts w:eastAsia="Calibri" w:asciiTheme="majorHAnsi" w:hAnsiTheme="majorHAnsi" w:cstheme="majorHAnsi"/>
        </w:rPr>
        <w:t xml:space="preserve"> The report supported </w:t>
      </w:r>
      <w:r w:rsidR="00303B43">
        <w:rPr>
          <w:rFonts w:eastAsia="Calibri" w:asciiTheme="majorHAnsi" w:hAnsiTheme="majorHAnsi" w:cstheme="majorHAnsi"/>
        </w:rPr>
        <w:t>establishing</w:t>
      </w:r>
      <w:r w:rsidRPr="000F4C13">
        <w:rPr>
          <w:rFonts w:eastAsia="Calibri" w:asciiTheme="majorHAnsi" w:hAnsiTheme="majorHAnsi" w:cstheme="majorHAnsi"/>
        </w:rPr>
        <w:t xml:space="preserve"> the Colorado FAIR Plan in 2023 as a market of last resort for those who can no longer obtain private coverage.</w:t>
      </w:r>
      <w:r w:rsidRPr="000F4C13">
        <w:rPr>
          <w:rFonts w:eastAsia="Calibri" w:asciiTheme="majorHAnsi" w:hAnsiTheme="majorHAnsi" w:cstheme="majorHAnsi"/>
          <w:vertAlign w:val="superscript"/>
        </w:rPr>
        <w:footnoteReference w:id="125"/>
      </w:r>
    </w:p>
    <w:p w:rsidRPr="000F4C13" w:rsidR="00C96053" w:rsidRDefault="00B2522B" w14:paraId="04576AB6" w14:textId="77777777">
      <w:pPr>
        <w:pStyle w:val="Heading4"/>
        <w:rPr>
          <w:rFonts w:asciiTheme="majorHAnsi" w:hAnsiTheme="majorHAnsi" w:cstheme="majorHAnsi"/>
        </w:rPr>
      </w:pPr>
      <w:bookmarkStart w:name="_flai0r1xo6ev" w:colFirst="0" w:colLast="0" w:id="121"/>
      <w:bookmarkEnd w:id="121"/>
      <w:r w:rsidRPr="000F4C13">
        <w:rPr>
          <w:rFonts w:asciiTheme="majorHAnsi" w:hAnsiTheme="majorHAnsi" w:cstheme="majorHAnsi"/>
        </w:rPr>
        <w:t>Data Collection</w:t>
      </w:r>
    </w:p>
    <w:p w:rsidRPr="000F4C13" w:rsidR="00C96053" w:rsidRDefault="00B2522B" w14:paraId="28A56B1C" w14:textId="7B48FBB6">
      <w:pPr>
        <w:spacing w:before="240" w:after="120"/>
        <w:jc w:val="both"/>
        <w:rPr>
          <w:rFonts w:eastAsia="Calibri" w:asciiTheme="majorHAnsi" w:hAnsiTheme="majorHAnsi" w:cstheme="majorHAnsi"/>
        </w:rPr>
      </w:pPr>
      <w:r w:rsidRPr="000F4C13">
        <w:rPr>
          <w:rFonts w:eastAsia="Calibri" w:asciiTheme="majorHAnsi" w:hAnsiTheme="majorHAnsi" w:cstheme="majorHAnsi"/>
        </w:rPr>
        <w:t>In recent years, the Division has undertaken a series of actions to improve its data collection methodology and collect more granular data</w:t>
      </w:r>
      <w:r w:rsidR="00303B43">
        <w:rPr>
          <w:rFonts w:eastAsia="Calibri" w:asciiTheme="majorHAnsi" w:hAnsiTheme="majorHAnsi" w:cstheme="majorHAnsi"/>
        </w:rPr>
        <w:t>, enabling</w:t>
      </w:r>
      <w:r w:rsidRPr="000F4C13">
        <w:rPr>
          <w:rFonts w:eastAsia="Calibri" w:asciiTheme="majorHAnsi" w:hAnsiTheme="majorHAnsi" w:cstheme="majorHAnsi"/>
        </w:rPr>
        <w:t xml:space="preserve"> more proactive regulatory oversight of insurer actions and pricing models. The Division of Insurance has collected insurer reports on key market indicators, including non-renewals, average premiums by ZIP code, new policies, and overall premium and loss metrics. </w:t>
      </w:r>
      <w:r w:rsidRPr="000F4C13" w:rsidR="00423890">
        <w:rPr>
          <w:rFonts w:eastAsia="Calibri" w:asciiTheme="majorHAnsi" w:hAnsiTheme="majorHAnsi" w:cstheme="majorHAnsi"/>
        </w:rPr>
        <w:t>This</w:t>
      </w:r>
      <w:r w:rsidRPr="000F4C13">
        <w:rPr>
          <w:rFonts w:eastAsia="Calibri" w:asciiTheme="majorHAnsi" w:hAnsiTheme="majorHAnsi" w:cstheme="majorHAnsi"/>
        </w:rPr>
        <w:t xml:space="preserve"> data </w:t>
      </w:r>
      <w:r w:rsidR="00303B43">
        <w:rPr>
          <w:rFonts w:eastAsia="Calibri" w:asciiTheme="majorHAnsi" w:hAnsiTheme="majorHAnsi" w:cstheme="majorHAnsi"/>
        </w:rPr>
        <w:t>has</w:t>
      </w:r>
      <w:r w:rsidRPr="000F4C13">
        <w:rPr>
          <w:rFonts w:eastAsia="Calibri" w:asciiTheme="majorHAnsi" w:hAnsiTheme="majorHAnsi" w:cstheme="majorHAnsi"/>
        </w:rPr>
        <w:t xml:space="preserve"> been used to help the Division review </w:t>
      </w:r>
      <w:r w:rsidR="00303B43">
        <w:rPr>
          <w:rFonts w:eastAsia="Calibri" w:asciiTheme="majorHAnsi" w:hAnsiTheme="majorHAnsi" w:cstheme="majorHAnsi"/>
        </w:rPr>
        <w:t>coverage trends and understand their impacts across</w:t>
      </w:r>
      <w:r w:rsidRPr="000F4C13">
        <w:rPr>
          <w:rFonts w:eastAsia="Calibri" w:asciiTheme="majorHAnsi" w:hAnsiTheme="majorHAnsi" w:cstheme="majorHAnsi"/>
        </w:rPr>
        <w:t xml:space="preserve"> different parts of the state. </w:t>
      </w:r>
    </w:p>
    <w:p w:rsidRPr="000F4C13" w:rsidR="00C96053" w:rsidRDefault="00B2522B" w14:paraId="6D0AE457" w14:textId="6250C3D9">
      <w:pPr>
        <w:spacing w:before="240" w:after="240"/>
        <w:jc w:val="both"/>
        <w:rPr>
          <w:rFonts w:eastAsia="Calibri" w:asciiTheme="majorHAnsi" w:hAnsiTheme="majorHAnsi" w:cstheme="majorHAnsi"/>
        </w:rPr>
      </w:pPr>
      <w:r w:rsidRPr="000F4C13">
        <w:rPr>
          <w:rFonts w:eastAsia="Calibri" w:asciiTheme="majorHAnsi" w:hAnsiTheme="majorHAnsi" w:cstheme="majorHAnsi"/>
        </w:rPr>
        <w:t xml:space="preserve">In addition,  Colorado has instituted comprehensive </w:t>
      </w:r>
      <w:r w:rsidR="00303B43">
        <w:rPr>
          <w:rFonts w:eastAsia="Calibri" w:asciiTheme="majorHAnsi" w:hAnsiTheme="majorHAnsi" w:cstheme="majorHAnsi"/>
        </w:rPr>
        <w:t>model-type</w:t>
      </w:r>
      <w:r w:rsidRPr="000F4C13">
        <w:rPr>
          <w:rFonts w:eastAsia="Calibri" w:asciiTheme="majorHAnsi" w:hAnsiTheme="majorHAnsi" w:cstheme="majorHAnsi"/>
        </w:rPr>
        <w:t xml:space="preserve"> questionnaires to scrutinize proprietary models, including those for Catastrophe Risk Scoring, Decision Trees, and Data Vendors, that drive rating and underwriting decisions. These questionnaires compel insurers and their vendors to detail model structures, underlying methodologies, data sources, and validation results as well as any discounts offered for mitigation and how they were accounted for in rating.</w:t>
      </w:r>
    </w:p>
    <w:p w:rsidRPr="000F4C13" w:rsidR="00C96053" w:rsidRDefault="00B2522B" w14:paraId="55E6CF45" w14:textId="77777777">
      <w:pPr>
        <w:pStyle w:val="Heading4"/>
        <w:rPr>
          <w:rFonts w:asciiTheme="majorHAnsi" w:hAnsiTheme="majorHAnsi" w:cstheme="majorHAnsi"/>
        </w:rPr>
      </w:pPr>
      <w:bookmarkStart w:name="_9vp3aegjk4ck" w:colFirst="0" w:colLast="0" w:id="122"/>
      <w:bookmarkEnd w:id="122"/>
      <w:r w:rsidRPr="000F4C13">
        <w:rPr>
          <w:rFonts w:asciiTheme="majorHAnsi" w:hAnsiTheme="majorHAnsi" w:cstheme="majorHAnsi"/>
        </w:rPr>
        <w:t>Strategies, Initiatives, and Resources</w:t>
      </w:r>
    </w:p>
    <w:p w:rsidRPr="000F4C13" w:rsidR="00C96053" w:rsidRDefault="00B2522B" w14:paraId="12AA790A" w14:textId="4F76555D">
      <w:pPr>
        <w:jc w:val="both"/>
        <w:rPr>
          <w:rFonts w:eastAsia="Calibri" w:asciiTheme="majorHAnsi" w:hAnsiTheme="majorHAnsi" w:cstheme="majorHAnsi"/>
        </w:rPr>
      </w:pPr>
      <w:r w:rsidRPr="000F4C13">
        <w:rPr>
          <w:rFonts w:eastAsia="Calibri" w:asciiTheme="majorHAnsi" w:hAnsiTheme="majorHAnsi" w:cstheme="majorHAnsi"/>
        </w:rPr>
        <w:t xml:space="preserve">Colorado has taken steps to improve coverage adequacy, availability, and transparency through a series of regulatory and legislative actions over the past five years, many initiated by findings from the 2020 East Troublesome and  2021 Marshall Fire. As explained above, studies undertaken in the aftermath of the latter fire found </w:t>
      </w:r>
      <w:r w:rsidR="00303B43">
        <w:rPr>
          <w:rFonts w:eastAsia="Calibri" w:asciiTheme="majorHAnsi" w:hAnsiTheme="majorHAnsi" w:cstheme="majorHAnsi"/>
        </w:rPr>
        <w:t xml:space="preserve">that </w:t>
      </w:r>
      <w:r w:rsidRPr="000F4C13">
        <w:rPr>
          <w:rFonts w:eastAsia="Calibri" w:asciiTheme="majorHAnsi" w:hAnsiTheme="majorHAnsi" w:cstheme="majorHAnsi"/>
        </w:rPr>
        <w:t xml:space="preserve">many homeowners were significantly underinsured. </w:t>
      </w:r>
    </w:p>
    <w:p w:rsidRPr="000F4C13" w:rsidR="00C96053" w:rsidRDefault="00B2522B" w14:paraId="30F2287C" w14:textId="4BA5471E">
      <w:pPr>
        <w:jc w:val="both"/>
        <w:rPr>
          <w:rFonts w:eastAsia="Calibri" w:asciiTheme="majorHAnsi" w:hAnsiTheme="majorHAnsi" w:cstheme="majorHAnsi"/>
        </w:rPr>
      </w:pPr>
      <w:r w:rsidRPr="000F4C13">
        <w:rPr>
          <w:rFonts w:eastAsia="Calibri" w:asciiTheme="majorHAnsi" w:hAnsiTheme="majorHAnsi" w:cstheme="majorHAnsi"/>
        </w:rPr>
        <w:t xml:space="preserve">HB23-1174 focused on addressing underinsurance </w:t>
      </w:r>
      <w:r w:rsidR="00303B43">
        <w:rPr>
          <w:rFonts w:eastAsia="Calibri" w:asciiTheme="majorHAnsi" w:hAnsiTheme="majorHAnsi" w:cstheme="majorHAnsi"/>
        </w:rPr>
        <w:t xml:space="preserve">and ensuring that consumers have the information they need </w:t>
      </w:r>
      <w:r w:rsidRPr="000F4C13">
        <w:rPr>
          <w:rFonts w:eastAsia="Calibri" w:asciiTheme="majorHAnsi" w:hAnsiTheme="majorHAnsi" w:cstheme="majorHAnsi"/>
        </w:rPr>
        <w:t xml:space="preserve">to understand their coverage needs. </w:t>
      </w:r>
      <w:r w:rsidRPr="000F4C13">
        <w:rPr>
          <w:rFonts w:eastAsia="Calibri" w:asciiTheme="majorHAnsi" w:hAnsiTheme="majorHAnsi" w:cstheme="majorHAnsi"/>
          <w:highlight w:val="white"/>
        </w:rPr>
        <w:t>The act identifies the factors an insurer must consider when determining their home reconstruction and requires insurers to disclose certain information regarding the replacement costs before issuing or renewing a homeowner's insurance policy.</w:t>
      </w:r>
      <w:r w:rsidRPr="000F4C13">
        <w:rPr>
          <w:rFonts w:eastAsia="Calibri" w:asciiTheme="majorHAnsi" w:hAnsiTheme="majorHAnsi" w:cstheme="majorHAnsi"/>
        </w:rPr>
        <w:t xml:space="preserve"> It created an Annual Reconstruction Report</w:t>
      </w:r>
      <w:r w:rsidR="00303B43">
        <w:rPr>
          <w:rFonts w:eastAsia="Calibri" w:asciiTheme="majorHAnsi" w:hAnsiTheme="majorHAnsi" w:cstheme="majorHAnsi"/>
        </w:rPr>
        <w:t xml:space="preserve"> intended to help consumers understand how construction costs can change regionally over time</w:t>
      </w:r>
      <w:r w:rsidRPr="000F4C13">
        <w:rPr>
          <w:rFonts w:eastAsia="Calibri" w:asciiTheme="majorHAnsi" w:hAnsiTheme="majorHAnsi" w:cstheme="majorHAnsi"/>
        </w:rPr>
        <w:t xml:space="preserve">. Regulations </w:t>
      </w:r>
      <w:r w:rsidR="00303B43">
        <w:rPr>
          <w:rFonts w:eastAsia="Calibri" w:asciiTheme="majorHAnsi" w:hAnsiTheme="majorHAnsi" w:cstheme="majorHAnsi"/>
        </w:rPr>
        <w:t>5-1-25</w:t>
      </w:r>
      <w:r w:rsidRPr="000F4C13">
        <w:rPr>
          <w:rFonts w:eastAsia="Calibri" w:asciiTheme="majorHAnsi" w:hAnsiTheme="majorHAnsi" w:cstheme="majorHAnsi"/>
        </w:rPr>
        <w:t xml:space="preserve"> and 5-1-26 were adopted to implement the statute.</w:t>
      </w:r>
    </w:p>
    <w:p w:rsidRPr="000F4C13" w:rsidR="00C96053" w:rsidRDefault="00B2522B" w14:paraId="5507EB32" w14:textId="698FFA7B">
      <w:pPr>
        <w:jc w:val="both"/>
        <w:rPr>
          <w:rFonts w:eastAsia="Calibri" w:asciiTheme="majorHAnsi" w:hAnsiTheme="majorHAnsi" w:cstheme="majorHAnsi"/>
        </w:rPr>
      </w:pPr>
      <w:r w:rsidRPr="000F4C13">
        <w:rPr>
          <w:rFonts w:eastAsia="Calibri" w:asciiTheme="majorHAnsi" w:hAnsiTheme="majorHAnsi" w:cstheme="majorHAnsi"/>
        </w:rPr>
        <w:t xml:space="preserve">In 2023, the Colorado legislature passed a bill (HB23-1288) creating the first new FAIR Plan in over twenty years. Funded by P&amp;C insurers, the FAIR Plan offers products with caps of $750,000 for homeowners and $5 million for commercial coverage. The FAIR Plan </w:t>
      </w:r>
      <w:r w:rsidR="00303B43">
        <w:rPr>
          <w:rFonts w:eastAsia="Calibri" w:asciiTheme="majorHAnsi" w:hAnsiTheme="majorHAnsi" w:cstheme="majorHAnsi"/>
        </w:rPr>
        <w:t>began offering</w:t>
      </w:r>
      <w:r w:rsidRPr="000F4C13">
        <w:rPr>
          <w:rFonts w:eastAsia="Calibri" w:asciiTheme="majorHAnsi" w:hAnsiTheme="majorHAnsi" w:cstheme="majorHAnsi"/>
        </w:rPr>
        <w:t xml:space="preserve"> coverage in the spring of 2025.</w:t>
      </w:r>
    </w:p>
    <w:p w:rsidRPr="000F4C13" w:rsidR="00C96053" w:rsidRDefault="00B2522B" w14:paraId="2BD6C850" w14:textId="77777777">
      <w:pPr>
        <w:jc w:val="both"/>
        <w:rPr>
          <w:rFonts w:eastAsia="Calibri" w:asciiTheme="majorHAnsi" w:hAnsiTheme="majorHAnsi" w:cstheme="majorHAnsi"/>
        </w:rPr>
      </w:pPr>
      <w:r w:rsidRPr="000F4C13">
        <w:rPr>
          <w:rFonts w:eastAsia="Calibri" w:asciiTheme="majorHAnsi" w:hAnsiTheme="majorHAnsi" w:cstheme="majorHAnsi"/>
        </w:rPr>
        <w:t xml:space="preserve">More recently, Colorado has undertaken efforts to improve the accuracy and transparency around insurers’ use of wildfire risk models.  Specifically, HB25-1182 requires: </w:t>
      </w:r>
    </w:p>
    <w:p w:rsidRPr="000F4C13" w:rsidR="00C96053" w:rsidP="0057045C" w:rsidRDefault="00B2522B" w14:paraId="69CF7529" w14:textId="77777777">
      <w:pPr>
        <w:widowControl w:val="0"/>
        <w:numPr>
          <w:ilvl w:val="0"/>
          <w:numId w:val="12"/>
        </w:numPr>
        <w:spacing w:before="240" w:after="0" w:line="276" w:lineRule="auto"/>
        <w:jc w:val="both"/>
        <w:rPr>
          <w:rFonts w:eastAsia="Calibri" w:asciiTheme="majorHAnsi" w:hAnsiTheme="majorHAnsi" w:cstheme="majorHAnsi"/>
        </w:rPr>
      </w:pPr>
      <w:r w:rsidRPr="000F4C13">
        <w:rPr>
          <w:rFonts w:eastAsia="Calibri" w:asciiTheme="majorHAnsi" w:hAnsiTheme="majorHAnsi" w:cstheme="majorHAnsi"/>
        </w:rPr>
        <w:t>Insurers factor in parcel specific and community mitigation actions when scoring a property’s wildfire risk</w:t>
      </w:r>
    </w:p>
    <w:p w:rsidRPr="000F4C13" w:rsidR="00C96053" w:rsidP="0057045C" w:rsidRDefault="00B2522B" w14:paraId="56CE8667" w14:textId="77777777">
      <w:pPr>
        <w:widowControl w:val="0"/>
        <w:numPr>
          <w:ilvl w:val="0"/>
          <w:numId w:val="12"/>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Insurers provide notice about  risk scores, pricing impacts, and how to lower risk to policyholders</w:t>
      </w:r>
    </w:p>
    <w:p w:rsidRPr="000F4C13" w:rsidR="00C96053" w:rsidP="0057045C" w:rsidRDefault="00B2522B" w14:paraId="4C06F575" w14:textId="77777777">
      <w:pPr>
        <w:widowControl w:val="0"/>
        <w:numPr>
          <w:ilvl w:val="0"/>
          <w:numId w:val="12"/>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A process for policyholders to appeal wildfire risk scores directly with insurers.</w:t>
      </w:r>
    </w:p>
    <w:p w:rsidRPr="000F4C13" w:rsidR="00C96053" w:rsidP="0057045C" w:rsidRDefault="00B2522B" w14:paraId="420373C1" w14:textId="77777777">
      <w:pPr>
        <w:widowControl w:val="0"/>
        <w:numPr>
          <w:ilvl w:val="0"/>
          <w:numId w:val="12"/>
        </w:numPr>
        <w:spacing w:after="240" w:line="276" w:lineRule="auto"/>
        <w:jc w:val="both"/>
        <w:rPr>
          <w:rFonts w:eastAsia="Calibri" w:asciiTheme="majorHAnsi" w:hAnsiTheme="majorHAnsi" w:cstheme="majorHAnsi"/>
        </w:rPr>
      </w:pPr>
      <w:r w:rsidRPr="000F4C13">
        <w:rPr>
          <w:rFonts w:eastAsia="Calibri" w:asciiTheme="majorHAnsi" w:hAnsiTheme="majorHAnsi" w:cstheme="majorHAnsi"/>
        </w:rPr>
        <w:t>Insurers publicly list available discounts for mitigation efforts</w:t>
      </w:r>
    </w:p>
    <w:p w:rsidRPr="000F4C13" w:rsidR="00C96053" w:rsidRDefault="00B2522B" w14:paraId="197C7C52" w14:textId="77777777">
      <w:pPr>
        <w:widowControl w:val="0"/>
        <w:spacing w:before="240" w:after="240"/>
        <w:jc w:val="both"/>
        <w:rPr>
          <w:rFonts w:eastAsia="Calibri" w:asciiTheme="majorHAnsi" w:hAnsiTheme="majorHAnsi" w:cstheme="majorHAnsi"/>
        </w:rPr>
      </w:pPr>
      <w:r w:rsidRPr="000F4C13">
        <w:rPr>
          <w:rFonts w:eastAsia="Calibri" w:asciiTheme="majorHAnsi" w:hAnsiTheme="majorHAnsi" w:cstheme="majorHAnsi"/>
        </w:rPr>
        <w:t xml:space="preserve">This is an important step in this information gap for key consumers, while also advancing transparency for regulators and consumers. </w:t>
      </w:r>
    </w:p>
    <w:p w:rsidRPr="000F4C13" w:rsidR="00C96053" w:rsidRDefault="00B2522B" w14:paraId="57BA1B06" w14:textId="1CE40B20">
      <w:pPr>
        <w:jc w:val="both"/>
        <w:rPr>
          <w:rFonts w:eastAsia="Calibri" w:asciiTheme="majorHAnsi" w:hAnsiTheme="majorHAnsi" w:cstheme="majorHAnsi"/>
        </w:rPr>
      </w:pPr>
      <w:r w:rsidRPr="000F4C13">
        <w:rPr>
          <w:rFonts w:eastAsia="Calibri" w:asciiTheme="majorHAnsi" w:hAnsiTheme="majorHAnsi" w:cstheme="majorHAnsi"/>
        </w:rPr>
        <w:t xml:space="preserve">While all these measures are critical steps, Colorado continues to explore options to address the affordability and availability issues facing Colorado consumers. In 2025, Colorado introduced legislation (HB25-1302) that would have established two programs to address availability and affordability issues. The first option would have been a Strengthen Colorado Homes program, providing </w:t>
      </w:r>
      <w:r w:rsidR="00645A89">
        <w:rPr>
          <w:rFonts w:eastAsia="Calibri" w:asciiTheme="majorHAnsi" w:hAnsiTheme="majorHAnsi" w:cstheme="majorHAnsi"/>
        </w:rPr>
        <w:t xml:space="preserve">homeowners with grants to fortify their homes, similar to programs </w:t>
      </w:r>
      <w:r w:rsidRPr="000F4C13">
        <w:rPr>
          <w:rFonts w:eastAsia="Calibri" w:asciiTheme="majorHAnsi" w:hAnsiTheme="majorHAnsi" w:cstheme="majorHAnsi"/>
        </w:rPr>
        <w:t xml:space="preserve">in several other states. The second program would create a Wildfire Catastrophic Reinsurance Program to stabilize high-risk areas. </w:t>
      </w:r>
    </w:p>
    <w:p w:rsidRPr="000F4C13" w:rsidR="00C96053" w:rsidRDefault="00B2522B" w14:paraId="19AB88BA" w14:textId="4E23070F">
      <w:pPr>
        <w:jc w:val="both"/>
        <w:rPr>
          <w:rFonts w:eastAsia="Calibri" w:asciiTheme="majorHAnsi" w:hAnsiTheme="majorHAnsi" w:cstheme="majorHAnsi"/>
          <w:color w:val="FF0000"/>
        </w:rPr>
      </w:pPr>
      <w:r w:rsidRPr="000F4C13">
        <w:rPr>
          <w:rFonts w:eastAsia="Calibri" w:asciiTheme="majorHAnsi" w:hAnsiTheme="majorHAnsi" w:cstheme="majorHAnsi"/>
        </w:rPr>
        <w:t xml:space="preserve">Finally, while not an insurance law, the Wildfire Resiliency Code Board created a baseline set of construction, defensible space, and vegetation management requirements for designated areas of the state. These new standards apply to new residential construction and to exterior renovations </w:t>
      </w:r>
      <w:r w:rsidR="00645A89">
        <w:rPr>
          <w:rFonts w:eastAsia="Calibri" w:asciiTheme="majorHAnsi" w:hAnsiTheme="majorHAnsi" w:cstheme="majorHAnsi"/>
        </w:rPr>
        <w:t xml:space="preserve">in which 25% or more of the exterior wall area is replaced, to address several components </w:t>
      </w:r>
      <w:r w:rsidRPr="000F4C13">
        <w:rPr>
          <w:rFonts w:eastAsia="Calibri" w:asciiTheme="majorHAnsi" w:hAnsiTheme="majorHAnsi" w:cstheme="majorHAnsi"/>
        </w:rPr>
        <w:t xml:space="preserve">known to reduce wildfire vulnerability. </w:t>
      </w:r>
    </w:p>
    <w:p w:rsidRPr="000F4C13" w:rsidR="00C96053" w:rsidRDefault="00B2522B" w14:paraId="64A90F5A" w14:textId="77777777">
      <w:pPr>
        <w:pStyle w:val="Heading4"/>
        <w:rPr>
          <w:rFonts w:asciiTheme="majorHAnsi" w:hAnsiTheme="majorHAnsi" w:cstheme="majorHAnsi"/>
        </w:rPr>
      </w:pPr>
      <w:bookmarkStart w:name="_j6snshho68f1" w:colFirst="0" w:colLast="0" w:id="123"/>
      <w:bookmarkEnd w:id="123"/>
      <w:r w:rsidRPr="000F4C13">
        <w:rPr>
          <w:rFonts w:asciiTheme="majorHAnsi" w:hAnsiTheme="majorHAnsi" w:cstheme="majorHAnsi"/>
        </w:rPr>
        <w:t>Consumer Outreach and Educational Materials:</w:t>
      </w:r>
    </w:p>
    <w:p w:rsidRPr="000F4C13" w:rsidR="00C96053" w:rsidRDefault="00B2522B" w14:paraId="44BEC9FC" w14:textId="2F095C35">
      <w:pPr>
        <w:jc w:val="both"/>
        <w:rPr>
          <w:rFonts w:eastAsia="Calibri" w:asciiTheme="majorHAnsi" w:hAnsiTheme="majorHAnsi" w:cstheme="majorHAnsi"/>
        </w:rPr>
      </w:pPr>
      <w:r w:rsidRPr="000F4C13">
        <w:rPr>
          <w:rFonts w:eastAsia="Calibri" w:asciiTheme="majorHAnsi" w:hAnsiTheme="majorHAnsi" w:cstheme="majorHAnsi"/>
        </w:rPr>
        <w:t>In addition to these legislative initiatives, the Division continues to build out its consumer resources. The Division created a</w:t>
      </w:r>
      <w:r w:rsidRPr="000F4C13">
        <w:rPr>
          <w:rFonts w:eastAsia="Calibri" w:asciiTheme="majorHAnsi" w:hAnsiTheme="majorHAnsi" w:cstheme="majorHAnsi"/>
          <w:color w:val="FF0000"/>
        </w:rPr>
        <w:t xml:space="preserve"> </w:t>
      </w:r>
      <w:hyperlink r:id="rId166">
        <w:r w:rsidRPr="000F4C13" w:rsidR="00C96053">
          <w:rPr>
            <w:rFonts w:eastAsia="Calibri" w:asciiTheme="majorHAnsi" w:hAnsiTheme="majorHAnsi" w:cstheme="majorHAnsi"/>
            <w:color w:val="1155CC"/>
            <w:u w:val="single"/>
          </w:rPr>
          <w:t>Homeowner and HOA Toolkit</w:t>
        </w:r>
      </w:hyperlink>
      <w:r w:rsidRPr="000F4C13">
        <w:rPr>
          <w:rFonts w:eastAsia="Calibri" w:asciiTheme="majorHAnsi" w:hAnsiTheme="majorHAnsi" w:cstheme="majorHAnsi"/>
        </w:rPr>
        <w:t xml:space="preserve">, </w:t>
      </w:r>
      <w:r w:rsidR="00A7478D">
        <w:rPr>
          <w:rFonts w:eastAsia="Calibri" w:asciiTheme="majorHAnsi" w:hAnsiTheme="majorHAnsi" w:cstheme="majorHAnsi"/>
        </w:rPr>
        <w:t>available</w:t>
      </w:r>
      <w:r w:rsidRPr="000F4C13">
        <w:rPr>
          <w:rFonts w:eastAsia="Calibri" w:asciiTheme="majorHAnsi" w:hAnsiTheme="majorHAnsi" w:cstheme="majorHAnsi"/>
        </w:rPr>
        <w:t xml:space="preserve"> on the Division’s website. This toolkit includes information </w:t>
      </w:r>
      <w:r w:rsidR="00A7478D">
        <w:rPr>
          <w:rFonts w:eastAsia="Calibri" w:asciiTheme="majorHAnsi" w:hAnsiTheme="majorHAnsi" w:cstheme="majorHAnsi"/>
        </w:rPr>
        <w:t>on premiums, underwriting, coverage options, and other general topics related to</w:t>
      </w:r>
      <w:r w:rsidRPr="000F4C13">
        <w:rPr>
          <w:rFonts w:eastAsia="Calibri" w:asciiTheme="majorHAnsi" w:hAnsiTheme="majorHAnsi" w:cstheme="majorHAnsi"/>
        </w:rPr>
        <w:t xml:space="preserve"> homeowners and homeowner associations.</w:t>
      </w:r>
    </w:p>
    <w:p w:rsidRPr="000F4C13" w:rsidR="00C96053" w:rsidRDefault="00B2522B" w14:paraId="66579DAA" w14:textId="77777777">
      <w:pPr>
        <w:pStyle w:val="Heading4"/>
        <w:rPr>
          <w:rFonts w:asciiTheme="majorHAnsi" w:hAnsiTheme="majorHAnsi" w:cstheme="majorHAnsi"/>
        </w:rPr>
      </w:pPr>
      <w:bookmarkStart w:name="_nlro2w18kzx7" w:colFirst="0" w:colLast="0" w:id="124"/>
      <w:bookmarkEnd w:id="124"/>
      <w:r w:rsidRPr="000F4C13">
        <w:rPr>
          <w:rFonts w:asciiTheme="majorHAnsi" w:hAnsiTheme="majorHAnsi" w:cstheme="majorHAnsi"/>
        </w:rPr>
        <w:t>Partnerships</w:t>
      </w:r>
    </w:p>
    <w:p w:rsidRPr="000F4C13" w:rsidR="00C96053" w:rsidRDefault="00B2522B" w14:paraId="4A4869C9" w14:textId="77777777">
      <w:pPr>
        <w:jc w:val="both"/>
        <w:rPr>
          <w:rFonts w:eastAsia="Calibri" w:asciiTheme="majorHAnsi" w:hAnsiTheme="majorHAnsi" w:cstheme="majorHAnsi"/>
        </w:rPr>
      </w:pPr>
      <w:r w:rsidRPr="000F4C13">
        <w:rPr>
          <w:rFonts w:eastAsia="Calibri" w:asciiTheme="majorHAnsi" w:hAnsiTheme="majorHAnsi" w:cstheme="majorHAnsi"/>
        </w:rPr>
        <w:t xml:space="preserve">The Division is actively engaged in several cross-agency partnerships. It works with the Colorado Division of Homeland Security and Emergency Management regarding wildfire risk, the larger Department of Public Safety for overall public risk and emergency protocol, with the Department of Public Health and Environment on post-fire home safety, the Department of Revenue for post-fire tax details for consumers, and various other Divisions in the Department of Regulatory Agencies in terms of emerging trends and innovations that aid consumer protection efforts. </w:t>
      </w:r>
    </w:p>
    <w:p w:rsidRPr="000F4C13" w:rsidR="00C96053" w:rsidRDefault="00B2522B" w14:paraId="570F147E" w14:textId="20902833">
      <w:pPr>
        <w:jc w:val="both"/>
        <w:rPr>
          <w:rFonts w:eastAsia="Calibri" w:asciiTheme="majorHAnsi" w:hAnsiTheme="majorHAnsi" w:cstheme="majorHAnsi"/>
          <w:b/>
          <w:bCs/>
        </w:rPr>
      </w:pPr>
      <w:r w:rsidRPr="000F4C13">
        <w:rPr>
          <w:rFonts w:eastAsia="Calibri" w:asciiTheme="majorHAnsi" w:hAnsiTheme="majorHAnsi" w:cstheme="majorHAnsi"/>
        </w:rPr>
        <w:t xml:space="preserve">Further, there are several </w:t>
      </w:r>
      <w:r w:rsidR="00A7478D">
        <w:rPr>
          <w:rFonts w:eastAsia="Calibri" w:asciiTheme="majorHAnsi" w:hAnsiTheme="majorHAnsi" w:cstheme="majorHAnsi"/>
        </w:rPr>
        <w:t>community-level</w:t>
      </w:r>
      <w:r w:rsidRPr="000F4C13">
        <w:rPr>
          <w:rFonts w:eastAsia="Calibri" w:asciiTheme="majorHAnsi" w:hAnsiTheme="majorHAnsi" w:cstheme="majorHAnsi"/>
        </w:rPr>
        <w:t xml:space="preserve"> programs across the state. Wildfire Partners, originating in Boulder County, provides expert home assessments, retrofit suggestions, and mitigation certification. Certified homes may </w:t>
      </w:r>
      <w:r w:rsidR="00A7478D">
        <w:rPr>
          <w:rFonts w:eastAsia="Calibri" w:asciiTheme="majorHAnsi" w:hAnsiTheme="majorHAnsi" w:cstheme="majorHAnsi"/>
        </w:rPr>
        <w:t>be eligible for</w:t>
      </w:r>
      <w:r w:rsidRPr="000F4C13">
        <w:rPr>
          <w:rFonts w:eastAsia="Calibri" w:asciiTheme="majorHAnsi" w:hAnsiTheme="majorHAnsi" w:cstheme="majorHAnsi"/>
        </w:rPr>
        <w:t xml:space="preserve"> insurance benefits, and the initiative has expanded to other counties with regulatory and grant support. Firewise USA, a voluntary program developed by the National Fire Protection Association (NFPA)</w:t>
      </w:r>
      <w:r w:rsidR="00A7478D">
        <w:rPr>
          <w:rFonts w:eastAsia="Calibri" w:asciiTheme="majorHAnsi" w:hAnsiTheme="majorHAnsi" w:cstheme="majorHAnsi"/>
        </w:rPr>
        <w:t>, provides guidance to both individual homeowners and</w:t>
      </w:r>
      <w:r w:rsidRPr="000F4C13">
        <w:rPr>
          <w:rFonts w:eastAsia="Calibri" w:asciiTheme="majorHAnsi" w:hAnsiTheme="majorHAnsi" w:cstheme="majorHAnsi"/>
        </w:rPr>
        <w:t xml:space="preserve"> local communities on mitigation efforts to prepare homes and neighborhoods to withstand wildfires. Communities annually invest in both educational and wildfire </w:t>
      </w:r>
      <w:r w:rsidR="00C675FB">
        <w:rPr>
          <w:rFonts w:eastAsia="Calibri" w:asciiTheme="majorHAnsi" w:hAnsiTheme="majorHAnsi" w:cstheme="majorHAnsi"/>
        </w:rPr>
        <w:t>risk-reduction actions to become or remain a Firewise USA-recognized</w:t>
      </w:r>
      <w:r w:rsidRPr="000F4C13">
        <w:rPr>
          <w:rFonts w:eastAsia="Calibri" w:asciiTheme="majorHAnsi" w:hAnsiTheme="majorHAnsi" w:cstheme="majorHAnsi"/>
        </w:rPr>
        <w:t xml:space="preserve"> site. Fire Adapted Colorado, an independent nonprofit, is dedicated to supporting Colorado wildland fire mitigation professionals</w:t>
      </w:r>
      <w:r w:rsidR="00C675FB">
        <w:rPr>
          <w:rFonts w:eastAsia="Calibri" w:asciiTheme="majorHAnsi" w:hAnsiTheme="majorHAnsi" w:cstheme="majorHAnsi"/>
        </w:rPr>
        <w:t>, including wildfire councils, fire departments and districts, and local governments,</w:t>
      </w:r>
      <w:r w:rsidRPr="000F4C13">
        <w:rPr>
          <w:rFonts w:eastAsia="Calibri" w:asciiTheme="majorHAnsi" w:hAnsiTheme="majorHAnsi" w:cstheme="majorHAnsi"/>
        </w:rPr>
        <w:t xml:space="preserve"> working towards fire adaptation.</w:t>
      </w:r>
    </w:p>
    <w:p w:rsidRPr="000F4C13" w:rsidR="00C96053" w:rsidRDefault="00B2522B" w14:paraId="789202C2" w14:textId="77777777">
      <w:pPr>
        <w:pStyle w:val="Heading3"/>
        <w:rPr>
          <w:rFonts w:asciiTheme="majorHAnsi" w:hAnsiTheme="majorHAnsi" w:cstheme="majorHAnsi"/>
        </w:rPr>
      </w:pPr>
      <w:bookmarkStart w:name="_ntnmhtj5kbxl" w:colFirst="0" w:colLast="0" w:id="125"/>
      <w:bookmarkEnd w:id="125"/>
      <w:r w:rsidRPr="000F4C13">
        <w:rPr>
          <w:rFonts w:asciiTheme="majorHAnsi" w:hAnsiTheme="majorHAnsi" w:cstheme="majorHAnsi"/>
        </w:rPr>
        <w:t>Washington</w:t>
      </w:r>
    </w:p>
    <w:p w:rsidRPr="000F4C13" w:rsidR="00C57CDA" w:rsidP="00446835" w:rsidRDefault="00C57CDA" w14:paraId="76423773" w14:textId="7BA2EAE2">
      <w:pPr>
        <w:pStyle w:val="Heading4"/>
        <w:rPr>
          <w:rFonts w:asciiTheme="majorHAnsi" w:hAnsiTheme="majorHAnsi" w:cstheme="majorHAnsi"/>
        </w:rPr>
      </w:pPr>
      <w:r w:rsidRPr="000F4C13">
        <w:rPr>
          <w:rFonts w:asciiTheme="majorHAnsi" w:hAnsiTheme="majorHAnsi" w:cstheme="majorHAnsi"/>
        </w:rPr>
        <w:t>Introduction</w:t>
      </w:r>
    </w:p>
    <w:p w:rsidRPr="000F4C13" w:rsidR="00C96053" w:rsidP="00172E51" w:rsidRDefault="0080166F" w14:paraId="0FDDF70F" w14:textId="4D5AD67C">
      <w:pPr>
        <w:jc w:val="both"/>
        <w:rPr>
          <w:rFonts w:asciiTheme="majorHAnsi" w:hAnsiTheme="majorHAnsi" w:cstheme="majorHAnsi"/>
        </w:rPr>
      </w:pPr>
      <w:r w:rsidRPr="000F4C13">
        <w:rPr>
          <w:rFonts w:asciiTheme="majorHAnsi" w:hAnsiTheme="majorHAnsi" w:cstheme="majorHAnsi"/>
        </w:rPr>
        <w:t>Washington</w:t>
      </w:r>
      <w:r w:rsidRPr="000F4C13" w:rsidR="00C07F8A">
        <w:rPr>
          <w:rFonts w:asciiTheme="majorHAnsi" w:hAnsiTheme="majorHAnsi" w:cstheme="majorHAnsi"/>
        </w:rPr>
        <w:t xml:space="preserve">’s </w:t>
      </w:r>
      <w:r w:rsidRPr="000F4C13">
        <w:rPr>
          <w:rFonts w:asciiTheme="majorHAnsi" w:hAnsiTheme="majorHAnsi" w:cstheme="majorHAnsi"/>
        </w:rPr>
        <w:t>wildfire risk</w:t>
      </w:r>
      <w:r w:rsidRPr="000F4C13" w:rsidR="00C07F8A">
        <w:rPr>
          <w:rFonts w:asciiTheme="majorHAnsi" w:hAnsiTheme="majorHAnsi" w:cstheme="majorHAnsi"/>
        </w:rPr>
        <w:t xml:space="preserve"> </w:t>
      </w:r>
      <w:r w:rsidRPr="000F4C13">
        <w:rPr>
          <w:rFonts w:asciiTheme="majorHAnsi" w:hAnsiTheme="majorHAnsi" w:cstheme="majorHAnsi"/>
        </w:rPr>
        <w:t xml:space="preserve">hazard levels exceed those in many other U.S. states. While wildfires have traditionally been more prevalent in Eastern Washington, </w:t>
      </w:r>
      <w:r w:rsidRPr="000F4C13" w:rsidR="0057045C">
        <w:rPr>
          <w:rFonts w:asciiTheme="majorHAnsi" w:hAnsiTheme="majorHAnsi" w:cstheme="majorHAnsi"/>
        </w:rPr>
        <w:t xml:space="preserve">they are increasing </w:t>
      </w:r>
      <w:r w:rsidRPr="000F4C13">
        <w:rPr>
          <w:rFonts w:asciiTheme="majorHAnsi" w:hAnsiTheme="majorHAnsi" w:cstheme="majorHAnsi"/>
        </w:rPr>
        <w:t xml:space="preserve">in Western Washington, which now represents approximately 40% of the state's fire-affected land. Wildfire risk is influencing the homeowners insurance market in Washington, resulting in higher premiums, more non-renewals, and challenges in obtaining new coverage, especially in wildland-urban interface (WUI) areas. The Washington State Office of the Insurance Commissioner </w:t>
      </w:r>
      <w:r w:rsidRPr="000F4C13" w:rsidR="00446835">
        <w:rPr>
          <w:rFonts w:asciiTheme="majorHAnsi" w:hAnsiTheme="majorHAnsi" w:cstheme="majorHAnsi"/>
        </w:rPr>
        <w:t xml:space="preserve">(OIC) </w:t>
      </w:r>
      <w:r w:rsidRPr="000F4C13">
        <w:rPr>
          <w:rFonts w:asciiTheme="majorHAnsi" w:hAnsiTheme="majorHAnsi" w:cstheme="majorHAnsi"/>
        </w:rPr>
        <w:t xml:space="preserve">has reported an increase in complaints regarding wildfire-related insurance policy actions. Additionally, in some cases, the cost to rebuild homes </w:t>
      </w:r>
      <w:r w:rsidR="00C675FB">
        <w:rPr>
          <w:rFonts w:asciiTheme="majorHAnsi" w:hAnsiTheme="majorHAnsi" w:cstheme="majorHAnsi"/>
        </w:rPr>
        <w:t xml:space="preserve">exceeds the coverage provided by current insurance policy limits, leaving homeowners </w:t>
      </w:r>
      <w:r w:rsidRPr="000F4C13">
        <w:rPr>
          <w:rFonts w:asciiTheme="majorHAnsi" w:hAnsiTheme="majorHAnsi" w:cstheme="majorHAnsi"/>
        </w:rPr>
        <w:t>underinsured.</w:t>
      </w:r>
    </w:p>
    <w:p w:rsidRPr="000F4C13" w:rsidR="001D4308" w:rsidP="001D4308" w:rsidRDefault="001D4308" w14:paraId="260DA06A" w14:textId="77777777">
      <w:pPr>
        <w:pStyle w:val="Heading4"/>
        <w:rPr>
          <w:rFonts w:asciiTheme="majorHAnsi" w:hAnsiTheme="majorHAnsi" w:cstheme="majorHAnsi"/>
        </w:rPr>
      </w:pPr>
      <w:bookmarkStart w:name="_gutzql4t9845" w:colFirst="0" w:colLast="0" w:id="126"/>
      <w:bookmarkEnd w:id="126"/>
      <w:r w:rsidRPr="000F4C13">
        <w:rPr>
          <w:rFonts w:asciiTheme="majorHAnsi" w:hAnsiTheme="majorHAnsi" w:cstheme="majorHAnsi"/>
        </w:rPr>
        <w:t>Reports</w:t>
      </w:r>
    </w:p>
    <w:p w:rsidRPr="000F4C13" w:rsidR="001D4308" w:rsidP="00C47D4D" w:rsidRDefault="001D4308" w14:paraId="73CFDA8C" w14:textId="52EE1ACA">
      <w:pPr>
        <w:spacing w:before="240"/>
        <w:jc w:val="both"/>
        <w:rPr>
          <w:rFonts w:asciiTheme="majorHAnsi" w:hAnsiTheme="majorHAnsi" w:cstheme="majorHAnsi"/>
          <w:bCs/>
        </w:rPr>
      </w:pPr>
      <w:r w:rsidRPr="000F4C13">
        <w:rPr>
          <w:rFonts w:asciiTheme="majorHAnsi" w:hAnsiTheme="majorHAnsi" w:cstheme="majorHAnsi"/>
          <w:bCs/>
        </w:rPr>
        <w:t xml:space="preserve">The 2025 </w:t>
      </w:r>
      <w:hyperlink w:history="1" r:id="rId167">
        <w:r w:rsidRPr="000F4C13">
          <w:rPr>
            <w:rStyle w:val="Hyperlink"/>
            <w:rFonts w:asciiTheme="majorHAnsi" w:hAnsiTheme="majorHAnsi" w:cstheme="majorHAnsi"/>
            <w:bCs/>
            <w:color w:val="0000BF" w:themeColor="hyperlink" w:themeShade="BF"/>
          </w:rPr>
          <w:t>Wildfire Mitigation and Resiliency Standards Work Group</w:t>
        </w:r>
      </w:hyperlink>
      <w:r w:rsidRPr="000F4C13">
        <w:rPr>
          <w:rFonts w:asciiTheme="majorHAnsi" w:hAnsiTheme="majorHAnsi" w:cstheme="majorHAnsi"/>
          <w:bCs/>
        </w:rPr>
        <w:t xml:space="preserve"> (</w:t>
      </w:r>
      <w:hyperlink w:history="1" r:id="rId168">
        <w:r w:rsidRPr="000F4C13">
          <w:rPr>
            <w:rStyle w:val="Hyperlink"/>
            <w:rFonts w:asciiTheme="majorHAnsi" w:hAnsiTheme="majorHAnsi" w:cstheme="majorHAnsi"/>
            <w:bCs/>
          </w:rPr>
          <w:t>HB 1539</w:t>
        </w:r>
      </w:hyperlink>
      <w:r w:rsidRPr="000F4C13">
        <w:rPr>
          <w:rFonts w:asciiTheme="majorHAnsi" w:hAnsiTheme="majorHAnsi" w:cstheme="majorHAnsi"/>
          <w:bCs/>
        </w:rPr>
        <w:t xml:space="preserve">) studied and made recommendations to the Legislature on wildfire mitigation and resiliency standards. The work group reached </w:t>
      </w:r>
      <w:r w:rsidR="00B70062">
        <w:rPr>
          <w:rFonts w:asciiTheme="majorHAnsi" w:hAnsiTheme="majorHAnsi" w:cstheme="majorHAnsi"/>
          <w:bCs/>
        </w:rPr>
        <w:t xml:space="preserve">the </w:t>
      </w:r>
      <w:r w:rsidRPr="000F4C13">
        <w:rPr>
          <w:rFonts w:asciiTheme="majorHAnsi" w:hAnsiTheme="majorHAnsi" w:cstheme="majorHAnsi"/>
          <w:bCs/>
        </w:rPr>
        <w:t xml:space="preserve">strongest consensus in two key areas: the need for a voluntary state-supported grant program to assist homeowners in retrofitting properties to improve access to insurance and resist wildfire loss in tandem with continued and expanded investment in community-level mitigation. Members agreed that measurable, science-based wildfire mitigation practices supported by public investment would be critical to reducing wildfire-related insurance nonrenewals and cancellations in Washington’s residential market. The areas of study and recommendations focused on: the development and alignment of wildfire property mitigation standards with nationally recognized, science-based standards; enhancing wildfire mitigation at the community level; sharing data between appropriate state agencies and the insurance industry regarding successful implementation of wildfire mitigation efforts; improving transparency for consumers regarding wildfire hazard and risk; and establishing a homeowner grant program for purposes such as retrofitting and evaluations, in service to decreasing insurance nonrenewals. The report and additional materials can be found on their work group </w:t>
      </w:r>
      <w:hyperlink w:history="1" r:id="rId169">
        <w:r w:rsidRPr="000F4C13">
          <w:rPr>
            <w:rStyle w:val="Hyperlink"/>
            <w:rFonts w:asciiTheme="majorHAnsi" w:hAnsiTheme="majorHAnsi" w:cstheme="majorHAnsi"/>
            <w:bCs/>
          </w:rPr>
          <w:t>website</w:t>
        </w:r>
      </w:hyperlink>
      <w:r w:rsidRPr="000F4C13">
        <w:rPr>
          <w:rFonts w:asciiTheme="majorHAnsi" w:hAnsiTheme="majorHAnsi" w:cstheme="majorHAnsi"/>
          <w:bCs/>
        </w:rPr>
        <w:t xml:space="preserve">. </w:t>
      </w:r>
    </w:p>
    <w:p w:rsidRPr="000F4C13" w:rsidR="001D4308" w:rsidP="00C47D4D" w:rsidRDefault="001D4308" w14:paraId="0800171D" w14:textId="15F66E20">
      <w:pPr>
        <w:jc w:val="both"/>
        <w:rPr>
          <w:rFonts w:asciiTheme="majorHAnsi" w:hAnsiTheme="majorHAnsi" w:cstheme="majorHAnsi"/>
        </w:rPr>
      </w:pPr>
      <w:r w:rsidRPr="000F4C13">
        <w:rPr>
          <w:rFonts w:asciiTheme="majorHAnsi" w:hAnsiTheme="majorHAnsi" w:cstheme="majorHAnsi"/>
        </w:rPr>
        <w:t xml:space="preserve">The Community Fire Resilience Workgroup 2025 </w:t>
      </w:r>
      <w:hyperlink w:history="1" r:id="rId170">
        <w:r w:rsidRPr="000F4C13">
          <w:rPr>
            <w:rStyle w:val="Hyperlink"/>
            <w:rFonts w:asciiTheme="majorHAnsi" w:hAnsiTheme="majorHAnsi" w:cstheme="majorHAnsi"/>
          </w:rPr>
          <w:t>report</w:t>
        </w:r>
      </w:hyperlink>
      <w:r w:rsidRPr="000F4C13">
        <w:rPr>
          <w:rFonts w:asciiTheme="majorHAnsi" w:hAnsiTheme="majorHAnsi" w:cstheme="majorHAnsi"/>
        </w:rPr>
        <w:t xml:space="preserve"> conducted a 5-year review of the Washington State </w:t>
      </w:r>
      <w:hyperlink w:history="1" r:id="rId171">
        <w:r w:rsidRPr="000F4C13">
          <w:rPr>
            <w:rStyle w:val="Hyperlink"/>
            <w:rFonts w:asciiTheme="majorHAnsi" w:hAnsiTheme="majorHAnsi" w:cstheme="majorHAnsi"/>
          </w:rPr>
          <w:t>Wildland Fire Protection Strategic Plan</w:t>
        </w:r>
      </w:hyperlink>
      <w:r w:rsidRPr="000F4C13">
        <w:rPr>
          <w:rFonts w:asciiTheme="majorHAnsi" w:hAnsiTheme="majorHAnsi" w:cstheme="majorHAnsi"/>
        </w:rPr>
        <w:t xml:space="preserve">. The report finds that without investment </w:t>
      </w:r>
      <w:r w:rsidR="00B70062">
        <w:rPr>
          <w:rFonts w:asciiTheme="majorHAnsi" w:hAnsiTheme="majorHAnsi" w:cstheme="majorHAnsi"/>
        </w:rPr>
        <w:t>in and development of more effective risk-mitigation systems, Washington will see increased direct impacts on</w:t>
      </w:r>
      <w:r w:rsidRPr="000F4C13">
        <w:rPr>
          <w:rFonts w:asciiTheme="majorHAnsi" w:hAnsiTheme="majorHAnsi" w:cstheme="majorHAnsi"/>
        </w:rPr>
        <w:t xml:space="preserve"> communities and an expanding insurance crisis. An ongoing challenge is that wind-driven fires are difficult to suppress and </w:t>
      </w:r>
      <w:r w:rsidR="00B70062">
        <w:rPr>
          <w:rFonts w:asciiTheme="majorHAnsi" w:hAnsiTheme="majorHAnsi" w:cstheme="majorHAnsi"/>
        </w:rPr>
        <w:t>exhibit fire behavior that results in the greatest number of structures being</w:t>
      </w:r>
      <w:r w:rsidRPr="000F4C13">
        <w:rPr>
          <w:rFonts w:asciiTheme="majorHAnsi" w:hAnsiTheme="majorHAnsi" w:cstheme="majorHAnsi"/>
        </w:rPr>
        <w:t xml:space="preserve"> destroyed. </w:t>
      </w:r>
    </w:p>
    <w:p w:rsidRPr="000F4C13" w:rsidR="001D4308" w:rsidP="00C47D4D" w:rsidRDefault="001D4308" w14:paraId="06835688" w14:textId="16166326">
      <w:pPr>
        <w:spacing w:before="240" w:after="0"/>
        <w:jc w:val="both"/>
        <w:rPr>
          <w:rFonts w:asciiTheme="majorHAnsi" w:hAnsiTheme="majorHAnsi" w:cstheme="majorHAnsi"/>
        </w:rPr>
      </w:pPr>
      <w:r w:rsidRPr="000F4C13">
        <w:rPr>
          <w:rFonts w:asciiTheme="majorHAnsi" w:hAnsiTheme="majorHAnsi" w:cstheme="majorHAnsi"/>
        </w:rPr>
        <w:t xml:space="preserve">The Disaster Resiliency Work Group 2020 </w:t>
      </w:r>
      <w:hyperlink w:history="1" r:id="rId172">
        <w:r w:rsidRPr="000F4C13">
          <w:rPr>
            <w:rStyle w:val="Hyperlink"/>
            <w:rFonts w:asciiTheme="majorHAnsi" w:hAnsiTheme="majorHAnsi" w:cstheme="majorHAnsi"/>
          </w:rPr>
          <w:t>report</w:t>
        </w:r>
      </w:hyperlink>
      <w:r w:rsidRPr="000F4C13">
        <w:rPr>
          <w:rFonts w:asciiTheme="majorHAnsi" w:hAnsiTheme="majorHAnsi" w:cstheme="majorHAnsi"/>
        </w:rPr>
        <w:t xml:space="preserve"> recommended improved coordination on climate risks, a possible resilience office, and insurance incentives for mitigation. The report also recommended that Washington “develop economic incentives for resiliency activities such as partnering with the Insurance Institute for Business &amp; Home Safety to develop a program in Washington to have certified </w:t>
      </w:r>
      <w:r w:rsidR="00B70062">
        <w:rPr>
          <w:rFonts w:asciiTheme="majorHAnsi" w:hAnsiTheme="majorHAnsi" w:cstheme="majorHAnsi"/>
        </w:rPr>
        <w:t>'</w:t>
      </w:r>
      <w:r w:rsidR="005F360C">
        <w:rPr>
          <w:rFonts w:asciiTheme="majorHAnsi" w:hAnsiTheme="majorHAnsi" w:cstheme="majorHAnsi"/>
        </w:rPr>
        <w:t>FORTIFIED</w:t>
      </w:r>
      <w:r w:rsidR="00B70062">
        <w:rPr>
          <w:rFonts w:asciiTheme="majorHAnsi" w:hAnsiTheme="majorHAnsi" w:cstheme="majorHAnsi"/>
        </w:rPr>
        <w:t>'</w:t>
      </w:r>
      <w:r w:rsidRPr="000F4C13">
        <w:rPr>
          <w:rFonts w:asciiTheme="majorHAnsi" w:hAnsiTheme="majorHAnsi" w:cstheme="majorHAnsi"/>
        </w:rPr>
        <w:t xml:space="preserve"> dwellings that may qualify for an insurance rate decrease.” </w:t>
      </w:r>
    </w:p>
    <w:p w:rsidRPr="000F4C13" w:rsidR="001D4308" w:rsidP="001D4308" w:rsidRDefault="001D4308" w14:paraId="779B4C36" w14:textId="77777777">
      <w:pPr>
        <w:pStyle w:val="Heading4"/>
        <w:rPr>
          <w:rStyle w:val="Heading4Char"/>
          <w:rFonts w:asciiTheme="majorHAnsi" w:hAnsiTheme="majorHAnsi" w:cstheme="majorHAnsi"/>
          <w:i/>
          <w:iCs/>
        </w:rPr>
      </w:pPr>
      <w:r w:rsidRPr="000F4C13">
        <w:rPr>
          <w:rFonts w:asciiTheme="majorHAnsi" w:hAnsiTheme="majorHAnsi" w:cstheme="majorHAnsi"/>
        </w:rPr>
        <w:t>Data Collection</w:t>
      </w:r>
    </w:p>
    <w:p w:rsidRPr="000F4C13" w:rsidR="001D4308" w:rsidP="00C47D4D" w:rsidRDefault="001D4308" w14:paraId="1BC7A549" w14:textId="73E65EFA">
      <w:pPr>
        <w:spacing w:before="240"/>
        <w:jc w:val="both"/>
        <w:rPr>
          <w:rFonts w:asciiTheme="majorHAnsi" w:hAnsiTheme="majorHAnsi" w:cstheme="majorHAnsi"/>
        </w:rPr>
      </w:pPr>
      <w:r w:rsidRPr="000F4C13">
        <w:rPr>
          <w:rFonts w:asciiTheme="majorHAnsi" w:hAnsiTheme="majorHAnsi" w:cstheme="majorHAnsi"/>
        </w:rPr>
        <w:t>In 2024</w:t>
      </w:r>
      <w:r w:rsidR="005B49C9">
        <w:rPr>
          <w:rFonts w:asciiTheme="majorHAnsi" w:hAnsiTheme="majorHAnsi" w:cstheme="majorHAnsi"/>
        </w:rPr>
        <w:t>,</w:t>
      </w:r>
      <w:r w:rsidRPr="000F4C13">
        <w:rPr>
          <w:rFonts w:asciiTheme="majorHAnsi" w:hAnsiTheme="majorHAnsi" w:cstheme="majorHAnsi"/>
        </w:rPr>
        <w:t xml:space="preserve"> the OIC began collecting </w:t>
      </w:r>
      <w:hyperlink w:history="1" r:id="rId173">
        <w:r w:rsidRPr="000F4C13">
          <w:rPr>
            <w:rStyle w:val="Hyperlink"/>
            <w:rFonts w:asciiTheme="majorHAnsi" w:hAnsiTheme="majorHAnsi" w:cstheme="majorHAnsi"/>
          </w:rPr>
          <w:t>annual insurer non-renewal and cancellation data</w:t>
        </w:r>
      </w:hyperlink>
      <w:r w:rsidRPr="000F4C13">
        <w:rPr>
          <w:rFonts w:asciiTheme="majorHAnsi" w:hAnsiTheme="majorHAnsi" w:cstheme="majorHAnsi"/>
        </w:rPr>
        <w:t xml:space="preserve">, including wildfire-related reasons, to track insurance market changes at the individual property level. This allows the Commissioner to focus public awareness campaigns and future mitigation efforts on these most impacted areas. The OIC also gathers claims data after disasters, such as the 2023 Washington Gray and Oregon Road wildfires and the 2025 December Atmospheric River events. </w:t>
      </w:r>
    </w:p>
    <w:p w:rsidRPr="000F4C13" w:rsidR="001D4308" w:rsidP="001D4308" w:rsidRDefault="001D4308" w14:paraId="551CAA20" w14:textId="77777777">
      <w:pPr>
        <w:pStyle w:val="Heading4"/>
        <w:rPr>
          <w:rFonts w:asciiTheme="majorHAnsi" w:hAnsiTheme="majorHAnsi" w:cstheme="majorHAnsi"/>
        </w:rPr>
      </w:pPr>
      <w:r w:rsidRPr="000F4C13">
        <w:rPr>
          <w:rFonts w:asciiTheme="majorHAnsi" w:hAnsiTheme="majorHAnsi" w:cstheme="majorHAnsi"/>
        </w:rPr>
        <w:t>Strategies, Initiatives and Resources</w:t>
      </w:r>
    </w:p>
    <w:p w:rsidRPr="000F4C13" w:rsidR="001D4308" w:rsidP="00C47D4D" w:rsidRDefault="001D4308" w14:paraId="47B767D7" w14:textId="2B730D9F">
      <w:pPr>
        <w:spacing w:before="240"/>
        <w:jc w:val="both"/>
        <w:rPr>
          <w:rFonts w:asciiTheme="majorHAnsi" w:hAnsiTheme="majorHAnsi" w:cstheme="majorHAnsi"/>
          <w:bCs/>
        </w:rPr>
      </w:pPr>
      <w:r w:rsidRPr="000F4C13">
        <w:rPr>
          <w:rFonts w:asciiTheme="majorHAnsi" w:hAnsiTheme="majorHAnsi" w:cstheme="majorHAnsi"/>
          <w:bCs/>
        </w:rPr>
        <w:t xml:space="preserve">Over the last decade, Washington state has steadily strengthened its wildfire resilience framework through investments in forest health, wildfire response and preparedness, building codes, utility oversight, and community investments. </w:t>
      </w:r>
      <w:r w:rsidRPr="000F4C13">
        <w:rPr>
          <w:rFonts w:asciiTheme="majorHAnsi" w:hAnsiTheme="majorHAnsi" w:cstheme="majorHAnsi"/>
        </w:rPr>
        <w:t xml:space="preserve">However, with unstable state budgets and uncertainty at the federal level </w:t>
      </w:r>
      <w:r w:rsidR="005B49C9">
        <w:rPr>
          <w:rFonts w:asciiTheme="majorHAnsi" w:hAnsiTheme="majorHAnsi" w:cstheme="majorHAnsi"/>
        </w:rPr>
        <w:t>regarding disaster recovery, the OIC is also exploring innovative options, such as community-based parametric insurance for wildfires,</w:t>
      </w:r>
      <w:r w:rsidRPr="000F4C13">
        <w:rPr>
          <w:rFonts w:asciiTheme="majorHAnsi" w:hAnsiTheme="majorHAnsi" w:cstheme="majorHAnsi"/>
        </w:rPr>
        <w:t xml:space="preserve"> to support rapid rebuilding. </w:t>
      </w:r>
    </w:p>
    <w:p w:rsidRPr="000F4C13" w:rsidR="001D4308" w:rsidP="00C47D4D" w:rsidRDefault="001D4308" w14:paraId="62177141" w14:textId="26B1BA8C">
      <w:pPr>
        <w:spacing w:before="240"/>
        <w:jc w:val="both"/>
        <w:rPr>
          <w:rFonts w:asciiTheme="majorHAnsi" w:hAnsiTheme="majorHAnsi" w:cstheme="majorHAnsi"/>
        </w:rPr>
      </w:pPr>
      <w:r w:rsidRPr="000F4C13">
        <w:rPr>
          <w:rFonts w:asciiTheme="majorHAnsi" w:hAnsiTheme="majorHAnsi" w:cstheme="majorHAnsi"/>
        </w:rPr>
        <w:t xml:space="preserve">The OIC is currently working on strategies to address insurance nonrenewals and cancellations due to wildfire risk and </w:t>
      </w:r>
      <w:r w:rsidR="005B49C9">
        <w:rPr>
          <w:rFonts w:asciiTheme="majorHAnsi" w:hAnsiTheme="majorHAnsi" w:cstheme="majorHAnsi"/>
        </w:rPr>
        <w:t>to implement certain insurance-related recommendations from the December 2025 Wildfire Mitigation and Resiliency Standards Work Group, including two bills requested by</w:t>
      </w:r>
      <w:r w:rsidRPr="000F4C13">
        <w:rPr>
          <w:rFonts w:asciiTheme="majorHAnsi" w:hAnsiTheme="majorHAnsi" w:cstheme="majorHAnsi"/>
        </w:rPr>
        <w:t xml:space="preserve"> the Insurance Commissioner during the 2026 legislative session. These two bills were inspired by recommendations c and e of the Work Group’s </w:t>
      </w:r>
      <w:hyperlink w:history="1" r:id="rId174">
        <w:r w:rsidRPr="000F4C13">
          <w:rPr>
            <w:rStyle w:val="Hyperlink"/>
            <w:rFonts w:asciiTheme="majorHAnsi" w:hAnsiTheme="majorHAnsi" w:cstheme="majorHAnsi"/>
          </w:rPr>
          <w:t>report</w:t>
        </w:r>
      </w:hyperlink>
      <w:r w:rsidRPr="000F4C13">
        <w:rPr>
          <w:rFonts w:asciiTheme="majorHAnsi" w:hAnsiTheme="majorHAnsi" w:cstheme="majorHAnsi"/>
        </w:rPr>
        <w:t>: (1) concerning wildfire risk models and score disclosure (</w:t>
      </w:r>
      <w:hyperlink w:history="1" r:id="rId175">
        <w:r w:rsidRPr="000F4C13">
          <w:rPr>
            <w:rStyle w:val="Hyperlink"/>
            <w:rFonts w:asciiTheme="majorHAnsi" w:hAnsiTheme="majorHAnsi" w:cstheme="majorHAnsi"/>
          </w:rPr>
          <w:t>SB 5928</w:t>
        </w:r>
      </w:hyperlink>
      <w:r w:rsidRPr="000F4C13">
        <w:rPr>
          <w:rFonts w:asciiTheme="majorHAnsi" w:hAnsiTheme="majorHAnsi" w:cstheme="majorHAnsi"/>
        </w:rPr>
        <w:t>), and (2) a home-hardening voluntary grant program using IBHS Wildfire Prepared Home standards as the baseline (</w:t>
      </w:r>
      <w:hyperlink w:history="1" r:id="rId176">
        <w:r w:rsidRPr="000F4C13">
          <w:rPr>
            <w:rStyle w:val="Hyperlink"/>
            <w:rFonts w:asciiTheme="majorHAnsi" w:hAnsiTheme="majorHAnsi" w:cstheme="majorHAnsi"/>
          </w:rPr>
          <w:t>SB 6079</w:t>
        </w:r>
      </w:hyperlink>
      <w:r w:rsidRPr="000F4C13">
        <w:rPr>
          <w:rFonts w:asciiTheme="majorHAnsi" w:hAnsiTheme="majorHAnsi" w:cstheme="majorHAnsi"/>
        </w:rPr>
        <w:t xml:space="preserve">). Both SB 5928 and SB 6079 moved out of the Senate but died in the House Consumer Protection and Business Committee. </w:t>
      </w:r>
    </w:p>
    <w:p w:rsidRPr="000F4C13" w:rsidR="001D4308" w:rsidP="00C47D4D" w:rsidRDefault="001D4308" w14:paraId="3860B5C3" w14:textId="45B74117">
      <w:pPr>
        <w:spacing w:before="240"/>
        <w:jc w:val="both"/>
        <w:rPr>
          <w:rFonts w:asciiTheme="majorHAnsi" w:hAnsiTheme="majorHAnsi" w:cstheme="majorHAnsi"/>
        </w:rPr>
      </w:pPr>
      <w:r w:rsidRPr="000F4C13">
        <w:rPr>
          <w:rFonts w:asciiTheme="majorHAnsi" w:hAnsiTheme="majorHAnsi" w:cstheme="majorHAnsi"/>
        </w:rPr>
        <w:t xml:space="preserve">Washington state is currently conducting </w:t>
      </w:r>
      <w:r w:rsidR="004E0C05">
        <w:rPr>
          <w:rFonts w:asciiTheme="majorHAnsi" w:hAnsiTheme="majorHAnsi" w:cstheme="majorHAnsi"/>
        </w:rPr>
        <w:t>an assessment of fire property protection classification (PPC) methods</w:t>
      </w:r>
      <w:r w:rsidRPr="000F4C13">
        <w:rPr>
          <w:rFonts w:asciiTheme="majorHAnsi" w:hAnsiTheme="majorHAnsi" w:cstheme="majorHAnsi"/>
        </w:rPr>
        <w:t>. Fire PPCs are used by insurers as one input in assessing property risk from fire and determining insurance premiums. In Washington State, insurers primarily rely on protection classifications developed by the Washington Surveying and Rating Bureau (WSRB)</w:t>
      </w:r>
      <w:r w:rsidR="005B49C9">
        <w:rPr>
          <w:rFonts w:asciiTheme="majorHAnsi" w:hAnsiTheme="majorHAnsi" w:cstheme="majorHAnsi"/>
        </w:rPr>
        <w:t>. These</w:t>
      </w:r>
      <w:r w:rsidRPr="000F4C13">
        <w:rPr>
          <w:rFonts w:asciiTheme="majorHAnsi" w:hAnsiTheme="majorHAnsi" w:cstheme="majorHAnsi"/>
        </w:rPr>
        <w:t xml:space="preserve"> classifications are assigned at a defined community or </w:t>
      </w:r>
      <w:r w:rsidRPr="000F4C13" w:rsidR="004E0C05">
        <w:rPr>
          <w:rFonts w:asciiTheme="majorHAnsi" w:hAnsiTheme="majorHAnsi" w:cstheme="majorHAnsi"/>
        </w:rPr>
        <w:t>service area</w:t>
      </w:r>
      <w:r w:rsidRPr="000F4C13">
        <w:rPr>
          <w:rFonts w:asciiTheme="majorHAnsi" w:hAnsiTheme="majorHAnsi" w:cstheme="majorHAnsi"/>
        </w:rPr>
        <w:t xml:space="preserve"> level and are intended to represent the overall level of fire protection available to insured properties. The assessment aims to provide a comprehensive review of the existing PPC methodology in WA to establish a clear, factual understanding of how classifications are developed, maintained, and applied. </w:t>
      </w:r>
    </w:p>
    <w:p w:rsidRPr="000F4C13" w:rsidR="001D4308" w:rsidP="001D4308" w:rsidRDefault="001D4308" w14:paraId="7129C9EF" w14:textId="77777777">
      <w:pPr>
        <w:pStyle w:val="Heading4"/>
        <w:rPr>
          <w:rFonts w:asciiTheme="majorHAnsi" w:hAnsiTheme="majorHAnsi" w:cstheme="majorHAnsi"/>
        </w:rPr>
      </w:pPr>
      <w:r w:rsidRPr="000F4C13">
        <w:rPr>
          <w:rFonts w:asciiTheme="majorHAnsi" w:hAnsiTheme="majorHAnsi" w:cstheme="majorHAnsi"/>
        </w:rPr>
        <w:t>Consumer Outreach and Educational Materials</w:t>
      </w:r>
    </w:p>
    <w:p w:rsidRPr="000F4C13" w:rsidR="001D4308" w:rsidP="00C47D4D" w:rsidRDefault="001D4308" w14:paraId="6B34DCB1" w14:textId="2248F689">
      <w:pPr>
        <w:jc w:val="both"/>
        <w:rPr>
          <w:rFonts w:asciiTheme="majorHAnsi" w:hAnsiTheme="majorHAnsi" w:cstheme="majorHAnsi"/>
        </w:rPr>
      </w:pPr>
      <w:r w:rsidRPr="000F4C13">
        <w:rPr>
          <w:rFonts w:asciiTheme="majorHAnsi" w:hAnsiTheme="majorHAnsi" w:cstheme="majorHAnsi"/>
        </w:rPr>
        <w:t xml:space="preserve">The state promotes “Washington Wildfire Preparedness Month” held in May, with OIC issuing reminders for residents to review policies, deductibles, and inventories. The OIC’s </w:t>
      </w:r>
      <w:hyperlink w:history="1" r:id="rId177">
        <w:r w:rsidRPr="000F4C13">
          <w:rPr>
            <w:rStyle w:val="Hyperlink"/>
            <w:rFonts w:asciiTheme="majorHAnsi" w:hAnsiTheme="majorHAnsi" w:cstheme="majorHAnsi"/>
          </w:rPr>
          <w:t>Wildfires and Homeowners Insurance page</w:t>
        </w:r>
      </w:hyperlink>
      <w:r w:rsidRPr="000F4C13">
        <w:rPr>
          <w:rFonts w:asciiTheme="majorHAnsi" w:hAnsiTheme="majorHAnsi" w:cstheme="majorHAnsi"/>
        </w:rPr>
        <w:t xml:space="preserve"> offers FAQs, including steps if coverage is canceled or unavailable, preparation tips for wildfire season, and details about Washington’s FAIR Plan for wildfire coverage. This resource is promoted each fire season. Insurance materials are available in multiple languages</w:t>
      </w:r>
      <w:r w:rsidR="004E0C05">
        <w:rPr>
          <w:rFonts w:asciiTheme="majorHAnsi" w:hAnsiTheme="majorHAnsi" w:cstheme="majorHAnsi"/>
        </w:rPr>
        <w:t>,</w:t>
      </w:r>
      <w:r w:rsidRPr="000F4C13">
        <w:rPr>
          <w:rFonts w:asciiTheme="majorHAnsi" w:hAnsiTheme="majorHAnsi" w:cstheme="majorHAnsi"/>
        </w:rPr>
        <w:t xml:space="preserve"> and consumer information is shared via local radio, especially for Spanish-speaking agricultural communities.</w:t>
      </w:r>
    </w:p>
    <w:p w:rsidRPr="000F4C13" w:rsidR="001D4308" w:rsidP="00C47D4D" w:rsidRDefault="001D4308" w14:paraId="660370B4" w14:textId="77777777">
      <w:pPr>
        <w:jc w:val="both"/>
        <w:rPr>
          <w:rFonts w:asciiTheme="majorHAnsi" w:hAnsiTheme="majorHAnsi" w:cstheme="majorHAnsi"/>
        </w:rPr>
      </w:pPr>
      <w:r w:rsidRPr="000F4C13">
        <w:rPr>
          <w:rFonts w:asciiTheme="majorHAnsi" w:hAnsiTheme="majorHAnsi" w:cstheme="majorHAnsi"/>
        </w:rPr>
        <w:t xml:space="preserve">OIC staff attend county fairs and expos, especially in fire-prone regions. The Insurance Commissioner uses media appearances after major fires to share insurance resources and highlight success stories, often alongside other state leaders. OIC also offers claims advocacy after wildfires, assisting with claims issues and enforcing the Insurance Fair Conduct Act to support consumers. </w:t>
      </w:r>
    </w:p>
    <w:p w:rsidRPr="000F4C13" w:rsidR="001D4308" w:rsidP="001D4308" w:rsidRDefault="001D4308" w14:paraId="2D0793B7" w14:textId="77777777">
      <w:pPr>
        <w:pStyle w:val="Heading4"/>
        <w:rPr>
          <w:rFonts w:asciiTheme="majorHAnsi" w:hAnsiTheme="majorHAnsi" w:cstheme="majorHAnsi"/>
        </w:rPr>
      </w:pPr>
      <w:r w:rsidRPr="000F4C13">
        <w:rPr>
          <w:rFonts w:asciiTheme="majorHAnsi" w:hAnsiTheme="majorHAnsi" w:cstheme="majorHAnsi"/>
        </w:rPr>
        <w:t>Partnerships</w:t>
      </w:r>
    </w:p>
    <w:p w:rsidRPr="000F4C13" w:rsidR="001D4308" w:rsidP="00C47D4D" w:rsidRDefault="001D4308" w14:paraId="16BAA3A8" w14:textId="77777777">
      <w:pPr>
        <w:keepNext/>
        <w:keepLines/>
        <w:spacing w:after="0" w:line="276" w:lineRule="auto"/>
        <w:jc w:val="both"/>
        <w:rPr>
          <w:rFonts w:asciiTheme="majorHAnsi" w:hAnsiTheme="majorHAnsi" w:cstheme="majorHAnsi"/>
        </w:rPr>
      </w:pPr>
      <w:r w:rsidRPr="000F4C13">
        <w:rPr>
          <w:rFonts w:asciiTheme="majorHAnsi" w:hAnsiTheme="majorHAnsi" w:cstheme="majorHAnsi"/>
        </w:rPr>
        <w:t xml:space="preserve">The OIC coordinates with the WA Military Department’s Emergency Management Division and the WA State Fire Marshal’s Office on recovery and fraud issues. Washington also joins multi-state catastrophe response exercises. </w:t>
      </w:r>
    </w:p>
    <w:p w:rsidRPr="000F4C13" w:rsidR="001D4308" w:rsidRDefault="001D4308" w14:paraId="4F1D028B" w14:textId="77777777">
      <w:pPr>
        <w:jc w:val="both"/>
        <w:rPr>
          <w:rFonts w:eastAsia="Calibri" w:asciiTheme="majorHAnsi" w:hAnsiTheme="majorHAnsi" w:cstheme="majorHAnsi"/>
        </w:rPr>
      </w:pPr>
    </w:p>
    <w:p w:rsidRPr="000F4C13" w:rsidR="00C96053" w:rsidRDefault="00B2522B" w14:paraId="515BB1AC" w14:textId="77777777">
      <w:pPr>
        <w:pStyle w:val="Heading3"/>
        <w:spacing w:after="0"/>
        <w:rPr>
          <w:rFonts w:asciiTheme="majorHAnsi" w:hAnsiTheme="majorHAnsi" w:cstheme="majorHAnsi"/>
        </w:rPr>
      </w:pPr>
      <w:r w:rsidRPr="000F4C13">
        <w:rPr>
          <w:rFonts w:asciiTheme="majorHAnsi" w:hAnsiTheme="majorHAnsi" w:cstheme="majorHAnsi"/>
        </w:rPr>
        <w:t>Wyoming</w:t>
      </w:r>
    </w:p>
    <w:p w:rsidRPr="000F4C13" w:rsidR="00D87EAE" w:rsidP="00D87EAE" w:rsidRDefault="00D87EAE" w14:paraId="0F2D20BD" w14:textId="1E940999">
      <w:pPr>
        <w:pStyle w:val="Heading4"/>
        <w:rPr>
          <w:rFonts w:asciiTheme="majorHAnsi" w:hAnsiTheme="majorHAnsi" w:cstheme="majorHAnsi"/>
        </w:rPr>
      </w:pPr>
      <w:bookmarkStart w:name="_z0xm5v67i0v5" w:colFirst="0" w:colLast="0" w:id="127"/>
      <w:bookmarkEnd w:id="127"/>
      <w:r w:rsidRPr="000F4C13">
        <w:rPr>
          <w:rFonts w:asciiTheme="majorHAnsi" w:hAnsiTheme="majorHAnsi" w:cstheme="majorHAnsi"/>
        </w:rPr>
        <w:t>Introduction</w:t>
      </w:r>
    </w:p>
    <w:p w:rsidRPr="000F4C13" w:rsidR="00D87EAE" w:rsidP="00603223" w:rsidRDefault="00C27AE7" w14:paraId="0378FB34" w14:textId="7EC38E32">
      <w:pPr>
        <w:pStyle w:val="Heading4"/>
        <w:rPr>
          <w:rFonts w:asciiTheme="majorHAnsi" w:hAnsiTheme="majorHAnsi" w:cstheme="majorHAnsi"/>
          <w:i w:val="0"/>
          <w:iCs w:val="0"/>
          <w:color w:val="auto"/>
        </w:rPr>
      </w:pPr>
      <w:r w:rsidRPr="000F4C13">
        <w:rPr>
          <w:rFonts w:asciiTheme="majorHAnsi" w:hAnsiTheme="majorHAnsi" w:cstheme="majorHAnsi"/>
          <w:i w:val="0"/>
          <w:iCs w:val="0"/>
          <w:color w:val="auto"/>
          <w:lang w:val="en-US"/>
        </w:rPr>
        <w:t>In Wyoming</w:t>
      </w:r>
      <w:r w:rsidRPr="000F4C13" w:rsidR="00603223">
        <w:rPr>
          <w:rFonts w:asciiTheme="majorHAnsi" w:hAnsiTheme="majorHAnsi" w:cstheme="majorHAnsi"/>
          <w:i w:val="0"/>
          <w:iCs w:val="0"/>
          <w:color w:val="auto"/>
          <w:lang w:val="en-US"/>
        </w:rPr>
        <w:t>, the wildfire peril has shifted to a primary driver of rising costs and reduced availability for homeowners insurance, particularly for rural and vacation properties.</w:t>
      </w:r>
      <w:r w:rsidRPr="000F4C13">
        <w:rPr>
          <w:rFonts w:asciiTheme="majorHAnsi" w:hAnsiTheme="majorHAnsi" w:cstheme="majorHAnsi"/>
          <w:i w:val="0"/>
          <w:iCs w:val="0"/>
          <w:color w:val="auto"/>
          <w:lang w:val="en-US"/>
        </w:rPr>
        <w:t xml:space="preserve"> </w:t>
      </w:r>
      <w:r w:rsidRPr="000F4C13">
        <w:rPr>
          <w:rFonts w:asciiTheme="majorHAnsi" w:hAnsiTheme="majorHAnsi" w:cstheme="majorHAnsi"/>
          <w:i w:val="0"/>
          <w:iCs w:val="0"/>
          <w:color w:val="auto"/>
        </w:rPr>
        <w:t xml:space="preserve">Insurance rates have </w:t>
      </w:r>
      <w:r w:rsidRPr="000F4C13" w:rsidR="0034086F">
        <w:rPr>
          <w:rFonts w:asciiTheme="majorHAnsi" w:hAnsiTheme="majorHAnsi" w:cstheme="majorHAnsi"/>
          <w:i w:val="0"/>
          <w:iCs w:val="0"/>
          <w:color w:val="auto"/>
        </w:rPr>
        <w:t xml:space="preserve">risen sharply </w:t>
      </w:r>
      <w:r w:rsidR="004E0C05">
        <w:rPr>
          <w:rFonts w:asciiTheme="majorHAnsi" w:hAnsiTheme="majorHAnsi" w:cstheme="majorHAnsi"/>
          <w:i w:val="0"/>
          <w:iCs w:val="0"/>
          <w:color w:val="auto"/>
        </w:rPr>
        <w:t>year over year</w:t>
      </w:r>
      <w:r w:rsidRPr="000F4C13">
        <w:rPr>
          <w:rFonts w:asciiTheme="majorHAnsi" w:hAnsiTheme="majorHAnsi" w:cstheme="majorHAnsi"/>
          <w:i w:val="0"/>
          <w:iCs w:val="0"/>
          <w:color w:val="auto"/>
        </w:rPr>
        <w:t xml:space="preserve"> due to updated wildfire risk designations.</w:t>
      </w:r>
      <w:r w:rsidRPr="000F4C13" w:rsidR="00062F9D">
        <w:rPr>
          <w:rFonts w:asciiTheme="majorHAnsi" w:hAnsiTheme="majorHAnsi" w:cstheme="majorHAnsi"/>
          <w:i w:val="0"/>
          <w:iCs w:val="0"/>
          <w:color w:val="auto"/>
        </w:rPr>
        <w:t xml:space="preserve"> </w:t>
      </w:r>
      <w:r w:rsidRPr="000F4C13" w:rsidR="004F78DB">
        <w:rPr>
          <w:rFonts w:asciiTheme="majorHAnsi" w:hAnsiTheme="majorHAnsi" w:cstheme="majorHAnsi"/>
          <w:i w:val="0"/>
          <w:iCs w:val="0"/>
          <w:color w:val="auto"/>
        </w:rPr>
        <w:t xml:space="preserve">This is most </w:t>
      </w:r>
      <w:r w:rsidRPr="000F4C13" w:rsidR="00DE3C97">
        <w:rPr>
          <w:rFonts w:asciiTheme="majorHAnsi" w:hAnsiTheme="majorHAnsi" w:cstheme="majorHAnsi"/>
          <w:i w:val="0"/>
          <w:iCs w:val="0"/>
          <w:color w:val="auto"/>
        </w:rPr>
        <w:t>prominent</w:t>
      </w:r>
      <w:r w:rsidRPr="000F4C13" w:rsidR="004F78DB">
        <w:rPr>
          <w:rFonts w:asciiTheme="majorHAnsi" w:hAnsiTheme="majorHAnsi" w:cstheme="majorHAnsi"/>
          <w:i w:val="0"/>
          <w:iCs w:val="0"/>
          <w:color w:val="auto"/>
        </w:rPr>
        <w:t xml:space="preserve"> in </w:t>
      </w:r>
      <w:r w:rsidRPr="000F4C13" w:rsidR="00040CC0">
        <w:rPr>
          <w:rFonts w:asciiTheme="majorHAnsi" w:hAnsiTheme="majorHAnsi" w:cstheme="majorHAnsi"/>
          <w:i w:val="0"/>
          <w:iCs w:val="0"/>
          <w:color w:val="auto"/>
        </w:rPr>
        <w:t xml:space="preserve">areas of the state with </w:t>
      </w:r>
      <w:r w:rsidR="004E0C05">
        <w:rPr>
          <w:rFonts w:asciiTheme="majorHAnsi" w:hAnsiTheme="majorHAnsi" w:cstheme="majorHAnsi"/>
          <w:i w:val="0"/>
          <w:iCs w:val="0"/>
          <w:color w:val="auto"/>
        </w:rPr>
        <w:t>dense forests</w:t>
      </w:r>
      <w:r w:rsidRPr="000F4C13" w:rsidR="00062F9D">
        <w:rPr>
          <w:rFonts w:asciiTheme="majorHAnsi" w:hAnsiTheme="majorHAnsi" w:cstheme="majorHAnsi"/>
          <w:i w:val="0"/>
          <w:iCs w:val="0"/>
          <w:color w:val="auto"/>
        </w:rPr>
        <w:t xml:space="preserve"> and </w:t>
      </w:r>
      <w:r w:rsidRPr="000F4C13" w:rsidR="00040CC0">
        <w:rPr>
          <w:rFonts w:asciiTheme="majorHAnsi" w:hAnsiTheme="majorHAnsi" w:cstheme="majorHAnsi"/>
          <w:i w:val="0"/>
          <w:iCs w:val="0"/>
          <w:color w:val="auto"/>
        </w:rPr>
        <w:t xml:space="preserve">a </w:t>
      </w:r>
      <w:r w:rsidRPr="000F4C13" w:rsidR="00062F9D">
        <w:rPr>
          <w:rFonts w:asciiTheme="majorHAnsi" w:hAnsiTheme="majorHAnsi" w:cstheme="majorHAnsi"/>
          <w:i w:val="0"/>
          <w:iCs w:val="0"/>
          <w:color w:val="auto"/>
        </w:rPr>
        <w:t>growing Wildland Urban Interface (WUI)</w:t>
      </w:r>
      <w:r w:rsidRPr="000F4C13" w:rsidR="00040CC0">
        <w:rPr>
          <w:rFonts w:asciiTheme="majorHAnsi" w:hAnsiTheme="majorHAnsi" w:cstheme="majorHAnsi"/>
          <w:i w:val="0"/>
          <w:iCs w:val="0"/>
          <w:color w:val="auto"/>
        </w:rPr>
        <w:t>.</w:t>
      </w:r>
    </w:p>
    <w:p w:rsidRPr="000F4C13" w:rsidR="00C96053" w:rsidRDefault="00B2522B" w14:paraId="45BBE84E" w14:textId="723557DF">
      <w:pPr>
        <w:pStyle w:val="Heading4"/>
        <w:rPr>
          <w:rFonts w:asciiTheme="majorHAnsi" w:hAnsiTheme="majorHAnsi" w:cstheme="majorHAnsi"/>
        </w:rPr>
      </w:pPr>
      <w:r w:rsidRPr="000F4C13">
        <w:rPr>
          <w:rFonts w:asciiTheme="majorHAnsi" w:hAnsiTheme="majorHAnsi" w:cstheme="majorHAnsi"/>
        </w:rPr>
        <w:t>Reports</w:t>
      </w:r>
    </w:p>
    <w:p w:rsidRPr="000F4C13" w:rsidR="00C96053" w:rsidRDefault="00B2522B" w14:paraId="54CBC37D" w14:textId="20180C8C">
      <w:pPr>
        <w:jc w:val="both"/>
        <w:rPr>
          <w:rFonts w:eastAsia="Calibri" w:asciiTheme="majorHAnsi" w:hAnsiTheme="majorHAnsi" w:cstheme="majorHAnsi"/>
        </w:rPr>
      </w:pPr>
      <w:r w:rsidRPr="000F4C13">
        <w:rPr>
          <w:rFonts w:eastAsia="Calibri" w:asciiTheme="majorHAnsi" w:hAnsiTheme="majorHAnsi" w:cstheme="majorHAnsi"/>
        </w:rPr>
        <w:t>Wildfire risk is addressed in broader state plans. The Wyoming State Forestry Division’s 2020 Forest Action Plan mapped statewide wildfire risk and forest conditions, finding that most of the state faces moderate wildfire risk. The Office of Homeland Security’s State Mitigation Plan, updated in 2023, identifies wildfire as a key hazard. In June 2025, legislators received a 2024 Wyoming Wildfire Update, summarizing the severe 2024 fire season during which over 850,000 acres burned—approximately 70% on state and private lands—and outlining the recovery needs. Additionally, a 2023 briefing from the Insurance Commissioner warned that rising wildfire liability insurance costs for utility companies could lead to increased electric rates, highlighting the cross-sector impacts.</w:t>
      </w:r>
    </w:p>
    <w:p w:rsidRPr="000F4C13" w:rsidR="00C96053" w:rsidRDefault="00B2522B" w14:paraId="2817735F" w14:textId="77777777">
      <w:pPr>
        <w:pStyle w:val="Heading4"/>
        <w:spacing w:after="0"/>
        <w:rPr>
          <w:rFonts w:asciiTheme="majorHAnsi" w:hAnsiTheme="majorHAnsi" w:cstheme="majorHAnsi"/>
        </w:rPr>
      </w:pPr>
      <w:bookmarkStart w:name="_8zyfj3spi2qe" w:colFirst="0" w:colLast="0" w:id="128"/>
      <w:bookmarkEnd w:id="128"/>
      <w:r w:rsidRPr="000F4C13">
        <w:rPr>
          <w:rFonts w:asciiTheme="majorHAnsi" w:hAnsiTheme="majorHAnsi" w:cstheme="majorHAnsi"/>
        </w:rPr>
        <w:t>Data Collection</w:t>
      </w:r>
    </w:p>
    <w:p w:rsidRPr="000F4C13" w:rsidR="00C96053" w:rsidRDefault="00B2522B" w14:paraId="26B1B8A3" w14:textId="77777777">
      <w:pPr>
        <w:spacing w:after="0"/>
        <w:jc w:val="both"/>
        <w:rPr>
          <w:rFonts w:eastAsia="Calibri" w:asciiTheme="majorHAnsi" w:hAnsiTheme="majorHAnsi" w:cstheme="majorHAnsi"/>
        </w:rPr>
      </w:pPr>
      <w:r w:rsidRPr="000F4C13">
        <w:rPr>
          <w:rFonts w:eastAsia="Calibri" w:asciiTheme="majorHAnsi" w:hAnsiTheme="majorHAnsi" w:cstheme="majorHAnsi"/>
        </w:rPr>
        <w:t>Wyoming Wildfire Risk Assessment Portal (WYWRAP): A web tool mapping wildfire risk statewide to help officials and insurers target mitigation.</w:t>
      </w:r>
    </w:p>
    <w:p w:rsidRPr="000F4C13" w:rsidR="00C96053" w:rsidRDefault="00B2522B" w14:paraId="0B0516BE" w14:textId="77777777">
      <w:pPr>
        <w:spacing w:after="0"/>
        <w:jc w:val="both"/>
        <w:rPr>
          <w:rFonts w:eastAsia="Calibri" w:asciiTheme="majorHAnsi" w:hAnsiTheme="majorHAnsi" w:cstheme="majorHAnsi"/>
        </w:rPr>
      </w:pPr>
      <w:r w:rsidRPr="000F4C13">
        <w:rPr>
          <w:rFonts w:eastAsia="Calibri" w:asciiTheme="majorHAnsi" w:hAnsiTheme="majorHAnsi" w:cstheme="majorHAnsi"/>
        </w:rPr>
        <w:t>DOI informally tracks homeowners’ insurance availability in fire-prone regions through complaints and agent feedback.</w:t>
      </w:r>
    </w:p>
    <w:p w:rsidRPr="000F4C13" w:rsidR="00C96053" w:rsidRDefault="00C96053" w14:paraId="5D461C1D" w14:textId="77777777">
      <w:pPr>
        <w:spacing w:after="0"/>
        <w:ind w:left="1170"/>
        <w:jc w:val="both"/>
        <w:rPr>
          <w:rFonts w:eastAsia="Calibri" w:asciiTheme="majorHAnsi" w:hAnsiTheme="majorHAnsi" w:cstheme="majorHAnsi"/>
        </w:rPr>
      </w:pPr>
    </w:p>
    <w:p w:rsidRPr="000F4C13" w:rsidR="00C96053" w:rsidRDefault="00B2522B" w14:paraId="65B15B00" w14:textId="77777777">
      <w:pPr>
        <w:pStyle w:val="Heading4"/>
        <w:spacing w:after="0"/>
        <w:rPr>
          <w:rFonts w:asciiTheme="majorHAnsi" w:hAnsiTheme="majorHAnsi" w:cstheme="majorHAnsi"/>
        </w:rPr>
      </w:pPr>
      <w:bookmarkStart w:name="_n1q60bswnj13" w:colFirst="0" w:colLast="0" w:id="129"/>
      <w:bookmarkEnd w:id="129"/>
      <w:r w:rsidRPr="000F4C13">
        <w:rPr>
          <w:rFonts w:asciiTheme="majorHAnsi" w:hAnsiTheme="majorHAnsi" w:cstheme="majorHAnsi"/>
        </w:rPr>
        <w:t>Strategies, Initiatives, and Resources</w:t>
      </w:r>
    </w:p>
    <w:p w:rsidRPr="000F4C13" w:rsidR="00C96053" w:rsidP="00C67136" w:rsidRDefault="00B2522B" w14:paraId="5FFD005D" w14:textId="77777777">
      <w:pPr>
        <w:pStyle w:val="ListParagraph"/>
        <w:numPr>
          <w:ilvl w:val="0"/>
          <w:numId w:val="48"/>
        </w:numPr>
        <w:spacing w:after="0"/>
        <w:jc w:val="both"/>
        <w:rPr>
          <w:rFonts w:eastAsia="Calibri" w:asciiTheme="majorHAnsi" w:hAnsiTheme="majorHAnsi" w:cstheme="majorHAnsi"/>
        </w:rPr>
      </w:pPr>
      <w:r w:rsidRPr="000F4C13">
        <w:rPr>
          <w:rFonts w:eastAsia="Calibri" w:asciiTheme="majorHAnsi" w:hAnsiTheme="majorHAnsi" w:cstheme="majorHAnsi"/>
        </w:rPr>
        <w:t>Internal Capacity Building: Hiring an analyst focused on property insurance availability and wildfire issues, and NAIC-led training on climate risk assessment.</w:t>
      </w:r>
    </w:p>
    <w:p w:rsidRPr="000F4C13" w:rsidR="00C96053" w:rsidP="00C67136" w:rsidRDefault="00B2522B" w14:paraId="0803E92C" w14:textId="77777777">
      <w:pPr>
        <w:pStyle w:val="ListParagraph"/>
        <w:numPr>
          <w:ilvl w:val="0"/>
          <w:numId w:val="48"/>
        </w:numPr>
        <w:spacing w:after="0"/>
        <w:jc w:val="both"/>
        <w:rPr>
          <w:rFonts w:eastAsia="Calibri" w:asciiTheme="majorHAnsi" w:hAnsiTheme="majorHAnsi" w:cstheme="majorHAnsi"/>
        </w:rPr>
      </w:pPr>
      <w:r w:rsidRPr="000F4C13">
        <w:rPr>
          <w:rFonts w:eastAsia="Calibri" w:asciiTheme="majorHAnsi" w:hAnsiTheme="majorHAnsi" w:cstheme="majorHAnsi"/>
        </w:rPr>
        <w:t>Technical Coordination: DOI collaborates with the State Fire Marshal and Forestry Division for expertise on fire behavior and mitigation during insurance reviews.</w:t>
      </w:r>
    </w:p>
    <w:p w:rsidRPr="000F4C13" w:rsidR="00C96053" w:rsidP="00C67136" w:rsidRDefault="00B2522B" w14:paraId="1914FA5A" w14:textId="77777777">
      <w:pPr>
        <w:pStyle w:val="ListParagraph"/>
        <w:numPr>
          <w:ilvl w:val="0"/>
          <w:numId w:val="48"/>
        </w:numPr>
        <w:spacing w:after="0"/>
        <w:jc w:val="both"/>
        <w:rPr>
          <w:rFonts w:eastAsia="Calibri" w:asciiTheme="majorHAnsi" w:hAnsiTheme="majorHAnsi" w:cstheme="majorHAnsi"/>
        </w:rPr>
      </w:pPr>
      <w:r w:rsidRPr="000F4C13">
        <w:rPr>
          <w:rFonts w:eastAsia="Calibri" w:asciiTheme="majorHAnsi" w:hAnsiTheme="majorHAnsi" w:cstheme="majorHAnsi"/>
        </w:rPr>
        <w:t>Public Education Campaigns: ‘What is your risk?’ campaign directs residents to WYWRAP for risk assessment and defensible space guidance. Wildfire Mitigation Grants through WSFD and USDA partnerships include Western States WUI Grants, State Fire Assistance grants, Volunteer Fire Assistance grants, and the federal Community Wildfire Defense Grant program.</w:t>
      </w:r>
    </w:p>
    <w:p w:rsidRPr="000F4C13" w:rsidR="00C96053" w:rsidP="00C67136" w:rsidRDefault="00B2522B" w14:paraId="54D51F78" w14:textId="77777777">
      <w:pPr>
        <w:pStyle w:val="ListParagraph"/>
        <w:numPr>
          <w:ilvl w:val="0"/>
          <w:numId w:val="48"/>
        </w:numPr>
        <w:spacing w:after="0"/>
        <w:jc w:val="both"/>
        <w:rPr>
          <w:rFonts w:eastAsia="Calibri" w:asciiTheme="majorHAnsi" w:hAnsiTheme="majorHAnsi" w:cstheme="majorHAnsi"/>
        </w:rPr>
      </w:pPr>
      <w:r w:rsidRPr="000F4C13">
        <w:rPr>
          <w:rFonts w:eastAsia="Calibri" w:asciiTheme="majorHAnsi" w:hAnsiTheme="majorHAnsi" w:cstheme="majorHAnsi"/>
        </w:rPr>
        <w:t>County Wildfire Protection Plans (CWPPs): All 23 Wyoming counties have CWPPs identifying high-risk areas and setting priorities for fuel reduction. Homeowners are encouraged to participate, as insurers may consider these efforts during underwriting.</w:t>
      </w:r>
    </w:p>
    <w:p w:rsidRPr="000F4C13" w:rsidR="00C96053" w:rsidRDefault="00B2522B" w14:paraId="0F251118" w14:textId="77777777">
      <w:pPr>
        <w:pStyle w:val="Heading4"/>
        <w:rPr>
          <w:rFonts w:asciiTheme="majorHAnsi" w:hAnsiTheme="majorHAnsi" w:cstheme="majorHAnsi"/>
        </w:rPr>
      </w:pPr>
      <w:bookmarkStart w:name="_y0tngv2v3upv" w:colFirst="0" w:colLast="0" w:id="130"/>
      <w:bookmarkEnd w:id="130"/>
      <w:r w:rsidRPr="000F4C13">
        <w:rPr>
          <w:rFonts w:asciiTheme="majorHAnsi" w:hAnsiTheme="majorHAnsi" w:cstheme="majorHAnsi"/>
        </w:rPr>
        <w:t>Consumer Outreach and Educational Materials:</w:t>
      </w:r>
    </w:p>
    <w:p w:rsidRPr="000F4C13" w:rsidR="00C96053" w:rsidRDefault="00B2522B" w14:paraId="1C0D78AC" w14:textId="77777777">
      <w:pPr>
        <w:jc w:val="both"/>
        <w:rPr>
          <w:rFonts w:eastAsia="Calibri" w:asciiTheme="majorHAnsi" w:hAnsiTheme="majorHAnsi" w:cstheme="majorHAnsi"/>
        </w:rPr>
      </w:pPr>
      <w:r w:rsidRPr="000F4C13">
        <w:rPr>
          <w:rFonts w:eastAsia="Calibri" w:asciiTheme="majorHAnsi" w:hAnsiTheme="majorHAnsi" w:cstheme="majorHAnsi"/>
        </w:rPr>
        <w:t>DOI provides disaster insurance resources online and in brochures, covering preparation, coverage reviews, and claim processes. After major fires, DOI advises policyholders to confirm adequate coverage and consider wildfire endorsements. Guidance on surplus lines insurers for those unable to find coverage. DOI hosts ‘insurance fairs’ at county events and uses local media to stress annual policy reviews. DOI maintains a ‘Wildfire and Homeowner Insurance FAQ’ webpage. Annual ‘Wildfire Preparedness’ workshops are conducted in high-risk areas by the State Forestry Division, County Fire Wardens, and insurance agents.</w:t>
      </w:r>
    </w:p>
    <w:p w:rsidRPr="000F4C13" w:rsidR="00C96053" w:rsidRDefault="00B2522B" w14:paraId="4BDB25BE" w14:textId="77777777">
      <w:pPr>
        <w:pStyle w:val="Heading4"/>
        <w:rPr>
          <w:rFonts w:asciiTheme="majorHAnsi" w:hAnsiTheme="majorHAnsi" w:cstheme="majorHAnsi"/>
        </w:rPr>
      </w:pPr>
      <w:bookmarkStart w:name="_wfen449mlh5j" w:colFirst="0" w:colLast="0" w:id="131"/>
      <w:bookmarkEnd w:id="131"/>
      <w:r w:rsidRPr="000F4C13">
        <w:rPr>
          <w:rFonts w:asciiTheme="majorHAnsi" w:hAnsiTheme="majorHAnsi" w:cstheme="majorHAnsi"/>
        </w:rPr>
        <w:t>Partnerships</w:t>
      </w:r>
    </w:p>
    <w:p w:rsidRPr="000F4C13" w:rsidR="00C96053" w:rsidRDefault="00B2522B" w14:paraId="3143B9E6" w14:textId="77777777">
      <w:pPr>
        <w:jc w:val="both"/>
        <w:rPr>
          <w:rFonts w:eastAsia="Calibri" w:asciiTheme="majorHAnsi" w:hAnsiTheme="majorHAnsi" w:cstheme="majorHAnsi"/>
        </w:rPr>
      </w:pPr>
      <w:r w:rsidRPr="000F4C13">
        <w:rPr>
          <w:rFonts w:eastAsia="Calibri" w:asciiTheme="majorHAnsi" w:hAnsiTheme="majorHAnsi" w:cstheme="majorHAnsi"/>
        </w:rPr>
        <w:t>Wyoming collaborates with neighboring states through the Western Governors’ Association and informal regulator networks to share wildfire mitigation and insurance strategies. A liaison working group between the State Forestry Division and DOI exchanges data: WSFD shares aggregated high-risk home locations, and DOI alerts WSFD about spikes in non-renewals or premium increases.</w:t>
      </w:r>
    </w:p>
    <w:p w:rsidRPr="000F4C13" w:rsidR="00C96053" w:rsidRDefault="0035069D" w14:paraId="0E3F7829" w14:textId="77777777">
      <w:pPr>
        <w:jc w:val="both"/>
        <w:rPr>
          <w:rFonts w:eastAsia="Calibri" w:asciiTheme="majorHAnsi" w:hAnsiTheme="majorHAnsi" w:cstheme="majorHAnsi"/>
        </w:rPr>
      </w:pPr>
      <w:r>
        <w:rPr>
          <w:rFonts w:asciiTheme="majorHAnsi" w:hAnsiTheme="majorHAnsi" w:cstheme="majorHAnsi"/>
        </w:rPr>
        <w:pict w14:anchorId="6C834D04">
          <v:rect id="_x0000_i1033" style="width:0;height:1.5pt" o:hr="t" o:hrstd="t" o:hralign="center" fillcolor="#a0a0a0" stroked="f"/>
        </w:pict>
      </w:r>
    </w:p>
    <w:p w:rsidRPr="000F4C13" w:rsidR="007614A9" w:rsidRDefault="007614A9" w14:paraId="388611A2" w14:textId="77777777">
      <w:pPr>
        <w:pStyle w:val="Heading2"/>
        <w:rPr>
          <w:rFonts w:asciiTheme="majorHAnsi" w:hAnsiTheme="majorHAnsi" w:cstheme="majorHAnsi"/>
          <w:sz w:val="24"/>
          <w:szCs w:val="24"/>
        </w:rPr>
      </w:pPr>
    </w:p>
    <w:p w:rsidRPr="000F4C13" w:rsidR="007614A9" w:rsidP="007614A9" w:rsidRDefault="007614A9" w14:paraId="190A0695" w14:textId="77777777">
      <w:pPr>
        <w:rPr>
          <w:rFonts w:asciiTheme="majorHAnsi" w:hAnsiTheme="majorHAnsi" w:cstheme="majorHAnsi"/>
        </w:rPr>
      </w:pPr>
    </w:p>
    <w:p w:rsidRPr="000F4C13" w:rsidR="007614A9" w:rsidP="007614A9" w:rsidRDefault="007614A9" w14:paraId="32AD330F" w14:textId="77777777">
      <w:pPr>
        <w:rPr>
          <w:rFonts w:asciiTheme="majorHAnsi" w:hAnsiTheme="majorHAnsi" w:cstheme="majorHAnsi"/>
        </w:rPr>
      </w:pPr>
    </w:p>
    <w:p w:rsidRPr="000F4C13" w:rsidR="007614A9" w:rsidP="007614A9" w:rsidRDefault="007614A9" w14:paraId="6324A618" w14:textId="77777777">
      <w:pPr>
        <w:rPr>
          <w:rFonts w:asciiTheme="majorHAnsi" w:hAnsiTheme="majorHAnsi" w:cstheme="majorHAnsi"/>
        </w:rPr>
      </w:pPr>
    </w:p>
    <w:p w:rsidR="007614A9" w:rsidP="007614A9" w:rsidRDefault="007614A9" w14:paraId="26CE20E6" w14:textId="77777777">
      <w:pPr>
        <w:rPr>
          <w:rFonts w:asciiTheme="majorHAnsi" w:hAnsiTheme="majorHAnsi" w:cstheme="majorHAnsi"/>
        </w:rPr>
      </w:pPr>
    </w:p>
    <w:p w:rsidR="00752B30" w:rsidP="007614A9" w:rsidRDefault="00752B30" w14:paraId="65457E63" w14:textId="77777777">
      <w:pPr>
        <w:rPr>
          <w:rFonts w:asciiTheme="majorHAnsi" w:hAnsiTheme="majorHAnsi" w:cstheme="majorHAnsi"/>
        </w:rPr>
      </w:pPr>
    </w:p>
    <w:p w:rsidR="00752B30" w:rsidP="007614A9" w:rsidRDefault="00752B30" w14:paraId="66CC8ED9" w14:textId="77777777">
      <w:pPr>
        <w:rPr>
          <w:rFonts w:asciiTheme="majorHAnsi" w:hAnsiTheme="majorHAnsi" w:cstheme="majorHAnsi"/>
        </w:rPr>
      </w:pPr>
    </w:p>
    <w:p w:rsidR="00752B30" w:rsidP="007614A9" w:rsidRDefault="00752B30" w14:paraId="652C6EF7" w14:textId="77777777">
      <w:pPr>
        <w:rPr>
          <w:rFonts w:asciiTheme="majorHAnsi" w:hAnsiTheme="majorHAnsi" w:cstheme="majorHAnsi"/>
        </w:rPr>
      </w:pPr>
    </w:p>
    <w:p w:rsidRPr="000F4C13" w:rsidR="00752B30" w:rsidP="007614A9" w:rsidRDefault="00752B30" w14:paraId="325457A5" w14:textId="77777777">
      <w:pPr>
        <w:rPr>
          <w:rFonts w:asciiTheme="majorHAnsi" w:hAnsiTheme="majorHAnsi" w:cstheme="majorHAnsi"/>
        </w:rPr>
      </w:pPr>
    </w:p>
    <w:p w:rsidRPr="000F4C13" w:rsidR="007614A9" w:rsidP="007614A9" w:rsidRDefault="007614A9" w14:paraId="0625A8BD" w14:textId="77777777">
      <w:pPr>
        <w:rPr>
          <w:rFonts w:asciiTheme="majorHAnsi" w:hAnsiTheme="majorHAnsi" w:cstheme="majorHAnsi"/>
        </w:rPr>
      </w:pPr>
    </w:p>
    <w:p w:rsidRPr="000F4C13" w:rsidR="007614A9" w:rsidP="007614A9" w:rsidRDefault="007614A9" w14:paraId="0919FF05" w14:textId="77777777">
      <w:pPr>
        <w:rPr>
          <w:rFonts w:asciiTheme="majorHAnsi" w:hAnsiTheme="majorHAnsi" w:cstheme="majorHAnsi"/>
        </w:rPr>
      </w:pPr>
    </w:p>
    <w:p w:rsidRPr="000F4C13" w:rsidR="00C96053" w:rsidRDefault="00B2522B" w14:paraId="33F17AF0" w14:textId="40B64006">
      <w:pPr>
        <w:pStyle w:val="Heading2"/>
        <w:rPr>
          <w:rFonts w:asciiTheme="majorHAnsi" w:hAnsiTheme="majorHAnsi" w:cstheme="majorHAnsi"/>
        </w:rPr>
      </w:pPr>
      <w:r w:rsidRPr="000F4C13">
        <w:rPr>
          <w:rFonts w:asciiTheme="majorHAnsi" w:hAnsiTheme="majorHAnsi" w:cstheme="majorHAnsi"/>
        </w:rPr>
        <w:t>Earthquake, Fire Following Earthquake, Tsunami</w:t>
      </w:r>
      <w:r w:rsidRPr="000F4C13" w:rsidR="00752B30">
        <w:rPr>
          <w:rFonts w:asciiTheme="majorHAnsi" w:hAnsiTheme="majorHAnsi" w:cstheme="majorHAnsi"/>
          <w:sz w:val="28"/>
          <w:szCs w:val="28"/>
        </w:rPr>
        <w:t>—</w:t>
      </w:r>
      <w:r w:rsidRPr="000F4C13">
        <w:rPr>
          <w:rFonts w:asciiTheme="majorHAnsi" w:hAnsiTheme="majorHAnsi" w:cstheme="majorHAnsi"/>
        </w:rPr>
        <w:t xml:space="preserve">California </w:t>
      </w:r>
    </w:p>
    <w:p w:rsidRPr="000F4C13" w:rsidR="00C87B01" w:rsidRDefault="00C87B01" w14:paraId="76F90EEC" w14:textId="32A835E0">
      <w:pPr>
        <w:pStyle w:val="Heading3"/>
        <w:spacing w:after="0"/>
        <w:rPr>
          <w:rFonts w:asciiTheme="majorHAnsi" w:hAnsiTheme="majorHAnsi" w:cstheme="majorHAnsi"/>
        </w:rPr>
      </w:pPr>
      <w:bookmarkStart w:name="_3aaajik54w2z" w:colFirst="0" w:colLast="0" w:id="132"/>
      <w:bookmarkEnd w:id="132"/>
      <w:r w:rsidRPr="000F4C13">
        <w:rPr>
          <w:rFonts w:asciiTheme="majorHAnsi" w:hAnsiTheme="majorHAnsi" w:cstheme="majorHAnsi"/>
        </w:rPr>
        <w:t>California</w:t>
      </w:r>
    </w:p>
    <w:p w:rsidRPr="000F4C13" w:rsidR="00C96053" w:rsidRDefault="00B2522B" w14:paraId="52060BF3" w14:textId="77777777">
      <w:pPr>
        <w:pStyle w:val="Heading3"/>
        <w:spacing w:after="0"/>
        <w:rPr>
          <w:rFonts w:asciiTheme="majorHAnsi" w:hAnsiTheme="majorHAnsi" w:cstheme="majorHAnsi"/>
        </w:rPr>
      </w:pPr>
      <w:r w:rsidRPr="000F4C13">
        <w:rPr>
          <w:rFonts w:asciiTheme="majorHAnsi" w:hAnsiTheme="majorHAnsi" w:cstheme="majorHAnsi"/>
        </w:rPr>
        <w:t>Introduction</w:t>
      </w:r>
    </w:p>
    <w:p w:rsidRPr="000F4C13" w:rsidR="00C96053" w:rsidRDefault="00B2522B" w14:paraId="5D03D20B" w14:textId="19A37807">
      <w:pPr>
        <w:jc w:val="both"/>
        <w:rPr>
          <w:rFonts w:eastAsia="Calibri" w:asciiTheme="majorHAnsi" w:hAnsiTheme="majorHAnsi" w:cstheme="majorHAnsi"/>
          <w:b/>
          <w:bCs/>
        </w:rPr>
      </w:pPr>
      <w:r w:rsidRPr="000F4C13">
        <w:rPr>
          <w:rFonts w:eastAsia="Calibri" w:asciiTheme="majorHAnsi" w:hAnsiTheme="majorHAnsi" w:cstheme="majorHAnsi"/>
        </w:rPr>
        <w:t xml:space="preserve">California faces one of the highest earthquake risks in the country, accounting for roughly two-thirds of U.S. seismic risk and encompassing more than 15,000 known faults, according to the </w:t>
      </w:r>
      <w:hyperlink r:id="rId178">
        <w:r w:rsidRPr="000F4C13" w:rsidR="00C96053">
          <w:rPr>
            <w:rFonts w:eastAsia="Calibri" w:asciiTheme="majorHAnsi" w:hAnsiTheme="majorHAnsi" w:cstheme="majorHAnsi"/>
            <w:color w:val="0000FF"/>
            <w:u w:val="single"/>
          </w:rPr>
          <w:t>California Geological Survey</w:t>
        </w:r>
      </w:hyperlink>
      <w:r w:rsidRPr="000F4C13">
        <w:rPr>
          <w:rFonts w:eastAsia="Calibri" w:asciiTheme="majorHAnsi" w:hAnsiTheme="majorHAnsi" w:cstheme="majorHAnsi"/>
        </w:rPr>
        <w:t xml:space="preserve">. There is a greater than 99% chance of one or more magnitude 6.7 or larger earthquakes striking California, based on the </w:t>
      </w:r>
      <w:hyperlink r:id="rId179">
        <w:r w:rsidRPr="000F4C13" w:rsidR="00C96053">
          <w:rPr>
            <w:rFonts w:eastAsia="Calibri" w:asciiTheme="majorHAnsi" w:hAnsiTheme="majorHAnsi" w:cstheme="majorHAnsi"/>
            <w:color w:val="0000FF"/>
            <w:u w:val="single"/>
          </w:rPr>
          <w:t>Uniform California Earthquake Rupture Forecast</w:t>
        </w:r>
      </w:hyperlink>
      <w:r w:rsidRPr="000F4C13">
        <w:rPr>
          <w:rFonts w:eastAsia="Calibri" w:asciiTheme="majorHAnsi" w:hAnsiTheme="majorHAnsi" w:cstheme="majorHAnsi"/>
        </w:rPr>
        <w:t>. Past events underscore the scale of potential impacts: the 1989 Loma Prieta earthquake damaged more than 18,000 homes and destroyed 963</w:t>
      </w:r>
      <w:r w:rsidRPr="000F4C13">
        <w:rPr>
          <w:rFonts w:eastAsia="Calibri" w:asciiTheme="majorHAnsi" w:hAnsiTheme="majorHAnsi" w:cstheme="majorHAnsi"/>
          <w:vertAlign w:val="superscript"/>
        </w:rPr>
        <w:footnoteReference w:id="126"/>
      </w:r>
      <w:r w:rsidRPr="000F4C13">
        <w:rPr>
          <w:rFonts w:eastAsia="Calibri" w:asciiTheme="majorHAnsi" w:hAnsiTheme="majorHAnsi" w:cstheme="majorHAnsi"/>
        </w:rPr>
        <w:t>, and the 1994 Northridge earthquake caused approximately $20 billion in property losses</w:t>
      </w:r>
      <w:r w:rsidRPr="000F4C13">
        <w:rPr>
          <w:rFonts w:eastAsia="Calibri" w:asciiTheme="majorHAnsi" w:hAnsiTheme="majorHAnsi" w:cstheme="majorHAnsi"/>
          <w:vertAlign w:val="superscript"/>
        </w:rPr>
        <w:footnoteReference w:id="127"/>
      </w:r>
      <w:r w:rsidRPr="000F4C13">
        <w:rPr>
          <w:rFonts w:eastAsia="Calibri" w:asciiTheme="majorHAnsi" w:hAnsiTheme="majorHAnsi" w:cstheme="majorHAnsi"/>
        </w:rPr>
        <w:t>. Yet despite this risk, only about 10% of Californians carry earthquake insurance</w:t>
      </w:r>
      <w:r w:rsidRPr="000F4C13">
        <w:rPr>
          <w:rFonts w:eastAsia="Calibri" w:asciiTheme="majorHAnsi" w:hAnsiTheme="majorHAnsi" w:cstheme="majorHAnsi"/>
          <w:vertAlign w:val="superscript"/>
        </w:rPr>
        <w:footnoteReference w:id="128"/>
      </w:r>
      <w:r w:rsidRPr="000F4C13">
        <w:rPr>
          <w:rFonts w:eastAsia="Calibri" w:asciiTheme="majorHAnsi" w:hAnsiTheme="majorHAnsi" w:cstheme="majorHAnsi"/>
        </w:rPr>
        <w:t>, leaving most households financially exposed. In Southern California, tsunami hazards associated with offshore earthquakes are expected to be exacerbated by climate change–driven sea level rise, further compounding coastal risk</w:t>
      </w:r>
      <w:r w:rsidRPr="000F4C13">
        <w:rPr>
          <w:rFonts w:eastAsia="Calibri" w:asciiTheme="majorHAnsi" w:hAnsiTheme="majorHAnsi" w:cstheme="majorHAnsi"/>
          <w:vertAlign w:val="superscript"/>
        </w:rPr>
        <w:footnoteReference w:id="129"/>
      </w:r>
      <w:r w:rsidRPr="000F4C13">
        <w:rPr>
          <w:rFonts w:eastAsia="Calibri" w:asciiTheme="majorHAnsi" w:hAnsiTheme="majorHAnsi" w:cstheme="majorHAnsi"/>
        </w:rPr>
        <w:t xml:space="preserve">. </w:t>
      </w:r>
    </w:p>
    <w:p w:rsidRPr="000F4C13" w:rsidR="00C96053" w:rsidRDefault="008B0C23" w14:paraId="224B9AC4" w14:textId="1A4429BF">
      <w:pPr>
        <w:pStyle w:val="Heading4"/>
        <w:rPr>
          <w:rFonts w:asciiTheme="majorHAnsi" w:hAnsiTheme="majorHAnsi" w:cstheme="majorHAnsi"/>
        </w:rPr>
      </w:pPr>
      <w:bookmarkStart w:name="_2nfk1p2fml94" w:colFirst="0" w:colLast="0" w:id="133"/>
      <w:bookmarkStart w:name="_jsep3da32ug" w:colFirst="0" w:colLast="0" w:id="134"/>
      <w:bookmarkEnd w:id="133"/>
      <w:bookmarkEnd w:id="134"/>
      <w:r w:rsidRPr="000F4C13">
        <w:rPr>
          <w:rFonts w:asciiTheme="majorHAnsi" w:hAnsiTheme="majorHAnsi" w:cstheme="majorHAnsi"/>
        </w:rPr>
        <w:t xml:space="preserve">Adopted </w:t>
      </w:r>
      <w:r w:rsidRPr="000F4C13" w:rsidR="00B2522B">
        <w:rPr>
          <w:rFonts w:asciiTheme="majorHAnsi" w:hAnsiTheme="majorHAnsi" w:cstheme="majorHAnsi"/>
        </w:rPr>
        <w:t>Legislation Highlights</w:t>
      </w:r>
    </w:p>
    <w:p w:rsidRPr="000F4C13" w:rsidR="00C96053" w:rsidP="0057045C" w:rsidRDefault="00B2522B" w14:paraId="497D0760" w14:textId="77777777">
      <w:pPr>
        <w:numPr>
          <w:ilvl w:val="0"/>
          <w:numId w:val="8"/>
        </w:numPr>
        <w:spacing w:after="0"/>
        <w:jc w:val="both"/>
        <w:rPr>
          <w:rFonts w:eastAsia="Calibri" w:asciiTheme="majorHAnsi" w:hAnsiTheme="majorHAnsi" w:cstheme="majorHAnsi"/>
        </w:rPr>
      </w:pPr>
      <w:r w:rsidRPr="000F4C13">
        <w:rPr>
          <w:rFonts w:eastAsia="Calibri" w:asciiTheme="majorHAnsi" w:hAnsiTheme="majorHAnsi" w:cstheme="majorHAnsi"/>
          <w:b/>
        </w:rPr>
        <w:t>Earthquake Insurance Mandatory Offer</w:t>
      </w:r>
      <w:r w:rsidRPr="000F4C13">
        <w:rPr>
          <w:rFonts w:eastAsia="Calibri" w:asciiTheme="majorHAnsi" w:hAnsiTheme="majorHAnsi" w:cstheme="majorHAnsi"/>
        </w:rPr>
        <w:t xml:space="preserve"> (Insurance Code, section </w:t>
      </w:r>
      <w:hyperlink r:id="rId180">
        <w:r w:rsidRPr="000F4C13" w:rsidR="00C96053">
          <w:rPr>
            <w:rFonts w:eastAsia="Calibri" w:asciiTheme="majorHAnsi" w:hAnsiTheme="majorHAnsi" w:cstheme="majorHAnsi"/>
            <w:color w:val="467886"/>
            <w:u w:val="single"/>
          </w:rPr>
          <w:t>10081</w:t>
        </w:r>
      </w:hyperlink>
      <w:r w:rsidRPr="000F4C13">
        <w:rPr>
          <w:rFonts w:eastAsia="Calibri" w:asciiTheme="majorHAnsi" w:hAnsiTheme="majorHAnsi" w:cstheme="majorHAnsi"/>
        </w:rPr>
        <w:t>): Insurers must offer earthquake insurance when issuing a homeowners policy, which can be underwritten directly by the insurer, an affiliate, or a nonaffiliated insurer.</w:t>
      </w:r>
    </w:p>
    <w:p w:rsidRPr="000F4C13" w:rsidR="00C96053" w:rsidP="0057045C" w:rsidRDefault="00B2522B" w14:paraId="5C90D43A" w14:textId="77777777">
      <w:pPr>
        <w:numPr>
          <w:ilvl w:val="0"/>
          <w:numId w:val="8"/>
        </w:numPr>
        <w:spacing w:after="0"/>
        <w:jc w:val="both"/>
        <w:rPr>
          <w:rFonts w:eastAsia="Calibri" w:asciiTheme="majorHAnsi" w:hAnsiTheme="majorHAnsi" w:cstheme="majorHAnsi"/>
        </w:rPr>
      </w:pPr>
      <w:r w:rsidRPr="000F4C13">
        <w:rPr>
          <w:rFonts w:eastAsia="Calibri" w:asciiTheme="majorHAnsi" w:hAnsiTheme="majorHAnsi" w:cstheme="majorHAnsi"/>
          <w:b/>
        </w:rPr>
        <w:t>Fire Following Earthquake Coverage</w:t>
      </w:r>
      <w:r w:rsidRPr="000F4C13">
        <w:rPr>
          <w:rFonts w:eastAsia="Calibri" w:asciiTheme="majorHAnsi" w:hAnsiTheme="majorHAnsi" w:cstheme="majorHAnsi"/>
        </w:rPr>
        <w:t xml:space="preserve"> (Insurance Code, section </w:t>
      </w:r>
      <w:hyperlink r:id="rId181">
        <w:r w:rsidRPr="000F4C13" w:rsidR="00C96053">
          <w:rPr>
            <w:rFonts w:eastAsia="Calibri" w:asciiTheme="majorHAnsi" w:hAnsiTheme="majorHAnsi" w:cstheme="majorHAnsi"/>
            <w:color w:val="467886"/>
            <w:u w:val="single"/>
          </w:rPr>
          <w:t>10088.5</w:t>
        </w:r>
      </w:hyperlink>
      <w:r w:rsidRPr="000F4C13">
        <w:rPr>
          <w:rFonts w:eastAsia="Calibri" w:asciiTheme="majorHAnsi" w:hAnsiTheme="majorHAnsi" w:cstheme="majorHAnsi"/>
        </w:rPr>
        <w:t>): Fire following earthquake is covered by the underlying homeowners insurance policy.</w:t>
      </w:r>
    </w:p>
    <w:p w:rsidRPr="000F4C13" w:rsidR="00C96053" w:rsidP="0057045C" w:rsidRDefault="00B2522B" w14:paraId="3B2A938E" w14:textId="4C2F4A8F">
      <w:pPr>
        <w:numPr>
          <w:ilvl w:val="0"/>
          <w:numId w:val="8"/>
        </w:numPr>
        <w:jc w:val="both"/>
        <w:rPr>
          <w:rFonts w:eastAsia="Calibri" w:asciiTheme="majorHAnsi" w:hAnsiTheme="majorHAnsi" w:cstheme="majorHAnsi"/>
        </w:rPr>
      </w:pPr>
      <w:r w:rsidRPr="000F4C13">
        <w:rPr>
          <w:rFonts w:eastAsia="Calibri" w:asciiTheme="majorHAnsi" w:hAnsiTheme="majorHAnsi" w:cstheme="majorHAnsi"/>
          <w:b/>
        </w:rPr>
        <w:t>Grant funding and Increase Awareness of the Earthquake Brace and Bolt Program</w:t>
      </w:r>
      <w:r w:rsidRPr="000F4C13">
        <w:rPr>
          <w:rFonts w:eastAsia="Calibri" w:asciiTheme="majorHAnsi" w:hAnsiTheme="majorHAnsi" w:cstheme="majorHAnsi"/>
        </w:rPr>
        <w:t xml:space="preserve">: </w:t>
      </w:r>
      <w:r w:rsidRPr="000F4C13" w:rsidR="00DA322F">
        <w:rPr>
          <w:rFonts w:eastAsia="Calibri" w:asciiTheme="majorHAnsi" w:hAnsiTheme="majorHAnsi" w:cstheme="majorHAnsi"/>
        </w:rPr>
        <w:t xml:space="preserve">(Insurance Code, section </w:t>
      </w:r>
      <w:hyperlink r:id="rId182">
        <w:r w:rsidRPr="000F4C13" w:rsidR="00DA322F">
          <w:rPr>
            <w:rFonts w:eastAsia="Calibri" w:asciiTheme="majorHAnsi" w:hAnsiTheme="majorHAnsi" w:cstheme="majorHAnsi"/>
            <w:color w:val="467886"/>
            <w:u w:val="single"/>
          </w:rPr>
          <w:t>10089.396</w:t>
        </w:r>
      </w:hyperlink>
      <w:r w:rsidRPr="000F4C13" w:rsidR="00DA322F">
        <w:rPr>
          <w:rFonts w:eastAsia="Calibri" w:asciiTheme="majorHAnsi" w:hAnsiTheme="majorHAnsi" w:cstheme="majorHAnsi"/>
        </w:rPr>
        <w:t>):</w:t>
      </w:r>
      <w:r w:rsidRPr="000F4C13" w:rsidR="00662F5D">
        <w:rPr>
          <w:rFonts w:eastAsia="Calibri" w:asciiTheme="majorHAnsi" w:hAnsiTheme="majorHAnsi" w:cstheme="majorHAnsi"/>
        </w:rPr>
        <w:t xml:space="preserve"> </w:t>
      </w:r>
      <w:r w:rsidRPr="000F4C13">
        <w:rPr>
          <w:rFonts w:eastAsia="Calibri" w:asciiTheme="majorHAnsi" w:hAnsiTheme="majorHAnsi" w:cstheme="majorHAnsi"/>
        </w:rPr>
        <w:t xml:space="preserve">The law requires the California Residential Mitigation Program (CRMP) to provide outreach to low-income households to increase awareness of the Earthquake Brace and Bolt program in communities where the program is offered. The law also requires the CRMP to set aside at least 10% of the funds available each year for the Earthquake Brace and Bolt program to provide supplemental grants to homeowners of low-income households who were selected to receive grants pursuant to the program. </w:t>
      </w:r>
    </w:p>
    <w:p w:rsidRPr="000F4C13" w:rsidR="00C96053" w:rsidRDefault="00B2522B" w14:paraId="6B6B8A4C" w14:textId="77777777">
      <w:pPr>
        <w:pStyle w:val="Heading4"/>
        <w:rPr>
          <w:rFonts w:asciiTheme="majorHAnsi" w:hAnsiTheme="majorHAnsi" w:cstheme="majorHAnsi"/>
        </w:rPr>
      </w:pPr>
      <w:bookmarkStart w:name="_65wjbf8lbz85" w:colFirst="0" w:colLast="0" w:id="135"/>
      <w:bookmarkEnd w:id="135"/>
      <w:r w:rsidRPr="000F4C13">
        <w:rPr>
          <w:rFonts w:asciiTheme="majorHAnsi" w:hAnsiTheme="majorHAnsi" w:cstheme="majorHAnsi"/>
        </w:rPr>
        <w:t>Consumer Resources and Grants</w:t>
      </w:r>
    </w:p>
    <w:p w:rsidRPr="000F4C13" w:rsidR="00C96053" w:rsidP="00662F5D" w:rsidRDefault="00B2522B" w14:paraId="17A56C0A" w14:textId="17FCDECF">
      <w:pPr>
        <w:pStyle w:val="Heading5"/>
        <w:jc w:val="both"/>
        <w:rPr>
          <w:rFonts w:asciiTheme="majorHAnsi" w:hAnsiTheme="majorHAnsi" w:cstheme="majorHAnsi"/>
        </w:rPr>
      </w:pPr>
      <w:r w:rsidRPr="000F4C13">
        <w:rPr>
          <w:rFonts w:asciiTheme="majorHAnsi" w:hAnsiTheme="majorHAnsi" w:cstheme="majorHAnsi"/>
        </w:rPr>
        <w:t>Earthquake Insurance Providers</w:t>
      </w:r>
    </w:p>
    <w:p w:rsidRPr="000F4C13" w:rsidR="00C96053" w:rsidP="0057045C" w:rsidRDefault="00C96053" w14:paraId="402E7ACC" w14:textId="77777777">
      <w:pPr>
        <w:numPr>
          <w:ilvl w:val="0"/>
          <w:numId w:val="4"/>
        </w:numPr>
        <w:spacing w:after="0"/>
        <w:jc w:val="both"/>
        <w:rPr>
          <w:rFonts w:eastAsia="Calibri" w:asciiTheme="majorHAnsi" w:hAnsiTheme="majorHAnsi" w:cstheme="majorHAnsi"/>
        </w:rPr>
      </w:pPr>
      <w:hyperlink r:id="rId183">
        <w:r w:rsidRPr="000F4C13">
          <w:rPr>
            <w:rFonts w:eastAsia="Calibri" w:asciiTheme="majorHAnsi" w:hAnsiTheme="majorHAnsi" w:cstheme="majorHAnsi"/>
            <w:color w:val="467886"/>
            <w:u w:val="single"/>
          </w:rPr>
          <w:t>California Earthquake Authority</w:t>
        </w:r>
      </w:hyperlink>
      <w:r w:rsidRPr="000F4C13">
        <w:rPr>
          <w:rFonts w:eastAsia="Calibri" w:asciiTheme="majorHAnsi" w:hAnsiTheme="majorHAnsi" w:cstheme="majorHAnsi"/>
          <w:u w:val="single"/>
        </w:rPr>
        <w:t xml:space="preserve"> (CEA</w:t>
      </w:r>
      <w:r w:rsidRPr="000F4C13">
        <w:rPr>
          <w:rFonts w:eastAsia="Calibri" w:asciiTheme="majorHAnsi" w:hAnsiTheme="majorHAnsi" w:cstheme="majorHAnsi"/>
        </w:rPr>
        <w:t xml:space="preserve">): The CEA is a not-for-profit, publicly managed, privately funded entity.  It is the largest earthquake insurer in the state.  It writes earthquake policies on behalf of insurers that participate in the CEA program.  </w:t>
      </w:r>
    </w:p>
    <w:p w:rsidRPr="000F4C13" w:rsidR="00C96053" w:rsidP="0057045C" w:rsidRDefault="00B2522B" w14:paraId="5229C2AB" w14:textId="77777777">
      <w:pPr>
        <w:numPr>
          <w:ilvl w:val="0"/>
          <w:numId w:val="4"/>
        </w:numPr>
        <w:spacing w:after="0"/>
        <w:jc w:val="both"/>
        <w:rPr>
          <w:rFonts w:eastAsia="Calibri" w:asciiTheme="majorHAnsi" w:hAnsiTheme="majorHAnsi" w:cstheme="majorHAnsi"/>
        </w:rPr>
      </w:pPr>
      <w:r w:rsidRPr="000F4C13">
        <w:rPr>
          <w:rFonts w:eastAsia="Calibri" w:asciiTheme="majorHAnsi" w:hAnsiTheme="majorHAnsi" w:cstheme="majorHAnsi"/>
        </w:rPr>
        <w:t xml:space="preserve">Earthquake insurance is also available through other </w:t>
      </w:r>
      <w:hyperlink r:id="rId184">
        <w:r w:rsidRPr="000F4C13" w:rsidR="00C96053">
          <w:rPr>
            <w:rFonts w:eastAsia="Calibri" w:asciiTheme="majorHAnsi" w:hAnsiTheme="majorHAnsi" w:cstheme="majorHAnsi"/>
            <w:color w:val="467886"/>
            <w:u w:val="single"/>
          </w:rPr>
          <w:t>Nonaffiliated Earthquake Insurance Providers</w:t>
        </w:r>
      </w:hyperlink>
    </w:p>
    <w:p w:rsidRPr="000F4C13" w:rsidR="00C96053" w:rsidP="0057045C" w:rsidRDefault="00C96053" w14:paraId="271DFCCE" w14:textId="77777777">
      <w:pPr>
        <w:numPr>
          <w:ilvl w:val="0"/>
          <w:numId w:val="4"/>
        </w:numPr>
        <w:jc w:val="both"/>
        <w:rPr>
          <w:rFonts w:eastAsia="Calibri" w:asciiTheme="majorHAnsi" w:hAnsiTheme="majorHAnsi" w:cstheme="majorHAnsi"/>
        </w:rPr>
      </w:pPr>
      <w:hyperlink r:id="rId185">
        <w:r w:rsidRPr="000F4C13">
          <w:rPr>
            <w:rFonts w:eastAsia="Calibri" w:asciiTheme="majorHAnsi" w:hAnsiTheme="majorHAnsi" w:cstheme="majorHAnsi"/>
            <w:color w:val="467886"/>
            <w:u w:val="single"/>
          </w:rPr>
          <w:t>Parametric Earthquake Insurance</w:t>
        </w:r>
      </w:hyperlink>
      <w:r w:rsidRPr="000F4C13">
        <w:rPr>
          <w:rFonts w:eastAsia="Calibri" w:asciiTheme="majorHAnsi" w:hAnsiTheme="majorHAnsi" w:cstheme="majorHAnsi"/>
          <w:u w:val="single"/>
        </w:rPr>
        <w:t xml:space="preserve"> </w:t>
      </w:r>
      <w:r w:rsidRPr="000F4C13">
        <w:rPr>
          <w:rFonts w:eastAsia="Calibri" w:asciiTheme="majorHAnsi" w:hAnsiTheme="majorHAnsi" w:cstheme="majorHAnsi"/>
        </w:rPr>
        <w:t>with coverage up to $20K is available to cover a policyholder’s immediate needs following an earthquake.  It is not homeowners insurance.</w:t>
      </w:r>
    </w:p>
    <w:p w:rsidRPr="000F4C13" w:rsidR="00C96053" w:rsidP="00662F5D" w:rsidRDefault="00B2522B" w14:paraId="447826C7" w14:textId="1D956234">
      <w:pPr>
        <w:pStyle w:val="Heading5"/>
        <w:jc w:val="both"/>
        <w:rPr>
          <w:rFonts w:asciiTheme="majorHAnsi" w:hAnsiTheme="majorHAnsi" w:cstheme="majorHAnsi"/>
        </w:rPr>
      </w:pPr>
      <w:r w:rsidRPr="000F4C13">
        <w:rPr>
          <w:rFonts w:asciiTheme="majorHAnsi" w:hAnsiTheme="majorHAnsi" w:cstheme="majorHAnsi"/>
        </w:rPr>
        <w:t>Residential Earthquake Retrofit Grants and Premium Discounts</w:t>
      </w:r>
    </w:p>
    <w:p w:rsidRPr="000F4C13" w:rsidR="00C96053" w:rsidP="0057045C" w:rsidRDefault="00C96053" w14:paraId="5074861F" w14:textId="77777777">
      <w:pPr>
        <w:numPr>
          <w:ilvl w:val="0"/>
          <w:numId w:val="11"/>
        </w:numPr>
        <w:spacing w:after="0"/>
        <w:jc w:val="both"/>
        <w:rPr>
          <w:rFonts w:eastAsia="Calibri" w:asciiTheme="majorHAnsi" w:hAnsiTheme="majorHAnsi" w:cstheme="majorHAnsi"/>
        </w:rPr>
      </w:pPr>
      <w:hyperlink r:id="rId186">
        <w:r w:rsidRPr="000F4C13">
          <w:rPr>
            <w:rFonts w:eastAsia="Calibri" w:asciiTheme="majorHAnsi" w:hAnsiTheme="majorHAnsi" w:cstheme="majorHAnsi"/>
            <w:color w:val="467886"/>
            <w:u w:val="single"/>
          </w:rPr>
          <w:t>Earthquake Retrofit Grants</w:t>
        </w:r>
      </w:hyperlink>
      <w:r w:rsidRPr="000F4C13">
        <w:rPr>
          <w:rFonts w:eastAsia="Calibri" w:asciiTheme="majorHAnsi" w:hAnsiTheme="majorHAnsi" w:cstheme="majorHAnsi"/>
        </w:rPr>
        <w:t>: The CEA is required to set aside funds for loss mitigation grants. Accordingly, the CEA created the California Residential Mitigation Program (</w:t>
      </w:r>
      <w:hyperlink r:id="rId187">
        <w:r w:rsidRPr="000F4C13">
          <w:rPr>
            <w:rFonts w:eastAsia="Calibri" w:asciiTheme="majorHAnsi" w:hAnsiTheme="majorHAnsi" w:cstheme="majorHAnsi"/>
            <w:color w:val="467886"/>
            <w:u w:val="single"/>
          </w:rPr>
          <w:t>CRMP</w:t>
        </w:r>
      </w:hyperlink>
      <w:r w:rsidRPr="000F4C13">
        <w:rPr>
          <w:rFonts w:eastAsia="Calibri" w:asciiTheme="majorHAnsi" w:hAnsiTheme="majorHAnsi" w:cstheme="majorHAnsi"/>
        </w:rPr>
        <w:t>) to provide grants and assist with developing building codes for earthquake retrofits.</w:t>
      </w:r>
    </w:p>
    <w:p w:rsidRPr="000F4C13" w:rsidR="00C96053" w:rsidP="0057045C" w:rsidRDefault="00C96053" w14:paraId="214A2755" w14:textId="77777777">
      <w:pPr>
        <w:numPr>
          <w:ilvl w:val="0"/>
          <w:numId w:val="11"/>
        </w:numPr>
        <w:spacing w:after="0"/>
        <w:jc w:val="both"/>
        <w:rPr>
          <w:rFonts w:eastAsia="Calibri" w:asciiTheme="majorHAnsi" w:hAnsiTheme="majorHAnsi" w:cstheme="majorHAnsi"/>
        </w:rPr>
      </w:pPr>
      <w:hyperlink r:id="rId188">
        <w:r w:rsidRPr="000F4C13">
          <w:rPr>
            <w:rFonts w:eastAsia="Calibri" w:asciiTheme="majorHAnsi" w:hAnsiTheme="majorHAnsi" w:cstheme="majorHAnsi"/>
            <w:color w:val="467886"/>
            <w:u w:val="single"/>
          </w:rPr>
          <w:t>Earthquake Brace + Bolt</w:t>
        </w:r>
      </w:hyperlink>
      <w:r w:rsidRPr="000F4C13">
        <w:rPr>
          <w:rFonts w:eastAsia="Calibri" w:asciiTheme="majorHAnsi" w:hAnsiTheme="majorHAnsi" w:cstheme="majorHAnsi"/>
        </w:rPr>
        <w:t>: An incentive program, run by the CRMP, that offers grants of up to $3,000 to qualified homeowners with eligible houses in a select number of higher-earthquake-risk ZIP Codes. The program provides retrofit funding to make homes more resistant to earthquake damage by bracing crawl space walls and bolting houses to their foundations.</w:t>
      </w:r>
    </w:p>
    <w:p w:rsidRPr="000F4C13" w:rsidR="00C96053" w:rsidP="0057045C" w:rsidRDefault="00B2522B" w14:paraId="34D3BA14" w14:textId="77777777">
      <w:pPr>
        <w:numPr>
          <w:ilvl w:val="0"/>
          <w:numId w:val="11"/>
        </w:numPr>
        <w:jc w:val="both"/>
        <w:rPr>
          <w:rFonts w:eastAsia="Calibri" w:asciiTheme="majorHAnsi" w:hAnsiTheme="majorHAnsi" w:cstheme="majorHAnsi"/>
        </w:rPr>
      </w:pPr>
      <w:r w:rsidRPr="000F4C13">
        <w:rPr>
          <w:rFonts w:eastAsia="Calibri" w:asciiTheme="majorHAnsi" w:hAnsiTheme="majorHAnsi" w:cstheme="majorHAnsi"/>
        </w:rPr>
        <w:t xml:space="preserve">In addition to the CRMP grants, </w:t>
      </w:r>
      <w:hyperlink r:id="rId189">
        <w:r w:rsidRPr="000F4C13" w:rsidR="00C96053">
          <w:rPr>
            <w:rFonts w:eastAsia="Calibri" w:asciiTheme="majorHAnsi" w:hAnsiTheme="majorHAnsi" w:cstheme="majorHAnsi"/>
            <w:color w:val="467886"/>
            <w:u w:val="single"/>
          </w:rPr>
          <w:t>other financial assistance options for earthquake retrofits</w:t>
        </w:r>
      </w:hyperlink>
      <w:r w:rsidRPr="000F4C13">
        <w:rPr>
          <w:rFonts w:eastAsia="Calibri" w:asciiTheme="majorHAnsi" w:hAnsiTheme="majorHAnsi" w:cstheme="majorHAnsi"/>
        </w:rPr>
        <w:t xml:space="preserve"> are available.</w:t>
      </w:r>
    </w:p>
    <w:p w:rsidRPr="000F4C13" w:rsidR="00C96053" w:rsidP="00662F5D" w:rsidRDefault="00B2522B" w14:paraId="39964EB5" w14:textId="77777777">
      <w:pPr>
        <w:pStyle w:val="Heading5"/>
        <w:jc w:val="both"/>
        <w:rPr>
          <w:rFonts w:asciiTheme="majorHAnsi" w:hAnsiTheme="majorHAnsi" w:cstheme="majorHAnsi"/>
        </w:rPr>
      </w:pPr>
      <w:r w:rsidRPr="000F4C13">
        <w:rPr>
          <w:rFonts w:asciiTheme="majorHAnsi" w:hAnsiTheme="majorHAnsi" w:cstheme="majorHAnsi"/>
        </w:rPr>
        <w:t xml:space="preserve">Risk Communication and Awareness </w:t>
      </w:r>
    </w:p>
    <w:p w:rsidRPr="000F4C13" w:rsidR="00C96053" w:rsidP="0057045C" w:rsidRDefault="00C96053" w14:paraId="56564D7E" w14:textId="77777777">
      <w:pPr>
        <w:numPr>
          <w:ilvl w:val="0"/>
          <w:numId w:val="7"/>
        </w:numPr>
        <w:spacing w:after="0"/>
        <w:jc w:val="both"/>
        <w:rPr>
          <w:rFonts w:eastAsia="Calibri" w:asciiTheme="majorHAnsi" w:hAnsiTheme="majorHAnsi" w:cstheme="majorHAnsi"/>
        </w:rPr>
      </w:pPr>
      <w:hyperlink r:id="rId190">
        <w:r w:rsidRPr="000F4C13">
          <w:rPr>
            <w:rFonts w:eastAsia="Calibri" w:asciiTheme="majorHAnsi" w:hAnsiTheme="majorHAnsi" w:cstheme="majorHAnsi"/>
            <w:color w:val="467886"/>
            <w:u w:val="single"/>
          </w:rPr>
          <w:t>Structural Risks</w:t>
        </w:r>
      </w:hyperlink>
      <w:r w:rsidRPr="000F4C13">
        <w:rPr>
          <w:rFonts w:eastAsia="Calibri" w:asciiTheme="majorHAnsi" w:hAnsiTheme="majorHAnsi" w:cstheme="majorHAnsi"/>
        </w:rPr>
        <w:t xml:space="preserve"> to residential properties are explained at the CRMP website.</w:t>
      </w:r>
    </w:p>
    <w:p w:rsidRPr="000F4C13" w:rsidR="00C96053" w:rsidP="0057045C" w:rsidRDefault="00B2522B" w14:paraId="47E7CF83" w14:textId="77777777">
      <w:pPr>
        <w:numPr>
          <w:ilvl w:val="0"/>
          <w:numId w:val="7"/>
        </w:numPr>
        <w:jc w:val="both"/>
        <w:rPr>
          <w:rFonts w:eastAsia="Calibri" w:asciiTheme="majorHAnsi" w:hAnsiTheme="majorHAnsi" w:cstheme="majorHAnsi"/>
        </w:rPr>
      </w:pPr>
      <w:r w:rsidRPr="000F4C13">
        <w:rPr>
          <w:rFonts w:eastAsia="Calibri" w:asciiTheme="majorHAnsi" w:hAnsiTheme="majorHAnsi" w:cstheme="majorHAnsi"/>
        </w:rPr>
        <w:t xml:space="preserve">Additional </w:t>
      </w:r>
      <w:hyperlink r:id="rId191">
        <w:r w:rsidRPr="000F4C13" w:rsidR="00C96053">
          <w:rPr>
            <w:rFonts w:eastAsia="Calibri" w:asciiTheme="majorHAnsi" w:hAnsiTheme="majorHAnsi" w:cstheme="majorHAnsi"/>
            <w:color w:val="467886"/>
            <w:u w:val="single"/>
          </w:rPr>
          <w:t>Hazard Mitigation</w:t>
        </w:r>
      </w:hyperlink>
      <w:r w:rsidRPr="000F4C13">
        <w:rPr>
          <w:rFonts w:eastAsia="Calibri" w:asciiTheme="majorHAnsi" w:hAnsiTheme="majorHAnsi" w:cstheme="majorHAnsi"/>
        </w:rPr>
        <w:t xml:space="preserve"> resources are available at the California Earthquake Alliance website.</w:t>
      </w:r>
    </w:p>
    <w:p w:rsidRPr="000F4C13" w:rsidR="00C96053" w:rsidRDefault="00B2522B" w14:paraId="2310AE48" w14:textId="77777777">
      <w:pPr>
        <w:pStyle w:val="Heading4"/>
        <w:rPr>
          <w:rFonts w:asciiTheme="majorHAnsi" w:hAnsiTheme="majorHAnsi" w:cstheme="majorHAnsi"/>
        </w:rPr>
      </w:pPr>
      <w:bookmarkStart w:name="_ckkdzkk18de5" w:colFirst="0" w:colLast="0" w:id="136"/>
      <w:bookmarkEnd w:id="136"/>
      <w:r w:rsidRPr="000F4C13">
        <w:rPr>
          <w:rFonts w:asciiTheme="majorHAnsi" w:hAnsiTheme="majorHAnsi" w:cstheme="majorHAnsi"/>
        </w:rPr>
        <w:t>Research</w:t>
      </w:r>
    </w:p>
    <w:p w:rsidRPr="000F4C13" w:rsidR="00C96053" w:rsidP="00662F5D" w:rsidRDefault="00C96053" w14:paraId="51FAC3E4" w14:textId="52E31214">
      <w:pPr>
        <w:jc w:val="both"/>
        <w:rPr>
          <w:rFonts w:eastAsia="Calibri" w:asciiTheme="majorHAnsi" w:hAnsiTheme="majorHAnsi" w:cstheme="majorHAnsi"/>
        </w:rPr>
      </w:pPr>
      <w:hyperlink r:id="rId192">
        <w:r w:rsidRPr="000F4C13">
          <w:rPr>
            <w:rFonts w:eastAsia="Calibri" w:asciiTheme="majorHAnsi" w:hAnsiTheme="majorHAnsi" w:cstheme="majorHAnsi"/>
            <w:color w:val="467886"/>
            <w:u w:val="single"/>
          </w:rPr>
          <w:t>Statewide California Earthquake Center</w:t>
        </w:r>
      </w:hyperlink>
      <w:r w:rsidRPr="000F4C13">
        <w:rPr>
          <w:rFonts w:eastAsia="Calibri" w:asciiTheme="majorHAnsi" w:hAnsiTheme="majorHAnsi" w:cstheme="majorHAnsi"/>
        </w:rPr>
        <w:t xml:space="preserve"> (SCEC) collaborates with academic, government, industry, and other organizations to: (1) Gather and analyze data from field observations and laboratory experiments. (2) Develop system-level models and simulations of earthquake processes to synthesize knowledge as a physics-based understanding of seismic hazard. (3) Communicate that understanding to expand knowledge and reduce earthquake risk.</w:t>
      </w:r>
    </w:p>
    <w:p w:rsidRPr="000F4C13" w:rsidR="00C96053" w:rsidRDefault="0035069D" w14:paraId="7FDDB319" w14:textId="77777777">
      <w:pPr>
        <w:jc w:val="both"/>
        <w:rPr>
          <w:rFonts w:eastAsia="Calibri" w:asciiTheme="majorHAnsi" w:hAnsiTheme="majorHAnsi" w:cstheme="majorHAnsi"/>
        </w:rPr>
      </w:pPr>
      <w:bookmarkStart w:name="_hx10g1j7y5zf" w:colFirst="0" w:colLast="0" w:id="137"/>
      <w:bookmarkEnd w:id="137"/>
      <w:r>
        <w:rPr>
          <w:rFonts w:asciiTheme="majorHAnsi" w:hAnsiTheme="majorHAnsi" w:cstheme="majorHAnsi"/>
        </w:rPr>
        <w:pict w14:anchorId="042E870C">
          <v:rect id="_x0000_i1034" style="width:0;height:1.5pt" o:hr="t" o:hrstd="t" o:hralign="center" fillcolor="#a0a0a0" stroked="f"/>
        </w:pict>
      </w:r>
    </w:p>
    <w:p w:rsidRPr="000F4C13" w:rsidR="00C96053" w:rsidRDefault="00B2522B" w14:paraId="772CD08C" w14:textId="323A1D28">
      <w:pPr>
        <w:pStyle w:val="Heading2"/>
        <w:rPr>
          <w:rFonts w:asciiTheme="majorHAnsi" w:hAnsiTheme="majorHAnsi" w:cstheme="majorHAnsi"/>
        </w:rPr>
      </w:pPr>
      <w:bookmarkStart w:name="_aaqk8d8fz6sh" w:colFirst="0" w:colLast="0" w:id="138"/>
      <w:bookmarkEnd w:id="138"/>
      <w:r w:rsidRPr="000F4C13">
        <w:rPr>
          <w:rFonts w:asciiTheme="majorHAnsi" w:hAnsiTheme="majorHAnsi" w:cstheme="majorHAnsi"/>
        </w:rPr>
        <w:t>Flood</w:t>
      </w:r>
      <w:r w:rsidRPr="000F4C13" w:rsidR="00752B30">
        <w:rPr>
          <w:rFonts w:asciiTheme="majorHAnsi" w:hAnsiTheme="majorHAnsi" w:cstheme="majorHAnsi"/>
          <w:sz w:val="28"/>
          <w:szCs w:val="28"/>
        </w:rPr>
        <w:t>—</w:t>
      </w:r>
      <w:r w:rsidRPr="000F4C13">
        <w:rPr>
          <w:rFonts w:asciiTheme="majorHAnsi" w:hAnsiTheme="majorHAnsi" w:cstheme="majorHAnsi"/>
        </w:rPr>
        <w:t xml:space="preserve">Florida, Minnesota, and Mississippi </w:t>
      </w:r>
    </w:p>
    <w:p w:rsidRPr="000F4C13" w:rsidR="00C96053" w:rsidRDefault="003049B0" w14:paraId="0D497E7A" w14:textId="27510B05">
      <w:pPr>
        <w:pStyle w:val="Heading3"/>
        <w:spacing w:after="0"/>
        <w:rPr>
          <w:rFonts w:asciiTheme="majorHAnsi" w:hAnsiTheme="majorHAnsi" w:cstheme="majorHAnsi"/>
        </w:rPr>
      </w:pPr>
      <w:bookmarkStart w:name="_crdpbvf01vgv" w:colFirst="0" w:colLast="0" w:id="139"/>
      <w:bookmarkEnd w:id="139"/>
      <w:r w:rsidRPr="000F4C13">
        <w:rPr>
          <w:rFonts w:asciiTheme="majorHAnsi" w:hAnsiTheme="majorHAnsi" w:cstheme="majorHAnsi"/>
        </w:rPr>
        <w:t>Overview</w:t>
      </w:r>
    </w:p>
    <w:p w:rsidRPr="000F4C13" w:rsidR="00C96053" w:rsidP="003049B0" w:rsidRDefault="007D493C" w14:paraId="5785CC49" w14:textId="34CF733B">
      <w:pPr>
        <w:jc w:val="both"/>
        <w:rPr>
          <w:rFonts w:asciiTheme="majorHAnsi" w:hAnsiTheme="majorHAnsi" w:cstheme="majorHAnsi"/>
        </w:rPr>
      </w:pPr>
      <w:r w:rsidRPr="000F4C13">
        <w:rPr>
          <w:rFonts w:asciiTheme="majorHAnsi" w:hAnsiTheme="majorHAnsi" w:cstheme="majorHAnsi"/>
        </w:rPr>
        <w:t xml:space="preserve">Flooding poses a significant threat to communities throughout the United States, affecting both coastal and inland regions. Various factors, such as heavy rainfall, hurricanes, storm surges, and river </w:t>
      </w:r>
      <w:r w:rsidR="00752B30">
        <w:rPr>
          <w:rFonts w:asciiTheme="majorHAnsi" w:hAnsiTheme="majorHAnsi" w:cstheme="majorHAnsi"/>
        </w:rPr>
        <w:t>overflows, contribute to flood risk, resulting in property damage, economic losses, and disruptions</w:t>
      </w:r>
      <w:r w:rsidRPr="000F4C13">
        <w:rPr>
          <w:rFonts w:asciiTheme="majorHAnsi" w:hAnsiTheme="majorHAnsi" w:cstheme="majorHAnsi"/>
        </w:rPr>
        <w:t xml:space="preserve"> to daily life. As extreme weather events become more frequent, understanding and mitigating flood hazards is crucial for protecting residential areas</w:t>
      </w:r>
      <w:r w:rsidRPr="000F4C13" w:rsidR="009F5D0A">
        <w:rPr>
          <w:rFonts w:asciiTheme="majorHAnsi" w:hAnsiTheme="majorHAnsi" w:cstheme="majorHAnsi"/>
        </w:rPr>
        <w:t xml:space="preserve"> </w:t>
      </w:r>
      <w:r w:rsidRPr="000F4C13">
        <w:rPr>
          <w:rFonts w:asciiTheme="majorHAnsi" w:hAnsiTheme="majorHAnsi" w:cstheme="majorHAnsi"/>
        </w:rPr>
        <w:t>and supporting long-term resilience efforts.</w:t>
      </w:r>
      <w:r w:rsidRPr="000F4C13" w:rsidR="008923B9">
        <w:rPr>
          <w:rFonts w:asciiTheme="majorHAnsi" w:hAnsiTheme="majorHAnsi" w:cstheme="majorHAnsi"/>
        </w:rPr>
        <w:t xml:space="preserve"> This section discusses activities specific to </w:t>
      </w:r>
      <w:r w:rsidRPr="000F4C13" w:rsidR="00752B30">
        <w:rPr>
          <w:rFonts w:asciiTheme="majorHAnsi" w:hAnsiTheme="majorHAnsi" w:cstheme="majorHAnsi"/>
        </w:rPr>
        <w:t>flooding</w:t>
      </w:r>
      <w:r w:rsidRPr="000F4C13" w:rsidR="008923B9">
        <w:rPr>
          <w:rFonts w:asciiTheme="majorHAnsi" w:hAnsiTheme="majorHAnsi" w:cstheme="majorHAnsi"/>
        </w:rPr>
        <w:t xml:space="preserve"> </w:t>
      </w:r>
      <w:r w:rsidR="00BE0883">
        <w:rPr>
          <w:rFonts w:asciiTheme="majorHAnsi" w:hAnsiTheme="majorHAnsi" w:cstheme="majorHAnsi"/>
        </w:rPr>
        <w:t xml:space="preserve">in </w:t>
      </w:r>
      <w:r w:rsidRPr="000F4C13" w:rsidR="008923B9">
        <w:rPr>
          <w:rFonts w:asciiTheme="majorHAnsi" w:hAnsiTheme="majorHAnsi" w:cstheme="majorHAnsi"/>
        </w:rPr>
        <w:t>the states of Florida</w:t>
      </w:r>
      <w:r w:rsidRPr="000F4C13" w:rsidR="003049B0">
        <w:rPr>
          <w:rFonts w:asciiTheme="majorHAnsi" w:hAnsiTheme="majorHAnsi" w:cstheme="majorHAnsi"/>
        </w:rPr>
        <w:t>, Minnesota, and Mississippi.</w:t>
      </w:r>
    </w:p>
    <w:p w:rsidRPr="000F4C13" w:rsidR="00C96053" w:rsidRDefault="00B2522B" w14:paraId="42FAEEAD" w14:textId="77777777">
      <w:pPr>
        <w:pStyle w:val="Heading3"/>
        <w:spacing w:after="0"/>
        <w:rPr>
          <w:rFonts w:asciiTheme="majorHAnsi" w:hAnsiTheme="majorHAnsi" w:cstheme="majorHAnsi"/>
        </w:rPr>
      </w:pPr>
      <w:bookmarkStart w:name="_k6vti8mchobi" w:colFirst="0" w:colLast="0" w:id="140"/>
      <w:bookmarkEnd w:id="140"/>
      <w:r w:rsidRPr="000F4C13">
        <w:rPr>
          <w:rFonts w:asciiTheme="majorHAnsi" w:hAnsiTheme="majorHAnsi" w:cstheme="majorHAnsi"/>
        </w:rPr>
        <w:t>Florida</w:t>
      </w:r>
    </w:p>
    <w:p w:rsidRPr="000F4C13" w:rsidR="003049B0" w:rsidRDefault="003049B0" w14:paraId="78CC3E27" w14:textId="7264D616">
      <w:pPr>
        <w:pStyle w:val="Heading4"/>
        <w:spacing w:after="0" w:line="276" w:lineRule="auto"/>
        <w:rPr>
          <w:rFonts w:asciiTheme="majorHAnsi" w:hAnsiTheme="majorHAnsi" w:cstheme="majorHAnsi"/>
        </w:rPr>
      </w:pPr>
      <w:bookmarkStart w:name="_3fualyc4fbjy" w:colFirst="0" w:colLast="0" w:id="141"/>
      <w:bookmarkEnd w:id="141"/>
      <w:r w:rsidRPr="000F4C13">
        <w:rPr>
          <w:rFonts w:asciiTheme="majorHAnsi" w:hAnsiTheme="majorHAnsi" w:cstheme="majorHAnsi"/>
        </w:rPr>
        <w:t>Introduction</w:t>
      </w:r>
    </w:p>
    <w:p w:rsidRPr="000F4C13" w:rsidR="003049B0" w:rsidP="00AE5BFB" w:rsidRDefault="00CE1DE4" w14:paraId="1E74534D" w14:textId="4BB5DA1B">
      <w:pPr>
        <w:pStyle w:val="Heading4"/>
        <w:spacing w:after="0" w:line="276" w:lineRule="auto"/>
        <w:rPr>
          <w:rFonts w:asciiTheme="majorHAnsi" w:hAnsiTheme="majorHAnsi" w:cstheme="majorHAnsi"/>
          <w:i w:val="0"/>
          <w:iCs w:val="0"/>
          <w:color w:val="auto"/>
        </w:rPr>
      </w:pPr>
      <w:r w:rsidRPr="000F4C13">
        <w:rPr>
          <w:rFonts w:asciiTheme="majorHAnsi" w:hAnsiTheme="majorHAnsi" w:cstheme="majorHAnsi"/>
          <w:i w:val="0"/>
          <w:iCs w:val="0"/>
          <w:color w:val="auto"/>
          <w:lang w:val="en-US"/>
        </w:rPr>
        <w:t>Florida</w:t>
      </w:r>
      <w:r w:rsidRPr="000F4C13" w:rsidR="00AD0181">
        <w:rPr>
          <w:rFonts w:asciiTheme="majorHAnsi" w:hAnsiTheme="majorHAnsi" w:cstheme="majorHAnsi"/>
          <w:i w:val="0"/>
          <w:iCs w:val="0"/>
          <w:color w:val="auto"/>
          <w:lang w:val="en-US"/>
        </w:rPr>
        <w:t> has a significant flood risk due to its low elevation, high water table, and proximity to the ocean. Every property in the state is technically in a flood zone, though the level of risk varies by location and elevation. While coastal areas are most vulnerable to storm surges, inland communities frequently experience flooding from heavy rainfall and overflowing rivers.</w:t>
      </w:r>
      <w:r w:rsidRPr="000F4C13" w:rsidR="00996A7F">
        <w:rPr>
          <w:rFonts w:asciiTheme="majorHAnsi" w:hAnsiTheme="majorHAnsi" w:cstheme="majorHAnsi"/>
          <w:i w:val="0"/>
          <w:iCs w:val="0"/>
          <w:color w:val="auto"/>
          <w:lang w:val="en-US"/>
        </w:rPr>
        <w:t xml:space="preserve"> </w:t>
      </w:r>
      <w:r w:rsidRPr="000F4C13" w:rsidR="00AE5BFB">
        <w:rPr>
          <w:rFonts w:asciiTheme="majorHAnsi" w:hAnsiTheme="majorHAnsi" w:cstheme="majorHAnsi"/>
          <w:i w:val="0"/>
          <w:color w:val="000000"/>
        </w:rPr>
        <w:t xml:space="preserve">Homeowners need to get flood insurance separately through the National Flood Insurance Program (NFIP) or private insurers. Although standard homeowners insurance doesn't cover flooding, floods can still affect coverage by causing non-renewals, higher premiums, or uncovered damage that may make a home ineligible for insurance. </w:t>
      </w:r>
      <w:r w:rsidRPr="000F4C13" w:rsidR="009F70DD">
        <w:rPr>
          <w:rFonts w:asciiTheme="majorHAnsi" w:hAnsiTheme="majorHAnsi" w:cstheme="majorHAnsi"/>
          <w:i w:val="0"/>
          <w:iCs w:val="0"/>
          <w:color w:val="auto"/>
        </w:rPr>
        <w:t> </w:t>
      </w:r>
    </w:p>
    <w:p w:rsidRPr="000F4C13" w:rsidR="00C96053" w:rsidRDefault="00B2522B" w14:paraId="2FA33ABD" w14:textId="660AFD2A">
      <w:pPr>
        <w:pStyle w:val="Heading4"/>
        <w:spacing w:after="0" w:line="276" w:lineRule="auto"/>
        <w:rPr>
          <w:rFonts w:asciiTheme="majorHAnsi" w:hAnsiTheme="majorHAnsi" w:cstheme="majorHAnsi"/>
        </w:rPr>
      </w:pPr>
      <w:r w:rsidRPr="000F4C13">
        <w:rPr>
          <w:rFonts w:asciiTheme="majorHAnsi" w:hAnsiTheme="majorHAnsi" w:cstheme="majorHAnsi"/>
        </w:rPr>
        <w:t>Reports</w:t>
      </w:r>
    </w:p>
    <w:p w:rsidRPr="000F4C13" w:rsidR="00C96053" w:rsidP="001833AB" w:rsidRDefault="00C96053" w14:paraId="241140F9" w14:textId="77777777">
      <w:pPr>
        <w:pStyle w:val="ListParagraph"/>
        <w:numPr>
          <w:ilvl w:val="0"/>
          <w:numId w:val="50"/>
        </w:numPr>
        <w:jc w:val="both"/>
        <w:rPr>
          <w:rFonts w:eastAsia="Calibri" w:asciiTheme="majorHAnsi" w:hAnsiTheme="majorHAnsi" w:cstheme="majorHAnsi"/>
          <w:color w:val="262222"/>
        </w:rPr>
      </w:pPr>
      <w:hyperlink r:id="rId193">
        <w:r w:rsidRPr="000F4C13">
          <w:rPr>
            <w:rFonts w:eastAsia="Calibri" w:asciiTheme="majorHAnsi" w:hAnsiTheme="majorHAnsi" w:cstheme="majorHAnsi"/>
            <w:color w:val="467886"/>
            <w:u w:val="single"/>
          </w:rPr>
          <w:t>Section 161.551, Florida Statutes</w:t>
        </w:r>
      </w:hyperlink>
      <w:r w:rsidRPr="000F4C13">
        <w:rPr>
          <w:rFonts w:eastAsia="Calibri" w:asciiTheme="majorHAnsi" w:hAnsiTheme="majorHAnsi" w:cstheme="majorHAnsi"/>
          <w:color w:val="262222"/>
        </w:rPr>
        <w:t xml:space="preserve"> (F.S.), requires state agencies, municipalities, counties, special districts, authorities or other corporate bodies of the state, which commission or manage a construction project within the coastal building zone using funds appropriated from the state to conduct a sea-level impact projection (“SLIP”) study. The SLIP study must be conducted, submitted to the Florida Department of Environmental Protection (“Department”), and published on the Department’s website before construction can commence. </w:t>
      </w:r>
    </w:p>
    <w:p w:rsidRPr="000F4C13" w:rsidR="00C96053" w:rsidP="001833AB" w:rsidRDefault="00B2522B" w14:paraId="44F661E7" w14:textId="77777777">
      <w:pPr>
        <w:pStyle w:val="ListParagraph"/>
        <w:numPr>
          <w:ilvl w:val="0"/>
          <w:numId w:val="50"/>
        </w:numPr>
        <w:spacing w:after="0"/>
        <w:jc w:val="both"/>
        <w:rPr>
          <w:rFonts w:eastAsia="Calibri" w:asciiTheme="majorHAnsi" w:hAnsiTheme="majorHAnsi" w:cstheme="majorHAnsi"/>
          <w:color w:val="262222"/>
        </w:rPr>
      </w:pPr>
      <w:r w:rsidRPr="000F4C13">
        <w:rPr>
          <w:rFonts w:eastAsia="Calibri" w:asciiTheme="majorHAnsi" w:hAnsiTheme="majorHAnsi" w:cstheme="majorHAnsi"/>
        </w:rPr>
        <w:t xml:space="preserve">The </w:t>
      </w:r>
      <w:hyperlink r:id="rId194">
        <w:r w:rsidRPr="000F4C13" w:rsidR="00C96053">
          <w:rPr>
            <w:rFonts w:eastAsia="Calibri" w:asciiTheme="majorHAnsi" w:hAnsiTheme="majorHAnsi" w:cstheme="majorHAnsi"/>
            <w:color w:val="467886"/>
            <w:u w:val="single"/>
          </w:rPr>
          <w:t>Resilience Inference Performance Level (RIPL) report</w:t>
        </w:r>
      </w:hyperlink>
      <w:r w:rsidRPr="000F4C13">
        <w:rPr>
          <w:rFonts w:eastAsia="Calibri" w:asciiTheme="majorHAnsi" w:hAnsiTheme="majorHAnsi" w:cstheme="majorHAnsi"/>
          <w:color w:val="262222"/>
        </w:rPr>
        <w:t xml:space="preserve"> aims to help insurance regulators, builders and homeowners identify cost-saving, risk-reducing strategies for residential construction against water intrusion hazards. </w:t>
      </w:r>
    </w:p>
    <w:p w:rsidRPr="000F4C13" w:rsidR="00C96053" w:rsidRDefault="00B2522B" w14:paraId="3B16C5C4" w14:textId="77777777">
      <w:pPr>
        <w:pStyle w:val="Heading4"/>
        <w:widowControl w:val="0"/>
        <w:spacing w:after="0"/>
        <w:rPr>
          <w:rFonts w:asciiTheme="majorHAnsi" w:hAnsiTheme="majorHAnsi" w:cstheme="majorHAnsi"/>
        </w:rPr>
      </w:pPr>
      <w:bookmarkStart w:name="_ork8qrahepki" w:colFirst="0" w:colLast="0" w:id="142"/>
      <w:bookmarkEnd w:id="142"/>
      <w:r w:rsidRPr="000F4C13">
        <w:rPr>
          <w:rFonts w:asciiTheme="majorHAnsi" w:hAnsiTheme="majorHAnsi" w:cstheme="majorHAnsi"/>
        </w:rPr>
        <w:t>Data Collection</w:t>
      </w:r>
    </w:p>
    <w:p w:rsidRPr="000F4C13" w:rsidR="00C96053" w:rsidP="00545A36" w:rsidRDefault="00B2522B" w14:paraId="73ADCACA" w14:textId="3D8C0184">
      <w:pPr>
        <w:pStyle w:val="ListParagraph"/>
        <w:widowControl w:val="0"/>
        <w:numPr>
          <w:ilvl w:val="0"/>
          <w:numId w:val="49"/>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195">
        <w:r w:rsidRPr="000F4C13" w:rsidR="00C96053">
          <w:rPr>
            <w:rFonts w:eastAsia="Calibri" w:asciiTheme="majorHAnsi" w:hAnsiTheme="majorHAnsi" w:cstheme="majorHAnsi"/>
            <w:color w:val="467886"/>
            <w:u w:val="single"/>
          </w:rPr>
          <w:t>Market Intelligence Report</w:t>
        </w:r>
      </w:hyperlink>
      <w:r w:rsidRPr="000F4C13">
        <w:rPr>
          <w:rFonts w:eastAsia="Calibri" w:asciiTheme="majorHAnsi" w:hAnsiTheme="majorHAnsi" w:cstheme="majorHAnsi"/>
        </w:rPr>
        <w:t xml:space="preserve"> captures Personal Residential Primary Private Flood and Personal Residential Excess Private Flood policies at a zip code level on a monthly basis</w:t>
      </w:r>
      <w:r w:rsidRPr="000F4C13" w:rsidR="00D507D9">
        <w:rPr>
          <w:rFonts w:eastAsia="Calibri" w:asciiTheme="majorHAnsi" w:hAnsiTheme="majorHAnsi" w:cstheme="majorHAnsi"/>
        </w:rPr>
        <w:t>.</w:t>
      </w:r>
    </w:p>
    <w:p w:rsidRPr="000F4C13" w:rsidR="00C96053" w:rsidP="00545A36" w:rsidRDefault="00B2522B" w14:paraId="6D49985F" w14:textId="578C370F">
      <w:pPr>
        <w:pStyle w:val="ListParagraph"/>
        <w:widowControl w:val="0"/>
        <w:numPr>
          <w:ilvl w:val="0"/>
          <w:numId w:val="49"/>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196">
        <w:r w:rsidRPr="000F4C13" w:rsidR="00C96053">
          <w:rPr>
            <w:rFonts w:eastAsia="Calibri" w:asciiTheme="majorHAnsi" w:hAnsiTheme="majorHAnsi" w:cstheme="majorHAnsi"/>
            <w:color w:val="467886"/>
            <w:u w:val="single"/>
          </w:rPr>
          <w:t>Catastrophe Reporting Form</w:t>
        </w:r>
      </w:hyperlink>
      <w:r w:rsidRPr="000F4C13">
        <w:rPr>
          <w:rFonts w:eastAsia="Calibri" w:asciiTheme="majorHAnsi" w:hAnsiTheme="majorHAnsi" w:cstheme="majorHAnsi"/>
        </w:rPr>
        <w:t xml:space="preserve"> captures Stand-Alone Private Flood policies in force, and Private Stand-Alone and Private Flood Endorsement claims at a zip code level. This form is filed after a hurricane makes landfall in Florida.</w:t>
      </w:r>
    </w:p>
    <w:p w:rsidRPr="000F4C13" w:rsidR="00C96053" w:rsidRDefault="00B2522B" w14:paraId="0A76E7EC" w14:textId="77777777">
      <w:pPr>
        <w:pStyle w:val="Heading4"/>
        <w:widowControl w:val="0"/>
        <w:spacing w:after="0"/>
        <w:rPr>
          <w:rFonts w:asciiTheme="majorHAnsi" w:hAnsiTheme="majorHAnsi" w:cstheme="majorHAnsi"/>
        </w:rPr>
      </w:pPr>
      <w:bookmarkStart w:name="_sx5yds3lq070" w:colFirst="0" w:colLast="0" w:id="143"/>
      <w:bookmarkEnd w:id="143"/>
      <w:r w:rsidRPr="000F4C13">
        <w:rPr>
          <w:rFonts w:asciiTheme="majorHAnsi" w:hAnsiTheme="majorHAnsi" w:cstheme="majorHAnsi"/>
        </w:rPr>
        <w:t>Strategy, Initiatives, &amp; Resources:</w:t>
      </w:r>
    </w:p>
    <w:p w:rsidRPr="000F4C13" w:rsidR="00C96053" w:rsidP="00FC169F" w:rsidRDefault="00B2522B" w14:paraId="0EABF83E" w14:textId="78408262">
      <w:pPr>
        <w:pStyle w:val="ListParagraph"/>
        <w:widowControl w:val="0"/>
        <w:numPr>
          <w:ilvl w:val="0"/>
          <w:numId w:val="51"/>
        </w:numPr>
        <w:spacing w:after="0"/>
        <w:jc w:val="both"/>
        <w:rPr>
          <w:rFonts w:eastAsia="Calibri" w:asciiTheme="majorHAnsi" w:hAnsiTheme="majorHAnsi" w:cstheme="majorHAnsi"/>
        </w:rPr>
      </w:pPr>
      <w:r w:rsidRPr="000F4C13">
        <w:rPr>
          <w:rFonts w:eastAsia="Calibri" w:asciiTheme="majorHAnsi" w:hAnsiTheme="majorHAnsi" w:cstheme="majorHAnsi"/>
        </w:rPr>
        <w:t>RIPL resources provide a comprehensive, systems-based framework for assessing and enhancing the resilience of residential buildings. Developed upon the Sustainable Adaptive Material Performance Level ( SAMPL</w:t>
      </w:r>
      <w:r w:rsidRPr="000F4C13">
        <w:rPr>
          <w:rFonts w:eastAsia="Calibri" w:asciiTheme="majorHAnsi" w:hAnsiTheme="majorHAnsi" w:cstheme="majorHAnsi"/>
          <w:vertAlign w:val="superscript"/>
        </w:rPr>
        <w:t>TM</w:t>
      </w:r>
      <w:r w:rsidRPr="000F4C13">
        <w:rPr>
          <w:rFonts w:eastAsia="Calibri" w:asciiTheme="majorHAnsi" w:hAnsiTheme="majorHAnsi" w:cstheme="majorHAnsi"/>
        </w:rPr>
        <w:t>)  platform, RIPL identifies key preventive factors, particularly the selection and combination of building materials and finishes, that can substantially mitigate water intrusion risk due to natural hazards in residential construction.</w:t>
      </w:r>
    </w:p>
    <w:p w:rsidRPr="000F4C13" w:rsidR="00C96053" w:rsidP="00FC169F" w:rsidRDefault="00C96053" w14:paraId="765F1C24" w14:textId="77777777">
      <w:pPr>
        <w:pStyle w:val="ListParagraph"/>
        <w:widowControl w:val="0"/>
        <w:numPr>
          <w:ilvl w:val="0"/>
          <w:numId w:val="51"/>
        </w:numPr>
        <w:spacing w:after="0"/>
        <w:jc w:val="both"/>
        <w:rPr>
          <w:rFonts w:eastAsia="Calibri" w:asciiTheme="majorHAnsi" w:hAnsiTheme="majorHAnsi" w:cstheme="majorHAnsi"/>
        </w:rPr>
      </w:pPr>
      <w:hyperlink r:id="rId197">
        <w:r w:rsidRPr="000F4C13">
          <w:rPr>
            <w:rFonts w:eastAsia="Calibri" w:asciiTheme="majorHAnsi" w:hAnsiTheme="majorHAnsi" w:cstheme="majorHAnsi"/>
            <w:color w:val="467886"/>
            <w:u w:val="single"/>
          </w:rPr>
          <w:t xml:space="preserve">Flood Awareness Week (FAW) Dashboard </w:t>
        </w:r>
      </w:hyperlink>
      <w:r w:rsidRPr="000F4C13">
        <w:rPr>
          <w:rFonts w:eastAsia="Calibri" w:asciiTheme="majorHAnsi" w:hAnsiTheme="majorHAnsi" w:cstheme="majorHAnsi"/>
        </w:rPr>
        <w:t xml:space="preserve">spotlights vital resources, expert advice, and community-driven initiatives that help consumers stay safe and resilient.  </w:t>
      </w:r>
    </w:p>
    <w:p w:rsidRPr="000F4C13" w:rsidR="00C96053" w:rsidP="00FC169F" w:rsidRDefault="00B2522B" w14:paraId="39C78511" w14:textId="77777777">
      <w:pPr>
        <w:pStyle w:val="ListParagraph"/>
        <w:widowControl w:val="0"/>
        <w:numPr>
          <w:ilvl w:val="0"/>
          <w:numId w:val="51"/>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198">
        <w:r w:rsidRPr="000F4C13" w:rsidR="00C96053">
          <w:rPr>
            <w:rFonts w:eastAsia="Calibri" w:asciiTheme="majorHAnsi" w:hAnsiTheme="majorHAnsi" w:cstheme="majorHAnsi"/>
            <w:color w:val="467886"/>
            <w:u w:val="single"/>
          </w:rPr>
          <w:t>Elevate Florida Program</w:t>
        </w:r>
      </w:hyperlink>
      <w:r w:rsidRPr="000F4C13">
        <w:rPr>
          <w:rFonts w:eastAsia="Calibri" w:asciiTheme="majorHAnsi" w:hAnsiTheme="majorHAnsi" w:cstheme="majorHAnsi"/>
        </w:rPr>
        <w:t xml:space="preserve"> is a first-of-its-kind, groundbreaking statewide residential mitigation program. It is led by the Florida Division of Emergency Management (FDEM), this program is designed to protect homes and communities by reducing damage caused during natural disasters like hurricanes and floods.</w:t>
      </w:r>
    </w:p>
    <w:p w:rsidRPr="000F4C13" w:rsidR="00C96053" w:rsidP="00FC169F" w:rsidRDefault="00B2522B" w14:paraId="3648BDE9" w14:textId="77777777">
      <w:pPr>
        <w:pStyle w:val="ListParagraph"/>
        <w:widowControl w:val="0"/>
        <w:numPr>
          <w:ilvl w:val="0"/>
          <w:numId w:val="51"/>
        </w:numPr>
        <w:spacing w:after="0"/>
        <w:jc w:val="both"/>
        <w:rPr>
          <w:rFonts w:eastAsia="Calibri" w:asciiTheme="majorHAnsi" w:hAnsiTheme="majorHAnsi" w:cstheme="majorHAnsi"/>
        </w:rPr>
      </w:pPr>
      <w:r w:rsidRPr="000F4C13">
        <w:rPr>
          <w:rFonts w:eastAsia="Calibri" w:asciiTheme="majorHAnsi" w:hAnsiTheme="majorHAnsi" w:cstheme="majorHAnsi"/>
        </w:rPr>
        <w:t>The Florida Public Flood Loss Projection Model created by Florida International University estimates loss costs and probable maximum loss levels from storm and rain fall events for insured residential properties.</w:t>
      </w:r>
    </w:p>
    <w:p w:rsidRPr="000F4C13" w:rsidR="00C96053" w:rsidRDefault="00B2522B" w14:paraId="1FAA5A3B" w14:textId="77777777">
      <w:pPr>
        <w:pStyle w:val="Heading4"/>
        <w:widowControl w:val="0"/>
        <w:spacing w:after="0"/>
        <w:rPr>
          <w:rFonts w:asciiTheme="majorHAnsi" w:hAnsiTheme="majorHAnsi" w:cstheme="majorHAnsi"/>
        </w:rPr>
      </w:pPr>
      <w:bookmarkStart w:name="_qof35gndeh5o" w:colFirst="0" w:colLast="0" w:id="144"/>
      <w:bookmarkEnd w:id="144"/>
      <w:r w:rsidRPr="000F4C13">
        <w:rPr>
          <w:rFonts w:asciiTheme="majorHAnsi" w:hAnsiTheme="majorHAnsi" w:cstheme="majorHAnsi"/>
        </w:rPr>
        <w:t>Consumer Outreach and Educational Materials:</w:t>
      </w:r>
    </w:p>
    <w:p w:rsidRPr="000F4C13" w:rsidR="00C96053" w:rsidP="006935B5" w:rsidRDefault="00C96053" w14:paraId="655440F4" w14:textId="0A6314D9">
      <w:pPr>
        <w:pStyle w:val="ListParagraph"/>
        <w:widowControl w:val="0"/>
        <w:numPr>
          <w:ilvl w:val="0"/>
          <w:numId w:val="52"/>
        </w:numPr>
        <w:spacing w:after="0"/>
        <w:jc w:val="both"/>
        <w:rPr>
          <w:rFonts w:eastAsia="Calibri" w:asciiTheme="majorHAnsi" w:hAnsiTheme="majorHAnsi" w:cstheme="majorHAnsi"/>
        </w:rPr>
      </w:pPr>
      <w:hyperlink r:id="rId199">
        <w:r w:rsidRPr="000F4C13">
          <w:rPr>
            <w:rFonts w:eastAsia="Calibri" w:asciiTheme="majorHAnsi" w:hAnsiTheme="majorHAnsi" w:cstheme="majorHAnsi"/>
            <w:color w:val="467886"/>
            <w:u w:val="single"/>
          </w:rPr>
          <w:t>OIR’s Flood Insurance page</w:t>
        </w:r>
      </w:hyperlink>
      <w:hyperlink r:id="rId200">
        <w:r w:rsidRPr="000F4C13">
          <w:rPr>
            <w:rFonts w:eastAsia="Calibri" w:asciiTheme="majorHAnsi" w:hAnsiTheme="majorHAnsi" w:cstheme="majorHAnsi"/>
            <w:color w:val="467886"/>
            <w:u w:val="single"/>
          </w:rPr>
          <w:t> </w:t>
        </w:r>
      </w:hyperlink>
      <w:r w:rsidRPr="000F4C13">
        <w:rPr>
          <w:rFonts w:eastAsia="Calibri" w:asciiTheme="majorHAnsi" w:hAnsiTheme="majorHAnsi" w:cstheme="majorHAnsi"/>
        </w:rPr>
        <w:t>provides consumer resources and information on private flood insurance options.</w:t>
      </w:r>
    </w:p>
    <w:p w:rsidRPr="000F4C13" w:rsidR="00C96053" w:rsidRDefault="00B2522B" w14:paraId="6C4CC155" w14:textId="77777777">
      <w:pPr>
        <w:pStyle w:val="Heading4"/>
        <w:widowControl w:val="0"/>
        <w:spacing w:after="0"/>
        <w:rPr>
          <w:rFonts w:asciiTheme="majorHAnsi" w:hAnsiTheme="majorHAnsi" w:cstheme="majorHAnsi"/>
        </w:rPr>
      </w:pPr>
      <w:bookmarkStart w:name="_d9l9q8l8z4lb" w:colFirst="0" w:colLast="0" w:id="145"/>
      <w:bookmarkEnd w:id="145"/>
      <w:r w:rsidRPr="000F4C13">
        <w:rPr>
          <w:rFonts w:asciiTheme="majorHAnsi" w:hAnsiTheme="majorHAnsi" w:cstheme="majorHAnsi"/>
        </w:rPr>
        <w:t>Partnerships:</w:t>
      </w:r>
    </w:p>
    <w:p w:rsidRPr="000F4C13" w:rsidR="00C96053" w:rsidP="00C563DC" w:rsidRDefault="00B2522B" w14:paraId="57A1BAE9" w14:textId="77777777">
      <w:pPr>
        <w:pStyle w:val="ListParagraph"/>
        <w:widowControl w:val="0"/>
        <w:numPr>
          <w:ilvl w:val="0"/>
          <w:numId w:val="52"/>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201">
        <w:r w:rsidRPr="000F4C13" w:rsidR="00C96053">
          <w:rPr>
            <w:rFonts w:eastAsia="Calibri" w:asciiTheme="majorHAnsi" w:hAnsiTheme="majorHAnsi" w:cstheme="majorHAnsi"/>
            <w:color w:val="467886"/>
            <w:u w:val="single"/>
          </w:rPr>
          <w:t>Florida Flood Hub for Applied Research and Innovation</w:t>
        </w:r>
      </w:hyperlink>
      <w:r w:rsidRPr="000F4C13">
        <w:rPr>
          <w:rFonts w:eastAsia="Calibri" w:asciiTheme="majorHAnsi" w:hAnsiTheme="majorHAnsi" w:cstheme="majorHAnsi"/>
        </w:rPr>
        <w:t xml:space="preserve">, based at the University of South Florida, partners with the </w:t>
      </w:r>
      <w:hyperlink r:id="rId202">
        <w:r w:rsidRPr="000F4C13" w:rsidR="00C96053">
          <w:rPr>
            <w:rFonts w:eastAsia="Calibri" w:asciiTheme="majorHAnsi" w:hAnsiTheme="majorHAnsi" w:cstheme="majorHAnsi"/>
            <w:color w:val="467886"/>
            <w:u w:val="single"/>
          </w:rPr>
          <w:t>Resilient Florida Program</w:t>
        </w:r>
      </w:hyperlink>
      <w:r w:rsidRPr="000F4C13">
        <w:rPr>
          <w:rFonts w:eastAsia="Calibri" w:asciiTheme="majorHAnsi" w:hAnsiTheme="majorHAnsi" w:cstheme="majorHAnsi"/>
        </w:rPr>
        <w:t>, of the Florida Department of Environment Protection, to provide open-source resources that support statewide flood mitigation and adaptation, including technical workgroups on sea level rise and rainfall.</w:t>
      </w:r>
    </w:p>
    <w:p w:rsidRPr="000F4C13" w:rsidR="00C96053" w:rsidP="00C563DC" w:rsidRDefault="00B2522B" w14:paraId="728C5F2C" w14:textId="77777777">
      <w:pPr>
        <w:pStyle w:val="ListParagraph"/>
        <w:numPr>
          <w:ilvl w:val="0"/>
          <w:numId w:val="52"/>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The </w:t>
      </w:r>
      <w:hyperlink r:id="rId203">
        <w:r w:rsidRPr="000F4C13" w:rsidR="00C96053">
          <w:rPr>
            <w:rFonts w:eastAsia="Calibri" w:asciiTheme="majorHAnsi" w:hAnsiTheme="majorHAnsi" w:cstheme="majorHAnsi"/>
            <w:color w:val="467886"/>
            <w:u w:val="single"/>
          </w:rPr>
          <w:t>Flood Mitigation Assistance Program</w:t>
        </w:r>
      </w:hyperlink>
      <w:r w:rsidRPr="000F4C13">
        <w:rPr>
          <w:rFonts w:eastAsia="Calibri" w:asciiTheme="majorHAnsi" w:hAnsiTheme="majorHAnsi" w:cstheme="majorHAnsi"/>
        </w:rPr>
        <w:t xml:space="preserve"> is funded by FEMA and administered through a partnership with the Florida Division of Emergency Management (FDEM).</w:t>
      </w:r>
    </w:p>
    <w:p w:rsidRPr="000F4C13" w:rsidR="00C96053" w:rsidP="00C563DC" w:rsidRDefault="00B2522B" w14:paraId="0E2C15B8" w14:textId="1623823B">
      <w:pPr>
        <w:pStyle w:val="ListParagraph"/>
        <w:numPr>
          <w:ilvl w:val="0"/>
          <w:numId w:val="52"/>
        </w:numPr>
        <w:spacing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OIR partnered with the University of Florida to study new technologies, products, and material assemblies that would among other things, enhance home resilience against water intrusion. The </w:t>
      </w:r>
      <w:hyperlink r:id="rId204">
        <w:r w:rsidRPr="000F4C13" w:rsidR="00C96053">
          <w:rPr>
            <w:rFonts w:eastAsia="Calibri" w:asciiTheme="majorHAnsi" w:hAnsiTheme="majorHAnsi" w:cstheme="majorHAnsi"/>
            <w:color w:val="467886"/>
            <w:u w:val="single"/>
          </w:rPr>
          <w:t>Resilience Inference Performance Level (RIPL) report</w:t>
        </w:r>
      </w:hyperlink>
      <w:r w:rsidRPr="000F4C13">
        <w:rPr>
          <w:rFonts w:eastAsia="Calibri" w:asciiTheme="majorHAnsi" w:hAnsiTheme="majorHAnsi" w:cstheme="majorHAnsi"/>
        </w:rPr>
        <w:t xml:space="preserve"> and resources are the result of the study.</w:t>
      </w:r>
    </w:p>
    <w:p w:rsidRPr="000F4C13" w:rsidR="00C96053" w:rsidRDefault="00B2522B" w14:paraId="4C49FBB3" w14:textId="77777777">
      <w:pPr>
        <w:pStyle w:val="Heading3"/>
        <w:rPr>
          <w:rFonts w:asciiTheme="majorHAnsi" w:hAnsiTheme="majorHAnsi" w:cstheme="majorHAnsi"/>
        </w:rPr>
      </w:pPr>
      <w:bookmarkStart w:name="_dlm0ilt65km0" w:colFirst="0" w:colLast="0" w:id="146"/>
      <w:bookmarkEnd w:id="146"/>
      <w:r w:rsidRPr="000F4C13">
        <w:rPr>
          <w:rFonts w:asciiTheme="majorHAnsi" w:hAnsiTheme="majorHAnsi" w:cstheme="majorHAnsi"/>
        </w:rPr>
        <w:t>Minnesota</w:t>
      </w:r>
    </w:p>
    <w:p w:rsidRPr="000F4C13" w:rsidR="00F53A4E" w:rsidP="00F53A4E" w:rsidRDefault="00F53A4E" w14:paraId="5F0FF6C4" w14:textId="681949BA">
      <w:pPr>
        <w:pStyle w:val="Heading4"/>
        <w:spacing w:after="0" w:line="276" w:lineRule="auto"/>
        <w:rPr>
          <w:rFonts w:asciiTheme="majorHAnsi" w:hAnsiTheme="majorHAnsi" w:cstheme="majorHAnsi"/>
        </w:rPr>
      </w:pPr>
      <w:r w:rsidRPr="000F4C13">
        <w:rPr>
          <w:rFonts w:asciiTheme="majorHAnsi" w:hAnsiTheme="majorHAnsi" w:cstheme="majorHAnsi"/>
        </w:rPr>
        <w:t>Introduction</w:t>
      </w:r>
    </w:p>
    <w:p w:rsidRPr="000F4C13" w:rsidR="00B419C9" w:rsidP="00F53A4E" w:rsidRDefault="0029075B" w14:paraId="4B07D4AF" w14:textId="70F2D725">
      <w:pPr>
        <w:jc w:val="both"/>
        <w:rPr>
          <w:rFonts w:asciiTheme="majorHAnsi" w:hAnsiTheme="majorHAnsi" w:cstheme="majorHAnsi"/>
          <w:i/>
        </w:rPr>
      </w:pPr>
      <w:r w:rsidRPr="000F4C13">
        <w:rPr>
          <w:rFonts w:asciiTheme="majorHAnsi" w:hAnsiTheme="majorHAnsi" w:cstheme="majorHAnsi"/>
        </w:rPr>
        <w:t>Minnesota faces growing risks of flooding, mostly caused by heavy rain and overflowing rivers. As cities and towns grow, more pavement and rooftops make it harder for water to soak into the ground. This leads to quick runoff that can overwhelm old drainage systems. Unlike coastal areas, Minnesota’s flooding is mainly from surface water after big rainstorms or river floods. Extreme weather and city development are making these flood risks worse.</w:t>
      </w:r>
    </w:p>
    <w:p w:rsidRPr="000F4C13" w:rsidR="00C96053" w:rsidP="00BE0883" w:rsidRDefault="00B2522B" w14:paraId="4D49E349" w14:textId="6DCF76A7">
      <w:pPr>
        <w:pStyle w:val="Heading4"/>
        <w:keepNext w:val="0"/>
        <w:keepLines w:val="0"/>
        <w:spacing w:after="0" w:line="276" w:lineRule="auto"/>
        <w:rPr>
          <w:rFonts w:asciiTheme="majorHAnsi" w:hAnsiTheme="majorHAnsi" w:cstheme="majorHAnsi"/>
        </w:rPr>
      </w:pPr>
      <w:r w:rsidRPr="000F4C13">
        <w:rPr>
          <w:rFonts w:asciiTheme="majorHAnsi" w:hAnsiTheme="majorHAnsi" w:cstheme="majorHAnsi"/>
        </w:rPr>
        <w:t>Reports</w:t>
      </w:r>
    </w:p>
    <w:p w:rsidRPr="000F4C13" w:rsidR="00C96053" w:rsidP="00BE0883" w:rsidRDefault="00B2522B" w14:paraId="26A13885" w14:textId="3B40BA43">
      <w:pPr>
        <w:spacing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In 2022, Minnesota launched the state’s Climate Action Framework (CAF), designed as a positive roadmap that would guide state and local actions to keep Minnesotans safe and healthy. </w:t>
      </w:r>
      <w:hyperlink w:history="1" r:id="rId205">
        <w:r w:rsidRPr="000F4C13">
          <w:rPr>
            <w:rStyle w:val="Hyperlink"/>
            <w:rFonts w:eastAsia="Calibri" w:asciiTheme="majorHAnsi" w:hAnsiTheme="majorHAnsi" w:cstheme="majorHAnsi"/>
          </w:rPr>
          <w:t>The state has updated the CAF with a renewed focus on affordability</w:t>
        </w:r>
      </w:hyperlink>
      <w:r w:rsidRPr="000F4C13">
        <w:rPr>
          <w:rFonts w:eastAsia="Calibri" w:asciiTheme="majorHAnsi" w:hAnsiTheme="majorHAnsi" w:cstheme="majorHAnsi"/>
        </w:rPr>
        <w:t xml:space="preserve">. The CAF identifies that investment in state and municipal infrastructure, as well as building adaptation and mitigation actions, can reduce financial risk exposure for public budgets and private insurance coverage. The updated buildings chapter specifically highlights partners like Habitat for Humanity who </w:t>
      </w:r>
      <w:r w:rsidRPr="000F4C13" w:rsidR="00CC13E7">
        <w:rPr>
          <w:rFonts w:eastAsia="Calibri" w:asciiTheme="majorHAnsi" w:hAnsiTheme="majorHAnsi" w:cstheme="majorHAnsi"/>
        </w:rPr>
        <w:t>have</w:t>
      </w:r>
      <w:r w:rsidRPr="000F4C13">
        <w:rPr>
          <w:rFonts w:eastAsia="Calibri" w:asciiTheme="majorHAnsi" w:hAnsiTheme="majorHAnsi" w:cstheme="majorHAnsi"/>
        </w:rPr>
        <w:t xml:space="preserve"> recognized the value that building more resilient homes can offer to residents.</w:t>
      </w:r>
    </w:p>
    <w:p w:rsidRPr="000F4C13" w:rsidR="00AE2EBE" w:rsidP="00365DD3" w:rsidRDefault="00AE2EBE" w14:paraId="15044247" w14:textId="77777777">
      <w:pPr>
        <w:keepNext/>
        <w:keepLines/>
        <w:spacing w:after="0" w:line="276" w:lineRule="auto"/>
        <w:jc w:val="both"/>
        <w:rPr>
          <w:rFonts w:eastAsia="Calibri" w:asciiTheme="majorHAnsi" w:hAnsiTheme="majorHAnsi" w:cstheme="majorHAnsi"/>
        </w:rPr>
      </w:pPr>
    </w:p>
    <w:p w:rsidRPr="000F4C13" w:rsidR="00C96053" w:rsidP="00BE0883" w:rsidRDefault="00B2522B" w14:paraId="1202075B" w14:textId="77777777">
      <w:pPr>
        <w:pStyle w:val="Heading4"/>
        <w:keepNext w:val="0"/>
        <w:keepLines w:val="0"/>
        <w:spacing w:after="0" w:line="276" w:lineRule="auto"/>
        <w:rPr>
          <w:rFonts w:asciiTheme="majorHAnsi" w:hAnsiTheme="majorHAnsi" w:cstheme="majorHAnsi"/>
        </w:rPr>
      </w:pPr>
      <w:bookmarkStart w:name="_i6rltu7uzpn3" w:colFirst="0" w:colLast="0" w:id="147"/>
      <w:bookmarkEnd w:id="147"/>
      <w:r w:rsidRPr="000F4C13">
        <w:rPr>
          <w:rFonts w:asciiTheme="majorHAnsi" w:hAnsiTheme="majorHAnsi" w:cstheme="majorHAnsi"/>
        </w:rPr>
        <w:t>Strategies, Initiatives &amp; Resources</w:t>
      </w:r>
    </w:p>
    <w:p w:rsidRPr="000F4C13" w:rsidR="00C96053" w:rsidP="00BE0883" w:rsidRDefault="00B2522B" w14:paraId="72E0FB02" w14:textId="77777777">
      <w:pPr>
        <w:spacing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Many Minnesota communities offer resources to help residents and businesses strengthen their buildings against the impacts of expensive extreme weather perils. Many of these strategies focus on flood or stormwater management investments. These range from </w:t>
      </w:r>
      <w:hyperlink r:id="rId206">
        <w:r w:rsidRPr="000F4C13" w:rsidR="00C96053">
          <w:rPr>
            <w:rFonts w:eastAsia="Calibri" w:asciiTheme="majorHAnsi" w:hAnsiTheme="majorHAnsi" w:cstheme="majorHAnsi"/>
            <w:color w:val="467886"/>
            <w:u w:val="single"/>
          </w:rPr>
          <w:t>large cities</w:t>
        </w:r>
      </w:hyperlink>
      <w:r w:rsidRPr="000F4C13">
        <w:rPr>
          <w:rFonts w:eastAsia="Calibri" w:asciiTheme="majorHAnsi" w:hAnsiTheme="majorHAnsi" w:cstheme="majorHAnsi"/>
        </w:rPr>
        <w:t xml:space="preserve"> to </w:t>
      </w:r>
      <w:hyperlink r:id="rId207">
        <w:r w:rsidRPr="000F4C13" w:rsidR="00C96053">
          <w:rPr>
            <w:rFonts w:eastAsia="Calibri" w:asciiTheme="majorHAnsi" w:hAnsiTheme="majorHAnsi" w:cstheme="majorHAnsi"/>
            <w:color w:val="467886"/>
            <w:u w:val="single"/>
          </w:rPr>
          <w:t>suburban cities</w:t>
        </w:r>
      </w:hyperlink>
      <w:r w:rsidRPr="000F4C13">
        <w:rPr>
          <w:rFonts w:eastAsia="Calibri" w:asciiTheme="majorHAnsi" w:hAnsiTheme="majorHAnsi" w:cstheme="majorHAnsi"/>
        </w:rPr>
        <w:t xml:space="preserve"> to </w:t>
      </w:r>
      <w:hyperlink r:id="rId208">
        <w:r w:rsidRPr="000F4C13" w:rsidR="00C96053">
          <w:rPr>
            <w:rFonts w:eastAsia="Calibri" w:asciiTheme="majorHAnsi" w:hAnsiTheme="majorHAnsi" w:cstheme="majorHAnsi"/>
            <w:color w:val="467886"/>
            <w:u w:val="single"/>
          </w:rPr>
          <w:t>neighborhood associations</w:t>
        </w:r>
      </w:hyperlink>
      <w:r w:rsidRPr="000F4C13">
        <w:rPr>
          <w:rFonts w:eastAsia="Calibri" w:asciiTheme="majorHAnsi" w:hAnsiTheme="majorHAnsi" w:cstheme="majorHAnsi"/>
        </w:rPr>
        <w:t xml:space="preserve">. In a state where flood insurance coverage update is low, managing risks associated with water intrusion into buildings is a vital strategy from limiting the impacts of extreme weather events. Leveraging state and local resources helps improve insurance risks which should have a positive impact on insurance affordability and availability for consumers. </w:t>
      </w:r>
    </w:p>
    <w:p w:rsidRPr="000F4C13" w:rsidR="00A15EDE" w:rsidP="00BE0883" w:rsidRDefault="00A15EDE" w14:paraId="2B73594B" w14:textId="77777777">
      <w:pPr>
        <w:spacing w:after="0" w:line="276" w:lineRule="auto"/>
        <w:jc w:val="both"/>
        <w:rPr>
          <w:rFonts w:eastAsia="Calibri" w:asciiTheme="majorHAnsi" w:hAnsiTheme="majorHAnsi" w:cstheme="majorHAnsi"/>
        </w:rPr>
      </w:pPr>
    </w:p>
    <w:p w:rsidRPr="000F4C13" w:rsidR="00C96053" w:rsidP="00BE0883" w:rsidRDefault="00B2522B" w14:paraId="3C0A6A79" w14:textId="55F2C44B">
      <w:pPr>
        <w:spacing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The most significant set of investments came </w:t>
      </w:r>
      <w:r w:rsidRPr="000F4C13" w:rsidR="00A15EDE">
        <w:rPr>
          <w:rFonts w:eastAsia="Calibri" w:asciiTheme="majorHAnsi" w:hAnsiTheme="majorHAnsi" w:cstheme="majorHAnsi"/>
        </w:rPr>
        <w:t>in</w:t>
      </w:r>
      <w:r w:rsidRPr="000F4C13">
        <w:rPr>
          <w:rFonts w:eastAsia="Calibri" w:asciiTheme="majorHAnsi" w:hAnsiTheme="majorHAnsi" w:cstheme="majorHAnsi"/>
        </w:rPr>
        <w:t xml:space="preserve"> 2023 </w:t>
      </w:r>
      <w:r w:rsidRPr="000F4C13" w:rsidR="00A15EDE">
        <w:rPr>
          <w:rFonts w:eastAsia="Calibri" w:asciiTheme="majorHAnsi" w:hAnsiTheme="majorHAnsi" w:cstheme="majorHAnsi"/>
        </w:rPr>
        <w:t>with</w:t>
      </w:r>
      <w:r w:rsidRPr="000F4C13">
        <w:rPr>
          <w:rFonts w:eastAsia="Calibri" w:asciiTheme="majorHAnsi" w:hAnsiTheme="majorHAnsi" w:cstheme="majorHAnsi"/>
        </w:rPr>
        <w:t xml:space="preserve"> </w:t>
      </w:r>
      <w:hyperlink r:id="rId209">
        <w:r w:rsidRPr="000F4C13" w:rsidR="00C96053">
          <w:rPr>
            <w:rFonts w:eastAsia="Calibri" w:asciiTheme="majorHAnsi" w:hAnsiTheme="majorHAnsi" w:cstheme="majorHAnsi"/>
            <w:color w:val="467886"/>
            <w:u w:val="single"/>
          </w:rPr>
          <w:t>$100M in resiliency and water infrastructure grants for local and Tribal governments</w:t>
        </w:r>
      </w:hyperlink>
      <w:r w:rsidRPr="000F4C13">
        <w:rPr>
          <w:rFonts w:eastAsia="Calibri" w:asciiTheme="majorHAnsi" w:hAnsiTheme="majorHAnsi" w:cstheme="majorHAnsi"/>
        </w:rPr>
        <w:t xml:space="preserve">. These </w:t>
      </w:r>
      <w:r w:rsidRPr="000F4C13" w:rsidR="00A15EDE">
        <w:rPr>
          <w:rFonts w:eastAsia="Calibri" w:asciiTheme="majorHAnsi" w:hAnsiTheme="majorHAnsi" w:cstheme="majorHAnsi"/>
        </w:rPr>
        <w:t>projects</w:t>
      </w:r>
      <w:r w:rsidRPr="000F4C13">
        <w:rPr>
          <w:rFonts w:eastAsia="Calibri" w:asciiTheme="majorHAnsi" w:hAnsiTheme="majorHAnsi" w:cstheme="majorHAnsi"/>
        </w:rPr>
        <w:t xml:space="preserve"> allowed Minnesota communities to assess risks, develop plans, and break ground on priority construction projects </w:t>
      </w:r>
      <w:hyperlink r:id="rId210">
        <w:r w:rsidRPr="000F4C13" w:rsidR="00C96053">
          <w:rPr>
            <w:rFonts w:eastAsia="Calibri" w:asciiTheme="majorHAnsi" w:hAnsiTheme="majorHAnsi" w:cstheme="majorHAnsi"/>
            <w:color w:val="467886"/>
            <w:u w:val="single"/>
          </w:rPr>
          <w:t>across the state</w:t>
        </w:r>
      </w:hyperlink>
      <w:r w:rsidRPr="000F4C13">
        <w:rPr>
          <w:rFonts w:eastAsia="Calibri" w:asciiTheme="majorHAnsi" w:hAnsiTheme="majorHAnsi" w:cstheme="majorHAnsi"/>
        </w:rPr>
        <w:t xml:space="preserve">. These investments in mitigating risk improve the insurability of the structures that make up these communities. </w:t>
      </w:r>
    </w:p>
    <w:p w:rsidRPr="000F4C13" w:rsidR="00A15EDE" w:rsidP="00BE0883" w:rsidRDefault="00A15EDE" w14:paraId="32106A38" w14:textId="77777777">
      <w:pPr>
        <w:spacing w:after="0" w:line="276" w:lineRule="auto"/>
        <w:jc w:val="both"/>
        <w:rPr>
          <w:rFonts w:eastAsia="Calibri" w:asciiTheme="majorHAnsi" w:hAnsiTheme="majorHAnsi" w:cstheme="majorHAnsi"/>
        </w:rPr>
      </w:pPr>
    </w:p>
    <w:p w:rsidRPr="000F4C13" w:rsidR="00C96053" w:rsidP="00BE0883" w:rsidRDefault="00B2522B" w14:paraId="76A3696A" w14:textId="77777777">
      <w:pPr>
        <w:spacing w:after="0" w:line="276" w:lineRule="auto"/>
        <w:jc w:val="both"/>
        <w:rPr>
          <w:rFonts w:eastAsia="Calibri" w:asciiTheme="majorHAnsi" w:hAnsiTheme="majorHAnsi" w:cstheme="majorHAnsi"/>
        </w:rPr>
      </w:pPr>
      <w:r w:rsidRPr="000F4C13">
        <w:rPr>
          <w:rFonts w:eastAsia="Calibri" w:asciiTheme="majorHAnsi" w:hAnsiTheme="majorHAnsi" w:cstheme="majorHAnsi"/>
        </w:rPr>
        <w:t xml:space="preserve">Local communities are also working on innovative strategies for reducing risk and increasing their capacity to respond when disasters occur. </w:t>
      </w:r>
      <w:hyperlink r:id="rId211">
        <w:r w:rsidRPr="000F4C13" w:rsidR="00C96053">
          <w:rPr>
            <w:rFonts w:eastAsia="Calibri" w:asciiTheme="majorHAnsi" w:hAnsiTheme="majorHAnsi" w:cstheme="majorHAnsi"/>
            <w:color w:val="467886"/>
            <w:u w:val="single"/>
          </w:rPr>
          <w:t>The Mississippi River Cities and Towns Initiative (MRCTI)</w:t>
        </w:r>
      </w:hyperlink>
      <w:r w:rsidRPr="000F4C13">
        <w:rPr>
          <w:rFonts w:eastAsia="Calibri" w:asciiTheme="majorHAnsi" w:hAnsiTheme="majorHAnsi" w:cstheme="majorHAnsi"/>
        </w:rPr>
        <w:t xml:space="preserve"> is a coalition of communities from Minnesota to Louisiana that span the Mississippi River. The </w:t>
      </w:r>
      <w:hyperlink r:id="rId212">
        <w:r w:rsidRPr="000F4C13" w:rsidR="00C96053">
          <w:rPr>
            <w:rFonts w:eastAsia="Calibri" w:asciiTheme="majorHAnsi" w:hAnsiTheme="majorHAnsi" w:cstheme="majorHAnsi"/>
            <w:color w:val="467886"/>
            <w:u w:val="single"/>
          </w:rPr>
          <w:t>MRCTI is partnering with Munich Re to develop a parametric insurance pilot project</w:t>
        </w:r>
      </w:hyperlink>
      <w:r w:rsidRPr="000F4C13">
        <w:rPr>
          <w:rFonts w:eastAsia="Calibri" w:asciiTheme="majorHAnsi" w:hAnsiTheme="majorHAnsi" w:cstheme="majorHAnsi"/>
        </w:rPr>
        <w:t xml:space="preserve"> to test how that type of risk transfer product could assist communities swiftly respond to natural disasters that affect communities along the river. </w:t>
      </w:r>
    </w:p>
    <w:p w:rsidRPr="000F4C13" w:rsidR="00C96053" w:rsidRDefault="00B2522B" w14:paraId="760FEFF4" w14:textId="77777777">
      <w:pPr>
        <w:pStyle w:val="Heading3"/>
        <w:spacing w:after="0"/>
        <w:rPr>
          <w:rFonts w:asciiTheme="majorHAnsi" w:hAnsiTheme="majorHAnsi" w:cstheme="majorHAnsi"/>
        </w:rPr>
      </w:pPr>
      <w:bookmarkStart w:name="_vkn602hfu5ay" w:colFirst="0" w:colLast="0" w:id="148"/>
      <w:bookmarkEnd w:id="148"/>
      <w:r w:rsidRPr="000F4C13">
        <w:rPr>
          <w:rFonts w:asciiTheme="majorHAnsi" w:hAnsiTheme="majorHAnsi" w:cstheme="majorHAnsi"/>
        </w:rPr>
        <w:t>Mississippi</w:t>
      </w:r>
    </w:p>
    <w:p w:rsidRPr="000F4C13" w:rsidR="00C612D3" w:rsidP="00C612D3" w:rsidRDefault="00C612D3" w14:paraId="01196852" w14:textId="3DC41498">
      <w:pPr>
        <w:pStyle w:val="Heading4"/>
        <w:spacing w:after="0"/>
        <w:rPr>
          <w:rFonts w:asciiTheme="majorHAnsi" w:hAnsiTheme="majorHAnsi" w:cstheme="majorHAnsi"/>
        </w:rPr>
      </w:pPr>
      <w:bookmarkStart w:name="_9lqbzlifdt0s" w:colFirst="0" w:colLast="0" w:id="149"/>
      <w:bookmarkEnd w:id="149"/>
      <w:r w:rsidRPr="000F4C13">
        <w:rPr>
          <w:rFonts w:asciiTheme="majorHAnsi" w:hAnsiTheme="majorHAnsi" w:cstheme="majorHAnsi"/>
        </w:rPr>
        <w:t>Introduction</w:t>
      </w:r>
    </w:p>
    <w:p w:rsidRPr="000F4C13" w:rsidR="00863D15" w:rsidP="00863D15" w:rsidRDefault="00863D15" w14:paraId="5176DB15" w14:textId="0FF6CB8E">
      <w:pPr>
        <w:pStyle w:val="Heading4"/>
        <w:rPr>
          <w:rFonts w:asciiTheme="majorHAnsi" w:hAnsiTheme="majorHAnsi" w:cstheme="majorHAnsi"/>
          <w:i w:val="0"/>
          <w:iCs w:val="0"/>
          <w:color w:val="auto"/>
        </w:rPr>
      </w:pPr>
      <w:r w:rsidRPr="000F4C13">
        <w:rPr>
          <w:rFonts w:asciiTheme="majorHAnsi" w:hAnsiTheme="majorHAnsi" w:cstheme="majorHAnsi"/>
          <w:i w:val="0"/>
          <w:iCs w:val="0"/>
          <w:color w:val="auto"/>
        </w:rPr>
        <w:t>Mississippi is vulnerable to flooding caused by hurricanes, coastal surges, and overflowing rivers. The Mississippi Emergency Management Agency reports that the state ranks eighth nationwide for the number of repetitive loss structures and has over 5 million acres of floodplain, the fifth largest in the country. The combination of standard policy premiums, separate flood insurance costs, and rising reconstruction costs due to inflation makes homeownership increasingly expensive in the state.</w:t>
      </w:r>
    </w:p>
    <w:p w:rsidRPr="000F4C13" w:rsidR="00863D15" w:rsidP="00863D15" w:rsidRDefault="00863D15" w14:paraId="5594F0C4" w14:textId="77777777">
      <w:pPr>
        <w:rPr>
          <w:rFonts w:asciiTheme="majorHAnsi" w:hAnsiTheme="majorHAnsi" w:cstheme="majorHAnsi"/>
        </w:rPr>
      </w:pPr>
    </w:p>
    <w:p w:rsidRPr="000F4C13" w:rsidR="00C96053" w:rsidP="00863D15" w:rsidRDefault="00B2522B" w14:paraId="5C756BEF" w14:textId="57BFA52C">
      <w:pPr>
        <w:pStyle w:val="Heading4"/>
        <w:spacing w:after="0"/>
        <w:rPr>
          <w:rFonts w:asciiTheme="majorHAnsi" w:hAnsiTheme="majorHAnsi" w:cstheme="majorHAnsi"/>
        </w:rPr>
      </w:pPr>
      <w:r w:rsidRPr="000F4C13">
        <w:rPr>
          <w:rFonts w:asciiTheme="majorHAnsi" w:hAnsiTheme="majorHAnsi" w:cstheme="majorHAnsi"/>
        </w:rPr>
        <w:t>Reports</w:t>
      </w:r>
    </w:p>
    <w:p w:rsidRPr="000F4C13" w:rsidR="00C612D3" w:rsidP="00C31F04" w:rsidRDefault="00C612D3" w14:paraId="21EDD839" w14:textId="77777777">
      <w:pPr>
        <w:pStyle w:val="ListParagraph"/>
        <w:numPr>
          <w:ilvl w:val="0"/>
          <w:numId w:val="53"/>
        </w:numPr>
        <w:spacing w:after="0"/>
        <w:jc w:val="both"/>
        <w:rPr>
          <w:rFonts w:eastAsia="Calibri" w:asciiTheme="majorHAnsi" w:hAnsiTheme="majorHAnsi" w:cstheme="majorHAnsi"/>
        </w:rPr>
      </w:pPr>
      <w:r w:rsidRPr="000F4C13">
        <w:rPr>
          <w:rFonts w:eastAsia="Calibri" w:asciiTheme="majorHAnsi" w:hAnsiTheme="majorHAnsi" w:cstheme="majorHAnsi"/>
        </w:rPr>
        <w:t>The 2025 Disaster Leadership Conference brought together city and county leaders from across the south to strengthen community resilience and lead effective recovery efforts.</w:t>
      </w:r>
    </w:p>
    <w:p w:rsidRPr="000F4C13" w:rsidR="00C612D3" w:rsidP="00C31F04" w:rsidRDefault="00C612D3" w14:paraId="3C8CB463" w14:textId="77777777">
      <w:pPr>
        <w:pStyle w:val="ListParagraph"/>
        <w:numPr>
          <w:ilvl w:val="0"/>
          <w:numId w:val="53"/>
        </w:numPr>
        <w:spacing w:after="0"/>
        <w:rPr>
          <w:rFonts w:eastAsia="Calibri" w:asciiTheme="majorHAnsi" w:hAnsiTheme="majorHAnsi" w:cstheme="majorHAnsi"/>
        </w:rPr>
      </w:pPr>
      <w:r w:rsidRPr="000F4C13">
        <w:rPr>
          <w:rFonts w:eastAsia="Calibri" w:asciiTheme="majorHAnsi" w:hAnsiTheme="majorHAnsi" w:cstheme="majorHAnsi"/>
        </w:rPr>
        <w:t xml:space="preserve">Gulf Coast states joining to stand against insurance rate hikes: </w:t>
      </w:r>
      <w:hyperlink r:id="rId213">
        <w:r w:rsidRPr="000F4C13">
          <w:rPr>
            <w:rFonts w:eastAsia="Calibri" w:asciiTheme="majorHAnsi" w:hAnsiTheme="majorHAnsi" w:cstheme="majorHAnsi"/>
            <w:color w:val="467886"/>
            <w:u w:val="single"/>
          </w:rPr>
          <w:t>https://www.wlox.com/2025/11/13/gulf-coast-states-joining-stand-against-insurance-rate-hikes/Gulf Coast states joining to stand against insurance rate hikes</w:t>
        </w:r>
      </w:hyperlink>
      <w:r w:rsidRPr="000F4C13">
        <w:rPr>
          <w:rFonts w:eastAsia="Calibri" w:asciiTheme="majorHAnsi" w:hAnsiTheme="majorHAnsi" w:cstheme="majorHAnsi"/>
        </w:rPr>
        <w:t xml:space="preserve"> </w:t>
      </w:r>
    </w:p>
    <w:p w:rsidRPr="000F4C13" w:rsidR="00C612D3" w:rsidP="00C31F04" w:rsidRDefault="00C612D3" w14:paraId="7CF0FDD9" w14:textId="77777777">
      <w:pPr>
        <w:pStyle w:val="ListParagraph"/>
        <w:numPr>
          <w:ilvl w:val="0"/>
          <w:numId w:val="53"/>
        </w:numPr>
        <w:spacing w:after="0"/>
        <w:jc w:val="both"/>
        <w:rPr>
          <w:rFonts w:eastAsia="Calibri" w:asciiTheme="majorHAnsi" w:hAnsiTheme="majorHAnsi" w:cstheme="majorHAnsi"/>
        </w:rPr>
      </w:pPr>
      <w:r w:rsidRPr="000F4C13">
        <w:rPr>
          <w:rFonts w:eastAsia="Calibri" w:asciiTheme="majorHAnsi" w:hAnsiTheme="majorHAnsi" w:cstheme="majorHAnsi"/>
        </w:rPr>
        <w:t xml:space="preserve">Local leaders discuss response plans at annual Disaster Leadership Conference: </w:t>
      </w:r>
      <w:hyperlink r:id="rId214">
        <w:r w:rsidRPr="000F4C13">
          <w:rPr>
            <w:rFonts w:eastAsia="Calibri" w:asciiTheme="majorHAnsi" w:hAnsiTheme="majorHAnsi" w:cstheme="majorHAnsi"/>
            <w:color w:val="467886"/>
            <w:u w:val="single"/>
          </w:rPr>
          <w:t>Local leaders discuss response plans at annual Disaster Leadership Conference - WXXV News 25</w:t>
        </w:r>
      </w:hyperlink>
    </w:p>
    <w:p w:rsidRPr="000F4C13" w:rsidR="00C612D3" w:rsidP="00C31F04" w:rsidRDefault="00C612D3" w14:paraId="44475D66" w14:textId="77777777">
      <w:pPr>
        <w:pStyle w:val="ListParagraph"/>
        <w:numPr>
          <w:ilvl w:val="0"/>
          <w:numId w:val="53"/>
        </w:numPr>
        <w:spacing w:after="0"/>
        <w:rPr>
          <w:rFonts w:eastAsia="Calibri" w:asciiTheme="majorHAnsi" w:hAnsiTheme="majorHAnsi" w:cstheme="majorHAnsi"/>
        </w:rPr>
      </w:pPr>
      <w:r w:rsidRPr="000F4C13">
        <w:rPr>
          <w:rFonts w:eastAsia="Calibri" w:asciiTheme="majorHAnsi" w:hAnsiTheme="majorHAnsi" w:cstheme="majorHAnsi"/>
        </w:rPr>
        <w:t xml:space="preserve">Mississippi hosting Disaster Leadership Conference in Biloxi: </w:t>
      </w:r>
      <w:hyperlink w:history="1" r:id="rId215">
        <w:r w:rsidRPr="000F4C13">
          <w:rPr>
            <w:rStyle w:val="Hyperlink"/>
            <w:rFonts w:eastAsia="Calibri" w:asciiTheme="majorHAnsi" w:hAnsiTheme="majorHAnsi" w:cstheme="majorHAnsi"/>
          </w:rPr>
          <w:t>https://magnoliatribune.com/2025/11/11/mississippi-hosting-disaster-leadership-conference-in-biloxi/</w:t>
        </w:r>
      </w:hyperlink>
    </w:p>
    <w:p w:rsidRPr="000F4C13" w:rsidR="00C612D3" w:rsidP="00C612D3" w:rsidRDefault="00C612D3" w14:paraId="00D6FDBB" w14:textId="77777777">
      <w:pPr>
        <w:spacing w:after="0"/>
        <w:ind w:left="1440"/>
        <w:jc w:val="both"/>
        <w:rPr>
          <w:rFonts w:eastAsia="Calibri" w:asciiTheme="majorHAnsi" w:hAnsiTheme="majorHAnsi" w:cstheme="majorHAnsi"/>
        </w:rPr>
      </w:pPr>
    </w:p>
    <w:p w:rsidRPr="000F4C13" w:rsidR="00C612D3" w:rsidP="00C612D3" w:rsidRDefault="00C612D3" w14:paraId="52D0A315" w14:textId="77777777">
      <w:pPr>
        <w:pStyle w:val="Heading4"/>
        <w:spacing w:after="0"/>
        <w:rPr>
          <w:rFonts w:asciiTheme="majorHAnsi" w:hAnsiTheme="majorHAnsi" w:cstheme="majorHAnsi"/>
        </w:rPr>
      </w:pPr>
      <w:r w:rsidRPr="000F4C13">
        <w:rPr>
          <w:rFonts w:asciiTheme="majorHAnsi" w:hAnsiTheme="majorHAnsi" w:cstheme="majorHAnsi"/>
        </w:rPr>
        <w:t>Data Collection:</w:t>
      </w:r>
    </w:p>
    <w:p w:rsidRPr="000F4C13" w:rsidR="00C612D3" w:rsidP="00C31F04" w:rsidRDefault="00C612D3" w14:paraId="290D46A8" w14:textId="77777777">
      <w:pPr>
        <w:pStyle w:val="ListParagraph"/>
        <w:numPr>
          <w:ilvl w:val="0"/>
          <w:numId w:val="54"/>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w:t>
      </w:r>
      <w:hyperlink r:id="rId216">
        <w:r w:rsidRPr="000F4C13">
          <w:rPr>
            <w:rFonts w:eastAsia="Calibri" w:asciiTheme="majorHAnsi" w:hAnsiTheme="majorHAnsi" w:cstheme="majorHAnsi"/>
            <w:color w:val="467886"/>
            <w:u w:val="single"/>
          </w:rPr>
          <w:t>Mississippi River Commission (MRC)</w:t>
        </w:r>
      </w:hyperlink>
      <w:r w:rsidRPr="000F4C13">
        <w:rPr>
          <w:rFonts w:eastAsia="Calibri" w:asciiTheme="majorHAnsi" w:hAnsiTheme="majorHAnsi" w:cstheme="majorHAnsi"/>
        </w:rPr>
        <w:t xml:space="preserve"> researches and provides policy and work commendations in areas of flood control, navigation and environmental projects.</w:t>
      </w:r>
    </w:p>
    <w:p w:rsidRPr="000F4C13" w:rsidR="00C612D3" w:rsidP="00C612D3" w:rsidRDefault="00C612D3" w14:paraId="7D5C5ACB" w14:textId="77777777">
      <w:pPr>
        <w:spacing w:after="0"/>
        <w:ind w:left="1440"/>
        <w:jc w:val="both"/>
        <w:rPr>
          <w:rFonts w:eastAsia="Calibri" w:asciiTheme="majorHAnsi" w:hAnsiTheme="majorHAnsi" w:cstheme="majorHAnsi"/>
        </w:rPr>
      </w:pPr>
    </w:p>
    <w:p w:rsidRPr="000F4C13" w:rsidR="00C612D3" w:rsidP="00C612D3" w:rsidRDefault="00C612D3" w14:paraId="5B140DB0" w14:textId="77777777">
      <w:pPr>
        <w:pStyle w:val="Heading4"/>
        <w:spacing w:after="0"/>
        <w:rPr>
          <w:rFonts w:asciiTheme="majorHAnsi" w:hAnsiTheme="majorHAnsi" w:cstheme="majorHAnsi"/>
        </w:rPr>
      </w:pPr>
      <w:r w:rsidRPr="000F4C13">
        <w:rPr>
          <w:rFonts w:asciiTheme="majorHAnsi" w:hAnsiTheme="majorHAnsi" w:cstheme="majorHAnsi"/>
        </w:rPr>
        <w:t>Strategy, Initiatives &amp; Resources:</w:t>
      </w:r>
    </w:p>
    <w:p w:rsidRPr="000F4C13" w:rsidR="00C612D3" w:rsidP="00C612D3" w:rsidRDefault="00C612D3" w14:paraId="2B5E012A" w14:textId="77777777">
      <w:pPr>
        <w:jc w:val="both"/>
        <w:rPr>
          <w:rFonts w:asciiTheme="majorHAnsi" w:hAnsiTheme="majorHAnsi" w:cstheme="majorHAnsi"/>
        </w:rPr>
      </w:pPr>
      <w:r w:rsidRPr="000F4C13">
        <w:rPr>
          <w:rFonts w:asciiTheme="majorHAnsi" w:hAnsiTheme="majorHAnsi" w:cstheme="majorHAnsi"/>
        </w:rPr>
        <w:t xml:space="preserve">The Mississippi Department of Insurance requires sellers to disclose any known defects or conditions that could materially affect the safety or value of the property, including flooding incidents. This requirement is part of the state’s broader efforts to protect homebuyers from taking on more risk than they anticipated when purchasing a new home. </w:t>
      </w:r>
    </w:p>
    <w:p w:rsidRPr="000F4C13" w:rsidR="00C612D3" w:rsidP="00C612D3" w:rsidRDefault="00C612D3" w14:paraId="505F7522" w14:textId="77777777">
      <w:pPr>
        <w:spacing w:after="0"/>
        <w:jc w:val="both"/>
        <w:rPr>
          <w:rFonts w:eastAsia="Calibri" w:asciiTheme="majorHAnsi" w:hAnsiTheme="majorHAnsi" w:cstheme="majorHAnsi"/>
        </w:rPr>
      </w:pPr>
      <w:r w:rsidRPr="000F4C13">
        <w:rPr>
          <w:rFonts w:eastAsia="Calibri" w:asciiTheme="majorHAnsi" w:hAnsiTheme="majorHAnsi" w:cstheme="majorHAnsi"/>
          <w:u w:val="single"/>
        </w:rPr>
        <w:t>Flood-Risk Disclosures and Mitigation</w:t>
      </w:r>
    </w:p>
    <w:p w:rsidRPr="000F4C13" w:rsidR="00C612D3" w:rsidP="00C31F04" w:rsidRDefault="00C612D3" w14:paraId="791D8120" w14:textId="77777777">
      <w:pPr>
        <w:pStyle w:val="ListParagraph"/>
        <w:numPr>
          <w:ilvl w:val="0"/>
          <w:numId w:val="54"/>
        </w:numPr>
        <w:spacing w:after="0"/>
        <w:jc w:val="both"/>
        <w:rPr>
          <w:rFonts w:eastAsia="Calibri" w:asciiTheme="majorHAnsi" w:hAnsiTheme="majorHAnsi" w:cstheme="majorHAnsi"/>
        </w:rPr>
      </w:pPr>
      <w:hyperlink w:history="1" r:id="rId217">
        <w:r w:rsidRPr="000F4C13">
          <w:rPr>
            <w:rStyle w:val="Hyperlink"/>
            <w:rFonts w:asciiTheme="majorHAnsi" w:hAnsiTheme="majorHAnsi" w:cstheme="majorHAnsi"/>
            <w:lang w:val="en"/>
          </w:rPr>
          <w:t>SB 2277</w:t>
        </w:r>
      </w:hyperlink>
      <w:r w:rsidRPr="000F4C13">
        <w:rPr>
          <w:rFonts w:eastAsia="Calibri" w:asciiTheme="majorHAnsi" w:hAnsiTheme="majorHAnsi" w:cstheme="majorHAnsi"/>
        </w:rPr>
        <w:t xml:space="preserve"> was passed to help protect consumers from purchasing flood damaged vehicles.</w:t>
      </w:r>
    </w:p>
    <w:p w:rsidRPr="000F4C13" w:rsidR="00C612D3" w:rsidP="00C31F04" w:rsidRDefault="00C612D3" w14:paraId="7BEF986A" w14:textId="77777777">
      <w:pPr>
        <w:pStyle w:val="ListParagraph"/>
        <w:numPr>
          <w:ilvl w:val="0"/>
          <w:numId w:val="54"/>
        </w:numPr>
        <w:spacing w:after="0"/>
        <w:jc w:val="both"/>
        <w:rPr>
          <w:rFonts w:eastAsia="Calibri" w:asciiTheme="majorHAnsi" w:hAnsiTheme="majorHAnsi" w:cstheme="majorHAnsi"/>
        </w:rPr>
      </w:pPr>
      <w:hyperlink r:id="rId218">
        <w:hyperlink r:id="rId219">
          <w:r w:rsidRPr="000F4C13">
            <w:rPr>
              <w:rFonts w:eastAsia="Calibri" w:asciiTheme="majorHAnsi" w:hAnsiTheme="majorHAnsi" w:cstheme="majorHAnsi"/>
              <w:color w:val="467886"/>
              <w:u w:val="single"/>
            </w:rPr>
            <w:t xml:space="preserve">Mississippi Community Development Block Grant – Disaster Recovery (CDBG-DR) </w:t>
          </w:r>
        </w:hyperlink>
        <w:r w:rsidRPr="000F4C13">
          <w:rPr>
            <w:rFonts w:eastAsia="Calibri" w:asciiTheme="majorHAnsi" w:hAnsiTheme="majorHAnsi" w:cstheme="majorHAnsi"/>
            <w:u w:val="single"/>
          </w:rPr>
          <w:t xml:space="preserve"> </w:t>
        </w:r>
      </w:hyperlink>
      <w:r w:rsidRPr="000F4C13">
        <w:rPr>
          <w:rFonts w:eastAsia="Calibri" w:asciiTheme="majorHAnsi" w:hAnsiTheme="majorHAnsi" w:cstheme="majorHAnsi"/>
        </w:rPr>
        <w:t>funds are allocated by HUD to support long-term recovery in areas affected by Presidentially declared disasters. These flexible grants help states, tribes, counties, municipalities and households rebuild infrastructure, restore housing, and revitalize communities—particularly those with limited resources. Mississippi may offer tailored CDBG-DR programs based on local needs and available federal appropriations.</w:t>
      </w:r>
    </w:p>
    <w:p w:rsidRPr="000F4C13" w:rsidR="00C612D3" w:rsidP="00C31F04" w:rsidRDefault="00C612D3" w14:paraId="31B71B03" w14:textId="77777777">
      <w:pPr>
        <w:pStyle w:val="ListParagraph"/>
        <w:numPr>
          <w:ilvl w:val="0"/>
          <w:numId w:val="54"/>
        </w:numPr>
        <w:spacing w:after="0"/>
        <w:ind w:left="1440"/>
        <w:jc w:val="both"/>
        <w:rPr>
          <w:rFonts w:eastAsia="Calibri" w:asciiTheme="majorHAnsi" w:hAnsiTheme="majorHAnsi" w:cstheme="majorHAnsi"/>
          <w:b/>
          <w:bCs/>
        </w:rPr>
      </w:pPr>
      <w:r w:rsidRPr="000F4C13">
        <w:rPr>
          <w:rFonts w:eastAsia="Calibri" w:asciiTheme="majorHAnsi" w:hAnsiTheme="majorHAnsi" w:cstheme="majorHAnsi"/>
        </w:rPr>
        <w:t xml:space="preserve">Mississippi provides hazard and flood mitigation grants through programs like the </w:t>
      </w:r>
      <w:hyperlink r:id="rId220">
        <w:r w:rsidRPr="000F4C13">
          <w:rPr>
            <w:rFonts w:eastAsia="Calibri" w:asciiTheme="majorHAnsi" w:hAnsiTheme="majorHAnsi" w:cstheme="majorHAnsi"/>
            <w:color w:val="0000FF"/>
            <w:u w:val="single"/>
          </w:rPr>
          <w:t xml:space="preserve">FEMA Hazard Mitigation Grant Program (HMGP) and the Flood Mitigation Assistance (FMA) </w:t>
        </w:r>
      </w:hyperlink>
      <w:r w:rsidRPr="000F4C13">
        <w:rPr>
          <w:rFonts w:eastAsia="Calibri" w:asciiTheme="majorHAnsi" w:hAnsiTheme="majorHAnsi" w:cstheme="majorHAnsi"/>
        </w:rPr>
        <w:t>managed by the </w:t>
      </w:r>
      <w:hyperlink r:id="rId221">
        <w:r w:rsidRPr="000F4C13">
          <w:rPr>
            <w:rFonts w:eastAsia="Calibri" w:asciiTheme="majorHAnsi" w:hAnsiTheme="majorHAnsi" w:cstheme="majorHAnsi"/>
            <w:color w:val="467886"/>
            <w:u w:val="single"/>
          </w:rPr>
          <w:t>MEMA</w:t>
        </w:r>
      </w:hyperlink>
      <w:r w:rsidRPr="000F4C13">
        <w:rPr>
          <w:rFonts w:eastAsia="Calibri" w:asciiTheme="majorHAnsi" w:hAnsiTheme="majorHAnsi" w:cstheme="majorHAnsi"/>
        </w:rPr>
        <w:t xml:space="preserve">. These grants fund projects like elevating or acquiring flood-prone structures. </w:t>
      </w:r>
    </w:p>
    <w:p w:rsidRPr="000F4C13" w:rsidR="00C612D3" w:rsidP="00C612D3" w:rsidRDefault="00C612D3" w14:paraId="58940958" w14:textId="77777777">
      <w:pPr>
        <w:pStyle w:val="Heading4"/>
        <w:spacing w:after="0"/>
        <w:rPr>
          <w:rFonts w:asciiTheme="majorHAnsi" w:hAnsiTheme="majorHAnsi" w:cstheme="majorHAnsi"/>
        </w:rPr>
      </w:pPr>
      <w:r w:rsidRPr="000F4C13">
        <w:rPr>
          <w:rFonts w:asciiTheme="majorHAnsi" w:hAnsiTheme="majorHAnsi" w:cstheme="majorHAnsi"/>
        </w:rPr>
        <w:t>Consumer Outreach and Educational Materials:</w:t>
      </w:r>
    </w:p>
    <w:p w:rsidRPr="000F4C13" w:rsidR="00C612D3" w:rsidP="00C31F04" w:rsidRDefault="00C612D3" w14:paraId="42376B35" w14:textId="77777777">
      <w:pPr>
        <w:pStyle w:val="ListParagraph"/>
        <w:numPr>
          <w:ilvl w:val="0"/>
          <w:numId w:val="55"/>
        </w:numPr>
        <w:spacing w:after="0"/>
        <w:jc w:val="both"/>
        <w:rPr>
          <w:rFonts w:eastAsia="Calibri" w:asciiTheme="majorHAnsi" w:hAnsiTheme="majorHAnsi" w:cstheme="majorHAnsi"/>
        </w:rPr>
      </w:pPr>
      <w:r w:rsidRPr="000F4C13">
        <w:rPr>
          <w:rFonts w:eastAsia="Calibri" w:asciiTheme="majorHAnsi" w:hAnsiTheme="majorHAnsi" w:cstheme="majorHAnsi"/>
        </w:rPr>
        <w:t xml:space="preserve">Mississippi hosts a Flood Insurance Awareness Week </w:t>
      </w:r>
      <w:hyperlink r:id="rId222">
        <w:r w:rsidRPr="000F4C13">
          <w:rPr>
            <w:rFonts w:eastAsia="Calibri" w:asciiTheme="majorHAnsi" w:hAnsiTheme="majorHAnsi" w:cstheme="majorHAnsi"/>
            <w:color w:val="467886"/>
            <w:u w:val="single"/>
          </w:rPr>
          <w:t>MARCH 16-22 IS FLOOD INSURANCE AWARENESS WEEK</w:t>
        </w:r>
      </w:hyperlink>
    </w:p>
    <w:p w:rsidRPr="000F4C13" w:rsidR="00C612D3" w:rsidP="00C612D3" w:rsidRDefault="00C612D3" w14:paraId="63189BDB" w14:textId="77777777">
      <w:pPr>
        <w:spacing w:after="0"/>
        <w:ind w:left="1440"/>
        <w:jc w:val="both"/>
        <w:rPr>
          <w:rFonts w:eastAsia="Calibri" w:asciiTheme="majorHAnsi" w:hAnsiTheme="majorHAnsi" w:cstheme="majorHAnsi"/>
        </w:rPr>
      </w:pPr>
    </w:p>
    <w:p w:rsidRPr="000F4C13" w:rsidR="00C612D3" w:rsidP="00C612D3" w:rsidRDefault="00C612D3" w14:paraId="422004F6" w14:textId="77777777">
      <w:pPr>
        <w:pStyle w:val="Heading4"/>
        <w:spacing w:after="0"/>
        <w:rPr>
          <w:rFonts w:asciiTheme="majorHAnsi" w:hAnsiTheme="majorHAnsi" w:cstheme="majorHAnsi"/>
        </w:rPr>
      </w:pPr>
      <w:r w:rsidRPr="000F4C13">
        <w:rPr>
          <w:rFonts w:asciiTheme="majorHAnsi" w:hAnsiTheme="majorHAnsi" w:cstheme="majorHAnsi"/>
        </w:rPr>
        <w:t>Partnerships:</w:t>
      </w:r>
    </w:p>
    <w:p w:rsidRPr="000F4C13" w:rsidR="00C612D3" w:rsidP="00C31F04" w:rsidRDefault="00C612D3" w14:paraId="616B3A7D" w14:textId="77777777">
      <w:pPr>
        <w:pStyle w:val="ListParagraph"/>
        <w:numPr>
          <w:ilvl w:val="0"/>
          <w:numId w:val="55"/>
        </w:numPr>
        <w:spacing w:after="0"/>
        <w:jc w:val="both"/>
        <w:rPr>
          <w:rFonts w:eastAsia="Calibri" w:asciiTheme="majorHAnsi" w:hAnsiTheme="majorHAnsi" w:cstheme="majorHAnsi"/>
        </w:rPr>
      </w:pPr>
      <w:r w:rsidRPr="000F4C13">
        <w:rPr>
          <w:rFonts w:eastAsia="Calibri" w:asciiTheme="majorHAnsi" w:hAnsiTheme="majorHAnsi" w:cstheme="majorHAnsi"/>
        </w:rPr>
        <w:t xml:space="preserve">The MS DOI and the Mississippi Collision Repair Association have teamed up to protect residents from buying cars damaged by flood: </w:t>
      </w:r>
      <w:hyperlink r:id="rId223">
        <w:r w:rsidRPr="000F4C13">
          <w:rPr>
            <w:rFonts w:eastAsia="Calibri" w:asciiTheme="majorHAnsi" w:hAnsiTheme="majorHAnsi" w:cstheme="majorHAnsi"/>
            <w:color w:val="467886"/>
            <w:u w:val="single"/>
          </w:rPr>
          <w:t>Mississippi Acts to Protect Buyers from Flooded Vehicles</w:t>
        </w:r>
      </w:hyperlink>
    </w:p>
    <w:p w:rsidRPr="0011278B" w:rsidR="00BE0883" w:rsidP="00C31F04" w:rsidRDefault="00C612D3" w14:paraId="5CEF6956" w14:textId="77777777">
      <w:pPr>
        <w:pStyle w:val="ListParagraph"/>
        <w:numPr>
          <w:ilvl w:val="0"/>
          <w:numId w:val="55"/>
        </w:numPr>
        <w:jc w:val="both"/>
        <w:rPr>
          <w:rFonts w:ascii="Calibri" w:hAnsi="Calibri" w:cs="Calibri"/>
        </w:rPr>
      </w:pPr>
      <w:hyperlink r:id="rId224">
        <w:r w:rsidRPr="000F4C13">
          <w:rPr>
            <w:rFonts w:eastAsia="Calibri" w:asciiTheme="majorHAnsi" w:hAnsiTheme="majorHAnsi" w:cstheme="majorHAnsi"/>
            <w:color w:val="467886"/>
            <w:u w:val="single"/>
          </w:rPr>
          <w:t>SB 2277</w:t>
        </w:r>
      </w:hyperlink>
      <w:r w:rsidRPr="000F4C13">
        <w:rPr>
          <w:rFonts w:eastAsia="Calibri" w:asciiTheme="majorHAnsi" w:hAnsiTheme="majorHAnsi" w:cstheme="majorHAnsi"/>
        </w:rPr>
        <w:t xml:space="preserve"> was passed in 2018 to help prevent consumers from purchasing flood-damaged </w:t>
      </w:r>
      <w:r w:rsidRPr="0011278B">
        <w:rPr>
          <w:rFonts w:ascii="Calibri" w:hAnsi="Calibri" w:eastAsia="Calibri" w:cs="Calibri"/>
        </w:rPr>
        <w:t>vehicles</w:t>
      </w:r>
      <w:bookmarkStart w:name="_5c7x5rdz1gis" w:colFirst="0" w:colLast="0" w:id="150"/>
      <w:bookmarkStart w:name="_f9ebwak67zis" w:colFirst="0" w:colLast="0" w:id="151"/>
      <w:bookmarkStart w:name="_eytrpf5q0hmd" w:colFirst="0" w:colLast="0" w:id="152"/>
      <w:bookmarkStart w:name="_v4h9arqdesiu" w:colFirst="0" w:colLast="0" w:id="153"/>
      <w:bookmarkEnd w:id="150"/>
      <w:bookmarkEnd w:id="151"/>
      <w:bookmarkEnd w:id="152"/>
      <w:bookmarkEnd w:id="153"/>
    </w:p>
    <w:p w:rsidR="005C5989" w:rsidP="00BE0883" w:rsidRDefault="0035069D" w14:paraId="0AF86F10" w14:textId="59FD13DA">
      <w:pPr>
        <w:jc w:val="both"/>
        <w:rPr>
          <w:rFonts w:ascii="Calibri" w:hAnsi="Calibri" w:cs="Calibri"/>
        </w:rPr>
      </w:pPr>
      <w:r>
        <w:rPr>
          <w:rFonts w:ascii="Calibri" w:hAnsi="Calibri" w:cs="Calibri"/>
        </w:rPr>
        <w:pict w14:anchorId="07FF7CC1">
          <v:rect id="_x0000_i1035" style="width:0;height:1.5pt" o:bullet="t" o:hr="t" o:hrstd="t" o:hralign="center" fillcolor="#a0a0a0" stroked="f"/>
        </w:pict>
      </w:r>
      <w:bookmarkStart w:name="_irkwqpxb2lv5" w:colFirst="0" w:colLast="0" w:id="154"/>
      <w:bookmarkEnd w:id="154"/>
    </w:p>
    <w:p w:rsidRPr="0011278B" w:rsidR="003B1A37" w:rsidP="00BE0883" w:rsidRDefault="003B1A37" w14:paraId="17C37950" w14:textId="77777777">
      <w:pPr>
        <w:jc w:val="both"/>
        <w:rPr>
          <w:rFonts w:ascii="Calibri" w:hAnsi="Calibri" w:cs="Calibri"/>
        </w:rPr>
      </w:pPr>
    </w:p>
    <w:p w:rsidRPr="0011278B" w:rsidR="00C96053" w:rsidRDefault="00B2522B" w14:paraId="04DCC85D" w14:textId="5ED1C957">
      <w:pPr>
        <w:pStyle w:val="Heading1"/>
      </w:pPr>
      <w:r w:rsidRPr="0011278B">
        <w:t>Part 3: Emerging Protection Gaps</w:t>
      </w:r>
    </w:p>
    <w:p w:rsidRPr="000F4C13" w:rsidR="00C96053" w:rsidP="00365DD3" w:rsidRDefault="00CF46C9" w14:paraId="41DAE326" w14:textId="082A714F">
      <w:pPr>
        <w:keepNext/>
        <w:keepLines/>
        <w:spacing w:after="0" w:line="276" w:lineRule="auto"/>
        <w:jc w:val="both"/>
        <w:rPr>
          <w:rFonts w:eastAsia="Calibri" w:asciiTheme="majorHAnsi" w:hAnsiTheme="majorHAnsi" w:cstheme="majorHAnsi"/>
        </w:rPr>
      </w:pPr>
      <w:bookmarkStart w:name="_4dspymeyafs2" w:colFirst="0" w:colLast="0" w:id="155"/>
      <w:bookmarkEnd w:id="155"/>
      <w:r w:rsidRPr="0011278B">
        <w:rPr>
          <w:rFonts w:ascii="Calibri" w:hAnsi="Calibri" w:eastAsia="Calibri" w:cs="Calibri"/>
          <w:lang w:val="en-US"/>
        </w:rPr>
        <w:t>Part 3 explores new protection gaps in homeowners insurance, emphasizing how changing risks,</w:t>
      </w:r>
      <w:r w:rsidRPr="000F4C13">
        <w:rPr>
          <w:rFonts w:eastAsia="Calibri" w:asciiTheme="majorHAnsi" w:hAnsiTheme="majorHAnsi" w:cstheme="majorHAnsi"/>
          <w:lang w:val="en-US"/>
        </w:rPr>
        <w:t xml:space="preserve"> market reactions, and policy decisions are altering available coverage and affected groups. Like Part 2, this section offers strategies </w:t>
      </w:r>
      <w:r w:rsidRPr="000F4C13" w:rsidR="00C65340">
        <w:rPr>
          <w:rFonts w:eastAsia="Calibri" w:asciiTheme="majorHAnsi" w:hAnsiTheme="majorHAnsi" w:cstheme="majorHAnsi"/>
          <w:lang w:val="en-US"/>
        </w:rPr>
        <w:t>policymakers and regulators can adopt to improve affordability and access to coverage</w:t>
      </w:r>
      <w:r w:rsidRPr="000F4C13">
        <w:rPr>
          <w:rFonts w:eastAsia="Calibri" w:asciiTheme="majorHAnsi" w:hAnsiTheme="majorHAnsi" w:cstheme="majorHAnsi"/>
          <w:lang w:val="en-US"/>
        </w:rPr>
        <w:t xml:space="preserve"> in their states. It concentrates on two related themes: first, it discusses approaches states have used to address emerging protection gaps</w:t>
      </w:r>
      <w:r w:rsidRPr="000F4C13" w:rsidR="000F53DE">
        <w:rPr>
          <w:rFonts w:eastAsia="Calibri" w:asciiTheme="majorHAnsi" w:hAnsiTheme="majorHAnsi" w:cstheme="majorHAnsi"/>
          <w:lang w:val="en-US"/>
        </w:rPr>
        <w:t xml:space="preserve">, </w:t>
      </w:r>
      <w:r w:rsidRPr="000F4C13">
        <w:rPr>
          <w:rFonts w:eastAsia="Calibri" w:asciiTheme="majorHAnsi" w:hAnsiTheme="majorHAnsi" w:cstheme="majorHAnsi"/>
          <w:lang w:val="en-US"/>
        </w:rPr>
        <w:t xml:space="preserve">such as regulatory measures, data initiatives, mitigation efforts, and market </w:t>
      </w:r>
      <w:r w:rsidRPr="000F4C13" w:rsidR="00DA27FA">
        <w:rPr>
          <w:rFonts w:eastAsia="Calibri" w:asciiTheme="majorHAnsi" w:hAnsiTheme="majorHAnsi" w:cstheme="majorHAnsi"/>
          <w:lang w:val="en-US"/>
        </w:rPr>
        <w:t>interventions that</w:t>
      </w:r>
      <w:r w:rsidRPr="000F4C13">
        <w:rPr>
          <w:rFonts w:eastAsia="Calibri" w:asciiTheme="majorHAnsi" w:hAnsiTheme="majorHAnsi" w:cstheme="majorHAnsi"/>
          <w:lang w:val="en-US"/>
        </w:rPr>
        <w:t xml:space="preserve"> might be applicable elsewhere. </w:t>
      </w:r>
      <w:r w:rsidRPr="000F4C13" w:rsidR="00B560BF">
        <w:rPr>
          <w:rFonts w:eastAsia="Calibri" w:asciiTheme="majorHAnsi" w:hAnsiTheme="majorHAnsi" w:cstheme="majorHAnsi"/>
          <w:lang w:val="en-US"/>
        </w:rPr>
        <w:t>Second, it examines how evolving and escalating risks</w:t>
      </w:r>
      <w:r w:rsidR="007E72F6">
        <w:rPr>
          <w:rFonts w:eastAsia="Calibri" w:asciiTheme="majorHAnsi" w:hAnsiTheme="majorHAnsi" w:cstheme="majorHAnsi"/>
          <w:lang w:val="en-US"/>
        </w:rPr>
        <w:t>, including wildfires, floods, extreme heat, storms, and earthquakes,</w:t>
      </w:r>
      <w:r w:rsidRPr="000F4C13" w:rsidR="00B560BF">
        <w:rPr>
          <w:rFonts w:eastAsia="Calibri" w:asciiTheme="majorHAnsi" w:hAnsiTheme="majorHAnsi" w:cstheme="majorHAnsi"/>
          <w:lang w:val="en-US"/>
        </w:rPr>
        <w:t xml:space="preserve"> are influencing loss trends, insurer behavior, and insurance market outcomes.</w:t>
      </w:r>
    </w:p>
    <w:p w:rsidRPr="000F4C13" w:rsidR="00C96053" w:rsidP="00707D08" w:rsidRDefault="00B2522B" w14:paraId="05490F76" w14:textId="0E22C012">
      <w:pPr>
        <w:pStyle w:val="Heading2"/>
        <w:rPr>
          <w:rFonts w:asciiTheme="majorHAnsi" w:hAnsiTheme="majorHAnsi" w:cstheme="majorHAnsi"/>
        </w:rPr>
      </w:pPr>
      <w:bookmarkStart w:name="_csi58znfs4jm" w:colFirst="0" w:colLast="0" w:id="156"/>
      <w:bookmarkEnd w:id="156"/>
      <w:r w:rsidRPr="000F4C13">
        <w:rPr>
          <w:rFonts w:asciiTheme="majorHAnsi" w:hAnsiTheme="majorHAnsi" w:cstheme="majorHAnsi"/>
        </w:rPr>
        <w:t>Atmospheric Rivers and Flooding</w:t>
      </w:r>
      <w:r w:rsidRPr="000F4C13" w:rsidR="007E72F6">
        <w:rPr>
          <w:rFonts w:asciiTheme="majorHAnsi" w:hAnsiTheme="majorHAnsi" w:cstheme="majorHAnsi"/>
          <w:sz w:val="28"/>
          <w:szCs w:val="28"/>
        </w:rPr>
        <w:t>—</w:t>
      </w:r>
      <w:r w:rsidRPr="000F4C13">
        <w:rPr>
          <w:rFonts w:asciiTheme="majorHAnsi" w:hAnsiTheme="majorHAnsi" w:cstheme="majorHAnsi"/>
        </w:rPr>
        <w:t xml:space="preserve">California </w:t>
      </w:r>
    </w:p>
    <w:p w:rsidRPr="000F4C13" w:rsidR="00C96053" w:rsidRDefault="00B2522B" w14:paraId="5EE2CF7F" w14:textId="77777777">
      <w:pPr>
        <w:pStyle w:val="Heading3"/>
        <w:rPr>
          <w:rFonts w:asciiTheme="majorHAnsi" w:hAnsiTheme="majorHAnsi" w:cstheme="majorHAnsi"/>
        </w:rPr>
      </w:pPr>
      <w:bookmarkStart w:name="_yjgn42reoiav" w:colFirst="0" w:colLast="0" w:id="157"/>
      <w:bookmarkEnd w:id="157"/>
      <w:r w:rsidRPr="000F4C13">
        <w:rPr>
          <w:rFonts w:asciiTheme="majorHAnsi" w:hAnsiTheme="majorHAnsi" w:cstheme="majorHAnsi"/>
        </w:rPr>
        <w:t>California</w:t>
      </w:r>
    </w:p>
    <w:p w:rsidRPr="000F4C13" w:rsidR="00C96053" w:rsidRDefault="00B2522B" w14:paraId="3E3F2CBA" w14:textId="77777777">
      <w:pPr>
        <w:pStyle w:val="Heading4"/>
        <w:rPr>
          <w:rFonts w:asciiTheme="majorHAnsi" w:hAnsiTheme="majorHAnsi" w:cstheme="majorHAnsi"/>
        </w:rPr>
      </w:pPr>
      <w:bookmarkStart w:name="_1fpdzhmcb78r" w:colFirst="0" w:colLast="0" w:id="158"/>
      <w:bookmarkEnd w:id="158"/>
      <w:r w:rsidRPr="000F4C13">
        <w:rPr>
          <w:rFonts w:asciiTheme="majorHAnsi" w:hAnsiTheme="majorHAnsi" w:cstheme="majorHAnsi"/>
        </w:rPr>
        <w:t xml:space="preserve">Introduction: </w:t>
      </w:r>
    </w:p>
    <w:p w:rsidR="00781EC5" w:rsidP="008805B9" w:rsidRDefault="00B2522B" w14:paraId="13BEBDCA" w14:textId="77777777">
      <w:pPr>
        <w:spacing w:after="0"/>
        <w:jc w:val="both"/>
        <w:rPr>
          <w:rFonts w:eastAsia="Calibri" w:asciiTheme="majorHAnsi" w:hAnsiTheme="majorHAnsi" w:cstheme="majorHAnsi"/>
        </w:rPr>
      </w:pPr>
      <w:r w:rsidRPr="000F4C13">
        <w:rPr>
          <w:rFonts w:eastAsia="Calibri" w:asciiTheme="majorHAnsi" w:hAnsiTheme="majorHAnsi" w:cstheme="majorHAnsi"/>
        </w:rPr>
        <w:t xml:space="preserve">One important source of flooding risk in California is a meteorological phenomenon known as “atmospheric rivers.” Atmospheric rivers are long, narrow regions of the atmosphere that transport water vapor, sometimes referred to as “rivers in the sky.” While atmospheric rivers are a key component of the global water cycle and contribute significantly to California’s water supply, they can also cause heavy precipitation and present serious flood risks. Extreme atmospheric rivers can disrupt travel, induce mudslides, and cause catastrophic damage to life and property. Research has found that atmospheric rivers are responsible for the majority of flood damage in the West, with average </w:t>
      </w:r>
      <w:r w:rsidRPr="000F4C13" w:rsidR="008D74A7">
        <w:rPr>
          <w:rFonts w:eastAsia="Calibri" w:asciiTheme="majorHAnsi" w:hAnsiTheme="majorHAnsi" w:cstheme="majorHAnsi"/>
        </w:rPr>
        <w:t>annual damage of about $1 billion</w:t>
      </w:r>
      <w:r w:rsidRPr="000F4C13">
        <w:rPr>
          <w:rFonts w:eastAsia="Calibri" w:asciiTheme="majorHAnsi" w:hAnsiTheme="majorHAnsi" w:cstheme="majorHAnsi"/>
        </w:rPr>
        <w:t xml:space="preserve">. </w:t>
      </w:r>
    </w:p>
    <w:p w:rsidR="008805B9" w:rsidP="008805B9" w:rsidRDefault="008805B9" w14:paraId="5F83D821" w14:textId="77777777">
      <w:pPr>
        <w:spacing w:after="0"/>
        <w:jc w:val="both"/>
        <w:rPr>
          <w:rFonts w:eastAsia="Calibri" w:asciiTheme="majorHAnsi" w:hAnsiTheme="majorHAnsi" w:cstheme="majorHAnsi"/>
        </w:rPr>
      </w:pPr>
    </w:p>
    <w:p w:rsidRPr="000F4C13" w:rsidR="00C96053" w:rsidP="008805B9" w:rsidRDefault="00B2522B" w14:paraId="18A3C380" w14:textId="12B92292">
      <w:pPr>
        <w:spacing w:after="0"/>
        <w:jc w:val="both"/>
        <w:rPr>
          <w:rFonts w:eastAsia="Calibri" w:asciiTheme="majorHAnsi" w:hAnsiTheme="majorHAnsi" w:cstheme="majorHAnsi"/>
        </w:rPr>
      </w:pPr>
      <w:r w:rsidRPr="000F4C13">
        <w:rPr>
          <w:rFonts w:eastAsia="Calibri" w:asciiTheme="majorHAnsi" w:hAnsiTheme="majorHAnsi" w:cstheme="majorHAnsi"/>
        </w:rPr>
        <w:t xml:space="preserve">Although hurricanes and tropical storms are well categorized, atmospheric rivers are not. Recent research by the state and federal government is now beginning to better understand and assess this risk. But an effective categorization-based warning system has not yet been fully developed. In early February 2024, two atmospheric rivers brought extensive flooding, intense winds, and power outages to portions of California. The storms caused record-breaking rainfall totals </w:t>
      </w:r>
      <w:r w:rsidR="008805B9">
        <w:rPr>
          <w:rFonts w:eastAsia="Calibri" w:asciiTheme="majorHAnsi" w:hAnsiTheme="majorHAnsi" w:cstheme="majorHAnsi"/>
        </w:rPr>
        <w:t>across</w:t>
      </w:r>
      <w:r w:rsidRPr="000F4C13">
        <w:rPr>
          <w:rFonts w:eastAsia="Calibri" w:asciiTheme="majorHAnsi" w:hAnsiTheme="majorHAnsi" w:cstheme="majorHAnsi"/>
        </w:rPr>
        <w:t xml:space="preserve"> multiple areas, as well as the declaration of states of emergency in multiple counties in Southern California. Even though every county in the state has </w:t>
      </w:r>
      <w:r w:rsidRPr="000F4C13" w:rsidR="00CF4FBD">
        <w:rPr>
          <w:rFonts w:eastAsia="Calibri" w:asciiTheme="majorHAnsi" w:hAnsiTheme="majorHAnsi" w:cstheme="majorHAnsi"/>
        </w:rPr>
        <w:t xml:space="preserve">had a flood emergency declaration </w:t>
      </w:r>
      <w:r w:rsidRPr="000F4C13">
        <w:rPr>
          <w:rFonts w:eastAsia="Calibri" w:asciiTheme="majorHAnsi" w:hAnsiTheme="majorHAnsi" w:cstheme="majorHAnsi"/>
        </w:rPr>
        <w:t xml:space="preserve">since 1992, flood insurance </w:t>
      </w:r>
      <w:r w:rsidRPr="000F4C13" w:rsidR="008C1DA5">
        <w:rPr>
          <w:rFonts w:eastAsia="Calibri" w:asciiTheme="majorHAnsi" w:hAnsiTheme="majorHAnsi" w:cstheme="majorHAnsi"/>
        </w:rPr>
        <w:t xml:space="preserve">take-up </w:t>
      </w:r>
      <w:r w:rsidRPr="000F4C13">
        <w:rPr>
          <w:rFonts w:eastAsia="Calibri" w:asciiTheme="majorHAnsi" w:hAnsiTheme="majorHAnsi" w:cstheme="majorHAnsi"/>
        </w:rPr>
        <w:t>is only 2%.</w:t>
      </w:r>
    </w:p>
    <w:p w:rsidRPr="000F4C13" w:rsidR="00C96053" w:rsidRDefault="00B2522B" w14:paraId="5D8FB680" w14:textId="77777777">
      <w:pPr>
        <w:pStyle w:val="Heading4"/>
        <w:rPr>
          <w:rFonts w:asciiTheme="majorHAnsi" w:hAnsiTheme="majorHAnsi" w:cstheme="majorHAnsi"/>
        </w:rPr>
      </w:pPr>
      <w:bookmarkStart w:name="_ym8xok1cq3sf" w:colFirst="0" w:colLast="0" w:id="159"/>
      <w:bookmarkEnd w:id="159"/>
      <w:r w:rsidRPr="000F4C13">
        <w:rPr>
          <w:rFonts w:asciiTheme="majorHAnsi" w:hAnsiTheme="majorHAnsi" w:cstheme="majorHAnsi"/>
        </w:rPr>
        <w:t>Reports</w:t>
      </w:r>
    </w:p>
    <w:bookmarkStart w:name="_kal5tm1vrhyp" w:colFirst="0" w:colLast="0" w:id="160"/>
    <w:bookmarkEnd w:id="160"/>
    <w:p w:rsidRPr="000F4C13" w:rsidR="00C96053" w:rsidP="007D1FF7" w:rsidRDefault="00B2522B" w14:paraId="14AFB4C6" w14:textId="2ACA6D51">
      <w:pPr>
        <w:jc w:val="both"/>
        <w:rPr>
          <w:rFonts w:eastAsia="Calibri" w:asciiTheme="majorHAnsi" w:hAnsiTheme="majorHAnsi" w:cstheme="majorHAnsi"/>
          <w:u w:val="single"/>
        </w:rPr>
      </w:pPr>
      <w:r w:rsidRPr="000F4C13">
        <w:rPr>
          <w:rFonts w:asciiTheme="majorHAnsi" w:hAnsiTheme="majorHAnsi" w:cstheme="majorHAnsi"/>
        </w:rPr>
        <w:fldChar w:fldCharType="begin"/>
      </w:r>
      <w:r w:rsidRPr="000F4C13">
        <w:rPr>
          <w:rFonts w:asciiTheme="majorHAnsi" w:hAnsiTheme="majorHAnsi" w:cstheme="majorHAnsi"/>
        </w:rPr>
        <w:instrText>HYPERLINK "http://www.insurance.ca.gov/cci/"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eastAsia="Calibri" w:asciiTheme="majorHAnsi" w:hAnsiTheme="majorHAnsi" w:cstheme="majorHAnsi"/>
          <w:color w:val="1155CC"/>
          <w:u w:val="single"/>
        </w:rPr>
        <w:t>Climate Insurance Report</w:t>
      </w:r>
      <w:r w:rsidRPr="000F4C13">
        <w:rPr>
          <w:rFonts w:asciiTheme="majorHAnsi" w:hAnsiTheme="majorHAnsi" w:cstheme="majorHAnsi"/>
        </w:rPr>
        <w:fldChar w:fldCharType="end"/>
      </w:r>
      <w:r w:rsidRPr="000F4C13" w:rsidR="001F465A">
        <w:rPr>
          <w:rFonts w:asciiTheme="majorHAnsi" w:hAnsiTheme="majorHAnsi" w:cstheme="majorHAnsi"/>
        </w:rPr>
        <w:t xml:space="preserve">: </w:t>
      </w:r>
      <w:r w:rsidRPr="000F4C13">
        <w:rPr>
          <w:rFonts w:eastAsia="Calibri" w:asciiTheme="majorHAnsi" w:hAnsiTheme="majorHAnsi" w:cstheme="majorHAnsi"/>
        </w:rPr>
        <w:t xml:space="preserve">Senate Bill 30 (Chapter 614, Statutes of 2018) established a working group of environmental advocates, researchers, and insurance experts </w:t>
      </w:r>
      <w:r w:rsidRPr="000F4C13" w:rsidR="00DD27EB">
        <w:rPr>
          <w:rFonts w:eastAsia="Calibri" w:asciiTheme="majorHAnsi" w:hAnsiTheme="majorHAnsi" w:cstheme="majorHAnsi"/>
        </w:rPr>
        <w:t>to make recommendations on policies to reduce the costs of</w:t>
      </w:r>
      <w:r w:rsidRPr="000F4C13">
        <w:rPr>
          <w:rFonts w:eastAsia="Calibri" w:asciiTheme="majorHAnsi" w:hAnsiTheme="majorHAnsi" w:cstheme="majorHAnsi"/>
        </w:rPr>
        <w:t xml:space="preserve"> wildfires, extreme heat, and flooding. They released the first-ever report in 2021 titled "Protecting Communities, Preserving Nature, and Building Resiliency; How First-of-Its-Kind Climate Insurance Will Help Combat the Costs of Wildfires, Extreme Heat, and Floods."</w:t>
      </w:r>
    </w:p>
    <w:p w:rsidRPr="000F4C13" w:rsidR="00C96053" w:rsidRDefault="00B2522B" w14:paraId="33B6D1CB" w14:textId="77777777">
      <w:pPr>
        <w:jc w:val="both"/>
        <w:rPr>
          <w:rFonts w:eastAsia="Calibri" w:asciiTheme="majorHAnsi" w:hAnsiTheme="majorHAnsi" w:cstheme="majorHAnsi"/>
          <w:u w:val="single"/>
        </w:rPr>
      </w:pPr>
      <w:r w:rsidRPr="000F4C13">
        <w:rPr>
          <w:rFonts w:eastAsia="Calibri" w:asciiTheme="majorHAnsi" w:hAnsiTheme="majorHAnsi" w:cstheme="majorHAnsi"/>
        </w:rPr>
        <w:t>The report’s flooding recommendations include: (1) Conduct high rainfall event vulnerability analysis, (2) Make risk reduction information more accessible, (3) Create a market for natural infrastructure investment to reduce flooding risk, (4) Develop proof of concept for nature-based solution and risk transfer (see pilot projects below).</w:t>
      </w:r>
    </w:p>
    <w:bookmarkStart w:name="_y65nqsez3i56" w:colFirst="0" w:colLast="0" w:id="161"/>
    <w:bookmarkEnd w:id="161"/>
    <w:p w:rsidRPr="000F4C13" w:rsidR="00C96053" w:rsidP="007D1FF7" w:rsidRDefault="00B2522B" w14:paraId="65FF2C89" w14:textId="4651ADDE">
      <w:pPr>
        <w:jc w:val="both"/>
        <w:rPr>
          <w:rFonts w:eastAsia="Calibri" w:asciiTheme="majorHAnsi" w:hAnsiTheme="majorHAnsi" w:cstheme="majorHAnsi"/>
          <w:u w:val="single"/>
        </w:rPr>
      </w:pPr>
      <w:r w:rsidRPr="000F4C13">
        <w:rPr>
          <w:rFonts w:asciiTheme="majorHAnsi" w:hAnsiTheme="majorHAnsi" w:cstheme="majorHAnsi"/>
        </w:rPr>
        <w:fldChar w:fldCharType="begin"/>
      </w:r>
      <w:r w:rsidRPr="000F4C13">
        <w:rPr>
          <w:rFonts w:asciiTheme="majorHAnsi" w:hAnsiTheme="majorHAnsi" w:cstheme="majorHAnsi"/>
        </w:rPr>
        <w:instrText>HYPERLINK "https://www.insurance.ca.gov/01-consumers/180-climate-change/upload/CA-Sustainable-Insurance-Roadmap-2022.pdf"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eastAsia="Calibri" w:asciiTheme="majorHAnsi" w:hAnsiTheme="majorHAnsi" w:cstheme="majorHAnsi"/>
          <w:color w:val="1155CC"/>
          <w:u w:val="single"/>
        </w:rPr>
        <w:t>Sustainable Insurance Roadmap</w:t>
      </w:r>
      <w:r w:rsidRPr="000F4C13">
        <w:rPr>
          <w:rFonts w:asciiTheme="majorHAnsi" w:hAnsiTheme="majorHAnsi" w:cstheme="majorHAnsi"/>
        </w:rPr>
        <w:fldChar w:fldCharType="end"/>
      </w:r>
      <w:r w:rsidRPr="000F4C13" w:rsidR="001F465A">
        <w:rPr>
          <w:rFonts w:asciiTheme="majorHAnsi" w:hAnsiTheme="majorHAnsi" w:cstheme="majorHAnsi"/>
        </w:rPr>
        <w:t>:</w:t>
      </w:r>
      <w:r w:rsidRPr="000F4C13" w:rsidR="001F465A">
        <w:rPr>
          <w:rFonts w:eastAsia="Calibri" w:asciiTheme="majorHAnsi" w:hAnsiTheme="majorHAnsi" w:cstheme="majorHAnsi"/>
        </w:rPr>
        <w:t xml:space="preserve"> </w:t>
      </w:r>
      <w:r w:rsidRPr="000F4C13">
        <w:rPr>
          <w:rFonts w:eastAsia="Calibri" w:asciiTheme="majorHAnsi" w:hAnsiTheme="majorHAnsi" w:cstheme="majorHAnsi"/>
        </w:rPr>
        <w:t xml:space="preserve">In 2022, Insurance Commissioner Ricardo Lara and the United Nations’ Principles for Sustainable Insurance Initiative (PSI) announced a first-of-its-kind “Sustainable Insurance Roadmap” for </w:t>
      </w:r>
      <w:r w:rsidRPr="000F4C13" w:rsidR="00DF60FB">
        <w:rPr>
          <w:rFonts w:eastAsia="Calibri" w:asciiTheme="majorHAnsi" w:hAnsiTheme="majorHAnsi" w:cstheme="majorHAnsi"/>
        </w:rPr>
        <w:t>California</w:t>
      </w:r>
      <w:r w:rsidRPr="000F4C13">
        <w:rPr>
          <w:rFonts w:eastAsia="Calibri" w:asciiTheme="majorHAnsi" w:hAnsiTheme="majorHAnsi" w:cstheme="majorHAnsi"/>
        </w:rPr>
        <w:t xml:space="preserve">. The </w:t>
      </w:r>
      <w:r w:rsidRPr="000F4C13" w:rsidR="006A3392">
        <w:rPr>
          <w:rFonts w:eastAsia="Calibri" w:asciiTheme="majorHAnsi" w:hAnsiTheme="majorHAnsi" w:cstheme="majorHAnsi"/>
        </w:rPr>
        <w:t>Roadmap</w:t>
      </w:r>
      <w:r w:rsidRPr="000F4C13">
        <w:rPr>
          <w:rFonts w:eastAsia="Calibri" w:asciiTheme="majorHAnsi" w:hAnsiTheme="majorHAnsi" w:cstheme="majorHAnsi"/>
        </w:rPr>
        <w:t xml:space="preserve"> highlights the four interlocking goals of reducing emissions, accelerating community mitigation, keeping insurance affordable and available for vulnerable communities, and closing protection gaps between insured and uninsured losses.</w:t>
      </w:r>
    </w:p>
    <w:p w:rsidRPr="000F4C13" w:rsidR="00C96053" w:rsidRDefault="006A3392" w14:paraId="095C7391" w14:textId="1AF6C0DE">
      <w:pPr>
        <w:jc w:val="both"/>
        <w:rPr>
          <w:rFonts w:eastAsia="Calibri" w:asciiTheme="majorHAnsi" w:hAnsiTheme="majorHAnsi" w:cstheme="majorHAnsi"/>
          <w:u w:val="single"/>
        </w:rPr>
      </w:pPr>
      <w:r w:rsidRPr="000F4C13">
        <w:rPr>
          <w:rFonts w:eastAsia="Calibri" w:asciiTheme="majorHAnsi" w:hAnsiTheme="majorHAnsi" w:cstheme="majorHAnsi"/>
        </w:rPr>
        <w:t>It</w:t>
      </w:r>
      <w:r w:rsidRPr="000F4C13" w:rsidR="00B2522B">
        <w:rPr>
          <w:rFonts w:eastAsia="Calibri" w:asciiTheme="majorHAnsi" w:hAnsiTheme="majorHAnsi" w:cstheme="majorHAnsi"/>
        </w:rPr>
        <w:t xml:space="preserve"> addresses different strategies to reduce risks of flooding and close protection gaps, such as (1) Catalyze community-based Flood Insurance (see pilot projects below), (2) Combine risk reduction and insurance through innovative community approaches, (3) </w:t>
      </w:r>
      <w:r w:rsidRPr="000F4C13" w:rsidR="00676AD3">
        <w:rPr>
          <w:rFonts w:eastAsia="Calibri" w:asciiTheme="majorHAnsi" w:hAnsiTheme="majorHAnsi" w:cstheme="majorHAnsi"/>
        </w:rPr>
        <w:t xml:space="preserve">close </w:t>
      </w:r>
      <w:r w:rsidRPr="000F4C13" w:rsidR="00B2522B">
        <w:rPr>
          <w:rFonts w:eastAsia="Calibri" w:asciiTheme="majorHAnsi" w:hAnsiTheme="majorHAnsi" w:cstheme="majorHAnsi"/>
        </w:rPr>
        <w:t xml:space="preserve">the </w:t>
      </w:r>
      <w:r w:rsidRPr="000F4C13" w:rsidR="00676AD3">
        <w:rPr>
          <w:rFonts w:eastAsia="Calibri" w:asciiTheme="majorHAnsi" w:hAnsiTheme="majorHAnsi" w:cstheme="majorHAnsi"/>
        </w:rPr>
        <w:t>protection</w:t>
      </w:r>
      <w:r w:rsidRPr="000F4C13" w:rsidR="00B2522B">
        <w:rPr>
          <w:rFonts w:eastAsia="Calibri" w:asciiTheme="majorHAnsi" w:hAnsiTheme="majorHAnsi" w:cstheme="majorHAnsi"/>
        </w:rPr>
        <w:t xml:space="preserve"> </w:t>
      </w:r>
      <w:r w:rsidRPr="000F4C13" w:rsidR="00676AD3">
        <w:rPr>
          <w:rFonts w:eastAsia="Calibri" w:asciiTheme="majorHAnsi" w:hAnsiTheme="majorHAnsi" w:cstheme="majorHAnsi"/>
        </w:rPr>
        <w:t xml:space="preserve">gap </w:t>
      </w:r>
      <w:r w:rsidRPr="000F4C13" w:rsidR="00B2522B">
        <w:rPr>
          <w:rFonts w:eastAsia="Calibri" w:asciiTheme="majorHAnsi" w:hAnsiTheme="majorHAnsi" w:cstheme="majorHAnsi"/>
        </w:rPr>
        <w:t xml:space="preserve">by </w:t>
      </w:r>
      <w:r w:rsidRPr="000F4C13" w:rsidR="00676AD3">
        <w:rPr>
          <w:rFonts w:eastAsia="Calibri" w:asciiTheme="majorHAnsi" w:hAnsiTheme="majorHAnsi" w:cstheme="majorHAnsi"/>
        </w:rPr>
        <w:t xml:space="preserve">targeting resilience outreach </w:t>
      </w:r>
      <w:r w:rsidRPr="000F4C13" w:rsidR="00B2522B">
        <w:rPr>
          <w:rFonts w:eastAsia="Calibri" w:asciiTheme="majorHAnsi" w:hAnsiTheme="majorHAnsi" w:cstheme="majorHAnsi"/>
        </w:rPr>
        <w:t xml:space="preserve">and </w:t>
      </w:r>
      <w:r w:rsidRPr="000F4C13" w:rsidR="00676AD3">
        <w:rPr>
          <w:rFonts w:eastAsia="Calibri" w:asciiTheme="majorHAnsi" w:hAnsiTheme="majorHAnsi" w:cstheme="majorHAnsi"/>
        </w:rPr>
        <w:t xml:space="preserve">education </w:t>
      </w:r>
      <w:r w:rsidRPr="000F4C13" w:rsidR="00B2522B">
        <w:rPr>
          <w:rFonts w:eastAsia="Calibri" w:asciiTheme="majorHAnsi" w:hAnsiTheme="majorHAnsi" w:cstheme="majorHAnsi"/>
        </w:rPr>
        <w:t xml:space="preserve">towards </w:t>
      </w:r>
      <w:r w:rsidRPr="000F4C13" w:rsidR="00676AD3">
        <w:rPr>
          <w:rFonts w:eastAsia="Calibri" w:asciiTheme="majorHAnsi" w:hAnsiTheme="majorHAnsi" w:cstheme="majorHAnsi"/>
        </w:rPr>
        <w:t>vulnerable communities</w:t>
      </w:r>
      <w:r w:rsidRPr="000F4C13" w:rsidR="00B2522B">
        <w:rPr>
          <w:rFonts w:eastAsia="Calibri" w:asciiTheme="majorHAnsi" w:hAnsiTheme="majorHAnsi" w:cstheme="majorHAnsi"/>
        </w:rPr>
        <w:t>, (4) Launch a “Demystifying Insurance” initiative to increase understanding of insurance options and financial literacy.</w:t>
      </w:r>
    </w:p>
    <w:p w:rsidRPr="000F4C13" w:rsidR="00C96053" w:rsidRDefault="00B2522B" w14:paraId="3ACA3574" w14:textId="77777777">
      <w:pPr>
        <w:pStyle w:val="Heading4"/>
        <w:rPr>
          <w:rFonts w:asciiTheme="majorHAnsi" w:hAnsiTheme="majorHAnsi" w:cstheme="majorHAnsi"/>
        </w:rPr>
      </w:pPr>
      <w:bookmarkStart w:name="_tik6aa7j9hok" w:colFirst="0" w:colLast="0" w:id="162"/>
      <w:bookmarkEnd w:id="162"/>
      <w:r w:rsidRPr="000F4C13">
        <w:rPr>
          <w:rFonts w:asciiTheme="majorHAnsi" w:hAnsiTheme="majorHAnsi" w:cstheme="majorHAnsi"/>
        </w:rPr>
        <w:t>Regulations</w:t>
      </w:r>
    </w:p>
    <w:p w:rsidRPr="000F4C13" w:rsidR="004559F5" w:rsidP="00FF459E" w:rsidRDefault="00C96053" w14:paraId="5BB799FF" w14:textId="3C24204A">
      <w:pPr>
        <w:jc w:val="both"/>
        <w:rPr>
          <w:rFonts w:asciiTheme="majorHAnsi" w:hAnsiTheme="majorHAnsi" w:cstheme="majorHAnsi"/>
        </w:rPr>
      </w:pPr>
      <w:hyperlink r:id="rId225">
        <w:r w:rsidRPr="000F4C13">
          <w:rPr>
            <w:rFonts w:eastAsia="Calibri" w:asciiTheme="majorHAnsi" w:hAnsiTheme="majorHAnsi" w:cstheme="majorHAnsi"/>
            <w:color w:val="467886"/>
            <w:u w:val="single"/>
          </w:rPr>
          <w:t>Catastrophe Modeling and Rate Making Regulations</w:t>
        </w:r>
      </w:hyperlink>
      <w:r w:rsidRPr="000F4C13">
        <w:rPr>
          <w:rFonts w:eastAsia="Calibri" w:asciiTheme="majorHAnsi" w:hAnsiTheme="majorHAnsi" w:cstheme="majorHAnsi"/>
        </w:rPr>
        <w:t xml:space="preserve">: In December 2024, CDI amended or adopted Sections </w:t>
      </w:r>
      <w:hyperlink r:id="rId226">
        <w:r w:rsidRPr="000F4C13">
          <w:rPr>
            <w:rFonts w:eastAsia="Calibri" w:asciiTheme="majorHAnsi" w:hAnsiTheme="majorHAnsi" w:cstheme="majorHAnsi"/>
            <w:color w:val="467886"/>
            <w:u w:val="single"/>
          </w:rPr>
          <w:t>2644.4</w:t>
        </w:r>
      </w:hyperlink>
      <w:r w:rsidRPr="000F4C13">
        <w:rPr>
          <w:rFonts w:eastAsia="Calibri" w:asciiTheme="majorHAnsi" w:hAnsiTheme="majorHAnsi" w:cstheme="majorHAnsi"/>
        </w:rPr>
        <w:t xml:space="preserve">, </w:t>
      </w:r>
      <w:hyperlink r:id="rId227">
        <w:r w:rsidRPr="000F4C13">
          <w:rPr>
            <w:rFonts w:eastAsia="Calibri" w:asciiTheme="majorHAnsi" w:hAnsiTheme="majorHAnsi" w:cstheme="majorHAnsi"/>
            <w:color w:val="467886"/>
            <w:u w:val="single"/>
          </w:rPr>
          <w:t>2644.4.5</w:t>
        </w:r>
      </w:hyperlink>
      <w:r w:rsidRPr="000F4C13">
        <w:rPr>
          <w:rFonts w:eastAsia="Calibri" w:asciiTheme="majorHAnsi" w:hAnsiTheme="majorHAnsi" w:cstheme="majorHAnsi"/>
        </w:rPr>
        <w:t xml:space="preserve">, </w:t>
      </w:r>
      <w:hyperlink r:id="rId228">
        <w:r w:rsidRPr="000F4C13">
          <w:rPr>
            <w:rFonts w:eastAsia="Calibri" w:asciiTheme="majorHAnsi" w:hAnsiTheme="majorHAnsi" w:cstheme="majorHAnsi"/>
            <w:color w:val="467886"/>
            <w:u w:val="single"/>
          </w:rPr>
          <w:t>2644.4.8</w:t>
        </w:r>
      </w:hyperlink>
      <w:r w:rsidRPr="000F4C13">
        <w:rPr>
          <w:rFonts w:eastAsia="Calibri" w:asciiTheme="majorHAnsi" w:hAnsiTheme="majorHAnsi" w:cstheme="majorHAnsi"/>
        </w:rPr>
        <w:t xml:space="preserve">, </w:t>
      </w:r>
      <w:hyperlink r:id="rId229">
        <w:r w:rsidRPr="000F4C13">
          <w:rPr>
            <w:rFonts w:eastAsia="Calibri" w:asciiTheme="majorHAnsi" w:hAnsiTheme="majorHAnsi" w:cstheme="majorHAnsi"/>
            <w:color w:val="467886"/>
            <w:u w:val="single"/>
          </w:rPr>
          <w:t>2644.5</w:t>
        </w:r>
      </w:hyperlink>
      <w:r w:rsidRPr="000F4C13">
        <w:rPr>
          <w:rFonts w:eastAsia="Calibri" w:asciiTheme="majorHAnsi" w:hAnsiTheme="majorHAnsi" w:cstheme="majorHAnsi"/>
        </w:rPr>
        <w:t xml:space="preserve">, </w:t>
      </w:r>
      <w:hyperlink r:id="rId230">
        <w:r w:rsidRPr="000F4C13">
          <w:rPr>
            <w:rFonts w:eastAsia="Calibri" w:asciiTheme="majorHAnsi" w:hAnsiTheme="majorHAnsi" w:cstheme="majorHAnsi"/>
            <w:color w:val="467886"/>
            <w:u w:val="single"/>
          </w:rPr>
          <w:t>2644.8</w:t>
        </w:r>
      </w:hyperlink>
      <w:r w:rsidRPr="000F4C13">
        <w:rPr>
          <w:rFonts w:eastAsia="Calibri" w:asciiTheme="majorHAnsi" w:hAnsiTheme="majorHAnsi" w:cstheme="majorHAnsi"/>
        </w:rPr>
        <w:t xml:space="preserve">, and </w:t>
      </w:r>
      <w:hyperlink r:id="rId231">
        <w:r w:rsidRPr="000F4C13">
          <w:rPr>
            <w:rFonts w:eastAsia="Calibri" w:asciiTheme="majorHAnsi" w:hAnsiTheme="majorHAnsi" w:cstheme="majorHAnsi"/>
            <w:color w:val="467886"/>
            <w:u w:val="single"/>
          </w:rPr>
          <w:t>2644.27</w:t>
        </w:r>
      </w:hyperlink>
      <w:r w:rsidRPr="000F4C13">
        <w:rPr>
          <w:rFonts w:eastAsia="Calibri" w:asciiTheme="majorHAnsi" w:hAnsiTheme="majorHAnsi" w:cstheme="majorHAnsi"/>
        </w:rPr>
        <w:t xml:space="preserve"> </w:t>
      </w:r>
      <w:r w:rsidRPr="000F4C13">
        <w:rPr>
          <w:rFonts w:asciiTheme="majorHAnsi" w:hAnsiTheme="majorHAnsi" w:cstheme="majorHAnsi"/>
        </w:rPr>
        <w:t>of Title 10 of the California Code of Regulations. Prior to this rulemaking, California insurance rates were determined</w:t>
      </w:r>
      <w:r w:rsidR="008805B9">
        <w:rPr>
          <w:rFonts w:asciiTheme="majorHAnsi" w:hAnsiTheme="majorHAnsi" w:cstheme="majorHAnsi"/>
        </w:rPr>
        <w:t>, in part, based on</w:t>
      </w:r>
      <w:r w:rsidRPr="000F4C13">
        <w:rPr>
          <w:rFonts w:asciiTheme="majorHAnsi" w:hAnsiTheme="majorHAnsi" w:cstheme="majorHAnsi"/>
        </w:rPr>
        <w:t xml:space="preserve"> insurers’ historical losses. This rulemaking permits insurance companies to use catastrophe modeling to determine their catastrophe losses adjustment in the ratemaking formula, where they are presumed to have demonstrated a need to do so by committing to </w:t>
      </w:r>
      <w:r w:rsidRPr="000F4C13" w:rsidR="003020AF">
        <w:rPr>
          <w:rFonts w:asciiTheme="majorHAnsi" w:hAnsiTheme="majorHAnsi" w:cstheme="majorHAnsi"/>
        </w:rPr>
        <w:t>taking</w:t>
      </w:r>
      <w:r w:rsidRPr="000F4C13">
        <w:rPr>
          <w:rFonts w:asciiTheme="majorHAnsi" w:hAnsiTheme="majorHAnsi" w:cstheme="majorHAnsi"/>
        </w:rPr>
        <w:t xml:space="preserve"> on the risk of writing additional business or maintaining existing business in higher-risk</w:t>
      </w:r>
      <w:r w:rsidRPr="000F4C13" w:rsidR="000B2A31">
        <w:rPr>
          <w:rFonts w:asciiTheme="majorHAnsi" w:hAnsiTheme="majorHAnsi" w:cstheme="majorHAnsi"/>
        </w:rPr>
        <w:t>,</w:t>
      </w:r>
      <w:r w:rsidRPr="000F4C13">
        <w:rPr>
          <w:rFonts w:asciiTheme="majorHAnsi" w:hAnsiTheme="majorHAnsi" w:cstheme="majorHAnsi"/>
        </w:rPr>
        <w:t xml:space="preserve"> wildfire-prone areas. The regulation requires catastrophe models to account for risk mitigation at the property, community, and landscape scales, including but not limited to forest management, prescribed fire, </w:t>
      </w:r>
      <w:r w:rsidRPr="000F4C13">
        <w:rPr>
          <w:rFonts w:asciiTheme="majorHAnsi" w:hAnsiTheme="majorHAnsi" w:cstheme="majorHAnsi"/>
          <w:u w:val="single"/>
        </w:rPr>
        <w:t>nature-based flood risk reduction</w:t>
      </w:r>
      <w:r w:rsidRPr="000F4C13">
        <w:rPr>
          <w:rFonts w:asciiTheme="majorHAnsi" w:hAnsiTheme="majorHAnsi" w:cstheme="majorHAnsi"/>
        </w:rPr>
        <w:t>, and risk mitigation initiated by local and regional utility companies.</w:t>
      </w:r>
      <w:bookmarkStart w:name="_9wx837hwqn6b" w:colFirst="0" w:colLast="0" w:id="163"/>
      <w:bookmarkEnd w:id="163"/>
    </w:p>
    <w:p w:rsidRPr="000F4C13" w:rsidR="00C96053" w:rsidRDefault="002C32CD" w14:paraId="25FCFE40" w14:textId="32D76BA7">
      <w:pPr>
        <w:pStyle w:val="Heading4"/>
        <w:rPr>
          <w:rFonts w:asciiTheme="majorHAnsi" w:hAnsiTheme="majorHAnsi" w:cstheme="majorHAnsi"/>
        </w:rPr>
      </w:pPr>
      <w:r w:rsidRPr="000F4C13">
        <w:rPr>
          <w:rFonts w:asciiTheme="majorHAnsi" w:hAnsiTheme="majorHAnsi" w:cstheme="majorHAnsi"/>
        </w:rPr>
        <w:t xml:space="preserve">Adopted </w:t>
      </w:r>
      <w:r w:rsidRPr="000F4C13" w:rsidR="00B2522B">
        <w:rPr>
          <w:rFonts w:asciiTheme="majorHAnsi" w:hAnsiTheme="majorHAnsi" w:cstheme="majorHAnsi"/>
        </w:rPr>
        <w:t>Legislation Highlights</w:t>
      </w:r>
    </w:p>
    <w:p w:rsidRPr="000F4C13" w:rsidR="00C96053" w:rsidRDefault="00C96053" w14:paraId="75B2A1F5" w14:textId="2103F2E6">
      <w:pPr>
        <w:jc w:val="both"/>
        <w:rPr>
          <w:rFonts w:eastAsia="Calibri" w:asciiTheme="majorHAnsi" w:hAnsiTheme="majorHAnsi" w:cstheme="majorHAnsi"/>
        </w:rPr>
      </w:pPr>
      <w:hyperlink r:id="rId232">
        <w:r w:rsidRPr="000F4C13">
          <w:rPr>
            <w:rFonts w:eastAsia="Calibri" w:asciiTheme="majorHAnsi" w:hAnsiTheme="majorHAnsi" w:cstheme="majorHAnsi"/>
            <w:color w:val="467886"/>
            <w:u w:val="single"/>
          </w:rPr>
          <w:t>Climate Resilience Districts</w:t>
        </w:r>
      </w:hyperlink>
      <w:r w:rsidRPr="000F4C13">
        <w:rPr>
          <w:rFonts w:eastAsia="Calibri" w:asciiTheme="majorHAnsi" w:hAnsiTheme="majorHAnsi" w:cstheme="majorHAnsi"/>
        </w:rPr>
        <w:t xml:space="preserve">: In 2022, California enacted </w:t>
      </w:r>
      <w:hyperlink r:id="rId233">
        <w:r w:rsidRPr="000F4C13">
          <w:rPr>
            <w:rFonts w:eastAsia="Calibri" w:asciiTheme="majorHAnsi" w:hAnsiTheme="majorHAnsi" w:cstheme="majorHAnsi"/>
            <w:color w:val="467886"/>
            <w:u w:val="single"/>
          </w:rPr>
          <w:t>SB-852</w:t>
        </w:r>
      </w:hyperlink>
      <w:r w:rsidRPr="000F4C13">
        <w:rPr>
          <w:rFonts w:eastAsia="Calibri" w:asciiTheme="majorHAnsi" w:hAnsiTheme="majorHAnsi" w:cstheme="majorHAnsi"/>
        </w:rPr>
        <w:t xml:space="preserve"> (Government Code, section </w:t>
      </w:r>
      <w:hyperlink r:id="rId234">
        <w:r w:rsidRPr="000F4C13">
          <w:rPr>
            <w:rFonts w:eastAsia="Calibri" w:asciiTheme="majorHAnsi" w:hAnsiTheme="majorHAnsi" w:cstheme="majorHAnsi"/>
            <w:color w:val="467886"/>
            <w:u w:val="single"/>
          </w:rPr>
          <w:t>62300</w:t>
        </w:r>
      </w:hyperlink>
      <w:r w:rsidRPr="000F4C13">
        <w:rPr>
          <w:rFonts w:eastAsia="Calibri" w:asciiTheme="majorHAnsi" w:hAnsiTheme="majorHAnsi" w:cstheme="majorHAnsi"/>
        </w:rPr>
        <w:t xml:space="preserve">), co-sponsored by Insurance Commissioner Ricardo Lara. This law authorizes local cities and governments to establish Climate Resilience Districts. These districts are empowered to finance and implement projects </w:t>
      </w:r>
      <w:r w:rsidRPr="000F4C13" w:rsidR="001B4F47">
        <w:rPr>
          <w:rFonts w:eastAsia="Calibri" w:asciiTheme="majorHAnsi" w:hAnsiTheme="majorHAnsi" w:cstheme="majorHAnsi"/>
        </w:rPr>
        <w:t>to mitigate climate change impacts,</w:t>
      </w:r>
      <w:r w:rsidRPr="000F4C13">
        <w:rPr>
          <w:rFonts w:eastAsia="Calibri" w:asciiTheme="majorHAnsi" w:hAnsiTheme="majorHAnsi" w:cstheme="majorHAnsi"/>
        </w:rPr>
        <w:t xml:space="preserve"> such as wildfires, sea-level rise, extreme heat, drought, and flooding.</w:t>
      </w:r>
    </w:p>
    <w:p w:rsidRPr="000F4C13" w:rsidR="00C96053" w:rsidRDefault="00B2522B" w14:paraId="60FC237F" w14:textId="2BE7EE8B">
      <w:pPr>
        <w:jc w:val="both"/>
        <w:rPr>
          <w:rFonts w:eastAsia="Calibri" w:asciiTheme="majorHAnsi" w:hAnsiTheme="majorHAnsi" w:cstheme="majorHAnsi"/>
        </w:rPr>
      </w:pPr>
      <w:r w:rsidRPr="000F4C13">
        <w:rPr>
          <w:rFonts w:eastAsia="Calibri" w:asciiTheme="majorHAnsi" w:hAnsiTheme="majorHAnsi" w:cstheme="majorHAnsi"/>
          <w:b/>
        </w:rPr>
        <w:t>Adapting to Sea Level Rise</w:t>
      </w:r>
      <w:r w:rsidRPr="000F4C13">
        <w:rPr>
          <w:rFonts w:eastAsia="Calibri" w:asciiTheme="majorHAnsi" w:hAnsiTheme="majorHAnsi" w:cstheme="majorHAnsi"/>
        </w:rPr>
        <w:t xml:space="preserve">: </w:t>
      </w:r>
      <w:r w:rsidRPr="000F4C13" w:rsidR="0007002C">
        <w:rPr>
          <w:rFonts w:eastAsia="Calibri" w:asciiTheme="majorHAnsi" w:hAnsiTheme="majorHAnsi" w:cstheme="majorHAnsi"/>
        </w:rPr>
        <w:t>In 2023, California enacted SB-272</w:t>
      </w:r>
      <w:r w:rsidRPr="000F4C13">
        <w:rPr>
          <w:rFonts w:eastAsia="Calibri" w:asciiTheme="majorHAnsi" w:hAnsiTheme="majorHAnsi" w:cstheme="majorHAnsi"/>
        </w:rPr>
        <w:t xml:space="preserve"> (Public Resources Code, section </w:t>
      </w:r>
      <w:hyperlink r:id="rId235">
        <w:r w:rsidRPr="000F4C13" w:rsidR="00C96053">
          <w:rPr>
            <w:rFonts w:eastAsia="Calibri" w:asciiTheme="majorHAnsi" w:hAnsiTheme="majorHAnsi" w:cstheme="majorHAnsi"/>
            <w:color w:val="467886"/>
            <w:u w:val="single"/>
          </w:rPr>
          <w:t>30985</w:t>
        </w:r>
      </w:hyperlink>
      <w:r w:rsidRPr="000F4C13">
        <w:rPr>
          <w:rFonts w:eastAsia="Calibri" w:asciiTheme="majorHAnsi" w:hAnsiTheme="majorHAnsi" w:cstheme="majorHAnsi"/>
        </w:rPr>
        <w:t xml:space="preserve">). This </w:t>
      </w:r>
      <w:r w:rsidRPr="000F4C13" w:rsidR="00E50DEB">
        <w:rPr>
          <w:rFonts w:eastAsia="Calibri" w:asciiTheme="majorHAnsi" w:hAnsiTheme="majorHAnsi" w:cstheme="majorHAnsi"/>
        </w:rPr>
        <w:t>law</w:t>
      </w:r>
      <w:r w:rsidRPr="000F4C13">
        <w:rPr>
          <w:rFonts w:eastAsia="Calibri" w:asciiTheme="majorHAnsi" w:hAnsiTheme="majorHAnsi" w:cstheme="majorHAnsi"/>
        </w:rPr>
        <w:t xml:space="preserve"> require</w:t>
      </w:r>
      <w:r w:rsidRPr="000F4C13" w:rsidR="00E50DEB">
        <w:rPr>
          <w:rFonts w:eastAsia="Calibri" w:asciiTheme="majorHAnsi" w:hAnsiTheme="majorHAnsi" w:cstheme="majorHAnsi"/>
        </w:rPr>
        <w:t>s</w:t>
      </w:r>
      <w:r w:rsidRPr="000F4C13">
        <w:rPr>
          <w:rFonts w:eastAsia="Calibri" w:asciiTheme="majorHAnsi" w:hAnsiTheme="majorHAnsi" w:cstheme="majorHAnsi"/>
        </w:rPr>
        <w:t xml:space="preserve"> a local government </w:t>
      </w:r>
      <w:r w:rsidRPr="000F4C13" w:rsidR="0043405F">
        <w:rPr>
          <w:rFonts w:eastAsia="Calibri" w:asciiTheme="majorHAnsi" w:hAnsiTheme="majorHAnsi" w:cstheme="majorHAnsi"/>
        </w:rPr>
        <w:t>within the coastal zone to implement sea-level</w:t>
      </w:r>
      <w:r w:rsidRPr="000F4C13">
        <w:rPr>
          <w:rFonts w:eastAsia="Calibri" w:asciiTheme="majorHAnsi" w:hAnsiTheme="majorHAnsi" w:cstheme="majorHAnsi"/>
        </w:rPr>
        <w:t xml:space="preserve"> rise planning and adaptation. It also </w:t>
      </w:r>
      <w:r w:rsidRPr="000F4C13" w:rsidR="00E50DEB">
        <w:rPr>
          <w:rFonts w:eastAsia="Calibri" w:asciiTheme="majorHAnsi" w:hAnsiTheme="majorHAnsi" w:cstheme="majorHAnsi"/>
        </w:rPr>
        <w:t xml:space="preserve">prioritizes </w:t>
      </w:r>
      <w:r w:rsidRPr="000F4C13">
        <w:rPr>
          <w:rFonts w:eastAsia="Calibri" w:asciiTheme="majorHAnsi" w:hAnsiTheme="majorHAnsi" w:cstheme="majorHAnsi"/>
        </w:rPr>
        <w:t xml:space="preserve">these local governments for sea level rise funding </w:t>
      </w:r>
      <w:r w:rsidRPr="000F4C13" w:rsidR="0043405F">
        <w:rPr>
          <w:rFonts w:eastAsia="Calibri" w:asciiTheme="majorHAnsi" w:hAnsiTheme="majorHAnsi" w:cstheme="majorHAnsi"/>
        </w:rPr>
        <w:t>to implement projects in their approved sea level rise adaptation plans</w:t>
      </w:r>
      <w:r w:rsidRPr="000F4C13">
        <w:rPr>
          <w:rFonts w:eastAsia="Calibri" w:asciiTheme="majorHAnsi" w:hAnsiTheme="majorHAnsi" w:cstheme="majorHAnsi"/>
        </w:rPr>
        <w:t>. It also require</w:t>
      </w:r>
      <w:r w:rsidRPr="000F4C13" w:rsidR="00E50DEB">
        <w:rPr>
          <w:rFonts w:eastAsia="Calibri" w:asciiTheme="majorHAnsi" w:hAnsiTheme="majorHAnsi" w:cstheme="majorHAnsi"/>
        </w:rPr>
        <w:t>s</w:t>
      </w:r>
      <w:r w:rsidRPr="000F4C13">
        <w:rPr>
          <w:rFonts w:eastAsia="Calibri" w:asciiTheme="majorHAnsi" w:hAnsiTheme="majorHAnsi" w:cstheme="majorHAnsi"/>
        </w:rPr>
        <w:t xml:space="preserve"> the California Coastal Commission, in close coordination with the Ocean Protection Council and the California Sea Level Rise State and Regional Support Collaborative, to establish guidelines for the preparation of that planning and adaptation. </w:t>
      </w:r>
    </w:p>
    <w:p w:rsidRPr="000F4C13" w:rsidR="00C96053" w:rsidRDefault="00B2522B" w14:paraId="43EAA3C4" w14:textId="77777777">
      <w:pPr>
        <w:pStyle w:val="Heading4"/>
        <w:rPr>
          <w:rFonts w:asciiTheme="majorHAnsi" w:hAnsiTheme="majorHAnsi" w:cstheme="majorHAnsi"/>
        </w:rPr>
      </w:pPr>
      <w:bookmarkStart w:name="_jw7qx21ps3tg" w:colFirst="0" w:colLast="0" w:id="164"/>
      <w:bookmarkEnd w:id="164"/>
      <w:r w:rsidRPr="000F4C13">
        <w:rPr>
          <w:rFonts w:asciiTheme="majorHAnsi" w:hAnsiTheme="majorHAnsi" w:cstheme="majorHAnsi"/>
        </w:rPr>
        <w:t>Strategies, Initiatives and Resources</w:t>
      </w:r>
    </w:p>
    <w:p w:rsidRPr="000F4C13" w:rsidR="00816CED" w:rsidP="00F90657" w:rsidRDefault="00C96053" w14:paraId="4E7D1C24" w14:textId="77777777">
      <w:pPr>
        <w:pStyle w:val="Heading5"/>
        <w:jc w:val="both"/>
        <w:rPr>
          <w:rFonts w:asciiTheme="majorHAnsi" w:hAnsiTheme="majorHAnsi" w:cstheme="majorHAnsi"/>
        </w:rPr>
      </w:pPr>
      <w:hyperlink r:id="rId236">
        <w:r w:rsidRPr="000F4C13">
          <w:rPr>
            <w:rFonts w:asciiTheme="majorHAnsi" w:hAnsiTheme="majorHAnsi" w:cstheme="majorHAnsi"/>
          </w:rPr>
          <w:t>Inclusive and Innovative Insurance Pilot Projects</w:t>
        </w:r>
      </w:hyperlink>
    </w:p>
    <w:p w:rsidRPr="000F4C13" w:rsidR="00C96053" w:rsidRDefault="00C96053" w14:paraId="1B996DDF" w14:textId="2F812EB6">
      <w:pPr>
        <w:jc w:val="both"/>
        <w:rPr>
          <w:rFonts w:eastAsia="Calibri" w:asciiTheme="majorHAnsi" w:hAnsiTheme="majorHAnsi" w:cstheme="majorHAnsi"/>
        </w:rPr>
      </w:pPr>
      <w:r w:rsidRPr="000F4C13">
        <w:rPr>
          <w:rFonts w:eastAsia="Calibri" w:asciiTheme="majorHAnsi" w:hAnsiTheme="majorHAnsi" w:cstheme="majorHAnsi"/>
        </w:rPr>
        <w:t>CDI is supporting local jurisdictions and communities with innovative insurance approaches, such as:</w:t>
      </w:r>
    </w:p>
    <w:p w:rsidRPr="000F4C13" w:rsidR="00C96053" w:rsidRDefault="00C96053" w14:paraId="6818CB6B" w14:textId="50F78F4C">
      <w:pPr>
        <w:jc w:val="both"/>
        <w:rPr>
          <w:rFonts w:eastAsia="Calibri" w:asciiTheme="majorHAnsi" w:hAnsiTheme="majorHAnsi" w:cstheme="majorHAnsi"/>
        </w:rPr>
      </w:pPr>
      <w:hyperlink r:id="rId237">
        <w:r w:rsidRPr="000F4C13">
          <w:rPr>
            <w:rFonts w:eastAsia="Calibri" w:asciiTheme="majorHAnsi" w:hAnsiTheme="majorHAnsi" w:cstheme="majorHAnsi"/>
            <w:color w:val="467886"/>
            <w:u w:val="single"/>
          </w:rPr>
          <w:t>Community-Based Flood Insurance in the City of Isleton</w:t>
        </w:r>
      </w:hyperlink>
      <w:r w:rsidRPr="000F4C13">
        <w:rPr>
          <w:rFonts w:eastAsia="Calibri" w:asciiTheme="majorHAnsi" w:hAnsiTheme="majorHAnsi" w:cstheme="majorHAnsi"/>
        </w:rPr>
        <w:t xml:space="preserve">: Community leaders in Isleton are using grant money from the California Department of Water Resources to test if a community-based flood insurance program could work in flood-prone communities like Isleton as a supplement </w:t>
      </w:r>
      <w:r w:rsidR="003020AF">
        <w:rPr>
          <w:rFonts w:eastAsia="Calibri" w:asciiTheme="majorHAnsi" w:hAnsiTheme="majorHAnsi" w:cstheme="majorHAnsi"/>
        </w:rPr>
        <w:t xml:space="preserve">to </w:t>
      </w:r>
      <w:r w:rsidRPr="000F4C13">
        <w:rPr>
          <w:rFonts w:eastAsia="Calibri" w:asciiTheme="majorHAnsi" w:hAnsiTheme="majorHAnsi" w:cstheme="majorHAnsi"/>
        </w:rPr>
        <w:t>the National Flood Insurance Program (NFIP).</w:t>
      </w:r>
    </w:p>
    <w:p w:rsidRPr="000F4C13" w:rsidR="00C96053" w:rsidRDefault="00C96053" w14:paraId="1A40A5AF" w14:textId="7C3DF4BD">
      <w:pPr>
        <w:jc w:val="both"/>
        <w:rPr>
          <w:rFonts w:eastAsia="Calibri" w:asciiTheme="majorHAnsi" w:hAnsiTheme="majorHAnsi" w:cstheme="majorHAnsi"/>
        </w:rPr>
      </w:pPr>
      <w:hyperlink r:id="rId238">
        <w:r w:rsidRPr="000F4C13">
          <w:rPr>
            <w:rFonts w:eastAsia="Calibri" w:asciiTheme="majorHAnsi" w:hAnsiTheme="majorHAnsi" w:cstheme="majorHAnsi"/>
            <w:color w:val="467886"/>
            <w:u w:val="single"/>
          </w:rPr>
          <w:t>Innovative Insurance Strategies in Imperial Beach</w:t>
        </w:r>
      </w:hyperlink>
      <w:r w:rsidRPr="000F4C13">
        <w:rPr>
          <w:rFonts w:eastAsia="Calibri" w:asciiTheme="majorHAnsi" w:hAnsiTheme="majorHAnsi" w:cstheme="majorHAnsi"/>
        </w:rPr>
        <w:t xml:space="preserve">: With </w:t>
      </w:r>
      <w:r w:rsidRPr="000F4C13" w:rsidR="0011205D">
        <w:rPr>
          <w:rFonts w:eastAsia="Calibri" w:asciiTheme="majorHAnsi" w:hAnsiTheme="majorHAnsi" w:cstheme="majorHAnsi"/>
        </w:rPr>
        <w:t>support from CDI, Imperial Beach, California, has been awarded an $848,000 grant by the California Ocean Protection Council to develop strategies to address</w:t>
      </w:r>
      <w:r w:rsidRPr="000F4C13">
        <w:rPr>
          <w:rFonts w:eastAsia="Calibri" w:asciiTheme="majorHAnsi" w:hAnsiTheme="majorHAnsi" w:cstheme="majorHAnsi"/>
        </w:rPr>
        <w:t xml:space="preserve"> coastal flooding risks. The city will evaluate these risks, explore parametric insurance solutions, and establish a climate resilience financing district to fund mitigation efforts, thereby enhancing resilience against future hazards.</w:t>
      </w:r>
    </w:p>
    <w:p w:rsidRPr="000F4C13" w:rsidR="00C96053" w:rsidP="003020AF" w:rsidRDefault="00B2522B" w14:paraId="3D20EDEF" w14:textId="77777777">
      <w:pPr>
        <w:pStyle w:val="Heading4"/>
        <w:rPr>
          <w:rFonts w:asciiTheme="majorHAnsi" w:hAnsiTheme="majorHAnsi" w:cstheme="majorHAnsi"/>
        </w:rPr>
      </w:pPr>
      <w:bookmarkStart w:name="_xspe0zv1eoh8" w:colFirst="0" w:colLast="0" w:id="165"/>
      <w:bookmarkEnd w:id="165"/>
      <w:r w:rsidRPr="000F4C13">
        <w:rPr>
          <w:rFonts w:asciiTheme="majorHAnsi" w:hAnsiTheme="majorHAnsi" w:cstheme="majorHAnsi"/>
        </w:rPr>
        <w:t>Consumer Outreach and Engagement</w:t>
      </w:r>
    </w:p>
    <w:bookmarkStart w:name="_maugofeu3z69" w:colFirst="0" w:colLast="0" w:id="166"/>
    <w:bookmarkEnd w:id="166"/>
    <w:p w:rsidRPr="000F4C13" w:rsidR="00C96053" w:rsidP="0011205D" w:rsidRDefault="00B2522B" w14:paraId="57952EE6" w14:textId="6A19FFBA">
      <w:pPr>
        <w:jc w:val="both"/>
        <w:rPr>
          <w:rFonts w:eastAsia="Calibri" w:asciiTheme="majorHAnsi" w:hAnsiTheme="majorHAnsi" w:cstheme="majorHAnsi"/>
        </w:rPr>
      </w:pPr>
      <w:r w:rsidRPr="000F4C13">
        <w:rPr>
          <w:rFonts w:asciiTheme="majorHAnsi" w:hAnsiTheme="majorHAnsi" w:cstheme="majorHAnsi"/>
        </w:rPr>
        <w:fldChar w:fldCharType="begin"/>
      </w:r>
      <w:r w:rsidRPr="000F4C13">
        <w:rPr>
          <w:rFonts w:asciiTheme="majorHAnsi" w:hAnsiTheme="majorHAnsi" w:cstheme="majorHAnsi"/>
        </w:rPr>
        <w:instrText>HYPERLINK "https://www.insurance.ca.gov/01-consumers/105-type/95-guides/Partnership_Initiative.cfm"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eastAsia="Calibri" w:asciiTheme="majorHAnsi" w:hAnsiTheme="majorHAnsi" w:cstheme="majorHAnsi"/>
          <w:color w:val="1155CC"/>
          <w:u w:val="single"/>
        </w:rPr>
        <w:t>Partnership Initiative</w:t>
      </w:r>
      <w:r w:rsidRPr="000F4C13">
        <w:rPr>
          <w:rFonts w:asciiTheme="majorHAnsi" w:hAnsiTheme="majorHAnsi" w:cstheme="majorHAnsi"/>
        </w:rPr>
        <w:fldChar w:fldCharType="end"/>
      </w:r>
      <w:r w:rsidRPr="000F4C13" w:rsidR="001C1AB4">
        <w:rPr>
          <w:rFonts w:asciiTheme="majorHAnsi" w:hAnsiTheme="majorHAnsi" w:cstheme="majorHAnsi"/>
        </w:rPr>
        <w:t>:</w:t>
      </w:r>
      <w:r w:rsidRPr="000F4C13" w:rsidR="001C1AB4">
        <w:rPr>
          <w:rFonts w:eastAsia="Calibri" w:asciiTheme="majorHAnsi" w:hAnsiTheme="majorHAnsi" w:cstheme="majorHAnsi"/>
        </w:rPr>
        <w:t xml:space="preserve"> </w:t>
      </w:r>
      <w:r w:rsidRPr="000F4C13">
        <w:rPr>
          <w:rFonts w:eastAsia="Calibri" w:asciiTheme="majorHAnsi" w:hAnsiTheme="majorHAnsi" w:cstheme="majorHAnsi"/>
        </w:rPr>
        <w:t>CDI’s consumer outreach activities aim to empower every household in California to understand basic insurance concepts, guard against fraud, and protect their most valuable financial assets, especially as climate-related disasters and market instability continue to rise. The social and economic value of equipping Californians with this critical insurance education is both significant and far-reaching.</w:t>
      </w:r>
    </w:p>
    <w:p w:rsidRPr="000F4C13" w:rsidR="00C96053" w:rsidP="00531BDB" w:rsidRDefault="00B2522B" w14:paraId="113524D8" w14:textId="77777777">
      <w:pPr>
        <w:jc w:val="both"/>
        <w:rPr>
          <w:rFonts w:asciiTheme="majorHAnsi" w:hAnsiTheme="majorHAnsi" w:cstheme="majorHAnsi"/>
          <w:bCs/>
        </w:rPr>
      </w:pPr>
      <w:bookmarkStart w:name="_3ed07g8cyimw" w:colFirst="0" w:colLast="0" w:id="167"/>
      <w:bookmarkEnd w:id="167"/>
      <w:r w:rsidRPr="000F4C13">
        <w:rPr>
          <w:rFonts w:asciiTheme="majorHAnsi" w:hAnsiTheme="majorHAnsi" w:cstheme="majorHAnsi"/>
          <w:bCs/>
        </w:rPr>
        <w:t>Initiative Goals</w:t>
      </w:r>
    </w:p>
    <w:p w:rsidRPr="000F4C13" w:rsidR="00C96053" w:rsidP="0057045C" w:rsidRDefault="00B2522B" w14:paraId="3ED32C8A" w14:textId="77777777">
      <w:pPr>
        <w:pStyle w:val="ListParagraph"/>
        <w:numPr>
          <w:ilvl w:val="0"/>
          <w:numId w:val="27"/>
        </w:numPr>
        <w:jc w:val="both"/>
        <w:rPr>
          <w:rFonts w:eastAsia="Calibri" w:asciiTheme="majorHAnsi" w:hAnsiTheme="majorHAnsi" w:cstheme="majorHAnsi"/>
        </w:rPr>
      </w:pPr>
      <w:r w:rsidRPr="000F4C13">
        <w:rPr>
          <w:rFonts w:eastAsia="Calibri" w:asciiTheme="majorHAnsi" w:hAnsiTheme="majorHAnsi" w:cstheme="majorHAnsi"/>
        </w:rPr>
        <w:t>Increase consumer awareness of CDI’s role, responsibilities and available services</w:t>
      </w:r>
    </w:p>
    <w:p w:rsidRPr="000F4C13" w:rsidR="00C96053" w:rsidP="0057045C" w:rsidRDefault="00B2522B" w14:paraId="46607B35" w14:textId="77777777">
      <w:pPr>
        <w:pStyle w:val="ListParagraph"/>
        <w:numPr>
          <w:ilvl w:val="0"/>
          <w:numId w:val="27"/>
        </w:numPr>
        <w:jc w:val="both"/>
        <w:rPr>
          <w:rFonts w:eastAsia="Calibri" w:asciiTheme="majorHAnsi" w:hAnsiTheme="majorHAnsi" w:cstheme="majorHAnsi"/>
        </w:rPr>
      </w:pPr>
      <w:r w:rsidRPr="000F4C13">
        <w:rPr>
          <w:rFonts w:eastAsia="Calibri" w:asciiTheme="majorHAnsi" w:hAnsiTheme="majorHAnsi" w:cstheme="majorHAnsi"/>
        </w:rPr>
        <w:t>Expand awareness of insurance access and fraud prevention</w:t>
      </w:r>
    </w:p>
    <w:p w:rsidRPr="000F4C13" w:rsidR="00C96053" w:rsidP="0057045C" w:rsidRDefault="00B2522B" w14:paraId="7E636842" w14:textId="5B48916B">
      <w:pPr>
        <w:pStyle w:val="ListParagraph"/>
        <w:numPr>
          <w:ilvl w:val="0"/>
          <w:numId w:val="27"/>
        </w:numPr>
        <w:jc w:val="both"/>
        <w:rPr>
          <w:rFonts w:eastAsia="Calibri" w:asciiTheme="majorHAnsi" w:hAnsiTheme="majorHAnsi" w:cstheme="majorHAnsi"/>
        </w:rPr>
      </w:pPr>
      <w:r w:rsidRPr="000F4C13">
        <w:rPr>
          <w:rFonts w:eastAsia="Calibri" w:asciiTheme="majorHAnsi" w:hAnsiTheme="majorHAnsi" w:cstheme="majorHAnsi"/>
        </w:rPr>
        <w:t>Host monthly “Partnership Introduction Webinars</w:t>
      </w:r>
      <w:r w:rsidR="00B11EF5">
        <w:rPr>
          <w:rFonts w:eastAsia="Calibri" w:asciiTheme="majorHAnsi" w:hAnsiTheme="majorHAnsi" w:cstheme="majorHAnsi"/>
        </w:rPr>
        <w:t>.</w:t>
      </w:r>
      <w:r w:rsidRPr="000F4C13">
        <w:rPr>
          <w:rFonts w:eastAsia="Calibri" w:asciiTheme="majorHAnsi" w:hAnsiTheme="majorHAnsi" w:cstheme="majorHAnsi"/>
        </w:rPr>
        <w:t xml:space="preserve">” </w:t>
      </w:r>
    </w:p>
    <w:p w:rsidRPr="000F4C13" w:rsidR="00C96053" w:rsidRDefault="00C96053" w14:paraId="46A39B2C" w14:textId="3FD531EE">
      <w:pPr>
        <w:jc w:val="both"/>
        <w:rPr>
          <w:rFonts w:eastAsia="Calibri" w:asciiTheme="majorHAnsi" w:hAnsiTheme="majorHAnsi" w:cstheme="majorHAnsi"/>
          <w:u w:val="single"/>
        </w:rPr>
      </w:pPr>
      <w:hyperlink r:id="rId239">
        <w:r w:rsidRPr="000F4C13">
          <w:rPr>
            <w:rFonts w:eastAsia="Calibri" w:asciiTheme="majorHAnsi" w:hAnsiTheme="majorHAnsi" w:cstheme="majorHAnsi"/>
            <w:color w:val="467886"/>
            <w:u w:val="single"/>
          </w:rPr>
          <w:t>Local Climate Planning Hub</w:t>
        </w:r>
      </w:hyperlink>
      <w:r w:rsidRPr="000F4C13">
        <w:rPr>
          <w:rFonts w:eastAsia="Calibri" w:asciiTheme="majorHAnsi" w:hAnsiTheme="majorHAnsi" w:cstheme="majorHAnsi"/>
        </w:rPr>
        <w:t xml:space="preserve">: This local government outreach portal serves as a centralized resource for cities, counties, and municipalities to navigate the evolving risks of climate change and learn about innovative insurance strategies </w:t>
      </w:r>
      <w:r w:rsidR="00125825">
        <w:rPr>
          <w:rFonts w:eastAsia="Calibri" w:asciiTheme="majorHAnsi" w:hAnsiTheme="majorHAnsi" w:cstheme="majorHAnsi"/>
        </w:rPr>
        <w:t>to reduce these risks and promote</w:t>
      </w:r>
      <w:r w:rsidRPr="000F4C13">
        <w:rPr>
          <w:rFonts w:eastAsia="Calibri" w:asciiTheme="majorHAnsi" w:hAnsiTheme="majorHAnsi" w:cstheme="majorHAnsi"/>
        </w:rPr>
        <w:t xml:space="preserve"> resilience.</w:t>
      </w:r>
    </w:p>
    <w:p w:rsidRPr="000F4C13" w:rsidR="00C96053" w:rsidRDefault="0035069D" w14:paraId="3B226A79" w14:textId="77777777">
      <w:pPr>
        <w:keepNext/>
        <w:keepLines/>
        <w:spacing w:after="0" w:line="276" w:lineRule="auto"/>
        <w:rPr>
          <w:rFonts w:eastAsia="Calibri" w:asciiTheme="majorHAnsi" w:hAnsiTheme="majorHAnsi" w:cstheme="majorHAnsi"/>
        </w:rPr>
      </w:pPr>
      <w:bookmarkStart w:name="_lv554g66w7p0" w:colFirst="0" w:colLast="0" w:id="168"/>
      <w:bookmarkEnd w:id="168"/>
      <w:r>
        <w:rPr>
          <w:rFonts w:asciiTheme="majorHAnsi" w:hAnsiTheme="majorHAnsi" w:cstheme="majorHAnsi"/>
        </w:rPr>
        <w:pict w14:anchorId="0EECC975">
          <v:rect id="_x0000_i1036" style="width:0;height:1.5pt" o:hr="t" o:hrstd="t" o:hralign="center" fillcolor="#a0a0a0" stroked="f"/>
        </w:pict>
      </w:r>
    </w:p>
    <w:p w:rsidRPr="000F4C13" w:rsidR="00C96053" w:rsidRDefault="00B2522B" w14:paraId="325B697E" w14:textId="542EC0E2">
      <w:pPr>
        <w:pStyle w:val="Heading3"/>
        <w:spacing w:after="120"/>
        <w:rPr>
          <w:rFonts w:asciiTheme="majorHAnsi" w:hAnsiTheme="majorHAnsi" w:cstheme="majorHAnsi"/>
        </w:rPr>
      </w:pPr>
      <w:bookmarkStart w:name="_ofauc64wjyz2" w:colFirst="0" w:colLast="0" w:id="169"/>
      <w:bookmarkEnd w:id="169"/>
      <w:r w:rsidRPr="000F4C13">
        <w:rPr>
          <w:rFonts w:asciiTheme="majorHAnsi" w:hAnsiTheme="majorHAnsi" w:cstheme="majorHAnsi"/>
        </w:rPr>
        <w:t>Extreme Heat</w:t>
      </w:r>
      <w:r w:rsidRPr="000F4C13" w:rsidR="00B11EF5">
        <w:rPr>
          <w:rFonts w:asciiTheme="majorHAnsi" w:hAnsiTheme="majorHAnsi" w:cstheme="majorHAnsi"/>
        </w:rPr>
        <w:t>—</w:t>
      </w:r>
      <w:r w:rsidRPr="000F4C13">
        <w:rPr>
          <w:rFonts w:asciiTheme="majorHAnsi" w:hAnsiTheme="majorHAnsi" w:cstheme="majorHAnsi"/>
        </w:rPr>
        <w:t xml:space="preserve">California </w:t>
      </w:r>
    </w:p>
    <w:p w:rsidRPr="000F4C13" w:rsidR="00C96053" w:rsidRDefault="00B2522B" w14:paraId="77EACFD3" w14:textId="77777777">
      <w:pPr>
        <w:pStyle w:val="Heading3"/>
        <w:rPr>
          <w:rFonts w:asciiTheme="majorHAnsi" w:hAnsiTheme="majorHAnsi" w:cstheme="majorHAnsi"/>
        </w:rPr>
      </w:pPr>
      <w:bookmarkStart w:name="_7esllv7kgg0c" w:colFirst="0" w:colLast="0" w:id="170"/>
      <w:bookmarkEnd w:id="170"/>
      <w:r w:rsidRPr="000F4C13">
        <w:rPr>
          <w:rFonts w:asciiTheme="majorHAnsi" w:hAnsiTheme="majorHAnsi" w:cstheme="majorHAnsi"/>
        </w:rPr>
        <w:t>California</w:t>
      </w:r>
    </w:p>
    <w:p w:rsidRPr="000F4C13" w:rsidR="00C96053" w:rsidRDefault="00B2522B" w14:paraId="0633D5AE" w14:textId="77777777">
      <w:pPr>
        <w:pStyle w:val="Heading4"/>
        <w:rPr>
          <w:rFonts w:asciiTheme="majorHAnsi" w:hAnsiTheme="majorHAnsi" w:cstheme="majorHAnsi"/>
        </w:rPr>
      </w:pPr>
      <w:bookmarkStart w:name="_pcu3nit69m26" w:colFirst="0" w:colLast="0" w:id="171"/>
      <w:bookmarkEnd w:id="171"/>
      <w:r w:rsidRPr="000F4C13">
        <w:rPr>
          <w:rFonts w:asciiTheme="majorHAnsi" w:hAnsiTheme="majorHAnsi" w:cstheme="majorHAnsi"/>
        </w:rPr>
        <w:t xml:space="preserve">Introduction: </w:t>
      </w:r>
    </w:p>
    <w:p w:rsidRPr="000F4C13" w:rsidR="00C96053" w:rsidP="009346D2" w:rsidRDefault="00B2522B" w14:paraId="0D9929CA" w14:textId="46CF276A">
      <w:pPr>
        <w:jc w:val="both"/>
        <w:rPr>
          <w:rFonts w:eastAsia="Calibri" w:asciiTheme="majorHAnsi" w:hAnsiTheme="majorHAnsi" w:cstheme="majorHAnsi"/>
        </w:rPr>
      </w:pPr>
      <w:r w:rsidRPr="000F4C13">
        <w:rPr>
          <w:rFonts w:eastAsia="Calibri" w:asciiTheme="majorHAnsi" w:hAnsiTheme="majorHAnsi" w:cstheme="majorHAnsi"/>
        </w:rPr>
        <w:t>Extreme heat is expected to increase in frequency, duration, and intensity in California.</w:t>
      </w:r>
      <w:r w:rsidRPr="000F4C13" w:rsidR="00E53AD1">
        <w:rPr>
          <w:rStyle w:val="FootnoteReference"/>
          <w:rFonts w:eastAsia="Calibri" w:asciiTheme="majorHAnsi" w:hAnsiTheme="majorHAnsi" w:cstheme="majorHAnsi"/>
        </w:rPr>
        <w:footnoteReference w:id="130"/>
      </w:r>
      <w:r w:rsidRPr="000F4C13">
        <w:rPr>
          <w:rFonts w:eastAsia="Calibri" w:asciiTheme="majorHAnsi" w:hAnsiTheme="majorHAnsi" w:cstheme="majorHAnsi"/>
        </w:rPr>
        <w:t xml:space="preserve"> Studies show that extreme heat events significantly raise health risks, such as heatstroke-related hospitalizations, and have resulted in substantial economic costs.</w:t>
      </w:r>
      <w:r w:rsidRPr="000F4C13" w:rsidR="003C10A9">
        <w:rPr>
          <w:rStyle w:val="FootnoteReference"/>
          <w:rFonts w:eastAsia="Calibri" w:asciiTheme="majorHAnsi" w:hAnsiTheme="majorHAnsi" w:cstheme="majorHAnsi"/>
        </w:rPr>
        <w:footnoteReference w:id="131"/>
      </w:r>
      <w:r w:rsidRPr="000F4C13">
        <w:rPr>
          <w:rFonts w:eastAsia="Calibri" w:asciiTheme="majorHAnsi" w:hAnsiTheme="majorHAnsi" w:cstheme="majorHAnsi"/>
        </w:rPr>
        <w:t xml:space="preserve"> </w:t>
      </w:r>
      <w:r w:rsidRPr="000F4C13" w:rsidR="0012009A">
        <w:rPr>
          <w:rFonts w:eastAsia="Calibri" w:asciiTheme="majorHAnsi" w:hAnsiTheme="majorHAnsi" w:cstheme="majorHAnsi"/>
        </w:rPr>
        <w:t>E</w:t>
      </w:r>
      <w:r w:rsidRPr="000F4C13">
        <w:rPr>
          <w:rFonts w:eastAsia="Calibri" w:asciiTheme="majorHAnsi" w:hAnsiTheme="majorHAnsi" w:cstheme="majorHAnsi"/>
        </w:rPr>
        <w:t>xtreme heat also strains energy grids, lowers labor productivity, and damages infrastructure</w:t>
      </w:r>
      <w:r w:rsidRPr="000F4C13" w:rsidR="00486C61">
        <w:rPr>
          <w:rFonts w:eastAsia="Calibri" w:asciiTheme="majorHAnsi" w:hAnsiTheme="majorHAnsi" w:cstheme="majorHAnsi"/>
        </w:rPr>
        <w:t>.</w:t>
      </w:r>
      <w:r w:rsidRPr="000F4C13" w:rsidR="008F6E0F">
        <w:rPr>
          <w:rStyle w:val="FootnoteReference"/>
          <w:rFonts w:eastAsia="Calibri" w:asciiTheme="majorHAnsi" w:hAnsiTheme="majorHAnsi" w:cstheme="majorHAnsi"/>
        </w:rPr>
        <w:footnoteReference w:id="132"/>
      </w:r>
      <w:r w:rsidRPr="000F4C13" w:rsidR="00486C61">
        <w:rPr>
          <w:rFonts w:eastAsia="Calibri" w:asciiTheme="majorHAnsi" w:hAnsiTheme="majorHAnsi" w:cstheme="majorHAnsi"/>
        </w:rPr>
        <w:t xml:space="preserve"> </w:t>
      </w:r>
      <w:r w:rsidRPr="000F4C13" w:rsidR="0012009A">
        <w:rPr>
          <w:rFonts w:eastAsia="Calibri" w:asciiTheme="majorHAnsi" w:hAnsiTheme="majorHAnsi" w:cstheme="majorHAnsi"/>
        </w:rPr>
        <w:t xml:space="preserve">These economic disruptions and costs are very rarely insured and disproportionately impact vulnerable groups, including communities of color, seniors, children, and low-income populations. </w:t>
      </w:r>
      <w:r w:rsidRPr="000F4C13" w:rsidR="00535BD7">
        <w:rPr>
          <w:rFonts w:eastAsia="Calibri" w:asciiTheme="majorHAnsi" w:hAnsiTheme="majorHAnsi" w:cstheme="majorHAnsi"/>
        </w:rPr>
        <w:t xml:space="preserve">The insurance protection gaps in extreme heat response highlight the need for better risk mitigation and insurance solutions to avoid overwhelmed hospitals, business disruptions, and increased costs for local governments. </w:t>
      </w:r>
      <w:r w:rsidRPr="000F4C13">
        <w:rPr>
          <w:rFonts w:eastAsia="Calibri" w:asciiTheme="majorHAnsi" w:hAnsiTheme="majorHAnsi" w:cstheme="majorHAnsi"/>
        </w:rPr>
        <w:t xml:space="preserve"> Therefore, reducing risks and closing protection gaps to heat impacts will help safeguard health and the long-term sustainability of local economies. </w:t>
      </w:r>
    </w:p>
    <w:p w:rsidRPr="000F4C13" w:rsidR="00C96053" w:rsidRDefault="00B2522B" w14:paraId="47E4D8FD" w14:textId="77777777">
      <w:pPr>
        <w:pStyle w:val="Heading4"/>
        <w:rPr>
          <w:rFonts w:asciiTheme="majorHAnsi" w:hAnsiTheme="majorHAnsi" w:cstheme="majorHAnsi"/>
        </w:rPr>
      </w:pPr>
      <w:bookmarkStart w:name="_whjkx526giuy" w:colFirst="0" w:colLast="0" w:id="172"/>
      <w:bookmarkEnd w:id="172"/>
      <w:r w:rsidRPr="000F4C13">
        <w:rPr>
          <w:rFonts w:asciiTheme="majorHAnsi" w:hAnsiTheme="majorHAnsi" w:cstheme="majorHAnsi"/>
        </w:rPr>
        <w:t xml:space="preserve">Reports </w:t>
      </w:r>
    </w:p>
    <w:bookmarkStart w:name="_dayyt2gzdplv" w:colFirst="0" w:colLast="0" w:id="173"/>
    <w:bookmarkEnd w:id="173"/>
    <w:p w:rsidRPr="000F4C13" w:rsidR="00C96053" w:rsidP="00F62919" w:rsidRDefault="00B2522B" w14:paraId="139547B8" w14:textId="13CF8A48">
      <w:pPr>
        <w:jc w:val="both"/>
        <w:rPr>
          <w:rFonts w:asciiTheme="majorHAnsi" w:hAnsiTheme="majorHAnsi" w:cstheme="majorHAnsi"/>
        </w:rPr>
      </w:pPr>
      <w:r w:rsidRPr="000F4C13">
        <w:rPr>
          <w:rFonts w:asciiTheme="majorHAnsi" w:hAnsiTheme="majorHAnsi" w:cstheme="majorHAnsi"/>
        </w:rPr>
        <w:fldChar w:fldCharType="begin"/>
      </w:r>
      <w:r w:rsidRPr="000F4C13">
        <w:rPr>
          <w:rFonts w:asciiTheme="majorHAnsi" w:hAnsiTheme="majorHAnsi" w:cstheme="majorHAnsi"/>
        </w:rPr>
        <w:instrText>HYPERLINK "https://www.law.berkeley.edu/wp-content/uploads/2020/11/Insuring-Extreme-Heat-Risks-Dec-2020.pdf"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eastAsia="Calibri" w:asciiTheme="majorHAnsi" w:hAnsiTheme="majorHAnsi" w:cstheme="majorHAnsi"/>
          <w:color w:val="467886"/>
          <w:u w:val="single"/>
        </w:rPr>
        <w:t>Insuring Extreme Heat Risks</w:t>
      </w:r>
      <w:r w:rsidRPr="000F4C13">
        <w:rPr>
          <w:rFonts w:asciiTheme="majorHAnsi" w:hAnsiTheme="majorHAnsi" w:cstheme="majorHAnsi"/>
        </w:rPr>
        <w:fldChar w:fldCharType="end"/>
      </w:r>
      <w:r w:rsidRPr="000F4C13">
        <w:rPr>
          <w:rFonts w:eastAsia="Calibri" w:asciiTheme="majorHAnsi" w:hAnsiTheme="majorHAnsi" w:cstheme="majorHAnsi"/>
        </w:rPr>
        <w:t xml:space="preserve">: </w:t>
      </w:r>
      <w:r w:rsidRPr="000F4C13">
        <w:rPr>
          <w:rFonts w:asciiTheme="majorHAnsi" w:hAnsiTheme="majorHAnsi" w:cstheme="majorHAnsi"/>
        </w:rPr>
        <w:t xml:space="preserve">In 2019, CDI commissioned a first-of-its-kind </w:t>
      </w:r>
      <w:r w:rsidRPr="000F4C13" w:rsidR="004B4E59">
        <w:rPr>
          <w:rFonts w:asciiTheme="majorHAnsi" w:hAnsiTheme="majorHAnsi" w:cstheme="majorHAnsi"/>
        </w:rPr>
        <w:t>report on extreme heat and insurance</w:t>
      </w:r>
      <w:r w:rsidRPr="000F4C13">
        <w:rPr>
          <w:rFonts w:asciiTheme="majorHAnsi" w:hAnsiTheme="majorHAnsi" w:cstheme="majorHAnsi"/>
        </w:rPr>
        <w:t xml:space="preserve">. This study is the first in the world to assess the legal and policy issues and opportunities for insurance to reduce the impacts </w:t>
      </w:r>
      <w:r w:rsidRPr="000F4C13" w:rsidR="0011205D">
        <w:rPr>
          <w:rFonts w:asciiTheme="majorHAnsi" w:hAnsiTheme="majorHAnsi" w:cstheme="majorHAnsi"/>
        </w:rPr>
        <w:t xml:space="preserve">of </w:t>
      </w:r>
      <w:r w:rsidRPr="000F4C13">
        <w:rPr>
          <w:rFonts w:asciiTheme="majorHAnsi" w:hAnsiTheme="majorHAnsi" w:cstheme="majorHAnsi"/>
        </w:rPr>
        <w:t xml:space="preserve">extreme heat events. </w:t>
      </w:r>
    </w:p>
    <w:p w:rsidRPr="000F4C13" w:rsidR="00812733" w:rsidP="00812733" w:rsidRDefault="00812733" w14:paraId="0CBA44F8" w14:textId="4794410A">
      <w:pPr>
        <w:jc w:val="both"/>
        <w:rPr>
          <w:rFonts w:asciiTheme="majorHAnsi" w:hAnsiTheme="majorHAnsi" w:cstheme="majorHAnsi"/>
          <w:u w:val="single"/>
        </w:rPr>
      </w:pPr>
      <w:hyperlink r:id="rId240">
        <w:r w:rsidRPr="000F4C13">
          <w:rPr>
            <w:rFonts w:asciiTheme="majorHAnsi" w:hAnsiTheme="majorHAnsi" w:cstheme="majorHAnsi"/>
            <w:color w:val="467886"/>
            <w:u w:val="single"/>
          </w:rPr>
          <w:t>Climate Insurance Report</w:t>
        </w:r>
      </w:hyperlink>
      <w:r w:rsidRPr="000F4C13">
        <w:rPr>
          <w:rFonts w:asciiTheme="majorHAnsi" w:hAnsiTheme="majorHAnsi" w:cstheme="majorHAnsi"/>
        </w:rPr>
        <w:t xml:space="preserve">: </w:t>
      </w:r>
      <w:r w:rsidRPr="000F4C13" w:rsidDel="000B5A54">
        <w:rPr>
          <w:rFonts w:asciiTheme="majorHAnsi" w:hAnsiTheme="majorHAnsi" w:cstheme="majorHAnsi"/>
        </w:rPr>
        <w:t>Senate Bill 30 (Chapter 614, Statutes of 2018) established a working group of environmental advocates</w:t>
      </w:r>
      <w:r w:rsidRPr="000F4C13">
        <w:rPr>
          <w:rFonts w:asciiTheme="majorHAnsi" w:hAnsiTheme="majorHAnsi" w:cstheme="majorHAnsi"/>
        </w:rPr>
        <w:t xml:space="preserve">, researchers, and insurance experts </w:t>
      </w:r>
      <w:r w:rsidR="00B11EF5">
        <w:rPr>
          <w:rFonts w:asciiTheme="majorHAnsi" w:hAnsiTheme="majorHAnsi" w:cstheme="majorHAnsi"/>
        </w:rPr>
        <w:t>that made recommendations for policies to reduce the costs of</w:t>
      </w:r>
      <w:r w:rsidRPr="000F4C13">
        <w:rPr>
          <w:rFonts w:asciiTheme="majorHAnsi" w:hAnsiTheme="majorHAnsi" w:cstheme="majorHAnsi"/>
        </w:rPr>
        <w:t xml:space="preserve"> wildfires, extreme heat, and flooding. They released the first-ever report in 2021 titled "Protecting Communities, Preserving Nature, and Building Resiliency; How First-of-Its-Kind Climate Insurance Will Help Combat the Costs of Wildfires, Extreme Heat, and Floods."</w:t>
      </w:r>
    </w:p>
    <w:p w:rsidRPr="000F4C13" w:rsidR="00812733" w:rsidP="00812733" w:rsidRDefault="00812733" w14:paraId="60F489B3" w14:textId="77777777">
      <w:pPr>
        <w:jc w:val="both"/>
        <w:rPr>
          <w:rFonts w:eastAsia="Calibri" w:asciiTheme="majorHAnsi" w:hAnsiTheme="majorHAnsi" w:cstheme="majorHAnsi"/>
          <w:u w:val="single"/>
        </w:rPr>
      </w:pPr>
      <w:r w:rsidRPr="000F4C13">
        <w:rPr>
          <w:rFonts w:eastAsia="Calibri" w:asciiTheme="majorHAnsi" w:hAnsiTheme="majorHAnsi" w:cstheme="majorHAnsi"/>
        </w:rPr>
        <w:t xml:space="preserve">CDI has already implemented several of the report’s extreme heat recommendations, such as (1) performing extreme heat public sector cost analysis (see 2024 study below), (2) improving warning systems by naming and ranking heat waves (see AB 2238 legislation below), and (3) developing pilot projects for extreme heat (see Initiatives below). </w:t>
      </w:r>
    </w:p>
    <w:bookmarkStart w:name="_uis0riq6l8n" w:colFirst="0" w:colLast="0" w:id="174"/>
    <w:bookmarkStart w:name="_yegdyd1c7yv7" w:colFirst="0" w:colLast="0" w:id="175"/>
    <w:bookmarkStart w:name="_u4cfrr1sn55" w:colFirst="0" w:colLast="0" w:id="176"/>
    <w:bookmarkEnd w:id="174"/>
    <w:bookmarkEnd w:id="175"/>
    <w:bookmarkEnd w:id="176"/>
    <w:p w:rsidRPr="000F4C13" w:rsidR="00C96053" w:rsidP="00F62919" w:rsidRDefault="00B2522B" w14:paraId="73C46692" w14:textId="7AE33313">
      <w:pPr>
        <w:jc w:val="both"/>
        <w:rPr>
          <w:rFonts w:asciiTheme="majorHAnsi" w:hAnsiTheme="majorHAnsi" w:cstheme="majorHAnsi"/>
        </w:rPr>
      </w:pPr>
      <w:r w:rsidRPr="000F4C13">
        <w:rPr>
          <w:rFonts w:asciiTheme="majorHAnsi" w:hAnsiTheme="majorHAnsi" w:cstheme="majorHAnsi"/>
        </w:rPr>
        <w:fldChar w:fldCharType="begin"/>
      </w:r>
      <w:r w:rsidRPr="000F4C13">
        <w:rPr>
          <w:rFonts w:asciiTheme="majorHAnsi" w:hAnsiTheme="majorHAnsi" w:cstheme="majorHAnsi"/>
        </w:rPr>
        <w:instrText>HYPERLINK "https://www.insurance.ca.gov/01-consumers/180-climate-change/upload/Impacts-of-extreme-heat-to-California-s-people-infrastructure-and-economy-by-California-Department-of-Insurance-June-2024.pdf"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asciiTheme="majorHAnsi" w:hAnsiTheme="majorHAnsi" w:cstheme="majorHAnsi"/>
          <w:color w:val="467886"/>
          <w:u w:val="single"/>
        </w:rPr>
        <w:t>Protection Gap Study for Extreme Heat</w:t>
      </w:r>
      <w:r w:rsidRPr="000F4C13">
        <w:rPr>
          <w:rFonts w:asciiTheme="majorHAnsi" w:hAnsiTheme="majorHAnsi" w:cstheme="majorHAnsi"/>
        </w:rPr>
        <w:fldChar w:fldCharType="end"/>
      </w:r>
      <w:r w:rsidRPr="000F4C13">
        <w:rPr>
          <w:rFonts w:asciiTheme="majorHAnsi" w:hAnsiTheme="majorHAnsi" w:cstheme="majorHAnsi"/>
        </w:rPr>
        <w:t>:</w:t>
      </w:r>
      <w:r w:rsidRPr="000F4C13" w:rsidR="00BF66F9">
        <w:rPr>
          <w:rFonts w:asciiTheme="majorHAnsi" w:hAnsiTheme="majorHAnsi" w:cstheme="majorHAnsi"/>
        </w:rPr>
        <w:t xml:space="preserve"> </w:t>
      </w:r>
      <w:r w:rsidRPr="000F4C13">
        <w:rPr>
          <w:rFonts w:asciiTheme="majorHAnsi" w:hAnsiTheme="majorHAnsi" w:cstheme="majorHAnsi"/>
        </w:rPr>
        <w:t>In July 2024, CDI completed and published a comprehensive analysis titled “</w:t>
      </w:r>
      <w:hyperlink r:id="rId241">
        <w:r w:rsidRPr="000F4C13" w:rsidR="00C96053">
          <w:rPr>
            <w:rFonts w:asciiTheme="majorHAnsi" w:hAnsiTheme="majorHAnsi" w:cstheme="majorHAnsi"/>
            <w:color w:val="467886"/>
            <w:u w:val="single"/>
          </w:rPr>
          <w:t>Impacts of Extreme Heat to California’s People, Infrastructure, and Economy</w:t>
        </w:r>
      </w:hyperlink>
      <w:r w:rsidRPr="000F4C13">
        <w:rPr>
          <w:rFonts w:asciiTheme="majorHAnsi" w:hAnsiTheme="majorHAnsi" w:cstheme="majorHAnsi"/>
        </w:rPr>
        <w:t xml:space="preserve">.” This first-of-its-kind report, the result of legislation </w:t>
      </w:r>
      <w:r w:rsidRPr="000F4C13" w:rsidR="00F646B7">
        <w:rPr>
          <w:rFonts w:asciiTheme="majorHAnsi" w:hAnsiTheme="majorHAnsi" w:cstheme="majorHAnsi"/>
        </w:rPr>
        <w:t xml:space="preserve">sponsored by Commissioner Lara </w:t>
      </w:r>
      <w:r w:rsidRPr="000F4C13">
        <w:rPr>
          <w:rFonts w:asciiTheme="majorHAnsi" w:hAnsiTheme="majorHAnsi" w:cstheme="majorHAnsi"/>
        </w:rPr>
        <w:t xml:space="preserve">in 2022, meticulously quantifies the uninsured and insured costs of seven recent extreme heat events across the state, highlighting the urgent need for adaptive strategies to mitigate the growing threat of extreme heat. </w:t>
      </w:r>
    </w:p>
    <w:p w:rsidRPr="000F4C13" w:rsidR="00C96053" w:rsidP="00F62919" w:rsidRDefault="00B2522B" w14:paraId="509FE31A" w14:textId="390319B4">
      <w:pPr>
        <w:jc w:val="both"/>
        <w:rPr>
          <w:rFonts w:eastAsia="Calibri" w:asciiTheme="majorHAnsi" w:hAnsiTheme="majorHAnsi" w:cstheme="majorHAnsi"/>
        </w:rPr>
      </w:pPr>
      <w:r w:rsidRPr="000F4C13">
        <w:rPr>
          <w:rFonts w:eastAsia="Calibri" w:asciiTheme="majorHAnsi" w:hAnsiTheme="majorHAnsi" w:cstheme="majorHAnsi"/>
        </w:rPr>
        <w:t xml:space="preserve">The report creates a framework to measure the true costs of seven significant extreme heat events over the past decade, providing a detailed analysis of the financial and human tolls they exacted on our communities. The full spectrum of costs is likely much deeper than the report’s preliminary estimates. Some </w:t>
      </w:r>
      <w:r w:rsidRPr="000F4C13" w:rsidR="00217328">
        <w:rPr>
          <w:rFonts w:eastAsia="Calibri" w:asciiTheme="majorHAnsi" w:hAnsiTheme="majorHAnsi" w:cstheme="majorHAnsi"/>
        </w:rPr>
        <w:t>types</w:t>
      </w:r>
      <w:r w:rsidRPr="000F4C13">
        <w:rPr>
          <w:rFonts w:eastAsia="Calibri" w:asciiTheme="majorHAnsi" w:hAnsiTheme="majorHAnsi" w:cstheme="majorHAnsi"/>
        </w:rPr>
        <w:t xml:space="preserve"> of insurance are available to cover costs </w:t>
      </w:r>
      <w:r w:rsidR="00B11EF5">
        <w:rPr>
          <w:rFonts w:eastAsia="Calibri" w:asciiTheme="majorHAnsi" w:hAnsiTheme="majorHAnsi" w:cstheme="majorHAnsi"/>
        </w:rPr>
        <w:t>associated with extreme heat, such as health coverage, workers’ compensation</w:t>
      </w:r>
      <w:r w:rsidRPr="000F4C13">
        <w:rPr>
          <w:rFonts w:eastAsia="Calibri" w:asciiTheme="majorHAnsi" w:hAnsiTheme="majorHAnsi" w:cstheme="majorHAnsi"/>
        </w:rPr>
        <w:t>, and crop insurance. However, the report exposes significant gaps in traditional insurance coverage for heat-related losses and calls for the development of innovative insurance mechanisms and investments in adaptation and resilience. Key findings of the report include:</w:t>
      </w:r>
    </w:p>
    <w:p w:rsidRPr="000F4C13" w:rsidR="00C96053" w:rsidP="0057045C" w:rsidRDefault="00B2522B" w14:paraId="20D84439" w14:textId="77777777">
      <w:pPr>
        <w:numPr>
          <w:ilvl w:val="0"/>
          <w:numId w:val="1"/>
        </w:numPr>
        <w:spacing w:after="0"/>
        <w:jc w:val="both"/>
        <w:rPr>
          <w:rFonts w:eastAsia="Calibri" w:asciiTheme="majorHAnsi" w:hAnsiTheme="majorHAnsi" w:cstheme="majorHAnsi"/>
        </w:rPr>
      </w:pPr>
      <w:r w:rsidRPr="000F4C13">
        <w:rPr>
          <w:rFonts w:eastAsia="Calibri" w:asciiTheme="majorHAnsi" w:hAnsiTheme="majorHAnsi" w:cstheme="majorHAnsi"/>
        </w:rPr>
        <w:t>The preliminary estimates on the cumulative cost of the seven studied heat events amounted to $7.7 billion, affecting nearly the entire population of California.</w:t>
      </w:r>
    </w:p>
    <w:p w:rsidRPr="000F4C13" w:rsidR="00C96053" w:rsidP="0057045C" w:rsidRDefault="00B2522B" w14:paraId="23BE0824" w14:textId="77777777">
      <w:pPr>
        <w:numPr>
          <w:ilvl w:val="0"/>
          <w:numId w:val="1"/>
        </w:numPr>
        <w:spacing w:after="0"/>
        <w:jc w:val="both"/>
        <w:rPr>
          <w:rFonts w:eastAsia="Calibri" w:asciiTheme="majorHAnsi" w:hAnsiTheme="majorHAnsi" w:cstheme="majorHAnsi"/>
        </w:rPr>
      </w:pPr>
      <w:r w:rsidRPr="000F4C13">
        <w:rPr>
          <w:rFonts w:eastAsia="Calibri" w:asciiTheme="majorHAnsi" w:hAnsiTheme="majorHAnsi" w:cstheme="majorHAnsi"/>
        </w:rPr>
        <w:t>Adverse health outcomes disproportionately impacted Black, Hispanic, and Native American communities, with significant mortality rates among older adults and heat-related illnesses among younger populations.</w:t>
      </w:r>
    </w:p>
    <w:p w:rsidRPr="000F4C13" w:rsidR="00C96053" w:rsidP="0057045C" w:rsidRDefault="00B2522B" w14:paraId="4C4B00DA" w14:textId="77777777">
      <w:pPr>
        <w:numPr>
          <w:ilvl w:val="0"/>
          <w:numId w:val="1"/>
        </w:numPr>
        <w:spacing w:after="0"/>
        <w:jc w:val="both"/>
        <w:rPr>
          <w:rFonts w:eastAsia="Calibri" w:asciiTheme="majorHAnsi" w:hAnsiTheme="majorHAnsi" w:cstheme="majorHAnsi"/>
        </w:rPr>
      </w:pPr>
      <w:r w:rsidRPr="000F4C13">
        <w:rPr>
          <w:rFonts w:eastAsia="Calibri" w:asciiTheme="majorHAnsi" w:hAnsiTheme="majorHAnsi" w:cstheme="majorHAnsi"/>
        </w:rPr>
        <w:t>Due to extreme heat, labor productivity losses ranged between $7.7 million and $210 million per event, with substantial uninsured wage losses.</w:t>
      </w:r>
    </w:p>
    <w:p w:rsidRPr="000F4C13" w:rsidR="00C96053" w:rsidP="0057045C" w:rsidRDefault="00B2522B" w14:paraId="746C98BD" w14:textId="77777777">
      <w:pPr>
        <w:numPr>
          <w:ilvl w:val="0"/>
          <w:numId w:val="1"/>
        </w:numPr>
        <w:spacing w:after="0"/>
        <w:jc w:val="both"/>
        <w:rPr>
          <w:rFonts w:eastAsia="Calibri" w:asciiTheme="majorHAnsi" w:hAnsiTheme="majorHAnsi" w:cstheme="majorHAnsi"/>
        </w:rPr>
      </w:pPr>
      <w:r w:rsidRPr="000F4C13">
        <w:rPr>
          <w:rFonts w:eastAsia="Calibri" w:asciiTheme="majorHAnsi" w:hAnsiTheme="majorHAnsi" w:cstheme="majorHAnsi"/>
        </w:rPr>
        <w:t>Power outages during heat events resulted in substantial economic impacts, with the 2022 Coastal Inland event incurring the highest costs at $230 million.</w:t>
      </w:r>
    </w:p>
    <w:p w:rsidRPr="000F4C13" w:rsidR="00C96053" w:rsidP="0057045C" w:rsidRDefault="00B2522B" w14:paraId="052C79EF" w14:textId="77777777">
      <w:pPr>
        <w:numPr>
          <w:ilvl w:val="0"/>
          <w:numId w:val="1"/>
        </w:numPr>
        <w:spacing w:after="0"/>
        <w:jc w:val="both"/>
        <w:rPr>
          <w:rFonts w:eastAsia="Calibri" w:asciiTheme="majorHAnsi" w:hAnsiTheme="majorHAnsi" w:cstheme="majorHAnsi"/>
        </w:rPr>
      </w:pPr>
      <w:r w:rsidRPr="000F4C13">
        <w:rPr>
          <w:rFonts w:eastAsia="Calibri" w:asciiTheme="majorHAnsi" w:hAnsiTheme="majorHAnsi" w:cstheme="majorHAnsi"/>
        </w:rPr>
        <w:t>Infrastructure costs due to heat-related damage repair and delays ranged from $3.8 million to $35 million per event, predominantly affecting roads and rails.</w:t>
      </w:r>
    </w:p>
    <w:p w:rsidRPr="000F4C13" w:rsidR="00EB1D9B" w:rsidP="0057045C" w:rsidRDefault="00B2522B" w14:paraId="4A813163" w14:textId="47466944">
      <w:pPr>
        <w:numPr>
          <w:ilvl w:val="0"/>
          <w:numId w:val="1"/>
        </w:numPr>
        <w:spacing w:after="0"/>
        <w:jc w:val="both"/>
        <w:rPr>
          <w:rFonts w:eastAsia="Calibri" w:asciiTheme="majorHAnsi" w:hAnsiTheme="majorHAnsi" w:cstheme="majorHAnsi"/>
        </w:rPr>
      </w:pPr>
      <w:r w:rsidRPr="000F4C13">
        <w:rPr>
          <w:rFonts w:eastAsia="Calibri" w:asciiTheme="majorHAnsi" w:hAnsiTheme="majorHAnsi" w:cstheme="majorHAnsi"/>
        </w:rPr>
        <w:t>Pursuant to Public Resources Code 71410 (f), this report was also used as one part of the information considered for the creation of California’s extreme heat ranking tool, called CalHeatscore, by the California Environmental Protection Agency in early 2025.</w:t>
      </w:r>
    </w:p>
    <w:p w:rsidRPr="000F4C13" w:rsidR="00B14F47" w:rsidP="00C31F04" w:rsidRDefault="00C96053" w14:paraId="2F3D19AA" w14:textId="042C1BEC">
      <w:pPr>
        <w:numPr>
          <w:ilvl w:val="1"/>
          <w:numId w:val="56"/>
        </w:numPr>
        <w:spacing w:after="0"/>
        <w:jc w:val="both"/>
        <w:rPr>
          <w:rFonts w:eastAsia="Calibri" w:asciiTheme="majorHAnsi" w:hAnsiTheme="majorHAnsi" w:cstheme="majorHAnsi"/>
        </w:rPr>
      </w:pPr>
      <w:hyperlink r:id="rId242">
        <w:r w:rsidRPr="000F4C13">
          <w:rPr>
            <w:rFonts w:eastAsia="Calibri" w:asciiTheme="majorHAnsi" w:hAnsiTheme="majorHAnsi" w:cstheme="majorHAnsi"/>
            <w:color w:val="467886"/>
            <w:u w:val="single"/>
          </w:rPr>
          <w:t>Download Full Report</w:t>
        </w:r>
      </w:hyperlink>
    </w:p>
    <w:p w:rsidRPr="000F4C13" w:rsidR="00B14F47" w:rsidP="00C31F04" w:rsidRDefault="00C96053" w14:paraId="3D9CD149" w14:textId="78A863C3">
      <w:pPr>
        <w:numPr>
          <w:ilvl w:val="1"/>
          <w:numId w:val="56"/>
        </w:numPr>
        <w:spacing w:after="0"/>
        <w:jc w:val="both"/>
        <w:rPr>
          <w:rFonts w:eastAsia="Calibri" w:asciiTheme="majorHAnsi" w:hAnsiTheme="majorHAnsi" w:cstheme="majorHAnsi"/>
        </w:rPr>
      </w:pPr>
      <w:hyperlink r:id="rId243">
        <w:r w:rsidRPr="000F4C13">
          <w:rPr>
            <w:rFonts w:eastAsia="Calibri" w:asciiTheme="majorHAnsi" w:hAnsiTheme="majorHAnsi" w:cstheme="majorHAnsi"/>
            <w:color w:val="467886"/>
            <w:u w:val="single"/>
          </w:rPr>
          <w:t>Download Key Findings and Recommendations</w:t>
        </w:r>
      </w:hyperlink>
    </w:p>
    <w:p w:rsidRPr="000F4C13" w:rsidR="00C96053" w:rsidP="00C31F04" w:rsidRDefault="00C96053" w14:paraId="7922961D" w14:textId="118753F6">
      <w:pPr>
        <w:numPr>
          <w:ilvl w:val="1"/>
          <w:numId w:val="56"/>
        </w:numPr>
        <w:spacing w:after="0"/>
        <w:jc w:val="both"/>
        <w:rPr>
          <w:rFonts w:eastAsia="Calibri" w:asciiTheme="majorHAnsi" w:hAnsiTheme="majorHAnsi" w:cstheme="majorHAnsi"/>
        </w:rPr>
      </w:pPr>
      <w:hyperlink r:id="rId244">
        <w:r w:rsidRPr="000F4C13">
          <w:rPr>
            <w:rFonts w:eastAsia="Calibri" w:asciiTheme="majorHAnsi" w:hAnsiTheme="majorHAnsi" w:cstheme="majorHAnsi"/>
            <w:color w:val="467886"/>
            <w:u w:val="single"/>
          </w:rPr>
          <w:t>Extreme Heat Ranking System CalHeatScore</w:t>
        </w:r>
      </w:hyperlink>
    </w:p>
    <w:p w:rsidRPr="000F4C13" w:rsidR="00C96053" w:rsidRDefault="002C32CD" w14:paraId="3EE5C7E7" w14:textId="688454DF">
      <w:pPr>
        <w:pStyle w:val="Heading4"/>
        <w:rPr>
          <w:rFonts w:asciiTheme="majorHAnsi" w:hAnsiTheme="majorHAnsi" w:cstheme="majorHAnsi"/>
        </w:rPr>
      </w:pPr>
      <w:bookmarkStart w:name="_r6b73sji2s0q" w:colFirst="0" w:colLast="0" w:id="177"/>
      <w:bookmarkEnd w:id="177"/>
      <w:r w:rsidRPr="000F4C13">
        <w:rPr>
          <w:rFonts w:asciiTheme="majorHAnsi" w:hAnsiTheme="majorHAnsi" w:cstheme="majorHAnsi"/>
        </w:rPr>
        <w:t xml:space="preserve">Adopted </w:t>
      </w:r>
      <w:r w:rsidRPr="000F4C13" w:rsidR="00B2522B">
        <w:rPr>
          <w:rFonts w:asciiTheme="majorHAnsi" w:hAnsiTheme="majorHAnsi" w:cstheme="majorHAnsi"/>
        </w:rPr>
        <w:t>Legislation Highlights</w:t>
      </w:r>
    </w:p>
    <w:p w:rsidRPr="000F4C13" w:rsidR="00572CA3" w:rsidP="00572CA3" w:rsidRDefault="00572CA3" w14:paraId="48899E48" w14:textId="77777777">
      <w:pPr>
        <w:jc w:val="both"/>
        <w:rPr>
          <w:rFonts w:eastAsia="Calibri" w:asciiTheme="majorHAnsi" w:hAnsiTheme="majorHAnsi" w:cstheme="majorHAnsi"/>
        </w:rPr>
      </w:pPr>
      <w:r w:rsidRPr="000F4C13">
        <w:rPr>
          <w:rFonts w:eastAsia="Calibri" w:asciiTheme="majorHAnsi" w:hAnsiTheme="majorHAnsi" w:cstheme="majorHAnsi"/>
          <w:b/>
        </w:rPr>
        <w:t>Assessing Extreme Heat Impacts</w:t>
      </w:r>
      <w:r w:rsidRPr="000F4C13">
        <w:rPr>
          <w:rFonts w:eastAsia="Calibri" w:asciiTheme="majorHAnsi" w:hAnsiTheme="majorHAnsi" w:cstheme="majorHAnsi"/>
        </w:rPr>
        <w:t xml:space="preserve">: </w:t>
      </w:r>
      <w:hyperlink r:id="rId245">
        <w:r w:rsidRPr="000F4C13">
          <w:rPr>
            <w:rFonts w:eastAsia="Calibri" w:asciiTheme="majorHAnsi" w:hAnsiTheme="majorHAnsi" w:cstheme="majorHAnsi"/>
            <w:color w:val="467886"/>
            <w:u w:val="single"/>
          </w:rPr>
          <w:t>AB-2238 Extreme heat: statewide extreme heat ranking system</w:t>
        </w:r>
      </w:hyperlink>
      <w:r w:rsidRPr="000F4C13">
        <w:rPr>
          <w:rFonts w:eastAsia="Calibri" w:asciiTheme="majorHAnsi" w:hAnsiTheme="majorHAnsi" w:cstheme="majorHAnsi"/>
        </w:rPr>
        <w:t xml:space="preserve">. (Public Resources Code, section </w:t>
      </w:r>
      <w:hyperlink r:id="rId246">
        <w:r w:rsidRPr="000F4C13">
          <w:rPr>
            <w:rFonts w:eastAsia="Calibri" w:asciiTheme="majorHAnsi" w:hAnsiTheme="majorHAnsi" w:cstheme="majorHAnsi"/>
            <w:color w:val="467886"/>
            <w:u w:val="single"/>
          </w:rPr>
          <w:t>71410</w:t>
        </w:r>
      </w:hyperlink>
      <w:r w:rsidRPr="000F4C13">
        <w:rPr>
          <w:rFonts w:eastAsia="Calibri" w:asciiTheme="majorHAnsi" w:hAnsiTheme="majorHAnsi" w:cstheme="majorHAnsi"/>
        </w:rPr>
        <w:t>).</w:t>
      </w:r>
    </w:p>
    <w:p w:rsidRPr="000F4C13" w:rsidR="00572CA3" w:rsidP="0057045C" w:rsidRDefault="00572CA3" w14:paraId="6289FAB5" w14:textId="77777777">
      <w:pPr>
        <w:numPr>
          <w:ilvl w:val="0"/>
          <w:numId w:val="3"/>
        </w:numPr>
        <w:spacing w:after="0"/>
        <w:jc w:val="both"/>
        <w:rPr>
          <w:rFonts w:eastAsia="Calibri" w:asciiTheme="majorHAnsi" w:hAnsiTheme="majorHAnsi" w:cstheme="majorHAnsi"/>
        </w:rPr>
      </w:pPr>
      <w:r w:rsidRPr="000F4C13">
        <w:rPr>
          <w:rFonts w:eastAsia="Calibri" w:asciiTheme="majorHAnsi" w:hAnsiTheme="majorHAnsi" w:cstheme="majorHAnsi"/>
        </w:rPr>
        <w:t>In 2021, the CDI’s </w:t>
      </w:r>
      <w:hyperlink r:id="rId247">
        <w:r w:rsidRPr="000F4C13">
          <w:rPr>
            <w:rFonts w:eastAsia="Calibri" w:asciiTheme="majorHAnsi" w:hAnsiTheme="majorHAnsi" w:cstheme="majorHAnsi"/>
            <w:color w:val="467886"/>
            <w:u w:val="single"/>
          </w:rPr>
          <w:t>Climate Insurance Workgroup recommended</w:t>
        </w:r>
      </w:hyperlink>
      <w:r w:rsidRPr="000F4C13">
        <w:rPr>
          <w:rFonts w:eastAsia="Calibri" w:asciiTheme="majorHAnsi" w:hAnsiTheme="majorHAnsi" w:cstheme="majorHAnsi"/>
        </w:rPr>
        <w:t> that California build a system to rank heat waves to better communicate the deadly risks to Californians and help communities prepare, similar to how tropical storms and hurricanes are described by "category" level. </w:t>
      </w:r>
    </w:p>
    <w:p w:rsidRPr="000F4C13" w:rsidR="00572CA3" w:rsidP="0057045C" w:rsidRDefault="00572CA3" w14:paraId="6263E7B0" w14:textId="77777777">
      <w:pPr>
        <w:numPr>
          <w:ilvl w:val="0"/>
          <w:numId w:val="3"/>
        </w:numPr>
        <w:spacing w:after="0"/>
        <w:jc w:val="both"/>
        <w:rPr>
          <w:rFonts w:eastAsia="Calibri" w:asciiTheme="majorHAnsi" w:hAnsiTheme="majorHAnsi" w:cstheme="majorHAnsi"/>
        </w:rPr>
      </w:pPr>
      <w:r w:rsidRPr="000F4C13">
        <w:rPr>
          <w:rFonts w:eastAsia="Calibri" w:asciiTheme="majorHAnsi" w:hAnsiTheme="majorHAnsi" w:cstheme="majorHAnsi"/>
        </w:rPr>
        <w:t xml:space="preserve">AB-2238 codified CDI’s recommendation by requiring the California Environmental Protection Agency (CalEPA) to develop a statewide extreme heat ranking system. AB 2238 requires the Integrated Climate Adaptation and Resiliency Program (ICARP) to disseminate the system’s information to communities and local leaders, and the Governor's Office of Emergency Services (Cal OES) to support ICARP’s dissemination and communications campaign.  The Department of Public Health (CDPH) provides consultation on the system and will support the Office of Environmental Health Hazard Assessment (OEHHA), under CalEPA, to adapt the system for use at locally relevant scales. AB 2238 also required CDI to release a </w:t>
      </w:r>
      <w:hyperlink r:id="rId248">
        <w:r w:rsidRPr="000F4C13">
          <w:rPr>
            <w:rFonts w:eastAsia="Calibri" w:asciiTheme="majorHAnsi" w:hAnsiTheme="majorHAnsi" w:cstheme="majorHAnsi"/>
            <w:color w:val="467886"/>
            <w:u w:val="single"/>
          </w:rPr>
          <w:t>report</w:t>
        </w:r>
      </w:hyperlink>
      <w:r w:rsidRPr="000F4C13">
        <w:rPr>
          <w:rFonts w:eastAsia="Calibri" w:asciiTheme="majorHAnsi" w:hAnsiTheme="majorHAnsi" w:cstheme="majorHAnsi"/>
        </w:rPr>
        <w:t xml:space="preserve"> on the insurance-related costs of extreme heat, described above.</w:t>
      </w:r>
    </w:p>
    <w:p w:rsidRPr="000F4C13" w:rsidR="00572CA3" w:rsidP="0057045C" w:rsidRDefault="00572CA3" w14:paraId="2B99D44C" w14:textId="166C897A">
      <w:pPr>
        <w:numPr>
          <w:ilvl w:val="0"/>
          <w:numId w:val="3"/>
        </w:numPr>
        <w:jc w:val="both"/>
        <w:rPr>
          <w:rFonts w:eastAsia="Calibri" w:asciiTheme="majorHAnsi" w:hAnsiTheme="majorHAnsi" w:cstheme="majorHAnsi"/>
        </w:rPr>
      </w:pPr>
      <w:hyperlink r:id="rId249">
        <w:r w:rsidRPr="000F4C13">
          <w:rPr>
            <w:rFonts w:eastAsia="Calibri" w:asciiTheme="majorHAnsi" w:hAnsiTheme="majorHAnsi" w:cstheme="majorHAnsi"/>
            <w:color w:val="467886"/>
            <w:u w:val="single"/>
          </w:rPr>
          <w:t>In May of 2025</w:t>
        </w:r>
      </w:hyperlink>
      <w:r w:rsidRPr="000F4C13">
        <w:rPr>
          <w:rFonts w:eastAsia="Calibri" w:asciiTheme="majorHAnsi" w:hAnsiTheme="majorHAnsi" w:cstheme="majorHAnsi"/>
        </w:rPr>
        <w:t xml:space="preserve">, </w:t>
      </w:r>
      <w:r w:rsidR="00B11EF5">
        <w:rPr>
          <w:rFonts w:eastAsia="Calibri" w:asciiTheme="majorHAnsi" w:hAnsiTheme="majorHAnsi" w:cstheme="majorHAnsi"/>
        </w:rPr>
        <w:t>OEHHA released California’s extreme heat ranking tool, CalHeatscore</w:t>
      </w:r>
      <w:r w:rsidRPr="000F4C13">
        <w:rPr>
          <w:rFonts w:eastAsia="Calibri" w:asciiTheme="majorHAnsi" w:hAnsiTheme="majorHAnsi" w:cstheme="majorHAnsi"/>
        </w:rPr>
        <w:t xml:space="preserve">.  </w:t>
      </w:r>
    </w:p>
    <w:p w:rsidRPr="000F4C13" w:rsidR="00C96053" w:rsidP="00F62919" w:rsidRDefault="00B2522B" w14:paraId="1032BC04" w14:textId="03609752">
      <w:pPr>
        <w:jc w:val="both"/>
        <w:rPr>
          <w:rFonts w:eastAsia="Calibri" w:asciiTheme="majorHAnsi" w:hAnsiTheme="majorHAnsi" w:cstheme="majorHAnsi"/>
        </w:rPr>
      </w:pPr>
      <w:r w:rsidRPr="000F4C13">
        <w:rPr>
          <w:rFonts w:eastAsia="Calibri" w:asciiTheme="majorHAnsi" w:hAnsiTheme="majorHAnsi" w:cstheme="majorHAnsi"/>
          <w:b/>
        </w:rPr>
        <w:t>Climate Risk Insurance Solutions</w:t>
      </w:r>
      <w:r w:rsidRPr="000F4C13">
        <w:rPr>
          <w:rFonts w:eastAsia="Calibri" w:asciiTheme="majorHAnsi" w:hAnsiTheme="majorHAnsi" w:cstheme="majorHAnsi"/>
        </w:rPr>
        <w:t xml:space="preserve">: </w:t>
      </w:r>
      <w:hyperlink r:id="rId250">
        <w:r w:rsidRPr="000F4C13" w:rsidR="00C96053">
          <w:rPr>
            <w:rFonts w:eastAsia="Calibri" w:asciiTheme="majorHAnsi" w:hAnsiTheme="majorHAnsi" w:cstheme="majorHAnsi"/>
            <w:color w:val="467886"/>
            <w:u w:val="single"/>
          </w:rPr>
          <w:t>SB-30 Insurance: climate change</w:t>
        </w:r>
      </w:hyperlink>
      <w:r w:rsidRPr="000F4C13">
        <w:rPr>
          <w:rFonts w:eastAsia="Calibri" w:asciiTheme="majorHAnsi" w:hAnsiTheme="majorHAnsi" w:cstheme="majorHAnsi"/>
        </w:rPr>
        <w:t xml:space="preserve">. (Insurance Code, section </w:t>
      </w:r>
      <w:hyperlink r:id="rId251">
        <w:r w:rsidRPr="000F4C13" w:rsidR="00C96053">
          <w:rPr>
            <w:rFonts w:eastAsia="Calibri" w:asciiTheme="majorHAnsi" w:hAnsiTheme="majorHAnsi" w:cstheme="majorHAnsi"/>
            <w:color w:val="467886"/>
            <w:u w:val="single"/>
          </w:rPr>
          <w:t>12922.5</w:t>
        </w:r>
      </w:hyperlink>
      <w:r w:rsidRPr="000F4C13">
        <w:rPr>
          <w:rFonts w:eastAsia="Calibri" w:asciiTheme="majorHAnsi" w:hAnsiTheme="majorHAnsi" w:cstheme="majorHAnsi"/>
        </w:rPr>
        <w:t xml:space="preserve">). With California communities increasingly exposed to climate change-related threats, Commissioner Ricardo Lara wrote the nation’s first climate insurance law, passed by the State Legislature and signed by the Governor in 2018. The law requires the Insurance Commissioner to convene a working group to identify, assess, and recommend risk transfer market mechanisms that, among other things, promote investment in natural infrastructure to reduce the risks of climate change related to catastrophic events, create incentives for investment in natural infrastructure to reduce risks to communities, and provide mitigation incentives for private investment in natural lands to lessen exposure and reduce climate risks to public safety, property, utilities, and infrastructure. </w:t>
      </w:r>
    </w:p>
    <w:p w:rsidRPr="000F4C13" w:rsidR="00C96053" w:rsidP="0057045C" w:rsidRDefault="00C96053" w14:paraId="0563A9CB" w14:textId="2249EF15">
      <w:pPr>
        <w:numPr>
          <w:ilvl w:val="0"/>
          <w:numId w:val="5"/>
        </w:numPr>
        <w:jc w:val="both"/>
        <w:rPr>
          <w:rFonts w:eastAsia="Calibri" w:asciiTheme="majorHAnsi" w:hAnsiTheme="majorHAnsi" w:cstheme="majorHAnsi"/>
        </w:rPr>
      </w:pPr>
      <w:hyperlink r:id="rId252">
        <w:r w:rsidRPr="000F4C13">
          <w:rPr>
            <w:rFonts w:eastAsia="Calibri" w:asciiTheme="majorHAnsi" w:hAnsiTheme="majorHAnsi" w:cstheme="majorHAnsi"/>
            <w:color w:val="467886"/>
            <w:u w:val="single"/>
          </w:rPr>
          <w:t>Climate Insurance Working Group</w:t>
        </w:r>
      </w:hyperlink>
      <w:r w:rsidRPr="000F4C13">
        <w:rPr>
          <w:rFonts w:eastAsia="Calibri" w:asciiTheme="majorHAnsi" w:hAnsiTheme="majorHAnsi" w:cstheme="majorHAnsi"/>
        </w:rPr>
        <w:t xml:space="preserve">: Pursuant to SB-30, Commissioner Lara appointed a working group of environmental advocates, public policy experts, researchers, and insurance experts to make recommendations to reduce the </w:t>
      </w:r>
      <w:r w:rsidRPr="000F4C13" w:rsidR="0044457A">
        <w:rPr>
          <w:rFonts w:eastAsia="Calibri" w:asciiTheme="majorHAnsi" w:hAnsiTheme="majorHAnsi" w:cstheme="majorHAnsi"/>
        </w:rPr>
        <w:t>threats posed by</w:t>
      </w:r>
      <w:r w:rsidRPr="000F4C13">
        <w:rPr>
          <w:rFonts w:eastAsia="Calibri" w:asciiTheme="majorHAnsi" w:hAnsiTheme="majorHAnsi" w:cstheme="majorHAnsi"/>
        </w:rPr>
        <w:t xml:space="preserve"> wildfires, floods, mudflows, high urban heat, sea-level rise, and other issues facing California. In 2021, the group </w:t>
      </w:r>
      <w:hyperlink r:id="rId253">
        <w:r w:rsidRPr="000F4C13">
          <w:rPr>
            <w:rFonts w:eastAsia="Calibri" w:asciiTheme="majorHAnsi" w:hAnsiTheme="majorHAnsi" w:cstheme="majorHAnsi"/>
            <w:color w:val="467886"/>
            <w:u w:val="single"/>
          </w:rPr>
          <w:t>published a report</w:t>
        </w:r>
      </w:hyperlink>
      <w:r w:rsidRPr="000F4C13">
        <w:rPr>
          <w:rFonts w:eastAsia="Calibri" w:asciiTheme="majorHAnsi" w:hAnsiTheme="majorHAnsi" w:cstheme="majorHAnsi"/>
        </w:rPr>
        <w:t xml:space="preserve"> titled "Protecting Communities, Preserving Nature, and Building Resiliency; How First-of-Its-Kind Climate Insurance Will Help Combat the Costs of Wildfires, Extreme Heat, and Floods." (see Reports section).</w:t>
      </w:r>
    </w:p>
    <w:p w:rsidRPr="000F4C13" w:rsidR="00C96053" w:rsidRDefault="00B2522B" w14:paraId="00841F4B" w14:textId="77777777">
      <w:pPr>
        <w:pStyle w:val="Heading4"/>
        <w:rPr>
          <w:rFonts w:asciiTheme="majorHAnsi" w:hAnsiTheme="majorHAnsi" w:cstheme="majorHAnsi"/>
        </w:rPr>
      </w:pPr>
      <w:bookmarkStart w:name="_g0bd83mymbwg" w:colFirst="0" w:colLast="0" w:id="178"/>
      <w:bookmarkEnd w:id="178"/>
      <w:r w:rsidRPr="000F4C13">
        <w:rPr>
          <w:rFonts w:asciiTheme="majorHAnsi" w:hAnsiTheme="majorHAnsi" w:cstheme="majorHAnsi"/>
        </w:rPr>
        <w:t>Strategies, Initiatives and Resources</w:t>
      </w:r>
    </w:p>
    <w:p w:rsidRPr="000F4C13" w:rsidR="00C96053" w:rsidP="00F62919" w:rsidRDefault="00C96053" w14:paraId="67B13A3D" w14:textId="77777777">
      <w:pPr>
        <w:pStyle w:val="Heading5"/>
        <w:jc w:val="both"/>
        <w:rPr>
          <w:rFonts w:eastAsia="Calibri" w:asciiTheme="majorHAnsi" w:hAnsiTheme="majorHAnsi" w:cstheme="majorHAnsi"/>
        </w:rPr>
      </w:pPr>
      <w:hyperlink r:id="rId254">
        <w:r w:rsidRPr="000F4C13">
          <w:rPr>
            <w:rFonts w:eastAsia="Calibri" w:asciiTheme="majorHAnsi" w:hAnsiTheme="majorHAnsi" w:cstheme="majorHAnsi"/>
            <w:color w:val="467886"/>
            <w:u w:val="single"/>
          </w:rPr>
          <w:t>Inclusive and Innovative Insurance Pilot Projects</w:t>
        </w:r>
      </w:hyperlink>
    </w:p>
    <w:p w:rsidRPr="000F4C13" w:rsidR="00C96053" w:rsidP="00F62919" w:rsidRDefault="00B2522B" w14:paraId="151426A2" w14:textId="77777777">
      <w:pPr>
        <w:jc w:val="both"/>
        <w:rPr>
          <w:rFonts w:eastAsia="Calibri" w:asciiTheme="majorHAnsi" w:hAnsiTheme="majorHAnsi" w:cstheme="majorHAnsi"/>
        </w:rPr>
      </w:pPr>
      <w:r w:rsidRPr="000F4C13">
        <w:rPr>
          <w:rFonts w:eastAsia="Calibri" w:asciiTheme="majorHAnsi" w:hAnsiTheme="majorHAnsi" w:cstheme="majorHAnsi"/>
        </w:rPr>
        <w:t>CDI is supporting local jurisdictions and communities with innovative insurance approaches. In 2021, CDI hosted a convening to identify specific pilot projects it could support to address the risks of extreme heat in low-income and disadvantaged or marginalized communities, including cool technologies, urban forests, pre-disaster mitigation and increased community resilience.</w:t>
      </w:r>
    </w:p>
    <w:p w:rsidRPr="000F4C13" w:rsidR="00C96053" w:rsidP="00F62919" w:rsidRDefault="00C96053" w14:paraId="411AC614" w14:textId="2254E7E6">
      <w:pPr>
        <w:jc w:val="both"/>
        <w:rPr>
          <w:rFonts w:eastAsia="Calibri" w:asciiTheme="majorHAnsi" w:hAnsiTheme="majorHAnsi" w:cstheme="majorHAnsi"/>
        </w:rPr>
      </w:pPr>
      <w:hyperlink r:id="rId255">
        <w:r w:rsidRPr="000F4C13">
          <w:rPr>
            <w:rFonts w:eastAsia="Calibri" w:asciiTheme="majorHAnsi" w:hAnsiTheme="majorHAnsi" w:cstheme="majorHAnsi"/>
            <w:color w:val="1155CC"/>
            <w:u w:val="single"/>
          </w:rPr>
          <w:t>California Extreme Heat Parametric Concept</w:t>
        </w:r>
      </w:hyperlink>
      <w:r w:rsidRPr="000F4C13">
        <w:rPr>
          <w:rFonts w:eastAsia="Calibri" w:asciiTheme="majorHAnsi" w:hAnsiTheme="majorHAnsi" w:cstheme="majorHAnsi"/>
        </w:rPr>
        <w:t xml:space="preserve">: CDI has </w:t>
      </w:r>
      <w:r w:rsidRPr="000F4C13" w:rsidR="00FE4970">
        <w:rPr>
          <w:rFonts w:eastAsia="Calibri" w:asciiTheme="majorHAnsi" w:hAnsiTheme="majorHAnsi" w:cstheme="majorHAnsi"/>
        </w:rPr>
        <w:t xml:space="preserve">developed </w:t>
      </w:r>
      <w:r w:rsidRPr="000F4C13">
        <w:rPr>
          <w:rFonts w:eastAsia="Calibri" w:asciiTheme="majorHAnsi" w:hAnsiTheme="majorHAnsi" w:cstheme="majorHAnsi"/>
        </w:rPr>
        <w:t xml:space="preserve">a </w:t>
      </w:r>
      <w:r w:rsidRPr="000F4C13" w:rsidR="00FE4970">
        <w:rPr>
          <w:rFonts w:eastAsia="Calibri" w:asciiTheme="majorHAnsi" w:hAnsiTheme="majorHAnsi" w:cstheme="majorHAnsi"/>
        </w:rPr>
        <w:t xml:space="preserve">parametric insurance </w:t>
      </w:r>
      <w:r w:rsidRPr="000F4C13">
        <w:rPr>
          <w:rFonts w:eastAsia="Calibri" w:asciiTheme="majorHAnsi" w:hAnsiTheme="majorHAnsi" w:cstheme="majorHAnsi"/>
        </w:rPr>
        <w:t>concept for communities exposed to extreme heat challenges, helping mitigate health risks and lost income.</w:t>
      </w:r>
    </w:p>
    <w:p w:rsidRPr="000F4C13" w:rsidR="00C96053" w:rsidP="00F62919" w:rsidRDefault="00FE4970" w14:paraId="3B2DD411" w14:textId="058D8258">
      <w:pPr>
        <w:jc w:val="both"/>
        <w:rPr>
          <w:rFonts w:eastAsia="Calibri" w:asciiTheme="majorHAnsi" w:hAnsiTheme="majorHAnsi" w:cstheme="majorHAnsi"/>
        </w:rPr>
      </w:pPr>
      <w:r w:rsidRPr="000F4C13">
        <w:rPr>
          <w:rFonts w:eastAsia="Calibri" w:asciiTheme="majorHAnsi" w:hAnsiTheme="majorHAnsi" w:cstheme="majorHAnsi"/>
        </w:rPr>
        <w:t>This</w:t>
      </w:r>
      <w:r w:rsidRPr="000F4C13" w:rsidR="00B2522B">
        <w:rPr>
          <w:rFonts w:eastAsia="Calibri" w:asciiTheme="majorHAnsi" w:hAnsiTheme="majorHAnsi" w:cstheme="majorHAnsi"/>
        </w:rPr>
        <w:t xml:space="preserve"> work has catalyzed a </w:t>
      </w:r>
      <w:hyperlink r:id="rId256">
        <w:r w:rsidRPr="000F4C13" w:rsidR="00C96053">
          <w:rPr>
            <w:rFonts w:eastAsia="Calibri" w:asciiTheme="majorHAnsi" w:hAnsiTheme="majorHAnsi" w:cstheme="majorHAnsi"/>
            <w:color w:val="1155CC"/>
            <w:u w:val="single"/>
          </w:rPr>
          <w:t>groundbreaking “south-north” initiative</w:t>
        </w:r>
      </w:hyperlink>
      <w:r w:rsidRPr="000F4C13" w:rsidR="00B2522B">
        <w:rPr>
          <w:rFonts w:eastAsia="Calibri" w:asciiTheme="majorHAnsi" w:hAnsiTheme="majorHAnsi" w:cstheme="majorHAnsi"/>
        </w:rPr>
        <w:t xml:space="preserve"> bringing parametric extreme heat insurance to heat-exposed street vendors in Los Angeles.</w:t>
      </w:r>
    </w:p>
    <w:p w:rsidRPr="000F4C13" w:rsidR="00C96053" w:rsidP="00F62919" w:rsidRDefault="00B2522B" w14:paraId="682D721B" w14:textId="77777777">
      <w:pPr>
        <w:jc w:val="both"/>
        <w:rPr>
          <w:rFonts w:eastAsia="Calibri" w:asciiTheme="majorHAnsi" w:hAnsiTheme="majorHAnsi" w:cstheme="majorHAnsi"/>
        </w:rPr>
      </w:pPr>
      <w:r w:rsidRPr="000F4C13">
        <w:rPr>
          <w:rFonts w:eastAsia="Calibri" w:asciiTheme="majorHAnsi" w:hAnsiTheme="majorHAnsi" w:cstheme="majorHAnsi"/>
        </w:rPr>
        <w:t xml:space="preserve">Similar models have already been implemented in India, where a </w:t>
      </w:r>
      <w:hyperlink r:id="rId257">
        <w:r w:rsidRPr="000F4C13" w:rsidR="00C96053">
          <w:rPr>
            <w:rFonts w:eastAsia="Calibri" w:asciiTheme="majorHAnsi" w:hAnsiTheme="majorHAnsi" w:cstheme="majorHAnsi"/>
            <w:color w:val="1155CC"/>
            <w:u w:val="single"/>
          </w:rPr>
          <w:t>parametric insurance program</w:t>
        </w:r>
      </w:hyperlink>
      <w:r w:rsidRPr="000F4C13">
        <w:rPr>
          <w:rFonts w:eastAsia="Calibri" w:asciiTheme="majorHAnsi" w:hAnsiTheme="majorHAnsi" w:cstheme="majorHAnsi"/>
        </w:rPr>
        <w:t xml:space="preserve"> covers 50,000 informal women workers, which pays out when temperatures exceed set limits.</w:t>
      </w:r>
    </w:p>
    <w:p w:rsidRPr="000F4C13" w:rsidR="00C96053" w:rsidP="00F62919" w:rsidRDefault="00C96053" w14:paraId="327F5F29" w14:textId="77777777">
      <w:pPr>
        <w:jc w:val="both"/>
        <w:rPr>
          <w:rFonts w:eastAsia="Calibri" w:asciiTheme="majorHAnsi" w:hAnsiTheme="majorHAnsi" w:cstheme="majorHAnsi"/>
        </w:rPr>
      </w:pPr>
      <w:hyperlink r:id="rId258">
        <w:r w:rsidRPr="000F4C13">
          <w:rPr>
            <w:rFonts w:eastAsia="Calibri" w:asciiTheme="majorHAnsi" w:hAnsiTheme="majorHAnsi" w:cstheme="majorHAnsi"/>
            <w:color w:val="1155CC"/>
            <w:u w:val="single"/>
          </w:rPr>
          <w:t>Urban Forest Insurance Concept</w:t>
        </w:r>
      </w:hyperlink>
      <w:r w:rsidRPr="000F4C13">
        <w:rPr>
          <w:rFonts w:eastAsia="Calibri" w:asciiTheme="majorHAnsi" w:hAnsiTheme="majorHAnsi" w:cstheme="majorHAnsi"/>
        </w:rPr>
        <w:t>: In 2025, CDI hosted a convening to explore insurance solutions for urban forests. Urban forests provide vital benefits like improved air quality, temperature regulation, and recreation, but face growing threats from climate change, including wildfires, storms, and droughts. Parametric insurance can offer a solution by providing funds to repair damaged tree canopies or plant new trees when specific triggers, such as wind speed, rainfall, or pest infestation, are met.</w:t>
      </w:r>
    </w:p>
    <w:p w:rsidRPr="000F4C13" w:rsidR="00C96053" w:rsidP="00F62919" w:rsidRDefault="00B2522B" w14:paraId="5B726A34" w14:textId="77777777">
      <w:pPr>
        <w:pStyle w:val="Heading5"/>
        <w:jc w:val="both"/>
        <w:rPr>
          <w:rFonts w:asciiTheme="majorHAnsi" w:hAnsiTheme="majorHAnsi" w:cstheme="majorHAnsi"/>
        </w:rPr>
      </w:pPr>
      <w:bookmarkStart w:name="_n793htl8ypda" w:colFirst="0" w:colLast="0" w:id="179"/>
      <w:bookmarkEnd w:id="179"/>
      <w:r w:rsidRPr="000F4C13">
        <w:rPr>
          <w:rFonts w:asciiTheme="majorHAnsi" w:hAnsiTheme="majorHAnsi" w:cstheme="majorHAnsi"/>
        </w:rPr>
        <w:t>Consumer Outreach and Engagement</w:t>
      </w:r>
    </w:p>
    <w:bookmarkStart w:name="_b53stdh46rai" w:colFirst="0" w:colLast="0" w:id="180"/>
    <w:bookmarkEnd w:id="180"/>
    <w:p w:rsidRPr="000F4C13" w:rsidR="00C96053" w:rsidP="00F62919" w:rsidRDefault="00B2522B" w14:paraId="616A53D0" w14:textId="0610E08F">
      <w:pPr>
        <w:jc w:val="both"/>
        <w:rPr>
          <w:rFonts w:eastAsia="Calibri" w:asciiTheme="majorHAnsi" w:hAnsiTheme="majorHAnsi" w:cstheme="majorHAnsi"/>
        </w:rPr>
      </w:pPr>
      <w:r w:rsidRPr="000F4C13">
        <w:rPr>
          <w:rFonts w:asciiTheme="majorHAnsi" w:hAnsiTheme="majorHAnsi" w:cstheme="majorHAnsi"/>
        </w:rPr>
        <w:fldChar w:fldCharType="begin"/>
      </w:r>
      <w:r w:rsidRPr="000F4C13">
        <w:rPr>
          <w:rFonts w:asciiTheme="majorHAnsi" w:hAnsiTheme="majorHAnsi" w:cstheme="majorHAnsi"/>
        </w:rPr>
        <w:instrText>HYPERLINK "https://www.insurance.ca.gov/01-consumers/105-type/95-guides/Partnership_Initiative.cfm" \h</w:instrText>
      </w:r>
      <w:r w:rsidRPr="000F4C13">
        <w:rPr>
          <w:rFonts w:asciiTheme="majorHAnsi" w:hAnsiTheme="majorHAnsi" w:cstheme="majorHAnsi"/>
        </w:rPr>
      </w:r>
      <w:r w:rsidRPr="000F4C13">
        <w:rPr>
          <w:rFonts w:asciiTheme="majorHAnsi" w:hAnsiTheme="majorHAnsi" w:cstheme="majorHAnsi"/>
        </w:rPr>
        <w:fldChar w:fldCharType="separate"/>
      </w:r>
      <w:r w:rsidRPr="000F4C13">
        <w:rPr>
          <w:rFonts w:eastAsia="Calibri" w:asciiTheme="majorHAnsi" w:hAnsiTheme="majorHAnsi" w:cstheme="majorHAnsi"/>
          <w:color w:val="1155CC"/>
          <w:u w:val="single"/>
        </w:rPr>
        <w:t>Partnership Initiative</w:t>
      </w:r>
      <w:r w:rsidRPr="000F4C13">
        <w:rPr>
          <w:rFonts w:asciiTheme="majorHAnsi" w:hAnsiTheme="majorHAnsi" w:cstheme="majorHAnsi"/>
        </w:rPr>
        <w:fldChar w:fldCharType="end"/>
      </w:r>
      <w:r w:rsidRPr="000F4C13" w:rsidR="00864485">
        <w:rPr>
          <w:rFonts w:asciiTheme="majorHAnsi" w:hAnsiTheme="majorHAnsi" w:cstheme="majorHAnsi"/>
        </w:rPr>
        <w:t>:</w:t>
      </w:r>
      <w:r w:rsidRPr="000F4C13" w:rsidR="00864485">
        <w:rPr>
          <w:rFonts w:eastAsia="Calibri" w:asciiTheme="majorHAnsi" w:hAnsiTheme="majorHAnsi" w:cstheme="majorHAnsi"/>
        </w:rPr>
        <w:t xml:space="preserve"> </w:t>
      </w:r>
      <w:r w:rsidRPr="000F4C13">
        <w:rPr>
          <w:rFonts w:eastAsia="Calibri" w:asciiTheme="majorHAnsi" w:hAnsiTheme="majorHAnsi" w:cstheme="majorHAnsi"/>
        </w:rPr>
        <w:t>CDI’s consumer outreach activities aim to empower every household in California with the knowledge to understand basic insurance concepts, guard against fraud, and protect their most valuable financial assets, especially as climate-related disasters and market instability continue to rise. The social and economic value of equipping Californians with this critical insurance education is both significant and far-reaching.</w:t>
      </w:r>
    </w:p>
    <w:p w:rsidRPr="000F4C13" w:rsidR="00C96053" w:rsidP="005D1524" w:rsidRDefault="00B2522B" w14:paraId="471E449A" w14:textId="05A484C0">
      <w:pPr>
        <w:spacing w:after="0"/>
        <w:rPr>
          <w:rFonts w:asciiTheme="majorHAnsi" w:hAnsiTheme="majorHAnsi" w:cstheme="majorHAnsi"/>
        </w:rPr>
      </w:pPr>
      <w:bookmarkStart w:name="_1ooap85hrngv" w:colFirst="0" w:colLast="0" w:id="181"/>
      <w:bookmarkEnd w:id="181"/>
      <w:r w:rsidRPr="000F4C13">
        <w:rPr>
          <w:rFonts w:asciiTheme="majorHAnsi" w:hAnsiTheme="majorHAnsi" w:cstheme="majorHAnsi"/>
        </w:rPr>
        <w:t>Initiative Goals</w:t>
      </w:r>
      <w:r w:rsidRPr="000F4C13" w:rsidR="00457B82">
        <w:rPr>
          <w:rFonts w:asciiTheme="majorHAnsi" w:hAnsiTheme="majorHAnsi" w:cstheme="majorHAnsi"/>
        </w:rPr>
        <w:t>:</w:t>
      </w:r>
    </w:p>
    <w:p w:rsidRPr="000F4C13" w:rsidR="00C96053" w:rsidP="0057045C" w:rsidRDefault="00B2522B" w14:paraId="6F3AB351" w14:textId="77777777">
      <w:pPr>
        <w:numPr>
          <w:ilvl w:val="0"/>
          <w:numId w:val="2"/>
        </w:numPr>
        <w:spacing w:after="0"/>
        <w:jc w:val="both"/>
        <w:rPr>
          <w:rFonts w:eastAsia="Calibri" w:asciiTheme="majorHAnsi" w:hAnsiTheme="majorHAnsi" w:cstheme="majorHAnsi"/>
        </w:rPr>
      </w:pPr>
      <w:r w:rsidRPr="000F4C13">
        <w:rPr>
          <w:rFonts w:eastAsia="Calibri" w:asciiTheme="majorHAnsi" w:hAnsiTheme="majorHAnsi" w:cstheme="majorHAnsi"/>
        </w:rPr>
        <w:t>Increase consumer awareness of CDI’s role, responsibilities and available services</w:t>
      </w:r>
    </w:p>
    <w:p w:rsidRPr="000F4C13" w:rsidR="00C96053" w:rsidP="0057045C" w:rsidRDefault="00B2522B" w14:paraId="39FE0F6E" w14:textId="77777777">
      <w:pPr>
        <w:numPr>
          <w:ilvl w:val="0"/>
          <w:numId w:val="2"/>
        </w:numPr>
        <w:spacing w:after="0"/>
        <w:jc w:val="both"/>
        <w:rPr>
          <w:rFonts w:eastAsia="Calibri" w:asciiTheme="majorHAnsi" w:hAnsiTheme="majorHAnsi" w:cstheme="majorHAnsi"/>
        </w:rPr>
      </w:pPr>
      <w:r w:rsidRPr="000F4C13">
        <w:rPr>
          <w:rFonts w:eastAsia="Calibri" w:asciiTheme="majorHAnsi" w:hAnsiTheme="majorHAnsi" w:cstheme="majorHAnsi"/>
        </w:rPr>
        <w:t>Expand awareness of insurance access and fraud prevention</w:t>
      </w:r>
    </w:p>
    <w:p w:rsidRPr="000F4C13" w:rsidR="00C96053" w:rsidP="0057045C" w:rsidRDefault="00B2522B" w14:paraId="62A2C31B" w14:textId="20BD4A4F">
      <w:pPr>
        <w:numPr>
          <w:ilvl w:val="0"/>
          <w:numId w:val="2"/>
        </w:numPr>
        <w:jc w:val="both"/>
        <w:rPr>
          <w:rFonts w:eastAsia="Calibri" w:asciiTheme="majorHAnsi" w:hAnsiTheme="majorHAnsi" w:cstheme="majorHAnsi"/>
        </w:rPr>
      </w:pPr>
      <w:r w:rsidRPr="000F4C13">
        <w:rPr>
          <w:rFonts w:eastAsia="Calibri" w:asciiTheme="majorHAnsi" w:hAnsiTheme="majorHAnsi" w:cstheme="majorHAnsi"/>
        </w:rPr>
        <w:t>Host monthly “Partnership Introduction Webinars</w:t>
      </w:r>
      <w:r w:rsidR="00302EA1">
        <w:rPr>
          <w:rFonts w:eastAsia="Calibri" w:asciiTheme="majorHAnsi" w:hAnsiTheme="majorHAnsi" w:cstheme="majorHAnsi"/>
        </w:rPr>
        <w:t>.</w:t>
      </w:r>
      <w:r w:rsidRPr="000F4C13">
        <w:rPr>
          <w:rFonts w:eastAsia="Calibri" w:asciiTheme="majorHAnsi" w:hAnsiTheme="majorHAnsi" w:cstheme="majorHAnsi"/>
        </w:rPr>
        <w:t xml:space="preserve">” </w:t>
      </w:r>
    </w:p>
    <w:bookmarkStart w:name="_oz4yv6to94n3" w:colFirst="0" w:colLast="0" w:id="182"/>
    <w:bookmarkEnd w:id="182"/>
    <w:p w:rsidRPr="000F4C13" w:rsidR="001A0EF0" w:rsidP="001A0EF0" w:rsidRDefault="00B2522B" w14:paraId="10F47657" w14:textId="35F41CE8">
      <w:pPr>
        <w:jc w:val="both"/>
        <w:rPr>
          <w:rFonts w:eastAsia="Calibri" w:asciiTheme="majorHAnsi" w:hAnsiTheme="majorHAnsi" w:cstheme="majorHAnsi"/>
        </w:rPr>
      </w:pPr>
      <w:r w:rsidRPr="000F4C13">
        <w:rPr>
          <w:rFonts w:asciiTheme="majorHAnsi" w:hAnsiTheme="majorHAnsi" w:cstheme="majorHAnsi"/>
          <w:color w:val="1155CC"/>
        </w:rPr>
        <w:fldChar w:fldCharType="begin"/>
      </w:r>
      <w:r w:rsidRPr="000F4C13">
        <w:rPr>
          <w:rFonts w:asciiTheme="majorHAnsi" w:hAnsiTheme="majorHAnsi" w:cstheme="majorHAnsi"/>
          <w:color w:val="1155CC"/>
        </w:rPr>
        <w:instrText>HYPERLINK "https://www.insurance.ca.gov/01-consumers/105-type/95-guides/Climate-Change-Portal.cfm" \h</w:instrText>
      </w:r>
      <w:r w:rsidRPr="000F4C13">
        <w:rPr>
          <w:rFonts w:asciiTheme="majorHAnsi" w:hAnsiTheme="majorHAnsi" w:cstheme="majorHAnsi"/>
          <w:color w:val="1155CC"/>
        </w:rPr>
      </w:r>
      <w:r w:rsidRPr="000F4C13">
        <w:rPr>
          <w:rFonts w:asciiTheme="majorHAnsi" w:hAnsiTheme="majorHAnsi" w:cstheme="majorHAnsi"/>
          <w:color w:val="1155CC"/>
        </w:rPr>
        <w:fldChar w:fldCharType="separate"/>
      </w:r>
      <w:r w:rsidRPr="000F4C13">
        <w:rPr>
          <w:rFonts w:asciiTheme="majorHAnsi" w:hAnsiTheme="majorHAnsi" w:cstheme="majorHAnsi"/>
          <w:color w:val="1155CC"/>
          <w:u w:val="single"/>
        </w:rPr>
        <w:t>Local Climate Planning Hub</w:t>
      </w:r>
      <w:r w:rsidRPr="000F4C13">
        <w:rPr>
          <w:rFonts w:asciiTheme="majorHAnsi" w:hAnsiTheme="majorHAnsi" w:cstheme="majorHAnsi"/>
          <w:color w:val="1155CC"/>
        </w:rPr>
        <w:fldChar w:fldCharType="end"/>
      </w:r>
      <w:r w:rsidRPr="000F4C13">
        <w:rPr>
          <w:rFonts w:asciiTheme="majorHAnsi" w:hAnsiTheme="majorHAnsi" w:cstheme="majorHAnsi"/>
        </w:rPr>
        <w:t xml:space="preserve">: This local government outreach portal serves as a centralized resource for cities, counties, and municipalities to navigate the evolving risks of climate change and learn about innovative insurance strategies </w:t>
      </w:r>
      <w:r w:rsidRPr="000F4C13" w:rsidR="005C73B6">
        <w:rPr>
          <w:rFonts w:asciiTheme="majorHAnsi" w:hAnsiTheme="majorHAnsi" w:cstheme="majorHAnsi"/>
        </w:rPr>
        <w:t>to reduce them and promote</w:t>
      </w:r>
      <w:r w:rsidRPr="000F4C13">
        <w:rPr>
          <w:rFonts w:asciiTheme="majorHAnsi" w:hAnsiTheme="majorHAnsi" w:cstheme="majorHAnsi"/>
        </w:rPr>
        <w:t xml:space="preserve"> resilience.</w:t>
      </w:r>
      <w:r w:rsidR="0035069D">
        <w:rPr>
          <w:rFonts w:asciiTheme="majorHAnsi" w:hAnsiTheme="majorHAnsi" w:cstheme="majorHAnsi"/>
        </w:rPr>
        <w:pict w14:anchorId="0BAD255F">
          <v:rect id="_x0000_i1037" style="width:0;height:1.5pt" o:hr="t" o:hrstd="t" o:hralign="center" fillcolor="#a0a0a0" stroked="f"/>
        </w:pict>
      </w:r>
    </w:p>
    <w:p w:rsidRPr="000F4C13" w:rsidR="001A0EF0" w:rsidP="001A0EF0" w:rsidRDefault="001A0EF0" w14:paraId="0D6C9D08" w14:textId="4D7F0818">
      <w:pPr>
        <w:pStyle w:val="Heading1"/>
        <w:rPr>
          <w:rFonts w:asciiTheme="majorHAnsi" w:hAnsiTheme="majorHAnsi" w:cstheme="majorHAnsi"/>
        </w:rPr>
      </w:pPr>
      <w:r w:rsidRPr="000F4C13">
        <w:rPr>
          <w:rFonts w:asciiTheme="majorHAnsi" w:hAnsiTheme="majorHAnsi" w:cstheme="majorHAnsi"/>
        </w:rPr>
        <w:t xml:space="preserve">Part 4: </w:t>
      </w:r>
      <w:r w:rsidRPr="000F4C13" w:rsidR="004004AD">
        <w:rPr>
          <w:rFonts w:asciiTheme="majorHAnsi" w:hAnsiTheme="majorHAnsi" w:cstheme="majorHAnsi"/>
        </w:rPr>
        <w:t>Strategies and Implementation Considerations</w:t>
      </w:r>
    </w:p>
    <w:p w:rsidRPr="000F4C13" w:rsidR="001A0EF0" w:rsidP="001A0EF0" w:rsidRDefault="001A0EF0" w14:paraId="5F6A9285" w14:textId="3B19EA62">
      <w:pPr>
        <w:pStyle w:val="Heading3"/>
        <w:spacing w:after="120"/>
        <w:rPr>
          <w:rFonts w:asciiTheme="majorHAnsi" w:hAnsiTheme="majorHAnsi" w:cstheme="majorHAnsi"/>
        </w:rPr>
      </w:pPr>
      <w:r w:rsidRPr="000F4C13">
        <w:rPr>
          <w:rFonts w:asciiTheme="majorHAnsi" w:hAnsiTheme="majorHAnsi" w:cstheme="majorHAnsi"/>
        </w:rPr>
        <w:t>Overview</w:t>
      </w:r>
    </w:p>
    <w:p w:rsidRPr="000F4C13" w:rsidR="00040C6B" w:rsidP="006333AC" w:rsidRDefault="00040C6B" w14:paraId="596C483F" w14:textId="1BF42F8B">
      <w:pPr>
        <w:spacing w:after="0"/>
        <w:jc w:val="both"/>
        <w:rPr>
          <w:rFonts w:asciiTheme="majorHAnsi" w:hAnsiTheme="majorHAnsi" w:cstheme="majorHAnsi"/>
          <w:lang w:val="en-US"/>
        </w:rPr>
      </w:pPr>
      <w:r w:rsidRPr="000F4C13">
        <w:rPr>
          <w:rFonts w:asciiTheme="majorHAnsi" w:hAnsiTheme="majorHAnsi" w:cstheme="majorHAnsi"/>
          <w:lang w:val="en-US"/>
        </w:rPr>
        <w:t xml:space="preserve">Across states, a set of converging strategies is emerging to improve insurance affordability and availability, centered on aligning risk reduction, risk assessment, risk communication, and market expansion and innovation. A primary focus is supporting mitigation incentives through grant programs, tax incentives, and premium discounts tied to verified property and </w:t>
      </w:r>
      <w:r w:rsidRPr="000F4C13" w:rsidR="002F0FEC">
        <w:rPr>
          <w:rFonts w:asciiTheme="majorHAnsi" w:hAnsiTheme="majorHAnsi" w:cstheme="majorHAnsi"/>
          <w:lang w:val="en-US"/>
        </w:rPr>
        <w:t>community-level</w:t>
      </w:r>
      <w:r w:rsidRPr="000F4C13">
        <w:rPr>
          <w:rFonts w:asciiTheme="majorHAnsi" w:hAnsiTheme="majorHAnsi" w:cstheme="majorHAnsi"/>
          <w:lang w:val="en-US"/>
        </w:rPr>
        <w:t xml:space="preserve"> mitigation actions. These efforts are reinforced by legislative and regulatory tools that standardize building codes, require insurers to account for mitigation in pricing, and enable the use of forward-looking tools. States are also advancing data and transparency tools, such as requirements for insurers to disclose risk scores and mitigation opportunities</w:t>
      </w:r>
      <w:r w:rsidRPr="000F4C13" w:rsidR="002F0FEC">
        <w:rPr>
          <w:rFonts w:asciiTheme="majorHAnsi" w:hAnsiTheme="majorHAnsi" w:cstheme="majorHAnsi"/>
          <w:lang w:val="en-US"/>
        </w:rPr>
        <w:t>,</w:t>
      </w:r>
      <w:r w:rsidRPr="000F4C13">
        <w:rPr>
          <w:rFonts w:asciiTheme="majorHAnsi" w:hAnsiTheme="majorHAnsi" w:cstheme="majorHAnsi"/>
          <w:lang w:val="en-US"/>
        </w:rPr>
        <w:t xml:space="preserve"> and granular data calls that include reporting on premiums, non-renewals, and claims.</w:t>
      </w:r>
    </w:p>
    <w:p w:rsidRPr="000F4C13" w:rsidR="00040C6B" w:rsidP="006333AC" w:rsidRDefault="00040C6B" w14:paraId="2A1C720E" w14:textId="77777777">
      <w:pPr>
        <w:spacing w:after="0"/>
        <w:jc w:val="both"/>
        <w:rPr>
          <w:rFonts w:asciiTheme="majorHAnsi" w:hAnsiTheme="majorHAnsi" w:cstheme="majorHAnsi"/>
          <w:lang w:val="en-US"/>
        </w:rPr>
      </w:pPr>
      <w:r w:rsidRPr="000F4C13">
        <w:rPr>
          <w:rFonts w:asciiTheme="majorHAnsi" w:hAnsiTheme="majorHAnsi" w:cstheme="majorHAnsi"/>
          <w:lang w:val="en-US"/>
        </w:rPr>
        <w:t> </w:t>
      </w:r>
    </w:p>
    <w:p w:rsidRPr="000F4C13" w:rsidR="00040C6B" w:rsidP="006333AC" w:rsidRDefault="00040C6B" w14:paraId="20503C69" w14:textId="5FD150FA">
      <w:pPr>
        <w:spacing w:after="0"/>
        <w:jc w:val="both"/>
        <w:rPr>
          <w:rFonts w:asciiTheme="majorHAnsi" w:hAnsiTheme="majorHAnsi" w:cstheme="majorHAnsi"/>
          <w:lang w:val="en-US"/>
        </w:rPr>
      </w:pPr>
      <w:r w:rsidRPr="000F4C13">
        <w:rPr>
          <w:rFonts w:asciiTheme="majorHAnsi" w:hAnsiTheme="majorHAnsi" w:cstheme="majorHAnsi"/>
          <w:lang w:val="en-US"/>
        </w:rPr>
        <w:t xml:space="preserve">In parallel, states are working to expand and stabilize coverage through market access mechanisms, such as insurers of last resort, reinsurance backstops, and depopulation or take-out strategies designed to transition policies back to the admitted market. These efforts are complemented by partnerships and capacity-building across state agencies, academia, and the private sector to strengthen resilience, align mitigation standards, and support innovation, including the development of public catastrophe models and community-based insurance pilots. Finally, states are investing in engagement and communication tools and initiatives to help consumers understand their risk, access coverage, and take advantage of mitigation incentives. </w:t>
      </w:r>
    </w:p>
    <w:p w:rsidRPr="000F4C13" w:rsidR="00040C6B" w:rsidP="006333AC" w:rsidRDefault="00040C6B" w14:paraId="0BFBF769" w14:textId="6AB30C73">
      <w:pPr>
        <w:spacing w:after="0"/>
        <w:jc w:val="both"/>
        <w:rPr>
          <w:rFonts w:asciiTheme="majorHAnsi" w:hAnsiTheme="majorHAnsi" w:cstheme="majorHAnsi"/>
          <w:lang w:val="en-US"/>
        </w:rPr>
      </w:pPr>
      <w:r w:rsidRPr="000F4C13">
        <w:rPr>
          <w:rFonts w:asciiTheme="majorHAnsi" w:hAnsiTheme="majorHAnsi" w:cstheme="majorHAnsi"/>
          <w:lang w:val="en-US"/>
        </w:rPr>
        <w:t>Taken together, these insights are intended to help regulators translate lessons from other jurisdictions into actionable steps that fit their own statutory frameworks, market structures, and risk environments. This section breaks down common implementation considerations, highlights the enabling conditions behind successful programs, and emphasizes the importance of coordinated engagement with consumers, insurers, emergency management partners, and other state agencies.</w:t>
      </w:r>
    </w:p>
    <w:p w:rsidRPr="000F4C13" w:rsidR="001A0EF0" w:rsidP="00365DD3" w:rsidRDefault="0035069D" w14:paraId="0773C151" w14:textId="77777777">
      <w:pPr>
        <w:keepNext/>
        <w:keepLines/>
        <w:spacing w:after="0" w:line="276" w:lineRule="auto"/>
        <w:jc w:val="both"/>
        <w:rPr>
          <w:rFonts w:eastAsia="Calibri" w:asciiTheme="majorHAnsi" w:hAnsiTheme="majorHAnsi" w:cstheme="majorHAnsi"/>
        </w:rPr>
      </w:pPr>
      <w:r>
        <w:rPr>
          <w:rFonts w:asciiTheme="majorHAnsi" w:hAnsiTheme="majorHAnsi" w:cstheme="majorHAnsi"/>
        </w:rPr>
        <w:pict w14:anchorId="0C7F7692">
          <v:rect id="_x0000_i1038" style="width:0;height:1.5pt" o:hr="t" o:hrstd="t" fillcolor="#a0a0a0" stroked="f"/>
        </w:pict>
      </w:r>
    </w:p>
    <w:p w:rsidRPr="000F4C13" w:rsidR="001A0EF0" w:rsidP="001A0EF0" w:rsidRDefault="00BE75A2" w14:paraId="7ECBF120" w14:textId="6C41818C">
      <w:pPr>
        <w:pStyle w:val="Heading3"/>
        <w:spacing w:after="120"/>
        <w:rPr>
          <w:rFonts w:asciiTheme="majorHAnsi" w:hAnsiTheme="majorHAnsi" w:cstheme="majorHAnsi"/>
        </w:rPr>
      </w:pPr>
      <w:r w:rsidRPr="000F4C13">
        <w:rPr>
          <w:rFonts w:asciiTheme="majorHAnsi" w:hAnsiTheme="majorHAnsi" w:cstheme="majorHAnsi"/>
        </w:rPr>
        <w:t>Supporting Mitigation Incentives</w:t>
      </w:r>
      <w:r w:rsidRPr="000F4C13" w:rsidR="001A0EF0">
        <w:rPr>
          <w:rFonts w:asciiTheme="majorHAnsi" w:hAnsiTheme="majorHAnsi" w:cstheme="majorHAnsi"/>
        </w:rPr>
        <w:t xml:space="preserve"> </w:t>
      </w:r>
    </w:p>
    <w:p w:rsidRPr="000F4C13" w:rsidR="007F0820" w:rsidP="007F0820" w:rsidRDefault="007F0820" w14:paraId="1A467F46" w14:textId="37F857B6">
      <w:pPr>
        <w:jc w:val="both"/>
        <w:rPr>
          <w:rFonts w:eastAsia="Noto Sans Symbols" w:asciiTheme="majorHAnsi" w:hAnsiTheme="majorHAnsi" w:cstheme="majorHAnsi"/>
        </w:rPr>
      </w:pPr>
      <w:r w:rsidRPr="000F4C13">
        <w:rPr>
          <w:rFonts w:eastAsia="Noto Sans Symbols" w:asciiTheme="majorHAnsi" w:hAnsiTheme="majorHAnsi" w:cstheme="majorHAnsi"/>
        </w:rPr>
        <w:t xml:space="preserve">Supporting mitigation is a core strategy used by states to improve insurance affordability and availability by reducing underlying risk. By aligning insurance incentives with verified resilience actions, regulators can help ensure that investments in mitigation translate into measurable reductions in losses and improved access to coverage. </w:t>
      </w:r>
      <w:r w:rsidRPr="000F4C13">
        <w:rPr>
          <w:rFonts w:asciiTheme="majorHAnsi" w:hAnsiTheme="majorHAnsi" w:cstheme="majorHAnsi"/>
        </w:rPr>
        <w:t xml:space="preserve">The following considerations </w:t>
      </w:r>
      <w:r w:rsidRPr="000F4C13" w:rsidR="00A149E1">
        <w:rPr>
          <w:rFonts w:asciiTheme="majorHAnsi" w:hAnsiTheme="majorHAnsi" w:cstheme="majorHAnsi"/>
        </w:rPr>
        <w:t>are drawn</w:t>
      </w:r>
      <w:r w:rsidRPr="000F4C13">
        <w:rPr>
          <w:rFonts w:asciiTheme="majorHAnsi" w:hAnsiTheme="majorHAnsi" w:cstheme="majorHAnsi"/>
        </w:rPr>
        <w:t xml:space="preserve"> from California’s experience implementing mitigation-focused regulations, such as the Safer from Wildfires framework.</w:t>
      </w:r>
    </w:p>
    <w:p w:rsidRPr="000F4C13" w:rsidR="007F0820" w:rsidP="00E27FD5" w:rsidRDefault="007F0820" w14:paraId="1D8D630B" w14:textId="77777777">
      <w:pPr>
        <w:numPr>
          <w:ilvl w:val="0"/>
          <w:numId w:val="2"/>
        </w:numPr>
        <w:spacing w:after="0"/>
        <w:jc w:val="both"/>
        <w:rPr>
          <w:rFonts w:eastAsia="Calibri" w:asciiTheme="majorHAnsi" w:hAnsiTheme="majorHAnsi" w:cstheme="majorHAnsi"/>
        </w:rPr>
      </w:pPr>
      <w:r w:rsidRPr="000F4C13">
        <w:rPr>
          <w:rFonts w:eastAsia="Calibri" w:asciiTheme="majorHAnsi" w:hAnsiTheme="majorHAnsi" w:cstheme="majorHAnsi"/>
        </w:rPr>
        <w:t xml:space="preserve">Supporting mitigation incentives and grant programs to better reduce and communicate risk and expand insurance availability and affordability  </w:t>
      </w:r>
    </w:p>
    <w:p w:rsidRPr="000F4C13" w:rsidR="007F0820" w:rsidP="00B7140A" w:rsidRDefault="007F0820" w14:paraId="541D62D4" w14:textId="77777777">
      <w:pPr>
        <w:numPr>
          <w:ilvl w:val="0"/>
          <w:numId w:val="59"/>
        </w:numPr>
        <w:spacing w:line="276" w:lineRule="auto"/>
        <w:ind w:left="1440"/>
        <w:contextualSpacing/>
        <w:jc w:val="both"/>
        <w:rPr>
          <w:rFonts w:eastAsia="Noto Sans Symbols" w:asciiTheme="majorHAnsi" w:hAnsiTheme="majorHAnsi" w:cstheme="majorHAnsi"/>
          <w:kern w:val="2"/>
          <w:lang w:val="en-US"/>
          <w14:ligatures w14:val="standardContextual"/>
        </w:rPr>
      </w:pPr>
      <w:r w:rsidRPr="000F4C13">
        <w:rPr>
          <w:rFonts w:eastAsia="Noto Sans Symbols" w:asciiTheme="majorHAnsi" w:hAnsiTheme="majorHAnsi" w:cstheme="majorHAnsi"/>
          <w:b/>
          <w:bCs/>
          <w:kern w:val="2"/>
          <w:lang w:val="en-US"/>
          <w14:ligatures w14:val="standardContextual"/>
        </w:rPr>
        <w:t>Alignment of insurance incentives with mitigation standards:</w:t>
      </w:r>
      <w:r w:rsidRPr="000F4C13">
        <w:rPr>
          <w:rFonts w:eastAsia="Noto Sans Symbols" w:asciiTheme="majorHAnsi" w:hAnsiTheme="majorHAnsi" w:cstheme="majorHAnsi"/>
          <w:kern w:val="2"/>
          <w:lang w:val="en-US"/>
          <w14:ligatures w14:val="standardContextual"/>
        </w:rPr>
        <w:t xml:space="preserve"> CDI aligned resilience standards with other jurisdictional standards at the state and local levels. Recognizing jurisdictional differences, it was important to convene agencies, interview scientists and insurance stakeholders, and reach consensus on home mitigation measures supported by science. CDI also engaged with local governments as important stakeholders for inspection and certification programs and for aligning local mitigation standards. These agreed upon standards were published and implemented into insurance regulations, requiring insurers to reflect mitigation actions in pricing, resulting in California’s Safer from Wildfire regulations (see box below). </w:t>
      </w:r>
    </w:p>
    <w:p w:rsidRPr="000F4C13" w:rsidR="007F0820" w:rsidP="007F0820" w:rsidRDefault="007F0820" w14:paraId="066543F3" w14:textId="77777777">
      <w:pPr>
        <w:ind w:left="1080"/>
        <w:contextualSpacing/>
        <w:jc w:val="both"/>
        <w:rPr>
          <w:rFonts w:eastAsia="Noto Sans Symbols" w:asciiTheme="majorHAnsi" w:hAnsiTheme="majorHAnsi" w:cstheme="majorHAnsi"/>
          <w:kern w:val="2"/>
          <w:lang w:val="en-US"/>
          <w14:ligatures w14:val="standardContextual"/>
        </w:rPr>
      </w:pPr>
      <w:r w:rsidRPr="000F4C13">
        <w:rPr>
          <w:rFonts w:eastAsia="Cambria" w:asciiTheme="majorHAnsi" w:hAnsiTheme="majorHAnsi" w:cstheme="majorHAnsi"/>
          <w:noProof/>
          <w:kern w:val="2"/>
          <w:lang w:val="en-US"/>
          <w14:ligatures w14:val="standardContextual"/>
        </w:rPr>
        <mc:AlternateContent>
          <mc:Choice Requires="wps">
            <w:drawing>
              <wp:anchor distT="45720" distB="45720" distL="114300" distR="114300" simplePos="0" relativeHeight="251659264" behindDoc="0" locked="0" layoutInCell="1" allowOverlap="1" wp14:anchorId="08FD1C3C" wp14:editId="7130D507">
                <wp:simplePos x="0" y="0"/>
                <wp:positionH relativeFrom="margin">
                  <wp:posOffset>215900</wp:posOffset>
                </wp:positionH>
                <wp:positionV relativeFrom="paragraph">
                  <wp:posOffset>328930</wp:posOffset>
                </wp:positionV>
                <wp:extent cx="5422900" cy="5727700"/>
                <wp:effectExtent l="0" t="0" r="25400" b="25400"/>
                <wp:wrapTopAndBottom/>
                <wp:docPr id="1024661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5727700"/>
                        </a:xfrm>
                        <a:prstGeom prst="rect">
                          <a:avLst/>
                        </a:prstGeom>
                        <a:solidFill>
                          <a:srgbClr val="FFFFFF"/>
                        </a:solidFill>
                        <a:ln w="9525">
                          <a:solidFill>
                            <a:srgbClr val="000000"/>
                          </a:solidFill>
                          <a:miter lim="800000"/>
                          <a:headEnd/>
                          <a:tailEnd/>
                        </a:ln>
                      </wps:spPr>
                      <wps:txbx>
                        <w:txbxContent>
                          <w:p w:rsidR="007F0820" w:rsidP="007F0820" w:rsidRDefault="007F0820" w14:paraId="074B59B7" w14:textId="77777777">
                            <w:pPr>
                              <w:rPr>
                                <w:rFonts w:ascii="Calibri" w:hAnsi="Calibri" w:cs="Calibri"/>
                                <w:b/>
                                <w:bCs/>
                              </w:rPr>
                            </w:pPr>
                            <w:r>
                              <w:rPr>
                                <w:rFonts w:ascii="Calibri" w:hAnsi="Calibri" w:cs="Calibri"/>
                                <w:b/>
                                <w:bCs/>
                              </w:rPr>
                              <w:t xml:space="preserve">California’s </w:t>
                            </w:r>
                            <w:hyperlink w:history="1" r:id="rId259">
                              <w:r>
                                <w:rPr>
                                  <w:rStyle w:val="Hyperlink"/>
                                  <w:rFonts w:ascii="Calibri" w:hAnsi="Calibri" w:cs="Calibri"/>
                                  <w:b/>
                                  <w:bCs/>
                                </w:rPr>
                                <w:t>Wildfire Partnership</w:t>
                              </w:r>
                            </w:hyperlink>
                            <w:r>
                              <w:rPr>
                                <w:rFonts w:ascii="Calibri" w:hAnsi="Calibri" w:cs="Calibri"/>
                                <w:b/>
                                <w:bCs/>
                              </w:rPr>
                              <w:t xml:space="preserve"> methodology and engagement that informed the Safer from Wildfire regulation.</w:t>
                            </w:r>
                          </w:p>
                          <w:p w:rsidR="007F0820" w:rsidP="007F0820" w:rsidRDefault="007F0820" w14:paraId="70BD704F" w14:textId="77777777">
                            <w:pPr>
                              <w:rPr>
                                <w:rFonts w:ascii="Calibri" w:hAnsi="Calibri" w:cs="Calibri"/>
                              </w:rPr>
                            </w:pPr>
                            <w:r>
                              <w:rPr>
                                <w:rFonts w:ascii="Calibri" w:hAnsi="Calibri" w:cs="Calibri"/>
                              </w:rPr>
                              <w:t xml:space="preserve">The Wildfire Partnership engaged with wildfire experts both within state agencies and independent researchers to better understand and align existing expertise. The Wildfire Partnership also met with United Policyholders, representatives from the California Fire Chiefs Association, the Consumer Federation of America, the American Property and Casualty Insurance Association, and the Personal Insurance Federation of California. Additionally, the Wildfire Partnership considered recent reports from the National Association of Insurance Commissioners on the </w:t>
                            </w:r>
                            <w:hyperlink w:history="1" r:id="rId260">
                              <w:r>
                                <w:rPr>
                                  <w:rStyle w:val="Hyperlink"/>
                                  <w:rFonts w:ascii="Calibri" w:hAnsi="Calibri" w:cs="Calibri"/>
                                </w:rPr>
                                <w:t>economic case for home hardening</w:t>
                              </w:r>
                            </w:hyperlink>
                            <w:r>
                              <w:rPr>
                                <w:rFonts w:ascii="Calibri" w:hAnsi="Calibri" w:cs="Calibri"/>
                              </w:rPr>
                              <w:t>, and the National Institute for Standards and Technology (NIST), to which California Department of Forestry and Fire Protection (CAL FIRE) was a significant contributor.</w:t>
                            </w:r>
                          </w:p>
                          <w:p w:rsidR="007F0820" w:rsidP="007F0820" w:rsidRDefault="007F0820" w14:paraId="2E8A74B2" w14:textId="77777777">
                            <w:pPr>
                              <w:rPr>
                                <w:rFonts w:ascii="Calibri" w:hAnsi="Calibri" w:cs="Calibri"/>
                              </w:rPr>
                            </w:pPr>
                            <w:r>
                              <w:rPr>
                                <w:rFonts w:ascii="Calibri" w:hAnsi="Calibri" w:cs="Calibri"/>
                                <w:b/>
                                <w:bCs/>
                              </w:rPr>
                              <w:t>Step 1:</w:t>
                            </w:r>
                            <w:r>
                              <w:rPr>
                                <w:rFonts w:ascii="Calibri" w:hAnsi="Calibri" w:cs="Calibri"/>
                              </w:rPr>
                              <w:t xml:space="preserve"> The California Department of Insurance,</w:t>
                            </w:r>
                            <w:r>
                              <w:t xml:space="preserve"> </w:t>
                            </w:r>
                            <w:r>
                              <w:rPr>
                                <w:rFonts w:ascii="Calibri" w:hAnsi="Calibri" w:cs="Calibri"/>
                              </w:rPr>
                              <w:t>California Governor’s Office of Emergency Services (Cal OES), California Governor’s Office of Planning and Research (OPR), CAL FIRE, California Public Utilities Commission (CPUC) met to agree upon the scope of work and timeline.</w:t>
                            </w:r>
                          </w:p>
                          <w:p w:rsidR="007F0820" w:rsidP="007F0820" w:rsidRDefault="007F0820" w14:paraId="10AB9D05" w14:textId="77777777">
                            <w:pPr>
                              <w:rPr>
                                <w:rFonts w:ascii="Calibri" w:hAnsi="Calibri" w:cs="Calibri"/>
                              </w:rPr>
                            </w:pPr>
                            <w:r>
                              <w:rPr>
                                <w:rFonts w:ascii="Calibri" w:hAnsi="Calibri" w:cs="Calibri"/>
                                <w:b/>
                                <w:bCs/>
                              </w:rPr>
                              <w:t>Step 2:</w:t>
                            </w:r>
                            <w:r>
                              <w:rPr>
                                <w:rFonts w:ascii="Calibri" w:hAnsi="Calibri" w:cs="Calibri"/>
                              </w:rPr>
                              <w:t xml:space="preserve"> As parts of seven meetings, the partnership heard intra-agency briefings to avoid any duplication of efforts and to learn what existing programs may be applicable to insurance regulation and leveraged in developing a list of home and community hardening measures for insurance.</w:t>
                            </w:r>
                          </w:p>
                          <w:p w:rsidR="007F0820" w:rsidP="007F0820" w:rsidRDefault="007F0820" w14:paraId="22B37FD1" w14:textId="77777777">
                            <w:pPr>
                              <w:rPr>
                                <w:rFonts w:ascii="Calibri" w:hAnsi="Calibri" w:cs="Calibri"/>
                              </w:rPr>
                            </w:pPr>
                            <w:r>
                              <w:rPr>
                                <w:rFonts w:ascii="Calibri" w:hAnsi="Calibri" w:cs="Calibri"/>
                                <w:b/>
                                <w:bCs/>
                              </w:rPr>
                              <w:t>Step 3:</w:t>
                            </w:r>
                            <w:r>
                              <w:rPr>
                                <w:rFonts w:ascii="Calibri" w:hAnsi="Calibri" w:cs="Calibri"/>
                              </w:rPr>
                              <w:t xml:space="preserve"> The partnership engaged with additional wildfire mitigation specialists, including a proposal prepared by United Policyholders through a collaborative process that included input from University of California and Cal Poly San Luis Obispo Researchers. In addition, the Wildfire Partnership heard a presentation from the Insurance Institute for Business and Home Safety.</w:t>
                            </w:r>
                          </w:p>
                          <w:p w:rsidR="007F0820" w:rsidP="007F0820" w:rsidRDefault="007F0820" w14:paraId="5B3B34D7" w14:textId="77777777">
                            <w:pPr>
                              <w:rPr>
                                <w:rFonts w:ascii="Calibri" w:hAnsi="Calibri" w:cs="Calibri"/>
                              </w:rPr>
                            </w:pPr>
                            <w:r>
                              <w:rPr>
                                <w:rFonts w:ascii="Calibri" w:hAnsi="Calibri" w:cs="Calibri"/>
                                <w:b/>
                                <w:bCs/>
                              </w:rPr>
                              <w:t>Step 4:</w:t>
                            </w:r>
                            <w:r>
                              <w:rPr>
                                <w:rFonts w:ascii="Calibri" w:hAnsi="Calibri" w:cs="Calibri"/>
                              </w:rPr>
                              <w:t xml:space="preserve"> The partnership engaged with additional wildfire mitigation stakeholders, including the Personal Insurance Federation of California (PIFC), the American Property Casualty Association (APCIA) and Consumer Federation of America.</w:t>
                            </w:r>
                          </w:p>
                          <w:p w:rsidR="007F0820" w:rsidP="007F0820" w:rsidRDefault="007F0820" w14:paraId="0966F3A0" w14:textId="77777777">
                            <w:pPr>
                              <w:rPr>
                                <w:rFonts w:ascii="Calibri" w:hAnsi="Calibri" w:cs="Calibri"/>
                              </w:rPr>
                            </w:pPr>
                            <w:r>
                              <w:rPr>
                                <w:rFonts w:ascii="Calibri" w:hAnsi="Calibri" w:cs="Calibri"/>
                                <w:b/>
                                <w:bCs/>
                              </w:rPr>
                              <w:t>Step 5:</w:t>
                            </w:r>
                            <w:r>
                              <w:rPr>
                                <w:rFonts w:ascii="Calibri" w:hAnsi="Calibri" w:cs="Calibri"/>
                              </w:rPr>
                              <w:t xml:space="preserve"> The partnership established a document of home and community hardening measures that can be used to create a consistent approach for the insurance sector incentives and empower communities to reduce wildfire risks before disaster strikes.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5902F5FF">
              <v:shapetype id="_x0000_t202" coordsize="21600,21600" o:spt="202" path="m,l,21600r21600,l21600,xe" w14:anchorId="08FD1C3C">
                <v:stroke joinstyle="miter"/>
                <v:path gradientshapeok="t" o:connecttype="rect"/>
              </v:shapetype>
              <v:shape id="Text Box 2" style="position:absolute;left:0;text-align:left;margin-left:17pt;margin-top:25.9pt;width:427pt;height:4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">
                <v:textbox>
                  <w:txbxContent>
                    <w:p w:rsidR="007F0820" w:rsidP="007F0820" w:rsidRDefault="007F0820" w14:paraId="04B450BB" w14:textId="77777777">
                      <w:pPr>
                        <w:rPr>
                          <w:rFonts w:ascii="Calibri" w:hAnsi="Calibri" w:cs="Calibri"/>
                          <w:b/>
                          <w:bCs/>
                        </w:rPr>
                      </w:pPr>
                      <w:r>
                        <w:rPr>
                          <w:rFonts w:ascii="Calibri" w:hAnsi="Calibri" w:cs="Calibri"/>
                          <w:b/>
                          <w:bCs/>
                        </w:rPr>
                        <w:t xml:space="preserve">California’s </w:t>
                      </w:r>
                      <w:hyperlink w:history="1" r:id="rId261">
                        <w:r>
                          <w:rPr>
                            <w:rStyle w:val="Hyperlink"/>
                            <w:rFonts w:ascii="Calibri" w:hAnsi="Calibri" w:cs="Calibri"/>
                            <w:b/>
                            <w:bCs/>
                          </w:rPr>
                          <w:t>Wildfire Partnership</w:t>
                        </w:r>
                      </w:hyperlink>
                      <w:r>
                        <w:rPr>
                          <w:rFonts w:ascii="Calibri" w:hAnsi="Calibri" w:cs="Calibri"/>
                          <w:b/>
                          <w:bCs/>
                        </w:rPr>
                        <w:t xml:space="preserve"> methodology and engagement that informed the Safer from Wildfire regulation.</w:t>
                      </w:r>
                    </w:p>
                    <w:p w:rsidR="007F0820" w:rsidP="007F0820" w:rsidRDefault="007F0820" w14:paraId="6CF3267C" w14:textId="77777777">
                      <w:pPr>
                        <w:rPr>
                          <w:rFonts w:ascii="Calibri" w:hAnsi="Calibri" w:cs="Calibri"/>
                        </w:rPr>
                      </w:pPr>
                      <w:r>
                        <w:rPr>
                          <w:rFonts w:ascii="Calibri" w:hAnsi="Calibri" w:cs="Calibri"/>
                        </w:rPr>
                        <w:t xml:space="preserve">The Wildfire Partnership engaged with wildfire experts both within state agencies and independent researchers to better understand and align existing expertise. The Wildfire Partnership also met with United Policyholders, representatives from the California Fire Chiefs Association, the Consumer Federation of America, the American Property and Casualty Insurance Association, and the Personal Insurance Federation of California. Additionally, the Wildfire Partnership considered recent reports from the National Association of Insurance Commissioners on the </w:t>
                      </w:r>
                      <w:hyperlink w:history="1" r:id="rId262">
                        <w:r>
                          <w:rPr>
                            <w:rStyle w:val="Hyperlink"/>
                            <w:rFonts w:ascii="Calibri" w:hAnsi="Calibri" w:cs="Calibri"/>
                          </w:rPr>
                          <w:t>economic case for home hardening</w:t>
                        </w:r>
                      </w:hyperlink>
                      <w:r>
                        <w:rPr>
                          <w:rFonts w:ascii="Calibri" w:hAnsi="Calibri" w:cs="Calibri"/>
                        </w:rPr>
                        <w:t>, and the National Institute for Standards and Technology (NIST), to which California Department of Forestry and Fire Protection (CAL FIRE) was a significant contributor.</w:t>
                      </w:r>
                    </w:p>
                    <w:p w:rsidR="007F0820" w:rsidP="007F0820" w:rsidRDefault="007F0820" w14:paraId="39519AFD" w14:textId="77777777">
                      <w:pPr>
                        <w:rPr>
                          <w:rFonts w:ascii="Calibri" w:hAnsi="Calibri" w:cs="Calibri"/>
                        </w:rPr>
                      </w:pPr>
                      <w:r>
                        <w:rPr>
                          <w:rFonts w:ascii="Calibri" w:hAnsi="Calibri" w:cs="Calibri"/>
                          <w:b/>
                          <w:bCs/>
                        </w:rPr>
                        <w:t>Step 1:</w:t>
                      </w:r>
                      <w:r>
                        <w:rPr>
                          <w:rFonts w:ascii="Calibri" w:hAnsi="Calibri" w:cs="Calibri"/>
                        </w:rPr>
                        <w:t xml:space="preserve"> The California Department of Insurance,</w:t>
                      </w:r>
                      <w:r>
                        <w:t xml:space="preserve"> </w:t>
                      </w:r>
                      <w:r>
                        <w:rPr>
                          <w:rFonts w:ascii="Calibri" w:hAnsi="Calibri" w:cs="Calibri"/>
                        </w:rPr>
                        <w:t>California Governor’s Office of Emergency Services (Cal OES), California Governor’s Office of Planning and Research (OPR), CAL FIRE, California Public Utilities Commission (CPUC) met to agree upon the scope of work and timeline.</w:t>
                      </w:r>
                    </w:p>
                    <w:p w:rsidR="007F0820" w:rsidP="007F0820" w:rsidRDefault="007F0820" w14:paraId="2BA6B7B5" w14:textId="77777777">
                      <w:pPr>
                        <w:rPr>
                          <w:rFonts w:ascii="Calibri" w:hAnsi="Calibri" w:cs="Calibri"/>
                        </w:rPr>
                      </w:pPr>
                      <w:r>
                        <w:rPr>
                          <w:rFonts w:ascii="Calibri" w:hAnsi="Calibri" w:cs="Calibri"/>
                          <w:b/>
                          <w:bCs/>
                        </w:rPr>
                        <w:t>Step 2:</w:t>
                      </w:r>
                      <w:r>
                        <w:rPr>
                          <w:rFonts w:ascii="Calibri" w:hAnsi="Calibri" w:cs="Calibri"/>
                        </w:rPr>
                        <w:t xml:space="preserve"> As parts of seven meetings, the partnership heard intra-agency briefings to avoid any duplication of efforts and to learn what existing programs may be applicable to insurance regulation and leveraged in developing a list of home and community hardening measures for insurance.</w:t>
                      </w:r>
                    </w:p>
                    <w:p w:rsidR="007F0820" w:rsidP="007F0820" w:rsidRDefault="007F0820" w14:paraId="221F6EC9" w14:textId="77777777">
                      <w:pPr>
                        <w:rPr>
                          <w:rFonts w:ascii="Calibri" w:hAnsi="Calibri" w:cs="Calibri"/>
                        </w:rPr>
                      </w:pPr>
                      <w:r>
                        <w:rPr>
                          <w:rFonts w:ascii="Calibri" w:hAnsi="Calibri" w:cs="Calibri"/>
                          <w:b/>
                          <w:bCs/>
                        </w:rPr>
                        <w:t>Step 3:</w:t>
                      </w:r>
                      <w:r>
                        <w:rPr>
                          <w:rFonts w:ascii="Calibri" w:hAnsi="Calibri" w:cs="Calibri"/>
                        </w:rPr>
                        <w:t xml:space="preserve"> The partnership engaged with additional wildfire mitigation specialists, including a proposal prepared by United Policyholders through a collaborative process that included input from University of California and Cal Poly San Luis Obispo Researchers. In addition, the Wildfire Partnership heard a presentation from the Insurance Institute for Business and Home Safety.</w:t>
                      </w:r>
                    </w:p>
                    <w:p w:rsidR="007F0820" w:rsidP="007F0820" w:rsidRDefault="007F0820" w14:paraId="14446343" w14:textId="77777777">
                      <w:pPr>
                        <w:rPr>
                          <w:rFonts w:ascii="Calibri" w:hAnsi="Calibri" w:cs="Calibri"/>
                        </w:rPr>
                      </w:pPr>
                      <w:r>
                        <w:rPr>
                          <w:rFonts w:ascii="Calibri" w:hAnsi="Calibri" w:cs="Calibri"/>
                          <w:b/>
                          <w:bCs/>
                        </w:rPr>
                        <w:t>Step 4:</w:t>
                      </w:r>
                      <w:r>
                        <w:rPr>
                          <w:rFonts w:ascii="Calibri" w:hAnsi="Calibri" w:cs="Calibri"/>
                        </w:rPr>
                        <w:t xml:space="preserve"> The partnership engaged with additional wildfire mitigation stakeholders, including the Personal Insurance Federation of California (PIFC), the American Property Casualty Association (APCIA) and Consumer Federation of America.</w:t>
                      </w:r>
                    </w:p>
                    <w:p w:rsidR="007F0820" w:rsidP="007F0820" w:rsidRDefault="007F0820" w14:paraId="2BA0F70A" w14:textId="77777777">
                      <w:pPr>
                        <w:rPr>
                          <w:rFonts w:ascii="Calibri" w:hAnsi="Calibri" w:cs="Calibri"/>
                        </w:rPr>
                      </w:pPr>
                      <w:r>
                        <w:rPr>
                          <w:rFonts w:ascii="Calibri" w:hAnsi="Calibri" w:cs="Calibri"/>
                          <w:b/>
                          <w:bCs/>
                        </w:rPr>
                        <w:t>Step 5:</w:t>
                      </w:r>
                      <w:r>
                        <w:rPr>
                          <w:rFonts w:ascii="Calibri" w:hAnsi="Calibri" w:cs="Calibri"/>
                        </w:rPr>
                        <w:t xml:space="preserve"> The partnership established a document of home and community hardening measures that can be used to create a consistent approach for the insurance sector incentives and empower communities to reduce wildfire risks before disaster strikes. </w:t>
                      </w:r>
                    </w:p>
                  </w:txbxContent>
                </v:textbox>
                <w10:wrap type="topAndBottom" anchorx="margin"/>
              </v:shape>
            </w:pict>
          </mc:Fallback>
        </mc:AlternateContent>
      </w:r>
    </w:p>
    <w:p w:rsidRPr="000F4C13" w:rsidR="007F0820" w:rsidP="00B7140A" w:rsidRDefault="007F0820" w14:paraId="75EC6816" w14:textId="77777777">
      <w:pPr>
        <w:numPr>
          <w:ilvl w:val="0"/>
          <w:numId w:val="60"/>
        </w:numPr>
        <w:spacing w:line="276" w:lineRule="auto"/>
        <w:ind w:left="1440"/>
        <w:contextualSpacing/>
        <w:jc w:val="both"/>
        <w:rPr>
          <w:rFonts w:eastAsia="Noto Sans Symbols" w:asciiTheme="majorHAnsi" w:hAnsiTheme="majorHAnsi" w:cstheme="majorHAnsi"/>
          <w:kern w:val="2"/>
          <w:lang w:val="en-US"/>
          <w14:ligatures w14:val="standardContextual"/>
        </w:rPr>
      </w:pPr>
      <w:r w:rsidRPr="000F4C13">
        <w:rPr>
          <w:rFonts w:eastAsia="Noto Sans Symbols" w:asciiTheme="majorHAnsi" w:hAnsiTheme="majorHAnsi" w:cstheme="majorHAnsi"/>
          <w:b/>
          <w:bCs/>
          <w:kern w:val="2"/>
          <w:lang w:val="en-US"/>
          <w14:ligatures w14:val="standardContextual"/>
        </w:rPr>
        <w:t xml:space="preserve">Flexibility in implementation: </w:t>
      </w:r>
      <w:r w:rsidRPr="000F4C13">
        <w:rPr>
          <w:rFonts w:eastAsia="Noto Sans Symbols" w:asciiTheme="majorHAnsi" w:hAnsiTheme="majorHAnsi" w:cstheme="majorHAnsi"/>
          <w:kern w:val="2"/>
          <w:lang w:val="en-US"/>
          <w14:ligatures w14:val="standardContextual"/>
        </w:rPr>
        <w:t>CDI retained the flexibility in how</w:t>
      </w:r>
      <w:r w:rsidRPr="000F4C13">
        <w:rPr>
          <w:rFonts w:eastAsia="Noto Sans Symbols" w:asciiTheme="majorHAnsi" w:hAnsiTheme="majorHAnsi" w:cstheme="majorHAnsi"/>
          <w:b/>
          <w:bCs/>
          <w:kern w:val="2"/>
          <w:lang w:val="en-US"/>
          <w14:ligatures w14:val="standardContextual"/>
        </w:rPr>
        <w:t xml:space="preserve"> </w:t>
      </w:r>
      <w:r w:rsidRPr="000F4C13">
        <w:rPr>
          <w:rFonts w:eastAsia="Noto Sans Symbols" w:asciiTheme="majorHAnsi" w:hAnsiTheme="majorHAnsi" w:cstheme="majorHAnsi"/>
          <w:kern w:val="2"/>
          <w:lang w:val="en-US"/>
          <w14:ligatures w14:val="standardContextual"/>
        </w:rPr>
        <w:t xml:space="preserve">insurers can calculate discounts. Discounts might vary by the action's cost-effectiveness or insurer-specific data models. </w:t>
      </w:r>
    </w:p>
    <w:p w:rsidRPr="000F4C13" w:rsidR="007F0820" w:rsidP="00B7140A" w:rsidRDefault="007F0820" w14:paraId="096217A5" w14:textId="77777777">
      <w:pPr>
        <w:numPr>
          <w:ilvl w:val="0"/>
          <w:numId w:val="60"/>
        </w:numPr>
        <w:spacing w:line="276" w:lineRule="auto"/>
        <w:ind w:left="1440"/>
        <w:contextualSpacing/>
        <w:jc w:val="both"/>
        <w:rPr>
          <w:rFonts w:eastAsia="Noto Sans Symbols" w:asciiTheme="majorHAnsi" w:hAnsiTheme="majorHAnsi" w:cstheme="majorHAnsi"/>
          <w:kern w:val="2"/>
          <w:lang w:val="en-US"/>
          <w14:ligatures w14:val="standardContextual"/>
        </w:rPr>
      </w:pPr>
      <w:r w:rsidRPr="000F4C13">
        <w:rPr>
          <w:rFonts w:eastAsia="Noto Sans Symbols" w:asciiTheme="majorHAnsi" w:hAnsiTheme="majorHAnsi" w:cstheme="majorHAnsi"/>
          <w:b/>
          <w:bCs/>
          <w:kern w:val="2"/>
          <w:lang w:val="en-US"/>
          <w14:ligatures w14:val="standardContextual"/>
        </w:rPr>
        <w:t>Data collection and integration:</w:t>
      </w:r>
      <w:r w:rsidRPr="000F4C13">
        <w:rPr>
          <w:rFonts w:eastAsia="Noto Sans Symbols" w:asciiTheme="majorHAnsi" w:hAnsiTheme="majorHAnsi" w:cstheme="majorHAnsi"/>
          <w:kern w:val="2"/>
          <w:lang w:val="en-US"/>
          <w14:ligatures w14:val="standardContextual"/>
        </w:rPr>
        <w:t xml:space="preserve"> CDI is collecting mitigation and home hardening data tracked by insurers and combining them with premium, nonrenewal, and claims, loss data to better understand the landscape of mitigation actions consumers are taking and insurers are incentivizing.</w:t>
      </w:r>
    </w:p>
    <w:p w:rsidRPr="000F4C13" w:rsidR="007F0820" w:rsidP="00B7140A" w:rsidRDefault="007F0820" w14:paraId="1331CDF7" w14:textId="77777777">
      <w:pPr>
        <w:numPr>
          <w:ilvl w:val="0"/>
          <w:numId w:val="60"/>
        </w:numPr>
        <w:spacing w:line="276" w:lineRule="auto"/>
        <w:ind w:left="1440"/>
        <w:contextualSpacing/>
        <w:jc w:val="both"/>
        <w:rPr>
          <w:rFonts w:eastAsia="Noto Sans Symbols" w:asciiTheme="majorHAnsi" w:hAnsiTheme="majorHAnsi" w:cstheme="majorHAnsi"/>
          <w:kern w:val="2"/>
          <w:lang w:val="en-US"/>
          <w14:ligatures w14:val="standardContextual"/>
        </w:rPr>
      </w:pPr>
      <w:r w:rsidRPr="000F4C13">
        <w:rPr>
          <w:rFonts w:eastAsia="Noto Sans Symbols" w:asciiTheme="majorHAnsi" w:hAnsiTheme="majorHAnsi" w:cstheme="majorHAnsi"/>
          <w:b/>
          <w:bCs/>
          <w:kern w:val="2"/>
          <w:lang w:val="en-US"/>
          <w14:ligatures w14:val="standardContextual"/>
        </w:rPr>
        <w:t>Consumer awareness and uptake:</w:t>
      </w:r>
      <w:r w:rsidRPr="000F4C13">
        <w:rPr>
          <w:rFonts w:eastAsia="Noto Sans Symbols" w:asciiTheme="majorHAnsi" w:hAnsiTheme="majorHAnsi" w:cstheme="majorHAnsi"/>
          <w:kern w:val="2"/>
          <w:lang w:val="en-US"/>
          <w14:ligatures w14:val="standardContextual"/>
        </w:rPr>
        <w:t xml:space="preserve"> CDI has engaged with consumers on available mitigation actions and associated insurance benefits, including how to qualify for discounts. </w:t>
      </w:r>
    </w:p>
    <w:p w:rsidRPr="000F4C13" w:rsidR="007F0820" w:rsidP="00B7140A" w:rsidRDefault="007F0820" w14:paraId="78B738F8" w14:textId="77777777">
      <w:pPr>
        <w:numPr>
          <w:ilvl w:val="0"/>
          <w:numId w:val="60"/>
        </w:numPr>
        <w:spacing w:line="276" w:lineRule="auto"/>
        <w:ind w:left="1440"/>
        <w:contextualSpacing/>
        <w:jc w:val="both"/>
        <w:rPr>
          <w:rFonts w:eastAsia="Noto Sans Symbols" w:asciiTheme="majorHAnsi" w:hAnsiTheme="majorHAnsi" w:cstheme="majorHAnsi"/>
          <w:kern w:val="2"/>
          <w:lang w:val="en-US"/>
          <w14:ligatures w14:val="standardContextual"/>
        </w:rPr>
      </w:pPr>
      <w:r w:rsidRPr="000F4C13">
        <w:rPr>
          <w:rFonts w:eastAsia="Noto Sans Symbols" w:asciiTheme="majorHAnsi" w:hAnsiTheme="majorHAnsi" w:cstheme="majorHAnsi"/>
          <w:b/>
          <w:bCs/>
          <w:kern w:val="2"/>
          <w:lang w:val="en-US"/>
          <w14:ligatures w14:val="standardContextual"/>
        </w:rPr>
        <w:t>Coordination with grant and resilience programs:</w:t>
      </w:r>
      <w:r w:rsidRPr="000F4C13">
        <w:rPr>
          <w:rFonts w:eastAsia="Noto Sans Symbols" w:asciiTheme="majorHAnsi" w:hAnsiTheme="majorHAnsi" w:cstheme="majorHAnsi"/>
          <w:kern w:val="2"/>
          <w:lang w:val="en-US"/>
          <w14:ligatures w14:val="standardContextual"/>
        </w:rPr>
        <w:t xml:space="preserve"> CDI is planning to align insurance incentives with the newly adopted CA home hardening program to ensure that investments in resilience translate into improved insurance availability and affordability.</w:t>
      </w:r>
      <w:r w:rsidRPr="000F4C13">
        <w:rPr>
          <w:rFonts w:eastAsia="Cambria" w:asciiTheme="majorHAnsi" w:hAnsiTheme="majorHAnsi" w:cstheme="majorHAnsi"/>
          <w:kern w:val="2"/>
          <w:lang w:val="en-US"/>
          <w14:ligatures w14:val="standardContextual"/>
        </w:rPr>
        <w:t xml:space="preserve"> </w:t>
      </w:r>
    </w:p>
    <w:p w:rsidRPr="000F4C13" w:rsidR="007F0820" w:rsidP="00B7140A" w:rsidRDefault="007F0820" w14:paraId="281183CC" w14:textId="77777777">
      <w:pPr>
        <w:numPr>
          <w:ilvl w:val="0"/>
          <w:numId w:val="60"/>
        </w:numPr>
        <w:spacing w:line="276" w:lineRule="auto"/>
        <w:ind w:left="1440"/>
        <w:contextualSpacing/>
        <w:jc w:val="both"/>
        <w:rPr>
          <w:rFonts w:eastAsia="Noto Sans Symbols" w:asciiTheme="majorHAnsi" w:hAnsiTheme="majorHAnsi" w:cstheme="majorHAnsi"/>
          <w:kern w:val="2"/>
          <w:lang w:val="en-US"/>
          <w14:ligatures w14:val="standardContextual"/>
        </w:rPr>
      </w:pPr>
      <w:r w:rsidRPr="000F4C13">
        <w:rPr>
          <w:rFonts w:eastAsia="Cambria" w:asciiTheme="majorHAnsi" w:hAnsiTheme="majorHAnsi" w:cstheme="majorHAnsi"/>
          <w:b/>
          <w:bCs/>
          <w:kern w:val="2"/>
          <w:lang w:val="en-US"/>
          <w14:ligatures w14:val="standardContextual"/>
        </w:rPr>
        <w:t xml:space="preserve">Alignment on standards: </w:t>
      </w:r>
      <w:r w:rsidRPr="000F4C13">
        <w:rPr>
          <w:rFonts w:eastAsia="Cambria" w:asciiTheme="majorHAnsi" w:hAnsiTheme="majorHAnsi" w:cstheme="majorHAnsi"/>
          <w:kern w:val="2"/>
          <w:lang w:val="en-US"/>
          <w14:ligatures w14:val="standardContextual"/>
        </w:rPr>
        <w:t>CDI is</w:t>
      </w:r>
      <w:r w:rsidRPr="000F4C13">
        <w:rPr>
          <w:rFonts w:eastAsia="Cambria" w:asciiTheme="majorHAnsi" w:hAnsiTheme="majorHAnsi" w:cstheme="majorHAnsi"/>
          <w:b/>
          <w:bCs/>
          <w:kern w:val="2"/>
          <w:lang w:val="en-US"/>
          <w14:ligatures w14:val="standardContextual"/>
        </w:rPr>
        <w:t xml:space="preserve"> </w:t>
      </w:r>
      <w:r w:rsidRPr="000F4C13">
        <w:rPr>
          <w:rFonts w:eastAsia="Cambria" w:asciiTheme="majorHAnsi" w:hAnsiTheme="majorHAnsi" w:cstheme="majorHAnsi"/>
          <w:kern w:val="2"/>
          <w:lang w:val="en-US"/>
          <w14:ligatures w14:val="standardContextual"/>
        </w:rPr>
        <w:t>working on</w:t>
      </w:r>
      <w:r w:rsidRPr="000F4C13">
        <w:rPr>
          <w:rFonts w:eastAsia="Cambria" w:asciiTheme="majorHAnsi" w:hAnsiTheme="majorHAnsi" w:cstheme="majorHAnsi"/>
          <w:b/>
          <w:bCs/>
          <w:kern w:val="2"/>
          <w:lang w:val="en-US"/>
          <w14:ligatures w14:val="standardContextual"/>
        </w:rPr>
        <w:t xml:space="preserve"> </w:t>
      </w:r>
      <w:r w:rsidRPr="000F4C13">
        <w:rPr>
          <w:rFonts w:eastAsia="Cambria" w:asciiTheme="majorHAnsi" w:hAnsiTheme="majorHAnsi" w:cstheme="majorHAnsi"/>
          <w:kern w:val="2"/>
          <w:lang w:val="en-US"/>
          <w14:ligatures w14:val="standardContextual"/>
        </w:rPr>
        <w:t xml:space="preserve">promoting stronger coordination between state agencies on mitigation standards and inspection programs. </w:t>
      </w:r>
    </w:p>
    <w:p w:rsidRPr="007E50D8" w:rsidR="00781764" w:rsidP="00365DD3" w:rsidRDefault="007F0820" w14:paraId="5F9248F1" w14:textId="1AEE8572">
      <w:pPr>
        <w:numPr>
          <w:ilvl w:val="0"/>
          <w:numId w:val="60"/>
        </w:numPr>
        <w:spacing w:after="0" w:line="276" w:lineRule="auto"/>
        <w:ind w:left="1440"/>
        <w:contextualSpacing/>
        <w:jc w:val="both"/>
        <w:rPr>
          <w:rFonts w:eastAsia="Noto Sans Symbols" w:asciiTheme="majorHAnsi" w:hAnsiTheme="majorHAnsi" w:cstheme="majorHAnsi"/>
        </w:rPr>
      </w:pPr>
      <w:r w:rsidRPr="007E50D8">
        <w:rPr>
          <w:rFonts w:eastAsia="Noto Sans Symbols" w:asciiTheme="majorHAnsi" w:hAnsiTheme="majorHAnsi" w:cstheme="majorHAnsi"/>
          <w:b/>
          <w:bCs/>
          <w:kern w:val="2"/>
          <w:lang w:val="en-US"/>
          <w14:ligatures w14:val="standardContextual"/>
        </w:rPr>
        <w:t>Standardization of verification:</w:t>
      </w:r>
      <w:r w:rsidRPr="007E50D8">
        <w:rPr>
          <w:rFonts w:eastAsia="Noto Sans Symbols" w:asciiTheme="majorHAnsi" w:hAnsiTheme="majorHAnsi" w:cstheme="majorHAnsi"/>
          <w:kern w:val="2"/>
          <w:lang w:val="en-US"/>
          <w14:ligatures w14:val="standardContextual"/>
        </w:rPr>
        <w:t xml:space="preserve"> CDI is working with state and local government stakeholders to help develop standardized mitigation verification processes (e.g., inspection programs, certifications) to ensure consistency, transparency, and credibility in applying insurance discounts.</w:t>
      </w:r>
    </w:p>
    <w:p w:rsidRPr="000F4C13" w:rsidR="00781764" w:rsidP="00365DD3" w:rsidRDefault="0035069D" w14:paraId="0A051C9F" w14:textId="77777777">
      <w:pPr>
        <w:keepNext/>
        <w:keepLines/>
        <w:spacing w:after="0" w:line="276" w:lineRule="auto"/>
        <w:jc w:val="both"/>
        <w:rPr>
          <w:rFonts w:eastAsia="Calibri" w:asciiTheme="majorHAnsi" w:hAnsiTheme="majorHAnsi" w:cstheme="majorHAnsi"/>
        </w:rPr>
      </w:pPr>
      <w:r>
        <w:rPr>
          <w:rFonts w:asciiTheme="majorHAnsi" w:hAnsiTheme="majorHAnsi" w:cstheme="majorHAnsi"/>
        </w:rPr>
        <w:pict w14:anchorId="3C428919">
          <v:rect id="_x0000_i1039" style="width:0;height:1.5pt" o:hr="t" o:hrstd="t" fillcolor="#a0a0a0" stroked="f"/>
        </w:pict>
      </w:r>
    </w:p>
    <w:p w:rsidRPr="000F4C13" w:rsidR="00781764" w:rsidP="00781764" w:rsidRDefault="000A0E42" w14:paraId="0127B5CA" w14:textId="2813D0CC">
      <w:pPr>
        <w:pStyle w:val="Heading3"/>
        <w:spacing w:after="120"/>
        <w:rPr>
          <w:rFonts w:asciiTheme="majorHAnsi" w:hAnsiTheme="majorHAnsi" w:cstheme="majorHAnsi"/>
        </w:rPr>
      </w:pPr>
      <w:r w:rsidRPr="000F4C13">
        <w:rPr>
          <w:rFonts w:asciiTheme="majorHAnsi" w:hAnsiTheme="majorHAnsi" w:cstheme="majorHAnsi"/>
        </w:rPr>
        <w:t xml:space="preserve">Summary of State Legislation, Regulations, and Codes </w:t>
      </w:r>
    </w:p>
    <w:p w:rsidRPr="000F4C13" w:rsidR="00CE51A5" w:rsidP="00781764" w:rsidRDefault="00781764" w14:paraId="74C477E9" w14:textId="67D1FEFD">
      <w:pPr>
        <w:jc w:val="both"/>
        <w:rPr>
          <w:rFonts w:eastAsia="Calibri" w:asciiTheme="majorHAnsi" w:hAnsiTheme="majorHAnsi" w:cstheme="majorHAnsi"/>
        </w:rPr>
      </w:pPr>
      <w:r w:rsidRPr="000F4C13">
        <w:rPr>
          <w:rFonts w:eastAsia="Calibri" w:asciiTheme="majorHAnsi" w:hAnsiTheme="majorHAnsi" w:cstheme="majorHAnsi"/>
        </w:rPr>
        <w:t xml:space="preserve">This section </w:t>
      </w:r>
      <w:r w:rsidRPr="000F4C13" w:rsidR="00975340">
        <w:rPr>
          <w:rFonts w:eastAsia="Calibri" w:asciiTheme="majorHAnsi" w:hAnsiTheme="majorHAnsi" w:cstheme="majorHAnsi"/>
        </w:rPr>
        <w:t xml:space="preserve">provides </w:t>
      </w:r>
      <w:r w:rsidRPr="000F4C13" w:rsidR="009A447A">
        <w:rPr>
          <w:rFonts w:eastAsia="Calibri" w:asciiTheme="majorHAnsi" w:hAnsiTheme="majorHAnsi" w:cstheme="majorHAnsi"/>
        </w:rPr>
        <w:t xml:space="preserve">tables </w:t>
      </w:r>
      <w:r w:rsidRPr="000F4C13" w:rsidR="000F4C13">
        <w:rPr>
          <w:rFonts w:eastAsia="Calibri" w:asciiTheme="majorHAnsi" w:hAnsiTheme="majorHAnsi" w:cstheme="majorHAnsi"/>
        </w:rPr>
        <w:t xml:space="preserve">summarizing </w:t>
      </w:r>
      <w:r w:rsidRPr="000F4C13" w:rsidR="00142E8A">
        <w:rPr>
          <w:rFonts w:eastAsia="Calibri" w:asciiTheme="majorHAnsi" w:hAnsiTheme="majorHAnsi" w:cstheme="majorHAnsi"/>
        </w:rPr>
        <w:t xml:space="preserve">each participating state’s relevant </w:t>
      </w:r>
      <w:r w:rsidRPr="000F4C13" w:rsidR="00626AD7">
        <w:rPr>
          <w:rFonts w:eastAsia="Calibri" w:asciiTheme="majorHAnsi" w:hAnsiTheme="majorHAnsi" w:cstheme="majorHAnsi"/>
        </w:rPr>
        <w:t xml:space="preserve">legislation and </w:t>
      </w:r>
      <w:r w:rsidRPr="000F4C13" w:rsidR="00765647">
        <w:rPr>
          <w:rFonts w:eastAsia="Calibri" w:asciiTheme="majorHAnsi" w:hAnsiTheme="majorHAnsi" w:cstheme="majorHAnsi"/>
        </w:rPr>
        <w:t>regulations</w:t>
      </w:r>
      <w:r w:rsidRPr="000F4C13" w:rsidR="00626AD7">
        <w:rPr>
          <w:rFonts w:eastAsia="Calibri" w:asciiTheme="majorHAnsi" w:hAnsiTheme="majorHAnsi" w:cstheme="majorHAnsi"/>
        </w:rPr>
        <w:t xml:space="preserve">. </w:t>
      </w:r>
    </w:p>
    <w:tbl>
      <w:tblPr>
        <w:tblStyle w:val="GridTable4"/>
        <w:tblW w:w="9535" w:type="dxa"/>
        <w:tblLook w:val="0420" w:firstRow="1" w:lastRow="0" w:firstColumn="0" w:lastColumn="0" w:noHBand="0" w:noVBand="1"/>
      </w:tblPr>
      <w:tblGrid>
        <w:gridCol w:w="2335"/>
        <w:gridCol w:w="7200"/>
      </w:tblGrid>
      <w:tr w:rsidRPr="000F4C13" w:rsidR="00F600B5" w:rsidTr="32B00831" w14:paraId="560E26F8"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535" w:type="dxa"/>
            <w:gridSpan w:val="2"/>
            <w:tcMar/>
          </w:tcPr>
          <w:p w:rsidRPr="000F4C13" w:rsidR="00F600B5" w:rsidP="00080769" w:rsidRDefault="00F600B5" w14:paraId="46FF9544" w14:textId="77777777">
            <w:pPr>
              <w:jc w:val="center"/>
              <w:rPr>
                <w:rFonts w:asciiTheme="majorHAnsi" w:hAnsiTheme="majorHAnsi" w:cstheme="majorHAnsi"/>
              </w:rPr>
            </w:pPr>
            <w:r w:rsidRPr="000F4C13">
              <w:rPr>
                <w:rFonts w:asciiTheme="majorHAnsi" w:hAnsiTheme="majorHAnsi" w:cstheme="majorHAnsi"/>
              </w:rPr>
              <w:t>Alabama</w:t>
            </w:r>
          </w:p>
        </w:tc>
      </w:tr>
      <w:tr w:rsidRPr="000F4C13" w:rsidR="00F600B5" w:rsidTr="32B00831" w14:paraId="34DA90F2"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shd w:val="clear" w:color="auto" w:fill="B8CCE4" w:themeFill="accent1" w:themeFillTint="66"/>
            <w:tcMar/>
          </w:tcPr>
          <w:p w:rsidRPr="000F4C13" w:rsidR="00F600B5" w:rsidP="00080769" w:rsidRDefault="00F600B5" w14:paraId="77F9ED0E" w14:textId="77777777">
            <w:pPr>
              <w:rPr>
                <w:rFonts w:asciiTheme="majorHAnsi" w:hAnsiTheme="majorHAnsi" w:cstheme="majorHAnsi"/>
                <w:b/>
                <w:bCs/>
                <w:sz w:val="22"/>
                <w:szCs w:val="22"/>
              </w:rPr>
            </w:pPr>
            <w:r w:rsidRPr="000F4C13">
              <w:rPr>
                <w:rFonts w:asciiTheme="majorHAnsi" w:hAnsiTheme="majorHAnsi" w:cstheme="majorHAnsi"/>
                <w:b/>
                <w:bCs/>
                <w:sz w:val="22"/>
                <w:szCs w:val="22"/>
              </w:rPr>
              <w:t>Regulation / Legislation</w:t>
            </w:r>
          </w:p>
        </w:tc>
        <w:tc>
          <w:tcPr>
            <w:cnfStyle w:val="000000000000" w:firstRow="0" w:lastRow="0" w:firstColumn="0" w:lastColumn="0" w:oddVBand="0" w:evenVBand="0" w:oddHBand="0" w:evenHBand="0" w:firstRowFirstColumn="0" w:firstRowLastColumn="0" w:lastRowFirstColumn="0" w:lastRowLastColumn="0"/>
            <w:tcW w:w="7200" w:type="dxa"/>
            <w:shd w:val="clear" w:color="auto" w:fill="B8CCE4" w:themeFill="accent1" w:themeFillTint="66"/>
            <w:tcMar/>
          </w:tcPr>
          <w:p w:rsidRPr="000F4C13" w:rsidR="00F600B5" w:rsidP="00080769" w:rsidRDefault="00F600B5" w14:paraId="4A0820AE"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Provisions</w:t>
            </w:r>
          </w:p>
        </w:tc>
      </w:tr>
      <w:tr w:rsidRPr="000F4C13" w:rsidR="00F600B5" w:rsidTr="32B00831" w14:paraId="25DB6F66"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3FF776AB" w14:textId="77777777">
            <w:pPr>
              <w:rPr>
                <w:rFonts w:asciiTheme="majorHAnsi" w:hAnsiTheme="majorHAnsi" w:cstheme="majorHAnsi"/>
                <w:sz w:val="22"/>
                <w:szCs w:val="22"/>
              </w:rPr>
            </w:pPr>
            <w:r w:rsidRPr="000F4C13">
              <w:rPr>
                <w:rFonts w:asciiTheme="majorHAnsi" w:hAnsiTheme="majorHAnsi" w:cstheme="majorHAnsi"/>
                <w:sz w:val="22"/>
                <w:szCs w:val="22"/>
              </w:rPr>
              <w:t>IBHS FORTIFIED code adoption</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00080769" w:rsidRDefault="00F600B5" w14:paraId="13906766" w14:textId="77777777">
            <w:pPr>
              <w:rPr>
                <w:rFonts w:asciiTheme="majorHAnsi" w:hAnsiTheme="majorHAnsi" w:cstheme="majorHAnsi"/>
                <w:sz w:val="22"/>
                <w:szCs w:val="22"/>
              </w:rPr>
            </w:pPr>
            <w:r w:rsidRPr="000F4C13">
              <w:rPr>
                <w:rFonts w:asciiTheme="majorHAnsi" w:hAnsiTheme="majorHAnsi" w:cstheme="majorHAnsi"/>
                <w:sz w:val="22"/>
                <w:szCs w:val="22"/>
              </w:rPr>
              <w:t>Alabama adopted the IBHS FORTIFIED standard as a voluntary building and re-roofing program to reduce storm damage, boosting FORTIFIED homes and strengthening the insurance market, particularly on the coast. </w:t>
            </w:r>
          </w:p>
        </w:tc>
      </w:tr>
      <w:tr w:rsidRPr="000F4C13" w:rsidR="00F600B5" w:rsidTr="32B00831" w14:paraId="0BBD66B3"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6E4D707F" w14:textId="77777777">
            <w:pPr>
              <w:rPr>
                <w:rFonts w:asciiTheme="majorHAnsi" w:hAnsiTheme="majorHAnsi" w:cstheme="majorHAnsi"/>
                <w:sz w:val="22"/>
                <w:szCs w:val="22"/>
              </w:rPr>
            </w:pPr>
            <w:r w:rsidRPr="000F4C13">
              <w:rPr>
                <w:rFonts w:asciiTheme="majorHAnsi" w:hAnsiTheme="majorHAnsi" w:cstheme="majorHAnsi"/>
                <w:sz w:val="22"/>
                <w:szCs w:val="22"/>
              </w:rPr>
              <w:t>Alabama Act 2009-500 (Ala. Code §§ 27-31D-1 et seq.) (2009)</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00080769" w:rsidRDefault="00F600B5" w14:paraId="2BE1AD2D" w14:textId="77777777">
            <w:pPr>
              <w:rPr>
                <w:rFonts w:asciiTheme="majorHAnsi" w:hAnsiTheme="majorHAnsi" w:cstheme="majorHAnsi"/>
                <w:sz w:val="22"/>
                <w:szCs w:val="22"/>
              </w:rPr>
            </w:pPr>
            <w:r w:rsidRPr="000F4C13">
              <w:rPr>
                <w:rFonts w:asciiTheme="majorHAnsi" w:hAnsiTheme="majorHAnsi" w:cstheme="majorHAnsi"/>
                <w:sz w:val="22"/>
                <w:szCs w:val="22"/>
              </w:rPr>
              <w:t>Requires insurance companies to provide discounts to homeowners in specific coastal counties who receive a FORTIFIED Home™ designation.</w:t>
            </w:r>
          </w:p>
        </w:tc>
      </w:tr>
      <w:tr w:rsidRPr="000F4C13" w:rsidR="00F600B5" w:rsidTr="32B00831" w14:paraId="4E22153A"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7C19A236" w14:textId="77777777">
            <w:pPr>
              <w:rPr>
                <w:rFonts w:asciiTheme="majorHAnsi" w:hAnsiTheme="majorHAnsi" w:cstheme="majorHAnsi"/>
                <w:sz w:val="22"/>
                <w:szCs w:val="22"/>
              </w:rPr>
            </w:pPr>
            <w:r w:rsidRPr="000F4C13">
              <w:rPr>
                <w:rFonts w:asciiTheme="majorHAnsi" w:hAnsiTheme="majorHAnsi" w:cstheme="majorHAnsi"/>
                <w:sz w:val="22"/>
                <w:szCs w:val="22"/>
              </w:rPr>
              <w:t>Alabama Code Section 27-31D-2.1</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32B00831" w:rsidRDefault="00F600B5" w14:paraId="7E70F2DD" w14:textId="5F1C2A90">
            <w:pPr>
              <w:rPr>
                <w:rFonts w:ascii="Calibri" w:hAnsi="Calibri" w:cs="Calibri" w:asciiTheme="majorAscii" w:hAnsiTheme="majorAscii" w:cstheme="majorAscii"/>
                <w:sz w:val="22"/>
                <w:szCs w:val="22"/>
                <w:lang w:val="en-US"/>
              </w:rPr>
            </w:pPr>
            <w:r w:rsidRPr="32B00831" w:rsidR="00F600B5">
              <w:rPr>
                <w:rFonts w:ascii="Calibri" w:hAnsi="Calibri" w:cs="Calibri" w:asciiTheme="majorAscii" w:hAnsiTheme="majorAscii" w:cstheme="majorAscii"/>
                <w:sz w:val="22"/>
                <w:szCs w:val="22"/>
                <w:lang w:val="en-US"/>
              </w:rPr>
              <w:t xml:space="preserve">Requires insurers to offer an endorsement for coastal homeowners insurance policies to help cover </w:t>
            </w:r>
            <w:r w:rsidRPr="32B00831" w:rsidR="00C36A99">
              <w:rPr>
                <w:rFonts w:ascii="Calibri" w:hAnsi="Calibri" w:cs="Calibri" w:asciiTheme="majorAscii" w:hAnsiTheme="majorAscii" w:cstheme="majorAscii"/>
                <w:sz w:val="22"/>
                <w:szCs w:val="22"/>
                <w:lang w:val="en-US"/>
              </w:rPr>
              <w:t xml:space="preserve">the </w:t>
            </w:r>
            <w:r w:rsidRPr="32B00831" w:rsidR="00F600B5">
              <w:rPr>
                <w:rFonts w:ascii="Calibri" w:hAnsi="Calibri" w:cs="Calibri" w:asciiTheme="majorAscii" w:hAnsiTheme="majorAscii" w:cstheme="majorAscii"/>
                <w:sz w:val="22"/>
                <w:szCs w:val="22"/>
                <w:lang w:val="en-US"/>
              </w:rPr>
              <w:t xml:space="preserve">cost of rebuilding homes to FORTIFIED Roof </w:t>
            </w:r>
            <w:r w:rsidRPr="32B00831" w:rsidR="00F600B5">
              <w:rPr>
                <w:rFonts w:ascii="Calibri" w:hAnsi="Calibri" w:cs="Calibri" w:asciiTheme="majorAscii" w:hAnsiTheme="majorAscii" w:cstheme="majorAscii"/>
                <w:sz w:val="22"/>
                <w:szCs w:val="22"/>
                <w:lang w:val="en-US"/>
              </w:rPr>
              <w:t>standard</w:t>
            </w:r>
            <w:r w:rsidRPr="32B00831" w:rsidR="00F600B5">
              <w:rPr>
                <w:rFonts w:ascii="Calibri" w:hAnsi="Calibri" w:cs="Calibri" w:asciiTheme="majorAscii" w:hAnsiTheme="majorAscii" w:cstheme="majorAscii"/>
                <w:sz w:val="22"/>
                <w:szCs w:val="22"/>
                <w:lang w:val="en-US"/>
              </w:rPr>
              <w:t>.</w:t>
            </w:r>
          </w:p>
        </w:tc>
      </w:tr>
      <w:tr w:rsidRPr="000F4C13" w:rsidR="00F600B5" w:rsidTr="32B00831" w14:paraId="6D73BA66"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0C951F2D" w14:textId="77777777">
            <w:pPr>
              <w:rPr>
                <w:rFonts w:asciiTheme="majorHAnsi" w:hAnsiTheme="majorHAnsi" w:cstheme="majorHAnsi"/>
                <w:sz w:val="22"/>
                <w:szCs w:val="22"/>
              </w:rPr>
            </w:pPr>
            <w:r w:rsidRPr="000F4C13">
              <w:rPr>
                <w:rFonts w:asciiTheme="majorHAnsi" w:hAnsiTheme="majorHAnsi" w:cstheme="majorHAnsi"/>
                <w:sz w:val="22"/>
                <w:szCs w:val="22"/>
              </w:rPr>
              <w:t>Alabama House Bill 283 (HB 283) (2020)</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32B00831" w:rsidRDefault="00F600B5" w14:paraId="4FD9B14D" w14:textId="77777777">
            <w:pPr>
              <w:rPr>
                <w:rFonts w:ascii="Calibri" w:hAnsi="Calibri" w:cs="Calibri" w:asciiTheme="majorAscii" w:hAnsiTheme="majorAscii" w:cstheme="majorAscii"/>
                <w:sz w:val="22"/>
                <w:szCs w:val="22"/>
                <w:lang w:val="en-US"/>
              </w:rPr>
            </w:pPr>
            <w:r w:rsidRPr="32B00831" w:rsidR="00F600B5">
              <w:rPr>
                <w:rFonts w:ascii="Calibri" w:hAnsi="Calibri" w:cs="Calibri" w:asciiTheme="majorAscii" w:hAnsiTheme="majorAscii" w:cstheme="majorAscii"/>
                <w:sz w:val="22"/>
                <w:szCs w:val="22"/>
                <w:lang w:val="en-US"/>
              </w:rPr>
              <w:t xml:space="preserve">Mandates insurance companies must offer a fortified bronze roof endorsement covering </w:t>
            </w:r>
            <w:r w:rsidRPr="32B00831" w:rsidR="00F600B5">
              <w:rPr>
                <w:rFonts w:ascii="Calibri" w:hAnsi="Calibri" w:cs="Calibri" w:asciiTheme="majorAscii" w:hAnsiTheme="majorAscii" w:cstheme="majorAscii"/>
                <w:sz w:val="22"/>
                <w:szCs w:val="22"/>
                <w:lang w:val="en-US"/>
              </w:rPr>
              <w:t>additional</w:t>
            </w:r>
            <w:r w:rsidRPr="32B00831" w:rsidR="00F600B5">
              <w:rPr>
                <w:rFonts w:ascii="Calibri" w:hAnsi="Calibri" w:cs="Calibri" w:asciiTheme="majorAscii" w:hAnsiTheme="majorAscii" w:cstheme="majorAscii"/>
                <w:sz w:val="22"/>
                <w:szCs w:val="22"/>
                <w:lang w:val="en-US"/>
              </w:rPr>
              <w:t xml:space="preserve"> costs for FORTIFIED Roof standards when full roof replacement is covered.</w:t>
            </w:r>
          </w:p>
        </w:tc>
      </w:tr>
      <w:tr w:rsidRPr="000F4C13" w:rsidR="00F600B5" w:rsidTr="32B00831" w14:paraId="7D30095B"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0BC2DCAF" w14:textId="77777777">
            <w:pPr>
              <w:rPr>
                <w:rFonts w:asciiTheme="majorHAnsi" w:hAnsiTheme="majorHAnsi" w:cstheme="majorHAnsi"/>
                <w:sz w:val="22"/>
                <w:szCs w:val="22"/>
              </w:rPr>
            </w:pPr>
            <w:r w:rsidRPr="000F4C13">
              <w:rPr>
                <w:rFonts w:asciiTheme="majorHAnsi" w:hAnsiTheme="majorHAnsi" w:cstheme="majorHAnsi"/>
                <w:sz w:val="22"/>
                <w:szCs w:val="22"/>
              </w:rPr>
              <w:t>Insurance Regulation 482-1-135</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00080769" w:rsidRDefault="00F600B5" w14:paraId="4D98E257" w14:textId="77777777">
            <w:pPr>
              <w:rPr>
                <w:rFonts w:asciiTheme="majorHAnsi" w:hAnsiTheme="majorHAnsi" w:cstheme="majorHAnsi"/>
                <w:sz w:val="22"/>
                <w:szCs w:val="22"/>
              </w:rPr>
            </w:pPr>
            <w:r w:rsidRPr="000F4C13">
              <w:rPr>
                <w:rFonts w:asciiTheme="majorHAnsi" w:hAnsiTheme="majorHAnsi" w:cstheme="majorHAnsi"/>
                <w:sz w:val="22"/>
                <w:szCs w:val="22"/>
              </w:rPr>
              <w:t>Mediation for disputed claims from tornadoes, hurricanes, and tropical storms.</w:t>
            </w:r>
          </w:p>
        </w:tc>
      </w:tr>
      <w:tr w:rsidRPr="000F4C13" w:rsidR="00F600B5" w:rsidTr="32B00831" w14:paraId="0F7CEEF1"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36E3DB86" w14:textId="3F242CBF">
            <w:pPr>
              <w:rPr>
                <w:rFonts w:asciiTheme="majorHAnsi" w:hAnsiTheme="majorHAnsi" w:cstheme="majorHAnsi"/>
                <w:sz w:val="22"/>
                <w:szCs w:val="22"/>
              </w:rPr>
            </w:pPr>
            <w:r w:rsidRPr="000F4C13">
              <w:rPr>
                <w:rFonts w:asciiTheme="majorHAnsi" w:hAnsiTheme="majorHAnsi" w:cstheme="majorHAnsi"/>
                <w:sz w:val="22"/>
                <w:szCs w:val="22"/>
              </w:rPr>
              <w:t xml:space="preserve">Alabama Code §§27-22-40 </w:t>
            </w:r>
            <w:r w:rsidRPr="000F4C13" w:rsidR="00037B4A">
              <w:rPr>
                <w:rFonts w:asciiTheme="majorHAnsi" w:hAnsiTheme="majorHAnsi" w:cstheme="majorHAnsi"/>
                <w:sz w:val="22"/>
                <w:szCs w:val="22"/>
              </w:rPr>
              <w:t>through</w:t>
            </w:r>
            <w:r w:rsidRPr="000F4C13">
              <w:rPr>
                <w:rFonts w:asciiTheme="majorHAnsi" w:hAnsiTheme="majorHAnsi" w:cstheme="majorHAnsi"/>
                <w:sz w:val="22"/>
                <w:szCs w:val="22"/>
              </w:rPr>
              <w:t xml:space="preserve"> 27-22-45</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32B00831" w:rsidRDefault="00F600B5" w14:paraId="5E697A12" w14:textId="79CA370F">
            <w:pPr>
              <w:rPr>
                <w:rFonts w:ascii="Calibri" w:hAnsi="Calibri" w:cs="Calibri" w:asciiTheme="majorAscii" w:hAnsiTheme="majorAscii" w:cstheme="majorAscii"/>
                <w:sz w:val="22"/>
                <w:szCs w:val="22"/>
                <w:lang w:val="en-US"/>
              </w:rPr>
            </w:pPr>
            <w:r w:rsidRPr="32B00831" w:rsidR="00F600B5">
              <w:rPr>
                <w:rFonts w:ascii="Calibri" w:hAnsi="Calibri" w:cs="Calibri" w:asciiTheme="majorAscii" w:hAnsiTheme="majorAscii" w:cstheme="majorAscii"/>
                <w:sz w:val="22"/>
                <w:szCs w:val="22"/>
                <w:lang w:val="en-US"/>
              </w:rPr>
              <w:t xml:space="preserve">Requires new and renewal </w:t>
            </w:r>
            <w:r w:rsidRPr="32B00831" w:rsidR="00F600B5">
              <w:rPr>
                <w:rFonts w:ascii="Calibri" w:hAnsi="Calibri" w:cs="Calibri" w:asciiTheme="majorAscii" w:hAnsiTheme="majorAscii" w:cstheme="majorAscii"/>
                <w:sz w:val="22"/>
                <w:szCs w:val="22"/>
                <w:lang w:val="en-US"/>
              </w:rPr>
              <w:t>homeowners</w:t>
            </w:r>
            <w:r w:rsidRPr="32B00831" w:rsidR="00F600B5">
              <w:rPr>
                <w:rFonts w:ascii="Calibri" w:hAnsi="Calibri" w:cs="Calibri" w:asciiTheme="majorAscii" w:hAnsiTheme="majorAscii" w:cstheme="majorAscii"/>
                <w:sz w:val="22"/>
                <w:szCs w:val="22"/>
                <w:lang w:val="en-US"/>
              </w:rPr>
              <w:t xml:space="preserve"> insurance policies to include Outline of Coverage and Comprehensive Policy Checklist</w:t>
            </w:r>
            <w:r w:rsidRPr="32B00831" w:rsidR="00F600B5">
              <w:rPr>
                <w:rFonts w:ascii="Calibri" w:hAnsi="Calibri" w:cs="Calibri" w:asciiTheme="majorAscii" w:hAnsiTheme="majorAscii" w:cstheme="majorAscii"/>
                <w:sz w:val="22"/>
                <w:szCs w:val="22"/>
                <w:lang w:val="en-US"/>
              </w:rPr>
              <w:t>; insurers</w:t>
            </w:r>
            <w:r w:rsidRPr="32B00831" w:rsidR="00F600B5">
              <w:rPr>
                <w:rFonts w:ascii="Calibri" w:hAnsi="Calibri" w:cs="Calibri" w:asciiTheme="majorAscii" w:hAnsiTheme="majorAscii" w:cstheme="majorAscii"/>
                <w:sz w:val="22"/>
                <w:szCs w:val="22"/>
                <w:lang w:val="en-US"/>
              </w:rPr>
              <w:t xml:space="preserve"> must post </w:t>
            </w:r>
            <w:r w:rsidRPr="32B00831" w:rsidR="002E4692">
              <w:rPr>
                <w:rFonts w:ascii="Calibri" w:hAnsi="Calibri" w:cs="Calibri" w:asciiTheme="majorAscii" w:hAnsiTheme="majorAscii" w:cstheme="majorAscii"/>
                <w:sz w:val="22"/>
                <w:szCs w:val="22"/>
                <w:lang w:val="en-US"/>
              </w:rPr>
              <w:t>12</w:t>
            </w:r>
            <w:r w:rsidRPr="32B00831" w:rsidR="00F600B5">
              <w:rPr>
                <w:rFonts w:ascii="Calibri" w:hAnsi="Calibri" w:cs="Calibri" w:asciiTheme="majorAscii" w:hAnsiTheme="majorAscii" w:cstheme="majorAscii"/>
                <w:sz w:val="22"/>
                <w:szCs w:val="22"/>
                <w:lang w:val="en-US"/>
              </w:rPr>
              <w:t xml:space="preserve"> “minimum standards” on websites.</w:t>
            </w:r>
          </w:p>
        </w:tc>
      </w:tr>
      <w:tr w:rsidRPr="000F4C13" w:rsidR="00F600B5" w:rsidTr="32B00831" w14:paraId="602D984E"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46E74454" w14:textId="77777777">
            <w:pPr>
              <w:rPr>
                <w:rFonts w:asciiTheme="majorHAnsi" w:hAnsiTheme="majorHAnsi" w:cstheme="majorHAnsi"/>
                <w:sz w:val="22"/>
                <w:szCs w:val="22"/>
              </w:rPr>
            </w:pPr>
            <w:r w:rsidRPr="000F4C13">
              <w:rPr>
                <w:rFonts w:asciiTheme="majorHAnsi" w:hAnsiTheme="majorHAnsi" w:cstheme="majorHAnsi"/>
                <w:sz w:val="22"/>
                <w:szCs w:val="22"/>
              </w:rPr>
              <w:t>2024 Code of Alabama Title 40 - Revenue and Taxation. Chapter 18 - Income Taxes. Article 12 - Catastrophe Savings Account</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00080769" w:rsidRDefault="00F600B5" w14:paraId="31352DDF" w14:textId="77777777">
            <w:pPr>
              <w:rPr>
                <w:rFonts w:asciiTheme="majorHAnsi" w:hAnsiTheme="majorHAnsi" w:cstheme="majorHAnsi"/>
                <w:sz w:val="22"/>
                <w:szCs w:val="22"/>
              </w:rPr>
            </w:pPr>
            <w:r w:rsidRPr="000F4C13">
              <w:rPr>
                <w:rFonts w:asciiTheme="majorHAnsi" w:hAnsiTheme="majorHAnsi" w:cstheme="majorHAnsi"/>
                <w:sz w:val="22"/>
                <w:szCs w:val="22"/>
              </w:rPr>
              <w:t>Allows Alabama residents to set up tax-deductible savings accounts to pay for costs related to a catastrophic storm or flood.</w:t>
            </w:r>
          </w:p>
        </w:tc>
      </w:tr>
      <w:tr w:rsidRPr="000F4C13" w:rsidR="00F600B5" w:rsidTr="32B00831" w14:paraId="390271DB"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5038CF70" w14:textId="77777777">
            <w:pPr>
              <w:rPr>
                <w:rFonts w:asciiTheme="majorHAnsi" w:hAnsiTheme="majorHAnsi" w:cstheme="majorHAnsi"/>
                <w:sz w:val="22"/>
                <w:szCs w:val="22"/>
              </w:rPr>
            </w:pPr>
            <w:r w:rsidRPr="000F4C13">
              <w:rPr>
                <w:rFonts w:asciiTheme="majorHAnsi" w:hAnsiTheme="majorHAnsi" w:cstheme="majorHAnsi"/>
                <w:sz w:val="22"/>
                <w:szCs w:val="22"/>
              </w:rPr>
              <w:t>Ala. Admin. Code r. 482-1-125-.07</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32B00831" w:rsidRDefault="00F600B5" w14:paraId="2E7AD321" w14:textId="77777777">
            <w:pPr>
              <w:rPr>
                <w:rFonts w:ascii="Calibri" w:hAnsi="Calibri" w:cs="Calibri" w:asciiTheme="majorAscii" w:hAnsiTheme="majorAscii" w:cstheme="majorAscii"/>
                <w:sz w:val="22"/>
                <w:szCs w:val="22"/>
                <w:lang w:val="en-US"/>
              </w:rPr>
            </w:pPr>
            <w:r w:rsidRPr="32B00831" w:rsidR="00F600B5">
              <w:rPr>
                <w:rFonts w:ascii="Calibri" w:hAnsi="Calibri" w:cs="Calibri" w:asciiTheme="majorAscii" w:hAnsiTheme="majorAscii" w:cstheme="majorAscii"/>
                <w:sz w:val="22"/>
                <w:szCs w:val="22"/>
                <w:lang w:val="en-US"/>
              </w:rPr>
              <w:t xml:space="preserve">Standards For Prompt, Fair </w:t>
            </w:r>
            <w:r w:rsidRPr="32B00831" w:rsidR="00F600B5">
              <w:rPr>
                <w:rFonts w:ascii="Calibri" w:hAnsi="Calibri" w:cs="Calibri" w:asciiTheme="majorAscii" w:hAnsiTheme="majorAscii" w:cstheme="majorAscii"/>
                <w:sz w:val="22"/>
                <w:szCs w:val="22"/>
                <w:lang w:val="en-US"/>
              </w:rPr>
              <w:t>And</w:t>
            </w:r>
            <w:r w:rsidRPr="32B00831" w:rsidR="00F600B5">
              <w:rPr>
                <w:rFonts w:ascii="Calibri" w:hAnsi="Calibri" w:cs="Calibri" w:asciiTheme="majorAscii" w:hAnsiTheme="majorAscii" w:cstheme="majorAscii"/>
                <w:sz w:val="22"/>
                <w:szCs w:val="22"/>
                <w:lang w:val="en-US"/>
              </w:rPr>
              <w:t xml:space="preserve"> Equitable Settlements Applicable </w:t>
            </w:r>
            <w:r w:rsidRPr="32B00831" w:rsidR="00F600B5">
              <w:rPr>
                <w:rFonts w:ascii="Calibri" w:hAnsi="Calibri" w:cs="Calibri" w:asciiTheme="majorAscii" w:hAnsiTheme="majorAscii" w:cstheme="majorAscii"/>
                <w:sz w:val="22"/>
                <w:szCs w:val="22"/>
                <w:lang w:val="en-US"/>
              </w:rPr>
              <w:t>To</w:t>
            </w:r>
            <w:r w:rsidRPr="32B00831" w:rsidR="00F600B5">
              <w:rPr>
                <w:rFonts w:ascii="Calibri" w:hAnsi="Calibri" w:cs="Calibri" w:asciiTheme="majorAscii" w:hAnsiTheme="majorAscii" w:cstheme="majorAscii"/>
                <w:sz w:val="22"/>
                <w:szCs w:val="22"/>
                <w:lang w:val="en-US"/>
              </w:rPr>
              <w:t xml:space="preserve"> All Insurers.</w:t>
            </w:r>
          </w:p>
        </w:tc>
      </w:tr>
      <w:tr w:rsidRPr="000F4C13" w:rsidR="00F600B5" w:rsidTr="32B00831" w14:paraId="46CB071B"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2DD6A25F" w14:textId="77777777">
            <w:pPr>
              <w:rPr>
                <w:rFonts w:asciiTheme="majorHAnsi" w:hAnsiTheme="majorHAnsi" w:cstheme="majorHAnsi"/>
                <w:sz w:val="22"/>
                <w:szCs w:val="22"/>
              </w:rPr>
            </w:pPr>
            <w:r w:rsidRPr="000F4C13">
              <w:rPr>
                <w:rFonts w:asciiTheme="majorHAnsi" w:hAnsiTheme="majorHAnsi" w:cstheme="majorHAnsi"/>
                <w:sz w:val="22"/>
                <w:szCs w:val="22"/>
              </w:rPr>
              <w:t>Building codes referencing ICC 500 standard</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32B00831" w:rsidRDefault="00F600B5" w14:paraId="1E1FD8C0" w14:textId="77777777">
            <w:pPr>
              <w:rPr>
                <w:rFonts w:ascii="Calibri" w:hAnsi="Calibri" w:cs="Calibri" w:asciiTheme="majorAscii" w:hAnsiTheme="majorAscii" w:cstheme="majorAscii"/>
                <w:sz w:val="22"/>
                <w:szCs w:val="22"/>
                <w:lang w:val="en-US"/>
              </w:rPr>
            </w:pPr>
            <w:r w:rsidRPr="32B00831" w:rsidR="00F600B5">
              <w:rPr>
                <w:rFonts w:ascii="Calibri" w:hAnsi="Calibri" w:cs="Calibri" w:asciiTheme="majorAscii" w:hAnsiTheme="majorAscii" w:cstheme="majorAscii"/>
                <w:sz w:val="22"/>
                <w:szCs w:val="22"/>
                <w:lang w:val="en-US"/>
              </w:rPr>
              <w:t xml:space="preserve">Alabama has </w:t>
            </w:r>
            <w:r w:rsidRPr="32B00831" w:rsidR="00F600B5">
              <w:rPr>
                <w:rFonts w:ascii="Calibri" w:hAnsi="Calibri" w:cs="Calibri" w:asciiTheme="majorAscii" w:hAnsiTheme="majorAscii" w:cstheme="majorAscii"/>
                <w:sz w:val="22"/>
                <w:szCs w:val="22"/>
                <w:lang w:val="en-US"/>
              </w:rPr>
              <w:t>building</w:t>
            </w:r>
            <w:r w:rsidRPr="32B00831" w:rsidR="00F600B5">
              <w:rPr>
                <w:rFonts w:ascii="Calibri" w:hAnsi="Calibri" w:cs="Calibri" w:asciiTheme="majorAscii" w:hAnsiTheme="majorAscii" w:cstheme="majorAscii"/>
                <w:sz w:val="22"/>
                <w:szCs w:val="22"/>
                <w:lang w:val="en-US"/>
              </w:rPr>
              <w:t xml:space="preserve"> codes for storm safety, which reference the ICC 500 standard for storm shelter design and construction, which is also referenced by the IBC (non-mandatory local enforcement).</w:t>
            </w:r>
          </w:p>
        </w:tc>
      </w:tr>
      <w:tr w:rsidRPr="000F4C13" w:rsidR="00F600B5" w:rsidTr="32B00831" w14:paraId="1272BD05"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75DC69FA" w14:textId="77777777">
            <w:pPr>
              <w:rPr>
                <w:rFonts w:asciiTheme="majorHAnsi" w:hAnsiTheme="majorHAnsi" w:cstheme="majorHAnsi"/>
                <w:sz w:val="22"/>
                <w:szCs w:val="22"/>
              </w:rPr>
            </w:pPr>
            <w:r w:rsidRPr="000F4C13">
              <w:rPr>
                <w:rFonts w:asciiTheme="majorHAnsi" w:hAnsiTheme="majorHAnsi" w:cstheme="majorHAnsi"/>
                <w:sz w:val="22"/>
                <w:szCs w:val="22"/>
              </w:rPr>
              <w:t>2024 Code of Alabama Title 27 - Insurance. Chapter 31D. Section 27-31D-2</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00080769" w:rsidRDefault="00F600B5" w14:paraId="23DA8D7D" w14:textId="77777777">
            <w:pPr>
              <w:rPr>
                <w:rFonts w:asciiTheme="majorHAnsi" w:hAnsiTheme="majorHAnsi" w:cstheme="majorHAnsi"/>
                <w:sz w:val="22"/>
                <w:szCs w:val="22"/>
              </w:rPr>
            </w:pPr>
            <w:r w:rsidRPr="000F4C13">
              <w:rPr>
                <w:rFonts w:asciiTheme="majorHAnsi" w:hAnsiTheme="majorHAnsi" w:cstheme="majorHAnsi"/>
                <w:sz w:val="22"/>
                <w:szCs w:val="22"/>
              </w:rPr>
              <w:t>Premium Discount or Insurance Rate Reduction - Fortified Existing Homes.</w:t>
            </w:r>
          </w:p>
        </w:tc>
      </w:tr>
      <w:tr w:rsidRPr="000F4C13" w:rsidR="00F600B5" w:rsidTr="32B00831" w14:paraId="6BBD3436"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56CA1CAA" w14:textId="77777777">
            <w:pPr>
              <w:rPr>
                <w:rFonts w:asciiTheme="majorHAnsi" w:hAnsiTheme="majorHAnsi" w:cstheme="majorHAnsi"/>
                <w:sz w:val="22"/>
                <w:szCs w:val="22"/>
              </w:rPr>
            </w:pPr>
            <w:r w:rsidRPr="000F4C13">
              <w:rPr>
                <w:rFonts w:asciiTheme="majorHAnsi" w:hAnsiTheme="majorHAnsi" w:cstheme="majorHAnsi"/>
                <w:sz w:val="22"/>
                <w:szCs w:val="22"/>
              </w:rPr>
              <w:t>SB 210 (Property Insurance Clarity Act) (2012)</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32B00831" w:rsidRDefault="00F600B5" w14:paraId="22BA9A46" w14:textId="77777777">
            <w:pPr>
              <w:rPr>
                <w:rFonts w:ascii="Calibri" w:hAnsi="Calibri" w:cs="Calibri" w:asciiTheme="majorAscii" w:hAnsiTheme="majorAscii" w:cstheme="majorAscii"/>
                <w:sz w:val="22"/>
                <w:szCs w:val="22"/>
                <w:lang w:val="en-US"/>
              </w:rPr>
            </w:pPr>
            <w:r w:rsidRPr="32B00831" w:rsidR="00F600B5">
              <w:rPr>
                <w:rFonts w:ascii="Calibri" w:hAnsi="Calibri" w:cs="Calibri" w:asciiTheme="majorAscii" w:hAnsiTheme="majorAscii" w:cstheme="majorAscii"/>
                <w:sz w:val="22"/>
                <w:szCs w:val="22"/>
                <w:lang w:val="en-US"/>
              </w:rPr>
              <w:t xml:space="preserve">Requires the Insurance Department to gather </w:t>
            </w:r>
            <w:r w:rsidRPr="32B00831" w:rsidR="00F600B5">
              <w:rPr>
                <w:rFonts w:ascii="Calibri" w:hAnsi="Calibri" w:cs="Calibri" w:asciiTheme="majorAscii" w:hAnsiTheme="majorAscii" w:cstheme="majorAscii"/>
                <w:sz w:val="22"/>
                <w:szCs w:val="22"/>
                <w:lang w:val="en-US"/>
              </w:rPr>
              <w:t>homeowners</w:t>
            </w:r>
            <w:r w:rsidRPr="32B00831" w:rsidR="00F600B5">
              <w:rPr>
                <w:rFonts w:ascii="Calibri" w:hAnsi="Calibri" w:cs="Calibri" w:asciiTheme="majorAscii" w:hAnsiTheme="majorAscii" w:cstheme="majorAscii"/>
                <w:sz w:val="22"/>
                <w:szCs w:val="22"/>
                <w:lang w:val="en-US"/>
              </w:rPr>
              <w:t xml:space="preserve"> insurance policy and premium data from insurers by county and zip code, then publish the aggregated results online.</w:t>
            </w:r>
          </w:p>
        </w:tc>
      </w:tr>
      <w:tr w:rsidRPr="000F4C13" w:rsidR="00F600B5" w:rsidTr="32B00831" w14:paraId="533B68D7"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F600B5" w:rsidP="00080769" w:rsidRDefault="00F600B5" w14:paraId="5488F214" w14:textId="77777777">
            <w:pPr>
              <w:rPr>
                <w:rFonts w:asciiTheme="majorHAnsi" w:hAnsiTheme="majorHAnsi" w:cstheme="majorHAnsi"/>
                <w:sz w:val="22"/>
                <w:szCs w:val="22"/>
              </w:rPr>
            </w:pPr>
            <w:r w:rsidRPr="000F4C13">
              <w:rPr>
                <w:rFonts w:asciiTheme="majorHAnsi" w:hAnsiTheme="majorHAnsi" w:cstheme="majorHAnsi"/>
                <w:sz w:val="22"/>
                <w:szCs w:val="22"/>
              </w:rPr>
              <w:t>Catastrophe Savings Accounts Law (2012)</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F600B5" w:rsidP="00080769" w:rsidRDefault="00F600B5" w14:paraId="24BBC9DA" w14:textId="77777777">
            <w:pPr>
              <w:rPr>
                <w:rFonts w:asciiTheme="majorHAnsi" w:hAnsiTheme="majorHAnsi" w:cstheme="majorHAnsi"/>
                <w:sz w:val="22"/>
                <w:szCs w:val="22"/>
              </w:rPr>
            </w:pPr>
            <w:r w:rsidRPr="000F4C13">
              <w:rPr>
                <w:rFonts w:asciiTheme="majorHAnsi" w:hAnsiTheme="majorHAnsi" w:cstheme="majorHAnsi"/>
                <w:sz w:val="22"/>
                <w:szCs w:val="22"/>
              </w:rPr>
              <w:t>Allows Alabama residents to create a Catastrophe Savings Account (CSA) to pay for uninsured losses from natural disasters like hurricanes or floods.  </w:t>
            </w:r>
          </w:p>
        </w:tc>
      </w:tr>
    </w:tbl>
    <w:p w:rsidRPr="000F4C13" w:rsidR="009F5AEE" w:rsidP="009F5AEE" w:rsidRDefault="009F5AEE" w14:paraId="0E2FDD63" w14:textId="77777777">
      <w:pPr>
        <w:pStyle w:val="outlinep3bh4"/>
        <w:numPr>
          <w:ilvl w:val="0"/>
          <w:numId w:val="0"/>
        </w:numPr>
        <w:spacing w:before="0"/>
        <w:ind w:left="720"/>
        <w:outlineLvl w:val="9"/>
        <w:rPr>
          <w:rFonts w:asciiTheme="majorHAnsi" w:hAnsiTheme="majorHAnsi" w:cstheme="majorHAnsi"/>
          <w:b w:val="0"/>
          <w:bCs/>
        </w:rPr>
      </w:pPr>
    </w:p>
    <w:tbl>
      <w:tblPr>
        <w:tblStyle w:val="GridTable4"/>
        <w:tblW w:w="9535" w:type="dxa"/>
        <w:tblLook w:val="0420" w:firstRow="1" w:lastRow="0" w:firstColumn="0" w:lastColumn="0" w:noHBand="0" w:noVBand="1"/>
      </w:tblPr>
      <w:tblGrid>
        <w:gridCol w:w="2335"/>
        <w:gridCol w:w="7200"/>
      </w:tblGrid>
      <w:tr w:rsidRPr="000F4C13" w:rsidR="009B4F5D" w:rsidTr="32B00831" w14:paraId="0C6CE8BF"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535" w:type="dxa"/>
            <w:gridSpan w:val="2"/>
            <w:tcMar/>
            <w:hideMark/>
          </w:tcPr>
          <w:p w:rsidRPr="000F4C13" w:rsidR="009B4F5D" w:rsidP="0057675C" w:rsidRDefault="009B4F5D" w14:paraId="391C4417" w14:textId="77777777">
            <w:pPr>
              <w:jc w:val="center"/>
              <w:rPr>
                <w:rFonts w:eastAsia="Calibri" w:asciiTheme="majorHAnsi" w:hAnsiTheme="majorHAnsi" w:cstheme="majorHAnsi"/>
              </w:rPr>
            </w:pPr>
            <w:r w:rsidRPr="000F4C13">
              <w:rPr>
                <w:rFonts w:asciiTheme="majorHAnsi" w:hAnsiTheme="majorHAnsi" w:cstheme="majorHAnsi"/>
              </w:rPr>
              <w:t>California</w:t>
            </w:r>
          </w:p>
        </w:tc>
      </w:tr>
      <w:tr w:rsidRPr="000F4C13" w:rsidR="009B4F5D" w:rsidTr="32B00831" w14:paraId="355D3D1D"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shd w:val="clear" w:color="auto" w:fill="B8CCE4" w:themeFill="accent1" w:themeFillTint="66"/>
            <w:tcMar/>
            <w:hideMark/>
          </w:tcPr>
          <w:p w:rsidRPr="000F4C13" w:rsidR="009B4F5D" w:rsidP="0057675C" w:rsidRDefault="009B4F5D" w14:paraId="49299851" w14:textId="77777777">
            <w:pPr>
              <w:rPr>
                <w:rFonts w:asciiTheme="majorHAnsi" w:hAnsiTheme="majorHAnsi" w:cstheme="majorHAnsi"/>
                <w:b/>
                <w:bCs/>
                <w:sz w:val="22"/>
                <w:szCs w:val="22"/>
              </w:rPr>
            </w:pPr>
            <w:r w:rsidRPr="000F4C13">
              <w:rPr>
                <w:rFonts w:asciiTheme="majorHAnsi" w:hAnsiTheme="majorHAnsi" w:cstheme="majorHAnsi"/>
                <w:b/>
                <w:bCs/>
                <w:sz w:val="22"/>
                <w:szCs w:val="22"/>
              </w:rPr>
              <w:t>Regulation/Legislation</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shd w:val="clear" w:color="auto" w:fill="B8CCE4" w:themeFill="accent1" w:themeFillTint="66"/>
            <w:tcMar/>
            <w:hideMark/>
          </w:tcPr>
          <w:p w:rsidRPr="000F4C13" w:rsidR="009B4F5D" w:rsidP="0057675C" w:rsidRDefault="009B4F5D" w14:paraId="5BC5265A"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Provisions</w:t>
            </w:r>
          </w:p>
        </w:tc>
      </w:tr>
      <w:tr w:rsidRPr="000F4C13" w:rsidR="009B4F5D" w:rsidTr="32B00831" w14:paraId="683BBCC8"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54FE4306" w14:textId="77777777">
            <w:pPr>
              <w:rPr>
                <w:rFonts w:asciiTheme="majorHAnsi" w:hAnsiTheme="majorHAnsi" w:cstheme="majorHAnsi"/>
                <w:sz w:val="22"/>
                <w:szCs w:val="22"/>
              </w:rPr>
            </w:pPr>
            <w:r w:rsidRPr="000F4C13">
              <w:rPr>
                <w:rFonts w:asciiTheme="majorHAnsi" w:hAnsiTheme="majorHAnsi" w:cstheme="majorHAnsi"/>
                <w:sz w:val="22"/>
                <w:szCs w:val="22"/>
              </w:rPr>
              <w:t>AB 888 (Insurance Code, section 2033)</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395E0D94" w14:textId="77777777">
            <w:pPr>
              <w:rPr>
                <w:rFonts w:asciiTheme="majorHAnsi" w:hAnsiTheme="majorHAnsi" w:cstheme="majorHAnsi"/>
                <w:sz w:val="22"/>
                <w:szCs w:val="22"/>
              </w:rPr>
            </w:pPr>
            <w:r w:rsidRPr="000F4C13">
              <w:rPr>
                <w:rFonts w:asciiTheme="majorHAnsi" w:hAnsiTheme="majorHAnsi" w:cstheme="majorHAnsi"/>
                <w:sz w:val="22"/>
                <w:szCs w:val="22"/>
              </w:rPr>
              <w:t xml:space="preserve">California Safe Homes Grant Program. Establishes a statewide wildfire home hardening and mitigation grant program. </w:t>
            </w:r>
          </w:p>
        </w:tc>
      </w:tr>
      <w:tr w:rsidRPr="000F4C13" w:rsidR="009B4F5D" w:rsidTr="32B00831" w14:paraId="695E1C49"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56C63293" w14:textId="77777777">
            <w:pPr>
              <w:rPr>
                <w:rFonts w:asciiTheme="majorHAnsi" w:hAnsiTheme="majorHAnsi" w:cstheme="majorHAnsi"/>
                <w:sz w:val="22"/>
                <w:szCs w:val="22"/>
              </w:rPr>
            </w:pPr>
            <w:r w:rsidRPr="000F4C13">
              <w:rPr>
                <w:rFonts w:asciiTheme="majorHAnsi" w:hAnsiTheme="majorHAnsi" w:cstheme="majorHAnsi"/>
                <w:sz w:val="22"/>
                <w:szCs w:val="22"/>
              </w:rPr>
              <w:t>SB 429 (Insurance Code, section 970)</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0C8F1D27"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Wildfire Safety and Risk Mitigation Program. Funds development of a public wildfire catastrophe model and research center</w:t>
            </w:r>
            <w:r w:rsidRPr="32B00831" w:rsidR="009B4F5D">
              <w:rPr>
                <w:rFonts w:ascii="Calibri" w:hAnsi="Calibri" w:cs="Calibri" w:asciiTheme="majorAscii" w:hAnsiTheme="majorAscii" w:cstheme="majorAscii"/>
                <w:sz w:val="22"/>
                <w:szCs w:val="22"/>
                <w:lang w:val="en-US"/>
              </w:rPr>
              <w:t>; supports</w:t>
            </w:r>
            <w:r w:rsidRPr="32B00831" w:rsidR="009B4F5D">
              <w:rPr>
                <w:rFonts w:ascii="Calibri" w:hAnsi="Calibri" w:cs="Calibri" w:asciiTheme="majorAscii" w:hAnsiTheme="majorAscii" w:cstheme="majorAscii"/>
                <w:sz w:val="22"/>
                <w:szCs w:val="22"/>
                <w:lang w:val="en-US"/>
              </w:rPr>
              <w:t xml:space="preserve"> alignment of mitigation efforts across </w:t>
            </w:r>
            <w:r w:rsidRPr="32B00831" w:rsidR="009B4F5D">
              <w:rPr>
                <w:rFonts w:ascii="Calibri" w:hAnsi="Calibri" w:cs="Calibri" w:asciiTheme="majorAscii" w:hAnsiTheme="majorAscii" w:cstheme="majorAscii"/>
                <w:sz w:val="22"/>
                <w:szCs w:val="22"/>
                <w:lang w:val="en-US"/>
              </w:rPr>
              <w:t>jurisdictions</w:t>
            </w:r>
            <w:r w:rsidRPr="32B00831" w:rsidR="009B4F5D">
              <w:rPr>
                <w:rFonts w:ascii="Calibri" w:hAnsi="Calibri" w:cs="Calibri" w:asciiTheme="majorAscii" w:hAnsiTheme="majorAscii" w:cstheme="majorAscii"/>
                <w:sz w:val="22"/>
                <w:szCs w:val="22"/>
                <w:lang w:val="en-US"/>
              </w:rPr>
              <w:t>.</w:t>
            </w:r>
          </w:p>
        </w:tc>
      </w:tr>
      <w:tr w:rsidRPr="000F4C13" w:rsidR="009B4F5D" w:rsidTr="32B00831" w14:paraId="758B7F81"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5A70026C" w14:textId="77777777">
            <w:pPr>
              <w:rPr>
                <w:rFonts w:asciiTheme="majorHAnsi" w:hAnsiTheme="majorHAnsi" w:cstheme="majorHAnsi"/>
                <w:sz w:val="22"/>
                <w:szCs w:val="22"/>
              </w:rPr>
            </w:pPr>
            <w:r w:rsidRPr="000F4C13">
              <w:rPr>
                <w:rFonts w:asciiTheme="majorHAnsi" w:hAnsiTheme="majorHAnsi" w:cstheme="majorHAnsi"/>
                <w:sz w:val="22"/>
                <w:szCs w:val="22"/>
              </w:rPr>
              <w:t>SB 495 (Insurance Code, Article 10.85)</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1619C446" w14:textId="77777777">
            <w:pPr>
              <w:rPr>
                <w:rFonts w:asciiTheme="majorHAnsi" w:hAnsiTheme="majorHAnsi" w:cstheme="majorHAnsi"/>
                <w:sz w:val="22"/>
                <w:szCs w:val="22"/>
              </w:rPr>
            </w:pPr>
            <w:r w:rsidRPr="000F4C13">
              <w:rPr>
                <w:rFonts w:asciiTheme="majorHAnsi" w:hAnsiTheme="majorHAnsi" w:cstheme="majorHAnsi"/>
                <w:sz w:val="22"/>
                <w:szCs w:val="22"/>
              </w:rPr>
              <w:t>Reinsurance Data Reporting. Requires insurers above a premium threshold to annually report reinsurance placement data and use of catastrophe models to improve regulatory understanding of reinsurance and risk management practices.</w:t>
            </w:r>
          </w:p>
        </w:tc>
      </w:tr>
      <w:tr w:rsidRPr="000F4C13" w:rsidR="009B4F5D" w:rsidTr="32B00831" w14:paraId="26C98BFC"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03A75C0C"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SB 824 (Insurance Code, section 675.1</w:t>
            </w:r>
            <w:r w:rsidRPr="32B00831" w:rsidR="009B4F5D">
              <w:rPr>
                <w:rFonts w:ascii="Calibri" w:hAnsi="Calibri" w:cs="Calibri" w:asciiTheme="majorAscii" w:hAnsiTheme="majorAscii" w:cstheme="majorAscii"/>
                <w:sz w:val="22"/>
                <w:szCs w:val="22"/>
                <w:lang w:val="en-US"/>
              </w:rPr>
              <w:t>.)</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4682E64A" w14:textId="77777777">
            <w:pPr>
              <w:rPr>
                <w:rFonts w:asciiTheme="majorHAnsi" w:hAnsiTheme="majorHAnsi" w:cstheme="majorHAnsi"/>
                <w:sz w:val="22"/>
                <w:szCs w:val="22"/>
              </w:rPr>
            </w:pPr>
            <w:r w:rsidRPr="000F4C13">
              <w:rPr>
                <w:rFonts w:asciiTheme="majorHAnsi" w:hAnsiTheme="majorHAnsi" w:cstheme="majorHAnsi"/>
                <w:sz w:val="22"/>
                <w:szCs w:val="22"/>
              </w:rPr>
              <w:t>Wildfire Insurance Moratoriums. Prohibits insurers from canceling or non-renewing residential policies for one year after a declared wildfire emergency in affected areas.</w:t>
            </w:r>
          </w:p>
        </w:tc>
      </w:tr>
      <w:tr w:rsidRPr="000F4C13" w:rsidR="009B4F5D" w:rsidTr="32B00831" w14:paraId="695BB11A"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1D0C19FE" w14:textId="77777777">
            <w:pPr>
              <w:rPr>
                <w:rFonts w:asciiTheme="majorHAnsi" w:hAnsiTheme="majorHAnsi" w:cstheme="majorHAnsi"/>
                <w:sz w:val="22"/>
                <w:szCs w:val="22"/>
              </w:rPr>
            </w:pPr>
            <w:r w:rsidRPr="000F4C13">
              <w:rPr>
                <w:rFonts w:asciiTheme="majorHAnsi" w:hAnsiTheme="majorHAnsi" w:cstheme="majorHAnsi"/>
                <w:sz w:val="22"/>
                <w:szCs w:val="22"/>
              </w:rPr>
              <w:t>SB 824 (Insurance Code, section 929)</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744DD7C6"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 xml:space="preserve">Wildfire Data Collection Requirements. Requires insurers to </w:t>
            </w:r>
            <w:r w:rsidRPr="32B00831" w:rsidR="009B4F5D">
              <w:rPr>
                <w:rFonts w:ascii="Calibri" w:hAnsi="Calibri" w:cs="Calibri" w:asciiTheme="majorAscii" w:hAnsiTheme="majorAscii" w:cstheme="majorAscii"/>
                <w:sz w:val="22"/>
                <w:szCs w:val="22"/>
                <w:lang w:val="en-US"/>
              </w:rPr>
              <w:t>submit</w:t>
            </w:r>
            <w:r w:rsidRPr="32B00831" w:rsidR="009B4F5D">
              <w:rPr>
                <w:rFonts w:ascii="Calibri" w:hAnsi="Calibri" w:cs="Calibri" w:asciiTheme="majorAscii" w:hAnsiTheme="majorAscii" w:cstheme="majorAscii"/>
                <w:sz w:val="22"/>
                <w:szCs w:val="22"/>
                <w:lang w:val="en-US"/>
              </w:rPr>
              <w:t xml:space="preserve"> biennial reports on wildfire risk exposure and residential property insurance data.</w:t>
            </w:r>
          </w:p>
        </w:tc>
      </w:tr>
      <w:tr w:rsidRPr="000F4C13" w:rsidR="009B4F5D" w:rsidTr="32B00831" w14:paraId="7632FD8A"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7DA61B1E" w14:textId="77777777">
            <w:pPr>
              <w:rPr>
                <w:rFonts w:asciiTheme="majorHAnsi" w:hAnsiTheme="majorHAnsi" w:cstheme="majorHAnsi"/>
                <w:sz w:val="22"/>
                <w:szCs w:val="22"/>
              </w:rPr>
            </w:pPr>
            <w:r w:rsidRPr="000F4C13">
              <w:rPr>
                <w:rFonts w:asciiTheme="majorHAnsi" w:hAnsiTheme="majorHAnsi" w:cstheme="majorHAnsi"/>
                <w:sz w:val="22"/>
                <w:szCs w:val="22"/>
              </w:rPr>
              <w:t>SB 190 (Government Code, 51189; Health and Safety Code, 18931.7 and 13159.5)</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686B4495"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Defensible</w:t>
            </w:r>
            <w:r w:rsidRPr="32B00831" w:rsidR="009B4F5D">
              <w:rPr>
                <w:rFonts w:ascii="Calibri" w:hAnsi="Calibri" w:cs="Calibri" w:asciiTheme="majorAscii" w:hAnsiTheme="majorAscii" w:cstheme="majorAscii"/>
                <w:sz w:val="22"/>
                <w:szCs w:val="22"/>
                <w:lang w:val="en-US"/>
              </w:rPr>
              <w:t xml:space="preserve"> Space Guidelines. Directs the State Fire Marshal to develop model defensible space standards for local enforcement to reduce wildfire risk around structures.</w:t>
            </w:r>
          </w:p>
        </w:tc>
      </w:tr>
      <w:tr w:rsidRPr="000F4C13" w:rsidR="009B4F5D" w:rsidTr="32B00831" w14:paraId="02D66FCF"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1D35892D" w14:textId="77777777">
            <w:pPr>
              <w:rPr>
                <w:rFonts w:asciiTheme="majorHAnsi" w:hAnsiTheme="majorHAnsi" w:cstheme="majorHAnsi"/>
                <w:sz w:val="22"/>
                <w:szCs w:val="22"/>
              </w:rPr>
            </w:pPr>
            <w:r w:rsidRPr="000F4C13">
              <w:rPr>
                <w:rFonts w:asciiTheme="majorHAnsi" w:hAnsiTheme="majorHAnsi" w:cstheme="majorHAnsi"/>
                <w:sz w:val="22"/>
                <w:szCs w:val="22"/>
              </w:rPr>
              <w:t>SB 11 (Insurance Code, section 10094.5)</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29DC4882" w14:textId="77777777">
            <w:pPr>
              <w:rPr>
                <w:rFonts w:asciiTheme="majorHAnsi" w:hAnsiTheme="majorHAnsi" w:cstheme="majorHAnsi"/>
                <w:sz w:val="22"/>
                <w:szCs w:val="22"/>
              </w:rPr>
            </w:pPr>
            <w:r w:rsidRPr="000F4C13">
              <w:rPr>
                <w:rFonts w:asciiTheme="majorHAnsi" w:hAnsiTheme="majorHAnsi" w:cstheme="majorHAnsi"/>
                <w:sz w:val="22"/>
                <w:szCs w:val="22"/>
              </w:rPr>
              <w:t>FAIR Plan Coverage Expansion. Allows the FAIR Plan to offer commercial coverage for agricultural structures.</w:t>
            </w:r>
          </w:p>
        </w:tc>
      </w:tr>
      <w:tr w:rsidRPr="000F4C13" w:rsidR="009B4F5D" w:rsidTr="32B00831" w14:paraId="0F529820"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778BFDBC" w14:textId="77777777">
            <w:pPr>
              <w:rPr>
                <w:rFonts w:asciiTheme="majorHAnsi" w:hAnsiTheme="majorHAnsi" w:cstheme="majorHAnsi"/>
                <w:sz w:val="22"/>
                <w:szCs w:val="22"/>
              </w:rPr>
            </w:pPr>
            <w:r w:rsidRPr="000F4C13">
              <w:rPr>
                <w:rFonts w:asciiTheme="majorHAnsi" w:hAnsiTheme="majorHAnsi" w:cstheme="majorHAnsi"/>
                <w:sz w:val="22"/>
                <w:szCs w:val="22"/>
              </w:rPr>
              <w:t>SB 332 (Civil Code, section 3333.8)/ SB 926 (Dodd, 2022)/ SB 310 (Civil Code, section 3333.8; Public Resources Code, sections 4002.4 and 4002.6)</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50921593" w14:textId="77777777">
            <w:pPr>
              <w:rPr>
                <w:rFonts w:asciiTheme="majorHAnsi" w:hAnsiTheme="majorHAnsi" w:cstheme="majorHAnsi"/>
                <w:sz w:val="22"/>
                <w:szCs w:val="22"/>
              </w:rPr>
            </w:pPr>
            <w:r w:rsidRPr="000F4C13">
              <w:rPr>
                <w:rFonts w:asciiTheme="majorHAnsi" w:hAnsiTheme="majorHAnsi" w:cstheme="majorHAnsi"/>
                <w:sz w:val="22"/>
                <w:szCs w:val="22"/>
              </w:rPr>
              <w:t>Prescribed Burning Liability and Coverage. Establishes liability protections for prescribed burns (absent gross negligence); creates and codifies a state-backed claims fund to address insurance barriers; expands cultural burning authorities and partnerships with Tribal entities.</w:t>
            </w:r>
          </w:p>
        </w:tc>
      </w:tr>
      <w:tr w:rsidRPr="000F4C13" w:rsidR="009B4F5D" w:rsidTr="32B00831" w14:paraId="1CAFB219"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6EA2B06E" w14:textId="77777777">
            <w:pPr>
              <w:rPr>
                <w:rFonts w:asciiTheme="majorHAnsi" w:hAnsiTheme="majorHAnsi" w:cstheme="majorHAnsi"/>
                <w:sz w:val="22"/>
                <w:szCs w:val="22"/>
              </w:rPr>
            </w:pPr>
            <w:r w:rsidRPr="000F4C13">
              <w:rPr>
                <w:rFonts w:asciiTheme="majorHAnsi" w:hAnsiTheme="majorHAnsi" w:cstheme="majorHAnsi"/>
                <w:sz w:val="22"/>
                <w:szCs w:val="22"/>
              </w:rPr>
              <w:t>SB 852 (Government Code, section 62300)</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72575DA0"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 xml:space="preserve">Climate Resilience Districts. Authorizes local governments to </w:t>
            </w:r>
            <w:r w:rsidRPr="32B00831" w:rsidR="009B4F5D">
              <w:rPr>
                <w:rFonts w:ascii="Calibri" w:hAnsi="Calibri" w:cs="Calibri" w:asciiTheme="majorAscii" w:hAnsiTheme="majorAscii" w:cstheme="majorAscii"/>
                <w:sz w:val="22"/>
                <w:szCs w:val="22"/>
                <w:lang w:val="en-US"/>
              </w:rPr>
              <w:t>establish</w:t>
            </w:r>
            <w:r w:rsidRPr="32B00831" w:rsidR="009B4F5D">
              <w:rPr>
                <w:rFonts w:ascii="Calibri" w:hAnsi="Calibri" w:cs="Calibri" w:asciiTheme="majorAscii" w:hAnsiTheme="majorAscii" w:cstheme="majorAscii"/>
                <w:sz w:val="22"/>
                <w:szCs w:val="22"/>
                <w:lang w:val="en-US"/>
              </w:rPr>
              <w:t xml:space="preserve"> districts to finance and implement climate resilience projects, including wildfire, flood, and heat mitigation.</w:t>
            </w:r>
          </w:p>
        </w:tc>
      </w:tr>
      <w:tr w:rsidRPr="000F4C13" w:rsidR="009B4F5D" w:rsidTr="32B00831" w14:paraId="1C28077F"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1B501D03" w14:textId="77777777">
            <w:pPr>
              <w:rPr>
                <w:rFonts w:asciiTheme="majorHAnsi" w:hAnsiTheme="majorHAnsi" w:cstheme="majorHAnsi"/>
                <w:sz w:val="22"/>
                <w:szCs w:val="22"/>
              </w:rPr>
            </w:pPr>
            <w:r w:rsidRPr="000F4C13">
              <w:rPr>
                <w:rFonts w:asciiTheme="majorHAnsi" w:hAnsiTheme="majorHAnsi" w:cstheme="majorHAnsi"/>
                <w:sz w:val="22"/>
                <w:szCs w:val="22"/>
              </w:rPr>
              <w:t>SB 30 (Insurance Code, section 12922.5)</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6B75AAD8" w14:textId="4D8B1A15">
            <w:pPr>
              <w:rPr>
                <w:rFonts w:asciiTheme="majorHAnsi" w:hAnsiTheme="majorHAnsi" w:cstheme="majorHAnsi"/>
                <w:sz w:val="22"/>
                <w:szCs w:val="22"/>
              </w:rPr>
            </w:pPr>
            <w:r w:rsidRPr="000F4C13">
              <w:rPr>
                <w:rFonts w:asciiTheme="majorHAnsi" w:hAnsiTheme="majorHAnsi" w:cstheme="majorHAnsi"/>
                <w:sz w:val="22"/>
                <w:szCs w:val="22"/>
              </w:rPr>
              <w:t xml:space="preserve">Climate Insurance Working Group. Requires </w:t>
            </w:r>
            <w:r w:rsidRPr="000F4C13" w:rsidR="00E34F77">
              <w:rPr>
                <w:rFonts w:asciiTheme="majorHAnsi" w:hAnsiTheme="majorHAnsi" w:cstheme="majorHAnsi"/>
                <w:sz w:val="22"/>
                <w:szCs w:val="22"/>
              </w:rPr>
              <w:t>the development of climate risk insurance solutions through a multi-stakeholder working group; promotes investment in natural infrastructure, mitigation incentives, and innovative risk-transfer</w:t>
            </w:r>
            <w:r w:rsidRPr="000F4C13">
              <w:rPr>
                <w:rFonts w:asciiTheme="majorHAnsi" w:hAnsiTheme="majorHAnsi" w:cstheme="majorHAnsi"/>
                <w:sz w:val="22"/>
                <w:szCs w:val="22"/>
              </w:rPr>
              <w:t xml:space="preserve"> mechanisms.</w:t>
            </w:r>
          </w:p>
        </w:tc>
      </w:tr>
      <w:tr w:rsidRPr="000F4C13" w:rsidR="009B4F5D" w:rsidTr="32B00831" w14:paraId="1DEDD358"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tcPr>
          <w:p w:rsidRPr="000F4C13" w:rsidR="009B4F5D" w:rsidP="0057675C" w:rsidRDefault="009B4F5D" w14:paraId="46B463AF" w14:textId="77777777">
            <w:pPr>
              <w:rPr>
                <w:rFonts w:asciiTheme="majorHAnsi" w:hAnsiTheme="majorHAnsi" w:cstheme="majorHAnsi"/>
                <w:sz w:val="22"/>
                <w:szCs w:val="22"/>
              </w:rPr>
            </w:pPr>
            <w:r w:rsidRPr="000F4C13">
              <w:rPr>
                <w:rFonts w:asciiTheme="majorHAnsi" w:hAnsiTheme="majorHAnsi" w:cstheme="majorHAnsi"/>
                <w:sz w:val="22"/>
                <w:szCs w:val="22"/>
              </w:rPr>
              <w:t xml:space="preserve">Insurance Code, section 10081 </w:t>
            </w:r>
          </w:p>
          <w:p w:rsidRPr="000F4C13" w:rsidR="009B4F5D" w:rsidP="0057675C" w:rsidRDefault="009B4F5D" w14:paraId="11611488" w14:textId="77777777">
            <w:pPr>
              <w:rPr>
                <w:rFonts w:asciiTheme="majorHAnsi" w:hAnsiTheme="majorHAnsi" w:cstheme="majorHAnsi"/>
                <w:sz w:val="22"/>
                <w:szCs w:val="22"/>
              </w:rPr>
            </w:pP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545D64B8" w14:textId="77777777">
            <w:pPr>
              <w:rPr>
                <w:rFonts w:asciiTheme="majorHAnsi" w:hAnsiTheme="majorHAnsi" w:cstheme="majorHAnsi"/>
                <w:sz w:val="22"/>
                <w:szCs w:val="22"/>
              </w:rPr>
            </w:pPr>
            <w:r w:rsidRPr="000F4C13">
              <w:rPr>
                <w:rFonts w:asciiTheme="majorHAnsi" w:hAnsiTheme="majorHAnsi" w:cstheme="majorHAnsi"/>
                <w:sz w:val="22"/>
                <w:szCs w:val="22"/>
              </w:rPr>
              <w:t>Earthquake Insurance Mandatory Offer. Insurers must offer earthquake insurance when issuing a homeowners policy, which can be underwritten directly by the insurer, an affiliate, or a nonaffiliated insurer.</w:t>
            </w:r>
          </w:p>
        </w:tc>
      </w:tr>
      <w:tr w:rsidRPr="000F4C13" w:rsidR="009B4F5D" w:rsidTr="32B00831" w14:paraId="7FC68172"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tcPr>
          <w:p w:rsidRPr="000F4C13" w:rsidR="009B4F5D" w:rsidP="0057675C" w:rsidRDefault="009B4F5D" w14:paraId="47D18B0B" w14:textId="77777777">
            <w:pPr>
              <w:rPr>
                <w:rFonts w:asciiTheme="majorHAnsi" w:hAnsiTheme="majorHAnsi" w:cstheme="majorHAnsi"/>
                <w:sz w:val="22"/>
                <w:szCs w:val="22"/>
              </w:rPr>
            </w:pPr>
            <w:r w:rsidRPr="000F4C13">
              <w:rPr>
                <w:rFonts w:asciiTheme="majorHAnsi" w:hAnsiTheme="majorHAnsi" w:cstheme="majorHAnsi"/>
                <w:sz w:val="22"/>
                <w:szCs w:val="22"/>
              </w:rPr>
              <w:t>Insurance Code, section 10088.5</w:t>
            </w:r>
          </w:p>
          <w:p w:rsidRPr="000F4C13" w:rsidR="009B4F5D" w:rsidP="0057675C" w:rsidRDefault="009B4F5D" w14:paraId="4CD0080D" w14:textId="77777777">
            <w:pPr>
              <w:rPr>
                <w:rFonts w:asciiTheme="majorHAnsi" w:hAnsiTheme="majorHAnsi" w:cstheme="majorHAnsi"/>
                <w:sz w:val="22"/>
                <w:szCs w:val="22"/>
              </w:rPr>
            </w:pP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63D1B981"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 xml:space="preserve">Fire Following Earthquake Coverage. Fire following earthquake is covered by the underlying </w:t>
            </w:r>
            <w:r w:rsidRPr="32B00831" w:rsidR="009B4F5D">
              <w:rPr>
                <w:rFonts w:ascii="Calibri" w:hAnsi="Calibri" w:cs="Calibri" w:asciiTheme="majorAscii" w:hAnsiTheme="majorAscii" w:cstheme="majorAscii"/>
                <w:sz w:val="22"/>
                <w:szCs w:val="22"/>
                <w:lang w:val="en-US"/>
              </w:rPr>
              <w:t>homeowners</w:t>
            </w:r>
            <w:r w:rsidRPr="32B00831" w:rsidR="009B4F5D">
              <w:rPr>
                <w:rFonts w:ascii="Calibri" w:hAnsi="Calibri" w:cs="Calibri" w:asciiTheme="majorAscii" w:hAnsiTheme="majorAscii" w:cstheme="majorAscii"/>
                <w:sz w:val="22"/>
                <w:szCs w:val="22"/>
                <w:lang w:val="en-US"/>
              </w:rPr>
              <w:t xml:space="preserve"> insurance policy.</w:t>
            </w:r>
          </w:p>
        </w:tc>
      </w:tr>
      <w:tr w:rsidRPr="000F4C13" w:rsidR="009B4F5D" w:rsidTr="32B00831" w14:paraId="0DA90E90"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7D60EEB7" w14:textId="77777777">
            <w:pPr>
              <w:rPr>
                <w:rFonts w:asciiTheme="majorHAnsi" w:hAnsiTheme="majorHAnsi" w:cstheme="majorHAnsi"/>
                <w:sz w:val="22"/>
                <w:szCs w:val="22"/>
              </w:rPr>
            </w:pPr>
            <w:r w:rsidRPr="000F4C13">
              <w:rPr>
                <w:rFonts w:asciiTheme="majorHAnsi" w:hAnsiTheme="majorHAnsi" w:cstheme="majorHAnsi"/>
                <w:sz w:val="22"/>
                <w:szCs w:val="22"/>
              </w:rPr>
              <w:t xml:space="preserve">Insurance Code, section 10089.396 </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0AB2EFE0" w14:textId="77777777">
            <w:pPr>
              <w:rPr>
                <w:rFonts w:asciiTheme="majorHAnsi" w:hAnsiTheme="majorHAnsi" w:cstheme="majorHAnsi"/>
                <w:sz w:val="22"/>
                <w:szCs w:val="22"/>
              </w:rPr>
            </w:pPr>
            <w:r w:rsidRPr="000F4C13">
              <w:rPr>
                <w:rFonts w:asciiTheme="majorHAnsi" w:hAnsiTheme="majorHAnsi" w:cstheme="majorHAnsi"/>
                <w:sz w:val="22"/>
                <w:szCs w:val="22"/>
              </w:rPr>
              <w:t xml:space="preserve">Grant funding and Increase Awareness of the Earthquake Brace and Bolt Program. Requires the California Residential Mitigation Program (CRMP) to provide outreach to low-income households to increase awareness of the Earthquake Brace and Bolt program in communities where the program is offered. </w:t>
            </w:r>
          </w:p>
        </w:tc>
      </w:tr>
      <w:tr w:rsidRPr="000F4C13" w:rsidR="009B4F5D" w:rsidTr="32B00831" w14:paraId="7CD429B6"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29A067E8" w14:textId="77777777">
            <w:pPr>
              <w:rPr>
                <w:rFonts w:asciiTheme="majorHAnsi" w:hAnsiTheme="majorHAnsi" w:cstheme="majorHAnsi"/>
                <w:sz w:val="22"/>
                <w:szCs w:val="22"/>
              </w:rPr>
            </w:pPr>
            <w:r w:rsidRPr="000F4C13">
              <w:rPr>
                <w:rFonts w:asciiTheme="majorHAnsi" w:hAnsiTheme="majorHAnsi" w:cstheme="majorHAnsi"/>
                <w:sz w:val="22"/>
                <w:szCs w:val="22"/>
              </w:rPr>
              <w:t>SB 272 (Public Resources Code, section 30985)</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09BEEE99" w14:textId="77777777">
            <w:pPr>
              <w:rPr>
                <w:rFonts w:asciiTheme="majorHAnsi" w:hAnsiTheme="majorHAnsi" w:cstheme="majorHAnsi"/>
                <w:sz w:val="22"/>
                <w:szCs w:val="22"/>
              </w:rPr>
            </w:pPr>
            <w:r w:rsidRPr="000F4C13">
              <w:rPr>
                <w:rFonts w:asciiTheme="majorHAnsi" w:hAnsiTheme="majorHAnsi" w:cstheme="majorHAnsi"/>
                <w:sz w:val="22"/>
                <w:szCs w:val="22"/>
              </w:rPr>
              <w:t>Sea Level Rise Planning and Adaptation. Requires local governments in the coastal zone to develop and implement sea-level rise adaptation plans.</w:t>
            </w:r>
          </w:p>
        </w:tc>
      </w:tr>
      <w:tr w:rsidRPr="000F4C13" w:rsidR="009B4F5D" w:rsidTr="32B00831" w14:paraId="62EF4953"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72512BEB" w14:textId="77777777">
            <w:pPr>
              <w:rPr>
                <w:rFonts w:asciiTheme="majorHAnsi" w:hAnsiTheme="majorHAnsi" w:cstheme="majorHAnsi"/>
                <w:sz w:val="22"/>
                <w:szCs w:val="22"/>
              </w:rPr>
            </w:pPr>
            <w:r w:rsidRPr="000F4C13">
              <w:rPr>
                <w:rFonts w:asciiTheme="majorHAnsi" w:hAnsiTheme="majorHAnsi" w:cstheme="majorHAnsi"/>
                <w:sz w:val="22"/>
                <w:szCs w:val="22"/>
              </w:rPr>
              <w:t>AB 2238 (Public Resources Code, section 71410)</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2F0EB981"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Statewide Extreme Heat Ranking System (</w:t>
            </w:r>
            <w:r w:rsidRPr="32B00831" w:rsidR="009B4F5D">
              <w:rPr>
                <w:rFonts w:ascii="Calibri" w:hAnsi="Calibri" w:cs="Calibri" w:asciiTheme="majorAscii" w:hAnsiTheme="majorAscii" w:cstheme="majorAscii"/>
                <w:sz w:val="22"/>
                <w:szCs w:val="22"/>
                <w:lang w:val="en-US"/>
              </w:rPr>
              <w:t>CalHeatScore</w:t>
            </w:r>
            <w:r w:rsidRPr="32B00831" w:rsidR="009B4F5D">
              <w:rPr>
                <w:rFonts w:ascii="Calibri" w:hAnsi="Calibri" w:cs="Calibri" w:asciiTheme="majorAscii" w:hAnsiTheme="majorAscii" w:cstheme="majorAscii"/>
                <w:sz w:val="22"/>
                <w:szCs w:val="22"/>
                <w:lang w:val="en-US"/>
              </w:rPr>
              <w:t xml:space="preserve">). Requires development of a statewide system to rank extreme heat events to improve risk communication and preparedness; mandates coordination across state agencies for dissemination and local adaptation; requires a report on insurance-related costs of extreme heat; resulted in the release of the </w:t>
            </w:r>
            <w:r w:rsidRPr="32B00831" w:rsidR="009B4F5D">
              <w:rPr>
                <w:rFonts w:ascii="Calibri" w:hAnsi="Calibri" w:cs="Calibri" w:asciiTheme="majorAscii" w:hAnsiTheme="majorAscii" w:cstheme="majorAscii"/>
                <w:sz w:val="22"/>
                <w:szCs w:val="22"/>
                <w:lang w:val="en-US"/>
              </w:rPr>
              <w:t>CalHeatScore</w:t>
            </w:r>
            <w:r w:rsidRPr="32B00831" w:rsidR="009B4F5D">
              <w:rPr>
                <w:rFonts w:ascii="Calibri" w:hAnsi="Calibri" w:cs="Calibri" w:asciiTheme="majorAscii" w:hAnsiTheme="majorAscii" w:cstheme="majorAscii"/>
                <w:sz w:val="22"/>
                <w:szCs w:val="22"/>
                <w:lang w:val="en-US"/>
              </w:rPr>
              <w:t xml:space="preserve"> tool in 2025.</w:t>
            </w:r>
          </w:p>
        </w:tc>
      </w:tr>
      <w:tr w:rsidRPr="000F4C13" w:rsidR="009B4F5D" w:rsidTr="32B00831" w14:paraId="5F2C86BE"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10DCEF97" w14:textId="77777777">
            <w:pPr>
              <w:rPr>
                <w:rFonts w:asciiTheme="majorHAnsi" w:hAnsiTheme="majorHAnsi" w:cstheme="majorHAnsi"/>
                <w:sz w:val="22"/>
                <w:szCs w:val="22"/>
              </w:rPr>
            </w:pPr>
            <w:r w:rsidRPr="000F4C13">
              <w:rPr>
                <w:rFonts w:asciiTheme="majorHAnsi" w:hAnsiTheme="majorHAnsi" w:cstheme="majorHAnsi"/>
                <w:sz w:val="22"/>
                <w:szCs w:val="22"/>
              </w:rPr>
              <w:t>Safer from Wildfires Regulation (10 CCR § 2644.9)</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06E01FB1"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 xml:space="preserve">Requires insurers to account for property- and community-level mitigation actions in underwriting and pricing when using wildfire risk models or risk-based </w:t>
            </w:r>
            <w:r w:rsidRPr="32B00831" w:rsidR="009B4F5D">
              <w:rPr>
                <w:rFonts w:ascii="Calibri" w:hAnsi="Calibri" w:cs="Calibri" w:asciiTheme="majorAscii" w:hAnsiTheme="majorAscii" w:cstheme="majorAscii"/>
                <w:sz w:val="22"/>
                <w:szCs w:val="22"/>
                <w:lang w:val="en-US"/>
              </w:rPr>
              <w:t>rating</w:t>
            </w:r>
            <w:r w:rsidRPr="32B00831" w:rsidR="009B4F5D">
              <w:rPr>
                <w:rFonts w:ascii="Calibri" w:hAnsi="Calibri" w:cs="Calibri" w:asciiTheme="majorAscii" w:hAnsiTheme="majorAscii" w:cstheme="majorAscii"/>
                <w:sz w:val="22"/>
                <w:szCs w:val="22"/>
                <w:lang w:val="en-US"/>
              </w:rPr>
              <w:t>.</w:t>
            </w:r>
          </w:p>
        </w:tc>
      </w:tr>
      <w:tr w:rsidRPr="000F4C13" w:rsidR="009B4F5D" w:rsidTr="32B00831" w14:paraId="5631CE74"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4A39FEC4" w14:textId="77777777">
            <w:pPr>
              <w:rPr>
                <w:rFonts w:asciiTheme="majorHAnsi" w:hAnsiTheme="majorHAnsi" w:cstheme="majorHAnsi"/>
                <w:sz w:val="22"/>
                <w:szCs w:val="22"/>
              </w:rPr>
            </w:pPr>
            <w:r w:rsidRPr="000F4C13">
              <w:rPr>
                <w:rFonts w:asciiTheme="majorHAnsi" w:hAnsiTheme="majorHAnsi" w:cstheme="majorHAnsi"/>
                <w:sz w:val="22"/>
                <w:szCs w:val="22"/>
              </w:rPr>
              <w:t>Complete Rate Application (10 CCR §§ 2648.1, 2648.2, 2648.4)</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D9380F" w14:paraId="2DEF7394" w14:textId="48C4CAB1">
            <w:pPr>
              <w:rPr>
                <w:rFonts w:ascii="Calibri" w:hAnsi="Calibri" w:cs="Calibri" w:asciiTheme="majorAscii" w:hAnsiTheme="majorAscii" w:cstheme="majorAscii"/>
                <w:sz w:val="22"/>
                <w:szCs w:val="22"/>
                <w:lang w:val="en-US"/>
              </w:rPr>
            </w:pPr>
            <w:r w:rsidRPr="32B00831" w:rsidR="00D9380F">
              <w:rPr>
                <w:rFonts w:ascii="Calibri" w:hAnsi="Calibri" w:cs="Calibri" w:asciiTheme="majorAscii" w:hAnsiTheme="majorAscii" w:cstheme="majorAscii"/>
                <w:sz w:val="22"/>
                <w:szCs w:val="22"/>
                <w:lang w:val="en-US"/>
              </w:rPr>
              <w:t>Standardizers</w:t>
            </w:r>
            <w:r w:rsidRPr="32B00831" w:rsidR="009B4F5D">
              <w:rPr>
                <w:rFonts w:ascii="Calibri" w:hAnsi="Calibri" w:cs="Calibri" w:asciiTheme="majorAscii" w:hAnsiTheme="majorAscii" w:cstheme="majorAscii"/>
                <w:sz w:val="22"/>
                <w:szCs w:val="22"/>
                <w:lang w:val="en-US"/>
              </w:rPr>
              <w:t xml:space="preserve"> </w:t>
            </w:r>
            <w:r w:rsidRPr="32B00831" w:rsidR="009B4F5D">
              <w:rPr>
                <w:rFonts w:ascii="Calibri" w:hAnsi="Calibri" w:cs="Calibri" w:asciiTheme="majorAscii" w:hAnsiTheme="majorAscii" w:cstheme="majorAscii"/>
                <w:sz w:val="22"/>
                <w:szCs w:val="22"/>
                <w:lang w:val="en-US"/>
              </w:rPr>
              <w:t>required</w:t>
            </w:r>
            <w:r w:rsidRPr="32B00831" w:rsidR="009B4F5D">
              <w:rPr>
                <w:rFonts w:ascii="Calibri" w:hAnsi="Calibri" w:cs="Calibri" w:asciiTheme="majorAscii" w:hAnsiTheme="majorAscii" w:cstheme="majorAscii"/>
                <w:sz w:val="22"/>
                <w:szCs w:val="22"/>
                <w:lang w:val="en-US"/>
              </w:rPr>
              <w:t xml:space="preserve"> </w:t>
            </w:r>
            <w:r w:rsidRPr="32B00831" w:rsidR="0057675C">
              <w:rPr>
                <w:rFonts w:ascii="Calibri" w:hAnsi="Calibri" w:cs="Calibri" w:asciiTheme="majorAscii" w:hAnsiTheme="majorAscii" w:cstheme="majorAscii"/>
                <w:sz w:val="22"/>
                <w:szCs w:val="22"/>
                <w:lang w:val="en-US"/>
              </w:rPr>
              <w:t>rate-filing components to improve transparency, reduce delays, and streamline the rate-review</w:t>
            </w:r>
            <w:r w:rsidRPr="32B00831" w:rsidR="009B4F5D">
              <w:rPr>
                <w:rFonts w:ascii="Calibri" w:hAnsi="Calibri" w:cs="Calibri" w:asciiTheme="majorAscii" w:hAnsiTheme="majorAscii" w:cstheme="majorAscii"/>
                <w:sz w:val="22"/>
                <w:szCs w:val="22"/>
                <w:lang w:val="en-US"/>
              </w:rPr>
              <w:t xml:space="preserve"> process.</w:t>
            </w:r>
          </w:p>
        </w:tc>
      </w:tr>
      <w:tr w:rsidRPr="000F4C13" w:rsidR="009B4F5D" w:rsidTr="32B00831" w14:paraId="75B7BC38"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4FCA223D" w14:textId="77777777">
            <w:pPr>
              <w:rPr>
                <w:rFonts w:asciiTheme="majorHAnsi" w:hAnsiTheme="majorHAnsi" w:cstheme="majorHAnsi"/>
                <w:sz w:val="22"/>
                <w:szCs w:val="22"/>
              </w:rPr>
            </w:pPr>
            <w:r w:rsidRPr="000F4C13">
              <w:rPr>
                <w:rFonts w:asciiTheme="majorHAnsi" w:hAnsiTheme="majorHAnsi" w:cstheme="majorHAnsi"/>
                <w:sz w:val="22"/>
                <w:szCs w:val="22"/>
              </w:rPr>
              <w:t>Catastrophe Modeling and Ratemaking (10 CCR §§ 2644.4, 2644.4.5, 2644.4.8, 2644.5, 2644.8, 2644.27)</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18905FCB" w14:textId="77777777">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 xml:space="preserve">Allows use of forward-looking catastrophe models in ratemaking, tied to commitments to write or </w:t>
            </w:r>
            <w:r w:rsidRPr="32B00831" w:rsidR="009B4F5D">
              <w:rPr>
                <w:rFonts w:ascii="Calibri" w:hAnsi="Calibri" w:cs="Calibri" w:asciiTheme="majorAscii" w:hAnsiTheme="majorAscii" w:cstheme="majorAscii"/>
                <w:sz w:val="22"/>
                <w:szCs w:val="22"/>
                <w:lang w:val="en-US"/>
              </w:rPr>
              <w:t>maintain</w:t>
            </w:r>
            <w:r w:rsidRPr="32B00831" w:rsidR="009B4F5D">
              <w:rPr>
                <w:rFonts w:ascii="Calibri" w:hAnsi="Calibri" w:cs="Calibri" w:asciiTheme="majorAscii" w:hAnsiTheme="majorAscii" w:cstheme="majorAscii"/>
                <w:sz w:val="22"/>
                <w:szCs w:val="22"/>
                <w:lang w:val="en-US"/>
              </w:rPr>
              <w:t xml:space="preserve"> coverage in higher-risk areas.</w:t>
            </w:r>
          </w:p>
        </w:tc>
      </w:tr>
      <w:tr w:rsidRPr="000F4C13" w:rsidR="009B4F5D" w:rsidTr="32B00831" w14:paraId="72EE84F1" w14:textId="77777777">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24BCA981" w14:textId="77777777">
            <w:pPr>
              <w:rPr>
                <w:rFonts w:asciiTheme="majorHAnsi" w:hAnsiTheme="majorHAnsi" w:cstheme="majorHAnsi"/>
                <w:sz w:val="22"/>
                <w:szCs w:val="22"/>
              </w:rPr>
            </w:pPr>
            <w:r w:rsidRPr="000F4C13">
              <w:rPr>
                <w:rFonts w:asciiTheme="majorHAnsi" w:hAnsiTheme="majorHAnsi" w:cstheme="majorHAnsi"/>
                <w:sz w:val="22"/>
                <w:szCs w:val="22"/>
              </w:rPr>
              <w:t>Pre-Application Required Information Determination (PRID) (10 CCR § 2648.5)</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74BF88C3" w14:textId="77777777">
            <w:pPr>
              <w:rPr>
                <w:rFonts w:asciiTheme="majorHAnsi" w:hAnsiTheme="majorHAnsi" w:cstheme="majorHAnsi"/>
                <w:sz w:val="22"/>
                <w:szCs w:val="22"/>
              </w:rPr>
            </w:pPr>
            <w:r w:rsidRPr="000F4C13">
              <w:rPr>
                <w:rFonts w:asciiTheme="majorHAnsi" w:hAnsiTheme="majorHAnsi" w:cstheme="majorHAnsi"/>
                <w:sz w:val="22"/>
                <w:szCs w:val="22"/>
              </w:rPr>
              <w:t xml:space="preserve">Establishes a pre-filing process designed to ensure transparency, accountability, and public participation in reviewing catastrophe models used for insurance rates. </w:t>
            </w:r>
          </w:p>
        </w:tc>
      </w:tr>
      <w:tr w:rsidRPr="000F4C13" w:rsidR="009B4F5D" w:rsidTr="32B00831" w14:paraId="6DF15CA5"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0057675C" w:rsidRDefault="009B4F5D" w14:paraId="436F052A" w14:textId="77777777">
            <w:pPr>
              <w:rPr>
                <w:rFonts w:asciiTheme="majorHAnsi" w:hAnsiTheme="majorHAnsi" w:cstheme="majorHAnsi"/>
                <w:sz w:val="22"/>
                <w:szCs w:val="22"/>
              </w:rPr>
            </w:pPr>
            <w:r w:rsidRPr="000F4C13">
              <w:rPr>
                <w:rFonts w:asciiTheme="majorHAnsi" w:hAnsiTheme="majorHAnsi" w:cstheme="majorHAnsi"/>
                <w:sz w:val="22"/>
                <w:szCs w:val="22"/>
              </w:rPr>
              <w:t>Net Cost of Reinsurance (NCOR) (10 CCR §§ 2342.7, 2644.16, 2644.25, 2644.27, 2644.25.1–2644.25.3)</w:t>
            </w:r>
          </w:p>
        </w:tc>
        <w:tc>
          <w:tcPr>
            <w:cnfStyle w:val="000000000000" w:firstRow="0" w:lastRow="0" w:firstColumn="0" w:lastColumn="0" w:oddVBand="0" w:evenVBand="0" w:oddHBand="0" w:evenHBand="0" w:firstRowFirstColumn="0" w:firstRowLastColumn="0" w:lastRowFirstColumn="0" w:lastRowLastColumn="0"/>
            <w:tcW w:w="72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0F4C13" w:rsidR="009B4F5D" w:rsidP="32B00831" w:rsidRDefault="009B4F5D" w14:paraId="15260097" w14:textId="40A0B40E">
            <w:pPr>
              <w:rPr>
                <w:rFonts w:ascii="Calibri" w:hAnsi="Calibri" w:cs="Calibri" w:asciiTheme="majorAscii" w:hAnsiTheme="majorAscii" w:cstheme="majorAscii"/>
                <w:sz w:val="22"/>
                <w:szCs w:val="22"/>
                <w:lang w:val="en-US"/>
              </w:rPr>
            </w:pPr>
            <w:r w:rsidRPr="32B00831" w:rsidR="009B4F5D">
              <w:rPr>
                <w:rFonts w:ascii="Calibri" w:hAnsi="Calibri" w:cs="Calibri" w:asciiTheme="majorAscii" w:hAnsiTheme="majorAscii" w:cstheme="majorAscii"/>
                <w:sz w:val="22"/>
                <w:szCs w:val="22"/>
                <w:lang w:val="en-US"/>
              </w:rPr>
              <w:t xml:space="preserve">Allows insurers to reflect reinsurance costs in rates, linked to commitments to expand or </w:t>
            </w:r>
            <w:r w:rsidRPr="32B00831" w:rsidR="009B4F5D">
              <w:rPr>
                <w:rFonts w:ascii="Calibri" w:hAnsi="Calibri" w:cs="Calibri" w:asciiTheme="majorAscii" w:hAnsiTheme="majorAscii" w:cstheme="majorAscii"/>
                <w:sz w:val="22"/>
                <w:szCs w:val="22"/>
                <w:lang w:val="en-US"/>
              </w:rPr>
              <w:t>maintain</w:t>
            </w:r>
            <w:r w:rsidRPr="32B00831" w:rsidR="009B4F5D">
              <w:rPr>
                <w:rFonts w:ascii="Calibri" w:hAnsi="Calibri" w:cs="Calibri" w:asciiTheme="majorAscii" w:hAnsiTheme="majorAscii" w:cstheme="majorAscii"/>
                <w:sz w:val="22"/>
                <w:szCs w:val="22"/>
                <w:lang w:val="en-US"/>
              </w:rPr>
              <w:t xml:space="preserve"> coverage </w:t>
            </w:r>
            <w:r w:rsidRPr="32B00831" w:rsidR="009B4F5D">
              <w:rPr>
                <w:rFonts w:ascii="Calibri" w:hAnsi="Calibri" w:cs="Calibri" w:asciiTheme="majorAscii" w:hAnsiTheme="majorAscii" w:cstheme="majorAscii"/>
                <w:sz w:val="22"/>
                <w:szCs w:val="22"/>
                <w:lang w:val="en-US"/>
              </w:rPr>
              <w:t>in</w:t>
            </w:r>
            <w:r w:rsidRPr="32B00831" w:rsidR="009B4F5D">
              <w:rPr>
                <w:rFonts w:ascii="Calibri" w:hAnsi="Calibri" w:cs="Calibri" w:asciiTheme="majorAscii" w:hAnsiTheme="majorAscii" w:cstheme="majorAscii"/>
                <w:sz w:val="22"/>
                <w:szCs w:val="22"/>
                <w:lang w:val="en-US"/>
              </w:rPr>
              <w:t xml:space="preserve"> </w:t>
            </w:r>
            <w:r w:rsidRPr="32B00831" w:rsidR="00D9380F">
              <w:rPr>
                <w:rFonts w:ascii="Calibri" w:hAnsi="Calibri" w:cs="Calibri" w:asciiTheme="majorAscii" w:hAnsiTheme="majorAscii" w:cstheme="majorAscii"/>
                <w:sz w:val="22"/>
                <w:szCs w:val="22"/>
                <w:lang w:val="en-US"/>
              </w:rPr>
              <w:t>higher risk</w:t>
            </w:r>
            <w:r w:rsidRPr="32B00831" w:rsidR="009B4F5D">
              <w:rPr>
                <w:rFonts w:ascii="Calibri" w:hAnsi="Calibri" w:cs="Calibri" w:asciiTheme="majorAscii" w:hAnsiTheme="majorAscii" w:cstheme="majorAscii"/>
                <w:sz w:val="22"/>
                <w:szCs w:val="22"/>
                <w:lang w:val="en-US"/>
              </w:rPr>
              <w:t>.</w:t>
            </w:r>
          </w:p>
        </w:tc>
      </w:tr>
    </w:tbl>
    <w:p w:rsidRPr="000F4C13" w:rsidR="008D7659" w:rsidP="009F5AEE" w:rsidRDefault="008D7659" w14:paraId="0F88F851" w14:textId="77777777">
      <w:pPr>
        <w:pStyle w:val="outlinep3bh4"/>
        <w:numPr>
          <w:ilvl w:val="0"/>
          <w:numId w:val="0"/>
        </w:numPr>
        <w:spacing w:before="0"/>
        <w:ind w:left="720"/>
        <w:outlineLvl w:val="9"/>
        <w:rPr>
          <w:rFonts w:asciiTheme="majorHAnsi" w:hAnsiTheme="majorHAnsi" w:cstheme="majorHAnsi"/>
          <w:b w:val="0"/>
          <w:bCs/>
        </w:rPr>
      </w:pPr>
    </w:p>
    <w:tbl>
      <w:tblPr>
        <w:tblStyle w:val="GridTable4"/>
        <w:tblW w:w="9535" w:type="dxa"/>
        <w:tblLook w:val="0420" w:firstRow="1" w:lastRow="0" w:firstColumn="0" w:lastColumn="0" w:noHBand="0" w:noVBand="1"/>
      </w:tblPr>
      <w:tblGrid>
        <w:gridCol w:w="2335"/>
        <w:gridCol w:w="7200"/>
      </w:tblGrid>
      <w:tr w:rsidRPr="000F4C13" w:rsidR="00913755" w:rsidTr="32B00831" w14:paraId="5DB5A47F"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535" w:type="dxa"/>
            <w:gridSpan w:val="2"/>
            <w:tcMar/>
          </w:tcPr>
          <w:p w:rsidRPr="000F4C13" w:rsidR="00913755" w:rsidP="00080769" w:rsidRDefault="00913755" w14:paraId="32CF81DC" w14:textId="77777777">
            <w:pPr>
              <w:jc w:val="center"/>
              <w:rPr>
                <w:rFonts w:asciiTheme="majorHAnsi" w:hAnsiTheme="majorHAnsi" w:cstheme="majorHAnsi"/>
              </w:rPr>
            </w:pPr>
            <w:r w:rsidRPr="000F4C13">
              <w:rPr>
                <w:rFonts w:asciiTheme="majorHAnsi" w:hAnsiTheme="majorHAnsi" w:cstheme="majorHAnsi"/>
              </w:rPr>
              <w:t>Colorado</w:t>
            </w:r>
          </w:p>
        </w:tc>
      </w:tr>
      <w:tr w:rsidRPr="000F4C13" w:rsidR="00913755" w:rsidTr="32B00831" w14:paraId="062411A2"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shd w:val="clear" w:color="auto" w:fill="B8CCE4" w:themeFill="accent1" w:themeFillTint="66"/>
            <w:tcMar/>
          </w:tcPr>
          <w:p w:rsidRPr="000F4C13" w:rsidR="00913755" w:rsidP="00080769" w:rsidRDefault="00913755" w14:paraId="1C74723B" w14:textId="77777777">
            <w:pPr>
              <w:rPr>
                <w:rFonts w:asciiTheme="majorHAnsi" w:hAnsiTheme="majorHAnsi" w:cstheme="majorHAnsi"/>
                <w:b/>
                <w:bCs/>
                <w:sz w:val="22"/>
                <w:szCs w:val="22"/>
              </w:rPr>
            </w:pPr>
            <w:r w:rsidRPr="000F4C13">
              <w:rPr>
                <w:rFonts w:asciiTheme="majorHAnsi" w:hAnsiTheme="majorHAnsi" w:cstheme="majorHAnsi"/>
                <w:b/>
                <w:bCs/>
                <w:sz w:val="22"/>
                <w:szCs w:val="22"/>
              </w:rPr>
              <w:t>Regulation/Legislation</w:t>
            </w:r>
          </w:p>
        </w:tc>
        <w:tc>
          <w:tcPr>
            <w:cnfStyle w:val="000000000000" w:firstRow="0" w:lastRow="0" w:firstColumn="0" w:lastColumn="0" w:oddVBand="0" w:evenVBand="0" w:oddHBand="0" w:evenHBand="0" w:firstRowFirstColumn="0" w:firstRowLastColumn="0" w:lastRowFirstColumn="0" w:lastRowLastColumn="0"/>
            <w:tcW w:w="7200" w:type="dxa"/>
            <w:shd w:val="clear" w:color="auto" w:fill="B8CCE4" w:themeFill="accent1" w:themeFillTint="66"/>
            <w:tcMar/>
          </w:tcPr>
          <w:p w:rsidRPr="000F4C13" w:rsidR="00913755" w:rsidP="00080769" w:rsidRDefault="00913755" w14:paraId="3A4F0FF6"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Provisions</w:t>
            </w:r>
          </w:p>
        </w:tc>
      </w:tr>
      <w:tr w:rsidRPr="000F4C13" w:rsidR="00913755" w:rsidTr="32B00831" w14:paraId="41C3B421"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13755" w:rsidP="00080769" w:rsidRDefault="00913755" w14:paraId="30C52F59" w14:textId="77777777">
            <w:pPr>
              <w:rPr>
                <w:rFonts w:asciiTheme="majorHAnsi" w:hAnsiTheme="majorHAnsi" w:cstheme="majorHAnsi"/>
                <w:sz w:val="22"/>
                <w:szCs w:val="22"/>
              </w:rPr>
            </w:pPr>
            <w:r w:rsidRPr="000F4C13">
              <w:rPr>
                <w:rFonts w:asciiTheme="majorHAnsi" w:hAnsiTheme="majorHAnsi" w:cstheme="majorHAnsi"/>
                <w:sz w:val="22"/>
                <w:szCs w:val="22"/>
              </w:rPr>
              <w:t>Emergency Rule on ALE &amp; Rebuilding Timelines (Reg. 23-E-03) (2023)</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913755" w:rsidP="32B00831" w:rsidRDefault="00913755" w14:paraId="17B6255A" w14:textId="77777777">
            <w:pPr>
              <w:rPr>
                <w:rFonts w:ascii="Calibri" w:hAnsi="Calibri" w:cs="Calibri" w:asciiTheme="majorAscii" w:hAnsiTheme="majorAscii" w:cstheme="majorAscii"/>
                <w:lang w:val="en-US"/>
              </w:rPr>
            </w:pPr>
            <w:r w:rsidRPr="32B00831" w:rsidR="00913755">
              <w:rPr>
                <w:rFonts w:ascii="Calibri" w:hAnsi="Calibri" w:cs="Calibri" w:asciiTheme="majorAscii" w:hAnsiTheme="majorAscii" w:cstheme="majorAscii"/>
                <w:color w:val="000000" w:themeColor="text1" w:themeTint="FF" w:themeShade="FF"/>
                <w:sz w:val="22"/>
                <w:szCs w:val="22"/>
                <w:lang w:val="en-US"/>
              </w:rPr>
              <w:t>Colorado</w:t>
            </w:r>
            <w:r w:rsidRPr="32B00831" w:rsidR="00913755">
              <w:rPr>
                <w:rFonts w:ascii="Calibri" w:hAnsi="Calibri" w:cs="Calibri" w:asciiTheme="majorAscii" w:hAnsiTheme="majorAscii" w:cstheme="majorAscii"/>
                <w:color w:val="000000" w:themeColor="text1" w:themeTint="FF" w:themeShade="FF"/>
                <w:sz w:val="22"/>
                <w:szCs w:val="22"/>
                <w:lang w:val="en-US"/>
              </w:rPr>
              <w:t xml:space="preserve"> Department of Insurance requires insurers to waive ALE waiting periods, extend disaster deadlines, and pause claim time limits they cause, safeguarding policyholders </w:t>
            </w:r>
            <w:r w:rsidRPr="32B00831" w:rsidR="00913755">
              <w:rPr>
                <w:rFonts w:ascii="Calibri" w:hAnsi="Calibri" w:cs="Calibri" w:asciiTheme="majorAscii" w:hAnsiTheme="majorAscii" w:cstheme="majorAscii"/>
                <w:color w:val="000000" w:themeColor="text1" w:themeTint="FF" w:themeShade="FF"/>
                <w:sz w:val="22"/>
                <w:szCs w:val="22"/>
                <w:lang w:val="en-US"/>
              </w:rPr>
              <w:t>recovering from</w:t>
            </w:r>
            <w:r w:rsidRPr="32B00831" w:rsidR="00913755">
              <w:rPr>
                <w:rFonts w:ascii="Calibri" w:hAnsi="Calibri" w:cs="Calibri" w:asciiTheme="majorAscii" w:hAnsiTheme="majorAscii" w:cstheme="majorAscii"/>
                <w:color w:val="000000" w:themeColor="text1" w:themeTint="FF" w:themeShade="FF"/>
                <w:sz w:val="22"/>
                <w:szCs w:val="22"/>
                <w:lang w:val="en-US"/>
              </w:rPr>
              <w:t xml:space="preserve"> disasters like the Marshall Fire.</w:t>
            </w:r>
          </w:p>
        </w:tc>
      </w:tr>
      <w:tr w:rsidRPr="000F4C13" w:rsidR="00913755" w:rsidTr="32B00831" w14:paraId="1E9904C3"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913755" w:rsidP="00080769" w:rsidRDefault="00913755" w14:paraId="0BE225F1" w14:textId="77777777">
            <w:pPr>
              <w:rPr>
                <w:rFonts w:asciiTheme="majorHAnsi" w:hAnsiTheme="majorHAnsi" w:cstheme="majorHAnsi"/>
                <w:sz w:val="22"/>
                <w:szCs w:val="22"/>
              </w:rPr>
            </w:pPr>
            <w:r w:rsidRPr="000F4C13">
              <w:rPr>
                <w:rFonts w:asciiTheme="majorHAnsi" w:hAnsiTheme="majorHAnsi" w:cstheme="majorHAnsi"/>
                <w:sz w:val="22"/>
                <w:szCs w:val="22"/>
              </w:rPr>
              <w:t>Senate Bill SB23-166(2023)</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913755" w:rsidP="32B00831" w:rsidRDefault="00913755" w14:paraId="7DD63AC1" w14:textId="77777777">
            <w:pPr>
              <w:rPr>
                <w:rFonts w:ascii="Calibri" w:hAnsi="Calibri" w:cs="Calibri" w:asciiTheme="majorAscii" w:hAnsiTheme="majorAscii" w:cstheme="majorAscii"/>
                <w:lang w:val="en-US"/>
              </w:rPr>
            </w:pPr>
            <w:r w:rsidRPr="32B00831" w:rsidR="00913755">
              <w:rPr>
                <w:rFonts w:ascii="Calibri" w:hAnsi="Calibri" w:cs="Calibri" w:asciiTheme="majorAscii" w:hAnsiTheme="majorAscii" w:cstheme="majorAscii"/>
                <w:color w:val="000000" w:themeColor="text1" w:themeTint="FF" w:themeShade="FF"/>
                <w:sz w:val="22"/>
                <w:szCs w:val="22"/>
                <w:lang w:val="en-US"/>
              </w:rPr>
              <w:t xml:space="preserve">Establishes a Wildfire Resiliency Code Board to set statewide building codes for wildfire resilience in WUI areas, as </w:t>
            </w:r>
            <w:r w:rsidRPr="32B00831" w:rsidR="00913755">
              <w:rPr>
                <w:rFonts w:ascii="Calibri" w:hAnsi="Calibri" w:cs="Calibri" w:asciiTheme="majorAscii" w:hAnsiTheme="majorAscii" w:cstheme="majorAscii"/>
                <w:color w:val="000000" w:themeColor="text1" w:themeTint="FF" w:themeShade="FF"/>
                <w:sz w:val="22"/>
                <w:szCs w:val="22"/>
                <w:lang w:val="en-US"/>
              </w:rPr>
              <w:t>determined</w:t>
            </w:r>
            <w:r w:rsidRPr="32B00831" w:rsidR="00913755">
              <w:rPr>
                <w:rFonts w:ascii="Calibri" w:hAnsi="Calibri" w:cs="Calibri" w:asciiTheme="majorAscii" w:hAnsiTheme="majorAscii" w:cstheme="majorAscii"/>
                <w:color w:val="000000" w:themeColor="text1" w:themeTint="FF" w:themeShade="FF"/>
                <w:sz w:val="22"/>
                <w:szCs w:val="22"/>
                <w:lang w:val="en-US"/>
              </w:rPr>
              <w:t xml:space="preserve"> by the WRCB. The codes apply to new construction, additions, alterations, repairs, and defensible space in all WUI risk levels: low, moderate, high, and extreme.</w:t>
            </w:r>
          </w:p>
        </w:tc>
      </w:tr>
      <w:tr w:rsidRPr="000F4C13" w:rsidR="00913755" w:rsidTr="32B00831" w14:paraId="6885D682"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13755" w:rsidP="00080769" w:rsidRDefault="00913755" w14:paraId="6F58700C" w14:textId="77777777">
            <w:pPr>
              <w:rPr>
                <w:rFonts w:asciiTheme="majorHAnsi" w:hAnsiTheme="majorHAnsi" w:cstheme="majorHAnsi"/>
                <w:sz w:val="22"/>
                <w:szCs w:val="22"/>
              </w:rPr>
            </w:pPr>
            <w:r w:rsidRPr="000F4C13">
              <w:rPr>
                <w:rFonts w:asciiTheme="majorHAnsi" w:hAnsiTheme="majorHAnsi" w:cstheme="majorHAnsi"/>
                <w:sz w:val="22"/>
                <w:szCs w:val="22"/>
              </w:rPr>
              <w:t>Colorado Senate Bill (SB) 25-142 (2025)</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913755" w:rsidP="32B00831" w:rsidRDefault="00913755" w14:paraId="2ECF79F1" w14:textId="77777777">
            <w:pPr>
              <w:rPr>
                <w:rFonts w:ascii="Calibri" w:hAnsi="Calibri" w:cs="Calibri" w:asciiTheme="majorAscii" w:hAnsiTheme="majorAscii" w:cstheme="majorAscii"/>
                <w:lang w:val="en-US"/>
              </w:rPr>
            </w:pPr>
            <w:r w:rsidRPr="32B00831" w:rsidR="00913755">
              <w:rPr>
                <w:rFonts w:ascii="Calibri" w:hAnsi="Calibri" w:cs="Calibri" w:asciiTheme="majorAscii" w:hAnsiTheme="majorAscii" w:cstheme="majorAscii"/>
                <w:color w:val="000000" w:themeColor="text1" w:themeTint="FF" w:themeShade="FF"/>
                <w:sz w:val="22"/>
                <w:szCs w:val="22"/>
                <w:lang w:val="en-US"/>
              </w:rPr>
              <w:t xml:space="preserve">Defines the wildland-urban interface and extends local </w:t>
            </w:r>
            <w:r w:rsidRPr="32B00831" w:rsidR="00913755">
              <w:rPr>
                <w:rFonts w:ascii="Calibri" w:hAnsi="Calibri" w:cs="Calibri" w:asciiTheme="majorAscii" w:hAnsiTheme="majorAscii" w:cstheme="majorAscii"/>
                <w:color w:val="000000" w:themeColor="text1" w:themeTint="FF" w:themeShade="FF"/>
                <w:sz w:val="22"/>
                <w:szCs w:val="22"/>
                <w:lang w:val="en-US"/>
              </w:rPr>
              <w:t>governments’ deadline</w:t>
            </w:r>
            <w:r w:rsidRPr="32B00831" w:rsidR="00913755">
              <w:rPr>
                <w:rFonts w:ascii="Calibri" w:hAnsi="Calibri" w:cs="Calibri" w:asciiTheme="majorAscii" w:hAnsiTheme="majorAscii" w:cstheme="majorAscii"/>
                <w:color w:val="000000" w:themeColor="text1" w:themeTint="FF" w:themeShade="FF"/>
                <w:sz w:val="22"/>
                <w:szCs w:val="22"/>
                <w:lang w:val="en-US"/>
              </w:rPr>
              <w:t xml:space="preserve"> to adopt Wildfire Resiliency Code Board codes.</w:t>
            </w:r>
          </w:p>
        </w:tc>
      </w:tr>
      <w:tr w:rsidRPr="000F4C13" w:rsidR="00913755" w:rsidTr="32B00831" w14:paraId="44D97E6C"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913755" w:rsidP="00080769" w:rsidRDefault="00913755" w14:paraId="71832FC3" w14:textId="77777777">
            <w:pPr>
              <w:rPr>
                <w:rFonts w:asciiTheme="majorHAnsi" w:hAnsiTheme="majorHAnsi" w:cstheme="majorHAnsi"/>
                <w:sz w:val="22"/>
                <w:szCs w:val="22"/>
              </w:rPr>
            </w:pPr>
            <w:r w:rsidRPr="000F4C13">
              <w:rPr>
                <w:rFonts w:asciiTheme="majorHAnsi" w:hAnsiTheme="majorHAnsi" w:cstheme="majorHAnsi"/>
                <w:sz w:val="22"/>
                <w:szCs w:val="22"/>
              </w:rPr>
              <w:t>HB 23-1288 (2023)</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913755" w:rsidP="00080769" w:rsidRDefault="00913755" w14:paraId="50CC3351" w14:textId="77777777">
            <w:pPr>
              <w:rPr>
                <w:rFonts w:asciiTheme="majorHAnsi" w:hAnsiTheme="majorHAnsi" w:cstheme="majorHAnsi"/>
              </w:rPr>
            </w:pPr>
            <w:r w:rsidRPr="000F4C13">
              <w:rPr>
                <w:rFonts w:asciiTheme="majorHAnsi" w:hAnsiTheme="majorHAnsi" w:cstheme="majorHAnsi"/>
                <w:color w:val="000000"/>
                <w:sz w:val="22"/>
              </w:rPr>
              <w:t>Created the Colorado FAIR Plan Association, which acts as the insurer of last resort for all licensed property and casualty insurers in Colorado, including commercial providers.</w:t>
            </w:r>
          </w:p>
        </w:tc>
      </w:tr>
      <w:tr w:rsidRPr="000F4C13" w:rsidR="00913755" w:rsidTr="32B00831" w14:paraId="508D811D"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13755" w:rsidP="00080769" w:rsidRDefault="00913755" w14:paraId="66D3C076" w14:textId="77777777">
            <w:pPr>
              <w:rPr>
                <w:rFonts w:asciiTheme="majorHAnsi" w:hAnsiTheme="majorHAnsi" w:cstheme="majorHAnsi"/>
                <w:sz w:val="22"/>
                <w:szCs w:val="22"/>
              </w:rPr>
            </w:pPr>
            <w:r w:rsidRPr="000F4C13">
              <w:rPr>
                <w:rFonts w:asciiTheme="majorHAnsi" w:hAnsiTheme="majorHAnsi" w:cstheme="majorHAnsi"/>
                <w:sz w:val="22"/>
                <w:szCs w:val="22"/>
              </w:rPr>
              <w:t>HB24-1315 (2024)</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913755" w:rsidP="00080769" w:rsidRDefault="00913755" w14:paraId="648B56CA" w14:textId="77777777">
            <w:pPr>
              <w:rPr>
                <w:rFonts w:asciiTheme="majorHAnsi" w:hAnsiTheme="majorHAnsi" w:cstheme="majorHAnsi"/>
                <w:sz w:val="22"/>
                <w:szCs w:val="22"/>
              </w:rPr>
            </w:pPr>
            <w:r w:rsidRPr="000F4C13">
              <w:rPr>
                <w:rFonts w:asciiTheme="majorHAnsi" w:hAnsiTheme="majorHAnsi" w:cstheme="majorHAnsi"/>
                <w:sz w:val="22"/>
                <w:szCs w:val="22"/>
              </w:rPr>
              <w:t>Requires the Division to undertake a study on remediation standards for smoke, soot, and ash.</w:t>
            </w:r>
          </w:p>
        </w:tc>
      </w:tr>
      <w:tr w:rsidRPr="000F4C13" w:rsidR="00913755" w:rsidTr="32B00831" w14:paraId="0789A6D8"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913755" w:rsidP="00080769" w:rsidRDefault="00913755" w14:paraId="5F9F076E" w14:textId="77777777">
            <w:pPr>
              <w:rPr>
                <w:rFonts w:asciiTheme="majorHAnsi" w:hAnsiTheme="majorHAnsi" w:cstheme="majorHAnsi"/>
                <w:sz w:val="22"/>
                <w:szCs w:val="22"/>
              </w:rPr>
            </w:pPr>
            <w:r w:rsidRPr="000F4C13">
              <w:rPr>
                <w:rFonts w:asciiTheme="majorHAnsi" w:hAnsiTheme="majorHAnsi" w:cstheme="majorHAnsi"/>
                <w:sz w:val="22"/>
                <w:szCs w:val="22"/>
              </w:rPr>
              <w:t>HB24-1108 (2024)</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913755" w:rsidP="32B00831" w:rsidRDefault="00913755" w14:paraId="72ECF541" w14:textId="77777777">
            <w:pPr>
              <w:rPr>
                <w:rFonts w:ascii="Calibri" w:hAnsi="Calibri" w:cs="Calibri" w:asciiTheme="majorAscii" w:hAnsiTheme="majorAscii" w:cstheme="majorAscii"/>
                <w:lang w:val="en-US"/>
              </w:rPr>
            </w:pPr>
            <w:r w:rsidRPr="32B00831" w:rsidR="00913755">
              <w:rPr>
                <w:rFonts w:ascii="Calibri" w:hAnsi="Calibri" w:cs="Calibri" w:asciiTheme="majorAscii" w:hAnsiTheme="majorAscii" w:cstheme="majorAscii"/>
                <w:sz w:val="22"/>
                <w:szCs w:val="22"/>
                <w:lang w:val="en-US"/>
              </w:rPr>
              <w:t xml:space="preserve">It requires the Colorado Insurance Commissioner to study property and casualty insurance for common-interest communities and lodging facilities, focusing on </w:t>
            </w:r>
            <w:r w:rsidRPr="32B00831" w:rsidR="00913755">
              <w:rPr>
                <w:rFonts w:ascii="Calibri" w:hAnsi="Calibri" w:cs="Calibri" w:asciiTheme="majorAscii" w:hAnsiTheme="majorAscii" w:cstheme="majorAscii"/>
                <w:sz w:val="22"/>
                <w:szCs w:val="22"/>
                <w:lang w:val="en-US"/>
              </w:rPr>
              <w:t>coverage</w:t>
            </w:r>
            <w:r w:rsidRPr="32B00831" w:rsidR="00913755">
              <w:rPr>
                <w:rFonts w:ascii="Calibri" w:hAnsi="Calibri" w:cs="Calibri" w:asciiTheme="majorAscii" w:hAnsiTheme="majorAscii" w:cstheme="majorAscii"/>
                <w:sz w:val="22"/>
                <w:szCs w:val="22"/>
                <w:lang w:val="en-US"/>
              </w:rPr>
              <w:t xml:space="preserve"> availability, affordability, and recommendations for long-term sustainability.</w:t>
            </w:r>
          </w:p>
        </w:tc>
      </w:tr>
      <w:tr w:rsidRPr="000F4C13" w:rsidR="00913755" w:rsidTr="32B00831" w14:paraId="7A1666AF"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13755" w:rsidP="00080769" w:rsidRDefault="00913755" w14:paraId="46D2530F" w14:textId="77777777">
            <w:pPr>
              <w:rPr>
                <w:rFonts w:asciiTheme="majorHAnsi" w:hAnsiTheme="majorHAnsi" w:cstheme="majorHAnsi"/>
                <w:sz w:val="22"/>
                <w:szCs w:val="22"/>
              </w:rPr>
            </w:pPr>
            <w:r w:rsidRPr="000F4C13">
              <w:rPr>
                <w:rFonts w:asciiTheme="majorHAnsi" w:hAnsiTheme="majorHAnsi" w:cstheme="majorHAnsi"/>
                <w:sz w:val="22"/>
                <w:szCs w:val="22"/>
              </w:rPr>
              <w:t>HB 25-1182 (2025)</w:t>
            </w:r>
          </w:p>
        </w:tc>
        <w:tc>
          <w:tcPr>
            <w:cnfStyle w:val="000000000000" w:firstRow="0" w:lastRow="0" w:firstColumn="0" w:lastColumn="0" w:oddVBand="0" w:evenVBand="0" w:oddHBand="0" w:evenHBand="0" w:firstRowFirstColumn="0" w:firstRowLastColumn="0" w:lastRowFirstColumn="0" w:lastRowLastColumn="0"/>
            <w:tcW w:w="7200" w:type="dxa"/>
            <w:tcMar/>
          </w:tcPr>
          <w:p w:rsidRPr="000F4C13" w:rsidR="00913755" w:rsidP="32B00831" w:rsidRDefault="00913755" w14:paraId="0DC92ED5" w14:textId="77777777">
            <w:pPr>
              <w:rPr>
                <w:rFonts w:ascii="Calibri" w:hAnsi="Calibri" w:cs="Calibri" w:asciiTheme="majorAscii" w:hAnsiTheme="majorAscii" w:cstheme="majorAscii"/>
                <w:sz w:val="22"/>
                <w:szCs w:val="22"/>
                <w:lang w:val="en-US"/>
              </w:rPr>
            </w:pPr>
            <w:r w:rsidRPr="32B00831" w:rsidR="00913755">
              <w:rPr>
                <w:rFonts w:ascii="Calibri" w:hAnsi="Calibri" w:cs="Calibri" w:asciiTheme="majorAscii" w:hAnsiTheme="majorAscii" w:cstheme="majorAscii"/>
                <w:sz w:val="22"/>
                <w:szCs w:val="22"/>
                <w:lang w:val="en-US"/>
              </w:rPr>
              <w:t xml:space="preserve">Requires insurers to consider and </w:t>
            </w:r>
            <w:r w:rsidRPr="32B00831" w:rsidR="00913755">
              <w:rPr>
                <w:rFonts w:ascii="Calibri" w:hAnsi="Calibri" w:cs="Calibri" w:asciiTheme="majorAscii" w:hAnsiTheme="majorAscii" w:cstheme="majorAscii"/>
                <w:sz w:val="22"/>
                <w:szCs w:val="22"/>
                <w:lang w:val="en-US"/>
              </w:rPr>
              <w:t>disclose</w:t>
            </w:r>
            <w:r w:rsidRPr="32B00831" w:rsidR="00913755">
              <w:rPr>
                <w:rFonts w:ascii="Calibri" w:hAnsi="Calibri" w:cs="Calibri" w:asciiTheme="majorAscii" w:hAnsiTheme="majorAscii" w:cstheme="majorAscii"/>
                <w:sz w:val="22"/>
                <w:szCs w:val="22"/>
                <w:lang w:val="en-US"/>
              </w:rPr>
              <w:t xml:space="preserve"> wildfire mitigation actions in risk assessments and rates, publicize discounts, explain risk scores, and provide an appeal process, ending the use of “black box” risk scores.</w:t>
            </w:r>
          </w:p>
        </w:tc>
      </w:tr>
    </w:tbl>
    <w:p w:rsidRPr="000F4C13" w:rsidR="00913755" w:rsidP="009F5AEE" w:rsidRDefault="00913755" w14:paraId="7423A020" w14:textId="77777777">
      <w:pPr>
        <w:pStyle w:val="outlinep3bh4"/>
        <w:numPr>
          <w:ilvl w:val="0"/>
          <w:numId w:val="0"/>
        </w:numPr>
        <w:spacing w:before="0"/>
        <w:ind w:left="720"/>
        <w:outlineLvl w:val="9"/>
        <w:rPr>
          <w:rFonts w:asciiTheme="majorHAnsi" w:hAnsiTheme="majorHAnsi" w:cstheme="majorHAnsi"/>
          <w:b w:val="0"/>
          <w:bCs/>
        </w:rPr>
      </w:pPr>
    </w:p>
    <w:tbl>
      <w:tblPr>
        <w:tblStyle w:val="GridTable4"/>
        <w:tblW w:w="9445" w:type="dxa"/>
        <w:tblLook w:val="0420" w:firstRow="1" w:lastRow="0" w:firstColumn="0" w:lastColumn="0" w:noHBand="0" w:noVBand="1"/>
      </w:tblPr>
      <w:tblGrid>
        <w:gridCol w:w="9445"/>
      </w:tblGrid>
      <w:tr w:rsidRPr="000F4C13" w:rsidR="009F5AEE" w:rsidTr="00BD7CF2" w14:paraId="6803E148" w14:textId="77777777">
        <w:trPr>
          <w:cnfStyle w:val="100000000000" w:firstRow="1" w:lastRow="0" w:firstColumn="0" w:lastColumn="0" w:oddVBand="0" w:evenVBand="0" w:oddHBand="0" w:evenHBand="0" w:firstRowFirstColumn="0" w:firstRowLastColumn="0" w:lastRowFirstColumn="0" w:lastRowLastColumn="0"/>
        </w:trPr>
        <w:tc>
          <w:tcPr>
            <w:tcW w:w="9445" w:type="dxa"/>
          </w:tcPr>
          <w:p w:rsidRPr="000F4C13" w:rsidR="009F5AEE" w:rsidP="00080769" w:rsidRDefault="009F5AEE" w14:paraId="5D4CD7E9" w14:textId="77777777">
            <w:pPr>
              <w:jc w:val="center"/>
              <w:rPr>
                <w:rFonts w:asciiTheme="majorHAnsi" w:hAnsiTheme="majorHAnsi" w:cstheme="majorHAnsi"/>
              </w:rPr>
            </w:pPr>
            <w:bookmarkStart w:name="_Hlk223088535" w:id="183"/>
            <w:r w:rsidRPr="000F4C13">
              <w:rPr>
                <w:rFonts w:asciiTheme="majorHAnsi" w:hAnsiTheme="majorHAnsi" w:cstheme="majorHAnsi"/>
              </w:rPr>
              <w:t>Florida</w:t>
            </w:r>
          </w:p>
        </w:tc>
      </w:tr>
    </w:tbl>
    <w:tbl>
      <w:tblPr>
        <w:tblStyle w:val="PlainTable1"/>
        <w:tblW w:w="9445" w:type="dxa"/>
        <w:tblLook w:val="0420" w:firstRow="1" w:lastRow="0" w:firstColumn="0" w:lastColumn="0" w:noHBand="0" w:noVBand="1"/>
      </w:tblPr>
      <w:tblGrid>
        <w:gridCol w:w="2337"/>
        <w:gridCol w:w="1528"/>
        <w:gridCol w:w="5580"/>
      </w:tblGrid>
      <w:tr w:rsidRPr="000F4C13" w:rsidR="009F5AEE" w:rsidTr="32B00831" w14:paraId="06FFB7AA" w14:textId="77777777">
        <w:trPr>
          <w:cnfStyle w:val="100000000000" w:firstRow="1" w:lastRow="0" w:firstColumn="0" w:lastColumn="0" w:oddVBand="0" w:evenVBand="0" w:oddHBand="0" w:evenHBand="0" w:firstRowFirstColumn="0" w:firstRowLastColumn="0" w:lastRowFirstColumn="0" w:lastRowLastColumn="0"/>
          <w:trHeight w:val="323"/>
        </w:trPr>
        <w:tc>
          <w:tcPr>
            <w:cnfStyle w:val="000000000000" w:firstRow="0" w:lastRow="0" w:firstColumn="0" w:lastColumn="0" w:oddVBand="0" w:evenVBand="0" w:oddHBand="0" w:evenHBand="0" w:firstRowFirstColumn="0" w:firstRowLastColumn="0" w:lastRowFirstColumn="0" w:lastRowLastColumn="0"/>
            <w:tcW w:w="2337" w:type="dxa"/>
            <w:shd w:val="clear" w:color="auto" w:fill="B8CCE4" w:themeFill="accent1" w:themeFillTint="66"/>
            <w:tcMar/>
            <w:vAlign w:val="center"/>
          </w:tcPr>
          <w:bookmarkEnd w:id="183"/>
          <w:p w:rsidRPr="000F4C13" w:rsidR="009F5AEE" w:rsidP="00080769" w:rsidRDefault="009F5AEE" w14:paraId="77E6669D" w14:textId="77777777">
            <w:pPr>
              <w:rPr>
                <w:rFonts w:asciiTheme="majorHAnsi" w:hAnsiTheme="majorHAnsi" w:cstheme="majorHAnsi"/>
              </w:rPr>
            </w:pPr>
            <w:r w:rsidRPr="000F4C13">
              <w:rPr>
                <w:rFonts w:asciiTheme="majorHAnsi" w:hAnsiTheme="majorHAnsi" w:cstheme="majorHAnsi"/>
              </w:rPr>
              <w:t>Category</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B8CCE4" w:themeFill="accent1" w:themeFillTint="66"/>
            <w:tcMar/>
            <w:vAlign w:val="center"/>
          </w:tcPr>
          <w:p w:rsidRPr="000F4C13" w:rsidR="009F5AEE" w:rsidP="00080769" w:rsidRDefault="009F5AEE" w14:paraId="5CFB7E9C" w14:textId="77777777">
            <w:pPr>
              <w:rPr>
                <w:rFonts w:asciiTheme="majorHAnsi" w:hAnsiTheme="majorHAnsi" w:cstheme="majorHAnsi"/>
              </w:rPr>
            </w:pPr>
            <w:r w:rsidRPr="000F4C13">
              <w:rPr>
                <w:rFonts w:asciiTheme="majorHAnsi" w:hAnsiTheme="majorHAnsi" w:cstheme="majorHAnsi"/>
              </w:rPr>
              <w:t>Bill/Rule</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B8CCE4" w:themeFill="accent1" w:themeFillTint="66"/>
            <w:tcMar/>
            <w:vAlign w:val="center"/>
          </w:tcPr>
          <w:p w:rsidRPr="000F4C13" w:rsidR="009F5AEE" w:rsidP="00080769" w:rsidRDefault="009F5AEE" w14:paraId="3734FDF7" w14:textId="77777777">
            <w:pPr>
              <w:rPr>
                <w:rFonts w:asciiTheme="majorHAnsi" w:hAnsiTheme="majorHAnsi" w:cstheme="majorHAnsi"/>
              </w:rPr>
            </w:pPr>
            <w:r w:rsidRPr="000F4C13">
              <w:rPr>
                <w:rFonts w:asciiTheme="majorHAnsi" w:hAnsiTheme="majorHAnsi" w:cstheme="majorHAnsi"/>
              </w:rPr>
              <w:t>Main Provision</w:t>
            </w:r>
          </w:p>
        </w:tc>
      </w:tr>
      <w:tr w:rsidRPr="000F4C13" w:rsidR="009F5AEE" w:rsidTr="32B00831" w14:paraId="6442BF89"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1B359A73" w14:textId="77777777">
            <w:pPr>
              <w:rPr>
                <w:rFonts w:asciiTheme="majorHAnsi" w:hAnsiTheme="majorHAnsi" w:cstheme="majorHAnsi"/>
              </w:rPr>
            </w:pPr>
            <w:r w:rsidRPr="000F4C13">
              <w:rPr>
                <w:rFonts w:asciiTheme="majorHAnsi" w:hAnsiTheme="majorHAnsi" w:cstheme="majorHAnsi"/>
              </w:rPr>
              <w:t>Regulation</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7272EF43" w14:textId="77777777">
            <w:pPr>
              <w:rPr>
                <w:rFonts w:asciiTheme="majorHAnsi" w:hAnsiTheme="majorHAnsi" w:cstheme="majorHAnsi"/>
              </w:rPr>
            </w:pPr>
            <w:r w:rsidRPr="000F4C13">
              <w:rPr>
                <w:rFonts w:asciiTheme="majorHAnsi" w:hAnsiTheme="majorHAnsi" w:cstheme="majorHAnsi"/>
              </w:rPr>
              <w:t>Admin</w:t>
            </w:r>
            <w:r w:rsidRPr="000F4C13">
              <w:rPr>
                <w:rFonts w:asciiTheme="majorHAnsi" w:hAnsiTheme="majorHAnsi" w:cstheme="majorHAnsi"/>
                <w:b/>
                <w:bCs/>
              </w:rPr>
              <w:t>.</w:t>
            </w:r>
            <w:r w:rsidRPr="000F4C13">
              <w:rPr>
                <w:rFonts w:asciiTheme="majorHAnsi" w:hAnsiTheme="majorHAnsi" w:cstheme="majorHAnsi"/>
              </w:rPr>
              <w:t xml:space="preserve"> Code Rule 69O-170.0155</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3E51D41A" w14:textId="77777777">
            <w:pPr>
              <w:rPr>
                <w:rFonts w:asciiTheme="majorHAnsi" w:hAnsiTheme="majorHAnsi" w:cstheme="majorHAnsi"/>
              </w:rPr>
            </w:pPr>
            <w:r w:rsidRPr="000F4C13">
              <w:rPr>
                <w:rFonts w:asciiTheme="majorHAnsi" w:hAnsiTheme="majorHAnsi" w:cstheme="majorHAnsi"/>
              </w:rPr>
              <w:t>Governs the Uniform Mitigation Verification Inspection Form (OIR-B1-1802). §627.0629, F.S.; Rules 69O</w:t>
            </w:r>
            <w:r w:rsidRPr="000F4C13">
              <w:rPr>
                <w:rFonts w:ascii="Cambria Math" w:hAnsi="Cambria Math" w:cs="Cambria Math"/>
              </w:rPr>
              <w:t>‑</w:t>
            </w:r>
            <w:r w:rsidRPr="000F4C13">
              <w:rPr>
                <w:rFonts w:asciiTheme="majorHAnsi" w:hAnsiTheme="majorHAnsi" w:cstheme="majorHAnsi"/>
              </w:rPr>
              <w:t>170.0155/017</w:t>
            </w:r>
          </w:p>
        </w:tc>
      </w:tr>
      <w:tr w:rsidRPr="000F4C13" w:rsidR="009F5AEE" w:rsidTr="32B00831" w14:paraId="71A0EBCA"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6FBADFA8" w14:textId="77777777">
            <w:pPr>
              <w:rPr>
                <w:rFonts w:asciiTheme="majorHAnsi" w:hAnsiTheme="majorHAnsi" w:cstheme="majorHAnsi"/>
              </w:rPr>
            </w:pPr>
            <w:r w:rsidRPr="000F4C13">
              <w:rPr>
                <w:rFonts w:asciiTheme="majorHAnsi" w:hAnsiTheme="majorHAnsi" w:cstheme="majorHAnsi"/>
              </w:rPr>
              <w:t>Regulation</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6F2317A8" w14:textId="77777777">
            <w:pPr>
              <w:rPr>
                <w:rFonts w:asciiTheme="majorHAnsi" w:hAnsiTheme="majorHAnsi" w:cstheme="majorHAnsi"/>
              </w:rPr>
            </w:pPr>
            <w:r w:rsidRPr="000F4C13">
              <w:rPr>
                <w:rFonts w:asciiTheme="majorHAnsi" w:hAnsiTheme="majorHAnsi" w:cstheme="majorHAnsi"/>
              </w:rPr>
              <w:t>Rule 69O-170.017, F.A.C.</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304F69F7" w14:textId="77777777">
            <w:pPr>
              <w:rPr>
                <w:rFonts w:asciiTheme="majorHAnsi" w:hAnsiTheme="majorHAnsi" w:cstheme="majorHAnsi"/>
              </w:rPr>
            </w:pPr>
            <w:r w:rsidRPr="000F4C13">
              <w:rPr>
                <w:rFonts w:asciiTheme="majorHAnsi" w:hAnsiTheme="majorHAnsi" w:cstheme="majorHAnsi"/>
              </w:rPr>
              <w:t>Mandates all residential property insurers provide windstorm mitigation discounts based on forms like OIR-B1-1700 (non-single family) and OIR-B1-1699 (single family)</w:t>
            </w:r>
          </w:p>
        </w:tc>
      </w:tr>
      <w:tr w:rsidRPr="000F4C13" w:rsidR="009F5AEE" w:rsidTr="32B00831" w14:paraId="759D397F"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45829407" w14:textId="77777777">
            <w:pPr>
              <w:rPr>
                <w:rFonts w:asciiTheme="majorHAnsi" w:hAnsiTheme="majorHAnsi" w:cstheme="majorHAnsi"/>
              </w:rPr>
            </w:pPr>
            <w:r w:rsidRPr="000F4C13">
              <w:rPr>
                <w:rFonts w:asciiTheme="majorHAnsi" w:hAnsiTheme="majorHAnsi" w:cstheme="majorHAnsi"/>
              </w:rPr>
              <w:t>Regulation</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3D759CE5" w14:textId="77777777">
            <w:pPr>
              <w:rPr>
                <w:rFonts w:asciiTheme="majorHAnsi" w:hAnsiTheme="majorHAnsi" w:cstheme="majorHAnsi"/>
              </w:rPr>
            </w:pPr>
            <w:r w:rsidRPr="000F4C13">
              <w:rPr>
                <w:rFonts w:asciiTheme="majorHAnsi" w:hAnsiTheme="majorHAnsi" w:cstheme="majorHAnsi"/>
              </w:rPr>
              <w:t>Section 627.0629, F.S.</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6410DA8D" w14:textId="77777777">
            <w:pPr>
              <w:rPr>
                <w:rFonts w:asciiTheme="majorHAnsi" w:hAnsiTheme="majorHAnsi" w:cstheme="majorHAnsi"/>
              </w:rPr>
            </w:pPr>
            <w:r w:rsidRPr="000F4C13">
              <w:rPr>
                <w:rFonts w:asciiTheme="majorHAnsi" w:hAnsiTheme="majorHAnsi" w:cstheme="majorHAnsi"/>
              </w:rPr>
              <w:t>Requires OIR to periodically review and update fixtures or construction techniques that reduce windstorm damage and related insurance discounts</w:t>
            </w:r>
          </w:p>
        </w:tc>
      </w:tr>
      <w:tr w:rsidRPr="000F4C13" w:rsidR="009F5AEE" w:rsidTr="32B00831" w14:paraId="59133003"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2BB3BB05" w14:textId="77777777">
            <w:pPr>
              <w:rPr>
                <w:rFonts w:asciiTheme="majorHAnsi" w:hAnsiTheme="majorHAnsi" w:cstheme="majorHAnsi"/>
              </w:rPr>
            </w:pPr>
            <w:r w:rsidRPr="000F4C13">
              <w:rPr>
                <w:rFonts w:asciiTheme="majorHAnsi" w:hAnsiTheme="majorHAnsi" w:cstheme="majorHAnsi"/>
              </w:rPr>
              <w:t>Adopted Legislation (2022)</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291A684A" w14:textId="77777777">
            <w:pPr>
              <w:rPr>
                <w:rFonts w:asciiTheme="majorHAnsi" w:hAnsiTheme="majorHAnsi" w:cstheme="majorHAnsi"/>
              </w:rPr>
            </w:pPr>
            <w:r w:rsidRPr="000F4C13">
              <w:rPr>
                <w:rFonts w:asciiTheme="majorHAnsi" w:hAnsiTheme="majorHAnsi" w:cstheme="majorHAnsi"/>
              </w:rPr>
              <w:t>SB 2A</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32B00831" w:rsidRDefault="009F5AEE" w14:paraId="751F9E92" w14:textId="77777777">
            <w:pPr>
              <w:rPr>
                <w:rFonts w:ascii="Calibri" w:hAnsi="Calibri" w:cs="Calibri" w:asciiTheme="majorAscii" w:hAnsiTheme="majorAscii" w:cstheme="majorAscii"/>
                <w:lang w:val="en-US"/>
              </w:rPr>
            </w:pPr>
            <w:r w:rsidRPr="32B00831" w:rsidR="009F5AEE">
              <w:rPr>
                <w:rFonts w:ascii="Calibri" w:hAnsi="Calibri" w:cs="Calibri" w:asciiTheme="majorAscii" w:hAnsiTheme="majorAscii" w:cstheme="majorAscii"/>
                <w:lang w:val="en-US"/>
              </w:rPr>
              <w:t>Eliminates</w:t>
            </w:r>
            <w:r w:rsidRPr="32B00831" w:rsidR="009F5AEE">
              <w:rPr>
                <w:rFonts w:ascii="Calibri" w:hAnsi="Calibri" w:cs="Calibri" w:asciiTheme="majorAscii" w:hAnsiTheme="majorAscii" w:cstheme="majorAscii"/>
                <w:lang w:val="en-US"/>
              </w:rPr>
              <w:t xml:space="preserve"> automatic attorney fees, most assignments of benefits, reduces claim filing deadlines, addresses bad faith failure to settle actions</w:t>
            </w:r>
          </w:p>
        </w:tc>
      </w:tr>
      <w:tr w:rsidRPr="000F4C13" w:rsidR="009F5AEE" w:rsidTr="32B00831" w14:paraId="6E02EE20"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5025CF5C" w14:textId="77777777">
            <w:pPr>
              <w:rPr>
                <w:rFonts w:asciiTheme="majorHAnsi" w:hAnsiTheme="majorHAnsi" w:cstheme="majorHAnsi"/>
              </w:rPr>
            </w:pPr>
            <w:r w:rsidRPr="000F4C13">
              <w:rPr>
                <w:rFonts w:asciiTheme="majorHAnsi" w:hAnsiTheme="majorHAnsi" w:cstheme="majorHAnsi"/>
              </w:rPr>
              <w:t>Adopted Legislation (2022)</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5590E851" w14:textId="77777777">
            <w:pPr>
              <w:rPr>
                <w:rFonts w:asciiTheme="majorHAnsi" w:hAnsiTheme="majorHAnsi" w:cstheme="majorHAnsi"/>
              </w:rPr>
            </w:pPr>
            <w:r w:rsidRPr="000F4C13">
              <w:rPr>
                <w:rFonts w:asciiTheme="majorHAnsi" w:hAnsiTheme="majorHAnsi" w:cstheme="majorHAnsi"/>
              </w:rPr>
              <w:t>SB 2D</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332D5AD8" w14:textId="77777777">
            <w:pPr>
              <w:rPr>
                <w:rFonts w:asciiTheme="majorHAnsi" w:hAnsiTheme="majorHAnsi" w:cstheme="majorHAnsi"/>
              </w:rPr>
            </w:pPr>
            <w:r w:rsidRPr="000F4C13">
              <w:rPr>
                <w:rFonts w:asciiTheme="majorHAnsi" w:hAnsiTheme="majorHAnsi" w:cstheme="majorHAnsi"/>
              </w:rPr>
              <w:t>Establishes My Safe FL Home Program for homes in wind debris regions with roof deductible and age criteria</w:t>
            </w:r>
          </w:p>
        </w:tc>
      </w:tr>
      <w:tr w:rsidRPr="000F4C13" w:rsidR="009F5AEE" w:rsidTr="32B00831" w14:paraId="36ACBF68"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017643C8" w14:textId="77777777">
            <w:pPr>
              <w:rPr>
                <w:rFonts w:asciiTheme="majorHAnsi" w:hAnsiTheme="majorHAnsi" w:cstheme="majorHAnsi"/>
              </w:rPr>
            </w:pPr>
            <w:r w:rsidRPr="000F4C13">
              <w:rPr>
                <w:rFonts w:asciiTheme="majorHAnsi" w:hAnsiTheme="majorHAnsi" w:cstheme="majorHAnsi"/>
              </w:rPr>
              <w:t>Adopted Legislation (2023)</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3112F067" w14:textId="77777777">
            <w:pPr>
              <w:rPr>
                <w:rFonts w:asciiTheme="majorHAnsi" w:hAnsiTheme="majorHAnsi" w:cstheme="majorHAnsi"/>
              </w:rPr>
            </w:pPr>
            <w:r w:rsidRPr="000F4C13">
              <w:rPr>
                <w:rFonts w:asciiTheme="majorHAnsi" w:hAnsiTheme="majorHAnsi" w:cstheme="majorHAnsi"/>
              </w:rPr>
              <w:t>House Bill 881</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3E9D615B" w14:textId="77777777">
            <w:pPr>
              <w:rPr>
                <w:rFonts w:asciiTheme="majorHAnsi" w:hAnsiTheme="majorHAnsi" w:cstheme="majorHAnsi"/>
              </w:rPr>
            </w:pPr>
            <w:r w:rsidRPr="000F4C13">
              <w:rPr>
                <w:rFonts w:asciiTheme="majorHAnsi" w:hAnsiTheme="majorHAnsi" w:cstheme="majorHAnsi"/>
              </w:rPr>
              <w:t>Expands My Safe FL Home Program to all FL homes that meet specific criteria</w:t>
            </w:r>
          </w:p>
        </w:tc>
      </w:tr>
      <w:tr w:rsidRPr="000F4C13" w:rsidR="009F5AEE" w:rsidTr="32B00831" w14:paraId="2AB79B32"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1C37C4C3" w14:textId="77777777">
            <w:pPr>
              <w:rPr>
                <w:rFonts w:asciiTheme="majorHAnsi" w:hAnsiTheme="majorHAnsi" w:cstheme="majorHAnsi"/>
              </w:rPr>
            </w:pPr>
            <w:r w:rsidRPr="000F4C13">
              <w:rPr>
                <w:rFonts w:asciiTheme="majorHAnsi" w:hAnsiTheme="majorHAnsi" w:cstheme="majorHAnsi"/>
              </w:rPr>
              <w:t>Adopted Legislation (2023)</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2284275C" w14:textId="77777777">
            <w:pPr>
              <w:rPr>
                <w:rFonts w:asciiTheme="majorHAnsi" w:hAnsiTheme="majorHAnsi" w:cstheme="majorHAnsi"/>
              </w:rPr>
            </w:pPr>
            <w:r w:rsidRPr="000F4C13">
              <w:rPr>
                <w:rFonts w:asciiTheme="majorHAnsi" w:hAnsiTheme="majorHAnsi" w:cstheme="majorHAnsi"/>
              </w:rPr>
              <w:t>Senate Bill 7028</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42E6C8F1" w14:textId="77777777">
            <w:pPr>
              <w:rPr>
                <w:rFonts w:asciiTheme="majorHAnsi" w:hAnsiTheme="majorHAnsi" w:cstheme="majorHAnsi"/>
              </w:rPr>
            </w:pPr>
            <w:r w:rsidRPr="000F4C13">
              <w:rPr>
                <w:rFonts w:asciiTheme="majorHAnsi" w:hAnsiTheme="majorHAnsi" w:cstheme="majorHAnsi"/>
              </w:rPr>
              <w:t>Implements priority scale for My Safe FL Home Program, starts with low-income homeowners at least 60 years old, adds funding</w:t>
            </w:r>
          </w:p>
        </w:tc>
      </w:tr>
      <w:tr w:rsidRPr="000F4C13" w:rsidR="009F5AEE" w:rsidTr="32B00831" w14:paraId="6CAF8EAC"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60C9983E" w14:textId="77777777">
            <w:pPr>
              <w:rPr>
                <w:rFonts w:asciiTheme="majorHAnsi" w:hAnsiTheme="majorHAnsi" w:cstheme="majorHAnsi"/>
              </w:rPr>
            </w:pPr>
            <w:r w:rsidRPr="000F4C13">
              <w:rPr>
                <w:rFonts w:asciiTheme="majorHAnsi" w:hAnsiTheme="majorHAnsi" w:cstheme="majorHAnsi"/>
              </w:rPr>
              <w:t>Adopted Legislation (2023)</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30E25C83" w14:textId="77777777">
            <w:pPr>
              <w:rPr>
                <w:rFonts w:asciiTheme="majorHAnsi" w:hAnsiTheme="majorHAnsi" w:cstheme="majorHAnsi"/>
              </w:rPr>
            </w:pPr>
            <w:r w:rsidRPr="000F4C13">
              <w:rPr>
                <w:rFonts w:asciiTheme="majorHAnsi" w:hAnsiTheme="majorHAnsi" w:cstheme="majorHAnsi"/>
              </w:rPr>
              <w:t>CS/HB 1549</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32B00831" w:rsidRDefault="009F5AEE" w14:paraId="7703ED32" w14:textId="77777777">
            <w:pPr>
              <w:rPr>
                <w:rFonts w:ascii="Calibri" w:hAnsi="Calibri" w:cs="Calibri" w:asciiTheme="majorAscii" w:hAnsiTheme="majorAscii" w:cstheme="majorAscii"/>
                <w:lang w:val="en-US"/>
              </w:rPr>
            </w:pPr>
            <w:r w:rsidRPr="32B00831" w:rsidR="009F5AEE">
              <w:rPr>
                <w:rFonts w:ascii="Calibri" w:hAnsi="Calibri" w:cs="Calibri" w:asciiTheme="majorAscii" w:hAnsiTheme="majorAscii" w:cstheme="majorAscii"/>
                <w:lang w:val="en-US"/>
              </w:rPr>
              <w:t xml:space="preserve">Revises criteria for exporting insurance to surplus lines market, removes diligent effort requirement, only disclosure </w:t>
            </w:r>
            <w:r w:rsidRPr="32B00831" w:rsidR="009F5AEE">
              <w:rPr>
                <w:rFonts w:ascii="Calibri" w:hAnsi="Calibri" w:cs="Calibri" w:asciiTheme="majorAscii" w:hAnsiTheme="majorAscii" w:cstheme="majorAscii"/>
                <w:lang w:val="en-US"/>
              </w:rPr>
              <w:t>required</w:t>
            </w:r>
          </w:p>
        </w:tc>
      </w:tr>
      <w:tr w:rsidRPr="000F4C13" w:rsidR="009F5AEE" w:rsidTr="32B00831" w14:paraId="5D06D7BA"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260151E6" w14:textId="77777777">
            <w:pPr>
              <w:rPr>
                <w:rFonts w:asciiTheme="majorHAnsi" w:hAnsiTheme="majorHAnsi" w:cstheme="majorHAnsi"/>
              </w:rPr>
            </w:pPr>
            <w:r w:rsidRPr="000F4C13">
              <w:rPr>
                <w:rFonts w:asciiTheme="majorHAnsi" w:hAnsiTheme="majorHAnsi" w:cstheme="majorHAnsi"/>
              </w:rPr>
              <w:t>Adopted Legislation (2022)</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1BAFB04F" w14:textId="77777777">
            <w:pPr>
              <w:rPr>
                <w:rFonts w:asciiTheme="majorHAnsi" w:hAnsiTheme="majorHAnsi" w:cstheme="majorHAnsi"/>
              </w:rPr>
            </w:pPr>
            <w:r w:rsidRPr="000F4C13">
              <w:rPr>
                <w:rFonts w:asciiTheme="majorHAnsi" w:hAnsiTheme="majorHAnsi" w:cstheme="majorHAnsi"/>
              </w:rPr>
              <w:t>Florida House Bill 7053</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3E0B92AD" w14:textId="77777777">
            <w:pPr>
              <w:rPr>
                <w:rFonts w:asciiTheme="majorHAnsi" w:hAnsiTheme="majorHAnsi" w:cstheme="majorHAnsi"/>
              </w:rPr>
            </w:pPr>
            <w:r w:rsidRPr="000F4C13">
              <w:rPr>
                <w:rFonts w:asciiTheme="majorHAnsi" w:hAnsiTheme="majorHAnsi" w:cstheme="majorHAnsi"/>
              </w:rPr>
              <w:t>Establishes Statewide Office of Resilience, requires report on flood resilience and mitigation efforts</w:t>
            </w:r>
          </w:p>
        </w:tc>
      </w:tr>
      <w:tr w:rsidRPr="000F4C13" w:rsidR="009F5AEE" w:rsidTr="32B00831" w14:paraId="2DEA9313"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6A8EF573" w14:textId="77777777">
            <w:pPr>
              <w:rPr>
                <w:rFonts w:asciiTheme="majorHAnsi" w:hAnsiTheme="majorHAnsi" w:cstheme="majorHAnsi"/>
              </w:rPr>
            </w:pPr>
            <w:r w:rsidRPr="000F4C13">
              <w:rPr>
                <w:rFonts w:asciiTheme="majorHAnsi" w:hAnsiTheme="majorHAnsi" w:cstheme="majorHAnsi"/>
              </w:rPr>
              <w:t>Adopted Legislation (2023)</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096B38CA" w14:textId="77777777">
            <w:pPr>
              <w:rPr>
                <w:rFonts w:asciiTheme="majorHAnsi" w:hAnsiTheme="majorHAnsi" w:cstheme="majorHAnsi"/>
              </w:rPr>
            </w:pPr>
            <w:r w:rsidRPr="000F4C13">
              <w:rPr>
                <w:rFonts w:asciiTheme="majorHAnsi" w:hAnsiTheme="majorHAnsi" w:cstheme="majorHAnsi"/>
              </w:rPr>
              <w:t>Florida House Bill 111</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32B00831" w:rsidRDefault="00C82FE8" w14:paraId="716E4218" w14:textId="048F879F">
            <w:pPr>
              <w:rPr>
                <w:rFonts w:ascii="Calibri" w:hAnsi="Calibri" w:cs="Calibri" w:asciiTheme="majorAscii" w:hAnsiTheme="majorAscii" w:cstheme="majorAscii"/>
                <w:lang w:val="en-US"/>
              </w:rPr>
            </w:pPr>
            <w:r w:rsidRPr="32B00831" w:rsidR="00C82FE8">
              <w:rPr>
                <w:rFonts w:ascii="Calibri" w:hAnsi="Calibri" w:cs="Calibri" w:asciiTheme="majorAscii" w:hAnsiTheme="majorAscii" w:cstheme="majorAscii"/>
                <w:lang w:val="en-US"/>
              </w:rPr>
              <w:t>Expands the requirement for public entities to conduct a</w:t>
            </w:r>
            <w:r w:rsidRPr="32B00831" w:rsidR="00CC6A8A">
              <w:rPr>
                <w:rFonts w:ascii="Calibri" w:hAnsi="Calibri" w:cs="Calibri" w:asciiTheme="majorAscii" w:hAnsiTheme="majorAscii" w:cstheme="majorAscii"/>
                <w:lang w:val="en-US"/>
              </w:rPr>
              <w:t xml:space="preserve"> sea level impact projection</w:t>
            </w:r>
            <w:r w:rsidRPr="32B00831" w:rsidR="00C82FE8">
              <w:rPr>
                <w:rFonts w:ascii="Calibri" w:hAnsi="Calibri" w:cs="Calibri" w:asciiTheme="majorAscii" w:hAnsiTheme="majorAscii" w:cstheme="majorAscii"/>
                <w:lang w:val="en-US"/>
              </w:rPr>
              <w:t xml:space="preserve"> </w:t>
            </w:r>
            <w:r w:rsidRPr="32B00831" w:rsidR="00CC6A8A">
              <w:rPr>
                <w:rFonts w:ascii="Calibri" w:hAnsi="Calibri" w:cs="Calibri" w:asciiTheme="majorAscii" w:hAnsiTheme="majorAscii" w:cstheme="majorAscii"/>
                <w:lang w:val="en-US"/>
              </w:rPr>
              <w:t>(</w:t>
            </w:r>
            <w:r w:rsidRPr="32B00831" w:rsidR="00C82FE8">
              <w:rPr>
                <w:rFonts w:ascii="Calibri" w:hAnsi="Calibri" w:cs="Calibri" w:asciiTheme="majorAscii" w:hAnsiTheme="majorAscii" w:cstheme="majorAscii"/>
                <w:lang w:val="en-US"/>
              </w:rPr>
              <w:t>SLIP</w:t>
            </w:r>
            <w:r w:rsidRPr="32B00831" w:rsidR="00CC6A8A">
              <w:rPr>
                <w:rFonts w:ascii="Calibri" w:hAnsi="Calibri" w:cs="Calibri" w:asciiTheme="majorAscii" w:hAnsiTheme="majorAscii" w:cstheme="majorAscii"/>
                <w:lang w:val="en-US"/>
              </w:rPr>
              <w:t>)</w:t>
            </w:r>
            <w:r w:rsidRPr="32B00831" w:rsidR="00C82FE8">
              <w:rPr>
                <w:rFonts w:ascii="Calibri" w:hAnsi="Calibri" w:cs="Calibri" w:asciiTheme="majorAscii" w:hAnsiTheme="majorAscii" w:cstheme="majorAscii"/>
                <w:lang w:val="en-US"/>
              </w:rPr>
              <w:t xml:space="preserve"> study before </w:t>
            </w:r>
            <w:r w:rsidRPr="32B00831" w:rsidR="00C82FE8">
              <w:rPr>
                <w:rFonts w:ascii="Calibri" w:hAnsi="Calibri" w:cs="Calibri" w:asciiTheme="majorAscii" w:hAnsiTheme="majorAscii" w:cstheme="majorAscii"/>
                <w:lang w:val="en-US"/>
              </w:rPr>
              <w:t>commencing</w:t>
            </w:r>
            <w:r w:rsidRPr="32B00831" w:rsidR="00C82FE8">
              <w:rPr>
                <w:rFonts w:ascii="Calibri" w:hAnsi="Calibri" w:cs="Calibri" w:asciiTheme="majorAscii" w:hAnsiTheme="majorAscii" w:cstheme="majorAscii"/>
                <w:lang w:val="en-US"/>
              </w:rPr>
              <w:t xml:space="preserve"> construction of certain state-financed coastal structures to apply the requirement to certain structures that are within any area that is at risk due to sea level rise</w:t>
            </w:r>
          </w:p>
        </w:tc>
      </w:tr>
      <w:tr w:rsidRPr="000F4C13" w:rsidR="009F5AEE" w:rsidTr="32B00831" w14:paraId="02013451"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1B18F93A" w14:textId="77777777">
            <w:pPr>
              <w:rPr>
                <w:rFonts w:asciiTheme="majorHAnsi" w:hAnsiTheme="majorHAnsi" w:cstheme="majorHAnsi"/>
              </w:rPr>
            </w:pPr>
            <w:r w:rsidRPr="000F4C13">
              <w:rPr>
                <w:rFonts w:asciiTheme="majorHAnsi" w:hAnsiTheme="majorHAnsi" w:cstheme="majorHAnsi"/>
              </w:rPr>
              <w:t>Adopted Legislation (2021)</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281DD7D3" w14:textId="77777777">
            <w:pPr>
              <w:rPr>
                <w:rFonts w:asciiTheme="majorHAnsi" w:hAnsiTheme="majorHAnsi" w:cstheme="majorHAnsi"/>
              </w:rPr>
            </w:pPr>
            <w:r w:rsidRPr="000F4C13">
              <w:rPr>
                <w:rFonts w:asciiTheme="majorHAnsi" w:hAnsiTheme="majorHAnsi" w:cstheme="majorHAnsi"/>
              </w:rPr>
              <w:t>House Bill 7019</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1BED8482" w14:textId="77777777">
            <w:pPr>
              <w:rPr>
                <w:rFonts w:asciiTheme="majorHAnsi" w:hAnsiTheme="majorHAnsi" w:cstheme="majorHAnsi"/>
              </w:rPr>
            </w:pPr>
            <w:r w:rsidRPr="000F4C13">
              <w:rPr>
                <w:rFonts w:asciiTheme="majorHAnsi" w:hAnsiTheme="majorHAnsi" w:cstheme="majorHAnsi"/>
              </w:rPr>
              <w:t>Created Florida Flood Hub for Applied Research and Innovation in 2021</w:t>
            </w:r>
          </w:p>
        </w:tc>
      </w:tr>
      <w:tr w:rsidRPr="000F4C13" w:rsidR="009F5AEE" w:rsidTr="32B00831" w14:paraId="61D00DA7"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0340A6AD"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6246E482" w14:textId="77777777">
            <w:pPr>
              <w:rPr>
                <w:rFonts w:asciiTheme="majorHAnsi" w:hAnsiTheme="majorHAnsi" w:cstheme="majorHAnsi"/>
              </w:rPr>
            </w:pPr>
            <w:r w:rsidRPr="000F4C13">
              <w:rPr>
                <w:rFonts w:asciiTheme="majorHAnsi" w:hAnsiTheme="majorHAnsi" w:cstheme="majorHAnsi"/>
              </w:rPr>
              <w:t>H 705 &amp; 1448</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54B93FC3" w14:textId="77777777">
            <w:pPr>
              <w:rPr>
                <w:rFonts w:asciiTheme="majorHAnsi" w:hAnsiTheme="majorHAnsi" w:cstheme="majorHAnsi"/>
              </w:rPr>
            </w:pPr>
            <w:r w:rsidRPr="000F4C13">
              <w:rPr>
                <w:rFonts w:asciiTheme="majorHAnsi" w:hAnsiTheme="majorHAnsi" w:cstheme="majorHAnsi"/>
              </w:rPr>
              <w:t>Mandated rate increases for Citizens Property Insurance Corporation would not apply to new policies after a certain date</w:t>
            </w:r>
          </w:p>
        </w:tc>
      </w:tr>
      <w:tr w:rsidRPr="000F4C13" w:rsidR="009F5AEE" w:rsidTr="32B00831" w14:paraId="4CC219D5"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05A8BC81"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35544581" w14:textId="77777777">
            <w:pPr>
              <w:rPr>
                <w:rFonts w:asciiTheme="majorHAnsi" w:hAnsiTheme="majorHAnsi" w:cstheme="majorHAnsi"/>
              </w:rPr>
            </w:pPr>
            <w:r w:rsidRPr="000F4C13">
              <w:rPr>
                <w:rFonts w:asciiTheme="majorHAnsi" w:hAnsiTheme="majorHAnsi" w:cstheme="majorHAnsi"/>
              </w:rPr>
              <w:t>H 957</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7CFB38E1" w14:textId="77777777">
            <w:pPr>
              <w:rPr>
                <w:rFonts w:asciiTheme="majorHAnsi" w:hAnsiTheme="majorHAnsi" w:cstheme="majorHAnsi"/>
              </w:rPr>
            </w:pPr>
            <w:r w:rsidRPr="000F4C13">
              <w:rPr>
                <w:rFonts w:asciiTheme="majorHAnsi" w:hAnsiTheme="majorHAnsi" w:cstheme="majorHAnsi"/>
              </w:rPr>
              <w:t>Caps rate increases for property insurers at a certain percentage</w:t>
            </w:r>
          </w:p>
        </w:tc>
      </w:tr>
      <w:tr w:rsidRPr="000F4C13" w:rsidR="009F5AEE" w:rsidTr="32B00831" w14:paraId="5C08A65C"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4D65D13A"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56187789" w14:textId="77777777">
            <w:pPr>
              <w:rPr>
                <w:rFonts w:asciiTheme="majorHAnsi" w:hAnsiTheme="majorHAnsi" w:cstheme="majorHAnsi"/>
              </w:rPr>
            </w:pPr>
            <w:r w:rsidRPr="000F4C13">
              <w:rPr>
                <w:rFonts w:asciiTheme="majorHAnsi" w:hAnsiTheme="majorHAnsi" w:cstheme="majorHAnsi"/>
              </w:rPr>
              <w:t>H 1433 &amp; S 1740</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03AE97F8" w14:textId="77777777">
            <w:pPr>
              <w:rPr>
                <w:rFonts w:asciiTheme="majorHAnsi" w:hAnsiTheme="majorHAnsi" w:cstheme="majorHAnsi"/>
              </w:rPr>
            </w:pPr>
            <w:r w:rsidRPr="000F4C13">
              <w:rPr>
                <w:rFonts w:asciiTheme="majorHAnsi" w:hAnsiTheme="majorHAnsi" w:cstheme="majorHAnsi"/>
              </w:rPr>
              <w:t>Links My Safe Florida Home grants to mitigation improvements, requires increased surpluses for insurers</w:t>
            </w:r>
          </w:p>
        </w:tc>
      </w:tr>
      <w:tr w:rsidRPr="000F4C13" w:rsidR="009F5AEE" w:rsidTr="32B00831" w14:paraId="06494D4E"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52E30A23"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6B08BE13" w14:textId="77777777">
            <w:pPr>
              <w:rPr>
                <w:rFonts w:asciiTheme="majorHAnsi" w:hAnsiTheme="majorHAnsi" w:cstheme="majorHAnsi"/>
              </w:rPr>
            </w:pPr>
            <w:r w:rsidRPr="000F4C13">
              <w:rPr>
                <w:rFonts w:asciiTheme="majorHAnsi" w:hAnsiTheme="majorHAnsi" w:cstheme="majorHAnsi"/>
              </w:rPr>
              <w:t>H 1541 &amp; S 1746</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4970C52E" w14:textId="77777777">
            <w:pPr>
              <w:rPr>
                <w:rFonts w:asciiTheme="majorHAnsi" w:hAnsiTheme="majorHAnsi" w:cstheme="majorHAnsi"/>
              </w:rPr>
            </w:pPr>
            <w:r w:rsidRPr="000F4C13">
              <w:rPr>
                <w:rFonts w:asciiTheme="majorHAnsi" w:hAnsiTheme="majorHAnsi" w:cstheme="majorHAnsi"/>
              </w:rPr>
              <w:t>Clarifies certain policy provisions, allows roof covering reimbursement schedules</w:t>
            </w:r>
          </w:p>
        </w:tc>
      </w:tr>
      <w:tr w:rsidRPr="000F4C13" w:rsidR="009F5AEE" w:rsidTr="32B00831" w14:paraId="6A76BEBD"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452769C6"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1411B2DD" w14:textId="77777777">
            <w:pPr>
              <w:rPr>
                <w:rFonts w:asciiTheme="majorHAnsi" w:hAnsiTheme="majorHAnsi" w:cstheme="majorHAnsi"/>
              </w:rPr>
            </w:pPr>
            <w:r w:rsidRPr="000F4C13">
              <w:rPr>
                <w:rFonts w:asciiTheme="majorHAnsi" w:hAnsiTheme="majorHAnsi" w:cstheme="majorHAnsi"/>
              </w:rPr>
              <w:t>S 1020</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06078B46" w14:textId="77777777">
            <w:pPr>
              <w:rPr>
                <w:rFonts w:asciiTheme="majorHAnsi" w:hAnsiTheme="majorHAnsi" w:cstheme="majorHAnsi"/>
              </w:rPr>
            </w:pPr>
            <w:r w:rsidRPr="000F4C13">
              <w:rPr>
                <w:rFonts w:asciiTheme="majorHAnsi" w:hAnsiTheme="majorHAnsi" w:cstheme="majorHAnsi"/>
              </w:rPr>
              <w:t>Changes Citizens Property Insurance Corporation eligibility, mandates rate increases in specific counties</w:t>
            </w:r>
          </w:p>
        </w:tc>
      </w:tr>
      <w:tr w:rsidRPr="000F4C13" w:rsidR="009F5AEE" w:rsidTr="32B00831" w14:paraId="1D66D62B"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68804F58"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1D70D862" w14:textId="77777777">
            <w:pPr>
              <w:rPr>
                <w:rFonts w:asciiTheme="majorHAnsi" w:hAnsiTheme="majorHAnsi" w:cstheme="majorHAnsi"/>
              </w:rPr>
            </w:pPr>
            <w:r w:rsidRPr="000F4C13">
              <w:rPr>
                <w:rFonts w:asciiTheme="majorHAnsi" w:hAnsiTheme="majorHAnsi" w:cstheme="majorHAnsi"/>
              </w:rPr>
              <w:t>S 1222</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0D29F348" w14:textId="77777777">
            <w:pPr>
              <w:rPr>
                <w:rFonts w:asciiTheme="majorHAnsi" w:hAnsiTheme="majorHAnsi" w:cstheme="majorHAnsi"/>
              </w:rPr>
            </w:pPr>
            <w:r w:rsidRPr="000F4C13">
              <w:rPr>
                <w:rFonts w:asciiTheme="majorHAnsi" w:hAnsiTheme="majorHAnsi" w:cstheme="majorHAnsi"/>
              </w:rPr>
              <w:t>Alters consumer advocate's powers, restricts Office of Insurance Regulation's approval of certain rate filings</w:t>
            </w:r>
          </w:p>
        </w:tc>
      </w:tr>
      <w:tr w:rsidRPr="000F4C13" w:rsidR="009F5AEE" w:rsidTr="32B00831" w14:paraId="1E9CE174"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0D32EE44"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75EB547B" w14:textId="77777777">
            <w:pPr>
              <w:rPr>
                <w:rFonts w:asciiTheme="majorHAnsi" w:hAnsiTheme="majorHAnsi" w:cstheme="majorHAnsi"/>
              </w:rPr>
            </w:pPr>
            <w:r w:rsidRPr="000F4C13">
              <w:rPr>
                <w:rFonts w:asciiTheme="majorHAnsi" w:hAnsiTheme="majorHAnsi" w:cstheme="majorHAnsi"/>
              </w:rPr>
              <w:t>H 13</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6014F236" w14:textId="77777777">
            <w:pPr>
              <w:rPr>
                <w:rFonts w:asciiTheme="majorHAnsi" w:hAnsiTheme="majorHAnsi" w:cstheme="majorHAnsi"/>
              </w:rPr>
            </w:pPr>
            <w:r w:rsidRPr="000F4C13">
              <w:rPr>
                <w:rFonts w:asciiTheme="majorHAnsi" w:hAnsiTheme="majorHAnsi" w:cstheme="majorHAnsi"/>
              </w:rPr>
              <w:t>Requires Citizens Property Insurance Corporation to offer windstorm coverage for residential and commercial structures</w:t>
            </w:r>
          </w:p>
        </w:tc>
      </w:tr>
      <w:tr w:rsidRPr="000F4C13" w:rsidR="009F5AEE" w:rsidTr="32B00831" w14:paraId="6E12D9BC"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0381DED5"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284E53FE" w14:textId="77777777">
            <w:pPr>
              <w:rPr>
                <w:rFonts w:asciiTheme="majorHAnsi" w:hAnsiTheme="majorHAnsi" w:cstheme="majorHAnsi"/>
              </w:rPr>
            </w:pPr>
            <w:r w:rsidRPr="000F4C13">
              <w:rPr>
                <w:rFonts w:asciiTheme="majorHAnsi" w:hAnsiTheme="majorHAnsi" w:cstheme="majorHAnsi"/>
              </w:rPr>
              <w:t>H 841 &amp; S 790</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32B00831" w:rsidRDefault="009F5AEE" w14:paraId="5FF8FD1B" w14:textId="77777777">
            <w:pPr>
              <w:rPr>
                <w:rFonts w:ascii="Calibri" w:hAnsi="Calibri" w:cs="Calibri" w:asciiTheme="majorAscii" w:hAnsiTheme="majorAscii" w:cstheme="majorAscii"/>
                <w:lang w:val="en-US"/>
              </w:rPr>
            </w:pPr>
            <w:r w:rsidRPr="32B00831" w:rsidR="009F5AEE">
              <w:rPr>
                <w:rFonts w:ascii="Calibri" w:hAnsi="Calibri" w:cs="Calibri" w:asciiTheme="majorAscii" w:hAnsiTheme="majorAscii" w:cstheme="majorAscii"/>
                <w:lang w:val="en-US"/>
              </w:rPr>
              <w:t xml:space="preserve">Prohibits insurers from canceling or not renewing certain policies damaged by hurricanes or wind within specific </w:t>
            </w:r>
            <w:r w:rsidRPr="32B00831" w:rsidR="009F5AEE">
              <w:rPr>
                <w:rFonts w:ascii="Calibri" w:hAnsi="Calibri" w:cs="Calibri" w:asciiTheme="majorAscii" w:hAnsiTheme="majorAscii" w:cstheme="majorAscii"/>
                <w:lang w:val="en-US"/>
              </w:rPr>
              <w:t>timeframes</w:t>
            </w:r>
          </w:p>
        </w:tc>
      </w:tr>
      <w:tr w:rsidRPr="000F4C13" w:rsidR="009F5AEE" w:rsidTr="32B00831" w14:paraId="781D249C"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6437F4D6"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51B8932D" w14:textId="77777777">
            <w:pPr>
              <w:rPr>
                <w:rFonts w:asciiTheme="majorHAnsi" w:hAnsiTheme="majorHAnsi" w:cstheme="majorHAnsi"/>
              </w:rPr>
            </w:pPr>
            <w:r w:rsidRPr="000F4C13">
              <w:rPr>
                <w:rFonts w:asciiTheme="majorHAnsi" w:hAnsiTheme="majorHAnsi" w:cstheme="majorHAnsi"/>
              </w:rPr>
              <w:t>H 1073</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30F31298" w14:textId="77777777">
            <w:pPr>
              <w:rPr>
                <w:rFonts w:asciiTheme="majorHAnsi" w:hAnsiTheme="majorHAnsi" w:cstheme="majorHAnsi"/>
              </w:rPr>
            </w:pPr>
            <w:r w:rsidRPr="000F4C13">
              <w:rPr>
                <w:rFonts w:asciiTheme="majorHAnsi" w:hAnsiTheme="majorHAnsi" w:cstheme="majorHAnsi"/>
              </w:rPr>
              <w:t>Revises eligibility for Citizens Property Insurance Corporation coverage in certain counties, requires rate increases in those areas</w:t>
            </w:r>
          </w:p>
        </w:tc>
      </w:tr>
      <w:tr w:rsidRPr="000F4C13" w:rsidR="009F5AEE" w:rsidTr="32B00831" w14:paraId="03CF2537"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11127B3F"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0D0EDC0F" w14:textId="77777777">
            <w:pPr>
              <w:rPr>
                <w:rFonts w:asciiTheme="majorHAnsi" w:hAnsiTheme="majorHAnsi" w:cstheme="majorHAnsi"/>
              </w:rPr>
            </w:pPr>
            <w:r w:rsidRPr="000F4C13">
              <w:rPr>
                <w:rFonts w:asciiTheme="majorHAnsi" w:hAnsiTheme="majorHAnsi" w:cstheme="majorHAnsi"/>
              </w:rPr>
              <w:t>S 114</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0E1CD975" w14:textId="77777777">
            <w:pPr>
              <w:rPr>
                <w:rFonts w:asciiTheme="majorHAnsi" w:hAnsiTheme="majorHAnsi" w:cstheme="majorHAnsi"/>
              </w:rPr>
            </w:pPr>
            <w:r w:rsidRPr="000F4C13">
              <w:rPr>
                <w:rFonts w:asciiTheme="majorHAnsi" w:hAnsiTheme="majorHAnsi" w:cstheme="majorHAnsi"/>
              </w:rPr>
              <w:t>Renames state Catastrophic Storm Risk Management Center, requires collaboration with Office of Insurance Regulation to analyze market</w:t>
            </w:r>
          </w:p>
        </w:tc>
      </w:tr>
      <w:tr w:rsidRPr="000F4C13" w:rsidR="009F5AEE" w:rsidTr="32B00831" w14:paraId="2EB94E3F" w14:textId="77777777">
        <w:tc>
          <w:tcPr>
            <w:cnfStyle w:val="000000000000" w:firstRow="0" w:lastRow="0" w:firstColumn="0" w:lastColumn="0" w:oddVBand="0" w:evenVBand="0" w:oddHBand="0" w:evenHBand="0" w:firstRowFirstColumn="0" w:firstRowLastColumn="0" w:lastRowFirstColumn="0" w:lastRowLastColumn="0"/>
            <w:tcW w:w="2337" w:type="dxa"/>
            <w:shd w:val="clear" w:color="auto" w:fill="D9D9D9" w:themeFill="background1" w:themeFillShade="D9"/>
            <w:tcMar/>
          </w:tcPr>
          <w:p w:rsidRPr="000F4C13" w:rsidR="009F5AEE" w:rsidP="00080769" w:rsidRDefault="009F5AEE" w14:paraId="3CD35BF0"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shd w:val="clear" w:color="auto" w:fill="D9D9D9" w:themeFill="background1" w:themeFillShade="D9"/>
            <w:tcMar/>
          </w:tcPr>
          <w:p w:rsidRPr="000F4C13" w:rsidR="009F5AEE" w:rsidP="00080769" w:rsidRDefault="009F5AEE" w14:paraId="137ADF6E" w14:textId="77777777">
            <w:pPr>
              <w:rPr>
                <w:rFonts w:asciiTheme="majorHAnsi" w:hAnsiTheme="majorHAnsi" w:cstheme="majorHAnsi"/>
              </w:rPr>
            </w:pPr>
            <w:r w:rsidRPr="000F4C13">
              <w:rPr>
                <w:rFonts w:asciiTheme="majorHAnsi" w:hAnsiTheme="majorHAnsi" w:cstheme="majorHAnsi"/>
              </w:rPr>
              <w:t>HM 4003 &amp; HM 4069</w:t>
            </w:r>
          </w:p>
        </w:tc>
        <w:tc>
          <w:tcPr>
            <w:cnfStyle w:val="000000000000" w:firstRow="0" w:lastRow="0" w:firstColumn="0" w:lastColumn="0" w:oddVBand="0" w:evenVBand="0" w:oddHBand="0" w:evenHBand="0" w:firstRowFirstColumn="0" w:firstRowLastColumn="0" w:lastRowFirstColumn="0" w:lastRowLastColumn="0"/>
            <w:tcW w:w="5580" w:type="dxa"/>
            <w:shd w:val="clear" w:color="auto" w:fill="D9D9D9" w:themeFill="background1" w:themeFillShade="D9"/>
            <w:tcMar/>
          </w:tcPr>
          <w:p w:rsidRPr="000F4C13" w:rsidR="009F5AEE" w:rsidP="00080769" w:rsidRDefault="009F5AEE" w14:paraId="6BDA3F3F" w14:textId="77777777">
            <w:pPr>
              <w:rPr>
                <w:rFonts w:asciiTheme="majorHAnsi" w:hAnsiTheme="majorHAnsi" w:cstheme="majorHAnsi"/>
              </w:rPr>
            </w:pPr>
            <w:r w:rsidRPr="000F4C13">
              <w:rPr>
                <w:rFonts w:asciiTheme="majorHAnsi" w:hAnsiTheme="majorHAnsi" w:cstheme="majorHAnsi"/>
              </w:rPr>
              <w:t>Urges Congress to create federal catastrophe risk pool and reform homeowners' insurance to spread risk and lower costs</w:t>
            </w:r>
          </w:p>
        </w:tc>
      </w:tr>
      <w:tr w:rsidRPr="000F4C13" w:rsidR="009F5AEE" w:rsidTr="32B00831" w14:paraId="0B21E7FA" w14:textId="77777777">
        <w:trPr>
          <w:cnfStyle w:val="000000100000" w:firstRow="0" w:lastRow="0" w:firstColumn="0" w:lastColumn="0" w:oddVBand="0" w:evenVBand="0" w:oddHBand="1" w:evenHBand="0" w:firstRowFirstColumn="0" w:firstRowLastColumn="0" w:lastRowFirstColumn="0" w:lastRowLastColumn="0"/>
          <w:trHeight w:val="476"/>
        </w:trPr>
        <w:tc>
          <w:tcPr>
            <w:cnfStyle w:val="000000000000" w:firstRow="0" w:lastRow="0" w:firstColumn="0" w:lastColumn="0" w:oddVBand="0" w:evenVBand="0" w:oddHBand="0" w:evenHBand="0" w:firstRowFirstColumn="0" w:firstRowLastColumn="0" w:lastRowFirstColumn="0" w:lastRowLastColumn="0"/>
            <w:tcW w:w="2337" w:type="dxa"/>
            <w:tcMar/>
          </w:tcPr>
          <w:p w:rsidRPr="000F4C13" w:rsidR="009F5AEE" w:rsidP="00080769" w:rsidRDefault="009F5AEE" w14:paraId="15FB9231" w14:textId="77777777">
            <w:pPr>
              <w:rPr>
                <w:rFonts w:asciiTheme="majorHAnsi" w:hAnsiTheme="majorHAnsi" w:cstheme="majorHAnsi"/>
              </w:rPr>
            </w:pPr>
            <w:r w:rsidRPr="000F4C13">
              <w:rPr>
                <w:rFonts w:asciiTheme="majorHAnsi" w:hAnsiTheme="majorHAnsi" w:cstheme="majorHAnsi"/>
              </w:rPr>
              <w:t>Did Not Pass (2025)</w:t>
            </w:r>
          </w:p>
        </w:tc>
        <w:tc>
          <w:tcPr>
            <w:cnfStyle w:val="000000000000" w:firstRow="0" w:lastRow="0" w:firstColumn="0" w:lastColumn="0" w:oddVBand="0" w:evenVBand="0" w:oddHBand="0" w:evenHBand="0" w:firstRowFirstColumn="0" w:firstRowLastColumn="0" w:lastRowFirstColumn="0" w:lastRowLastColumn="0"/>
            <w:tcW w:w="1528" w:type="dxa"/>
            <w:tcMar/>
          </w:tcPr>
          <w:p w:rsidRPr="000F4C13" w:rsidR="009F5AEE" w:rsidP="00080769" w:rsidRDefault="009F5AEE" w14:paraId="6F242A54" w14:textId="77777777">
            <w:pPr>
              <w:rPr>
                <w:rFonts w:asciiTheme="majorHAnsi" w:hAnsiTheme="majorHAnsi" w:cstheme="majorHAnsi"/>
              </w:rPr>
            </w:pPr>
            <w:r w:rsidRPr="000F4C13">
              <w:rPr>
                <w:rFonts w:asciiTheme="majorHAnsi" w:hAnsiTheme="majorHAnsi" w:cstheme="majorHAnsi"/>
              </w:rPr>
              <w:t>S 230</w:t>
            </w:r>
          </w:p>
        </w:tc>
        <w:tc>
          <w:tcPr>
            <w:cnfStyle w:val="000000000000" w:firstRow="0" w:lastRow="0" w:firstColumn="0" w:lastColumn="0" w:oddVBand="0" w:evenVBand="0" w:oddHBand="0" w:evenHBand="0" w:firstRowFirstColumn="0" w:firstRowLastColumn="0" w:lastRowFirstColumn="0" w:lastRowLastColumn="0"/>
            <w:tcW w:w="5580" w:type="dxa"/>
            <w:tcMar/>
          </w:tcPr>
          <w:p w:rsidRPr="000F4C13" w:rsidR="009F5AEE" w:rsidP="00080769" w:rsidRDefault="009F5AEE" w14:paraId="5978D21F" w14:textId="77777777">
            <w:pPr>
              <w:rPr>
                <w:rFonts w:asciiTheme="majorHAnsi" w:hAnsiTheme="majorHAnsi" w:cstheme="majorHAnsi"/>
              </w:rPr>
            </w:pPr>
            <w:r w:rsidRPr="000F4C13">
              <w:rPr>
                <w:rFonts w:asciiTheme="majorHAnsi" w:hAnsiTheme="majorHAnsi" w:cstheme="majorHAnsi"/>
              </w:rPr>
              <w:t>Clarifies prohibitions on certain damage claims, requires specific damages to be available, revises policy cancellation circumstances</w:t>
            </w:r>
          </w:p>
        </w:tc>
      </w:tr>
    </w:tbl>
    <w:p w:rsidRPr="000F4C13" w:rsidR="009F5AEE" w:rsidP="009F5AEE" w:rsidRDefault="009F5AEE" w14:paraId="2ECD06D6" w14:textId="77777777">
      <w:pPr>
        <w:pStyle w:val="outlinep3bh4"/>
        <w:numPr>
          <w:ilvl w:val="0"/>
          <w:numId w:val="0"/>
        </w:numPr>
        <w:spacing w:before="0"/>
        <w:ind w:left="720"/>
        <w:outlineLvl w:val="9"/>
        <w:rPr>
          <w:rFonts w:asciiTheme="majorHAnsi" w:hAnsiTheme="majorHAnsi" w:cstheme="majorHAnsi"/>
          <w:b w:val="0"/>
          <w:bCs/>
        </w:rPr>
      </w:pPr>
    </w:p>
    <w:tbl>
      <w:tblPr>
        <w:tblStyle w:val="GridTable4"/>
        <w:tblW w:w="9445" w:type="dxa"/>
        <w:tblLook w:val="0420" w:firstRow="1" w:lastRow="0" w:firstColumn="0" w:lastColumn="0" w:noHBand="0" w:noVBand="1"/>
      </w:tblPr>
      <w:tblGrid>
        <w:gridCol w:w="2334"/>
        <w:gridCol w:w="7111"/>
      </w:tblGrid>
      <w:tr w:rsidRPr="000F4C13" w:rsidR="00DF232C" w:rsidTr="32B00831" w14:paraId="69BD9309"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445" w:type="dxa"/>
            <w:gridSpan w:val="2"/>
            <w:tcMar/>
          </w:tcPr>
          <w:p w:rsidRPr="000F4C13" w:rsidR="00DF232C" w:rsidP="00080769" w:rsidRDefault="00DF232C" w14:paraId="1CEDCC26" w14:textId="77777777">
            <w:pPr>
              <w:jc w:val="center"/>
              <w:rPr>
                <w:rFonts w:asciiTheme="majorHAnsi" w:hAnsiTheme="majorHAnsi" w:cstheme="majorHAnsi"/>
              </w:rPr>
            </w:pPr>
            <w:r w:rsidRPr="000F4C13">
              <w:rPr>
                <w:rFonts w:asciiTheme="majorHAnsi" w:hAnsiTheme="majorHAnsi" w:cstheme="majorHAnsi"/>
              </w:rPr>
              <w:t>Minnesota</w:t>
            </w:r>
          </w:p>
        </w:tc>
      </w:tr>
      <w:tr w:rsidRPr="000F4C13" w:rsidR="00DF232C" w:rsidTr="32B00831" w14:paraId="6FDF420F"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4" w:type="dxa"/>
            <w:shd w:val="clear" w:color="auto" w:fill="B8CCE4" w:themeFill="accent1" w:themeFillTint="66"/>
            <w:tcMar/>
          </w:tcPr>
          <w:p w:rsidRPr="000F4C13" w:rsidR="00DF232C" w:rsidP="00080769" w:rsidRDefault="00DF232C" w14:paraId="28BEBA2E" w14:textId="77777777">
            <w:pPr>
              <w:rPr>
                <w:rFonts w:asciiTheme="majorHAnsi" w:hAnsiTheme="majorHAnsi" w:cstheme="majorHAnsi"/>
                <w:b/>
                <w:bCs/>
                <w:sz w:val="22"/>
                <w:szCs w:val="22"/>
              </w:rPr>
            </w:pPr>
            <w:r w:rsidRPr="000F4C13">
              <w:rPr>
                <w:rFonts w:asciiTheme="majorHAnsi" w:hAnsiTheme="majorHAnsi" w:cstheme="majorHAnsi"/>
                <w:b/>
                <w:bCs/>
                <w:sz w:val="22"/>
                <w:szCs w:val="22"/>
              </w:rPr>
              <w:t>Statute/Bill/Regulation</w:t>
            </w:r>
          </w:p>
        </w:tc>
        <w:tc>
          <w:tcPr>
            <w:cnfStyle w:val="000000000000" w:firstRow="0" w:lastRow="0" w:firstColumn="0" w:lastColumn="0" w:oddVBand="0" w:evenVBand="0" w:oddHBand="0" w:evenHBand="0" w:firstRowFirstColumn="0" w:firstRowLastColumn="0" w:lastRowFirstColumn="0" w:lastRowLastColumn="0"/>
            <w:tcW w:w="7111" w:type="dxa"/>
            <w:shd w:val="clear" w:color="auto" w:fill="B8CCE4" w:themeFill="accent1" w:themeFillTint="66"/>
            <w:tcMar/>
          </w:tcPr>
          <w:p w:rsidRPr="000F4C13" w:rsidR="00DF232C" w:rsidP="00080769" w:rsidRDefault="00DF232C" w14:paraId="37F93E7E"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Provisions</w:t>
            </w:r>
          </w:p>
        </w:tc>
      </w:tr>
      <w:tr w:rsidRPr="000F4C13" w:rsidR="00DF232C" w:rsidTr="32B00831" w14:paraId="2AE41717" w14:textId="77777777">
        <w:trPr>
          <w:trHeight w:val="1637"/>
        </w:trPr>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32B00831" w:rsidRDefault="00DF232C" w14:paraId="62F634EE" w14:textId="77777777">
            <w:pPr>
              <w:rPr>
                <w:rFonts w:ascii="Calibri" w:hAnsi="Calibri" w:cs="Calibri" w:asciiTheme="majorAscii" w:hAnsiTheme="majorAscii" w:cstheme="majorAscii"/>
                <w:sz w:val="22"/>
                <w:szCs w:val="22"/>
                <w:lang w:val="en-US"/>
              </w:rPr>
            </w:pPr>
            <w:r w:rsidRPr="32B00831" w:rsidR="00DF232C">
              <w:rPr>
                <w:rFonts w:ascii="Calibri" w:hAnsi="Calibri" w:cs="Calibri" w:asciiTheme="majorAscii" w:hAnsiTheme="majorAscii" w:cstheme="majorAscii"/>
                <w:sz w:val="22"/>
                <w:szCs w:val="22"/>
                <w:lang w:val="en-US"/>
              </w:rPr>
              <w:t xml:space="preserve">2024 MN Statutes Chapters 59A - 79A—Insurance Chapter 72A—Insurance Industry Trade Practices Section 72A.201—Regulation </w:t>
            </w:r>
            <w:r w:rsidRPr="32B00831" w:rsidR="00DF232C">
              <w:rPr>
                <w:rFonts w:ascii="Calibri" w:hAnsi="Calibri" w:cs="Calibri" w:asciiTheme="majorAscii" w:hAnsiTheme="majorAscii" w:cstheme="majorAscii"/>
                <w:sz w:val="22"/>
                <w:szCs w:val="22"/>
                <w:lang w:val="en-US"/>
              </w:rPr>
              <w:t>Of</w:t>
            </w:r>
            <w:r w:rsidRPr="32B00831" w:rsidR="00DF232C">
              <w:rPr>
                <w:rFonts w:ascii="Calibri" w:hAnsi="Calibri" w:cs="Calibri" w:asciiTheme="majorAscii" w:hAnsiTheme="majorAscii" w:cstheme="majorAscii"/>
                <w:sz w:val="22"/>
                <w:szCs w:val="22"/>
                <w:lang w:val="en-US"/>
              </w:rPr>
              <w:t xml:space="preserve"> Claims Practices. MN Stat § 72A.201</w:t>
            </w:r>
          </w:p>
          <w:p w:rsidRPr="000F4C13" w:rsidR="00DF232C" w:rsidP="00080769" w:rsidRDefault="00DF232C" w14:paraId="1A59757D" w14:textId="77777777">
            <w:pPr>
              <w:rPr>
                <w:rFonts w:asciiTheme="majorHAnsi" w:hAnsiTheme="majorHAnsi" w:cstheme="majorHAnsi"/>
                <w:sz w:val="22"/>
                <w:szCs w:val="22"/>
              </w:rPr>
            </w:pP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32B00831" w:rsidRDefault="00DF232C" w14:paraId="74FD0CE1" w14:textId="77777777">
            <w:pPr>
              <w:rPr>
                <w:rFonts w:ascii="Calibri" w:hAnsi="Calibri" w:cs="Calibri" w:asciiTheme="majorAscii" w:hAnsiTheme="majorAscii" w:cstheme="majorAscii"/>
                <w:sz w:val="22"/>
                <w:szCs w:val="22"/>
                <w:lang w:val="en-US"/>
              </w:rPr>
            </w:pPr>
            <w:r w:rsidRPr="32B00831" w:rsidR="00DF232C">
              <w:rPr>
                <w:rFonts w:ascii="Calibri" w:hAnsi="Calibri" w:cs="Calibri" w:asciiTheme="majorAscii" w:hAnsiTheme="majorAscii" w:cstheme="majorAscii"/>
                <w:sz w:val="22"/>
                <w:szCs w:val="22"/>
                <w:lang w:val="en-US"/>
              </w:rPr>
              <w:t>Ensures</w:t>
            </w:r>
            <w:r w:rsidRPr="32B00831" w:rsidR="00DF232C">
              <w:rPr>
                <w:rFonts w:ascii="Calibri" w:hAnsi="Calibri" w:cs="Calibri" w:asciiTheme="majorAscii" w:hAnsiTheme="majorAscii" w:cstheme="majorAscii"/>
                <w:sz w:val="22"/>
                <w:szCs w:val="22"/>
                <w:lang w:val="en-US"/>
              </w:rPr>
              <w:t xml:space="preserve"> the prompt, fair, and honest processing of claims and complaints.</w:t>
            </w:r>
          </w:p>
        </w:tc>
      </w:tr>
      <w:tr w:rsidRPr="000F4C13" w:rsidR="00DF232C" w:rsidTr="32B00831" w14:paraId="10A479B8"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DF232C" w14:paraId="0B5690DF" w14:textId="77777777">
            <w:pPr>
              <w:rPr>
                <w:rFonts w:asciiTheme="majorHAnsi" w:hAnsiTheme="majorHAnsi" w:cstheme="majorHAnsi"/>
                <w:sz w:val="22"/>
                <w:szCs w:val="22"/>
              </w:rPr>
            </w:pPr>
            <w:r w:rsidRPr="000F4C13">
              <w:rPr>
                <w:rFonts w:asciiTheme="majorHAnsi" w:hAnsiTheme="majorHAnsi" w:cstheme="majorHAnsi"/>
                <w:sz w:val="22"/>
                <w:szCs w:val="22"/>
              </w:rPr>
              <w:t>65A.28, 65A.29</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32B00831" w:rsidRDefault="00DF232C" w14:paraId="13006161" w14:textId="77777777">
            <w:pPr>
              <w:rPr>
                <w:rFonts w:ascii="Calibri" w:hAnsi="Calibri" w:cs="Calibri" w:asciiTheme="majorAscii" w:hAnsiTheme="majorAscii" w:cstheme="majorAscii"/>
                <w:sz w:val="22"/>
                <w:szCs w:val="22"/>
                <w:lang w:val="en-US"/>
              </w:rPr>
            </w:pPr>
            <w:r w:rsidRPr="32B00831" w:rsidR="00DF232C">
              <w:rPr>
                <w:rFonts w:ascii="Calibri" w:hAnsi="Calibri" w:cs="Calibri" w:asciiTheme="majorAscii" w:hAnsiTheme="majorAscii" w:cstheme="majorAscii"/>
                <w:sz w:val="22"/>
                <w:szCs w:val="22"/>
                <w:lang w:val="en-US"/>
              </w:rPr>
              <w:t xml:space="preserve">Insurers must </w:t>
            </w:r>
            <w:r w:rsidRPr="32B00831" w:rsidR="00DF232C">
              <w:rPr>
                <w:rFonts w:ascii="Calibri" w:hAnsi="Calibri" w:cs="Calibri" w:asciiTheme="majorAscii" w:hAnsiTheme="majorAscii" w:cstheme="majorAscii"/>
                <w:sz w:val="22"/>
                <w:szCs w:val="22"/>
                <w:lang w:val="en-US"/>
              </w:rPr>
              <w:t>submit</w:t>
            </w:r>
            <w:r w:rsidRPr="32B00831" w:rsidR="00DF232C">
              <w:rPr>
                <w:rFonts w:ascii="Calibri" w:hAnsi="Calibri" w:cs="Calibri" w:asciiTheme="majorAscii" w:hAnsiTheme="majorAscii" w:cstheme="majorAscii"/>
                <w:sz w:val="22"/>
                <w:szCs w:val="22"/>
                <w:lang w:val="en-US"/>
              </w:rPr>
              <w:t xml:space="preserve"> certain homeowners’ insurance data annually</w:t>
            </w:r>
          </w:p>
        </w:tc>
      </w:tr>
      <w:tr w:rsidRPr="000F4C13" w:rsidR="00DF232C" w:rsidTr="32B00831" w14:paraId="0E4F942D" w14:textId="77777777">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DF232C" w14:paraId="10DE3328" w14:textId="77777777">
            <w:pPr>
              <w:rPr>
                <w:rFonts w:asciiTheme="majorHAnsi" w:hAnsiTheme="majorHAnsi" w:cstheme="majorHAnsi"/>
                <w:sz w:val="22"/>
                <w:szCs w:val="22"/>
              </w:rPr>
            </w:pPr>
            <w:r w:rsidRPr="000F4C13">
              <w:rPr>
                <w:rFonts w:asciiTheme="majorHAnsi" w:hAnsiTheme="majorHAnsi" w:cstheme="majorHAnsi"/>
                <w:sz w:val="22"/>
                <w:szCs w:val="22"/>
              </w:rPr>
              <w:t>Chapter 62E, Section 62E.23</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00080769" w:rsidRDefault="00DF232C" w14:paraId="375D388F" w14:textId="77777777">
            <w:pPr>
              <w:rPr>
                <w:rFonts w:asciiTheme="majorHAnsi" w:hAnsiTheme="majorHAnsi" w:cstheme="majorHAnsi"/>
                <w:sz w:val="22"/>
                <w:szCs w:val="22"/>
              </w:rPr>
            </w:pPr>
            <w:r w:rsidRPr="000F4C13">
              <w:rPr>
                <w:rFonts w:asciiTheme="majorHAnsi" w:hAnsiTheme="majorHAnsi" w:cstheme="majorHAnsi"/>
                <w:sz w:val="22"/>
                <w:szCs w:val="22"/>
              </w:rPr>
              <w:t>Commissioner may call a public hearing if insurer proposes premium rate increase of 25%+ within 12 months</w:t>
            </w:r>
          </w:p>
        </w:tc>
      </w:tr>
      <w:tr w:rsidRPr="000F4C13" w:rsidR="00DF232C" w:rsidTr="32B00831" w14:paraId="7EDA9B1D"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DF232C" w14:paraId="1DF44E1A" w14:textId="77777777">
            <w:pPr>
              <w:rPr>
                <w:rFonts w:asciiTheme="majorHAnsi" w:hAnsiTheme="majorHAnsi" w:cstheme="majorHAnsi"/>
                <w:sz w:val="22"/>
                <w:szCs w:val="22"/>
              </w:rPr>
            </w:pPr>
            <w:r w:rsidRPr="000F4C13">
              <w:rPr>
                <w:rFonts w:asciiTheme="majorHAnsi" w:hAnsiTheme="majorHAnsi" w:cstheme="majorHAnsi"/>
                <w:sz w:val="22"/>
                <w:szCs w:val="22"/>
              </w:rPr>
              <w:t>65A.298</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00080769" w:rsidRDefault="00DF232C" w14:paraId="4065076C" w14:textId="77777777">
            <w:pPr>
              <w:rPr>
                <w:rFonts w:asciiTheme="majorHAnsi" w:hAnsiTheme="majorHAnsi" w:cstheme="majorHAnsi"/>
                <w:sz w:val="22"/>
                <w:szCs w:val="22"/>
              </w:rPr>
            </w:pPr>
            <w:r w:rsidRPr="000F4C13">
              <w:rPr>
                <w:rFonts w:asciiTheme="majorHAnsi" w:hAnsiTheme="majorHAnsi" w:cstheme="majorHAnsi"/>
                <w:sz w:val="22"/>
                <w:szCs w:val="22"/>
              </w:rPr>
              <w:t>Insurers must offer premium discounts/rate reductions for meeting FORTIFIED Home standards</w:t>
            </w:r>
          </w:p>
        </w:tc>
      </w:tr>
      <w:tr w:rsidRPr="000F4C13" w:rsidR="00DF232C" w:rsidTr="32B00831" w14:paraId="39CF6B08" w14:textId="77777777">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DF232C" w14:paraId="237DA26B" w14:textId="77777777">
            <w:pPr>
              <w:rPr>
                <w:rFonts w:asciiTheme="majorHAnsi" w:hAnsiTheme="majorHAnsi" w:cstheme="majorHAnsi"/>
                <w:sz w:val="22"/>
                <w:szCs w:val="22"/>
              </w:rPr>
            </w:pPr>
            <w:r w:rsidRPr="000F4C13">
              <w:rPr>
                <w:rFonts w:asciiTheme="majorHAnsi" w:hAnsiTheme="majorHAnsi" w:cstheme="majorHAnsi"/>
                <w:sz w:val="22"/>
                <w:szCs w:val="22"/>
              </w:rPr>
              <w:t>65A.31 to 65A.42</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00080769" w:rsidRDefault="00DF232C" w14:paraId="25CCB884" w14:textId="77777777">
            <w:pPr>
              <w:rPr>
                <w:rFonts w:asciiTheme="majorHAnsi" w:hAnsiTheme="majorHAnsi" w:cstheme="majorHAnsi"/>
                <w:sz w:val="22"/>
                <w:szCs w:val="22"/>
              </w:rPr>
            </w:pPr>
            <w:r w:rsidRPr="000F4C13">
              <w:rPr>
                <w:rFonts w:asciiTheme="majorHAnsi" w:hAnsiTheme="majorHAnsi" w:cstheme="majorHAnsi"/>
                <w:sz w:val="22"/>
                <w:szCs w:val="22"/>
              </w:rPr>
              <w:t>Established the FAIR plan</w:t>
            </w:r>
          </w:p>
        </w:tc>
      </w:tr>
      <w:tr w:rsidRPr="000F4C13" w:rsidR="00DF232C" w:rsidTr="32B00831" w14:paraId="6AF87C9E"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DF232C" w14:paraId="6549EBE5" w14:textId="77777777">
            <w:pPr>
              <w:rPr>
                <w:rFonts w:asciiTheme="majorHAnsi" w:hAnsiTheme="majorHAnsi" w:cstheme="majorHAnsi"/>
                <w:sz w:val="22"/>
                <w:szCs w:val="22"/>
              </w:rPr>
            </w:pPr>
            <w:r w:rsidRPr="000F4C13">
              <w:rPr>
                <w:rFonts w:asciiTheme="majorHAnsi" w:hAnsiTheme="majorHAnsi" w:cstheme="majorHAnsi"/>
                <w:sz w:val="22"/>
                <w:szCs w:val="22"/>
              </w:rPr>
              <w:t>65A.01</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00080769" w:rsidRDefault="00DF232C" w14:paraId="5FEB8FCC" w14:textId="77777777">
            <w:pPr>
              <w:rPr>
                <w:rFonts w:asciiTheme="majorHAnsi" w:hAnsiTheme="majorHAnsi" w:cstheme="majorHAnsi"/>
                <w:sz w:val="22"/>
                <w:szCs w:val="22"/>
              </w:rPr>
            </w:pPr>
            <w:r w:rsidRPr="000F4C13">
              <w:rPr>
                <w:rFonts w:asciiTheme="majorHAnsi" w:hAnsiTheme="majorHAnsi" w:cstheme="majorHAnsi"/>
                <w:sz w:val="22"/>
                <w:szCs w:val="22"/>
              </w:rPr>
              <w:t>All homeowners' insurance policies must include fire insurance coverage</w:t>
            </w:r>
          </w:p>
        </w:tc>
      </w:tr>
      <w:tr w:rsidRPr="000F4C13" w:rsidR="00DF232C" w:rsidTr="32B00831" w14:paraId="378FBE62" w14:textId="77777777">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E11700" w14:paraId="59D1AEBC" w14:textId="1152892D">
            <w:pPr>
              <w:rPr>
                <w:rFonts w:asciiTheme="majorHAnsi" w:hAnsiTheme="majorHAnsi" w:cstheme="majorHAnsi"/>
                <w:sz w:val="22"/>
                <w:szCs w:val="22"/>
              </w:rPr>
            </w:pPr>
            <w:r w:rsidRPr="000F4C13">
              <w:rPr>
                <w:rFonts w:asciiTheme="majorHAnsi" w:hAnsiTheme="majorHAnsi" w:cstheme="majorHAnsi"/>
                <w:sz w:val="22"/>
                <w:szCs w:val="22"/>
              </w:rPr>
              <w:t>2020 Minnesota State Building Code</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00080769" w:rsidRDefault="00E11700" w14:paraId="5C294D85" w14:textId="043ED643">
            <w:pPr>
              <w:rPr>
                <w:rFonts w:asciiTheme="majorHAnsi" w:hAnsiTheme="majorHAnsi" w:cstheme="majorHAnsi"/>
                <w:sz w:val="22"/>
                <w:szCs w:val="22"/>
              </w:rPr>
            </w:pPr>
            <w:r w:rsidRPr="000F4C13">
              <w:rPr>
                <w:rFonts w:asciiTheme="majorHAnsi" w:hAnsiTheme="majorHAnsi" w:cstheme="majorHAnsi"/>
                <w:sz w:val="22"/>
                <w:szCs w:val="22"/>
              </w:rPr>
              <w:t>Includes flood design data requirements; mandates new construction and improvements in flood hazard areas resist flood hazards and loads</w:t>
            </w:r>
          </w:p>
        </w:tc>
      </w:tr>
      <w:tr w:rsidRPr="000F4C13" w:rsidR="00DF232C" w:rsidTr="32B00831" w14:paraId="54D3A9E1"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9B2B39" w14:paraId="208791FE" w14:textId="79AE71D9">
            <w:pPr>
              <w:rPr>
                <w:rFonts w:asciiTheme="majorHAnsi" w:hAnsiTheme="majorHAnsi" w:cstheme="majorHAnsi"/>
                <w:sz w:val="22"/>
                <w:szCs w:val="22"/>
              </w:rPr>
            </w:pPr>
            <w:r w:rsidRPr="000F4C13">
              <w:rPr>
                <w:rFonts w:asciiTheme="majorHAnsi" w:hAnsiTheme="majorHAnsi" w:cstheme="majorHAnsi"/>
                <w:sz w:val="22"/>
                <w:szCs w:val="22"/>
              </w:rPr>
              <w:t>65A.298</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00080769" w:rsidRDefault="009B2B39" w14:paraId="0BF86F54" w14:textId="345283CD">
            <w:pPr>
              <w:rPr>
                <w:rFonts w:asciiTheme="majorHAnsi" w:hAnsiTheme="majorHAnsi" w:cstheme="majorHAnsi"/>
                <w:sz w:val="22"/>
                <w:szCs w:val="22"/>
              </w:rPr>
            </w:pPr>
            <w:r w:rsidRPr="000F4C13">
              <w:rPr>
                <w:rFonts w:asciiTheme="majorHAnsi" w:hAnsiTheme="majorHAnsi" w:cstheme="majorHAnsi"/>
                <w:sz w:val="22"/>
                <w:szCs w:val="22"/>
              </w:rPr>
              <w:t xml:space="preserve">Requires insurers to offer mandatory premium or rate reductions to consumers who put a FORTIFIED </w:t>
            </w:r>
            <w:r w:rsidRPr="000F4C13" w:rsidR="00331A04">
              <w:rPr>
                <w:rFonts w:asciiTheme="majorHAnsi" w:hAnsiTheme="majorHAnsi" w:cstheme="majorHAnsi"/>
                <w:sz w:val="22"/>
                <w:szCs w:val="22"/>
              </w:rPr>
              <w:t>roof on their home</w:t>
            </w:r>
          </w:p>
        </w:tc>
      </w:tr>
      <w:tr w:rsidRPr="000F4C13" w:rsidR="00DF232C" w:rsidTr="32B00831" w14:paraId="55959F70" w14:textId="77777777">
        <w:tc>
          <w:tcPr>
            <w:cnfStyle w:val="000000000000" w:firstRow="0" w:lastRow="0" w:firstColumn="0" w:lastColumn="0" w:oddVBand="0" w:evenVBand="0" w:oddHBand="0" w:evenHBand="0" w:firstRowFirstColumn="0" w:firstRowLastColumn="0" w:lastRowFirstColumn="0" w:lastRowLastColumn="0"/>
            <w:tcW w:w="2334" w:type="dxa"/>
            <w:tcMar/>
          </w:tcPr>
          <w:p w:rsidRPr="000F4C13" w:rsidR="00DF232C" w:rsidP="00080769" w:rsidRDefault="00331A04" w14:paraId="5728F7B3" w14:textId="5C970D96">
            <w:pPr>
              <w:rPr>
                <w:rFonts w:asciiTheme="majorHAnsi" w:hAnsiTheme="majorHAnsi" w:cstheme="majorHAnsi"/>
                <w:sz w:val="22"/>
                <w:szCs w:val="22"/>
              </w:rPr>
            </w:pPr>
            <w:r w:rsidRPr="000F4C13">
              <w:rPr>
                <w:rFonts w:asciiTheme="majorHAnsi" w:hAnsiTheme="majorHAnsi" w:cstheme="majorHAnsi"/>
                <w:sz w:val="22"/>
                <w:szCs w:val="22"/>
              </w:rPr>
              <w:t>65A.299</w:t>
            </w:r>
          </w:p>
        </w:tc>
        <w:tc>
          <w:tcPr>
            <w:cnfStyle w:val="000000000000" w:firstRow="0" w:lastRow="0" w:firstColumn="0" w:lastColumn="0" w:oddVBand="0" w:evenVBand="0" w:oddHBand="0" w:evenHBand="0" w:firstRowFirstColumn="0" w:firstRowLastColumn="0" w:lastRowFirstColumn="0" w:lastRowLastColumn="0"/>
            <w:tcW w:w="7111" w:type="dxa"/>
            <w:tcMar/>
          </w:tcPr>
          <w:p w:rsidRPr="000F4C13" w:rsidR="00DF232C" w:rsidP="00080769" w:rsidRDefault="00331A04" w14:paraId="59B37B7F" w14:textId="29F12396">
            <w:pPr>
              <w:rPr>
                <w:rFonts w:asciiTheme="majorHAnsi" w:hAnsiTheme="majorHAnsi" w:cstheme="majorHAnsi"/>
                <w:sz w:val="22"/>
                <w:szCs w:val="22"/>
              </w:rPr>
            </w:pPr>
            <w:r w:rsidRPr="000F4C13">
              <w:rPr>
                <w:rFonts w:asciiTheme="majorHAnsi" w:hAnsiTheme="majorHAnsi" w:cstheme="majorHAnsi"/>
                <w:sz w:val="22"/>
                <w:szCs w:val="22"/>
              </w:rPr>
              <w:t>Strengthen Minnesota Homes program enabling statute</w:t>
            </w:r>
          </w:p>
        </w:tc>
      </w:tr>
    </w:tbl>
    <w:p w:rsidRPr="000F4C13" w:rsidR="00C31F04" w:rsidP="00C31F04" w:rsidRDefault="00C31F04" w14:paraId="2891A9F2" w14:textId="77777777">
      <w:pPr>
        <w:pStyle w:val="outlinep3bh4"/>
        <w:numPr>
          <w:ilvl w:val="0"/>
          <w:numId w:val="0"/>
        </w:numPr>
        <w:spacing w:before="0"/>
        <w:ind w:left="720"/>
        <w:outlineLvl w:val="9"/>
        <w:rPr>
          <w:rFonts w:asciiTheme="majorHAnsi" w:hAnsiTheme="majorHAnsi" w:cstheme="majorHAnsi"/>
          <w:b w:val="0"/>
          <w:bCs/>
        </w:rPr>
      </w:pPr>
    </w:p>
    <w:tbl>
      <w:tblPr>
        <w:tblStyle w:val="GridTable4"/>
        <w:tblW w:w="9445" w:type="dxa"/>
        <w:tblLook w:val="0420" w:firstRow="1" w:lastRow="0" w:firstColumn="0" w:lastColumn="0" w:noHBand="0" w:noVBand="1"/>
      </w:tblPr>
      <w:tblGrid>
        <w:gridCol w:w="2335"/>
        <w:gridCol w:w="7110"/>
      </w:tblGrid>
      <w:tr w:rsidRPr="000F4C13" w:rsidR="00C31F04" w:rsidTr="00405F92" w14:paraId="4160B890" w14:textId="77777777">
        <w:trPr>
          <w:cnfStyle w:val="100000000000" w:firstRow="1" w:lastRow="0" w:firstColumn="0" w:lastColumn="0" w:oddVBand="0" w:evenVBand="0" w:oddHBand="0" w:evenHBand="0" w:firstRowFirstColumn="0" w:firstRowLastColumn="0" w:lastRowFirstColumn="0" w:lastRowLastColumn="0"/>
        </w:trPr>
        <w:tc>
          <w:tcPr>
            <w:tcW w:w="9445" w:type="dxa"/>
            <w:gridSpan w:val="2"/>
          </w:tcPr>
          <w:p w:rsidRPr="000F4C13" w:rsidR="00C31F04" w:rsidP="00405F92" w:rsidRDefault="00C31F04" w14:paraId="7731824D" w14:textId="77777777">
            <w:pPr>
              <w:jc w:val="center"/>
              <w:rPr>
                <w:rFonts w:asciiTheme="majorHAnsi" w:hAnsiTheme="majorHAnsi" w:cstheme="majorHAnsi"/>
              </w:rPr>
            </w:pPr>
            <w:r w:rsidRPr="000F4C13">
              <w:rPr>
                <w:rFonts w:asciiTheme="majorHAnsi" w:hAnsiTheme="majorHAnsi" w:cstheme="majorHAnsi"/>
              </w:rPr>
              <w:t>Mississippi</w:t>
            </w:r>
          </w:p>
        </w:tc>
      </w:tr>
      <w:tr w:rsidRPr="000F4C13" w:rsidR="00C31F04" w:rsidTr="00AF208A" w14:paraId="0436A90E" w14:textId="77777777">
        <w:trPr>
          <w:cnfStyle w:val="000000100000" w:firstRow="0" w:lastRow="0" w:firstColumn="0" w:lastColumn="0" w:oddVBand="0" w:evenVBand="0" w:oddHBand="1" w:evenHBand="0" w:firstRowFirstColumn="0" w:firstRowLastColumn="0" w:lastRowFirstColumn="0" w:lastRowLastColumn="0"/>
        </w:trPr>
        <w:tc>
          <w:tcPr>
            <w:tcW w:w="2335" w:type="dxa"/>
            <w:shd w:val="clear" w:color="auto" w:fill="B8CCE4" w:themeFill="accent1" w:themeFillTint="66"/>
          </w:tcPr>
          <w:p w:rsidRPr="000F4C13" w:rsidR="00C31F04" w:rsidP="00405F92" w:rsidRDefault="00C31F04" w14:paraId="36953811" w14:textId="77777777">
            <w:pPr>
              <w:rPr>
                <w:rFonts w:asciiTheme="majorHAnsi" w:hAnsiTheme="majorHAnsi" w:cstheme="majorHAnsi"/>
                <w:b/>
                <w:bCs/>
                <w:sz w:val="22"/>
                <w:szCs w:val="22"/>
              </w:rPr>
            </w:pPr>
            <w:r w:rsidRPr="000F4C13">
              <w:rPr>
                <w:rFonts w:asciiTheme="majorHAnsi" w:hAnsiTheme="majorHAnsi" w:cstheme="majorHAnsi"/>
                <w:b/>
                <w:bCs/>
                <w:sz w:val="22"/>
                <w:szCs w:val="22"/>
              </w:rPr>
              <w:t>Bill/Rule/Section</w:t>
            </w:r>
          </w:p>
        </w:tc>
        <w:tc>
          <w:tcPr>
            <w:tcW w:w="7110" w:type="dxa"/>
            <w:shd w:val="clear" w:color="auto" w:fill="B8CCE4" w:themeFill="accent1" w:themeFillTint="66"/>
          </w:tcPr>
          <w:p w:rsidRPr="000F4C13" w:rsidR="00C31F04" w:rsidP="00405F92" w:rsidRDefault="00C31F04" w14:paraId="1594B028"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w:t>
            </w:r>
          </w:p>
        </w:tc>
      </w:tr>
      <w:tr w:rsidRPr="000F4C13" w:rsidR="00C31F04" w:rsidTr="00AF208A" w14:paraId="6F7B68B2" w14:textId="77777777">
        <w:tc>
          <w:tcPr>
            <w:tcW w:w="2335" w:type="dxa"/>
          </w:tcPr>
          <w:p w:rsidRPr="000F4C13" w:rsidR="00C31F04" w:rsidP="00405F92" w:rsidRDefault="00C31F04" w14:paraId="40002C3E" w14:textId="77777777">
            <w:pPr>
              <w:rPr>
                <w:rFonts w:asciiTheme="majorHAnsi" w:hAnsiTheme="majorHAnsi" w:cstheme="majorHAnsi"/>
                <w:sz w:val="22"/>
                <w:szCs w:val="22"/>
              </w:rPr>
            </w:pPr>
            <w:hyperlink w:history="1" r:id="rId263">
              <w:r w:rsidRPr="000F4C13">
                <w:rPr>
                  <w:rFonts w:eastAsia="MS Mincho" w:asciiTheme="majorHAnsi" w:hAnsiTheme="majorHAnsi" w:cstheme="majorHAnsi"/>
                  <w:color w:val="0000FF"/>
                  <w:u w:val="single"/>
                </w:rPr>
                <w:t>Mississippi Building Code Council update (2022)</w:t>
              </w:r>
            </w:hyperlink>
          </w:p>
        </w:tc>
        <w:tc>
          <w:tcPr>
            <w:tcW w:w="7110" w:type="dxa"/>
          </w:tcPr>
          <w:p w:rsidRPr="000F4C13" w:rsidR="00C31F04" w:rsidP="00405F92" w:rsidRDefault="00C31F04" w14:paraId="61AE1C2A" w14:textId="77777777">
            <w:pPr>
              <w:rPr>
                <w:rFonts w:asciiTheme="majorHAnsi" w:hAnsiTheme="majorHAnsi" w:cstheme="majorHAnsi"/>
                <w:sz w:val="22"/>
                <w:szCs w:val="22"/>
              </w:rPr>
            </w:pPr>
            <w:r w:rsidRPr="000F4C13">
              <w:rPr>
                <w:rFonts w:asciiTheme="majorHAnsi" w:hAnsiTheme="majorHAnsi" w:cstheme="majorHAnsi"/>
                <w:sz w:val="22"/>
                <w:szCs w:val="22"/>
              </w:rPr>
              <w:t>Building-code update in hurricane/flood zones</w:t>
            </w:r>
          </w:p>
        </w:tc>
      </w:tr>
      <w:tr w:rsidRPr="000F4C13" w:rsidR="00C31F04" w:rsidTr="00AF208A" w14:paraId="6D75E8E7" w14:textId="77777777">
        <w:trPr>
          <w:cnfStyle w:val="000000100000" w:firstRow="0" w:lastRow="0" w:firstColumn="0" w:lastColumn="0" w:oddVBand="0" w:evenVBand="0" w:oddHBand="1" w:evenHBand="0" w:firstRowFirstColumn="0" w:firstRowLastColumn="0" w:lastRowFirstColumn="0" w:lastRowLastColumn="0"/>
        </w:trPr>
        <w:tc>
          <w:tcPr>
            <w:tcW w:w="2335" w:type="dxa"/>
          </w:tcPr>
          <w:p w:rsidRPr="000F4C13" w:rsidR="00C31F04" w:rsidP="00405F92" w:rsidRDefault="00C31F04" w14:paraId="6C6C7504" w14:textId="77777777">
            <w:pPr>
              <w:rPr>
                <w:rFonts w:asciiTheme="majorHAnsi" w:hAnsiTheme="majorHAnsi" w:cstheme="majorHAnsi"/>
                <w:sz w:val="22"/>
                <w:szCs w:val="22"/>
              </w:rPr>
            </w:pPr>
            <w:hyperlink w:history="1" r:id="rId264">
              <w:r w:rsidRPr="000F4C13">
                <w:rPr>
                  <w:rFonts w:eastAsia="MS Mincho" w:asciiTheme="majorHAnsi" w:hAnsiTheme="majorHAnsi" w:cstheme="majorHAnsi"/>
                  <w:color w:val="0000FF"/>
                  <w:u w:val="single"/>
                </w:rPr>
                <w:t>Mississippi Homeowner Insurance Policyholder Bill of Rights</w:t>
              </w:r>
            </w:hyperlink>
          </w:p>
        </w:tc>
        <w:tc>
          <w:tcPr>
            <w:tcW w:w="7110" w:type="dxa"/>
          </w:tcPr>
          <w:p w:rsidRPr="000F4C13" w:rsidR="00C31F04" w:rsidP="00405F92" w:rsidRDefault="00C31F04" w14:paraId="17D1FA24" w14:textId="77777777">
            <w:pPr>
              <w:rPr>
                <w:rFonts w:asciiTheme="majorHAnsi" w:hAnsiTheme="majorHAnsi" w:cstheme="majorHAnsi"/>
                <w:sz w:val="22"/>
                <w:szCs w:val="22"/>
              </w:rPr>
            </w:pPr>
            <w:r w:rsidRPr="000F4C13">
              <w:rPr>
                <w:rFonts w:asciiTheme="majorHAnsi" w:hAnsiTheme="majorHAnsi" w:cstheme="majorHAnsi"/>
                <w:sz w:val="22"/>
                <w:szCs w:val="22"/>
              </w:rPr>
              <w:t>Enacts homeowner insurance policyholder protections</w:t>
            </w:r>
          </w:p>
        </w:tc>
      </w:tr>
      <w:tr w:rsidRPr="000F4C13" w:rsidR="00C31F04" w:rsidTr="00AF208A" w14:paraId="45E56C82" w14:textId="77777777">
        <w:tc>
          <w:tcPr>
            <w:tcW w:w="2335" w:type="dxa"/>
          </w:tcPr>
          <w:p w:rsidRPr="000F4C13" w:rsidR="00C31F04" w:rsidP="00405F92" w:rsidRDefault="00C31F04" w14:paraId="5F74DE1A" w14:textId="77777777">
            <w:pPr>
              <w:rPr>
                <w:rFonts w:asciiTheme="majorHAnsi" w:hAnsiTheme="majorHAnsi" w:cstheme="majorHAnsi"/>
                <w:sz w:val="22"/>
                <w:szCs w:val="22"/>
              </w:rPr>
            </w:pPr>
            <w:hyperlink w:history="1" r:id="rId265">
              <w:r w:rsidRPr="000F4C13">
                <w:rPr>
                  <w:rStyle w:val="Hyperlink"/>
                  <w:rFonts w:eastAsia="MS Mincho" w:asciiTheme="majorHAnsi" w:hAnsiTheme="majorHAnsi" w:cstheme="majorHAnsi"/>
                </w:rPr>
                <w:t>Strengthen Mississippi Homes Program</w:t>
              </w:r>
            </w:hyperlink>
          </w:p>
        </w:tc>
        <w:tc>
          <w:tcPr>
            <w:tcW w:w="7110" w:type="dxa"/>
          </w:tcPr>
          <w:p w:rsidRPr="000F4C13" w:rsidR="00C31F04" w:rsidP="00405F92" w:rsidRDefault="00C31F04" w14:paraId="217972C6" w14:textId="77777777">
            <w:pPr>
              <w:rPr>
                <w:rFonts w:asciiTheme="majorHAnsi" w:hAnsiTheme="majorHAnsi" w:cstheme="majorHAnsi"/>
                <w:sz w:val="22"/>
                <w:szCs w:val="22"/>
              </w:rPr>
            </w:pPr>
            <w:r w:rsidRPr="000F4C13">
              <w:rPr>
                <w:rFonts w:asciiTheme="majorHAnsi" w:hAnsiTheme="majorHAnsi" w:cstheme="majorHAnsi"/>
                <w:sz w:val="22"/>
                <w:szCs w:val="22"/>
              </w:rPr>
              <w:t>Mitigation grant program for wind/hurricane/tornado resilience</w:t>
            </w:r>
          </w:p>
          <w:p w:rsidRPr="000F4C13" w:rsidR="00C31F04" w:rsidP="00405F92" w:rsidRDefault="00C31F04" w14:paraId="4B34DBEA" w14:textId="77777777">
            <w:pPr>
              <w:rPr>
                <w:rFonts w:asciiTheme="majorHAnsi" w:hAnsiTheme="majorHAnsi" w:cstheme="majorHAnsi"/>
                <w:sz w:val="22"/>
                <w:szCs w:val="22"/>
              </w:rPr>
            </w:pPr>
            <w:r w:rsidRPr="000F4C13">
              <w:rPr>
                <w:rFonts w:eastAsia="MS Mincho" w:asciiTheme="majorHAnsi" w:hAnsiTheme="majorHAnsi" w:cstheme="majorHAnsi"/>
                <w:color w:val="EE0000"/>
                <w:sz w:val="22"/>
                <w:szCs w:val="22"/>
              </w:rPr>
              <w:t>(Suspended Pending 2026 Legislative Session)</w:t>
            </w:r>
          </w:p>
        </w:tc>
      </w:tr>
      <w:tr w:rsidRPr="000F4C13" w:rsidR="00C31F04" w:rsidTr="00AF208A" w14:paraId="49A560BF" w14:textId="77777777">
        <w:trPr>
          <w:cnfStyle w:val="000000100000" w:firstRow="0" w:lastRow="0" w:firstColumn="0" w:lastColumn="0" w:oddVBand="0" w:evenVBand="0" w:oddHBand="1" w:evenHBand="0" w:firstRowFirstColumn="0" w:firstRowLastColumn="0" w:lastRowFirstColumn="0" w:lastRowLastColumn="0"/>
        </w:trPr>
        <w:tc>
          <w:tcPr>
            <w:tcW w:w="2335" w:type="dxa"/>
          </w:tcPr>
          <w:p w:rsidRPr="000F4C13" w:rsidR="00C31F04" w:rsidP="00405F92" w:rsidRDefault="00C31F04" w14:paraId="0D80A287" w14:textId="77777777">
            <w:pPr>
              <w:rPr>
                <w:rFonts w:asciiTheme="majorHAnsi" w:hAnsiTheme="majorHAnsi" w:cstheme="majorHAnsi"/>
                <w:sz w:val="22"/>
                <w:szCs w:val="22"/>
              </w:rPr>
            </w:pPr>
            <w:hyperlink w:history="1" r:id="rId266">
              <w:r w:rsidRPr="000F4C13">
                <w:rPr>
                  <w:rFonts w:eastAsia="MS Mincho" w:asciiTheme="majorHAnsi" w:hAnsiTheme="majorHAnsi" w:cstheme="majorHAnsi"/>
                  <w:color w:val="0000FF"/>
                  <w:u w:val="single"/>
                </w:rPr>
                <w:t>SB 2130</w:t>
              </w:r>
            </w:hyperlink>
            <w:r w:rsidRPr="000F4C13">
              <w:rPr>
                <w:rFonts w:asciiTheme="majorHAnsi" w:hAnsiTheme="majorHAnsi" w:cstheme="majorHAnsi"/>
              </w:rPr>
              <w:t xml:space="preserve"> (2024)</w:t>
            </w:r>
          </w:p>
        </w:tc>
        <w:tc>
          <w:tcPr>
            <w:tcW w:w="7110" w:type="dxa"/>
          </w:tcPr>
          <w:p w:rsidRPr="000F4C13" w:rsidR="00C31F04" w:rsidP="00405F92" w:rsidRDefault="00C31F04" w14:paraId="1AE7CCB8" w14:textId="77777777">
            <w:pPr>
              <w:rPr>
                <w:rFonts w:asciiTheme="majorHAnsi" w:hAnsiTheme="majorHAnsi" w:cstheme="majorHAnsi"/>
                <w:sz w:val="22"/>
                <w:szCs w:val="22"/>
              </w:rPr>
            </w:pPr>
            <w:r w:rsidRPr="000F4C13">
              <w:rPr>
                <w:rFonts w:asciiTheme="majorHAnsi" w:hAnsiTheme="majorHAnsi" w:cstheme="majorHAnsi"/>
                <w:sz w:val="22"/>
                <w:szCs w:val="22"/>
              </w:rPr>
              <w:t>Prohibits insurer from cancelling/denying coverage solely due to roof age</w:t>
            </w:r>
          </w:p>
        </w:tc>
      </w:tr>
      <w:tr w:rsidRPr="000F4C13" w:rsidR="00C31F04" w:rsidTr="00AF208A" w14:paraId="178BA2F2" w14:textId="77777777">
        <w:tc>
          <w:tcPr>
            <w:tcW w:w="2335" w:type="dxa"/>
          </w:tcPr>
          <w:p w:rsidRPr="000F4C13" w:rsidR="00C31F04" w:rsidP="00405F92" w:rsidRDefault="00C31F04" w14:paraId="687D582D" w14:textId="77777777">
            <w:pPr>
              <w:rPr>
                <w:rFonts w:asciiTheme="majorHAnsi" w:hAnsiTheme="majorHAnsi" w:cstheme="majorHAnsi"/>
                <w:sz w:val="22"/>
                <w:szCs w:val="22"/>
              </w:rPr>
            </w:pPr>
            <w:hyperlink w:history="1" r:id="rId267">
              <w:r w:rsidRPr="000F4C13">
                <w:rPr>
                  <w:rFonts w:eastAsia="MS Mincho" w:asciiTheme="majorHAnsi" w:hAnsiTheme="majorHAnsi" w:cstheme="majorHAnsi"/>
                  <w:color w:val="0000FF"/>
                  <w:u w:val="single"/>
                </w:rPr>
                <w:t>§83-7-1</w:t>
              </w:r>
            </w:hyperlink>
          </w:p>
        </w:tc>
        <w:tc>
          <w:tcPr>
            <w:tcW w:w="7110" w:type="dxa"/>
          </w:tcPr>
          <w:p w:rsidRPr="000F4C13" w:rsidR="00C31F04" w:rsidP="00405F92" w:rsidRDefault="00C31F04" w14:paraId="2BAC998E" w14:textId="77777777">
            <w:pPr>
              <w:rPr>
                <w:rFonts w:asciiTheme="majorHAnsi" w:hAnsiTheme="majorHAnsi" w:cstheme="majorHAnsi"/>
                <w:sz w:val="22"/>
                <w:szCs w:val="22"/>
              </w:rPr>
            </w:pPr>
            <w:r w:rsidRPr="000F4C13">
              <w:rPr>
                <w:rFonts w:asciiTheme="majorHAnsi" w:hAnsiTheme="majorHAnsi" w:cstheme="majorHAnsi"/>
                <w:sz w:val="22"/>
                <w:szCs w:val="22"/>
              </w:rPr>
              <w:t>Mandates premium discounts for IBHS mitigation standards</w:t>
            </w:r>
          </w:p>
        </w:tc>
      </w:tr>
      <w:tr w:rsidRPr="000F4C13" w:rsidR="00C31F04" w:rsidTr="00AF208A" w14:paraId="10C27F03" w14:textId="77777777">
        <w:trPr>
          <w:cnfStyle w:val="000000100000" w:firstRow="0" w:lastRow="0" w:firstColumn="0" w:lastColumn="0" w:oddVBand="0" w:evenVBand="0" w:oddHBand="1" w:evenHBand="0" w:firstRowFirstColumn="0" w:firstRowLastColumn="0" w:lastRowFirstColumn="0" w:lastRowLastColumn="0"/>
        </w:trPr>
        <w:tc>
          <w:tcPr>
            <w:tcW w:w="2335" w:type="dxa"/>
          </w:tcPr>
          <w:p w:rsidRPr="000F4C13" w:rsidR="00C31F04" w:rsidP="00405F92" w:rsidRDefault="00C31F04" w14:paraId="62F6E6E4" w14:textId="77777777">
            <w:pPr>
              <w:rPr>
                <w:rFonts w:asciiTheme="majorHAnsi" w:hAnsiTheme="majorHAnsi" w:cstheme="majorHAnsi"/>
                <w:sz w:val="22"/>
                <w:szCs w:val="22"/>
              </w:rPr>
            </w:pPr>
            <w:hyperlink w:history="1" r:id="rId268">
              <w:r w:rsidRPr="000F4C13">
                <w:rPr>
                  <w:rFonts w:eastAsia="MS Mincho" w:asciiTheme="majorHAnsi" w:hAnsiTheme="majorHAnsi" w:cstheme="majorHAnsi"/>
                  <w:color w:val="0000FF"/>
                  <w:u w:val="single"/>
                </w:rPr>
                <w:t>H 1611</w:t>
              </w:r>
            </w:hyperlink>
            <w:r w:rsidRPr="000F4C13">
              <w:rPr>
                <w:rFonts w:asciiTheme="majorHAnsi" w:hAnsiTheme="majorHAnsi" w:cstheme="majorHAnsi"/>
              </w:rPr>
              <w:t xml:space="preserve"> (2025)</w:t>
            </w:r>
          </w:p>
        </w:tc>
        <w:tc>
          <w:tcPr>
            <w:tcW w:w="7110" w:type="dxa"/>
          </w:tcPr>
          <w:p w:rsidRPr="000F4C13" w:rsidR="00C31F04" w:rsidP="00405F92" w:rsidRDefault="00C31F04" w14:paraId="3504B5E2" w14:textId="77777777">
            <w:pPr>
              <w:rPr>
                <w:rFonts w:asciiTheme="majorHAnsi" w:hAnsiTheme="majorHAnsi" w:cstheme="majorHAnsi"/>
                <w:sz w:val="22"/>
                <w:szCs w:val="22"/>
              </w:rPr>
            </w:pPr>
            <w:r w:rsidRPr="000F4C13">
              <w:rPr>
                <w:rFonts w:asciiTheme="majorHAnsi" w:hAnsiTheme="majorHAnsi" w:cstheme="majorHAnsi"/>
                <w:sz w:val="22"/>
                <w:szCs w:val="22"/>
              </w:rPr>
              <w:t>Extends required notice period for p/c policy changes from 30 to 45 days</w:t>
            </w:r>
          </w:p>
        </w:tc>
      </w:tr>
      <w:tr w:rsidRPr="000F4C13" w:rsidR="00C31F04" w:rsidTr="00AF208A" w14:paraId="1E3E40BC" w14:textId="77777777">
        <w:tc>
          <w:tcPr>
            <w:tcW w:w="2335" w:type="dxa"/>
          </w:tcPr>
          <w:p w:rsidRPr="000F4C13" w:rsidR="00C31F04" w:rsidP="00405F92" w:rsidRDefault="00C31F04" w14:paraId="108F5CC0" w14:textId="77777777">
            <w:pPr>
              <w:rPr>
                <w:rFonts w:asciiTheme="majorHAnsi" w:hAnsiTheme="majorHAnsi" w:cstheme="majorHAnsi"/>
                <w:sz w:val="22"/>
                <w:szCs w:val="22"/>
              </w:rPr>
            </w:pPr>
            <w:r w:rsidRPr="000F4C13">
              <w:rPr>
                <w:rFonts w:eastAsia="MS Mincho" w:asciiTheme="majorHAnsi" w:hAnsiTheme="majorHAnsi" w:cstheme="majorHAnsi"/>
              </w:rPr>
              <w:t xml:space="preserve">Mississippi Code § </w:t>
            </w:r>
            <w:hyperlink w:history="1" r:id="rId269">
              <w:r w:rsidRPr="000F4C13">
                <w:rPr>
                  <w:rFonts w:eastAsia="MS Mincho" w:asciiTheme="majorHAnsi" w:hAnsiTheme="majorHAnsi" w:cstheme="majorHAnsi"/>
                  <w:color w:val="0000FF"/>
                  <w:u w:val="single"/>
                </w:rPr>
                <w:t>17-2-4</w:t>
              </w:r>
            </w:hyperlink>
          </w:p>
        </w:tc>
        <w:tc>
          <w:tcPr>
            <w:tcW w:w="7110" w:type="dxa"/>
          </w:tcPr>
          <w:p w:rsidRPr="000F4C13" w:rsidR="00C31F04" w:rsidP="00405F92" w:rsidRDefault="00C31F04" w14:paraId="66E5F03D" w14:textId="77777777">
            <w:pPr>
              <w:rPr>
                <w:rFonts w:asciiTheme="majorHAnsi" w:hAnsiTheme="majorHAnsi" w:cstheme="majorHAnsi"/>
                <w:sz w:val="22"/>
                <w:szCs w:val="22"/>
              </w:rPr>
            </w:pPr>
            <w:r w:rsidRPr="000F4C13">
              <w:rPr>
                <w:rFonts w:asciiTheme="majorHAnsi" w:hAnsiTheme="majorHAnsi" w:cstheme="majorHAnsi"/>
                <w:sz w:val="22"/>
                <w:szCs w:val="22"/>
              </w:rPr>
              <w:t>State Uniform Construction Code opt-in requirements</w:t>
            </w:r>
          </w:p>
        </w:tc>
      </w:tr>
      <w:tr w:rsidRPr="000F4C13" w:rsidR="00C31F04" w:rsidTr="00AF208A" w14:paraId="23DA744B" w14:textId="77777777">
        <w:trPr>
          <w:cnfStyle w:val="000000100000" w:firstRow="0" w:lastRow="0" w:firstColumn="0" w:lastColumn="0" w:oddVBand="0" w:evenVBand="0" w:oddHBand="1" w:evenHBand="0" w:firstRowFirstColumn="0" w:firstRowLastColumn="0" w:lastRowFirstColumn="0" w:lastRowLastColumn="0"/>
        </w:trPr>
        <w:tc>
          <w:tcPr>
            <w:tcW w:w="2335" w:type="dxa"/>
          </w:tcPr>
          <w:p w:rsidRPr="000F4C13" w:rsidR="00C31F04" w:rsidP="00405F92" w:rsidRDefault="00C31F04" w14:paraId="55462757" w14:textId="77777777">
            <w:pPr>
              <w:rPr>
                <w:rFonts w:asciiTheme="majorHAnsi" w:hAnsiTheme="majorHAnsi" w:cstheme="majorHAnsi"/>
                <w:sz w:val="22"/>
                <w:szCs w:val="22"/>
              </w:rPr>
            </w:pPr>
            <w:hyperlink w:history="1" r:id="rId270">
              <w:r w:rsidRPr="000F4C13">
                <w:rPr>
                  <w:rFonts w:eastAsia="MS Mincho" w:asciiTheme="majorHAnsi" w:hAnsiTheme="majorHAnsi" w:cstheme="majorHAnsi"/>
                  <w:color w:val="0000FF"/>
                  <w:u w:val="single"/>
                </w:rPr>
                <w:t>HB 739 (2015)</w:t>
              </w:r>
            </w:hyperlink>
          </w:p>
        </w:tc>
        <w:tc>
          <w:tcPr>
            <w:tcW w:w="7110" w:type="dxa"/>
          </w:tcPr>
          <w:p w:rsidRPr="000F4C13" w:rsidR="00C31F04" w:rsidP="00405F92" w:rsidRDefault="00C31F04" w14:paraId="7F601389" w14:textId="77777777">
            <w:pPr>
              <w:rPr>
                <w:rFonts w:asciiTheme="majorHAnsi" w:hAnsiTheme="majorHAnsi" w:cstheme="majorHAnsi"/>
                <w:sz w:val="22"/>
                <w:szCs w:val="22"/>
              </w:rPr>
            </w:pPr>
            <w:r w:rsidRPr="000F4C13">
              <w:rPr>
                <w:rFonts w:asciiTheme="majorHAnsi" w:hAnsiTheme="majorHAnsi" w:cstheme="majorHAnsi"/>
                <w:sz w:val="22"/>
                <w:szCs w:val="22"/>
              </w:rPr>
              <w:t>Property Insurance Clarity Act</w:t>
            </w:r>
          </w:p>
        </w:tc>
      </w:tr>
      <w:tr w:rsidRPr="000F4C13" w:rsidR="00C31F04" w:rsidTr="00AF208A" w14:paraId="1A1600A5" w14:textId="77777777">
        <w:tc>
          <w:tcPr>
            <w:tcW w:w="2335" w:type="dxa"/>
          </w:tcPr>
          <w:p w:rsidRPr="000F4C13" w:rsidR="00C31F04" w:rsidP="00405F92" w:rsidRDefault="00C31F04" w14:paraId="0EAC2F1A" w14:textId="77777777">
            <w:pPr>
              <w:rPr>
                <w:rFonts w:asciiTheme="majorHAnsi" w:hAnsiTheme="majorHAnsi" w:cstheme="majorHAnsi"/>
                <w:sz w:val="22"/>
                <w:szCs w:val="22"/>
              </w:rPr>
            </w:pPr>
            <w:hyperlink w:history="1" r:id="rId271">
              <w:r w:rsidRPr="000F4C13">
                <w:rPr>
                  <w:rFonts w:eastAsia="MS Mincho" w:asciiTheme="majorHAnsi" w:hAnsiTheme="majorHAnsi" w:cstheme="majorHAnsi"/>
                  <w:color w:val="0000FF"/>
                  <w:u w:val="single"/>
                </w:rPr>
                <w:t>SB2224</w:t>
              </w:r>
            </w:hyperlink>
            <w:r w:rsidRPr="000F4C13">
              <w:rPr>
                <w:rFonts w:eastAsia="MS Mincho" w:asciiTheme="majorHAnsi" w:hAnsiTheme="majorHAnsi" w:cstheme="majorHAnsi"/>
              </w:rPr>
              <w:t xml:space="preserve"> (2023)</w:t>
            </w:r>
          </w:p>
        </w:tc>
        <w:tc>
          <w:tcPr>
            <w:tcW w:w="7110" w:type="dxa"/>
          </w:tcPr>
          <w:p w:rsidRPr="000F4C13" w:rsidR="00C31F04" w:rsidP="00405F92" w:rsidRDefault="00C31F04" w14:paraId="7E97A15A" w14:textId="77777777">
            <w:pPr>
              <w:rPr>
                <w:rFonts w:asciiTheme="majorHAnsi" w:hAnsiTheme="majorHAnsi" w:cstheme="majorHAnsi"/>
                <w:sz w:val="22"/>
                <w:szCs w:val="22"/>
              </w:rPr>
            </w:pPr>
            <w:r w:rsidRPr="000F4C13">
              <w:rPr>
                <w:rFonts w:asciiTheme="majorHAnsi" w:hAnsiTheme="majorHAnsi" w:cstheme="majorHAnsi"/>
                <w:sz w:val="22"/>
                <w:szCs w:val="22"/>
              </w:rPr>
              <w:t>Assignment of Benefits Reform</w:t>
            </w:r>
          </w:p>
        </w:tc>
      </w:tr>
      <w:tr w:rsidRPr="000F4C13" w:rsidR="00C31F04" w:rsidTr="00AF208A" w14:paraId="5B83693B" w14:textId="77777777">
        <w:trPr>
          <w:cnfStyle w:val="000000100000" w:firstRow="0" w:lastRow="0" w:firstColumn="0" w:lastColumn="0" w:oddVBand="0" w:evenVBand="0" w:oddHBand="1" w:evenHBand="0" w:firstRowFirstColumn="0" w:firstRowLastColumn="0" w:lastRowFirstColumn="0" w:lastRowLastColumn="0"/>
        </w:trPr>
        <w:tc>
          <w:tcPr>
            <w:tcW w:w="2335" w:type="dxa"/>
          </w:tcPr>
          <w:p w:rsidRPr="000F4C13" w:rsidR="00C31F04" w:rsidP="00405F92" w:rsidRDefault="00C31F04" w14:paraId="592372A9" w14:textId="77777777">
            <w:pPr>
              <w:jc w:val="both"/>
              <w:rPr>
                <w:rFonts w:eastAsia="Calibri" w:asciiTheme="majorHAnsi" w:hAnsiTheme="majorHAnsi" w:cstheme="majorHAnsi"/>
              </w:rPr>
            </w:pPr>
            <w:hyperlink w:history="1" r:id="rId272">
              <w:r w:rsidRPr="000F4C13">
                <w:rPr>
                  <w:rStyle w:val="Hyperlink"/>
                  <w:rFonts w:eastAsia="Calibri" w:asciiTheme="majorHAnsi" w:hAnsiTheme="majorHAnsi" w:cstheme="majorHAnsi"/>
                </w:rPr>
                <w:t>§83-1-191</w:t>
              </w:r>
            </w:hyperlink>
          </w:p>
        </w:tc>
        <w:tc>
          <w:tcPr>
            <w:tcW w:w="7110" w:type="dxa"/>
          </w:tcPr>
          <w:p w:rsidRPr="000F4C13" w:rsidR="00C31F04" w:rsidP="00405F92" w:rsidRDefault="00C31F04" w14:paraId="3FF2AA7E" w14:textId="77777777">
            <w:pPr>
              <w:rPr>
                <w:rFonts w:asciiTheme="majorHAnsi" w:hAnsiTheme="majorHAnsi" w:cstheme="majorHAnsi"/>
                <w:sz w:val="22"/>
                <w:szCs w:val="22"/>
              </w:rPr>
            </w:pPr>
            <w:r w:rsidRPr="000F4C13">
              <w:rPr>
                <w:rFonts w:asciiTheme="majorHAnsi" w:hAnsiTheme="majorHAnsi" w:cstheme="majorHAnsi"/>
                <w:sz w:val="22"/>
                <w:szCs w:val="22"/>
              </w:rPr>
              <w:t>Comprehensive Hurricane Damage Mitigation Program</w:t>
            </w:r>
          </w:p>
        </w:tc>
      </w:tr>
      <w:tr w:rsidRPr="000F4C13" w:rsidR="00C31F04" w:rsidTr="00AF208A" w14:paraId="3D332084" w14:textId="77777777">
        <w:tc>
          <w:tcPr>
            <w:tcW w:w="2335" w:type="dxa"/>
          </w:tcPr>
          <w:p w:rsidRPr="000F4C13" w:rsidR="00C31F04" w:rsidP="00405F92" w:rsidRDefault="00C31F04" w14:paraId="5B68E4E2" w14:textId="77777777">
            <w:pPr>
              <w:rPr>
                <w:rFonts w:asciiTheme="majorHAnsi" w:hAnsiTheme="majorHAnsi" w:cstheme="majorHAnsi"/>
                <w:sz w:val="22"/>
                <w:szCs w:val="22"/>
              </w:rPr>
            </w:pPr>
            <w:hyperlink w:history="1" r:id="rId273">
              <w:r w:rsidRPr="000F4C13">
                <w:rPr>
                  <w:rFonts w:eastAsia="MS Mincho" w:asciiTheme="majorHAnsi" w:hAnsiTheme="majorHAnsi" w:cstheme="majorHAnsi"/>
                  <w:color w:val="0000FF"/>
                  <w:u w:val="single"/>
                </w:rPr>
                <w:t>S.1708</w:t>
              </w:r>
            </w:hyperlink>
            <w:r w:rsidRPr="000F4C13">
              <w:rPr>
                <w:rFonts w:eastAsia="MS Mincho" w:asciiTheme="majorHAnsi" w:hAnsiTheme="majorHAnsi" w:cstheme="majorHAnsi"/>
              </w:rPr>
              <w:t xml:space="preserve"> Storm Shelter Act</w:t>
            </w:r>
          </w:p>
        </w:tc>
        <w:tc>
          <w:tcPr>
            <w:tcW w:w="7110" w:type="dxa"/>
          </w:tcPr>
          <w:p w:rsidRPr="000F4C13" w:rsidR="00C31F04" w:rsidP="00405F92" w:rsidRDefault="00C31F04" w14:paraId="622193E2" w14:textId="77777777">
            <w:pPr>
              <w:rPr>
                <w:rFonts w:asciiTheme="majorHAnsi" w:hAnsiTheme="majorHAnsi" w:cstheme="majorHAnsi"/>
                <w:sz w:val="22"/>
                <w:szCs w:val="22"/>
              </w:rPr>
            </w:pPr>
            <w:r w:rsidRPr="000F4C13">
              <w:rPr>
                <w:rFonts w:asciiTheme="majorHAnsi" w:hAnsiTheme="majorHAnsi" w:cstheme="majorHAnsi"/>
                <w:sz w:val="22"/>
                <w:szCs w:val="22"/>
              </w:rPr>
              <w:t>Establishes tax credit for installing storm shelter</w:t>
            </w:r>
          </w:p>
        </w:tc>
      </w:tr>
      <w:tr w:rsidRPr="000F4C13" w:rsidR="00C31F04" w:rsidTr="00AF208A" w14:paraId="0A3EB2B8" w14:textId="77777777">
        <w:trPr>
          <w:cnfStyle w:val="000000100000" w:firstRow="0" w:lastRow="0" w:firstColumn="0" w:lastColumn="0" w:oddVBand="0" w:evenVBand="0" w:oddHBand="1" w:evenHBand="0" w:firstRowFirstColumn="0" w:firstRowLastColumn="0" w:lastRowFirstColumn="0" w:lastRowLastColumn="0"/>
        </w:trPr>
        <w:tc>
          <w:tcPr>
            <w:tcW w:w="2335" w:type="dxa"/>
          </w:tcPr>
          <w:p w:rsidRPr="000F4C13" w:rsidR="00C31F04" w:rsidP="00405F92" w:rsidRDefault="00C31F04" w14:paraId="6D733281" w14:textId="77777777">
            <w:pPr>
              <w:rPr>
                <w:rFonts w:asciiTheme="majorHAnsi" w:hAnsiTheme="majorHAnsi" w:cstheme="majorHAnsi"/>
                <w:sz w:val="22"/>
                <w:szCs w:val="22"/>
              </w:rPr>
            </w:pPr>
            <w:hyperlink w:history="1" r:id="rId274">
              <w:r w:rsidRPr="000F4C13">
                <w:rPr>
                  <w:rStyle w:val="Hyperlink"/>
                  <w:rFonts w:eastAsia="MS Mincho" w:asciiTheme="majorHAnsi" w:hAnsiTheme="majorHAnsi" w:cstheme="majorHAnsi"/>
                </w:rPr>
                <w:t>19 Miss. Admin Code, Part 5, Chapter 3 (2006-2)</w:t>
              </w:r>
            </w:hyperlink>
          </w:p>
        </w:tc>
        <w:tc>
          <w:tcPr>
            <w:tcW w:w="7110" w:type="dxa"/>
          </w:tcPr>
          <w:p w:rsidRPr="000F4C13" w:rsidR="00C31F04" w:rsidP="00405F92" w:rsidRDefault="00C31F04" w14:paraId="776574CC" w14:textId="77777777">
            <w:pPr>
              <w:rPr>
                <w:rFonts w:asciiTheme="majorHAnsi" w:hAnsiTheme="majorHAnsi" w:cstheme="majorHAnsi"/>
                <w:sz w:val="22"/>
                <w:szCs w:val="22"/>
              </w:rPr>
            </w:pPr>
            <w:r w:rsidRPr="000F4C13">
              <w:rPr>
                <w:rFonts w:asciiTheme="majorHAnsi" w:hAnsiTheme="majorHAnsi" w:cstheme="majorHAnsi"/>
                <w:sz w:val="22"/>
                <w:szCs w:val="22"/>
              </w:rPr>
              <w:t>Requires insurers to inform policyholders of flood/earthquake exclusions</w:t>
            </w:r>
          </w:p>
        </w:tc>
      </w:tr>
    </w:tbl>
    <w:p w:rsidRPr="000F4C13" w:rsidR="00C31F04" w:rsidP="00C31F04" w:rsidRDefault="00C31F04" w14:paraId="225AF305" w14:textId="77777777">
      <w:pPr>
        <w:pStyle w:val="outlinep3bh4"/>
        <w:numPr>
          <w:ilvl w:val="0"/>
          <w:numId w:val="0"/>
        </w:numPr>
        <w:spacing w:before="0"/>
        <w:ind w:left="720"/>
        <w:outlineLvl w:val="9"/>
        <w:rPr>
          <w:rFonts w:asciiTheme="majorHAnsi" w:hAnsiTheme="majorHAnsi" w:cstheme="majorHAnsi"/>
          <w:b w:val="0"/>
          <w:bCs/>
        </w:rPr>
      </w:pPr>
    </w:p>
    <w:tbl>
      <w:tblPr>
        <w:tblStyle w:val="GridTable4"/>
        <w:tblW w:w="9445" w:type="dxa"/>
        <w:tblLook w:val="0420" w:firstRow="1" w:lastRow="0" w:firstColumn="0" w:lastColumn="0" w:noHBand="0" w:noVBand="1"/>
      </w:tblPr>
      <w:tblGrid>
        <w:gridCol w:w="2335"/>
        <w:gridCol w:w="7110"/>
      </w:tblGrid>
      <w:tr w:rsidRPr="000F4C13" w:rsidR="009F5AEE" w:rsidTr="00080769" w14:paraId="492413E8" w14:textId="77777777">
        <w:trPr>
          <w:cnfStyle w:val="100000000000" w:firstRow="1" w:lastRow="0" w:firstColumn="0" w:lastColumn="0" w:oddVBand="0" w:evenVBand="0" w:oddHBand="0" w:evenHBand="0" w:firstRowFirstColumn="0" w:firstRowLastColumn="0" w:lastRowFirstColumn="0" w:lastRowLastColumn="0"/>
        </w:trPr>
        <w:tc>
          <w:tcPr>
            <w:tcW w:w="9445" w:type="dxa"/>
            <w:gridSpan w:val="2"/>
          </w:tcPr>
          <w:p w:rsidRPr="000F4C13" w:rsidR="009F5AEE" w:rsidP="00080769" w:rsidRDefault="009F5AEE" w14:paraId="1EB2B706" w14:textId="77777777">
            <w:pPr>
              <w:jc w:val="center"/>
              <w:rPr>
                <w:rFonts w:asciiTheme="majorHAnsi" w:hAnsiTheme="majorHAnsi" w:cstheme="majorHAnsi"/>
              </w:rPr>
            </w:pPr>
            <w:r w:rsidRPr="000F4C13">
              <w:rPr>
                <w:rFonts w:asciiTheme="majorHAnsi" w:hAnsiTheme="majorHAnsi" w:cstheme="majorHAnsi"/>
              </w:rPr>
              <w:t>Oklahoma</w:t>
            </w:r>
          </w:p>
        </w:tc>
      </w:tr>
      <w:tr w:rsidRPr="000F4C13" w:rsidR="009F5AEE" w:rsidTr="00080769" w14:paraId="3981C0DB" w14:textId="77777777">
        <w:trPr>
          <w:cnfStyle w:val="000000100000" w:firstRow="0" w:lastRow="0" w:firstColumn="0" w:lastColumn="0" w:oddVBand="0" w:evenVBand="0" w:oddHBand="1" w:evenHBand="0" w:firstRowFirstColumn="0" w:firstRowLastColumn="0" w:lastRowFirstColumn="0" w:lastRowLastColumn="0"/>
        </w:trPr>
        <w:tc>
          <w:tcPr>
            <w:tcW w:w="2335" w:type="dxa"/>
            <w:shd w:val="clear" w:color="auto" w:fill="B8CCE4" w:themeFill="accent1" w:themeFillTint="66"/>
          </w:tcPr>
          <w:p w:rsidRPr="000F4C13" w:rsidR="009F5AEE" w:rsidP="00080769" w:rsidRDefault="009F5AEE" w14:paraId="081C8400" w14:textId="77777777">
            <w:pPr>
              <w:rPr>
                <w:rFonts w:asciiTheme="majorHAnsi" w:hAnsiTheme="majorHAnsi" w:cstheme="majorHAnsi"/>
                <w:b/>
                <w:bCs/>
                <w:sz w:val="22"/>
                <w:szCs w:val="22"/>
              </w:rPr>
            </w:pPr>
            <w:r w:rsidRPr="000F4C13">
              <w:rPr>
                <w:rFonts w:asciiTheme="majorHAnsi" w:hAnsiTheme="majorHAnsi" w:cstheme="majorHAnsi"/>
                <w:b/>
                <w:bCs/>
                <w:sz w:val="22"/>
                <w:szCs w:val="22"/>
              </w:rPr>
              <w:t>Regulation/Legislation</w:t>
            </w:r>
          </w:p>
        </w:tc>
        <w:tc>
          <w:tcPr>
            <w:tcW w:w="7110" w:type="dxa"/>
            <w:shd w:val="clear" w:color="auto" w:fill="B8CCE4" w:themeFill="accent1" w:themeFillTint="66"/>
          </w:tcPr>
          <w:p w:rsidRPr="000F4C13" w:rsidR="009F5AEE" w:rsidP="00080769" w:rsidRDefault="009F5AEE" w14:paraId="4900A9E0"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Provisions</w:t>
            </w:r>
          </w:p>
        </w:tc>
      </w:tr>
      <w:tr w:rsidRPr="000F4C13" w:rsidR="009F5AEE" w:rsidTr="00080769" w14:paraId="6D9A0B1B" w14:textId="77777777">
        <w:tc>
          <w:tcPr>
            <w:tcW w:w="2335" w:type="dxa"/>
          </w:tcPr>
          <w:p w:rsidRPr="000F4C13" w:rsidR="009F5AEE" w:rsidP="00080769" w:rsidRDefault="009F5AEE" w14:paraId="41D05A2A" w14:textId="77777777">
            <w:pPr>
              <w:rPr>
                <w:rFonts w:asciiTheme="majorHAnsi" w:hAnsiTheme="majorHAnsi" w:cstheme="majorHAnsi"/>
                <w:sz w:val="22"/>
                <w:szCs w:val="22"/>
              </w:rPr>
            </w:pPr>
            <w:r w:rsidRPr="000F4C13">
              <w:rPr>
                <w:rFonts w:asciiTheme="majorHAnsi" w:hAnsiTheme="majorHAnsi" w:cstheme="majorHAnsi"/>
                <w:sz w:val="22"/>
                <w:szCs w:val="22"/>
              </w:rPr>
              <w:t>Section 1151.30 of Title 59</w:t>
            </w:r>
          </w:p>
        </w:tc>
        <w:tc>
          <w:tcPr>
            <w:tcW w:w="7110" w:type="dxa"/>
          </w:tcPr>
          <w:p w:rsidRPr="000F4C13" w:rsidR="009F5AEE" w:rsidP="00080769" w:rsidRDefault="009F5AEE" w14:paraId="711FD778" w14:textId="77777777">
            <w:pPr>
              <w:rPr>
                <w:rFonts w:asciiTheme="majorHAnsi" w:hAnsiTheme="majorHAnsi" w:cstheme="majorHAnsi"/>
                <w:sz w:val="22"/>
                <w:szCs w:val="22"/>
              </w:rPr>
            </w:pPr>
            <w:r w:rsidRPr="000F4C13">
              <w:rPr>
                <w:rFonts w:asciiTheme="majorHAnsi" w:hAnsiTheme="majorHAnsi" w:cstheme="majorHAnsi"/>
                <w:sz w:val="22"/>
                <w:szCs w:val="22"/>
              </w:rPr>
              <w:t>Prohibits roofing contractors from waiving insurance deductibles as an advertisement or inducement for sale</w:t>
            </w:r>
          </w:p>
        </w:tc>
      </w:tr>
      <w:tr w:rsidRPr="000F4C13" w:rsidR="009F5AEE" w:rsidTr="00080769" w14:paraId="21EB77B7" w14:textId="77777777">
        <w:trPr>
          <w:cnfStyle w:val="000000100000" w:firstRow="0" w:lastRow="0" w:firstColumn="0" w:lastColumn="0" w:oddVBand="0" w:evenVBand="0" w:oddHBand="1" w:evenHBand="0" w:firstRowFirstColumn="0" w:firstRowLastColumn="0" w:lastRowFirstColumn="0" w:lastRowLastColumn="0"/>
        </w:trPr>
        <w:tc>
          <w:tcPr>
            <w:tcW w:w="2335" w:type="dxa"/>
          </w:tcPr>
          <w:p w:rsidRPr="000F4C13" w:rsidR="009F5AEE" w:rsidP="00080769" w:rsidRDefault="009F5AEE" w14:paraId="49A8F608" w14:textId="77777777">
            <w:pPr>
              <w:rPr>
                <w:rFonts w:asciiTheme="majorHAnsi" w:hAnsiTheme="majorHAnsi" w:cstheme="majorHAnsi"/>
                <w:sz w:val="22"/>
                <w:szCs w:val="22"/>
              </w:rPr>
            </w:pPr>
            <w:r w:rsidRPr="000F4C13">
              <w:rPr>
                <w:rFonts w:asciiTheme="majorHAnsi" w:hAnsiTheme="majorHAnsi" w:cstheme="majorHAnsi"/>
                <w:sz w:val="22"/>
                <w:szCs w:val="22"/>
              </w:rPr>
              <w:t>OK HB 1084 (Effective Nov. 1, 2025)</w:t>
            </w:r>
          </w:p>
        </w:tc>
        <w:tc>
          <w:tcPr>
            <w:tcW w:w="7110" w:type="dxa"/>
          </w:tcPr>
          <w:p w:rsidRPr="000F4C13" w:rsidR="009F5AEE" w:rsidP="00080769" w:rsidRDefault="009F5AEE" w14:paraId="71F3680C" w14:textId="77777777">
            <w:pPr>
              <w:rPr>
                <w:rFonts w:asciiTheme="majorHAnsi" w:hAnsiTheme="majorHAnsi" w:cstheme="majorHAnsi"/>
                <w:sz w:val="22"/>
                <w:szCs w:val="22"/>
              </w:rPr>
            </w:pPr>
            <w:r w:rsidRPr="000F4C13">
              <w:rPr>
                <w:rFonts w:asciiTheme="majorHAnsi" w:hAnsiTheme="majorHAnsi" w:cstheme="majorHAnsi"/>
                <w:sz w:val="22"/>
                <w:szCs w:val="22"/>
              </w:rPr>
              <w:t>Regulates post-loss insurance benefit assignments to prevent abuse and rising costs for insurers and homeowners.</w:t>
            </w:r>
          </w:p>
        </w:tc>
      </w:tr>
    </w:tbl>
    <w:p w:rsidRPr="000F4C13" w:rsidR="009F5AEE" w:rsidP="009F5AEE" w:rsidRDefault="009F5AEE" w14:paraId="5AD42C58" w14:textId="77777777">
      <w:pPr>
        <w:rPr>
          <w:rFonts w:asciiTheme="majorHAnsi" w:hAnsiTheme="majorHAnsi" w:cstheme="majorHAnsi"/>
        </w:rPr>
      </w:pPr>
    </w:p>
    <w:tbl>
      <w:tblPr>
        <w:tblStyle w:val="GridTable4"/>
        <w:tblW w:w="9445" w:type="dxa"/>
        <w:tblLook w:val="0420" w:firstRow="1" w:lastRow="0" w:firstColumn="0" w:lastColumn="0" w:noHBand="0" w:noVBand="1"/>
      </w:tblPr>
      <w:tblGrid>
        <w:gridCol w:w="2335"/>
        <w:gridCol w:w="7110"/>
      </w:tblGrid>
      <w:tr w:rsidRPr="000F4C13" w:rsidR="009F5AEE" w:rsidTr="32B00831" w14:paraId="1A40456B"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445" w:type="dxa"/>
            <w:gridSpan w:val="2"/>
            <w:tcMar/>
          </w:tcPr>
          <w:p w:rsidRPr="000F4C13" w:rsidR="009F5AEE" w:rsidP="00080769" w:rsidRDefault="009F5AEE" w14:paraId="18B6073C" w14:textId="77777777">
            <w:pPr>
              <w:jc w:val="center"/>
              <w:rPr>
                <w:rFonts w:asciiTheme="majorHAnsi" w:hAnsiTheme="majorHAnsi" w:cstheme="majorHAnsi"/>
              </w:rPr>
            </w:pPr>
            <w:r w:rsidRPr="000F4C13">
              <w:rPr>
                <w:rFonts w:asciiTheme="majorHAnsi" w:hAnsiTheme="majorHAnsi" w:cstheme="majorHAnsi"/>
              </w:rPr>
              <w:t>Washington</w:t>
            </w:r>
          </w:p>
        </w:tc>
      </w:tr>
      <w:tr w:rsidRPr="000F4C13" w:rsidR="009F5AEE" w:rsidTr="32B00831" w14:paraId="109551B5"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shd w:val="clear" w:color="auto" w:fill="B8CCE4" w:themeFill="accent1" w:themeFillTint="66"/>
            <w:tcMar/>
          </w:tcPr>
          <w:p w:rsidRPr="000F4C13" w:rsidR="009F5AEE" w:rsidP="00080769" w:rsidRDefault="009F5AEE" w14:paraId="2EB3CB53" w14:textId="77777777">
            <w:pPr>
              <w:rPr>
                <w:rFonts w:asciiTheme="majorHAnsi" w:hAnsiTheme="majorHAnsi" w:cstheme="majorHAnsi"/>
                <w:b/>
                <w:bCs/>
                <w:sz w:val="22"/>
                <w:szCs w:val="22"/>
              </w:rPr>
            </w:pPr>
            <w:r w:rsidRPr="000F4C13">
              <w:rPr>
                <w:rFonts w:asciiTheme="majorHAnsi" w:hAnsiTheme="majorHAnsi" w:cstheme="majorHAnsi"/>
                <w:b/>
                <w:bCs/>
                <w:sz w:val="22"/>
                <w:szCs w:val="22"/>
              </w:rPr>
              <w:t>Regulation/Legislation</w:t>
            </w:r>
          </w:p>
        </w:tc>
        <w:tc>
          <w:tcPr>
            <w:cnfStyle w:val="000000000000" w:firstRow="0" w:lastRow="0" w:firstColumn="0" w:lastColumn="0" w:oddVBand="0" w:evenVBand="0" w:oddHBand="0" w:evenHBand="0" w:firstRowFirstColumn="0" w:firstRowLastColumn="0" w:lastRowFirstColumn="0" w:lastRowLastColumn="0"/>
            <w:tcW w:w="7110" w:type="dxa"/>
            <w:shd w:val="clear" w:color="auto" w:fill="B8CCE4" w:themeFill="accent1" w:themeFillTint="66"/>
            <w:tcMar/>
          </w:tcPr>
          <w:p w:rsidRPr="000F4C13" w:rsidR="009F5AEE" w:rsidP="00080769" w:rsidRDefault="009F5AEE" w14:paraId="428C047F"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Provisions</w:t>
            </w:r>
          </w:p>
        </w:tc>
      </w:tr>
      <w:tr w:rsidRPr="000F4C13" w:rsidR="009F5AEE" w:rsidTr="32B00831" w14:paraId="2D535DED"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4B6C50DD" w14:textId="77777777">
            <w:pPr>
              <w:rPr>
                <w:rFonts w:asciiTheme="majorHAnsi" w:hAnsiTheme="majorHAnsi" w:cstheme="majorHAnsi"/>
                <w:sz w:val="22"/>
                <w:szCs w:val="22"/>
              </w:rPr>
            </w:pPr>
            <w:r w:rsidRPr="000F4C13">
              <w:rPr>
                <w:rFonts w:asciiTheme="majorHAnsi" w:hAnsiTheme="majorHAnsi" w:cstheme="majorHAnsi"/>
                <w:sz w:val="22"/>
                <w:szCs w:val="22"/>
              </w:rPr>
              <w:t>SB 6109 (2018)</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00080769" w:rsidRDefault="009F5AEE" w14:paraId="15670C66" w14:textId="77777777">
            <w:pPr>
              <w:rPr>
                <w:rFonts w:asciiTheme="majorHAnsi" w:hAnsiTheme="majorHAnsi" w:cstheme="majorHAnsi"/>
                <w:sz w:val="22"/>
                <w:szCs w:val="22"/>
              </w:rPr>
            </w:pPr>
            <w:r w:rsidRPr="000F4C13">
              <w:rPr>
                <w:rFonts w:asciiTheme="majorHAnsi" w:hAnsiTheme="majorHAnsi" w:cstheme="majorHAnsi"/>
                <w:sz w:val="22"/>
                <w:szCs w:val="22"/>
              </w:rPr>
              <w:t>Adopted IWUIC into state building code, requiring fire-resistant materials in WUI areas to reduce fire damage and insurance risk.</w:t>
            </w:r>
          </w:p>
        </w:tc>
      </w:tr>
      <w:tr w:rsidRPr="000F4C13" w:rsidR="009F5AEE" w:rsidTr="32B00831" w14:paraId="1B86C4EF"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724721C4" w14:textId="77777777">
            <w:pPr>
              <w:rPr>
                <w:rFonts w:asciiTheme="majorHAnsi" w:hAnsiTheme="majorHAnsi" w:cstheme="majorHAnsi"/>
                <w:sz w:val="22"/>
                <w:szCs w:val="22"/>
              </w:rPr>
            </w:pPr>
            <w:r w:rsidRPr="000F4C13">
              <w:rPr>
                <w:rFonts w:asciiTheme="majorHAnsi" w:hAnsiTheme="majorHAnsi" w:cstheme="majorHAnsi"/>
                <w:sz w:val="22"/>
                <w:szCs w:val="22"/>
              </w:rPr>
              <w:t>SB 6120 (2024)</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32B00831" w:rsidRDefault="009F5AEE" w14:paraId="2DE73FC9" w14:textId="77777777">
            <w:pPr>
              <w:rPr>
                <w:rFonts w:ascii="Calibri" w:hAnsi="Calibri" w:cs="Calibri" w:asciiTheme="majorAscii" w:hAnsiTheme="majorAscii" w:cstheme="majorAscii"/>
                <w:sz w:val="22"/>
                <w:szCs w:val="22"/>
                <w:lang w:val="en-US"/>
              </w:rPr>
            </w:pPr>
            <w:r w:rsidRPr="32B00831" w:rsidR="009F5AEE">
              <w:rPr>
                <w:rFonts w:ascii="Calibri" w:hAnsi="Calibri" w:cs="Calibri" w:asciiTheme="majorAscii" w:hAnsiTheme="majorAscii" w:cstheme="majorAscii"/>
                <w:sz w:val="22"/>
                <w:szCs w:val="22"/>
                <w:lang w:val="en-US"/>
              </w:rPr>
              <w:t xml:space="preserve">Directed DNR to create a targeted wildfire risk map (redefining WUI zones) and </w:t>
            </w:r>
            <w:r w:rsidRPr="32B00831" w:rsidR="009F5AEE">
              <w:rPr>
                <w:rFonts w:ascii="Calibri" w:hAnsi="Calibri" w:cs="Calibri" w:asciiTheme="majorAscii" w:hAnsiTheme="majorAscii" w:cstheme="majorAscii"/>
                <w:sz w:val="22"/>
                <w:szCs w:val="22"/>
                <w:lang w:val="en-US"/>
              </w:rPr>
              <w:t>made</w:t>
            </w:r>
            <w:r w:rsidRPr="32B00831" w:rsidR="009F5AEE">
              <w:rPr>
                <w:rFonts w:ascii="Calibri" w:hAnsi="Calibri" w:cs="Calibri" w:asciiTheme="majorAscii" w:hAnsiTheme="majorAscii" w:cstheme="majorAscii"/>
                <w:sz w:val="22"/>
                <w:szCs w:val="22"/>
                <w:lang w:val="en-US"/>
              </w:rPr>
              <w:t xml:space="preserve"> defensible space voluntary, refining WUI code.</w:t>
            </w:r>
          </w:p>
        </w:tc>
      </w:tr>
      <w:tr w:rsidRPr="000F4C13" w:rsidR="009F5AEE" w:rsidTr="32B00831" w14:paraId="50AF88DA"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1C3DC02C" w14:textId="77777777">
            <w:pPr>
              <w:rPr>
                <w:rFonts w:asciiTheme="majorHAnsi" w:hAnsiTheme="majorHAnsi" w:cstheme="majorHAnsi"/>
                <w:sz w:val="22"/>
                <w:szCs w:val="22"/>
              </w:rPr>
            </w:pPr>
            <w:r w:rsidRPr="000F4C13">
              <w:rPr>
                <w:rFonts w:asciiTheme="majorHAnsi" w:hAnsiTheme="majorHAnsi" w:cstheme="majorHAnsi"/>
                <w:sz w:val="22"/>
                <w:szCs w:val="22"/>
              </w:rPr>
              <w:t>UTC Wildfire Mitigation Plans / HB 1522 (2025)</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32B00831" w:rsidRDefault="009F5AEE" w14:paraId="08020612" w14:textId="77777777">
            <w:pPr>
              <w:rPr>
                <w:rFonts w:ascii="Calibri" w:hAnsi="Calibri" w:cs="Calibri" w:asciiTheme="majorAscii" w:hAnsiTheme="majorAscii" w:cstheme="majorAscii"/>
                <w:sz w:val="22"/>
                <w:szCs w:val="22"/>
                <w:lang w:val="en-US"/>
              </w:rPr>
            </w:pPr>
            <w:r w:rsidRPr="32B00831" w:rsidR="009F5AEE">
              <w:rPr>
                <w:rFonts w:ascii="Calibri" w:hAnsi="Calibri" w:cs="Calibri" w:asciiTheme="majorAscii" w:hAnsiTheme="majorAscii" w:cstheme="majorAscii"/>
                <w:sz w:val="22"/>
                <w:szCs w:val="22"/>
                <w:lang w:val="en-US"/>
              </w:rPr>
              <w:t xml:space="preserve">Investor-owned utilities must file Wildfire Mitigation Plans; UTC </w:t>
            </w:r>
            <w:r w:rsidRPr="32B00831" w:rsidR="009F5AEE">
              <w:rPr>
                <w:rFonts w:ascii="Calibri" w:hAnsi="Calibri" w:cs="Calibri" w:asciiTheme="majorAscii" w:hAnsiTheme="majorAscii" w:cstheme="majorAscii"/>
                <w:sz w:val="22"/>
                <w:szCs w:val="22"/>
                <w:lang w:val="en-US"/>
              </w:rPr>
              <w:t>given</w:t>
            </w:r>
            <w:r w:rsidRPr="32B00831" w:rsidR="009F5AEE">
              <w:rPr>
                <w:rFonts w:ascii="Calibri" w:hAnsi="Calibri" w:cs="Calibri" w:asciiTheme="majorAscii" w:hAnsiTheme="majorAscii" w:cstheme="majorAscii"/>
                <w:sz w:val="22"/>
                <w:szCs w:val="22"/>
                <w:lang w:val="en-US"/>
              </w:rPr>
              <w:t xml:space="preserve"> authority to approve/reject plans for quality, public input, and cost balance.</w:t>
            </w:r>
          </w:p>
        </w:tc>
      </w:tr>
      <w:tr w:rsidRPr="000F4C13" w:rsidR="009F5AEE" w:rsidTr="32B00831" w14:paraId="591F9177"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7921E264" w14:textId="77777777">
            <w:pPr>
              <w:rPr>
                <w:rFonts w:asciiTheme="majorHAnsi" w:hAnsiTheme="majorHAnsi" w:cstheme="majorHAnsi"/>
                <w:sz w:val="22"/>
                <w:szCs w:val="22"/>
              </w:rPr>
            </w:pPr>
            <w:r w:rsidRPr="000F4C13">
              <w:rPr>
                <w:rFonts w:asciiTheme="majorHAnsi" w:hAnsiTheme="majorHAnsi" w:cstheme="majorHAnsi"/>
                <w:sz w:val="22"/>
                <w:szCs w:val="22"/>
              </w:rPr>
              <w:t>Climate Risk Disclosure (Annual)</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32B00831" w:rsidRDefault="009F5AEE" w14:paraId="23F7164F" w14:textId="77777777">
            <w:pPr>
              <w:rPr>
                <w:rFonts w:ascii="Calibri" w:hAnsi="Calibri" w:cs="Calibri" w:asciiTheme="majorAscii" w:hAnsiTheme="majorAscii" w:cstheme="majorAscii"/>
                <w:sz w:val="22"/>
                <w:szCs w:val="22"/>
                <w:lang w:val="en-US"/>
              </w:rPr>
            </w:pPr>
            <w:r w:rsidRPr="32B00831" w:rsidR="009F5AEE">
              <w:rPr>
                <w:rFonts w:ascii="Calibri" w:hAnsi="Calibri" w:cs="Calibri" w:asciiTheme="majorAscii" w:hAnsiTheme="majorAscii" w:cstheme="majorAscii"/>
                <w:sz w:val="22"/>
                <w:szCs w:val="22"/>
                <w:lang w:val="en-US"/>
              </w:rPr>
              <w:t xml:space="preserve">Insurers must </w:t>
            </w:r>
            <w:r w:rsidRPr="32B00831" w:rsidR="009F5AEE">
              <w:rPr>
                <w:rFonts w:ascii="Calibri" w:hAnsi="Calibri" w:cs="Calibri" w:asciiTheme="majorAscii" w:hAnsiTheme="majorAscii" w:cstheme="majorAscii"/>
                <w:sz w:val="22"/>
                <w:szCs w:val="22"/>
                <w:lang w:val="en-US"/>
              </w:rPr>
              <w:t>disclose</w:t>
            </w:r>
            <w:r w:rsidRPr="32B00831" w:rsidR="009F5AEE">
              <w:rPr>
                <w:rFonts w:ascii="Calibri" w:hAnsi="Calibri" w:cs="Calibri" w:asciiTheme="majorAscii" w:hAnsiTheme="majorAscii" w:cstheme="majorAscii"/>
                <w:sz w:val="22"/>
                <w:szCs w:val="22"/>
                <w:lang w:val="en-US"/>
              </w:rPr>
              <w:t xml:space="preserve"> climate risk, increasing transparency on how wildfire risk is addressed.</w:t>
            </w:r>
          </w:p>
        </w:tc>
      </w:tr>
      <w:tr w:rsidRPr="000F4C13" w:rsidR="009F5AEE" w:rsidTr="32B00831" w14:paraId="283BE5A0"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2B1C67FC" w14:textId="77777777">
            <w:pPr>
              <w:rPr>
                <w:rFonts w:asciiTheme="majorHAnsi" w:hAnsiTheme="majorHAnsi" w:cstheme="majorHAnsi"/>
                <w:sz w:val="22"/>
                <w:szCs w:val="22"/>
              </w:rPr>
            </w:pPr>
            <w:r w:rsidRPr="000F4C13">
              <w:rPr>
                <w:rFonts w:asciiTheme="majorHAnsi" w:hAnsiTheme="majorHAnsi" w:cstheme="majorHAnsi"/>
                <w:sz w:val="22"/>
                <w:szCs w:val="22"/>
              </w:rPr>
              <w:t>HB 1032 (2023)</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00080769" w:rsidRDefault="009F5AEE" w14:paraId="7BCDFBA5" w14:textId="77777777">
            <w:pPr>
              <w:rPr>
                <w:rFonts w:asciiTheme="majorHAnsi" w:hAnsiTheme="majorHAnsi" w:cstheme="majorHAnsi"/>
                <w:sz w:val="22"/>
                <w:szCs w:val="22"/>
              </w:rPr>
            </w:pPr>
            <w:r w:rsidRPr="000F4C13">
              <w:rPr>
                <w:rFonts w:asciiTheme="majorHAnsi" w:hAnsiTheme="majorHAnsi" w:cstheme="majorHAnsi"/>
                <w:sz w:val="22"/>
                <w:szCs w:val="22"/>
              </w:rPr>
              <w:t>All electric utilities must create wildfire mitigation plans detailing prevention steps, vegetation management, and shutoff procedures.</w:t>
            </w:r>
          </w:p>
        </w:tc>
      </w:tr>
      <w:tr w:rsidRPr="000F4C13" w:rsidR="009F5AEE" w:rsidTr="32B00831" w14:paraId="37F9F7CB"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1CE4E832" w14:textId="77777777">
            <w:pPr>
              <w:rPr>
                <w:rFonts w:asciiTheme="majorHAnsi" w:hAnsiTheme="majorHAnsi" w:cstheme="majorHAnsi"/>
                <w:sz w:val="22"/>
                <w:szCs w:val="22"/>
              </w:rPr>
            </w:pPr>
            <w:r w:rsidRPr="000F4C13">
              <w:rPr>
                <w:rFonts w:asciiTheme="majorHAnsi" w:hAnsiTheme="majorHAnsi" w:cstheme="majorHAnsi"/>
                <w:sz w:val="22"/>
                <w:szCs w:val="22"/>
              </w:rPr>
              <w:t>SHB 1539 (2025)</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00080769" w:rsidRDefault="009F5AEE" w14:paraId="14AC7B11" w14:textId="77777777">
            <w:pPr>
              <w:rPr>
                <w:rFonts w:asciiTheme="majorHAnsi" w:hAnsiTheme="majorHAnsi" w:cstheme="majorHAnsi"/>
                <w:sz w:val="22"/>
                <w:szCs w:val="22"/>
              </w:rPr>
            </w:pPr>
            <w:r w:rsidRPr="000F4C13">
              <w:rPr>
                <w:rFonts w:asciiTheme="majorHAnsi" w:hAnsiTheme="majorHAnsi" w:cstheme="majorHAnsi"/>
                <w:sz w:val="22"/>
                <w:szCs w:val="22"/>
              </w:rPr>
              <w:t>Established Wildfire Mitigation &amp; Resiliency Work Group to recommend policy and grants for resilience and insurance incentives.</w:t>
            </w:r>
          </w:p>
        </w:tc>
      </w:tr>
      <w:tr w:rsidRPr="000F4C13" w:rsidR="009F5AEE" w:rsidTr="32B00831" w14:paraId="4A849599"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0BA3FE91" w14:textId="77777777">
            <w:pPr>
              <w:rPr>
                <w:rFonts w:asciiTheme="majorHAnsi" w:hAnsiTheme="majorHAnsi" w:cstheme="majorHAnsi"/>
                <w:sz w:val="22"/>
                <w:szCs w:val="22"/>
              </w:rPr>
            </w:pPr>
            <w:r w:rsidRPr="000F4C13">
              <w:rPr>
                <w:rFonts w:asciiTheme="majorHAnsi" w:hAnsiTheme="majorHAnsi" w:cstheme="majorHAnsi"/>
                <w:sz w:val="22"/>
                <w:szCs w:val="22"/>
              </w:rPr>
              <w:t>HB 1622 (2022)</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00080769" w:rsidRDefault="009F5AEE" w14:paraId="2D69AFA8" w14:textId="77777777">
            <w:pPr>
              <w:rPr>
                <w:rFonts w:asciiTheme="majorHAnsi" w:hAnsiTheme="majorHAnsi" w:cstheme="majorHAnsi"/>
                <w:sz w:val="22"/>
                <w:szCs w:val="22"/>
              </w:rPr>
            </w:pPr>
            <w:r w:rsidRPr="000F4C13">
              <w:rPr>
                <w:rFonts w:asciiTheme="majorHAnsi" w:hAnsiTheme="majorHAnsi" w:cstheme="majorHAnsi"/>
                <w:sz w:val="22"/>
                <w:szCs w:val="22"/>
              </w:rPr>
              <w:t>Invested in forest health and community wildfire resilience, funding programs like Wildfire Ready Neighbors and defensible space grants.</w:t>
            </w:r>
          </w:p>
        </w:tc>
      </w:tr>
      <w:tr w:rsidRPr="000F4C13" w:rsidR="009F5AEE" w:rsidTr="32B00831" w14:paraId="6DC99965"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9F5AEE" w:rsidP="00080769" w:rsidRDefault="009F5AEE" w14:paraId="5B6BF90E" w14:textId="77777777">
            <w:pPr>
              <w:rPr>
                <w:rFonts w:asciiTheme="majorHAnsi" w:hAnsiTheme="majorHAnsi" w:cstheme="majorHAnsi"/>
                <w:sz w:val="22"/>
                <w:szCs w:val="22"/>
              </w:rPr>
            </w:pPr>
            <w:r w:rsidRPr="000F4C13">
              <w:rPr>
                <w:rFonts w:asciiTheme="majorHAnsi" w:hAnsiTheme="majorHAnsi" w:cstheme="majorHAnsi"/>
                <w:sz w:val="22"/>
                <w:szCs w:val="22"/>
              </w:rPr>
              <w:t>HB 1138</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9F5AEE" w:rsidP="00080769" w:rsidRDefault="009F5AEE" w14:paraId="583E6C32" w14:textId="77777777">
            <w:pPr>
              <w:rPr>
                <w:rFonts w:asciiTheme="majorHAnsi" w:hAnsiTheme="majorHAnsi" w:cstheme="majorHAnsi"/>
                <w:sz w:val="22"/>
                <w:szCs w:val="22"/>
              </w:rPr>
            </w:pPr>
            <w:r w:rsidRPr="000F4C13">
              <w:rPr>
                <w:rFonts w:asciiTheme="majorHAnsi" w:hAnsiTheme="majorHAnsi" w:cstheme="majorHAnsi"/>
                <w:sz w:val="22"/>
                <w:szCs w:val="22"/>
              </w:rPr>
              <w:t>Provided drought and water grants to support wildfire mitigation by improving water resources for firefighting.</w:t>
            </w:r>
          </w:p>
        </w:tc>
      </w:tr>
    </w:tbl>
    <w:p w:rsidRPr="000F4C13" w:rsidR="009F5AEE" w:rsidP="009F5AEE" w:rsidRDefault="009F5AEE" w14:paraId="6A0EB2B9" w14:textId="77777777">
      <w:pPr>
        <w:pStyle w:val="outlinep3bh4"/>
        <w:numPr>
          <w:ilvl w:val="0"/>
          <w:numId w:val="0"/>
        </w:numPr>
        <w:spacing w:before="0"/>
        <w:ind w:left="720"/>
        <w:outlineLvl w:val="9"/>
        <w:rPr>
          <w:rFonts w:asciiTheme="majorHAnsi" w:hAnsiTheme="majorHAnsi" w:cstheme="majorHAnsi"/>
          <w:b w:val="0"/>
          <w:bCs/>
        </w:rPr>
      </w:pPr>
    </w:p>
    <w:tbl>
      <w:tblPr>
        <w:tblStyle w:val="GridTable4"/>
        <w:tblW w:w="9445" w:type="dxa"/>
        <w:tblLook w:val="0420" w:firstRow="1" w:lastRow="0" w:firstColumn="0" w:lastColumn="0" w:noHBand="0" w:noVBand="1"/>
      </w:tblPr>
      <w:tblGrid>
        <w:gridCol w:w="2335"/>
        <w:gridCol w:w="7110"/>
      </w:tblGrid>
      <w:tr w:rsidRPr="000F4C13" w:rsidR="000D24C4" w:rsidTr="32B00831" w14:paraId="64C2C41C"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445" w:type="dxa"/>
            <w:gridSpan w:val="2"/>
            <w:tcMar/>
          </w:tcPr>
          <w:p w:rsidRPr="000F4C13" w:rsidR="000D24C4" w:rsidP="00080769" w:rsidRDefault="000D24C4" w14:paraId="206884FE" w14:textId="77777777">
            <w:pPr>
              <w:jc w:val="center"/>
              <w:rPr>
                <w:rFonts w:asciiTheme="majorHAnsi" w:hAnsiTheme="majorHAnsi" w:cstheme="majorHAnsi"/>
              </w:rPr>
            </w:pPr>
            <w:r w:rsidRPr="000F4C13">
              <w:rPr>
                <w:rFonts w:asciiTheme="majorHAnsi" w:hAnsiTheme="majorHAnsi" w:cstheme="majorHAnsi"/>
              </w:rPr>
              <w:t>Wyoming</w:t>
            </w:r>
          </w:p>
        </w:tc>
      </w:tr>
      <w:tr w:rsidRPr="000F4C13" w:rsidR="000D24C4" w:rsidTr="32B00831" w14:paraId="00F883D0"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shd w:val="clear" w:color="auto" w:fill="B8CCE4" w:themeFill="accent1" w:themeFillTint="66"/>
            <w:tcMar/>
          </w:tcPr>
          <w:p w:rsidRPr="000F4C13" w:rsidR="000D24C4" w:rsidP="00080769" w:rsidRDefault="000D24C4" w14:paraId="1EEA5D16" w14:textId="77777777">
            <w:pPr>
              <w:rPr>
                <w:rFonts w:asciiTheme="majorHAnsi" w:hAnsiTheme="majorHAnsi" w:cstheme="majorHAnsi"/>
                <w:b/>
                <w:bCs/>
                <w:sz w:val="22"/>
                <w:szCs w:val="22"/>
              </w:rPr>
            </w:pPr>
            <w:r w:rsidRPr="000F4C13">
              <w:rPr>
                <w:rFonts w:asciiTheme="majorHAnsi" w:hAnsiTheme="majorHAnsi" w:cstheme="majorHAnsi"/>
                <w:b/>
                <w:bCs/>
                <w:sz w:val="22"/>
                <w:szCs w:val="22"/>
              </w:rPr>
              <w:t>Regulation/Legislation</w:t>
            </w:r>
          </w:p>
        </w:tc>
        <w:tc>
          <w:tcPr>
            <w:cnfStyle w:val="000000000000" w:firstRow="0" w:lastRow="0" w:firstColumn="0" w:lastColumn="0" w:oddVBand="0" w:evenVBand="0" w:oddHBand="0" w:evenHBand="0" w:firstRowFirstColumn="0" w:firstRowLastColumn="0" w:lastRowFirstColumn="0" w:lastRowLastColumn="0"/>
            <w:tcW w:w="7110" w:type="dxa"/>
            <w:shd w:val="clear" w:color="auto" w:fill="B8CCE4" w:themeFill="accent1" w:themeFillTint="66"/>
            <w:tcMar/>
          </w:tcPr>
          <w:p w:rsidRPr="000F4C13" w:rsidR="000D24C4" w:rsidP="00080769" w:rsidRDefault="000D24C4" w14:paraId="2001D296" w14:textId="77777777">
            <w:pPr>
              <w:rPr>
                <w:rFonts w:asciiTheme="majorHAnsi" w:hAnsiTheme="majorHAnsi" w:cstheme="majorHAnsi"/>
                <w:b/>
                <w:bCs/>
                <w:sz w:val="22"/>
                <w:szCs w:val="22"/>
              </w:rPr>
            </w:pPr>
            <w:r w:rsidRPr="000F4C13">
              <w:rPr>
                <w:rFonts w:asciiTheme="majorHAnsi" w:hAnsiTheme="majorHAnsi" w:cstheme="majorHAnsi"/>
                <w:b/>
                <w:bCs/>
                <w:sz w:val="22"/>
                <w:szCs w:val="22"/>
              </w:rPr>
              <w:t>Main Provisions</w:t>
            </w:r>
          </w:p>
        </w:tc>
      </w:tr>
      <w:tr w:rsidRPr="000F4C13" w:rsidR="000D24C4" w:rsidTr="32B00831" w14:paraId="0342DEF3" w14:textId="77777777">
        <w:tc>
          <w:tcPr>
            <w:cnfStyle w:val="000000000000" w:firstRow="0" w:lastRow="0" w:firstColumn="0" w:lastColumn="0" w:oddVBand="0" w:evenVBand="0" w:oddHBand="0" w:evenHBand="0" w:firstRowFirstColumn="0" w:firstRowLastColumn="0" w:lastRowFirstColumn="0" w:lastRowLastColumn="0"/>
            <w:tcW w:w="2335" w:type="dxa"/>
            <w:tcMar/>
          </w:tcPr>
          <w:p w:rsidRPr="000F4C13" w:rsidR="000D24C4" w:rsidP="00080769" w:rsidRDefault="000D24C4" w14:paraId="58E56255" w14:textId="77777777">
            <w:pPr>
              <w:rPr>
                <w:rFonts w:asciiTheme="majorHAnsi" w:hAnsiTheme="majorHAnsi" w:cstheme="majorHAnsi"/>
                <w:sz w:val="22"/>
                <w:szCs w:val="22"/>
              </w:rPr>
            </w:pPr>
            <w:r w:rsidRPr="000F4C13">
              <w:rPr>
                <w:rFonts w:asciiTheme="majorHAnsi" w:hAnsiTheme="majorHAnsi" w:cstheme="majorHAnsi"/>
                <w:sz w:val="22"/>
                <w:szCs w:val="22"/>
              </w:rPr>
              <w:t>WY Insurance Regulation Chapter 26</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0D24C4" w:rsidP="32B00831" w:rsidRDefault="000D24C4" w14:paraId="72FA3151" w14:textId="77777777">
            <w:pPr>
              <w:rPr>
                <w:rFonts w:ascii="Calibri" w:hAnsi="Calibri" w:cs="Calibri" w:asciiTheme="majorAscii" w:hAnsiTheme="majorAscii" w:cstheme="majorAscii"/>
                <w:sz w:val="22"/>
                <w:szCs w:val="22"/>
                <w:lang w:val="en-US"/>
              </w:rPr>
            </w:pPr>
            <w:r w:rsidRPr="32B00831" w:rsidR="000D24C4">
              <w:rPr>
                <w:rFonts w:ascii="Calibri" w:hAnsi="Calibri" w:cs="Calibri" w:asciiTheme="majorAscii" w:hAnsiTheme="majorAscii" w:cstheme="majorAscii"/>
                <w:sz w:val="22"/>
                <w:szCs w:val="22"/>
                <w:lang w:val="en-US"/>
              </w:rPr>
              <w:t xml:space="preserve">Prohibits labor depreciation for roofing </w:t>
            </w:r>
            <w:r w:rsidRPr="32B00831" w:rsidR="000D24C4">
              <w:rPr>
                <w:rFonts w:ascii="Calibri" w:hAnsi="Calibri" w:cs="Calibri" w:asciiTheme="majorAscii" w:hAnsiTheme="majorAscii" w:cstheme="majorAscii"/>
                <w:sz w:val="22"/>
                <w:szCs w:val="22"/>
                <w:lang w:val="en-US"/>
              </w:rPr>
              <w:t>work;</w:t>
            </w:r>
            <w:r w:rsidRPr="32B00831" w:rsidR="000D24C4">
              <w:rPr>
                <w:rFonts w:ascii="Calibri" w:hAnsi="Calibri" w:cs="Calibri" w:asciiTheme="majorAscii" w:hAnsiTheme="majorAscii" w:cstheme="majorAscii"/>
                <w:sz w:val="22"/>
                <w:szCs w:val="22"/>
                <w:lang w:val="en-US"/>
              </w:rPr>
              <w:t xml:space="preserve"> covers claims when roofing materials </w:t>
            </w:r>
            <w:r w:rsidRPr="32B00831" w:rsidR="000D24C4">
              <w:rPr>
                <w:rFonts w:ascii="Calibri" w:hAnsi="Calibri" w:cs="Calibri" w:asciiTheme="majorAscii" w:hAnsiTheme="majorAscii" w:cstheme="majorAscii"/>
                <w:sz w:val="22"/>
                <w:szCs w:val="22"/>
                <w:lang w:val="en-US"/>
              </w:rPr>
              <w:t>can't</w:t>
            </w:r>
            <w:r w:rsidRPr="32B00831" w:rsidR="000D24C4">
              <w:rPr>
                <w:rFonts w:ascii="Calibri" w:hAnsi="Calibri" w:cs="Calibri" w:asciiTheme="majorAscii" w:hAnsiTheme="majorAscii" w:cstheme="majorAscii"/>
                <w:sz w:val="22"/>
                <w:szCs w:val="22"/>
                <w:lang w:val="en-US"/>
              </w:rPr>
              <w:t xml:space="preserve"> be replaced.</w:t>
            </w:r>
          </w:p>
        </w:tc>
      </w:tr>
      <w:tr w:rsidRPr="000F4C13" w:rsidR="000D24C4" w:rsidTr="32B00831" w14:paraId="771947C8"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335" w:type="dxa"/>
            <w:tcMar/>
          </w:tcPr>
          <w:p w:rsidRPr="000F4C13" w:rsidR="000D24C4" w:rsidP="00080769" w:rsidRDefault="000D24C4" w14:paraId="376FC0C2" w14:textId="77777777">
            <w:pPr>
              <w:rPr>
                <w:rFonts w:asciiTheme="majorHAnsi" w:hAnsiTheme="majorHAnsi" w:cstheme="majorHAnsi"/>
                <w:sz w:val="22"/>
                <w:szCs w:val="22"/>
              </w:rPr>
            </w:pPr>
            <w:r w:rsidRPr="000F4C13">
              <w:rPr>
                <w:rFonts w:asciiTheme="majorHAnsi" w:hAnsiTheme="majorHAnsi" w:cstheme="majorHAnsi"/>
                <w:sz w:val="22"/>
                <w:szCs w:val="22"/>
              </w:rPr>
              <w:t>WY Statutes § 26-23-107 (2024)</w:t>
            </w:r>
          </w:p>
        </w:tc>
        <w:tc>
          <w:tcPr>
            <w:cnfStyle w:val="000000000000" w:firstRow="0" w:lastRow="0" w:firstColumn="0" w:lastColumn="0" w:oddVBand="0" w:evenVBand="0" w:oddHBand="0" w:evenHBand="0" w:firstRowFirstColumn="0" w:firstRowLastColumn="0" w:lastRowFirstColumn="0" w:lastRowLastColumn="0"/>
            <w:tcW w:w="7110" w:type="dxa"/>
            <w:tcMar/>
          </w:tcPr>
          <w:p w:rsidRPr="000F4C13" w:rsidR="000D24C4" w:rsidP="00080769" w:rsidRDefault="000D24C4" w14:paraId="554299F6" w14:textId="2AB4EBF6">
            <w:pPr>
              <w:rPr>
                <w:rFonts w:asciiTheme="majorHAnsi" w:hAnsiTheme="majorHAnsi" w:cstheme="majorHAnsi"/>
                <w:sz w:val="22"/>
                <w:szCs w:val="22"/>
              </w:rPr>
            </w:pPr>
            <w:r w:rsidRPr="000F4C13">
              <w:rPr>
                <w:rFonts w:asciiTheme="majorHAnsi" w:hAnsiTheme="majorHAnsi" w:cstheme="majorHAnsi"/>
                <w:sz w:val="22"/>
                <w:szCs w:val="22"/>
              </w:rPr>
              <w:t xml:space="preserve">Places restrictions on cancellation and Nonrenewal of Homeowners' Insurance Policies for natural </w:t>
            </w:r>
            <w:r w:rsidRPr="000F4C13" w:rsidR="004405B0">
              <w:rPr>
                <w:rFonts w:asciiTheme="majorHAnsi" w:hAnsiTheme="majorHAnsi" w:cstheme="majorHAnsi"/>
                <w:sz w:val="22"/>
                <w:szCs w:val="22"/>
              </w:rPr>
              <w:t>c</w:t>
            </w:r>
            <w:r w:rsidRPr="000F4C13">
              <w:rPr>
                <w:rFonts w:asciiTheme="majorHAnsi" w:hAnsiTheme="majorHAnsi" w:cstheme="majorHAnsi"/>
                <w:sz w:val="22"/>
                <w:szCs w:val="22"/>
              </w:rPr>
              <w:t>auses</w:t>
            </w:r>
          </w:p>
        </w:tc>
      </w:tr>
    </w:tbl>
    <w:p w:rsidRPr="000F4C13" w:rsidR="00C64AFB" w:rsidP="00AF208A" w:rsidRDefault="0035069D" w14:paraId="4CAA1568" w14:textId="77777777">
      <w:pPr>
        <w:spacing w:after="0" w:line="276" w:lineRule="auto"/>
        <w:rPr>
          <w:rFonts w:eastAsia="Calibri" w:asciiTheme="majorHAnsi" w:hAnsiTheme="majorHAnsi" w:cstheme="majorHAnsi"/>
        </w:rPr>
      </w:pPr>
      <w:r>
        <w:rPr>
          <w:rFonts w:asciiTheme="majorHAnsi" w:hAnsiTheme="majorHAnsi" w:cstheme="majorHAnsi"/>
        </w:rPr>
        <w:pict w14:anchorId="467E0168">
          <v:rect id="_x0000_i1040" style="width:0;height:1.5pt" o:hr="t" o:hrstd="t" o:hralign="center" fillcolor="#a0a0a0" stroked="f"/>
        </w:pict>
      </w:r>
    </w:p>
    <w:p w:rsidRPr="000F4C13" w:rsidR="00C64AFB" w:rsidP="00C64AFB" w:rsidRDefault="003073B1" w14:paraId="3404109F" w14:textId="1B3DDC2E">
      <w:pPr>
        <w:pStyle w:val="Heading3"/>
        <w:spacing w:after="120"/>
        <w:rPr>
          <w:rFonts w:asciiTheme="majorHAnsi" w:hAnsiTheme="majorHAnsi" w:cstheme="majorHAnsi"/>
        </w:rPr>
      </w:pPr>
      <w:r w:rsidRPr="000F4C13">
        <w:rPr>
          <w:rFonts w:asciiTheme="majorHAnsi" w:hAnsiTheme="majorHAnsi" w:cstheme="majorHAnsi"/>
        </w:rPr>
        <w:t>Regulatory</w:t>
      </w:r>
      <w:r w:rsidRPr="000F4C13" w:rsidR="00B47059">
        <w:rPr>
          <w:rFonts w:asciiTheme="majorHAnsi" w:hAnsiTheme="majorHAnsi" w:cstheme="majorHAnsi"/>
        </w:rPr>
        <w:t xml:space="preserve"> Data and Transparency Tools </w:t>
      </w:r>
    </w:p>
    <w:p w:rsidRPr="000F4C13" w:rsidR="00951257" w:rsidP="00951257" w:rsidRDefault="00951257" w14:paraId="4FA53529" w14:textId="64F7FEA3">
      <w:pPr>
        <w:spacing w:before="240" w:after="240"/>
        <w:jc w:val="both"/>
        <w:rPr>
          <w:rFonts w:eastAsia="Calibri" w:asciiTheme="majorHAnsi" w:hAnsiTheme="majorHAnsi" w:cstheme="majorHAnsi"/>
        </w:rPr>
      </w:pPr>
      <w:r w:rsidRPr="000F4C13">
        <w:rPr>
          <w:rFonts w:eastAsia="Calibri" w:asciiTheme="majorHAnsi" w:hAnsiTheme="majorHAnsi" w:cstheme="majorHAnsi"/>
        </w:rPr>
        <w:t>Colorado HB25-1182 is an example of how to require insurers that use risk models to disclose key model information to the DOI in rate filings</w:t>
      </w:r>
      <w:r w:rsidR="00105DA4">
        <w:rPr>
          <w:rFonts w:eastAsia="Calibri" w:asciiTheme="majorHAnsi" w:hAnsiTheme="majorHAnsi" w:cstheme="majorHAnsi"/>
        </w:rPr>
        <w:t>, as well as provide</w:t>
      </w:r>
      <w:r w:rsidRPr="000F4C13">
        <w:rPr>
          <w:rFonts w:eastAsia="Calibri" w:asciiTheme="majorHAnsi" w:hAnsiTheme="majorHAnsi" w:cstheme="majorHAnsi"/>
        </w:rPr>
        <w:t xml:space="preserve"> consumers with their property’s risk scores and potential mitigation discounts. In the context of wildfire risk, the law creates a feedback loop between insurers and consumers by requiring insurers to account for property-specific and community-level mitigation efforts, publish available premium discounts, and provide policyholders </w:t>
      </w:r>
      <w:r w:rsidR="00105DA4">
        <w:rPr>
          <w:rFonts w:eastAsia="Calibri" w:asciiTheme="majorHAnsi" w:hAnsiTheme="majorHAnsi" w:cstheme="majorHAnsi"/>
        </w:rPr>
        <w:t xml:space="preserve">with </w:t>
      </w:r>
      <w:r w:rsidRPr="000F4C13">
        <w:rPr>
          <w:rFonts w:eastAsia="Calibri" w:asciiTheme="majorHAnsi" w:hAnsiTheme="majorHAnsi" w:cstheme="majorHAnsi"/>
        </w:rPr>
        <w:t>annual written notice of their risk scores and applicable discounts</w:t>
      </w:r>
      <w:r w:rsidR="00105DA4">
        <w:rPr>
          <w:rFonts w:eastAsia="Calibri" w:asciiTheme="majorHAnsi" w:hAnsiTheme="majorHAnsi" w:cstheme="majorHAnsi"/>
        </w:rPr>
        <w:t>,</w:t>
      </w:r>
      <w:r w:rsidRPr="000F4C13">
        <w:rPr>
          <w:rFonts w:eastAsia="Calibri" w:asciiTheme="majorHAnsi" w:hAnsiTheme="majorHAnsi" w:cstheme="majorHAnsi"/>
        </w:rPr>
        <w:t xml:space="preserve"> along with an opportunity to challenge a risk score or the accuracy of information relied upon by the insurer.  This empowers consumers to make targeted mitigation investments — defensible space, structural hardening, community designations — with a clear understanding of the impact on their premiums.</w:t>
      </w:r>
    </w:p>
    <w:p w:rsidRPr="000F4C13" w:rsidR="00951257" w:rsidP="00951257" w:rsidRDefault="00951257" w14:paraId="0FF54B93" w14:textId="4464AAC4">
      <w:pPr>
        <w:spacing w:before="240" w:after="240"/>
        <w:jc w:val="both"/>
        <w:rPr>
          <w:rFonts w:eastAsia="Calibri" w:asciiTheme="majorHAnsi" w:hAnsiTheme="majorHAnsi" w:cstheme="majorHAnsi"/>
        </w:rPr>
      </w:pPr>
      <w:r w:rsidRPr="000F4C13">
        <w:rPr>
          <w:rFonts w:eastAsia="Calibri" w:asciiTheme="majorHAnsi" w:hAnsiTheme="majorHAnsi" w:cstheme="majorHAnsi"/>
        </w:rPr>
        <w:t xml:space="preserve">A standardized rate data template embedded in the rate filing process would systematically capture structured insurer-reported data to complement the market data collected through the NAIC HMDC. This would give regulators a consistent, comparable view of market conditions, loss trends, and rate justifications — reducing information asymmetry, enabling more rigorous and systematic actuarial scrutiny, and </w:t>
      </w:r>
      <w:r w:rsidR="00105DA4">
        <w:rPr>
          <w:rFonts w:eastAsia="Calibri" w:asciiTheme="majorHAnsi" w:hAnsiTheme="majorHAnsi" w:cstheme="majorHAnsi"/>
        </w:rPr>
        <w:t>providing more relevant real-time</w:t>
      </w:r>
      <w:r w:rsidRPr="000F4C13">
        <w:rPr>
          <w:rFonts w:eastAsia="Calibri" w:asciiTheme="majorHAnsi" w:hAnsiTheme="majorHAnsi" w:cstheme="majorHAnsi"/>
        </w:rPr>
        <w:t xml:space="preserve"> insights.</w:t>
      </w:r>
    </w:p>
    <w:p w:rsidRPr="000F4C13" w:rsidR="00951257" w:rsidP="00951257" w:rsidRDefault="00951257" w14:paraId="50610C89" w14:textId="6208753D">
      <w:pPr>
        <w:spacing w:before="240" w:after="240"/>
        <w:jc w:val="both"/>
        <w:rPr>
          <w:rFonts w:eastAsia="Calibri" w:asciiTheme="majorHAnsi" w:hAnsiTheme="majorHAnsi" w:cstheme="majorHAnsi"/>
        </w:rPr>
      </w:pPr>
      <w:r w:rsidRPr="000F4C13">
        <w:rPr>
          <w:rFonts w:eastAsia="Calibri" w:asciiTheme="majorHAnsi" w:hAnsiTheme="majorHAnsi" w:cstheme="majorHAnsi"/>
        </w:rPr>
        <w:t xml:space="preserve">Partnering with a statistical agent is also a potential opportunity to further enable structured, event-driven data calls following significant weather or market-disrupting events. These data calls capture </w:t>
      </w:r>
      <w:r w:rsidR="00105DA4">
        <w:rPr>
          <w:rFonts w:eastAsia="Calibri" w:asciiTheme="majorHAnsi" w:hAnsiTheme="majorHAnsi" w:cstheme="majorHAnsi"/>
        </w:rPr>
        <w:t>near-real-time loss development, claims activity, and geographic impact — segmented by residential and commercial lines — allowing regulators to anticipate market dislocations, such as carrier withdrawals or premium spikes, before they escalate, while possibly generating evidence on</w:t>
      </w:r>
      <w:r w:rsidRPr="000F4C13">
        <w:rPr>
          <w:rFonts w:eastAsia="Calibri" w:asciiTheme="majorHAnsi" w:hAnsiTheme="majorHAnsi" w:cstheme="majorHAnsi"/>
        </w:rPr>
        <w:t xml:space="preserve"> which mitigation strategies measurably reduce loss costs.</w:t>
      </w:r>
    </w:p>
    <w:p w:rsidRPr="000F4C13" w:rsidR="00951257" w:rsidP="00951257" w:rsidRDefault="00951257" w14:paraId="362ABE35" w14:textId="686D4E60">
      <w:pPr>
        <w:spacing w:before="240" w:after="240"/>
        <w:jc w:val="both"/>
        <w:rPr>
          <w:rFonts w:eastAsia="Calibri" w:asciiTheme="majorHAnsi" w:hAnsiTheme="majorHAnsi" w:cstheme="majorHAnsi"/>
        </w:rPr>
      </w:pPr>
      <w:r w:rsidRPr="000F4C13">
        <w:rPr>
          <w:rFonts w:eastAsia="Calibri" w:asciiTheme="majorHAnsi" w:hAnsiTheme="majorHAnsi" w:cstheme="majorHAnsi"/>
        </w:rPr>
        <w:t>Together, HB25-1182's transparency requirements, the rate data template, and event-driven data calls could feed a dynamic data visualization dashboard</w:t>
      </w:r>
      <w:r w:rsidR="00105DA4">
        <w:rPr>
          <w:rFonts w:eastAsia="Calibri" w:asciiTheme="majorHAnsi" w:hAnsiTheme="majorHAnsi" w:cstheme="majorHAnsi"/>
        </w:rPr>
        <w:t xml:space="preserve">, providing regulators, legislators, and consumers with </w:t>
      </w:r>
      <w:r w:rsidRPr="000F4C13">
        <w:rPr>
          <w:rFonts w:eastAsia="Calibri" w:asciiTheme="majorHAnsi" w:hAnsiTheme="majorHAnsi" w:cstheme="majorHAnsi"/>
        </w:rPr>
        <w:t>actionable market insights in real time. This integrated infrastructure enables faster, better-informed regulatory decisions</w:t>
      </w:r>
      <w:r w:rsidR="00105DA4">
        <w:rPr>
          <w:rFonts w:eastAsia="Calibri" w:asciiTheme="majorHAnsi" w:hAnsiTheme="majorHAnsi" w:cstheme="majorHAnsi"/>
        </w:rPr>
        <w:t>,</w:t>
      </w:r>
      <w:r w:rsidRPr="000F4C13">
        <w:rPr>
          <w:rFonts w:eastAsia="Calibri" w:asciiTheme="majorHAnsi" w:hAnsiTheme="majorHAnsi" w:cstheme="majorHAnsi"/>
        </w:rPr>
        <w:t xml:space="preserve"> such as how mitigation efforts are delivering meaningful risk reduction and premium relief.</w:t>
      </w:r>
    </w:p>
    <w:p w:rsidRPr="000F4C13" w:rsidR="002961B8" w:rsidP="001E7466" w:rsidRDefault="009C39DD" w14:paraId="39990C1F" w14:textId="536B0392">
      <w:pPr>
        <w:jc w:val="both"/>
        <w:rPr>
          <w:rFonts w:eastAsia="Calibri" w:asciiTheme="majorHAnsi" w:hAnsiTheme="majorHAnsi" w:cstheme="majorHAnsi"/>
        </w:rPr>
      </w:pPr>
      <w:r w:rsidRPr="000F4C13">
        <w:rPr>
          <w:rFonts w:eastAsia="Calibri" w:asciiTheme="majorHAnsi" w:hAnsiTheme="majorHAnsi" w:cstheme="majorHAnsi"/>
        </w:rPr>
        <w:t xml:space="preserve">This section will discuss risk and exposure data, including examining insurers’ risk-rating methods and requiring modifications to classifications or zone definitions to improve consistency and fairness. It will also discuss claims and market monitoring, including issuing data calls after disasters to track claims, non-renewals, and policy lapses, and using zip-code-level insurer filings to identify coverage gaps or premium spikes. It will also discuss internal reporting tools, including maintaining dashboards to support regulatory and legislative decisions. </w:t>
      </w:r>
      <w:r w:rsidR="0035069D">
        <w:rPr>
          <w:rFonts w:asciiTheme="majorHAnsi" w:hAnsiTheme="majorHAnsi" w:cstheme="majorHAnsi"/>
        </w:rPr>
        <w:pict w14:anchorId="5ADF0A3F">
          <v:rect id="_x0000_i1041" style="width:0;height:1.5pt" o:hr="t" o:hrstd="t" o:hralign="center" fillcolor="#a0a0a0" stroked="f"/>
        </w:pict>
      </w:r>
    </w:p>
    <w:p w:rsidRPr="000F4C13" w:rsidR="0013073B" w:rsidP="0013073B" w:rsidRDefault="00134EA8" w14:paraId="1D3E84DC" w14:textId="621D295F">
      <w:pPr>
        <w:pStyle w:val="Heading3"/>
        <w:spacing w:after="120"/>
        <w:rPr>
          <w:rFonts w:asciiTheme="majorHAnsi" w:hAnsiTheme="majorHAnsi" w:cstheme="majorHAnsi"/>
        </w:rPr>
      </w:pPr>
      <w:r>
        <w:rPr>
          <w:rFonts w:asciiTheme="majorHAnsi" w:hAnsiTheme="majorHAnsi" w:cstheme="majorHAnsi"/>
        </w:rPr>
        <w:t>M</w:t>
      </w:r>
      <w:r w:rsidRPr="000F4C13" w:rsidR="0013073B">
        <w:rPr>
          <w:rFonts w:asciiTheme="majorHAnsi" w:hAnsiTheme="majorHAnsi" w:cstheme="majorHAnsi"/>
        </w:rPr>
        <w:t>arket Access</w:t>
      </w:r>
    </w:p>
    <w:p w:rsidRPr="000F4C13" w:rsidR="002C2C28" w:rsidP="002C2C28" w:rsidRDefault="002C2C28" w14:paraId="17CDF513" w14:textId="388777B2">
      <w:pPr>
        <w:jc w:val="both"/>
        <w:rPr>
          <w:rFonts w:asciiTheme="majorHAnsi" w:hAnsiTheme="majorHAnsi" w:cstheme="majorHAnsi"/>
          <w:lang w:val="en-US"/>
        </w:rPr>
      </w:pPr>
      <w:r w:rsidRPr="000F4C13">
        <w:rPr>
          <w:rFonts w:asciiTheme="majorHAnsi" w:hAnsiTheme="majorHAnsi" w:cstheme="majorHAnsi"/>
        </w:rPr>
        <w:t xml:space="preserve">Regulators are addressing insurance protection gaps and market access through several state-level approaches. California has focused its approach through a comprehensive set of reforms aimed at modernizing rate regulation, incorporating forward-looking risk tools, and strengthening the role of the admitted market while reducing reliance on the FAIR Plan. The following considerations draw from California’s experience implementing the Sustainable Insurance Strategy to expand market access and </w:t>
      </w:r>
      <w:r w:rsidR="00653008">
        <w:rPr>
          <w:rFonts w:asciiTheme="majorHAnsi" w:hAnsiTheme="majorHAnsi" w:cstheme="majorHAnsi"/>
        </w:rPr>
        <w:t>advance</w:t>
      </w:r>
      <w:r w:rsidRPr="000F4C13">
        <w:rPr>
          <w:rFonts w:asciiTheme="majorHAnsi" w:hAnsiTheme="majorHAnsi" w:cstheme="majorHAnsi"/>
        </w:rPr>
        <w:t xml:space="preserve"> innovative insurance solutions to close emerging protection gaps.</w:t>
      </w:r>
    </w:p>
    <w:p w:rsidRPr="000F4C13" w:rsidR="002C2C28" w:rsidP="00BB5642" w:rsidRDefault="002C2C28" w14:paraId="4B30509B" w14:textId="6CBD1F1A">
      <w:pPr>
        <w:numPr>
          <w:ilvl w:val="0"/>
          <w:numId w:val="61"/>
        </w:numPr>
        <w:spacing w:after="0" w:line="276" w:lineRule="auto"/>
        <w:jc w:val="both"/>
        <w:rPr>
          <w:rFonts w:asciiTheme="majorHAnsi" w:hAnsiTheme="majorHAnsi" w:cstheme="majorHAnsi"/>
          <w:lang w:val="en-US"/>
        </w:rPr>
      </w:pPr>
      <w:r w:rsidRPr="000F4C13">
        <w:rPr>
          <w:rFonts w:asciiTheme="majorHAnsi" w:hAnsiTheme="majorHAnsi" w:cstheme="majorHAnsi"/>
          <w:lang w:val="en-US"/>
        </w:rPr>
        <w:t>Reforming regulations and adopting initiatives to improve market access and depopulate California’s FAIR Plan through incorporating catastrophe modeling and net cost of reinsurance, strengthening transparency in rate filings, and requiring insurers to make enforceable commitments to write and expand coverage in high-risk areas.</w:t>
      </w:r>
    </w:p>
    <w:p w:rsidRPr="000F4C13" w:rsidR="002C2C28" w:rsidP="00BB5642" w:rsidRDefault="002C2C28" w14:paraId="17911730" w14:textId="77777777">
      <w:pPr>
        <w:numPr>
          <w:ilvl w:val="1"/>
          <w:numId w:val="64"/>
        </w:numPr>
        <w:spacing w:after="0" w:line="276" w:lineRule="auto"/>
        <w:ind w:left="1440"/>
        <w:jc w:val="both"/>
        <w:rPr>
          <w:rFonts w:asciiTheme="majorHAnsi" w:hAnsiTheme="majorHAnsi" w:cstheme="majorHAnsi"/>
          <w:lang w:val="en-US"/>
        </w:rPr>
      </w:pPr>
      <w:r w:rsidRPr="000F4C13">
        <w:rPr>
          <w:rFonts w:asciiTheme="majorHAnsi" w:hAnsiTheme="majorHAnsi" w:cstheme="majorHAnsi"/>
          <w:b/>
          <w:bCs/>
          <w:lang w:val="en-US"/>
        </w:rPr>
        <w:t>Stakeholder engagement:</w:t>
      </w:r>
      <w:r w:rsidRPr="000F4C13">
        <w:rPr>
          <w:rFonts w:asciiTheme="majorHAnsi" w:hAnsiTheme="majorHAnsi" w:cstheme="majorHAnsi"/>
          <w:lang w:val="en-US"/>
        </w:rPr>
        <w:t xml:space="preserve"> </w:t>
      </w:r>
      <w:r w:rsidRPr="000F4C13">
        <w:rPr>
          <w:rFonts w:eastAsia="Noto Sans Symbols" w:asciiTheme="majorHAnsi" w:hAnsiTheme="majorHAnsi" w:cstheme="majorHAnsi"/>
          <w:kern w:val="2"/>
          <w:lang w:val="en-US"/>
          <w14:ligatures w14:val="standardContextual"/>
        </w:rPr>
        <w:t>CDI conducted town halls, convened meetings, and established working groups with different internal and external stakeholders, including consumers, consumer advocacy groups, state and local agencies, and academic and public policy researchers and experts. These engagement frameworks have provided invaluable insights into the market access challenges faced by consumers and shaped regulatory priorities.</w:t>
      </w:r>
      <w:r w:rsidRPr="000F4C13">
        <w:rPr>
          <w:rFonts w:asciiTheme="majorHAnsi" w:hAnsiTheme="majorHAnsi" w:cstheme="majorHAnsi"/>
          <w:lang w:val="en-US"/>
        </w:rPr>
        <w:t xml:space="preserve"> </w:t>
      </w:r>
    </w:p>
    <w:p w:rsidRPr="000F4C13" w:rsidR="002C2C28" w:rsidP="00BB5642" w:rsidRDefault="002C2C28" w14:paraId="34334DDA" w14:textId="77777777">
      <w:pPr>
        <w:numPr>
          <w:ilvl w:val="1"/>
          <w:numId w:val="64"/>
        </w:numPr>
        <w:spacing w:after="0" w:line="276" w:lineRule="auto"/>
        <w:ind w:left="1440"/>
        <w:jc w:val="both"/>
        <w:rPr>
          <w:rFonts w:asciiTheme="majorHAnsi" w:hAnsiTheme="majorHAnsi" w:cstheme="majorHAnsi"/>
          <w:lang w:val="en-US"/>
        </w:rPr>
      </w:pPr>
      <w:r w:rsidRPr="000F4C13">
        <w:rPr>
          <w:rFonts w:asciiTheme="majorHAnsi" w:hAnsiTheme="majorHAnsi" w:cstheme="majorHAnsi"/>
          <w:b/>
          <w:bCs/>
          <w:lang w:val="en-US"/>
        </w:rPr>
        <w:t xml:space="preserve">Data collection and analysis: </w:t>
      </w:r>
      <w:r w:rsidRPr="000F4C13">
        <w:rPr>
          <w:rFonts w:eastAsia="Noto Sans Symbols" w:asciiTheme="majorHAnsi" w:hAnsiTheme="majorHAnsi" w:cstheme="majorHAnsi"/>
          <w:kern w:val="2"/>
          <w:lang w:val="en-US"/>
          <w14:ligatures w14:val="standardContextual"/>
        </w:rPr>
        <w:t>CDI has collected and analyzed policy and zip code level data on non-renewals and FAIR plan policies in the residential market as well as on wildfire specific losses to identify areas with constrained availability and inform targeted FAIR Plan depopulation efforts. CDI has also expanded data collection efforts to include reinsurance information (see adopted legislation).</w:t>
      </w:r>
      <w:r w:rsidRPr="000F4C13">
        <w:rPr>
          <w:rFonts w:asciiTheme="majorHAnsi" w:hAnsiTheme="majorHAnsi" w:cstheme="majorHAnsi"/>
          <w:lang w:val="en-US"/>
        </w:rPr>
        <w:t xml:space="preserve"> </w:t>
      </w:r>
    </w:p>
    <w:p w:rsidRPr="000F4C13" w:rsidR="002C2C28" w:rsidP="00BB5642" w:rsidRDefault="002C2C28" w14:paraId="2F3E6DA0" w14:textId="77777777">
      <w:pPr>
        <w:numPr>
          <w:ilvl w:val="1"/>
          <w:numId w:val="64"/>
        </w:numPr>
        <w:spacing w:after="0" w:line="276" w:lineRule="auto"/>
        <w:ind w:left="1440"/>
        <w:jc w:val="both"/>
        <w:rPr>
          <w:rFonts w:asciiTheme="majorHAnsi" w:hAnsiTheme="majorHAnsi" w:cstheme="majorHAnsi"/>
          <w:lang w:val="en-US"/>
        </w:rPr>
      </w:pPr>
      <w:r w:rsidRPr="000F4C13">
        <w:rPr>
          <w:rFonts w:asciiTheme="majorHAnsi" w:hAnsiTheme="majorHAnsi" w:cstheme="majorHAnsi"/>
          <w:b/>
          <w:bCs/>
          <w:lang w:val="en-US"/>
        </w:rPr>
        <w:t>Regulatory Modernization:</w:t>
      </w:r>
      <w:r w:rsidRPr="000F4C13">
        <w:rPr>
          <w:rFonts w:asciiTheme="majorHAnsi" w:hAnsiTheme="majorHAnsi" w:cstheme="majorHAnsi"/>
          <w:lang w:val="en-US"/>
        </w:rPr>
        <w:t> F</w:t>
      </w:r>
      <w:r w:rsidRPr="000F4C13">
        <w:rPr>
          <w:rFonts w:eastAsia="Noto Sans Symbols" w:asciiTheme="majorHAnsi" w:hAnsiTheme="majorHAnsi" w:cstheme="majorHAnsi"/>
          <w:kern w:val="2"/>
          <w:lang w:val="en-US"/>
          <w14:ligatures w14:val="standardContextual"/>
        </w:rPr>
        <w:t>ollowing the engagement and data analysis efforts, CDI initiated a series of updates to make policies more responsive to today’s challenges. This included the first-ever guarantee of coverage, ensuring greater access to insurance statewide. These measures included:</w:t>
      </w:r>
    </w:p>
    <w:p w:rsidRPr="000F4C13" w:rsidR="002C2C28" w:rsidP="00BB5642" w:rsidRDefault="002C2C28" w14:paraId="09006D44" w14:textId="77777777">
      <w:pPr>
        <w:numPr>
          <w:ilvl w:val="0"/>
          <w:numId w:val="65"/>
        </w:numPr>
        <w:spacing w:after="0" w:line="276" w:lineRule="auto"/>
        <w:jc w:val="both"/>
        <w:rPr>
          <w:rFonts w:asciiTheme="majorHAnsi" w:hAnsiTheme="majorHAnsi" w:cstheme="majorHAnsi"/>
          <w:lang w:val="en-US"/>
        </w:rPr>
      </w:pPr>
      <w:hyperlink w:history="1" r:id="rId275">
        <w:r w:rsidRPr="000F4C13">
          <w:rPr>
            <w:rStyle w:val="Hyperlink"/>
            <w:rFonts w:asciiTheme="majorHAnsi" w:hAnsiTheme="majorHAnsi" w:cstheme="majorHAnsi"/>
            <w:lang w:val="en-US"/>
          </w:rPr>
          <w:t>Intervenor transparency reforms</w:t>
        </w:r>
      </w:hyperlink>
      <w:r w:rsidRPr="000F4C13">
        <w:rPr>
          <w:rFonts w:asciiTheme="majorHAnsi" w:hAnsiTheme="majorHAnsi" w:cstheme="majorHAnsi"/>
          <w:lang w:val="en-US"/>
        </w:rPr>
        <w:t xml:space="preserve"> to increase accountability in the rate-making process. </w:t>
      </w:r>
    </w:p>
    <w:p w:rsidRPr="000F4C13" w:rsidR="002C2C28" w:rsidP="00BB5642" w:rsidRDefault="002C2C28" w14:paraId="706C90E2" w14:textId="77777777">
      <w:pPr>
        <w:numPr>
          <w:ilvl w:val="0"/>
          <w:numId w:val="65"/>
        </w:numPr>
        <w:spacing w:after="0" w:line="276" w:lineRule="auto"/>
        <w:jc w:val="both"/>
        <w:rPr>
          <w:rFonts w:asciiTheme="majorHAnsi" w:hAnsiTheme="majorHAnsi" w:cstheme="majorHAnsi"/>
          <w:lang w:val="en-US"/>
        </w:rPr>
      </w:pPr>
      <w:hyperlink w:history="1" r:id="rId276">
        <w:r w:rsidRPr="000F4C13">
          <w:rPr>
            <w:rStyle w:val="Hyperlink"/>
            <w:rFonts w:asciiTheme="majorHAnsi" w:hAnsiTheme="majorHAnsi" w:cstheme="majorHAnsi"/>
            <w:lang w:val="en-US"/>
          </w:rPr>
          <w:t>Modernization of the FAIR Plan</w:t>
        </w:r>
      </w:hyperlink>
      <w:r w:rsidRPr="000F4C13">
        <w:rPr>
          <w:rFonts w:asciiTheme="majorHAnsi" w:hAnsiTheme="majorHAnsi" w:cstheme="majorHAnsi"/>
          <w:lang w:val="en-US"/>
        </w:rPr>
        <w:t xml:space="preserve"> to expand coverage, improve financial stability, and enhance transparency. </w:t>
      </w:r>
    </w:p>
    <w:p w:rsidRPr="000F4C13" w:rsidR="002C2C28" w:rsidP="00BB5642" w:rsidRDefault="002C2C28" w14:paraId="0FFF1D60" w14:textId="77777777">
      <w:pPr>
        <w:numPr>
          <w:ilvl w:val="0"/>
          <w:numId w:val="65"/>
        </w:numPr>
        <w:spacing w:after="0" w:line="276" w:lineRule="auto"/>
        <w:jc w:val="both"/>
        <w:rPr>
          <w:rFonts w:asciiTheme="majorHAnsi" w:hAnsiTheme="majorHAnsi" w:cstheme="majorHAnsi"/>
          <w:lang w:val="en-US"/>
        </w:rPr>
      </w:pPr>
      <w:r w:rsidRPr="000F4C13">
        <w:rPr>
          <w:rFonts w:asciiTheme="majorHAnsi" w:hAnsiTheme="majorHAnsi" w:cstheme="majorHAnsi"/>
          <w:lang w:val="en-US"/>
        </w:rPr>
        <w:t xml:space="preserve">Issuance of a </w:t>
      </w:r>
      <w:hyperlink w:history="1" r:id="rId277">
        <w:r w:rsidRPr="000F4C13">
          <w:rPr>
            <w:rStyle w:val="Hyperlink"/>
            <w:rFonts w:asciiTheme="majorHAnsi" w:hAnsiTheme="majorHAnsi" w:cstheme="majorHAnsi"/>
            <w:lang w:val="en-US"/>
          </w:rPr>
          <w:t>bulletin</w:t>
        </w:r>
      </w:hyperlink>
      <w:r w:rsidRPr="000F4C13">
        <w:rPr>
          <w:rFonts w:asciiTheme="majorHAnsi" w:hAnsiTheme="majorHAnsi" w:cstheme="majorHAnsi"/>
          <w:lang w:val="en-US"/>
        </w:rPr>
        <w:t xml:space="preserve"> to implement comprehensive rate review reforms. </w:t>
      </w:r>
    </w:p>
    <w:p w:rsidRPr="000F4C13" w:rsidR="002C2C28" w:rsidP="00BB5642" w:rsidRDefault="002C2C28" w14:paraId="4916954F" w14:textId="77777777">
      <w:pPr>
        <w:numPr>
          <w:ilvl w:val="0"/>
          <w:numId w:val="65"/>
        </w:numPr>
        <w:spacing w:after="0" w:line="276" w:lineRule="auto"/>
        <w:jc w:val="both"/>
        <w:rPr>
          <w:rFonts w:asciiTheme="majorHAnsi" w:hAnsiTheme="majorHAnsi" w:cstheme="majorHAnsi"/>
        </w:rPr>
      </w:pPr>
      <w:r w:rsidRPr="000F4C13">
        <w:rPr>
          <w:rFonts w:asciiTheme="majorHAnsi" w:hAnsiTheme="majorHAnsi" w:cstheme="majorHAnsi"/>
          <w:lang w:val="en-US"/>
        </w:rPr>
        <w:t xml:space="preserve">Introduction of </w:t>
      </w:r>
      <w:hyperlink w:history="1" r:id="rId278">
        <w:r w:rsidRPr="000F4C13">
          <w:rPr>
            <w:rStyle w:val="Hyperlink"/>
            <w:rFonts w:asciiTheme="majorHAnsi" w:hAnsiTheme="majorHAnsi" w:cstheme="majorHAnsi"/>
            <w:lang w:val="en-US"/>
          </w:rPr>
          <w:t>catastrophe modeling</w:t>
        </w:r>
      </w:hyperlink>
      <w:r w:rsidRPr="000F4C13">
        <w:rPr>
          <w:rFonts w:asciiTheme="majorHAnsi" w:hAnsiTheme="majorHAnsi" w:cstheme="majorHAnsi"/>
          <w:lang w:val="en-US"/>
        </w:rPr>
        <w:t xml:space="preserve"> and </w:t>
      </w:r>
      <w:hyperlink w:history="1" r:id="rId279">
        <w:r w:rsidRPr="000F4C13">
          <w:rPr>
            <w:rStyle w:val="Hyperlink"/>
            <w:rFonts w:asciiTheme="majorHAnsi" w:hAnsiTheme="majorHAnsi" w:cstheme="majorHAnsi"/>
            <w:lang w:val="en-US"/>
          </w:rPr>
          <w:t>net cost of reinsurance</w:t>
        </w:r>
      </w:hyperlink>
      <w:r w:rsidRPr="000F4C13">
        <w:rPr>
          <w:rFonts w:asciiTheme="majorHAnsi" w:hAnsiTheme="majorHAnsi" w:cstheme="majorHAnsi"/>
          <w:lang w:val="en-US"/>
        </w:rPr>
        <w:t xml:space="preserve"> in rate-making to bring stability back to the market and make rates more accurate. </w:t>
      </w:r>
    </w:p>
    <w:p w:rsidRPr="000F4C13" w:rsidR="002C2C28" w:rsidP="00BB5642" w:rsidRDefault="002C2C28" w14:paraId="026AE2B3" w14:textId="77777777">
      <w:pPr>
        <w:numPr>
          <w:ilvl w:val="0"/>
          <w:numId w:val="65"/>
        </w:numPr>
        <w:spacing w:after="0" w:line="276" w:lineRule="auto"/>
        <w:jc w:val="both"/>
        <w:rPr>
          <w:rFonts w:asciiTheme="majorHAnsi" w:hAnsiTheme="majorHAnsi" w:cstheme="majorHAnsi"/>
        </w:rPr>
      </w:pPr>
      <w:r w:rsidRPr="000F4C13">
        <w:rPr>
          <w:rFonts w:asciiTheme="majorHAnsi" w:hAnsiTheme="majorHAnsi" w:cstheme="majorHAnsi"/>
        </w:rPr>
        <w:t xml:space="preserve">Establishing a clear process to review models before their use in rate filing. </w:t>
      </w:r>
    </w:p>
    <w:p w:rsidRPr="000F4C13" w:rsidR="002C2C28" w:rsidP="00BB5642" w:rsidRDefault="002C2C28" w14:paraId="5987AF30" w14:textId="77777777">
      <w:pPr>
        <w:numPr>
          <w:ilvl w:val="0"/>
          <w:numId w:val="65"/>
        </w:numPr>
        <w:spacing w:after="0" w:line="276" w:lineRule="auto"/>
        <w:jc w:val="both"/>
        <w:rPr>
          <w:rFonts w:asciiTheme="majorHAnsi" w:hAnsiTheme="majorHAnsi" w:cstheme="majorHAnsi"/>
        </w:rPr>
      </w:pPr>
      <w:r w:rsidRPr="000F4C13">
        <w:rPr>
          <w:rFonts w:asciiTheme="majorHAnsi" w:hAnsiTheme="majorHAnsi" w:cstheme="majorHAnsi"/>
        </w:rPr>
        <w:t xml:space="preserve">Strengthening transparency in rate filings and holding insurance companies accountable for their business oversight. These </w:t>
      </w:r>
      <w:hyperlink w:history="1" r:id="rId280">
        <w:r w:rsidRPr="000F4C13">
          <w:rPr>
            <w:rStyle w:val="Hyperlink"/>
            <w:rFonts w:asciiTheme="majorHAnsi" w:hAnsiTheme="majorHAnsi" w:cstheme="majorHAnsi"/>
          </w:rPr>
          <w:t>measures</w:t>
        </w:r>
      </w:hyperlink>
      <w:r w:rsidRPr="000F4C13">
        <w:rPr>
          <w:rFonts w:asciiTheme="majorHAnsi" w:hAnsiTheme="majorHAnsi" w:cstheme="majorHAnsi"/>
        </w:rPr>
        <w:t xml:space="preserve"> ensured that rate hikes were justified and aligned with consumer interests. </w:t>
      </w:r>
    </w:p>
    <w:p w:rsidRPr="000F4C13" w:rsidR="002C2C28" w:rsidP="00BB5642" w:rsidRDefault="002C2C28" w14:paraId="4558AD31" w14:textId="77777777">
      <w:pPr>
        <w:numPr>
          <w:ilvl w:val="1"/>
          <w:numId w:val="66"/>
        </w:numPr>
        <w:spacing w:after="0" w:line="276" w:lineRule="auto"/>
        <w:ind w:left="1440"/>
        <w:jc w:val="both"/>
        <w:rPr>
          <w:rFonts w:eastAsia="Noto Sans Symbols" w:asciiTheme="majorHAnsi" w:hAnsiTheme="majorHAnsi" w:cstheme="majorHAnsi"/>
          <w:kern w:val="2"/>
          <w:lang w:val="en-US"/>
          <w14:ligatures w14:val="standardContextual"/>
        </w:rPr>
      </w:pPr>
      <w:r w:rsidRPr="000F4C13">
        <w:rPr>
          <w:rFonts w:asciiTheme="majorHAnsi" w:hAnsiTheme="majorHAnsi" w:cstheme="majorHAnsi"/>
          <w:b/>
          <w:bCs/>
          <w:lang w:val="en-US"/>
        </w:rPr>
        <w:t xml:space="preserve">Clear communication of regulatory updates and expectations: </w:t>
      </w:r>
      <w:r w:rsidRPr="000F4C13">
        <w:rPr>
          <w:rFonts w:eastAsia="Noto Sans Symbols" w:asciiTheme="majorHAnsi" w:hAnsiTheme="majorHAnsi" w:cstheme="majorHAnsi"/>
          <w:kern w:val="2"/>
          <w:lang w:val="en-US"/>
          <w14:ligatures w14:val="standardContextual"/>
        </w:rPr>
        <w:t>CDI developed a communication strategy to keep consumers, the insurance value chain, and other stakeholders informed of regulatory expectations, timelines, and available resources.</w:t>
      </w:r>
    </w:p>
    <w:p w:rsidRPr="000F4C13" w:rsidR="002C2C28" w:rsidP="00BB5642" w:rsidRDefault="002C2C28" w14:paraId="75F8F8BB" w14:textId="77777777">
      <w:pPr>
        <w:numPr>
          <w:ilvl w:val="1"/>
          <w:numId w:val="67"/>
        </w:numPr>
        <w:spacing w:after="0" w:line="276" w:lineRule="auto"/>
        <w:ind w:left="1440"/>
        <w:jc w:val="both"/>
        <w:rPr>
          <w:rFonts w:asciiTheme="majorHAnsi" w:hAnsiTheme="majorHAnsi" w:cstheme="majorHAnsi"/>
          <w:lang w:val="en-US"/>
        </w:rPr>
      </w:pPr>
      <w:r w:rsidRPr="000F4C13">
        <w:rPr>
          <w:rFonts w:asciiTheme="majorHAnsi" w:hAnsiTheme="majorHAnsi" w:cstheme="majorHAnsi"/>
          <w:b/>
          <w:bCs/>
          <w:lang w:val="en-US"/>
        </w:rPr>
        <w:t>Track impact of reforms on insurance availability:</w:t>
      </w:r>
      <w:r w:rsidRPr="000F4C13">
        <w:rPr>
          <w:rFonts w:asciiTheme="majorHAnsi" w:hAnsiTheme="majorHAnsi" w:cstheme="majorHAnsi"/>
          <w:lang w:val="en-US"/>
        </w:rPr>
        <w:t xml:space="preserve"> </w:t>
      </w:r>
      <w:r w:rsidRPr="000F4C13">
        <w:rPr>
          <w:rFonts w:eastAsia="Noto Sans Symbols" w:asciiTheme="majorHAnsi" w:hAnsiTheme="majorHAnsi" w:cstheme="majorHAnsi"/>
          <w:kern w:val="2"/>
          <w:lang w:val="en-US"/>
          <w14:ligatures w14:val="standardContextual"/>
        </w:rPr>
        <w:t>CDI is monitoring market insurance data collection measures to track insurer participation, geographic availability, and affordability trends.</w:t>
      </w:r>
    </w:p>
    <w:p w:rsidRPr="000F4C13" w:rsidR="002C2C28" w:rsidP="00BB5642" w:rsidRDefault="002C2C28" w14:paraId="6B6B0628" w14:textId="77777777">
      <w:pPr>
        <w:numPr>
          <w:ilvl w:val="1"/>
          <w:numId w:val="67"/>
        </w:numPr>
        <w:spacing w:after="0" w:line="276" w:lineRule="auto"/>
        <w:ind w:left="1440"/>
        <w:jc w:val="both"/>
        <w:rPr>
          <w:rFonts w:asciiTheme="majorHAnsi" w:hAnsiTheme="majorHAnsi" w:cstheme="majorHAnsi"/>
          <w:lang w:val="en-US"/>
        </w:rPr>
      </w:pPr>
      <w:r w:rsidRPr="000F4C13">
        <w:rPr>
          <w:rFonts w:asciiTheme="majorHAnsi" w:hAnsiTheme="majorHAnsi" w:cstheme="majorHAnsi"/>
          <w:b/>
          <w:bCs/>
          <w:lang w:val="en-US"/>
        </w:rPr>
        <w:t>Incorporation of complimentary efforts:</w:t>
      </w:r>
      <w:r w:rsidRPr="000F4C13">
        <w:rPr>
          <w:rFonts w:asciiTheme="majorHAnsi" w:hAnsiTheme="majorHAnsi" w:cstheme="majorHAnsi"/>
          <w:lang w:val="en-US"/>
        </w:rPr>
        <w:t xml:space="preserve"> CDI is </w:t>
      </w:r>
      <w:r w:rsidRPr="000F4C13">
        <w:rPr>
          <w:rFonts w:asciiTheme="majorHAnsi" w:hAnsiTheme="majorHAnsi" w:cstheme="majorHAnsi"/>
        </w:rPr>
        <w:t xml:space="preserve">building on other departmental and </w:t>
      </w:r>
      <w:hyperlink w:history="1" r:id="rId281">
        <w:r w:rsidRPr="000F4C13">
          <w:rPr>
            <w:rStyle w:val="Hyperlink"/>
            <w:rFonts w:asciiTheme="majorHAnsi" w:hAnsiTheme="majorHAnsi" w:cstheme="majorHAnsi"/>
            <w:lang w:val="en-US"/>
          </w:rPr>
          <w:t>state level initiatives</w:t>
        </w:r>
      </w:hyperlink>
      <w:r w:rsidRPr="000F4C13">
        <w:rPr>
          <w:rFonts w:asciiTheme="majorHAnsi" w:hAnsiTheme="majorHAnsi" w:cstheme="majorHAnsi"/>
        </w:rPr>
        <w:t xml:space="preserve"> and regulations that compliment these market access reforms, such as mitigation incentives, mitigation grant programs, and </w:t>
      </w:r>
      <w:hyperlink w:history="1" r:id="rId282">
        <w:r w:rsidRPr="000F4C13">
          <w:rPr>
            <w:rStyle w:val="Hyperlink"/>
            <w:rFonts w:asciiTheme="majorHAnsi" w:hAnsiTheme="majorHAnsi" w:cstheme="majorHAnsi"/>
            <w:lang w:val="en-US"/>
          </w:rPr>
          <w:t>open data commons</w:t>
        </w:r>
      </w:hyperlink>
      <w:r w:rsidRPr="000F4C13">
        <w:rPr>
          <w:rFonts w:asciiTheme="majorHAnsi" w:hAnsiTheme="majorHAnsi" w:cstheme="majorHAnsi"/>
        </w:rPr>
        <w:t xml:space="preserve">. </w:t>
      </w:r>
    </w:p>
    <w:p w:rsidRPr="000F4C13" w:rsidR="002C2C28" w:rsidP="00BB5642" w:rsidRDefault="002C2C28" w14:paraId="03D81FDA" w14:textId="05355C6D">
      <w:pPr>
        <w:numPr>
          <w:ilvl w:val="1"/>
          <w:numId w:val="67"/>
        </w:numPr>
        <w:spacing w:after="0" w:line="276" w:lineRule="auto"/>
        <w:ind w:left="1440"/>
        <w:jc w:val="both"/>
        <w:rPr>
          <w:rFonts w:asciiTheme="majorHAnsi" w:hAnsiTheme="majorHAnsi" w:cstheme="majorHAnsi"/>
          <w:b/>
          <w:bCs/>
          <w:lang w:val="en-US"/>
        </w:rPr>
      </w:pPr>
      <w:r w:rsidRPr="000F4C13">
        <w:rPr>
          <w:rFonts w:asciiTheme="majorHAnsi" w:hAnsiTheme="majorHAnsi" w:cstheme="majorHAnsi"/>
          <w:b/>
          <w:bCs/>
          <w:lang w:val="en-US"/>
        </w:rPr>
        <w:t>Capacity building:</w:t>
      </w:r>
      <w:r w:rsidRPr="000F4C13">
        <w:rPr>
          <w:rFonts w:asciiTheme="majorHAnsi" w:hAnsiTheme="majorHAnsi" w:cstheme="majorHAnsi"/>
          <w:lang w:val="en-US"/>
        </w:rPr>
        <w:t xml:space="preserve"> CDI is actively building and sustaining internal expertise by investing in staffing, training, and analytical tools. This includes </w:t>
      </w:r>
      <w:r w:rsidR="00653008">
        <w:rPr>
          <w:rFonts w:asciiTheme="majorHAnsi" w:hAnsiTheme="majorHAnsi" w:cstheme="majorHAnsi"/>
          <w:lang w:val="en-US"/>
        </w:rPr>
        <w:t>using NAIC-led workshops and other resources to enhance internal capabilities and technical knowledge for reviewing models, analyzing market data, and overseeing the</w:t>
      </w:r>
      <w:r w:rsidRPr="000F4C13">
        <w:rPr>
          <w:rFonts w:asciiTheme="majorHAnsi" w:hAnsiTheme="majorHAnsi" w:cstheme="majorHAnsi"/>
          <w:lang w:val="en-US"/>
        </w:rPr>
        <w:t xml:space="preserve"> implementation of reforms.</w:t>
      </w:r>
    </w:p>
    <w:p w:rsidRPr="000F4C13" w:rsidR="002C2C28" w:rsidP="002C2C28" w:rsidRDefault="002C2C28" w14:paraId="154A904A" w14:textId="77777777">
      <w:pPr>
        <w:jc w:val="both"/>
        <w:rPr>
          <w:rFonts w:asciiTheme="majorHAnsi" w:hAnsiTheme="majorHAnsi" w:cstheme="majorHAnsi"/>
          <w:b/>
          <w:bCs/>
          <w:lang w:val="en-US"/>
        </w:rPr>
      </w:pPr>
    </w:p>
    <w:p w:rsidRPr="000F4C13" w:rsidR="002C2C28" w:rsidP="002C2C28" w:rsidRDefault="002C2C28" w14:paraId="688E3328" w14:textId="6B277825">
      <w:pPr>
        <w:numPr>
          <w:ilvl w:val="0"/>
          <w:numId w:val="61"/>
        </w:numPr>
        <w:spacing w:after="0" w:line="276" w:lineRule="auto"/>
        <w:jc w:val="both"/>
        <w:rPr>
          <w:rFonts w:asciiTheme="majorHAnsi" w:hAnsiTheme="majorHAnsi" w:cstheme="majorHAnsi"/>
          <w:lang w:val="en-US"/>
        </w:rPr>
      </w:pPr>
      <w:r w:rsidRPr="000F4C13">
        <w:rPr>
          <w:rFonts w:asciiTheme="majorHAnsi" w:hAnsiTheme="majorHAnsi" w:cstheme="majorHAnsi"/>
          <w:lang w:val="en-US"/>
        </w:rPr>
        <w:t>Catalyzing nature-based, parametric, and microinsurance solutions for local governments and non-profit organizations to close protection gaps and provide innovative mechanisms to access coverage.</w:t>
      </w:r>
    </w:p>
    <w:p w:rsidRPr="000F4C13" w:rsidR="002C2C28" w:rsidP="00BB5642" w:rsidRDefault="002C2C28" w14:paraId="628C14EA" w14:textId="77777777">
      <w:pPr>
        <w:numPr>
          <w:ilvl w:val="0"/>
          <w:numId w:val="68"/>
        </w:numPr>
        <w:spacing w:after="0" w:line="276" w:lineRule="auto"/>
        <w:jc w:val="both"/>
        <w:rPr>
          <w:rFonts w:asciiTheme="majorHAnsi" w:hAnsiTheme="majorHAnsi" w:cstheme="majorHAnsi"/>
          <w:lang w:val="en-US"/>
        </w:rPr>
      </w:pPr>
      <w:r w:rsidRPr="000F4C13">
        <w:rPr>
          <w:rFonts w:asciiTheme="majorHAnsi" w:hAnsiTheme="majorHAnsi" w:cstheme="majorHAnsi"/>
          <w:b/>
          <w:bCs/>
          <w:lang w:val="en-US"/>
        </w:rPr>
        <w:t>Establishment of working groups and recommendations:</w:t>
      </w:r>
      <w:r w:rsidRPr="000F4C13">
        <w:rPr>
          <w:rFonts w:asciiTheme="majorHAnsi" w:hAnsiTheme="majorHAnsi" w:cstheme="majorHAnsi"/>
          <w:lang w:val="en-US"/>
        </w:rPr>
        <w:t xml:space="preserve"> CDI established the </w:t>
      </w:r>
      <w:hyperlink w:history="1" r:id="rId283">
        <w:r w:rsidRPr="000F4C13">
          <w:rPr>
            <w:rStyle w:val="Hyperlink"/>
            <w:rFonts w:asciiTheme="majorHAnsi" w:hAnsiTheme="majorHAnsi" w:cstheme="majorHAnsi"/>
            <w:lang w:val="en-US"/>
          </w:rPr>
          <w:t>climate insurance working group</w:t>
        </w:r>
      </w:hyperlink>
      <w:r w:rsidRPr="000F4C13">
        <w:rPr>
          <w:rFonts w:asciiTheme="majorHAnsi" w:hAnsiTheme="majorHAnsi" w:cstheme="majorHAnsi"/>
          <w:lang w:val="en-US"/>
        </w:rPr>
        <w:t xml:space="preserve"> to bring together cross-sector expertise and produce </w:t>
      </w:r>
      <w:hyperlink w:history="1" r:id="rId284">
        <w:r w:rsidRPr="000F4C13">
          <w:rPr>
            <w:rStyle w:val="Hyperlink"/>
            <w:rFonts w:asciiTheme="majorHAnsi" w:hAnsiTheme="majorHAnsi" w:cstheme="majorHAnsi"/>
            <w:lang w:val="en-US"/>
          </w:rPr>
          <w:t>reports or recommendations</w:t>
        </w:r>
      </w:hyperlink>
      <w:r w:rsidRPr="000F4C13">
        <w:rPr>
          <w:rFonts w:asciiTheme="majorHAnsi" w:hAnsiTheme="majorHAnsi" w:cstheme="majorHAnsi"/>
          <w:lang w:val="en-US"/>
        </w:rPr>
        <w:t xml:space="preserve"> that inform innovative insurance mechanisms and research questions.</w:t>
      </w:r>
    </w:p>
    <w:p w:rsidRPr="000F4C13" w:rsidR="002C2C28" w:rsidP="00BB5642" w:rsidRDefault="002C2C28" w14:paraId="330B5284" w14:textId="77777777">
      <w:pPr>
        <w:numPr>
          <w:ilvl w:val="0"/>
          <w:numId w:val="68"/>
        </w:numPr>
        <w:spacing w:after="0" w:line="276" w:lineRule="auto"/>
        <w:jc w:val="both"/>
        <w:rPr>
          <w:rFonts w:asciiTheme="majorHAnsi" w:hAnsiTheme="majorHAnsi" w:cstheme="majorHAnsi"/>
          <w:lang w:val="en-US"/>
        </w:rPr>
      </w:pPr>
      <w:r w:rsidRPr="000F4C13">
        <w:rPr>
          <w:rFonts w:asciiTheme="majorHAnsi" w:hAnsiTheme="majorHAnsi" w:cstheme="majorHAnsi"/>
          <w:b/>
          <w:bCs/>
          <w:lang w:val="en-US"/>
        </w:rPr>
        <w:t xml:space="preserve">Research to identify protection gaps: </w:t>
      </w:r>
      <w:r w:rsidRPr="000F4C13">
        <w:rPr>
          <w:rFonts w:asciiTheme="majorHAnsi" w:hAnsiTheme="majorHAnsi" w:cstheme="majorHAnsi"/>
          <w:lang w:val="en-US"/>
        </w:rPr>
        <w:t>CDI</w:t>
      </w:r>
      <w:r w:rsidRPr="000F4C13">
        <w:rPr>
          <w:rFonts w:asciiTheme="majorHAnsi" w:hAnsiTheme="majorHAnsi" w:cstheme="majorHAnsi"/>
          <w:b/>
          <w:bCs/>
          <w:lang w:val="en-US"/>
        </w:rPr>
        <w:t xml:space="preserve"> </w:t>
      </w:r>
      <w:r w:rsidRPr="000F4C13">
        <w:rPr>
          <w:rFonts w:asciiTheme="majorHAnsi" w:hAnsiTheme="majorHAnsi" w:cstheme="majorHAnsi"/>
          <w:lang w:val="en-US"/>
        </w:rPr>
        <w:t xml:space="preserve">developed and leveraged research reports (e.g., </w:t>
      </w:r>
      <w:hyperlink w:history="1" r:id="rId285">
        <w:r w:rsidRPr="000F4C13">
          <w:rPr>
            <w:rStyle w:val="Hyperlink"/>
            <w:rFonts w:asciiTheme="majorHAnsi" w:hAnsiTheme="majorHAnsi" w:cstheme="majorHAnsi"/>
            <w:lang w:val="en-US"/>
          </w:rPr>
          <w:t>protection gap study for Extreme Heat</w:t>
        </w:r>
      </w:hyperlink>
      <w:r w:rsidRPr="000F4C13">
        <w:rPr>
          <w:rFonts w:asciiTheme="majorHAnsi" w:hAnsiTheme="majorHAnsi" w:cstheme="majorHAnsi"/>
          <w:lang w:val="en-US"/>
        </w:rPr>
        <w:t>) to quantify uninsured and underinsured losses, identify protection gaps, and inform the design of targeted insurance solutions.</w:t>
      </w:r>
    </w:p>
    <w:p w:rsidRPr="000F4C13" w:rsidR="002C2C28" w:rsidP="00BB5642" w:rsidRDefault="002C2C28" w14:paraId="54694EF2" w14:textId="45218D4B">
      <w:pPr>
        <w:numPr>
          <w:ilvl w:val="0"/>
          <w:numId w:val="68"/>
        </w:numPr>
        <w:spacing w:after="0" w:line="276" w:lineRule="auto"/>
        <w:jc w:val="both"/>
        <w:rPr>
          <w:rFonts w:asciiTheme="majorHAnsi" w:hAnsiTheme="majorHAnsi" w:cstheme="majorHAnsi"/>
          <w:lang w:val="en-US"/>
        </w:rPr>
      </w:pPr>
      <w:r w:rsidRPr="000F4C13">
        <w:rPr>
          <w:rFonts w:asciiTheme="majorHAnsi" w:hAnsiTheme="majorHAnsi" w:cstheme="majorHAnsi"/>
          <w:b/>
          <w:bCs/>
          <w:lang w:val="en-US"/>
        </w:rPr>
        <w:t>Engagement with multiple stakeholders:</w:t>
      </w:r>
      <w:r w:rsidRPr="000F4C13">
        <w:rPr>
          <w:rFonts w:asciiTheme="majorHAnsi" w:hAnsiTheme="majorHAnsi" w:cstheme="majorHAnsi"/>
          <w:lang w:val="en-US"/>
        </w:rPr>
        <w:t xml:space="preserve"> CDI convened local governments, state agencies, community organizations, academics, and insurance experts to better understand needs, identify protection gaps through an equity and accessibility lens, offer technical expertise and guidance, and co-develop innovative insurance mechanisms for flood and heat for different types </w:t>
      </w:r>
      <w:r w:rsidR="00960A67">
        <w:rPr>
          <w:rFonts w:asciiTheme="majorHAnsi" w:hAnsiTheme="majorHAnsi" w:cstheme="majorHAnsi"/>
          <w:lang w:val="en-US"/>
        </w:rPr>
        <w:t xml:space="preserve">of </w:t>
      </w:r>
      <w:r w:rsidRPr="000F4C13">
        <w:rPr>
          <w:rFonts w:asciiTheme="majorHAnsi" w:hAnsiTheme="majorHAnsi" w:cstheme="majorHAnsi"/>
          <w:lang w:val="en-US"/>
        </w:rPr>
        <w:t>organizations and communities.</w:t>
      </w:r>
    </w:p>
    <w:p w:rsidRPr="000F4C13" w:rsidR="002C2C28" w:rsidP="00BB5642" w:rsidRDefault="002C2C28" w14:paraId="67066E35" w14:textId="77777777">
      <w:pPr>
        <w:numPr>
          <w:ilvl w:val="0"/>
          <w:numId w:val="68"/>
        </w:numPr>
        <w:spacing w:after="0" w:line="276" w:lineRule="auto"/>
        <w:jc w:val="both"/>
        <w:rPr>
          <w:rFonts w:asciiTheme="majorHAnsi" w:hAnsiTheme="majorHAnsi" w:cstheme="majorHAnsi"/>
          <w:lang w:val="en-US"/>
        </w:rPr>
      </w:pPr>
      <w:r w:rsidRPr="000F4C13">
        <w:rPr>
          <w:rFonts w:asciiTheme="majorHAnsi" w:hAnsiTheme="majorHAnsi" w:cstheme="majorHAnsi"/>
          <w:b/>
          <w:bCs/>
          <w:lang w:val="en-US"/>
        </w:rPr>
        <w:t>Education and trust-building:</w:t>
      </w:r>
      <w:r w:rsidRPr="000F4C13">
        <w:rPr>
          <w:rFonts w:asciiTheme="majorHAnsi" w:hAnsiTheme="majorHAnsi" w:cstheme="majorHAnsi"/>
          <w:lang w:val="en-US"/>
        </w:rPr>
        <w:t xml:space="preserve"> CDI focused on clearly communicating how these mechanisms work, including benefits, limitations, and payout structures, to build public understanding and confidence.</w:t>
      </w:r>
    </w:p>
    <w:p w:rsidRPr="000F4C13" w:rsidR="002C2C28" w:rsidP="00BB5642" w:rsidRDefault="002C2C28" w14:paraId="7CBECE5A" w14:textId="77777777">
      <w:pPr>
        <w:numPr>
          <w:ilvl w:val="0"/>
          <w:numId w:val="68"/>
        </w:numPr>
        <w:spacing w:after="0" w:line="276" w:lineRule="auto"/>
        <w:jc w:val="both"/>
        <w:rPr>
          <w:rFonts w:asciiTheme="majorHAnsi" w:hAnsiTheme="majorHAnsi" w:cstheme="majorHAnsi"/>
          <w:lang w:val="en-US"/>
        </w:rPr>
      </w:pPr>
      <w:r w:rsidRPr="000F4C13">
        <w:rPr>
          <w:rFonts w:asciiTheme="majorHAnsi" w:hAnsiTheme="majorHAnsi" w:cstheme="majorHAnsi"/>
          <w:b/>
          <w:bCs/>
          <w:lang w:val="en-US"/>
        </w:rPr>
        <w:t>Support for pilot programs:</w:t>
      </w:r>
      <w:r w:rsidRPr="000F4C13">
        <w:rPr>
          <w:rFonts w:asciiTheme="majorHAnsi" w:hAnsiTheme="majorHAnsi" w:cstheme="majorHAnsi"/>
          <w:lang w:val="en-US"/>
        </w:rPr>
        <w:t xml:space="preserve"> CDI worked on catalyzing pilot projects to test new insurance models (e.g., parametric triggers, community-based coverage). This includes engaging with special districts and local governments to offer technical support and catalyze feasibility studies and insurance mechanisms. </w:t>
      </w:r>
    </w:p>
    <w:p w:rsidRPr="000F4C13" w:rsidR="002C2C28" w:rsidP="00BB5642" w:rsidRDefault="002C2C28" w14:paraId="3EFF5080" w14:textId="77777777">
      <w:pPr>
        <w:numPr>
          <w:ilvl w:val="0"/>
          <w:numId w:val="68"/>
        </w:numPr>
        <w:spacing w:after="0" w:line="276" w:lineRule="auto"/>
        <w:jc w:val="both"/>
        <w:rPr>
          <w:rFonts w:asciiTheme="majorHAnsi" w:hAnsiTheme="majorHAnsi" w:cstheme="majorHAnsi"/>
          <w:lang w:val="en-US"/>
        </w:rPr>
      </w:pPr>
      <w:r w:rsidRPr="000F4C13">
        <w:rPr>
          <w:rFonts w:asciiTheme="majorHAnsi" w:hAnsiTheme="majorHAnsi" w:cstheme="majorHAnsi"/>
          <w:b/>
          <w:bCs/>
          <w:lang w:val="en-US"/>
        </w:rPr>
        <w:t xml:space="preserve">Alignment with mitigation and resilience efforts: </w:t>
      </w:r>
      <w:r w:rsidRPr="000F4C13">
        <w:rPr>
          <w:rFonts w:asciiTheme="majorHAnsi" w:hAnsiTheme="majorHAnsi" w:cstheme="majorHAnsi"/>
          <w:lang w:val="en-US"/>
        </w:rPr>
        <w:t>CDI focused on aligning innovative insurance schemes with risk reduction strategies, including nature-based solutions and community-level investments.</w:t>
      </w:r>
    </w:p>
    <w:p w:rsidRPr="000F4C13" w:rsidR="002C2C28" w:rsidP="00BB5642" w:rsidRDefault="002C2C28" w14:paraId="63C01770" w14:textId="77777777">
      <w:pPr>
        <w:numPr>
          <w:ilvl w:val="0"/>
          <w:numId w:val="68"/>
        </w:numPr>
        <w:spacing w:after="0" w:line="276" w:lineRule="auto"/>
        <w:jc w:val="both"/>
        <w:rPr>
          <w:rFonts w:asciiTheme="majorHAnsi" w:hAnsiTheme="majorHAnsi" w:cstheme="majorHAnsi"/>
          <w:lang w:val="en-US"/>
        </w:rPr>
      </w:pPr>
      <w:r w:rsidRPr="000F4C13">
        <w:rPr>
          <w:rFonts w:asciiTheme="majorHAnsi" w:hAnsiTheme="majorHAnsi" w:cstheme="majorHAnsi"/>
          <w:b/>
          <w:bCs/>
          <w:lang w:val="en-US"/>
        </w:rPr>
        <w:t>Risk communication and data:</w:t>
      </w:r>
      <w:r w:rsidRPr="000F4C13">
        <w:rPr>
          <w:rFonts w:asciiTheme="majorHAnsi" w:hAnsiTheme="majorHAnsi" w:cstheme="majorHAnsi"/>
          <w:lang w:val="en-US"/>
        </w:rPr>
        <w:t xml:space="preserve"> CDI has also supported the development of reliable, transparent, and publicly accessible data sources to better communicate risk and inform innovative solutions. </w:t>
      </w:r>
    </w:p>
    <w:p w:rsidRPr="000F4C13" w:rsidR="0013073B" w:rsidP="00E95AD6" w:rsidRDefault="0013073B" w14:paraId="28434DD6" w14:textId="02B6B898">
      <w:pPr>
        <w:pStyle w:val="outlinep3bh4"/>
        <w:numPr>
          <w:ilvl w:val="0"/>
          <w:numId w:val="0"/>
        </w:numPr>
        <w:spacing w:before="0"/>
        <w:outlineLvl w:val="9"/>
        <w:rPr>
          <w:rFonts w:asciiTheme="majorHAnsi" w:hAnsiTheme="majorHAnsi" w:cstheme="majorHAnsi"/>
          <w:b w:val="0"/>
          <w:bCs/>
          <w:color w:val="auto"/>
        </w:rPr>
      </w:pPr>
    </w:p>
    <w:p w:rsidRPr="000F4C13" w:rsidR="002E5249" w:rsidP="002E5249" w:rsidRDefault="0035069D" w14:paraId="5A3C69A4" w14:textId="549CF26D">
      <w:pPr>
        <w:keepNext/>
        <w:keepLines/>
        <w:spacing w:after="0" w:line="276" w:lineRule="auto"/>
        <w:rPr>
          <w:rFonts w:eastAsia="Calibri" w:asciiTheme="majorHAnsi" w:hAnsiTheme="majorHAnsi" w:cstheme="majorHAnsi"/>
        </w:rPr>
      </w:pPr>
      <w:r>
        <w:rPr>
          <w:rFonts w:asciiTheme="majorHAnsi" w:hAnsiTheme="majorHAnsi" w:cstheme="majorHAnsi"/>
        </w:rPr>
        <w:pict w14:anchorId="33E789C4">
          <v:rect id="_x0000_i1042" style="width:0;height:1.5pt" o:hr="t" o:hrstd="t" o:hralign="center" fillcolor="#a0a0a0" stroked="f"/>
        </w:pict>
      </w:r>
    </w:p>
    <w:p w:rsidRPr="000F4C13" w:rsidR="00B04308" w:rsidP="00B04308" w:rsidRDefault="00AB3297" w14:paraId="2207C036" w14:textId="6076D17C">
      <w:pPr>
        <w:pStyle w:val="Heading3"/>
        <w:spacing w:after="120"/>
        <w:rPr>
          <w:rFonts w:asciiTheme="majorHAnsi" w:hAnsiTheme="majorHAnsi" w:cstheme="majorHAnsi"/>
        </w:rPr>
      </w:pPr>
      <w:r w:rsidRPr="000F4C13">
        <w:rPr>
          <w:rFonts w:asciiTheme="majorHAnsi" w:hAnsiTheme="majorHAnsi" w:cstheme="majorHAnsi"/>
        </w:rPr>
        <w:t>P</w:t>
      </w:r>
      <w:r w:rsidRPr="000F4C13" w:rsidR="007D7745">
        <w:rPr>
          <w:rFonts w:asciiTheme="majorHAnsi" w:hAnsiTheme="majorHAnsi" w:cstheme="majorHAnsi"/>
        </w:rPr>
        <w:t xml:space="preserve">artnerships and Capacity Building </w:t>
      </w:r>
    </w:p>
    <w:p w:rsidRPr="000F4C13" w:rsidR="007464DF" w:rsidP="00BF696F" w:rsidRDefault="007464DF" w14:paraId="7D7EF2FF" w14:textId="3DF5C729">
      <w:pPr>
        <w:spacing w:after="0"/>
        <w:jc w:val="both"/>
        <w:rPr>
          <w:rFonts w:eastAsia="Calibri" w:asciiTheme="majorHAnsi" w:hAnsiTheme="majorHAnsi" w:cstheme="majorHAnsi"/>
        </w:rPr>
      </w:pPr>
      <w:r w:rsidRPr="000F4C13">
        <w:rPr>
          <w:rFonts w:eastAsia="Calibri" w:asciiTheme="majorHAnsi" w:hAnsiTheme="majorHAnsi" w:cstheme="majorHAnsi"/>
        </w:rPr>
        <w:t>The Colorado Division of Insurance is engaged in a range of cross-agency partnerships to address the state's homeowners insurance challenges through coordinated, integrated action. The DOI's participation in the Colorado Fire Commission Insurance Subcommittee creates a formal mechanism for integrating insurance market expertise and regulatory perspective into the state's broader wildfire policy framework, ensuring that coverage availability and affordability considerations are part of wildfire mitigation prioritization and investment decisions.</w:t>
      </w:r>
    </w:p>
    <w:p w:rsidRPr="000F4C13" w:rsidR="00BF696F" w:rsidP="00BF696F" w:rsidRDefault="00BF696F" w14:paraId="08CCB322" w14:textId="77777777">
      <w:pPr>
        <w:spacing w:after="0"/>
        <w:jc w:val="both"/>
        <w:rPr>
          <w:rFonts w:eastAsia="Calibri" w:asciiTheme="majorHAnsi" w:hAnsiTheme="majorHAnsi" w:cstheme="majorHAnsi"/>
        </w:rPr>
      </w:pPr>
    </w:p>
    <w:p w:rsidRPr="000F4C13" w:rsidR="007464DF" w:rsidP="00927FE8" w:rsidRDefault="007464DF" w14:paraId="0A3D0AD0" w14:textId="292B9A57">
      <w:pPr>
        <w:spacing w:after="0"/>
        <w:jc w:val="both"/>
        <w:rPr>
          <w:rFonts w:eastAsia="Calibri" w:asciiTheme="majorHAnsi" w:hAnsiTheme="majorHAnsi" w:cstheme="majorHAnsi"/>
        </w:rPr>
      </w:pPr>
      <w:r w:rsidRPr="000F4C13">
        <w:rPr>
          <w:rFonts w:eastAsia="Calibri" w:asciiTheme="majorHAnsi" w:hAnsiTheme="majorHAnsi" w:cstheme="majorHAnsi"/>
        </w:rPr>
        <w:t>The Ponderosa Mountain Pine Beetle Task Force expands this coordination further, bringing together state, local, federal, private, and nonprofit partners to advance urgent and long-term strategies, including fuel mitigation, public education, watershed and utility protection, reforestation planning, wildfire response innovation, timber market development, insurance considerations, and identification of new funding strategies. Task force membership includes the Colorado Division of Fire Prevention and Control, Colorado Department of Natural Resources, DOI, USDA Forest Service, BLM, county commissioners, timber industry, philanthropy, and the Governor's Office around strategies that directly affect long-term insurer risk calculations, including fuel mitigation, reforestation planning, timber market development, and wildfire response innovation.</w:t>
      </w:r>
    </w:p>
    <w:p w:rsidRPr="000F4C13" w:rsidR="002E5249" w:rsidP="00927FE8" w:rsidRDefault="002E5249" w14:paraId="2BF49AC4" w14:textId="77777777">
      <w:pPr>
        <w:spacing w:after="0"/>
        <w:jc w:val="both"/>
        <w:rPr>
          <w:rFonts w:eastAsia="Calibri" w:asciiTheme="majorHAnsi" w:hAnsiTheme="majorHAnsi" w:cstheme="majorHAnsi"/>
        </w:rPr>
      </w:pPr>
    </w:p>
    <w:p w:rsidRPr="000F4C13" w:rsidR="007464DF" w:rsidP="00BF696F" w:rsidRDefault="007464DF" w14:paraId="62D48FDF" w14:textId="77777777">
      <w:pPr>
        <w:spacing w:after="0"/>
        <w:jc w:val="both"/>
        <w:rPr>
          <w:rFonts w:eastAsia="Calibri" w:asciiTheme="majorHAnsi" w:hAnsiTheme="majorHAnsi" w:cstheme="majorHAnsi"/>
        </w:rPr>
      </w:pPr>
      <w:r w:rsidRPr="000F4C13">
        <w:rPr>
          <w:rFonts w:eastAsia="Calibri" w:asciiTheme="majorHAnsi" w:hAnsiTheme="majorHAnsi" w:cstheme="majorHAnsi"/>
        </w:rPr>
        <w:t>The premise underlying both efforts is that a landscape perspective and community-level risk reduction are prerequisites for insurance market stabilization, and that insurance regulators must be present in those conversations to ensure that mitigation investments are structured in ways that insurers can recognize and reward in their pricing.</w:t>
      </w:r>
    </w:p>
    <w:p w:rsidRPr="000F4C13" w:rsidR="00927FE8" w:rsidP="00927FE8" w:rsidRDefault="00927FE8" w14:paraId="1BDE5550" w14:textId="77777777">
      <w:pPr>
        <w:spacing w:after="0"/>
        <w:jc w:val="both"/>
        <w:rPr>
          <w:rFonts w:eastAsia="Calibri" w:asciiTheme="majorHAnsi" w:hAnsiTheme="majorHAnsi" w:cstheme="majorHAnsi"/>
        </w:rPr>
      </w:pPr>
    </w:p>
    <w:p w:rsidRPr="00C73FD2" w:rsidR="007464DF" w:rsidP="00C73FD2" w:rsidRDefault="007464DF" w14:paraId="0FA054B4" w14:textId="1279DCEC">
      <w:pPr>
        <w:spacing w:after="0"/>
        <w:jc w:val="both"/>
        <w:rPr>
          <w:rFonts w:eastAsia="Calibri" w:asciiTheme="majorHAnsi" w:hAnsiTheme="majorHAnsi" w:cstheme="majorHAnsi"/>
        </w:rPr>
      </w:pPr>
      <w:r w:rsidRPr="000F4C13">
        <w:rPr>
          <w:rFonts w:eastAsia="Calibri" w:asciiTheme="majorHAnsi" w:hAnsiTheme="majorHAnsi" w:cstheme="majorHAnsi"/>
        </w:rPr>
        <w:t xml:space="preserve">These partnerships are also translating cross-sector knowledge into concrete policy and market solutions that no single agency could achieve </w:t>
      </w:r>
      <w:r w:rsidR="00162BDF">
        <w:rPr>
          <w:rFonts w:eastAsia="Calibri" w:asciiTheme="majorHAnsi" w:hAnsiTheme="majorHAnsi" w:cstheme="majorHAnsi"/>
        </w:rPr>
        <w:t>on its own</w:t>
      </w:r>
      <w:r w:rsidRPr="000F4C13">
        <w:rPr>
          <w:rFonts w:eastAsia="Calibri" w:asciiTheme="majorHAnsi" w:hAnsiTheme="majorHAnsi" w:cstheme="majorHAnsi"/>
        </w:rPr>
        <w:t xml:space="preserve">. The WUI Data Commons Pilot project (now named Urban Wildfire Data Exchange) is a public-private initiative that systematically collects and stores previously inaccessible wildfire mitigation and suppression data while providing controlled access to a variety of stakeholders, bringing together the insurance industry, fire chiefs, community planners, and the DOI into direct dialogue about developing a shared information </w:t>
      </w:r>
      <w:r w:rsidRPr="00C73FD2">
        <w:rPr>
          <w:rFonts w:eastAsia="Calibri" w:asciiTheme="majorHAnsi" w:hAnsiTheme="majorHAnsi" w:cstheme="majorHAnsi"/>
        </w:rPr>
        <w:t>source.  Colorado is one of seven states participating in the pilot, which is designed to address a core market challenge</w:t>
      </w:r>
      <w:r w:rsidR="00C73FD2">
        <w:rPr>
          <w:rFonts w:eastAsia="Calibri" w:asciiTheme="majorHAnsi" w:hAnsiTheme="majorHAnsi" w:cstheme="majorHAnsi"/>
        </w:rPr>
        <w:t>: insurers lack</w:t>
      </w:r>
      <w:r w:rsidRPr="00C73FD2">
        <w:rPr>
          <w:rFonts w:eastAsia="Calibri" w:asciiTheme="majorHAnsi" w:hAnsiTheme="majorHAnsi" w:cstheme="majorHAnsi"/>
        </w:rPr>
        <w:t xml:space="preserve"> the data necessary to quantify the beneficial impacts of wildfire mitigation efforts.</w:t>
      </w:r>
    </w:p>
    <w:p w:rsidRPr="00C73FD2" w:rsidR="00C73FD2" w:rsidP="00C73FD2" w:rsidRDefault="00C73FD2" w14:paraId="66BBFFEE" w14:textId="77777777">
      <w:pPr>
        <w:spacing w:before="240" w:after="240"/>
        <w:jc w:val="both"/>
        <w:rPr>
          <w:rFonts w:ascii="Calibri" w:hAnsi="Calibri" w:eastAsia="Calibri" w:cs="Calibri"/>
          <w:lang w:val="en-US"/>
        </w:rPr>
      </w:pPr>
      <w:r w:rsidRPr="00C73FD2">
        <w:rPr>
          <w:rFonts w:ascii="Calibri" w:hAnsi="Calibri" w:eastAsia="Calibri" w:cs="Calibri"/>
          <w:lang w:val="en-US"/>
        </w:rPr>
        <w:t>These shared data resources also support local planning efforts by providing counties, municipalities, and wildfire planning entities with insurance</w:t>
      </w:r>
      <w:r w:rsidRPr="00C73FD2">
        <w:rPr>
          <w:rFonts w:ascii="Calibri" w:hAnsi="Calibri" w:eastAsia="Calibri" w:cs="Calibri"/>
          <w:lang w:val="en-US"/>
        </w:rPr>
        <w:noBreakHyphen/>
        <w:t>relevant risk and mitigation insights that can inform land</w:t>
      </w:r>
      <w:r w:rsidRPr="00C73FD2">
        <w:rPr>
          <w:rFonts w:ascii="Calibri" w:hAnsi="Calibri" w:eastAsia="Calibri" w:cs="Calibri"/>
          <w:lang w:val="en-US"/>
        </w:rPr>
        <w:noBreakHyphen/>
        <w:t>use decisions, Community Wildfire Protection Plans, and the prioritization of mitigation investments.</w:t>
      </w:r>
    </w:p>
    <w:p w:rsidRPr="000F4C13" w:rsidR="007464DF" w:rsidP="00C73FD2" w:rsidRDefault="007464DF" w14:paraId="14DE2614" w14:textId="44D31692">
      <w:pPr>
        <w:spacing w:after="0"/>
        <w:jc w:val="both"/>
        <w:rPr>
          <w:rFonts w:eastAsia="Calibri" w:asciiTheme="majorHAnsi" w:hAnsiTheme="majorHAnsi" w:cstheme="majorHAnsi"/>
        </w:rPr>
      </w:pPr>
      <w:r w:rsidRPr="00C73FD2">
        <w:rPr>
          <w:rFonts w:eastAsia="Calibri" w:asciiTheme="majorHAnsi" w:hAnsiTheme="majorHAnsi" w:cstheme="majorHAnsi"/>
        </w:rPr>
        <w:t>Another area of collaboration is joint consumer education campaigns that coordinate messaging across state agencies to ensure homeowners</w:t>
      </w:r>
      <w:r w:rsidRPr="000F4C13">
        <w:rPr>
          <w:rFonts w:eastAsia="Calibri" w:asciiTheme="majorHAnsi" w:hAnsiTheme="majorHAnsi" w:cstheme="majorHAnsi"/>
        </w:rPr>
        <w:t xml:space="preserve"> receive consistent, actionable guidance on mitigation steps that both reduce risk to individual homeowners and communities and align with actions that insurers recognize, closing the information gap between what insurers reward and what homeowners understand.</w:t>
      </w:r>
    </w:p>
    <w:p w:rsidRPr="000F4C13" w:rsidR="00927FE8" w:rsidP="00927FE8" w:rsidRDefault="00927FE8" w14:paraId="0B5F00F0" w14:textId="77777777">
      <w:pPr>
        <w:spacing w:after="0"/>
        <w:jc w:val="both"/>
        <w:rPr>
          <w:rFonts w:eastAsia="Calibri" w:asciiTheme="majorHAnsi" w:hAnsiTheme="majorHAnsi" w:cstheme="majorHAnsi"/>
        </w:rPr>
      </w:pPr>
    </w:p>
    <w:p w:rsidRPr="00607637" w:rsidR="00261B3D" w:rsidP="00607637" w:rsidRDefault="007464DF" w14:paraId="0A767754" w14:textId="7CD13E54">
      <w:pPr>
        <w:spacing w:after="0"/>
        <w:jc w:val="both"/>
        <w:rPr>
          <w:rFonts w:eastAsia="Calibri" w:asciiTheme="majorHAnsi" w:hAnsiTheme="majorHAnsi" w:cstheme="majorHAnsi"/>
        </w:rPr>
      </w:pPr>
      <w:r w:rsidRPr="000F4C13">
        <w:rPr>
          <w:rFonts w:eastAsia="Calibri" w:asciiTheme="majorHAnsi" w:hAnsiTheme="majorHAnsi" w:cstheme="majorHAnsi"/>
        </w:rPr>
        <w:t xml:space="preserve">Further, </w:t>
      </w:r>
      <w:r w:rsidR="00504012">
        <w:rPr>
          <w:rFonts w:ascii="Calibri" w:hAnsi="Calibri" w:eastAsia="Calibri" w:cs="Calibri"/>
          <w:lang w:val="en-US"/>
        </w:rPr>
        <w:t>insurance departments</w:t>
      </w:r>
      <w:r w:rsidRPr="00607637" w:rsidR="00504012">
        <w:rPr>
          <w:rFonts w:ascii="Calibri" w:hAnsi="Calibri" w:eastAsia="Calibri" w:cs="Calibri"/>
          <w:lang w:val="en-US"/>
        </w:rPr>
        <w:t xml:space="preserve"> </w:t>
      </w:r>
      <w:r w:rsidRPr="000F4C13">
        <w:rPr>
          <w:rFonts w:eastAsia="Calibri" w:asciiTheme="majorHAnsi" w:hAnsiTheme="majorHAnsi" w:cstheme="majorHAnsi"/>
        </w:rPr>
        <w:t xml:space="preserve">could collaborate with affordable housing development agencies and introduce insurance expertise into multifamily housing resilience conversations, </w:t>
      </w:r>
      <w:r w:rsidRPr="00607637">
        <w:rPr>
          <w:rFonts w:eastAsia="Calibri" w:asciiTheme="majorHAnsi" w:hAnsiTheme="majorHAnsi" w:cstheme="majorHAnsi"/>
        </w:rPr>
        <w:t xml:space="preserve">using rate and claims experience to evaluate the financial case for building fortification standards and incentive </w:t>
      </w:r>
      <w:r w:rsidR="0042060B">
        <w:rPr>
          <w:rFonts w:eastAsia="Calibri" w:asciiTheme="majorHAnsi" w:hAnsiTheme="majorHAnsi" w:cstheme="majorHAnsi"/>
        </w:rPr>
        <w:t>program</w:t>
      </w:r>
      <w:r w:rsidR="00C27302">
        <w:rPr>
          <w:rFonts w:eastAsia="Calibri" w:asciiTheme="majorHAnsi" w:hAnsiTheme="majorHAnsi" w:cstheme="majorHAnsi"/>
        </w:rPr>
        <w:t xml:space="preserve"> </w:t>
      </w:r>
      <w:r w:rsidRPr="00607637">
        <w:rPr>
          <w:rFonts w:eastAsia="Calibri" w:asciiTheme="majorHAnsi" w:hAnsiTheme="majorHAnsi" w:cstheme="majorHAnsi"/>
        </w:rPr>
        <w:t>structures</w:t>
      </w:r>
      <w:r w:rsidR="0042060B">
        <w:rPr>
          <w:rFonts w:eastAsia="Calibri" w:asciiTheme="majorHAnsi" w:hAnsiTheme="majorHAnsi" w:cstheme="majorHAnsi"/>
        </w:rPr>
        <w:t>—an approach that draws on the knowledge</w:t>
      </w:r>
      <w:r w:rsidRPr="00607637">
        <w:rPr>
          <w:rFonts w:eastAsia="Calibri" w:asciiTheme="majorHAnsi" w:hAnsiTheme="majorHAnsi" w:cstheme="majorHAnsi"/>
        </w:rPr>
        <w:t xml:space="preserve"> of both housing developers and insurance regulators. </w:t>
      </w:r>
    </w:p>
    <w:p w:rsidRPr="00607637" w:rsidR="00607637" w:rsidP="00607637" w:rsidRDefault="00607637" w14:paraId="17A6F8EF" w14:textId="77777777">
      <w:pPr>
        <w:spacing w:after="0"/>
        <w:jc w:val="both"/>
        <w:rPr>
          <w:rFonts w:eastAsia="Calibri" w:asciiTheme="majorHAnsi" w:hAnsiTheme="majorHAnsi" w:cstheme="majorHAnsi"/>
        </w:rPr>
      </w:pPr>
    </w:p>
    <w:p w:rsidRPr="000F4C13" w:rsidR="00261B3D" w:rsidP="0042060B" w:rsidRDefault="00607637" w14:paraId="3C00FB71" w14:textId="28D43AE4">
      <w:pPr>
        <w:spacing w:after="240"/>
        <w:jc w:val="both"/>
        <w:rPr>
          <w:rFonts w:eastAsia="Calibri" w:asciiTheme="majorHAnsi" w:hAnsiTheme="majorHAnsi" w:cstheme="majorHAnsi"/>
        </w:rPr>
      </w:pPr>
      <w:r w:rsidRPr="00607637">
        <w:rPr>
          <w:rFonts w:ascii="Calibri" w:hAnsi="Calibri" w:eastAsia="Calibri" w:cs="Calibri"/>
          <w:lang w:val="en-US"/>
        </w:rPr>
        <w:t xml:space="preserve">In addition to external partnerships, </w:t>
      </w:r>
      <w:r>
        <w:rPr>
          <w:rFonts w:ascii="Calibri" w:hAnsi="Calibri" w:eastAsia="Calibri" w:cs="Calibri"/>
          <w:lang w:val="en-US"/>
        </w:rPr>
        <w:t>insurance departments</w:t>
      </w:r>
      <w:r w:rsidRPr="00607637">
        <w:rPr>
          <w:rFonts w:ascii="Calibri" w:hAnsi="Calibri" w:eastAsia="Calibri" w:cs="Calibri"/>
          <w:lang w:val="en-US"/>
        </w:rPr>
        <w:t xml:space="preserve"> can strengthen long</w:t>
      </w:r>
      <w:r w:rsidRPr="00607637">
        <w:rPr>
          <w:rFonts w:ascii="Calibri" w:hAnsi="Calibri" w:eastAsia="Calibri" w:cs="Calibri"/>
          <w:lang w:val="en-US"/>
        </w:rPr>
        <w:noBreakHyphen/>
        <w:t>term regulatory capacity by investing in internal expertise. This may include establishing dedicated staff or units focused on catastrophe risk and market monitoring, participating in NAIC workstreams and data initiatives, and partnering with universities or research institutions to support training, applied research, and technical assistance. These efforts help regulators better interpret risk and exposure data, engage effectively with technical stakeholders, and support evidence</w:t>
      </w:r>
      <w:r w:rsidRPr="00607637">
        <w:rPr>
          <w:rFonts w:ascii="Calibri" w:hAnsi="Calibri" w:eastAsia="Calibri" w:cs="Calibri"/>
          <w:lang w:val="en-US"/>
        </w:rPr>
        <w:noBreakHyphen/>
        <w:t>based policy development.</w:t>
      </w:r>
      <w:r w:rsidR="0035069D">
        <w:rPr>
          <w:rFonts w:asciiTheme="majorHAnsi" w:hAnsiTheme="majorHAnsi" w:cstheme="majorHAnsi"/>
        </w:rPr>
        <w:pict w14:anchorId="180CBED0">
          <v:rect id="_x0000_i1043" style="width:0;height:1.5pt" o:hr="t" o:hrstd="t" o:hralign="center" fillcolor="#a0a0a0" stroked="f"/>
        </w:pict>
      </w:r>
    </w:p>
    <w:p w:rsidRPr="000F4C13" w:rsidR="00D03F29" w:rsidP="00D03F29" w:rsidRDefault="00C7367A" w14:paraId="4BC7DD46" w14:textId="494F6DF2">
      <w:pPr>
        <w:pStyle w:val="Heading3"/>
        <w:spacing w:after="120"/>
        <w:rPr>
          <w:rFonts w:asciiTheme="majorHAnsi" w:hAnsiTheme="majorHAnsi" w:cstheme="majorHAnsi"/>
        </w:rPr>
      </w:pPr>
      <w:r w:rsidRPr="000F4C13">
        <w:rPr>
          <w:rFonts w:asciiTheme="majorHAnsi" w:hAnsiTheme="majorHAnsi" w:cstheme="majorHAnsi"/>
        </w:rPr>
        <w:t>Consumer Education and Engagement</w:t>
      </w:r>
    </w:p>
    <w:p w:rsidRPr="000F4C13" w:rsidR="00FB5637" w:rsidP="002961B8" w:rsidRDefault="00FB5637" w14:paraId="62079FA9" w14:textId="77777777">
      <w:pPr>
        <w:jc w:val="both"/>
        <w:rPr>
          <w:rFonts w:eastAsia="Calibri" w:asciiTheme="majorHAnsi" w:hAnsiTheme="majorHAnsi" w:cstheme="majorHAnsi"/>
        </w:rPr>
      </w:pPr>
      <w:r w:rsidRPr="000F4C13">
        <w:rPr>
          <w:rFonts w:eastAsia="Calibri" w:asciiTheme="majorHAnsi" w:hAnsiTheme="majorHAnsi" w:cstheme="majorHAnsi"/>
        </w:rPr>
        <w:t>Although there is no consensus on the definition of insurance literacy or how to measure it, most would agree that consumers know less than they should to effectively function in the homeowners insurance market. Recent research</w:t>
      </w:r>
      <w:r w:rsidRPr="000F4C13">
        <w:rPr>
          <w:rFonts w:eastAsia="Calibri" w:asciiTheme="majorHAnsi" w:hAnsiTheme="majorHAnsi" w:cstheme="majorHAnsi"/>
          <w:vertAlign w:val="superscript"/>
        </w:rPr>
        <w:footnoteReference w:id="133"/>
      </w:r>
      <w:r w:rsidRPr="000F4C13">
        <w:rPr>
          <w:rFonts w:eastAsia="Calibri" w:asciiTheme="majorHAnsi" w:hAnsiTheme="majorHAnsi" w:cstheme="majorHAnsi"/>
        </w:rPr>
        <w:t xml:space="preserve"> indicates that consumers are unlikely to be able to read policy language and understand the implications for their coverage.</w:t>
      </w:r>
    </w:p>
    <w:p w:rsidRPr="000F4C13" w:rsidR="00FB5637" w:rsidP="002961B8" w:rsidRDefault="00FB5637" w14:paraId="5984F806" w14:textId="4DE8C1B9">
      <w:pPr>
        <w:jc w:val="both"/>
        <w:rPr>
          <w:rFonts w:eastAsia="Calibri" w:asciiTheme="majorHAnsi" w:hAnsiTheme="majorHAnsi" w:cstheme="majorHAnsi"/>
        </w:rPr>
      </w:pPr>
      <w:r w:rsidRPr="000F4C13">
        <w:rPr>
          <w:rFonts w:eastAsia="Calibri" w:asciiTheme="majorHAnsi" w:hAnsiTheme="majorHAnsi" w:cstheme="majorHAnsi"/>
        </w:rPr>
        <w:t xml:space="preserve">Insurance regulators can play a key role in improving consumer understanding of homeowners insurance. Their primary audience is likely to be adults, especially for topics </w:t>
      </w:r>
      <w:r w:rsidRPr="000F4C13" w:rsidR="0067128D">
        <w:rPr>
          <w:rFonts w:eastAsia="Calibri" w:asciiTheme="majorHAnsi" w:hAnsiTheme="majorHAnsi" w:cstheme="majorHAnsi"/>
        </w:rPr>
        <w:t>related to insurance affordability and availability</w:t>
      </w:r>
      <w:r w:rsidRPr="000F4C13">
        <w:rPr>
          <w:rFonts w:eastAsia="Calibri" w:asciiTheme="majorHAnsi" w:hAnsiTheme="majorHAnsi" w:cstheme="majorHAnsi"/>
        </w:rPr>
        <w:t>. However, there is consensus that it is important for all to improve their understanding of insurance. More than one-half of the states</w:t>
      </w:r>
      <w:r w:rsidRPr="000F4C13">
        <w:rPr>
          <w:rFonts w:eastAsia="Calibri" w:asciiTheme="majorHAnsi" w:hAnsiTheme="majorHAnsi" w:cstheme="majorHAnsi"/>
          <w:vertAlign w:val="superscript"/>
        </w:rPr>
        <w:footnoteReference w:id="134"/>
      </w:r>
      <w:r w:rsidRPr="000F4C13">
        <w:rPr>
          <w:rFonts w:eastAsia="Calibri" w:asciiTheme="majorHAnsi" w:hAnsiTheme="majorHAnsi" w:cstheme="majorHAnsi"/>
        </w:rPr>
        <w:t xml:space="preserve"> require that financial education be taught in public schools, and insurance content is often a component of financial education. In 2024, the NAIC endorsed a mandatory financial education course as a prerequisite to high school graduation, asserting, in part, that “State insurance regulators are uniquely positioned to offer expertise in identifying key insurance concepts and skills to be included in the curriculum of a mandated (high school) course.” </w:t>
      </w:r>
    </w:p>
    <w:p w:rsidRPr="000F4C13" w:rsidR="00FB5637" w:rsidP="002961B8" w:rsidRDefault="00FB5637" w14:paraId="5D2BF204" w14:textId="7730D268">
      <w:pPr>
        <w:jc w:val="both"/>
        <w:rPr>
          <w:rFonts w:eastAsia="Calibri" w:asciiTheme="majorHAnsi" w:hAnsiTheme="majorHAnsi" w:cstheme="majorHAnsi"/>
        </w:rPr>
      </w:pPr>
      <w:r w:rsidRPr="000F4C13">
        <w:rPr>
          <w:rFonts w:eastAsia="Calibri" w:asciiTheme="majorHAnsi" w:hAnsiTheme="majorHAnsi" w:cstheme="majorHAnsi"/>
        </w:rPr>
        <w:t xml:space="preserve">However, as stated earlier, consumer education focused on homeowners insurance affordability and availability is likely to </w:t>
      </w:r>
      <w:r w:rsidRPr="000F4C13" w:rsidR="00CD51EE">
        <w:rPr>
          <w:rFonts w:eastAsia="Calibri" w:asciiTheme="majorHAnsi" w:hAnsiTheme="majorHAnsi" w:cstheme="majorHAnsi"/>
        </w:rPr>
        <w:t xml:space="preserve">target primarily </w:t>
      </w:r>
      <w:r w:rsidRPr="000F4C13">
        <w:rPr>
          <w:rFonts w:eastAsia="Calibri" w:asciiTheme="majorHAnsi" w:hAnsiTheme="majorHAnsi" w:cstheme="majorHAnsi"/>
        </w:rPr>
        <w:t>adults. Adult learners are different from younger learners in a number of ways.</w:t>
      </w:r>
      <w:r w:rsidRPr="000F4C13" w:rsidR="006F5C59">
        <w:rPr>
          <w:rFonts w:eastAsia="Calibri" w:asciiTheme="majorHAnsi" w:hAnsiTheme="majorHAnsi" w:cstheme="majorHAnsi"/>
          <w:vertAlign w:val="superscript"/>
        </w:rPr>
        <w:footnoteReference w:id="135"/>
      </w:r>
      <w:r w:rsidRPr="000F4C13">
        <w:rPr>
          <w:rFonts w:eastAsia="Calibri" w:asciiTheme="majorHAnsi" w:hAnsiTheme="majorHAnsi" w:cstheme="majorHAnsi"/>
        </w:rPr>
        <w:t xml:space="preserve"> They bring their accumulated life experiences and knowledge to their learning. They generally need to know why they must learn new information or </w:t>
      </w:r>
      <w:r w:rsidRPr="000F4C13" w:rsidR="00807553">
        <w:rPr>
          <w:rFonts w:eastAsia="Calibri" w:asciiTheme="majorHAnsi" w:hAnsiTheme="majorHAnsi" w:cstheme="majorHAnsi"/>
        </w:rPr>
        <w:t>skills</w:t>
      </w:r>
      <w:r w:rsidRPr="000F4C13" w:rsidR="00CD51EE">
        <w:rPr>
          <w:rFonts w:eastAsia="Calibri" w:asciiTheme="majorHAnsi" w:hAnsiTheme="majorHAnsi" w:cstheme="majorHAnsi"/>
        </w:rPr>
        <w:t xml:space="preserve">, and they should </w:t>
      </w:r>
      <w:r w:rsidRPr="000F4C13" w:rsidR="00172DFE">
        <w:rPr>
          <w:rFonts w:eastAsia="Calibri" w:asciiTheme="majorHAnsi" w:hAnsiTheme="majorHAnsi" w:cstheme="majorHAnsi"/>
        </w:rPr>
        <w:t xml:space="preserve">ask </w:t>
      </w:r>
      <w:r w:rsidRPr="000F4C13">
        <w:rPr>
          <w:rFonts w:eastAsia="Calibri" w:asciiTheme="majorHAnsi" w:hAnsiTheme="majorHAnsi" w:cstheme="majorHAnsi"/>
        </w:rPr>
        <w:t xml:space="preserve">how the content is relevant to them. They often seek information or education specifically to address problems or questions. And, if they don’t find what they’re looking for, they leave or choose not to participate in the future. </w:t>
      </w:r>
    </w:p>
    <w:p w:rsidRPr="000F4C13" w:rsidR="00FB5637" w:rsidP="002961B8" w:rsidRDefault="00FB5637" w14:paraId="79F07C9C" w14:textId="77777777">
      <w:pPr>
        <w:jc w:val="both"/>
        <w:rPr>
          <w:rFonts w:eastAsia="Calibri" w:asciiTheme="majorHAnsi" w:hAnsiTheme="majorHAnsi" w:cstheme="majorHAnsi"/>
        </w:rPr>
      </w:pPr>
      <w:r w:rsidRPr="000F4C13">
        <w:rPr>
          <w:rFonts w:eastAsia="Calibri" w:asciiTheme="majorHAnsi" w:hAnsiTheme="majorHAnsi" w:cstheme="majorHAnsi"/>
        </w:rPr>
        <w:t>We all learn in one or more of the following ways:</w:t>
      </w:r>
    </w:p>
    <w:p w:rsidRPr="000F4C13" w:rsidR="00FB5637" w:rsidP="0057045C" w:rsidRDefault="00FB5637" w14:paraId="19E961DD" w14:textId="77777777">
      <w:pPr>
        <w:pStyle w:val="ListParagraph"/>
        <w:numPr>
          <w:ilvl w:val="0"/>
          <w:numId w:val="16"/>
        </w:numPr>
        <w:jc w:val="both"/>
        <w:rPr>
          <w:rFonts w:eastAsia="Calibri" w:asciiTheme="majorHAnsi" w:hAnsiTheme="majorHAnsi" w:cstheme="majorHAnsi"/>
          <w:kern w:val="0"/>
          <w:lang w:val="en"/>
          <w14:ligatures w14:val="none"/>
        </w:rPr>
      </w:pPr>
      <w:r w:rsidRPr="000F4C13">
        <w:rPr>
          <w:rFonts w:eastAsia="Calibri" w:asciiTheme="majorHAnsi" w:hAnsiTheme="majorHAnsi" w:cstheme="majorHAnsi"/>
          <w:kern w:val="0"/>
          <w:lang w:val="en"/>
          <w14:ligatures w14:val="none"/>
        </w:rPr>
        <w:t>Visual – Information presented using graphics, for example.</w:t>
      </w:r>
    </w:p>
    <w:p w:rsidRPr="000F4C13" w:rsidR="00FB5637" w:rsidP="0057045C" w:rsidRDefault="00FB5637" w14:paraId="295C120F" w14:textId="77777777">
      <w:pPr>
        <w:pStyle w:val="ListParagraph"/>
        <w:numPr>
          <w:ilvl w:val="0"/>
          <w:numId w:val="16"/>
        </w:numPr>
        <w:jc w:val="both"/>
        <w:rPr>
          <w:rFonts w:eastAsia="Calibri" w:asciiTheme="majorHAnsi" w:hAnsiTheme="majorHAnsi" w:cstheme="majorHAnsi"/>
          <w:kern w:val="0"/>
          <w:lang w:val="en"/>
          <w14:ligatures w14:val="none"/>
        </w:rPr>
      </w:pPr>
      <w:r w:rsidRPr="000F4C13">
        <w:rPr>
          <w:rFonts w:eastAsia="Calibri" w:asciiTheme="majorHAnsi" w:hAnsiTheme="majorHAnsi" w:cstheme="majorHAnsi"/>
          <w:kern w:val="0"/>
          <w:lang w:val="en"/>
          <w14:ligatures w14:val="none"/>
        </w:rPr>
        <w:t>Auditory – Hearing information and/or opportunities to ask questions.</w:t>
      </w:r>
    </w:p>
    <w:p w:rsidRPr="000F4C13" w:rsidR="00FB5637" w:rsidP="0057045C" w:rsidRDefault="00FB5637" w14:paraId="4C2D9AD2" w14:textId="77777777">
      <w:pPr>
        <w:pStyle w:val="ListParagraph"/>
        <w:numPr>
          <w:ilvl w:val="0"/>
          <w:numId w:val="16"/>
        </w:numPr>
        <w:jc w:val="both"/>
        <w:rPr>
          <w:rFonts w:eastAsia="Calibri" w:asciiTheme="majorHAnsi" w:hAnsiTheme="majorHAnsi" w:cstheme="majorHAnsi"/>
          <w:kern w:val="0"/>
          <w:lang w:val="en"/>
          <w14:ligatures w14:val="none"/>
        </w:rPr>
      </w:pPr>
      <w:r w:rsidRPr="000F4C13">
        <w:rPr>
          <w:rFonts w:eastAsia="Calibri" w:asciiTheme="majorHAnsi" w:hAnsiTheme="majorHAnsi" w:cstheme="majorHAnsi"/>
          <w:kern w:val="0"/>
          <w:lang w:val="en"/>
          <w14:ligatures w14:val="none"/>
        </w:rPr>
        <w:t>Reading/writing – Text-based input.</w:t>
      </w:r>
    </w:p>
    <w:p w:rsidRPr="000F4C13" w:rsidR="00FB5637" w:rsidP="0057045C" w:rsidRDefault="00FB5637" w14:paraId="0C994E2C" w14:textId="77777777">
      <w:pPr>
        <w:pStyle w:val="ListParagraph"/>
        <w:numPr>
          <w:ilvl w:val="0"/>
          <w:numId w:val="16"/>
        </w:numPr>
        <w:jc w:val="both"/>
        <w:rPr>
          <w:rFonts w:eastAsia="Calibri" w:asciiTheme="majorHAnsi" w:hAnsiTheme="majorHAnsi" w:cstheme="majorHAnsi"/>
          <w:kern w:val="0"/>
          <w:lang w:val="en"/>
          <w14:ligatures w14:val="none"/>
        </w:rPr>
      </w:pPr>
      <w:r w:rsidRPr="000F4C13">
        <w:rPr>
          <w:rFonts w:eastAsia="Calibri" w:asciiTheme="majorHAnsi" w:hAnsiTheme="majorHAnsi" w:cstheme="majorHAnsi"/>
          <w:kern w:val="0"/>
          <w:lang w:val="en"/>
          <w14:ligatures w14:val="none"/>
        </w:rPr>
        <w:t>Kinesthetic/tactile – Physical activity, role playing, or hands-on activities.</w:t>
      </w:r>
    </w:p>
    <w:p w:rsidRPr="000F4C13" w:rsidR="00FB5637" w:rsidP="002961B8" w:rsidRDefault="00FB5637" w14:paraId="7058A654" w14:textId="75FC35AF">
      <w:pPr>
        <w:jc w:val="both"/>
        <w:rPr>
          <w:rFonts w:eastAsia="Calibri" w:asciiTheme="majorHAnsi" w:hAnsiTheme="majorHAnsi" w:cstheme="majorHAnsi"/>
        </w:rPr>
      </w:pPr>
      <w:r w:rsidRPr="000F4C13">
        <w:rPr>
          <w:rFonts w:eastAsia="Calibri" w:asciiTheme="majorHAnsi" w:hAnsiTheme="majorHAnsi" w:cstheme="majorHAnsi"/>
        </w:rPr>
        <w:t>Thus</w:t>
      </w:r>
      <w:r w:rsidRPr="000F4C13" w:rsidR="00B829C4">
        <w:rPr>
          <w:rFonts w:eastAsia="Calibri" w:asciiTheme="majorHAnsi" w:hAnsiTheme="majorHAnsi" w:cstheme="majorHAnsi"/>
        </w:rPr>
        <w:t>,</w:t>
      </w:r>
      <w:r w:rsidRPr="000F4C13">
        <w:rPr>
          <w:rFonts w:eastAsia="Calibri" w:asciiTheme="majorHAnsi" w:hAnsiTheme="majorHAnsi" w:cstheme="majorHAnsi"/>
        </w:rPr>
        <w:t xml:space="preserve"> education that incorporates </w:t>
      </w:r>
      <w:r w:rsidR="0042060B">
        <w:rPr>
          <w:rFonts w:eastAsia="Calibri" w:asciiTheme="majorHAnsi" w:hAnsiTheme="majorHAnsi" w:cstheme="majorHAnsi"/>
        </w:rPr>
        <w:t xml:space="preserve">multiple learning styles </w:t>
      </w:r>
      <w:r w:rsidRPr="000F4C13">
        <w:rPr>
          <w:rFonts w:eastAsia="Calibri" w:asciiTheme="majorHAnsi" w:hAnsiTheme="majorHAnsi" w:cstheme="majorHAnsi"/>
        </w:rPr>
        <w:t>is likely to be effective for a larger proportion of the population.</w:t>
      </w:r>
    </w:p>
    <w:p w:rsidRPr="000F4C13" w:rsidR="00FB5637" w:rsidP="002961B8" w:rsidRDefault="00FB5637" w14:paraId="13F1D523" w14:textId="77777777">
      <w:pPr>
        <w:jc w:val="both"/>
        <w:rPr>
          <w:rFonts w:eastAsia="Calibri" w:asciiTheme="majorHAnsi" w:hAnsiTheme="majorHAnsi" w:cstheme="majorHAnsi"/>
        </w:rPr>
      </w:pPr>
      <w:r w:rsidRPr="000F4C13">
        <w:rPr>
          <w:rFonts w:eastAsia="Calibri" w:asciiTheme="majorHAnsi" w:hAnsiTheme="majorHAnsi" w:cstheme="majorHAnsi"/>
        </w:rPr>
        <w:t>Researchers have identified several key principles in adult consumer education.</w:t>
      </w:r>
      <w:r w:rsidRPr="000F4C13">
        <w:rPr>
          <w:rFonts w:eastAsia="Calibri" w:asciiTheme="majorHAnsi" w:hAnsiTheme="majorHAnsi" w:cstheme="majorHAnsi"/>
          <w:vertAlign w:val="superscript"/>
        </w:rPr>
        <w:footnoteReference w:id="136"/>
      </w:r>
    </w:p>
    <w:p w:rsidRPr="000F4C13" w:rsidR="00FB5637" w:rsidP="00B05DF1" w:rsidRDefault="00FB5637" w14:paraId="3F8A537E" w14:textId="79CCFBAE">
      <w:pPr>
        <w:jc w:val="both"/>
        <w:rPr>
          <w:rFonts w:eastAsia="Calibri" w:asciiTheme="majorHAnsi" w:hAnsiTheme="majorHAnsi" w:cstheme="majorHAnsi"/>
        </w:rPr>
      </w:pPr>
      <w:r w:rsidRPr="000F4C13">
        <w:rPr>
          <w:rFonts w:eastAsia="Calibri" w:asciiTheme="majorHAnsi" w:hAnsiTheme="majorHAnsi" w:cstheme="majorHAnsi"/>
          <w:b/>
          <w:bCs/>
        </w:rPr>
        <w:t>Develop education and outreach programs with a clear intention.</w:t>
      </w:r>
      <w:r w:rsidRPr="000F4C13">
        <w:rPr>
          <w:rFonts w:eastAsia="Calibri" w:asciiTheme="majorHAnsi" w:hAnsiTheme="majorHAnsi" w:cstheme="majorHAnsi"/>
        </w:rPr>
        <w:t xml:space="preserve"> What do you hope to achieve with this program? Is it a knowledge change, an attitude change, a behavior change, or a combination of these elements? Emotions can loom large for homeowners navigating difficult insurance situations. Ignoring those emotions is counterproductive.</w:t>
      </w:r>
    </w:p>
    <w:p w:rsidRPr="000F4C13" w:rsidR="00FB5637" w:rsidP="00B05DF1" w:rsidRDefault="00FB5637" w14:paraId="38B1CFF5" w14:textId="77777777">
      <w:pPr>
        <w:jc w:val="both"/>
        <w:rPr>
          <w:rFonts w:eastAsia="Calibri" w:asciiTheme="majorHAnsi" w:hAnsiTheme="majorHAnsi" w:cstheme="majorHAnsi"/>
        </w:rPr>
      </w:pPr>
      <w:r w:rsidRPr="000F4C13">
        <w:rPr>
          <w:rFonts w:eastAsia="Calibri" w:asciiTheme="majorHAnsi" w:hAnsiTheme="majorHAnsi" w:cstheme="majorHAnsi"/>
          <w:b/>
          <w:bCs/>
        </w:rPr>
        <w:t>Know the individuals and families who are the target audience.</w:t>
      </w:r>
      <w:r w:rsidRPr="000F4C13">
        <w:rPr>
          <w:rFonts w:eastAsia="Calibri" w:asciiTheme="majorHAnsi" w:hAnsiTheme="majorHAnsi" w:cstheme="majorHAnsi"/>
        </w:rPr>
        <w:t xml:space="preserve"> One way to achieve this is to conduct a needs assessment – connect to the audience to find out what they need and want to know. Community-based organizations can help state insurance departments to achieve this. The NAIC Consumer Representatives conducted a study in 2021 (</w:t>
      </w:r>
      <w:hyperlink w:history="1" r:id="rId286">
        <w:r w:rsidRPr="000F4C13">
          <w:rPr>
            <w:rFonts w:eastAsia="Calibri" w:asciiTheme="majorHAnsi" w:hAnsiTheme="majorHAnsi" w:cstheme="majorHAnsi"/>
          </w:rPr>
          <w:t>Disparities in Insurance Access</w:t>
        </w:r>
      </w:hyperlink>
      <w:r w:rsidRPr="000F4C13">
        <w:rPr>
          <w:rFonts w:eastAsia="Calibri" w:asciiTheme="majorHAnsi" w:hAnsiTheme="majorHAnsi" w:cstheme="majorHAnsi"/>
        </w:rPr>
        <w:t>) in which they surveyed 72 representatives of nonprofit and community organizations. One notable finding from the results was that while a quarter of the respondents said their state insurance department had reached out to them with education or awareness campaigns, only 18% said the department had engaged with them to learn about their organization and the needs of their constituents.</w:t>
      </w:r>
    </w:p>
    <w:p w:rsidRPr="000F4C13" w:rsidR="00FB5637" w:rsidP="00B05DF1" w:rsidRDefault="00FB5637" w14:paraId="0F73645F" w14:textId="61E573F3">
      <w:pPr>
        <w:jc w:val="both"/>
        <w:rPr>
          <w:rFonts w:eastAsia="Calibri" w:asciiTheme="majorHAnsi" w:hAnsiTheme="majorHAnsi" w:cstheme="majorHAnsi"/>
        </w:rPr>
      </w:pPr>
      <w:r w:rsidRPr="000F4C13">
        <w:rPr>
          <w:rFonts w:eastAsia="Calibri" w:asciiTheme="majorHAnsi" w:hAnsiTheme="majorHAnsi" w:cstheme="majorHAnsi"/>
        </w:rPr>
        <w:t xml:space="preserve">Reaching the variety of consumers who </w:t>
      </w:r>
      <w:r w:rsidRPr="000F4C13" w:rsidR="00C752F7">
        <w:rPr>
          <w:rFonts w:eastAsia="Calibri" w:asciiTheme="majorHAnsi" w:hAnsiTheme="majorHAnsi" w:cstheme="majorHAnsi"/>
        </w:rPr>
        <w:t>live in every state requires developing multilingual, plain-language</w:t>
      </w:r>
      <w:r w:rsidRPr="000F4C13">
        <w:rPr>
          <w:rFonts w:eastAsia="Calibri" w:asciiTheme="majorHAnsi" w:hAnsiTheme="majorHAnsi" w:cstheme="majorHAnsi"/>
        </w:rPr>
        <w:t xml:space="preserve"> campaigns. Accessible channels such as town halls, community events, websites, social media, and neighborhood gatherings will enable a department to reach a broader audience. Messages tailored to </w:t>
      </w:r>
      <w:r w:rsidR="007A68FD">
        <w:rPr>
          <w:rFonts w:eastAsia="Calibri" w:asciiTheme="majorHAnsi" w:hAnsiTheme="majorHAnsi" w:cstheme="majorHAnsi"/>
        </w:rPr>
        <w:t>the unique needs and concerns of diverse consumer groups ensure that everyone receives clear,</w:t>
      </w:r>
      <w:r w:rsidRPr="000F4C13">
        <w:rPr>
          <w:rFonts w:eastAsia="Calibri" w:asciiTheme="majorHAnsi" w:hAnsiTheme="majorHAnsi" w:cstheme="majorHAnsi"/>
        </w:rPr>
        <w:t xml:space="preserve"> relevant information. NAIC has prepared a </w:t>
      </w:r>
      <w:hyperlink w:history="1" r:id="rId287">
        <w:r w:rsidRPr="000F4C13">
          <w:rPr>
            <w:rFonts w:eastAsia="Calibri" w:asciiTheme="majorHAnsi" w:hAnsiTheme="majorHAnsi" w:cstheme="majorHAnsi"/>
          </w:rPr>
          <w:t>Financial Wellness Resource Guide</w:t>
        </w:r>
      </w:hyperlink>
      <w:r w:rsidRPr="000F4C13">
        <w:rPr>
          <w:rFonts w:eastAsia="Calibri" w:asciiTheme="majorHAnsi" w:hAnsiTheme="majorHAnsi" w:cstheme="majorHAnsi"/>
        </w:rPr>
        <w:t xml:space="preserve"> </w:t>
      </w:r>
      <w:r w:rsidRPr="000F4C13" w:rsidR="00C752F7">
        <w:rPr>
          <w:rFonts w:eastAsia="Calibri" w:asciiTheme="majorHAnsi" w:hAnsiTheme="majorHAnsi" w:cstheme="majorHAnsi"/>
        </w:rPr>
        <w:t>to highlight</w:t>
      </w:r>
      <w:r w:rsidRPr="000F4C13">
        <w:rPr>
          <w:rFonts w:eastAsia="Calibri" w:asciiTheme="majorHAnsi" w:hAnsiTheme="majorHAnsi" w:cstheme="majorHAnsi"/>
        </w:rPr>
        <w:t xml:space="preserve"> states’ financial literacy programs. The focus was on initiatives for underserved populations.</w:t>
      </w:r>
    </w:p>
    <w:p w:rsidRPr="000F4C13" w:rsidR="00FB5637" w:rsidP="00B05DF1" w:rsidRDefault="00FB5637" w14:paraId="636A00FE" w14:textId="77777777">
      <w:pPr>
        <w:jc w:val="both"/>
        <w:rPr>
          <w:rFonts w:eastAsia="Calibri" w:asciiTheme="majorHAnsi" w:hAnsiTheme="majorHAnsi" w:cstheme="majorHAnsi"/>
        </w:rPr>
      </w:pPr>
      <w:r w:rsidRPr="000F4C13">
        <w:rPr>
          <w:rFonts w:eastAsia="Calibri" w:asciiTheme="majorHAnsi" w:hAnsiTheme="majorHAnsi" w:cstheme="majorHAnsi"/>
        </w:rPr>
        <w:t>Plain language in consumer communications does not mean “dumbing down” the message. Instead, it increases the likelihood that the audience will see the information as readable and understand what is being communicated. Nor is plain language achieved solely based on the words used. Delivering information in “chunks” with descriptive headings written in a question format enables adults who are skimming information for answers to their questions to find the information they need.</w:t>
      </w:r>
    </w:p>
    <w:p w:rsidRPr="000F4C13" w:rsidR="00FB5637" w:rsidP="00B05DF1" w:rsidRDefault="00FB5637" w14:paraId="74B4F8A5" w14:textId="2AB02ADC">
      <w:pPr>
        <w:jc w:val="both"/>
        <w:rPr>
          <w:rFonts w:eastAsia="Calibri" w:asciiTheme="majorHAnsi" w:hAnsiTheme="majorHAnsi" w:cstheme="majorHAnsi"/>
        </w:rPr>
      </w:pPr>
      <w:r w:rsidRPr="000F4C13">
        <w:rPr>
          <w:rFonts w:eastAsia="Calibri" w:asciiTheme="majorHAnsi" w:hAnsiTheme="majorHAnsi" w:cstheme="majorHAnsi"/>
          <w:b/>
          <w:bCs/>
        </w:rPr>
        <w:t>Provide actionable, relevant, and timely information.</w:t>
      </w:r>
      <w:r w:rsidRPr="000F4C13">
        <w:rPr>
          <w:rFonts w:eastAsia="Calibri" w:asciiTheme="majorHAnsi" w:hAnsiTheme="majorHAnsi" w:cstheme="majorHAnsi"/>
        </w:rPr>
        <w:t xml:space="preserve"> </w:t>
      </w:r>
      <w:r w:rsidRPr="000F4C13" w:rsidR="00C752F7">
        <w:rPr>
          <w:rFonts w:eastAsia="Calibri" w:asciiTheme="majorHAnsi" w:hAnsiTheme="majorHAnsi" w:cstheme="majorHAnsi"/>
        </w:rPr>
        <w:t>Actionable, relevant information</w:t>
      </w:r>
      <w:r w:rsidRPr="000F4C13">
        <w:rPr>
          <w:rFonts w:eastAsia="Calibri" w:asciiTheme="majorHAnsi" w:hAnsiTheme="majorHAnsi" w:cstheme="majorHAnsi"/>
        </w:rPr>
        <w:t xml:space="preserve"> helps learners translate intentions into actions. Decision times related to homeowners insurance are likely upon purchase or refinancing a home, at renewal (or nonrenewal or cancellation), and when navigating the claims process, including deciding whether to file a claim. Educators often refer to “just-in-time” education as the time when motivation to learn information is greatest. This suggests that making resources available in a timely fashion is important. Examples of methods </w:t>
      </w:r>
      <w:r w:rsidRPr="000F4C13" w:rsidR="00DD1AF4">
        <w:rPr>
          <w:rFonts w:eastAsia="Calibri" w:asciiTheme="majorHAnsi" w:hAnsiTheme="majorHAnsi" w:cstheme="majorHAnsi"/>
        </w:rPr>
        <w:t xml:space="preserve">for delivering “just-in-time” education include interactive shopping tools for high-risk homeowners, disaster recovery and insurance claim guides, and social marketing themes </w:t>
      </w:r>
      <w:r w:rsidRPr="000F4C13">
        <w:rPr>
          <w:rFonts w:eastAsia="Calibri" w:asciiTheme="majorHAnsi" w:hAnsiTheme="majorHAnsi" w:cstheme="majorHAnsi"/>
        </w:rPr>
        <w:t xml:space="preserve">timed to coincide with peak consumer interest. Topics important to </w:t>
      </w:r>
      <w:r w:rsidRPr="000F4C13" w:rsidR="008923FB">
        <w:rPr>
          <w:rFonts w:eastAsia="Calibri" w:asciiTheme="majorHAnsi" w:hAnsiTheme="majorHAnsi" w:cstheme="majorHAnsi"/>
        </w:rPr>
        <w:t>understanding affordability and availability in homeowners insurance include resources that explain underwriting processes, deductibles, the impact of credit history and prior claims on availability and affordability, appeals procedures, mitigation options, tips for evaluating coverage, and</w:t>
      </w:r>
      <w:r w:rsidRPr="000F4C13">
        <w:rPr>
          <w:rFonts w:eastAsia="Calibri" w:asciiTheme="majorHAnsi" w:hAnsiTheme="majorHAnsi" w:cstheme="majorHAnsi"/>
        </w:rPr>
        <w:t xml:space="preserve"> key questions consumers should consider. Information that is specific to the consumer’s state will seem more relevant than vague information</w:t>
      </w:r>
      <w:r w:rsidRPr="000F4C13" w:rsidR="00D428BC">
        <w:rPr>
          <w:rFonts w:eastAsia="Calibri" w:asciiTheme="majorHAnsi" w:hAnsiTheme="majorHAnsi" w:cstheme="majorHAnsi"/>
        </w:rPr>
        <w:t>,</w:t>
      </w:r>
      <w:r w:rsidRPr="000F4C13">
        <w:rPr>
          <w:rFonts w:eastAsia="Calibri" w:asciiTheme="majorHAnsi" w:hAnsiTheme="majorHAnsi" w:cstheme="majorHAnsi"/>
        </w:rPr>
        <w:t xml:space="preserve"> indicating that, for example, a requirement may or may not apply in every state.</w:t>
      </w:r>
    </w:p>
    <w:p w:rsidRPr="000F4C13" w:rsidR="00FB5637" w:rsidP="00B05DF1" w:rsidRDefault="00FB5637" w14:paraId="5DB3D31E" w14:textId="4368F27E">
      <w:pPr>
        <w:jc w:val="both"/>
        <w:rPr>
          <w:rFonts w:eastAsia="Calibri" w:asciiTheme="majorHAnsi" w:hAnsiTheme="majorHAnsi" w:cstheme="majorHAnsi"/>
        </w:rPr>
      </w:pPr>
      <w:r w:rsidRPr="000F4C13">
        <w:rPr>
          <w:rFonts w:eastAsia="Calibri" w:asciiTheme="majorHAnsi" w:hAnsiTheme="majorHAnsi" w:cstheme="majorHAnsi"/>
          <w:b/>
          <w:bCs/>
        </w:rPr>
        <w:t>Teach skills to use information.</w:t>
      </w:r>
      <w:r w:rsidRPr="000F4C13">
        <w:rPr>
          <w:rFonts w:eastAsia="Calibri" w:asciiTheme="majorHAnsi" w:hAnsiTheme="majorHAnsi" w:cstheme="majorHAnsi"/>
        </w:rPr>
        <w:t xml:space="preserve"> It is important </w:t>
      </w:r>
      <w:r w:rsidRPr="000F4C13" w:rsidR="00E93C2D">
        <w:rPr>
          <w:rFonts w:eastAsia="Calibri" w:asciiTheme="majorHAnsi" w:hAnsiTheme="majorHAnsi" w:cstheme="majorHAnsi"/>
        </w:rPr>
        <w:t>not only to</w:t>
      </w:r>
      <w:r w:rsidRPr="000F4C13">
        <w:rPr>
          <w:rFonts w:eastAsia="Calibri" w:asciiTheme="majorHAnsi" w:hAnsiTheme="majorHAnsi" w:cstheme="majorHAnsi"/>
        </w:rPr>
        <w:t xml:space="preserve"> have information but also to know how to apply that information to move forward. Examples include opportunities to estimate deductibles </w:t>
      </w:r>
      <w:r w:rsidRPr="000F4C13" w:rsidR="00D428BC">
        <w:rPr>
          <w:rFonts w:eastAsia="Calibri" w:asciiTheme="majorHAnsi" w:hAnsiTheme="majorHAnsi" w:cstheme="majorHAnsi"/>
        </w:rPr>
        <w:t>and worksheets to compare policy coverage and</w:t>
      </w:r>
      <w:r w:rsidRPr="000F4C13">
        <w:rPr>
          <w:rFonts w:eastAsia="Calibri" w:asciiTheme="majorHAnsi" w:hAnsiTheme="majorHAnsi" w:cstheme="majorHAnsi"/>
        </w:rPr>
        <w:t xml:space="preserve"> costs. Other examples include step-by-step guides to applying for insurance, appealing cancellations, accessing mitigation discounts, and understanding consumer rights. </w:t>
      </w:r>
    </w:p>
    <w:p w:rsidRPr="000F4C13" w:rsidR="00FB5637" w:rsidP="00B05DF1" w:rsidRDefault="00FB5637" w14:paraId="56B7056E" w14:textId="3A9E0DF7">
      <w:pPr>
        <w:jc w:val="both"/>
        <w:rPr>
          <w:rFonts w:eastAsia="Calibri" w:asciiTheme="majorHAnsi" w:hAnsiTheme="majorHAnsi" w:cstheme="majorHAnsi"/>
        </w:rPr>
      </w:pPr>
      <w:r w:rsidRPr="000F4C13">
        <w:rPr>
          <w:rFonts w:eastAsia="Calibri" w:asciiTheme="majorHAnsi" w:hAnsiTheme="majorHAnsi" w:cstheme="majorHAnsi"/>
          <w:b/>
          <w:bCs/>
        </w:rPr>
        <w:t>Build on motivation.</w:t>
      </w:r>
      <w:r w:rsidRPr="000F4C13">
        <w:rPr>
          <w:rFonts w:eastAsia="Calibri" w:asciiTheme="majorHAnsi" w:hAnsiTheme="majorHAnsi" w:cstheme="majorHAnsi"/>
        </w:rPr>
        <w:t xml:space="preserve"> Understanding learners’ goals </w:t>
      </w:r>
      <w:r w:rsidRPr="000F4C13" w:rsidR="003D1173">
        <w:rPr>
          <w:rFonts w:eastAsia="Calibri" w:asciiTheme="majorHAnsi" w:hAnsiTheme="majorHAnsi" w:cstheme="majorHAnsi"/>
        </w:rPr>
        <w:t>and</w:t>
      </w:r>
      <w:r w:rsidRPr="000F4C13">
        <w:rPr>
          <w:rFonts w:eastAsia="Calibri" w:asciiTheme="majorHAnsi" w:hAnsiTheme="majorHAnsi" w:cstheme="majorHAnsi"/>
        </w:rPr>
        <w:t xml:space="preserve"> their motivation for accessing education is important. How can you help them achieve their goals? In the context of </w:t>
      </w:r>
      <w:r w:rsidRPr="000F4C13" w:rsidR="00D428BC">
        <w:rPr>
          <w:rFonts w:eastAsia="Calibri" w:asciiTheme="majorHAnsi" w:hAnsiTheme="majorHAnsi" w:cstheme="majorHAnsi"/>
        </w:rPr>
        <w:t>homeowners insurance availability and affordability, being realistic about their options and understanding their frustrations can be helpful in designing</w:t>
      </w:r>
      <w:r w:rsidRPr="000F4C13">
        <w:rPr>
          <w:rFonts w:eastAsia="Calibri" w:asciiTheme="majorHAnsi" w:hAnsiTheme="majorHAnsi" w:cstheme="majorHAnsi"/>
        </w:rPr>
        <w:t xml:space="preserve"> a realistic path forward.</w:t>
      </w:r>
    </w:p>
    <w:p w:rsidRPr="000F4C13" w:rsidR="00FB5637" w:rsidP="00B05DF1" w:rsidRDefault="00FB5637" w14:paraId="46583D81" w14:textId="77777777">
      <w:pPr>
        <w:jc w:val="both"/>
        <w:rPr>
          <w:rFonts w:eastAsia="Calibri" w:asciiTheme="majorHAnsi" w:hAnsiTheme="majorHAnsi" w:cstheme="majorHAnsi"/>
        </w:rPr>
      </w:pPr>
    </w:p>
    <w:p w:rsidRPr="000F4C13" w:rsidR="006C707F" w:rsidP="009C39DD" w:rsidRDefault="006C707F" w14:paraId="78707021" w14:textId="77777777">
      <w:pPr>
        <w:jc w:val="both"/>
        <w:rPr>
          <w:rFonts w:eastAsia="Calibri" w:asciiTheme="majorHAnsi" w:hAnsiTheme="majorHAnsi" w:cstheme="majorHAnsi"/>
        </w:rPr>
      </w:pPr>
    </w:p>
    <w:sectPr w:rsidRPr="000F4C13" w:rsidR="006C707F">
      <w:headerReference w:type="even" r:id="rId288"/>
      <w:headerReference w:type="default" r:id="rId289"/>
      <w:footerReference w:type="even" r:id="rId290"/>
      <w:footerReference w:type="default" r:id="rId291"/>
      <w:headerReference w:type="first" r:id="rId292"/>
      <w:footerReference w:type="first" r:id="rId293"/>
      <w:pgSz w:w="12240" w:h="15840" w:orient="portrait"/>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069D" w:rsidRDefault="0035069D" w14:paraId="3ADCF034" w14:textId="77777777">
      <w:pPr>
        <w:spacing w:after="0" w:line="240" w:lineRule="auto"/>
      </w:pPr>
      <w:r>
        <w:separator/>
      </w:r>
    </w:p>
  </w:endnote>
  <w:endnote w:type="continuationSeparator" w:id="0">
    <w:p w:rsidR="0035069D" w:rsidRDefault="0035069D" w14:paraId="62DA67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panose1 w:val="020B0004020202020204"/>
    <w:charset w:val="00"/>
    <w:family w:val="swiss"/>
    <w:pitch w:val="variable"/>
    <w:sig w:usb0="20000287" w:usb1="00000003" w:usb2="00000000" w:usb3="00000000" w:csb0="0000019F" w:csb1="00000000"/>
    <w:embedRegular w:fontKey="{579BBDE5-B0CE-4453-9D0E-4EE0FE733193}" r:id="rId1"/>
    <w:embedBold w:fontKey="{FF8FB96F-8674-4958-ABFF-35C1E0006AD2}" r:id="rId2"/>
    <w:embedItalic w:fontKey="{8438AAAD-022E-42CB-9954-9264553D0870}" r:id="rId3"/>
  </w:font>
  <w:font w:name="Calibri">
    <w:panose1 w:val="020F0502020204030204"/>
    <w:charset w:val="00"/>
    <w:family w:val="swiss"/>
    <w:pitch w:val="variable"/>
    <w:sig w:usb0="E4002EFF" w:usb1="C200247B" w:usb2="00000009" w:usb3="00000000" w:csb0="000001FF" w:csb1="00000000"/>
    <w:embedRegular w:fontKey="{1BEF044C-C8A8-485A-85EF-D87DB15D60CD}" r:id="rId4"/>
    <w:embedBold w:fontKey="{CB2FFBF5-A43A-4F26-BF81-81ED01964CD9}" r:id="rId5"/>
    <w:embedItalic w:fontKey="{5D32CA14-01FD-44A4-8F6E-5E01634D8AA4}" r:id="rId6"/>
    <w:embedBoldItalic w:fontKey="{884DA65F-2059-488B-BA81-3C3B1A7CCC32}" r:id="rId7"/>
  </w:font>
  <w:font w:name="Pla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w:fontKey="{226501D6-5FFD-47FC-A843-FEADA19F7287}" r:id="rId8"/>
    <w:embedBold w:fontKey="{8FB7E126-7E43-42B8-B341-366278198519}" r:id="rId9"/>
    <w:embedItalic w:fontKey="{95E6171F-4B62-4CBD-8422-13C620E64F93}" r:id="rId1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D819B63B-98B8-4BEB-9FAB-5BA4317B888E}" r:id="rId11"/>
  </w:font>
  <w:font w:name="Cambria Math">
    <w:panose1 w:val="02040503050406030204"/>
    <w:charset w:val="00"/>
    <w:family w:val="roman"/>
    <w:pitch w:val="variable"/>
    <w:sig w:usb0="E00006FF" w:usb1="420024FF" w:usb2="02000000" w:usb3="00000000" w:csb0="0000019F" w:csb1="00000000"/>
    <w:embedRegular w:fontKey="{54827EB8-61B8-4872-9DA8-09502165D4D1}"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1C8E" w:rsidRDefault="00871C8E" w14:paraId="0210A30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0769" w:rsidRDefault="00080769" w14:paraId="7F276C47" w14:textId="417A417B">
    <w:pPr>
      <w:jc w:val="right"/>
    </w:pPr>
    <w:r>
      <w:fldChar w:fldCharType="begin"/>
    </w:r>
    <w:r>
      <w:instrText>PAGE</w:instrText>
    </w:r>
    <w:r>
      <w:fldChar w:fldCharType="separate"/>
    </w:r>
    <w:r w:rsidR="00862E8C">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0769" w:rsidRDefault="00080769" w14:paraId="7B65B777" w14:textId="4EFB3C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069D" w:rsidRDefault="0035069D" w14:paraId="6F75BB44" w14:textId="77777777">
      <w:pPr>
        <w:spacing w:after="0" w:line="240" w:lineRule="auto"/>
      </w:pPr>
      <w:r>
        <w:separator/>
      </w:r>
    </w:p>
  </w:footnote>
  <w:footnote w:type="continuationSeparator" w:id="0">
    <w:p w:rsidR="0035069D" w:rsidRDefault="0035069D" w14:paraId="5782B5B8" w14:textId="77777777">
      <w:pPr>
        <w:spacing w:after="0" w:line="240" w:lineRule="auto"/>
      </w:pPr>
      <w:r>
        <w:continuationSeparator/>
      </w:r>
    </w:p>
  </w:footnote>
  <w:footnote w:id="1">
    <w:p w:rsidR="00080769" w:rsidRDefault="00080769" w14:paraId="3BD9A5E9"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1">
        <w:r>
          <w:rPr>
            <w:rFonts w:ascii="Calibri" w:hAnsi="Calibri" w:eastAsia="Calibri" w:cs="Calibri"/>
            <w:sz w:val="20"/>
            <w:szCs w:val="20"/>
            <w:highlight w:val="white"/>
          </w:rPr>
          <w:t>Benjamin J. Keys</w:t>
        </w:r>
      </w:hyperlink>
      <w:r>
        <w:rPr>
          <w:rFonts w:ascii="Calibri" w:hAnsi="Calibri" w:eastAsia="Calibri" w:cs="Calibri"/>
          <w:sz w:val="20"/>
          <w:szCs w:val="20"/>
          <w:highlight w:val="white"/>
        </w:rPr>
        <w:t xml:space="preserve"> and </w:t>
      </w:r>
      <w:hyperlink r:id="rId2">
        <w:r>
          <w:rPr>
            <w:rFonts w:ascii="Calibri" w:hAnsi="Calibri" w:eastAsia="Calibri" w:cs="Calibri"/>
            <w:sz w:val="20"/>
            <w:szCs w:val="20"/>
            <w:highlight w:val="white"/>
          </w:rPr>
          <w:t>Philip Mulder</w:t>
        </w:r>
      </w:hyperlink>
      <w:r>
        <w:rPr>
          <w:rFonts w:ascii="Calibri" w:hAnsi="Calibri" w:eastAsia="Calibri" w:cs="Calibri"/>
          <w:sz w:val="20"/>
          <w:szCs w:val="20"/>
          <w:highlight w:val="white"/>
        </w:rPr>
        <w:t xml:space="preserve"> in </w:t>
      </w:r>
      <w:hyperlink r:id="rId3">
        <w:r>
          <w:rPr>
            <w:rFonts w:ascii="Calibri" w:hAnsi="Calibri" w:eastAsia="Calibri" w:cs="Calibri"/>
            <w:sz w:val="20"/>
            <w:szCs w:val="20"/>
            <w:highlight w:val="white"/>
          </w:rPr>
          <w:t>Property Insurance and Disaster Risk: New Evidence from Mortgage Escrow Data</w:t>
        </w:r>
      </w:hyperlink>
      <w:r>
        <w:rPr>
          <w:rFonts w:ascii="Calibri" w:hAnsi="Calibri" w:eastAsia="Calibri" w:cs="Calibri"/>
          <w:sz w:val="20"/>
          <w:szCs w:val="20"/>
          <w:highlight w:val="white"/>
        </w:rPr>
        <w:t xml:space="preserve"> (NBER Working Paper 32579). </w:t>
      </w:r>
      <w:hyperlink r:id="rId4">
        <w:r>
          <w:rPr>
            <w:rFonts w:ascii="Calibri" w:hAnsi="Calibri" w:eastAsia="Calibri" w:cs="Calibri"/>
            <w:color w:val="1155CC"/>
            <w:sz w:val="20"/>
            <w:szCs w:val="20"/>
            <w:u w:val="single"/>
          </w:rPr>
          <w:t>https://www.nber.org/digest/202410/disaster-risk-and-rising-home-insurance-premiums?page=1&amp;perPage=50</w:t>
        </w:r>
      </w:hyperlink>
    </w:p>
  </w:footnote>
  <w:footnote w:id="2">
    <w:p w:rsidR="00080769" w:rsidRDefault="00080769" w14:paraId="27BEAF0B"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National Bureau of Economic Research: Disaster Risk and Rising Home Insurance Premiums (2024) </w:t>
      </w:r>
      <w:hyperlink r:id="rId5">
        <w:r>
          <w:rPr>
            <w:rFonts w:ascii="Calibri" w:hAnsi="Calibri" w:eastAsia="Calibri" w:cs="Calibri"/>
            <w:color w:val="1155CC"/>
            <w:sz w:val="20"/>
            <w:szCs w:val="20"/>
            <w:u w:val="single"/>
          </w:rPr>
          <w:t>https://www.nber.org/digest/202410/disaster-risk-and-rising-home-insurance-premiums?page=1&amp;perPage=50</w:t>
        </w:r>
      </w:hyperlink>
    </w:p>
  </w:footnote>
  <w:footnote w:id="3">
    <w:p w:rsidR="00080769" w:rsidRDefault="00080769" w14:paraId="594DF2D7" w14:textId="777777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California Department of Insurance and Ceres: Climate risk management in the U.S. insurance sector:</w:t>
      </w:r>
      <w:r>
        <w:rPr>
          <w:b/>
          <w:bCs/>
          <w:color w:val="000000"/>
          <w:sz w:val="20"/>
          <w:szCs w:val="20"/>
        </w:rPr>
        <w:t xml:space="preserve"> </w:t>
      </w:r>
      <w:r>
        <w:rPr>
          <w:color w:val="000000"/>
          <w:sz w:val="20"/>
          <w:szCs w:val="20"/>
        </w:rPr>
        <w:t>An analysis of climate risk disclosures (2023)</w:t>
      </w:r>
    </w:p>
    <w:p w:rsidR="00080769" w:rsidRDefault="00080769" w14:paraId="1E6A04A3" w14:textId="77777777">
      <w:pPr>
        <w:pBdr>
          <w:top w:val="nil"/>
          <w:left w:val="nil"/>
          <w:bottom w:val="nil"/>
          <w:right w:val="nil"/>
          <w:between w:val="nil"/>
        </w:pBdr>
        <w:spacing w:after="0" w:line="240" w:lineRule="auto"/>
        <w:rPr>
          <w:color w:val="000000"/>
          <w:sz w:val="20"/>
          <w:szCs w:val="20"/>
        </w:rPr>
      </w:pPr>
      <w:r>
        <w:rPr>
          <w:color w:val="000000"/>
          <w:sz w:val="20"/>
          <w:szCs w:val="20"/>
        </w:rPr>
        <w:t>https://www.ceres.org/resources/reports/climate-risk-management-us-insurance-sector</w:t>
      </w:r>
    </w:p>
  </w:footnote>
  <w:footnote w:id="4">
    <w:p w:rsidR="00080769" w:rsidRDefault="00080769" w14:paraId="6440B595"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Reuters: U.S. property catastrophe reinsurance rates rise up to 50% on July 1, report says (2023) </w:t>
      </w:r>
      <w:hyperlink r:id="rId6">
        <w:r>
          <w:rPr>
            <w:rFonts w:ascii="Calibri" w:hAnsi="Calibri" w:eastAsia="Calibri" w:cs="Calibri"/>
            <w:color w:val="1155CC"/>
            <w:sz w:val="20"/>
            <w:szCs w:val="20"/>
            <w:u w:val="single"/>
          </w:rPr>
          <w:t>https://www.reuters.com/world/us/us-property-catastrophe-reinsurance-rates-rise-up-50-july-1-report-2023-07-03/</w:t>
        </w:r>
      </w:hyperlink>
    </w:p>
  </w:footnote>
  <w:footnote w:id="5">
    <w:p w:rsidR="00080769" w:rsidRDefault="00080769" w14:paraId="3A1E8ED9"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AM Best: Market Segment Report: Market Segment Outlook: US Homeowners Insurance (2025) </w:t>
      </w:r>
      <w:hyperlink r:id="rId7">
        <w:r>
          <w:rPr>
            <w:rFonts w:ascii="Calibri" w:hAnsi="Calibri" w:eastAsia="Calibri" w:cs="Calibri"/>
            <w:color w:val="1155CC"/>
            <w:sz w:val="20"/>
            <w:szCs w:val="20"/>
            <w:u w:val="single"/>
          </w:rPr>
          <w:t>https://www3.ambest.com/ambv/sales/bwpurchase.aspx?record_code=360432&amp;altsrc=</w:t>
        </w:r>
      </w:hyperlink>
    </w:p>
  </w:footnote>
  <w:footnote w:id="6">
    <w:p w:rsidR="00080769" w:rsidRDefault="00080769" w14:paraId="415AF412"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Office of Financial Research: Wind, Fire, Water, Hail: What Is Going on In the Property Insurance Market and Why Does It Matter? (2023) </w:t>
      </w:r>
      <w:hyperlink r:id="rId8">
        <w:r>
          <w:rPr>
            <w:rFonts w:ascii="Calibri" w:hAnsi="Calibri" w:eastAsia="Calibri" w:cs="Calibri"/>
            <w:color w:val="1155CC"/>
            <w:sz w:val="20"/>
            <w:szCs w:val="20"/>
            <w:u w:val="single"/>
          </w:rPr>
          <w:t>https://www.financialresearch.gov/the-ofr-blog/2023/12/14/property-insurance-market/</w:t>
        </w:r>
      </w:hyperlink>
    </w:p>
  </w:footnote>
  <w:footnote w:id="7">
    <w:p w:rsidR="00080769" w:rsidP="00814D59" w:rsidRDefault="00080769" w14:paraId="59523D31" w14:textId="77777777">
      <w:pPr>
        <w:spacing w:after="0" w:line="240" w:lineRule="auto"/>
        <w:rPr>
          <w:sz w:val="20"/>
          <w:szCs w:val="20"/>
        </w:rPr>
      </w:pPr>
      <w:r>
        <w:rPr>
          <w:vertAlign w:val="superscript"/>
        </w:rPr>
        <w:footnoteRef/>
      </w:r>
      <w:r>
        <w:rPr>
          <w:rFonts w:ascii="Calibri" w:hAnsi="Calibri" w:eastAsia="Calibri" w:cs="Calibri"/>
          <w:sz w:val="20"/>
          <w:szCs w:val="20"/>
        </w:rPr>
        <w:t xml:space="preserve"> NOAA Climate.Gov: 2024: An active year of U.S. billion-dollar weather and climate disasters (2025) </w:t>
      </w:r>
      <w:hyperlink r:id="rId9">
        <w:r>
          <w:rPr>
            <w:rFonts w:ascii="Calibri" w:hAnsi="Calibri" w:eastAsia="Calibri" w:cs="Calibri"/>
            <w:color w:val="1155CC"/>
            <w:sz w:val="20"/>
            <w:szCs w:val="20"/>
            <w:u w:val="single"/>
          </w:rPr>
          <w:t>https://www.climate.gov/news-features/blogs/beyond-data/2024-active-year-us-billion-dollar-weather-and-climate-disasters</w:t>
        </w:r>
      </w:hyperlink>
    </w:p>
  </w:footnote>
  <w:footnote w:id="8">
    <w:p w:rsidR="00080769" w:rsidRDefault="00080769" w14:paraId="430254CC"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New York Times: 2024: An active year of U.S. billion-dollar weather and climate disasters (2025) </w:t>
      </w:r>
      <w:hyperlink r:id="rId10">
        <w:r>
          <w:rPr>
            <w:rFonts w:ascii="Calibri" w:hAnsi="Calibri" w:eastAsia="Calibri" w:cs="Calibri"/>
            <w:color w:val="1155CC"/>
            <w:sz w:val="20"/>
            <w:szCs w:val="20"/>
            <w:u w:val="single"/>
          </w:rPr>
          <w:t>https://www.nytimes.com/2025/10/22/climate/trump-noaa-weather-tracking.html</w:t>
        </w:r>
      </w:hyperlink>
    </w:p>
  </w:footnote>
  <w:footnote w:id="9">
    <w:p w:rsidR="00080769" w:rsidRDefault="00080769" w14:paraId="4B7BE156" w14:textId="77777777">
      <w:pPr>
        <w:pBdr>
          <w:top w:val="nil"/>
          <w:left w:val="nil"/>
          <w:bottom w:val="nil"/>
          <w:right w:val="nil"/>
          <w:between w:val="nil"/>
        </w:pBdr>
        <w:spacing w:after="0" w:line="240" w:lineRule="auto"/>
        <w:rPr>
          <w:rFonts w:ascii="Calibri" w:hAnsi="Calibri" w:eastAsia="Calibri" w:cs="Calibri"/>
          <w:sz w:val="20"/>
          <w:szCs w:val="20"/>
        </w:rPr>
      </w:pPr>
      <w:r>
        <w:rPr>
          <w:vertAlign w:val="superscript"/>
        </w:rPr>
        <w:footnoteRef/>
      </w:r>
      <w:r>
        <w:rPr>
          <w:rFonts w:ascii="Calibri" w:hAnsi="Calibri" w:eastAsia="Calibri" w:cs="Calibri"/>
          <w:color w:val="000000"/>
          <w:sz w:val="20"/>
          <w:szCs w:val="20"/>
        </w:rPr>
        <w:t xml:space="preserve"> NOAA: Climate Change: Global Sea Level (2023) </w:t>
      </w:r>
      <w:hyperlink r:id="rId11">
        <w:r>
          <w:rPr>
            <w:rFonts w:ascii="Calibri" w:hAnsi="Calibri" w:eastAsia="Calibri" w:cs="Calibri"/>
            <w:color w:val="1155CC"/>
            <w:sz w:val="20"/>
            <w:szCs w:val="20"/>
            <w:u w:val="single"/>
          </w:rPr>
          <w:t>https://www.climate.gov/news-features/understanding-climate/climate-change-global-sea-level</w:t>
        </w:r>
      </w:hyperlink>
    </w:p>
  </w:footnote>
  <w:footnote w:id="10">
    <w:p w:rsidR="00080769" w:rsidRDefault="00080769" w14:paraId="6A80882A"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Consumer Federation of America: Overburdened: The Dramatic Increase in Homeowners Insurance Premiums and its Impacts on American Homeowners (2025). </w:t>
      </w:r>
      <w:hyperlink r:id="rId12">
        <w:r>
          <w:rPr>
            <w:rFonts w:ascii="Calibri" w:hAnsi="Calibri" w:eastAsia="Calibri" w:cs="Calibri"/>
            <w:color w:val="0064A8"/>
            <w:sz w:val="20"/>
            <w:szCs w:val="20"/>
            <w:u w:val="single"/>
          </w:rPr>
          <w:t>https://consumerfed.org/wp-content/uploads/2025/03/OverburdenedReport.pdf</w:t>
        </w:r>
      </w:hyperlink>
    </w:p>
  </w:footnote>
  <w:footnote w:id="11">
    <w:p w:rsidR="00080769" w:rsidRDefault="00080769" w14:paraId="5FF4B0FC" w14:textId="77777777">
      <w:pPr>
        <w:spacing w:after="60" w:line="240" w:lineRule="auto"/>
        <w:rPr>
          <w:color w:val="0064A8"/>
          <w:sz w:val="20"/>
          <w:szCs w:val="20"/>
          <w:u w:val="single"/>
        </w:rPr>
      </w:pPr>
      <w:r>
        <w:rPr>
          <w:vertAlign w:val="superscript"/>
        </w:rPr>
        <w:footnoteRef/>
      </w:r>
      <w:r>
        <w:rPr>
          <w:rFonts w:ascii="Calibri" w:hAnsi="Calibri" w:eastAsia="Calibri" w:cs="Calibri"/>
          <w:sz w:val="20"/>
          <w:szCs w:val="20"/>
        </w:rPr>
        <w:t xml:space="preserve"> Deloitte: 2026 global insurance outlook (2025) </w:t>
      </w:r>
      <w:hyperlink r:id="rId13">
        <w:r>
          <w:rPr>
            <w:rFonts w:ascii="Calibri" w:hAnsi="Calibri" w:eastAsia="Calibri" w:cs="Calibri"/>
            <w:color w:val="0064A8"/>
            <w:sz w:val="20"/>
            <w:szCs w:val="20"/>
            <w:u w:val="single"/>
          </w:rPr>
          <w:t>https://www.deloitte.com/us/en/insights/industry/financial-services/financial-services-industry-outlooks/insurance-industry-outlook.htm</w:t>
        </w:r>
      </w:hyperlink>
      <w:r>
        <w:rPr>
          <w:color w:val="0064A8"/>
          <w:sz w:val="20"/>
          <w:szCs w:val="20"/>
          <w:u w:val="single"/>
        </w:rPr>
        <w:t>l</w:t>
      </w:r>
    </w:p>
  </w:footnote>
  <w:footnote w:id="12">
    <w:p w:rsidR="00080769" w:rsidRDefault="00080769" w14:paraId="4936ABCE" w14:textId="77777777">
      <w:pPr>
        <w:pBdr>
          <w:top w:val="nil"/>
          <w:left w:val="nil"/>
          <w:bottom w:val="nil"/>
          <w:right w:val="nil"/>
          <w:between w:val="nil"/>
        </w:pBd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0000"/>
          <w:sz w:val="20"/>
          <w:szCs w:val="20"/>
        </w:rPr>
        <w:t xml:space="preserve"> Redfin News: America Is Increasingly Building Homes in Disaster-Prone Areas (2022) </w:t>
      </w:r>
      <w:hyperlink r:id="rId14">
        <w:r>
          <w:rPr>
            <w:rFonts w:ascii="Calibri" w:hAnsi="Calibri" w:eastAsia="Calibri" w:cs="Calibri"/>
            <w:color w:val="0064A8"/>
            <w:sz w:val="20"/>
            <w:szCs w:val="20"/>
            <w:u w:val="single"/>
          </w:rPr>
          <w:t>https://www.redfin.com/news/homes-built-disaster-prone-areas/</w:t>
        </w:r>
      </w:hyperlink>
    </w:p>
  </w:footnote>
  <w:footnote w:id="13">
    <w:p w:rsidR="00080769" w:rsidRDefault="00080769" w14:paraId="5169EC21" w14:textId="77777777">
      <w:pPr>
        <w:pBdr>
          <w:top w:val="nil"/>
          <w:left w:val="nil"/>
          <w:bottom w:val="nil"/>
          <w:right w:val="nil"/>
          <w:between w:val="nil"/>
        </w:pBdr>
        <w:spacing w:after="0" w:line="240" w:lineRule="auto"/>
        <w:rPr>
          <w:rFonts w:ascii="Calibri" w:hAnsi="Calibri" w:eastAsia="Calibri" w:cs="Calibri"/>
          <w:sz w:val="20"/>
          <w:szCs w:val="20"/>
        </w:rPr>
      </w:pPr>
      <w:r>
        <w:rPr>
          <w:vertAlign w:val="superscript"/>
        </w:rPr>
        <w:footnoteRef/>
      </w:r>
      <w:r>
        <w:rPr>
          <w:rFonts w:ascii="Calibri" w:hAnsi="Calibri" w:eastAsia="Calibri" w:cs="Calibri"/>
          <w:color w:val="000000"/>
          <w:sz w:val="20"/>
          <w:szCs w:val="20"/>
        </w:rPr>
        <w:t xml:space="preserve"> The Guardian: More than 80% of new California properties are in high fire-risk areas (2025) </w:t>
      </w:r>
      <w:hyperlink r:id="rId15">
        <w:r>
          <w:rPr>
            <w:rFonts w:ascii="Calibri" w:hAnsi="Calibri" w:eastAsia="Calibri" w:cs="Calibri"/>
            <w:color w:val="0064A8"/>
            <w:sz w:val="20"/>
            <w:szCs w:val="20"/>
            <w:u w:val="single"/>
          </w:rPr>
          <w:t>https://www.theguardian.com/news/datablog/2025/feb/15/california-wildfire-building-ris</w:t>
        </w:r>
      </w:hyperlink>
      <w:hyperlink r:id="rId16">
        <w:r>
          <w:rPr>
            <w:rFonts w:ascii="Calibri" w:hAnsi="Calibri" w:eastAsia="Calibri" w:cs="Calibri"/>
            <w:color w:val="0064A8"/>
            <w:sz w:val="20"/>
            <w:szCs w:val="20"/>
            <w:u w:val="single"/>
          </w:rPr>
          <w:t>k</w:t>
        </w:r>
      </w:hyperlink>
    </w:p>
  </w:footnote>
  <w:footnote w:id="14">
    <w:p w:rsidR="00080769" w:rsidRDefault="00080769" w14:paraId="67949636" w14:textId="77777777">
      <w:pPr>
        <w:pBdr>
          <w:top w:val="nil"/>
          <w:left w:val="nil"/>
          <w:bottom w:val="nil"/>
          <w:right w:val="nil"/>
          <w:between w:val="nil"/>
        </w:pBdr>
        <w:spacing w:after="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Radeloff, V. C., et al., Rising wildfire risk to houses in the United States, especially in grasslands and shrublands. Science 382, 702–707 (2023)</w:t>
      </w:r>
    </w:p>
  </w:footnote>
  <w:footnote w:id="15">
    <w:p w:rsidR="00080769" w:rsidRDefault="00080769" w14:paraId="4A5388DB" w14:textId="77777777">
      <w:pPr>
        <w:pBdr>
          <w:top w:val="nil"/>
          <w:left w:val="nil"/>
          <w:bottom w:val="nil"/>
          <w:right w:val="nil"/>
          <w:between w:val="nil"/>
        </w:pBdr>
        <w:spacing w:after="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Hemmati, M., Gray, I.P. &amp; Bowen, S.G. The growing void in the U.S. homeowners insurance market: who should bear the rising cost of climate change?. npj Clim. Action 4, 35 (2025). </w:t>
      </w:r>
      <w:hyperlink r:id="rId17">
        <w:r>
          <w:rPr>
            <w:rFonts w:ascii="Calibri" w:hAnsi="Calibri" w:eastAsia="Calibri" w:cs="Calibri"/>
            <w:color w:val="0064A8"/>
            <w:sz w:val="20"/>
            <w:szCs w:val="20"/>
            <w:u w:val="single"/>
          </w:rPr>
          <w:t>https://doi.org/10.1038/s44168-025-00231-8</w:t>
        </w:r>
      </w:hyperlink>
      <w:r>
        <w:rPr>
          <w:rFonts w:ascii="Calibri" w:hAnsi="Calibri" w:eastAsia="Calibri" w:cs="Calibri"/>
          <w:color w:val="000000"/>
          <w:sz w:val="20"/>
          <w:szCs w:val="20"/>
        </w:rPr>
        <w:t xml:space="preserve"> </w:t>
      </w:r>
    </w:p>
  </w:footnote>
  <w:footnote w:id="16">
    <w:p w:rsidR="00080769" w:rsidRDefault="00080769" w14:paraId="4329A9AC"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NBER Working Paper Series. (n.d.). How Are Insurance Markets Adapting to Climate Change? Risk Classification and Pricing in the Market For...</w:t>
      </w:r>
    </w:p>
  </w:footnote>
  <w:footnote w:id="17">
    <w:p w:rsidR="00080769" w:rsidP="00802AD4" w:rsidRDefault="00080769" w14:paraId="305F05A0"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California Department of Insurance. (2025). Future Directions and Considerations of Modeling Wildfire Risk.</w:t>
      </w:r>
    </w:p>
  </w:footnote>
  <w:footnote w:id="18">
    <w:p w:rsidR="00080769" w:rsidRDefault="00080769" w14:paraId="4867A94F"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Headwaters Economics. (2018). Lessons for Wildfire from Federal Flood Risk Management Programs.</w:t>
      </w:r>
    </w:p>
  </w:footnote>
  <w:footnote w:id="19">
    <w:p w:rsidR="00080769" w:rsidRDefault="00080769" w14:paraId="173C6B78"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FEMA. (n.d.). A Brief History of the NFIP. FloodSmart.gov. Retrieved from </w:t>
      </w:r>
      <w:hyperlink r:id="rId18">
        <w:r>
          <w:rPr>
            <w:rFonts w:ascii="Calibri" w:hAnsi="Calibri" w:eastAsia="Calibri" w:cs="Calibri"/>
            <w:color w:val="0064A8"/>
            <w:sz w:val="20"/>
            <w:szCs w:val="20"/>
            <w:u w:val="single"/>
          </w:rPr>
          <w:t>https://agents.floodsmart.gov/articles/brief-history-nfip</w:t>
        </w:r>
      </w:hyperlink>
    </w:p>
  </w:footnote>
  <w:footnote w:id="20">
    <w:p w:rsidR="00080769" w:rsidRDefault="00080769" w14:paraId="03F39830"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Bipartisan Policy Center. How Do Hazard Mitigation Measures Impact Homeowners' Property Insurance Premiums? April 2, 2025.</w:t>
      </w:r>
    </w:p>
  </w:footnote>
  <w:footnote w:id="21">
    <w:p w:rsidR="00080769" w:rsidRDefault="00080769" w14:paraId="332228C1"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Congressional Budget Office (CBO). (2024). Climate Change, Disaster Risk, and Homeowner’s Insurance.</w:t>
      </w:r>
    </w:p>
  </w:footnote>
  <w:footnote w:id="22">
    <w:p w:rsidR="00080769" w:rsidRDefault="00080769" w14:paraId="40823A3F" w14:textId="77777777">
      <w:pPr>
        <w:spacing w:after="60" w:line="240" w:lineRule="auto"/>
        <w:rPr>
          <w:sz w:val="20"/>
          <w:szCs w:val="20"/>
        </w:rPr>
      </w:pPr>
      <w:r>
        <w:rPr>
          <w:vertAlign w:val="superscript"/>
        </w:rPr>
        <w:footnoteRef/>
      </w:r>
      <w:r>
        <w:rPr>
          <w:rFonts w:ascii="Calibri" w:hAnsi="Calibri" w:eastAsia="Calibri" w:cs="Calibri"/>
          <w:sz w:val="20"/>
          <w:szCs w:val="20"/>
        </w:rPr>
        <w:t xml:space="preserve"> Association of State Floodplain Managers (ASFPM). (2025). FEMA’s National Flood Mapping Program and the Importance of Flood Hazard Identification &amp; Risk Assessment.</w:t>
      </w:r>
    </w:p>
  </w:footnote>
  <w:footnote w:id="23">
    <w:p w:rsidR="00080769" w:rsidRDefault="00080769" w14:paraId="5F015D53"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Louisiana Illuminator: Trump’s anti-climate policies are driving up insurance costs for homeowners, experts say (2025) </w:t>
      </w:r>
      <w:hyperlink r:id="rId19">
        <w:r>
          <w:rPr>
            <w:rFonts w:ascii="Calibri" w:hAnsi="Calibri" w:eastAsia="Calibri" w:cs="Calibri"/>
            <w:color w:val="0064A8"/>
            <w:sz w:val="20"/>
            <w:szCs w:val="20"/>
            <w:u w:val="single"/>
          </w:rPr>
          <w:t>https://lailluminator.com/2025/12/04/trump-climate-insurance/</w:t>
        </w:r>
      </w:hyperlink>
    </w:p>
  </w:footnote>
  <w:footnote w:id="24">
    <w:p w:rsidR="00080769" w:rsidRDefault="00080769" w14:paraId="52661C35" w14:textId="77777777">
      <w:pPr>
        <w:spacing w:after="60" w:line="240" w:lineRule="auto"/>
        <w:rPr>
          <w:color w:val="0064A8"/>
          <w:sz w:val="20"/>
          <w:szCs w:val="20"/>
        </w:rPr>
      </w:pPr>
      <w:r>
        <w:rPr>
          <w:vertAlign w:val="superscript"/>
        </w:rPr>
        <w:footnoteRef/>
      </w:r>
      <w:r>
        <w:rPr>
          <w:rFonts w:ascii="Calibri" w:hAnsi="Calibri" w:eastAsia="Calibri" w:cs="Calibri"/>
          <w:sz w:val="20"/>
          <w:szCs w:val="20"/>
        </w:rPr>
        <w:t xml:space="preserve"> FEMA: Hazus (2025) </w:t>
      </w:r>
      <w:hyperlink w:anchor=":~:text=Who%20Should%20Use%20Hazus?,the%20impacts%20of%20incoming%20storms" r:id="rId20">
        <w:r>
          <w:rPr>
            <w:rFonts w:ascii="Calibri" w:hAnsi="Calibri" w:eastAsia="Calibri" w:cs="Calibri"/>
            <w:color w:val="0064A8"/>
            <w:sz w:val="20"/>
            <w:szCs w:val="20"/>
            <w:u w:val="single"/>
          </w:rPr>
          <w:t>https://www.fema.gov/flood-maps/products-tools/hazus#:~:text=Who%20Should%20Use%20Hazus?,the%20impacts%20of%20incoming%20storms.</w:t>
        </w:r>
      </w:hyperlink>
    </w:p>
  </w:footnote>
  <w:footnote w:id="25">
    <w:p w:rsidR="00080769" w:rsidRDefault="00080769" w14:paraId="3254FC0A"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LexisNexis: Home Consumer Insights Report (2025) </w:t>
      </w:r>
      <w:hyperlink r:id="rId21">
        <w:r>
          <w:rPr>
            <w:rFonts w:ascii="Calibri" w:hAnsi="Calibri" w:eastAsia="Calibri" w:cs="Calibri"/>
            <w:color w:val="0064A8"/>
            <w:sz w:val="20"/>
            <w:szCs w:val="20"/>
            <w:u w:val="single"/>
          </w:rPr>
          <w:t>https://risk.lexisnexis.com/insights-resources/white-paper/home-consumer-research-study?trmid=INSHME24.MrktRsrch.HmeConsStd.WSLN-1318612</w:t>
        </w:r>
      </w:hyperlink>
    </w:p>
  </w:footnote>
  <w:footnote w:id="26">
    <w:p w:rsidR="00080769" w:rsidRDefault="00080769" w14:paraId="0155DCDC"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PR Newswire: LexisNexis Risk Solutions Releases New Study on U.S. Homeowner Insurance Preferences and Behaviors (2024) </w:t>
      </w:r>
    </w:p>
  </w:footnote>
  <w:footnote w:id="27">
    <w:p w:rsidR="00080769" w:rsidRDefault="00080769" w14:paraId="56069380"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PR Newswire: LexisNexis Risk Solutions Releases New Study on U.S. Homeowner Insurance Preferences and Behaviors (2024) </w:t>
      </w:r>
      <w:hyperlink r:id="rId22">
        <w:r>
          <w:rPr>
            <w:rFonts w:ascii="Calibri" w:hAnsi="Calibri" w:eastAsia="Calibri" w:cs="Calibri"/>
            <w:color w:val="0064A8"/>
            <w:sz w:val="20"/>
            <w:szCs w:val="20"/>
            <w:u w:val="single"/>
          </w:rPr>
          <w:t>https://www.prnewswire.com/news-releases/lexisnexis-risk-solutions-releases-new-study-on-us-homeowner-insurance-preferences-and-behaviors-302260017.html</w:t>
        </w:r>
      </w:hyperlink>
    </w:p>
  </w:footnote>
  <w:footnote w:id="28">
    <w:p w:rsidR="00080769" w:rsidRDefault="00080769" w14:paraId="55557C74"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Guardian Service: 2025 Home Insurance Consumer Insights: How Americans Shop, Compare &amp; Choose Coverage (2025) </w:t>
      </w:r>
      <w:hyperlink r:id="rId23">
        <w:r>
          <w:rPr>
            <w:rFonts w:ascii="Calibri" w:hAnsi="Calibri" w:eastAsia="Calibri" w:cs="Calibri"/>
            <w:color w:val="0064A8"/>
            <w:sz w:val="20"/>
            <w:szCs w:val="20"/>
            <w:u w:val="single"/>
          </w:rPr>
          <w:t>https://ulw.guardianservice.com/home-insurance/2025-consumer-insights-report/</w:t>
        </w:r>
      </w:hyperlink>
    </w:p>
  </w:footnote>
  <w:footnote w:id="29">
    <w:p w:rsidR="00080769" w:rsidRDefault="00080769" w14:paraId="4B94431C"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Consumer Financial Protection Bureau: What is homeowner's insurance? Why is homeowner's insurance required? (2024) </w:t>
      </w:r>
      <w:hyperlink w:anchor=":~:text=Homeowner's%20insurance%20pays%20for%20losses,that%20is%20right%20for%20you" r:id="rId24">
        <w:r>
          <w:rPr>
            <w:rFonts w:ascii="Calibri" w:hAnsi="Calibri" w:eastAsia="Calibri" w:cs="Calibri"/>
            <w:color w:val="0064A8"/>
            <w:sz w:val="20"/>
            <w:szCs w:val="20"/>
            <w:u w:val="single"/>
          </w:rPr>
          <w:t>https://www.consumerfinance.gov/ask-cfpb/what-is-homeowners-insurance-why-is-homeowners-insurance-required-en-162/#:~:text=Homeowner's%20insurance%20pays%20for%20losses,that%20is%20right%20for%20you</w:t>
        </w:r>
      </w:hyperlink>
      <w:r>
        <w:rPr>
          <w:rFonts w:ascii="Calibri" w:hAnsi="Calibri" w:eastAsia="Calibri" w:cs="Calibri"/>
          <w:color w:val="0064A8"/>
          <w:sz w:val="20"/>
          <w:szCs w:val="20"/>
        </w:rPr>
        <w:t>.</w:t>
      </w:r>
    </w:p>
  </w:footnote>
  <w:footnote w:id="30">
    <w:p w:rsidR="00080769" w:rsidRDefault="00080769" w14:paraId="11DF6244" w14:textId="77777777">
      <w:pPr>
        <w:spacing w:after="60" w:line="240" w:lineRule="auto"/>
        <w:rPr>
          <w:color w:val="0064A8"/>
          <w:sz w:val="20"/>
          <w:szCs w:val="20"/>
        </w:rPr>
      </w:pPr>
      <w:r>
        <w:rPr>
          <w:vertAlign w:val="superscript"/>
        </w:rPr>
        <w:footnoteRef/>
      </w:r>
      <w:r>
        <w:rPr>
          <w:rFonts w:ascii="Calibri" w:hAnsi="Calibri" w:eastAsia="Calibri" w:cs="Calibri"/>
          <w:sz w:val="20"/>
          <w:szCs w:val="20"/>
        </w:rPr>
        <w:t xml:space="preserve"> NAIC: Understanding Your Homeowners or Renter's Policy (2012) </w:t>
      </w:r>
      <w:hyperlink r:id="rId25">
        <w:r>
          <w:rPr>
            <w:rFonts w:ascii="Calibri" w:hAnsi="Calibri" w:eastAsia="Calibri" w:cs="Calibri"/>
            <w:color w:val="0064A8"/>
            <w:sz w:val="20"/>
            <w:szCs w:val="20"/>
            <w:u w:val="single"/>
          </w:rPr>
          <w:t>https://content.naic.org/article/consumer-insight-understanding-your-homeowners-or-renters-policy</w:t>
        </w:r>
      </w:hyperlink>
    </w:p>
  </w:footnote>
  <w:footnote w:id="31">
    <w:p w:rsidRPr="00903356" w:rsidR="00242DDB" w:rsidP="00242DDB" w:rsidRDefault="00164DFE" w14:paraId="14680298" w14:textId="489F080C">
      <w:pPr>
        <w:pStyle w:val="FootnoteText"/>
        <w:rPr>
          <w:rFonts w:asciiTheme="majorHAnsi" w:hAnsiTheme="majorHAnsi" w:cstheme="majorHAnsi"/>
        </w:rPr>
      </w:pPr>
      <w:r w:rsidRPr="006F1FB9">
        <w:rPr>
          <w:rFonts w:ascii="Aptos" w:hAnsi="Aptos" w:eastAsia="Aptos" w:cs="Aptos"/>
          <w:kern w:val="0"/>
          <w:sz w:val="24"/>
          <w:szCs w:val="24"/>
          <w:vertAlign w:val="superscript"/>
          <w:lang w:val="en"/>
          <w14:ligatures w14:val="none"/>
        </w:rPr>
        <w:t>31</w:t>
      </w:r>
      <w:r w:rsidRPr="00903356">
        <w:rPr>
          <w:rFonts w:asciiTheme="majorHAnsi" w:hAnsiTheme="majorHAnsi" w:cstheme="majorHAnsi"/>
        </w:rPr>
        <w:t xml:space="preserve"> Schwarcz, Daniel, Brenda J. Cude, Kyle D. Logue, and German Marquez Alcala, Read But Not Understood? An Empirical Analysis of Consumer Comprehension in Homeowners Insurance (February 01, 2025). 112 Virginia Law Review (forthcoming, 2025), U of Michigan Law &amp; Econ Research Paper No. 24-043, Minnesota Legal Studies Research Paper No. 25-13, available at SSRN: https://ssrn.com/abstract=5120347 or http://dx.doi.org/10.2139/ssrn.5120347</w:t>
      </w:r>
    </w:p>
  </w:footnote>
  <w:footnote w:id="32">
    <w:p w:rsidR="00080769" w:rsidRDefault="00080769" w14:paraId="41C97D0E"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World Bank: Safer homes, stronger communities: A handbook for reconstructing after natural disasters. (2010). </w:t>
      </w:r>
      <w:hyperlink r:id="rId26">
        <w:r>
          <w:rPr>
            <w:rFonts w:ascii="Calibri" w:hAnsi="Calibri" w:eastAsia="Calibri" w:cs="Calibri"/>
            <w:color w:val="0064A8"/>
            <w:sz w:val="20"/>
            <w:szCs w:val="20"/>
            <w:u w:val="single"/>
          </w:rPr>
          <w:t>https://documents1.worldbank.org/curated/en/290301468159328458/pdf/528390PUB0safe101Official0Use0Only1.pdf</w:t>
        </w:r>
      </w:hyperlink>
    </w:p>
  </w:footnote>
  <w:footnote w:id="33">
    <w:p w:rsidR="00080769" w:rsidRDefault="00080769" w14:paraId="69CF5E52" w14:textId="77777777">
      <w:pPr>
        <w:spacing w:after="60" w:line="240" w:lineRule="auto"/>
        <w:jc w:val="both"/>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RSMeans: Gordian: How does location affect cost of construction projects. (n.d.).</w:t>
      </w:r>
    </w:p>
    <w:p w:rsidR="00080769" w:rsidRDefault="00080769" w14:paraId="536260A1" w14:textId="77777777">
      <w:pPr>
        <w:spacing w:after="60" w:line="240" w:lineRule="auto"/>
        <w:jc w:val="both"/>
        <w:rPr>
          <w:rFonts w:ascii="Calibri" w:hAnsi="Calibri" w:eastAsia="Calibri" w:cs="Calibri"/>
          <w:color w:val="0064A8"/>
          <w:sz w:val="20"/>
          <w:szCs w:val="20"/>
        </w:rPr>
      </w:pPr>
      <w:hyperlink r:id="rId27">
        <w:r>
          <w:rPr>
            <w:rFonts w:ascii="Calibri" w:hAnsi="Calibri" w:eastAsia="Calibri" w:cs="Calibri"/>
            <w:color w:val="0064A8"/>
            <w:sz w:val="20"/>
            <w:szCs w:val="20"/>
            <w:u w:val="single"/>
          </w:rPr>
          <w:t>https://www.rsmeans.com/resources/how-does-location-affect-cost-of-construction-projects</w:t>
        </w:r>
      </w:hyperlink>
    </w:p>
  </w:footnote>
  <w:footnote w:id="34">
    <w:p w:rsidR="00080769" w:rsidRDefault="00080769" w14:paraId="0021EF76" w14:textId="77777777">
      <w:pPr>
        <w:spacing w:after="60" w:line="240" w:lineRule="auto"/>
        <w:jc w:val="both"/>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Alqahtani, D., Mallick, J., Alqahtani, A. M., &amp; Talukdar, S. (2024). Optimizing residential construction site selection in mountainous regions using geospatial data and explainable ai. Sustainability, 16(10), 4235. </w:t>
      </w:r>
      <w:hyperlink r:id="rId28">
        <w:r>
          <w:rPr>
            <w:rFonts w:ascii="Calibri" w:hAnsi="Calibri" w:eastAsia="Calibri" w:cs="Calibri"/>
            <w:color w:val="0064A8"/>
            <w:sz w:val="20"/>
            <w:szCs w:val="20"/>
            <w:u w:val="single"/>
          </w:rPr>
          <w:t>https://doi.org/10.3390/su16104235</w:t>
        </w:r>
      </w:hyperlink>
    </w:p>
  </w:footnote>
  <w:footnote w:id="35">
    <w:p w:rsidR="00080769" w:rsidRDefault="00080769" w14:paraId="30EC35B8" w14:textId="77777777">
      <w:pPr>
        <w:spacing w:after="60" w:line="240" w:lineRule="auto"/>
        <w:jc w:val="both"/>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Associated General Contractors of America. (2022, August 31). Construction workforce shortages risk undermining infrastructure projects as most contractors struggle to hire [Press release]. </w:t>
      </w:r>
      <w:hyperlink r:id="rId29">
        <w:r>
          <w:rPr>
            <w:rFonts w:ascii="Calibri" w:hAnsi="Calibri" w:eastAsia="Calibri" w:cs="Calibri"/>
            <w:color w:val="0064A8"/>
            <w:sz w:val="20"/>
            <w:szCs w:val="20"/>
            <w:u w:val="single"/>
          </w:rPr>
          <w:t>https://www.agc.org/news/2022/08/31/construction-workforce-shortages-risk-undermining-infrastructure-projects-most-contractors-struggle-0</w:t>
        </w:r>
      </w:hyperlink>
    </w:p>
  </w:footnote>
  <w:footnote w:id="36">
    <w:p w:rsidR="00080769" w:rsidRDefault="00080769" w14:paraId="70D5A1FE" w14:textId="77777777">
      <w:pPr>
        <w:spacing w:after="60" w:line="240" w:lineRule="auto"/>
        <w:jc w:val="both"/>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Home Builders Institute. (2025, May). 2025 Denver study: Closing the construction labor gap in Colorado [Report]. </w:t>
      </w:r>
      <w:hyperlink r:id="rId30">
        <w:r>
          <w:rPr>
            <w:rFonts w:ascii="Calibri" w:hAnsi="Calibri" w:eastAsia="Calibri" w:cs="Calibri"/>
            <w:color w:val="0064A8"/>
            <w:sz w:val="20"/>
            <w:szCs w:val="20"/>
            <w:u w:val="single"/>
          </w:rPr>
          <w:t>https://hbi.org/wp-content/uploads/2025/05/HBI-Denver-Study.pdf</w:t>
        </w:r>
      </w:hyperlink>
    </w:p>
  </w:footnote>
  <w:footnote w:id="37">
    <w:p w:rsidR="00080769" w:rsidRDefault="00080769" w14:paraId="4EB486CE" w14:textId="77777777">
      <w:pPr>
        <w:spacing w:after="60" w:line="240" w:lineRule="auto"/>
        <w:jc w:val="both"/>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Lipp, B. E. (2024, August 15). Construction labor shortages in rural and urban areas: A regional perspective. Federal Reserve Bank of Richmond. </w:t>
      </w:r>
      <w:hyperlink r:id="rId31">
        <w:r>
          <w:rPr>
            <w:rFonts w:ascii="Calibri" w:hAnsi="Calibri" w:eastAsia="Calibri" w:cs="Calibri"/>
            <w:color w:val="0064A8"/>
            <w:sz w:val="20"/>
            <w:szCs w:val="20"/>
            <w:u w:val="single"/>
          </w:rPr>
          <w:t>https://www.richmondfed.org/region_communities/regional_data_analysis/regional_matters/2024/rm_08_15_24_labor_shortages_rural_urban</w:t>
        </w:r>
      </w:hyperlink>
    </w:p>
  </w:footnote>
  <w:footnote w:id="38">
    <w:p w:rsidR="00080769" w:rsidRDefault="00080769" w14:paraId="7EA47EA6" w14:textId="77777777">
      <w:pPr>
        <w:spacing w:after="60" w:line="240" w:lineRule="auto"/>
        <w:jc w:val="both"/>
        <w:rPr>
          <w:color w:val="0064A8"/>
          <w:sz w:val="20"/>
          <w:szCs w:val="20"/>
        </w:rPr>
      </w:pPr>
      <w:r>
        <w:rPr>
          <w:vertAlign w:val="superscript"/>
        </w:rPr>
        <w:footnoteRef/>
      </w:r>
      <w:r>
        <w:rPr>
          <w:rFonts w:ascii="Calibri" w:hAnsi="Calibri" w:eastAsia="Calibri" w:cs="Calibri"/>
          <w:sz w:val="20"/>
          <w:szCs w:val="20"/>
        </w:rPr>
        <w:t xml:space="preserve"> Wong, J. (2023, October 24). The effect of inflation, supply chain disruption, and labor shortages on real estate development. Pepperdine Caruso School of Law. </w:t>
      </w:r>
      <w:hyperlink r:id="rId32">
        <w:r>
          <w:rPr>
            <w:rFonts w:ascii="Calibri" w:hAnsi="Calibri" w:eastAsia="Calibri" w:cs="Calibri"/>
            <w:color w:val="0064A8"/>
            <w:sz w:val="20"/>
            <w:szCs w:val="20"/>
            <w:u w:val="single"/>
          </w:rPr>
          <w:t>https://law.pepperdine.edu/surf-report/posts/effect-inflation-supply-chain-disruption-labor-shortages-real-estate-development-justin-wong.htm</w:t>
        </w:r>
      </w:hyperlink>
    </w:p>
  </w:footnote>
  <w:footnote w:id="39">
    <w:p w:rsidR="00080769" w:rsidRDefault="00080769" w14:paraId="079BA324"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National Association of Home Builders. (2024, July 26). How soaring prices for building materials impact housing.</w:t>
      </w:r>
      <w:hyperlink r:id="rId33">
        <w:r>
          <w:rPr>
            <w:rFonts w:ascii="Calibri" w:hAnsi="Calibri" w:eastAsia="Calibri" w:cs="Calibri"/>
            <w:color w:val="1155CC"/>
            <w:sz w:val="20"/>
            <w:szCs w:val="20"/>
            <w:u w:val="single"/>
          </w:rPr>
          <w:t xml:space="preserve"> </w:t>
        </w:r>
      </w:hyperlink>
      <w:hyperlink r:id="rId34">
        <w:r>
          <w:rPr>
            <w:rFonts w:ascii="Calibri" w:hAnsi="Calibri" w:eastAsia="Calibri" w:cs="Calibri"/>
            <w:color w:val="0064A8"/>
            <w:sz w:val="20"/>
            <w:szCs w:val="20"/>
            <w:u w:val="single"/>
          </w:rPr>
          <w:t>https://www.nahb.org/blog/2024/07/how-soaring-prices-building-materials-impact-housing</w:t>
        </w:r>
      </w:hyperlink>
    </w:p>
  </w:footnote>
  <w:footnote w:id="40">
    <w:p w:rsidR="00080769" w:rsidRDefault="00080769" w14:paraId="78CE40DD"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Yield PRO. (2025, December 11). Construction materials prices rise despite lumber price drop. </w:t>
      </w:r>
      <w:hyperlink r:id="rId35">
        <w:r>
          <w:rPr>
            <w:rFonts w:ascii="Calibri" w:hAnsi="Calibri" w:eastAsia="Calibri" w:cs="Calibri"/>
            <w:color w:val="0064A8"/>
            <w:sz w:val="20"/>
            <w:szCs w:val="20"/>
            <w:u w:val="single"/>
          </w:rPr>
          <w:t>https://yieldpro.com/2025/12/construction-materials-prices-rise-despite-lumber-price-drop/</w:t>
        </w:r>
      </w:hyperlink>
    </w:p>
  </w:footnote>
  <w:footnote w:id="41">
    <w:p w:rsidR="00080769" w:rsidRDefault="00080769" w14:paraId="1B9B659C"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National Association of Home Builders. (n.d.). How tariffs impact home building. </w:t>
      </w:r>
      <w:hyperlink r:id="rId36">
        <w:r>
          <w:rPr>
            <w:rFonts w:ascii="Calibri" w:hAnsi="Calibri" w:eastAsia="Calibri" w:cs="Calibri"/>
            <w:color w:val="0064A8"/>
            <w:sz w:val="20"/>
            <w:szCs w:val="20"/>
            <w:u w:val="single"/>
          </w:rPr>
          <w:t>https://www.nahb.org/advocacy/top-priorities/building-materials-trade-policy/how-tariffs-impact-home-building</w:t>
        </w:r>
      </w:hyperlink>
    </w:p>
  </w:footnote>
  <w:footnote w:id="42">
    <w:p w:rsidR="00080769" w:rsidRDefault="00080769" w14:paraId="3395C6F2" w14:textId="77777777">
      <w:pPr>
        <w:spacing w:after="60" w:line="240" w:lineRule="auto"/>
        <w:rPr>
          <w:rFonts w:ascii="Calibri" w:hAnsi="Calibri" w:eastAsia="Calibri" w:cs="Calibri"/>
          <w:color w:val="0064A8"/>
          <w:sz w:val="20"/>
          <w:szCs w:val="20"/>
          <w:highlight w:val="yellow"/>
        </w:rPr>
      </w:pPr>
      <w:r>
        <w:rPr>
          <w:vertAlign w:val="superscript"/>
        </w:rPr>
        <w:footnoteRef/>
      </w:r>
      <w:r>
        <w:rPr>
          <w:rFonts w:ascii="Calibri" w:hAnsi="Calibri" w:eastAsia="Calibri" w:cs="Calibri"/>
          <w:sz w:val="20"/>
          <w:szCs w:val="20"/>
        </w:rPr>
        <w:t xml:space="preserve"> Cox, L. (2022, June 1). Steel and the construction sector in the United States (Working Paper No. 2022-01). Princeton University, Department of Economics. </w:t>
      </w:r>
      <w:hyperlink r:id="rId37">
        <w:r>
          <w:rPr>
            <w:rFonts w:ascii="Calibri" w:hAnsi="Calibri" w:eastAsia="Calibri" w:cs="Calibri"/>
            <w:color w:val="0064A8"/>
            <w:sz w:val="20"/>
            <w:szCs w:val="20"/>
            <w:u w:val="single"/>
          </w:rPr>
          <w:t>https://economics.princeton.edu/wp-content/uploads/2022/06/cox_steel_20220601.pdf</w:t>
        </w:r>
      </w:hyperlink>
    </w:p>
  </w:footnote>
  <w:footnote w:id="43">
    <w:p w:rsidR="00080769" w:rsidRDefault="00080769" w14:paraId="13FE1160"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Sangameshwar, D. (2025, June 23). Tariffs drive up homeowners insurance costs. Insurance Thought Leadership. </w:t>
      </w:r>
      <w:hyperlink r:id="rId38">
        <w:r>
          <w:rPr>
            <w:rFonts w:ascii="Calibri" w:hAnsi="Calibri" w:eastAsia="Calibri" w:cs="Calibri"/>
            <w:color w:val="0064A8"/>
            <w:sz w:val="20"/>
            <w:szCs w:val="20"/>
            <w:u w:val="single"/>
          </w:rPr>
          <w:t>https://www.insurancethoughtleadership.com/personal-lines/tariffs-drive-homeowners-insurance-costs</w:t>
        </w:r>
      </w:hyperlink>
    </w:p>
  </w:footnote>
  <w:footnote w:id="44">
    <w:p w:rsidR="00080769" w:rsidRDefault="00080769" w14:paraId="14ED5317"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Liu, N., &amp; Ren, S. (2025). Production disruption in supply chain systems: Impacts on consumers, supply chain agents and the society. Annals of Operations Research, 344(2–3), 965–988. </w:t>
      </w:r>
      <w:hyperlink r:id="rId39">
        <w:r>
          <w:rPr>
            <w:rFonts w:ascii="Calibri" w:hAnsi="Calibri" w:eastAsia="Calibri" w:cs="Calibri"/>
            <w:color w:val="0064A8"/>
            <w:sz w:val="20"/>
            <w:szCs w:val="20"/>
            <w:u w:val="single"/>
          </w:rPr>
          <w:t>https://doi.org/10.1007/s10479-023-05782-9</w:t>
        </w:r>
      </w:hyperlink>
    </w:p>
  </w:footnote>
  <w:footnote w:id="45">
    <w:p w:rsidR="00080769" w:rsidRDefault="00080769" w14:paraId="6F994A35"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CBRE. (2022, April). Supply chain disruption. In 2022 U.S. construction cost trends [Report]. Retrieved from </w:t>
      </w:r>
      <w:hyperlink r:id="rId40">
        <w:r>
          <w:rPr>
            <w:rFonts w:ascii="Calibri" w:hAnsi="Calibri" w:eastAsia="Calibri" w:cs="Calibri"/>
            <w:color w:val="0064A8"/>
            <w:sz w:val="20"/>
            <w:szCs w:val="20"/>
            <w:u w:val="single"/>
          </w:rPr>
          <w:t>https://www.cbre.com/insights/books/2022-us-construction-cost-trends/03-supply-chain-disruption</w:t>
        </w:r>
      </w:hyperlink>
    </w:p>
  </w:footnote>
  <w:footnote w:id="46">
    <w:p w:rsidR="00080769" w:rsidRDefault="00080769" w14:paraId="66C0BD93"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Cushman &amp; Wakefield. (2023, March 15). Commodities volatility: The impact on U.S. construction costs and supply chains [Report]. </w:t>
      </w:r>
      <w:hyperlink r:id="rId41">
        <w:r>
          <w:rPr>
            <w:rFonts w:ascii="Calibri" w:hAnsi="Calibri" w:eastAsia="Calibri" w:cs="Calibri"/>
            <w:color w:val="0064A8"/>
            <w:sz w:val="20"/>
            <w:szCs w:val="20"/>
            <w:u w:val="single"/>
          </w:rPr>
          <w:t>https://www.cushmanwakefield.com/en/united-states/insights/commodities-volatility</w:t>
        </w:r>
      </w:hyperlink>
    </w:p>
  </w:footnote>
  <w:footnote w:id="47">
    <w:p w:rsidR="00080769" w:rsidRDefault="00080769" w14:paraId="0B35A704"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Ahmadi Esfahani, N., &amp; Shahandashti, M. (2020). Post-hazard labor wage fluctuations: A comparative empirical analysis among different sub-sectors of the U.S. construction sector. Journal of Financial Management of Property and Construction, 25(3), 313–330. </w:t>
      </w:r>
      <w:hyperlink r:id="rId42">
        <w:r>
          <w:rPr>
            <w:rFonts w:ascii="Calibri" w:hAnsi="Calibri" w:eastAsia="Calibri" w:cs="Calibri"/>
            <w:color w:val="0064A8"/>
            <w:sz w:val="20"/>
            <w:szCs w:val="20"/>
            <w:u w:val="single"/>
          </w:rPr>
          <w:t>https://doi.org/10.1108/JFMPC-07-2019-0063</w:t>
        </w:r>
      </w:hyperlink>
    </w:p>
  </w:footnote>
  <w:footnote w:id="48">
    <w:p w:rsidR="00080769" w:rsidRDefault="00080769" w14:paraId="24550C89" w14:textId="77777777">
      <w:pPr>
        <w:spacing w:after="0" w:line="240" w:lineRule="auto"/>
        <w:rPr>
          <w:color w:val="0064A8"/>
          <w:sz w:val="20"/>
          <w:szCs w:val="20"/>
        </w:rPr>
      </w:pPr>
      <w:r>
        <w:rPr>
          <w:vertAlign w:val="superscript"/>
        </w:rPr>
        <w:footnoteRef/>
      </w:r>
      <w:r>
        <w:rPr>
          <w:sz w:val="20"/>
          <w:szCs w:val="20"/>
        </w:rPr>
        <w:t xml:space="preserve"> </w:t>
      </w:r>
      <w:r>
        <w:rPr>
          <w:rFonts w:ascii="Calibri" w:hAnsi="Calibri" w:eastAsia="Calibri" w:cs="Calibri"/>
          <w:sz w:val="20"/>
          <w:szCs w:val="20"/>
        </w:rPr>
        <w:t xml:space="preserve">Home Innovation Research Labs. (2024, July 2). Estimated costs of the 2024 IRC code changes (Report No. CR1428-07022024). National Association of Home Builders. </w:t>
      </w:r>
      <w:hyperlink r:id="rId43">
        <w:r>
          <w:rPr>
            <w:rFonts w:ascii="Calibri" w:hAnsi="Calibri" w:eastAsia="Calibri" w:cs="Calibri"/>
            <w:color w:val="0064A8"/>
            <w:sz w:val="20"/>
            <w:szCs w:val="20"/>
            <w:u w:val="single"/>
          </w:rPr>
          <w:t>https://www.nahb.org/-/media/NAHB/advocacy/docs/top-priorities/codes/code-adoption/estimated-costs-of-2024-irc-changes.pdf</w:t>
        </w:r>
      </w:hyperlink>
    </w:p>
  </w:footnote>
  <w:footnote w:id="49">
    <w:p w:rsidR="00080769" w:rsidRDefault="00080769" w14:paraId="6DCEB391"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National Association of Home Builders. (n.d.). Estimated costs of building code changes. Retrieved from </w:t>
      </w:r>
      <w:hyperlink r:id="rId44">
        <w:r>
          <w:rPr>
            <w:rFonts w:ascii="Calibri" w:hAnsi="Calibri" w:eastAsia="Calibri" w:cs="Calibri"/>
            <w:color w:val="0064A8"/>
            <w:sz w:val="20"/>
            <w:szCs w:val="20"/>
            <w:u w:val="single"/>
          </w:rPr>
          <w:t>https://www.nahb.org/advocacy/top-priorities/building-codes/construction-codes-standards-research/estimated-costs-of-building-code-changes</w:t>
        </w:r>
      </w:hyperlink>
    </w:p>
  </w:footnote>
  <w:footnote w:id="50">
    <w:p w:rsidR="00080769" w:rsidRDefault="00080769" w14:paraId="2DCBACAD"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Federal Emergency Management Agency. (2025, April). Building codes save: A nationwide study of loss prevention [Report]. U.S. Department of Homeland Security. </w:t>
      </w:r>
      <w:r>
        <w:rPr>
          <w:rFonts w:ascii="Calibri" w:hAnsi="Calibri" w:eastAsia="Calibri" w:cs="Calibri"/>
          <w:color w:val="0064A8"/>
          <w:sz w:val="20"/>
          <w:szCs w:val="20"/>
          <w:u w:val="single"/>
        </w:rPr>
        <w:t>https://www.fema.gov/sites/default/files/documents/fema_rsl_building-codes-save-study_042025.pdf</w:t>
      </w:r>
    </w:p>
  </w:footnote>
  <w:footnote w:id="51">
    <w:p w:rsidR="00080769" w:rsidRDefault="00080769" w14:paraId="79AC2B02"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Done, J. M., Simmons, K. M., &amp; Czajkowski, J. (2018). Relationship between residential losses and hurricane winds: Role of the Florida building code. ASCE-ASME Journal of Risk and Uncertainty in Engineering Systems, Part A: Civil Engineering, 4(1), 04018001. </w:t>
      </w:r>
      <w:hyperlink r:id="rId45">
        <w:r>
          <w:rPr>
            <w:rFonts w:ascii="Calibri" w:hAnsi="Calibri" w:eastAsia="Calibri" w:cs="Calibri"/>
            <w:color w:val="0064A8"/>
            <w:sz w:val="20"/>
            <w:szCs w:val="20"/>
            <w:u w:val="single"/>
          </w:rPr>
          <w:t>https://doi.org/10.1061/AJRUA6.0000947</w:t>
        </w:r>
      </w:hyperlink>
    </w:p>
  </w:footnote>
  <w:footnote w:id="52">
    <w:p w:rsidR="00080769" w:rsidRDefault="00080769" w14:paraId="5CFAD47A"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National Institute of Building Sciences. (2019). Mitigation saves 2019: Mitigation code provisions edition [Report]. </w:t>
      </w:r>
      <w:hyperlink r:id="rId46">
        <w:r>
          <w:rPr>
            <w:rFonts w:ascii="Calibri" w:hAnsi="Calibri" w:eastAsia="Calibri" w:cs="Calibri"/>
            <w:color w:val="0064A8"/>
            <w:sz w:val="20"/>
            <w:szCs w:val="20"/>
            <w:u w:val="single"/>
          </w:rPr>
          <w:t>https://nibs.org/wp-content/uploads/2025/04/NIBS_MMC_MitigationSaves_2019.pdf</w:t>
        </w:r>
      </w:hyperlink>
    </w:p>
  </w:footnote>
  <w:footnote w:id="53">
    <w:p w:rsidR="00080769" w:rsidRDefault="00080769" w14:paraId="1DB623C4"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Insurance Institute for Business &amp; Home Safety. (2024). Rating the states 2024: An assessment of residential building code and enforcement systems [Report]. </w:t>
      </w:r>
      <w:hyperlink r:id="rId47">
        <w:r>
          <w:rPr>
            <w:rFonts w:ascii="Calibri" w:hAnsi="Calibri" w:eastAsia="Calibri" w:cs="Calibri"/>
            <w:color w:val="0064A8"/>
            <w:sz w:val="20"/>
            <w:szCs w:val="20"/>
            <w:u w:val="single"/>
          </w:rPr>
          <w:t>https://ibhs1.wpenginepowered.com/wp-content/uploads/RTS_2024_v2.pdf</w:t>
        </w:r>
      </w:hyperlink>
    </w:p>
  </w:footnote>
  <w:footnote w:id="54">
    <w:p w:rsidR="00080769" w:rsidRDefault="00080769" w14:paraId="6F86C8B4"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U.S. Department of Housing and Urban Development. (n.d.). Resilient Building Codes Toolkit (Narrative) [Report]. HUD Exchange.</w:t>
      </w:r>
      <w:r>
        <w:rPr>
          <w:rFonts w:ascii="Calibri" w:hAnsi="Calibri" w:eastAsia="Calibri" w:cs="Calibri"/>
          <w:color w:val="0064A8"/>
          <w:sz w:val="20"/>
          <w:szCs w:val="20"/>
        </w:rPr>
        <w:t xml:space="preserve"> </w:t>
      </w:r>
      <w:hyperlink r:id="rId48">
        <w:r>
          <w:rPr>
            <w:rFonts w:ascii="Calibri" w:hAnsi="Calibri" w:eastAsia="Calibri" w:cs="Calibri"/>
            <w:color w:val="0064A8"/>
            <w:sz w:val="20"/>
            <w:szCs w:val="20"/>
            <w:u w:val="single"/>
          </w:rPr>
          <w:t>https://files.hudexchange.info/resources/documents/Resilient-Building-Codes-Narrative.pdf</w:t>
        </w:r>
      </w:hyperlink>
    </w:p>
  </w:footnote>
  <w:footnote w:id="55">
    <w:p w:rsidR="00080769" w:rsidRDefault="00080769" w14:paraId="20CE8B91" w14:textId="77777777">
      <w:pPr>
        <w:spacing w:after="60" w:line="240" w:lineRule="auto"/>
        <w:rPr>
          <w:color w:val="0064A8"/>
          <w:sz w:val="20"/>
          <w:szCs w:val="20"/>
        </w:rPr>
      </w:pPr>
      <w:r>
        <w:rPr>
          <w:vertAlign w:val="superscript"/>
        </w:rPr>
        <w:footnoteRef/>
      </w:r>
      <w:r>
        <w:rPr>
          <w:rFonts w:ascii="Calibri" w:hAnsi="Calibri" w:eastAsia="Calibri" w:cs="Calibri"/>
          <w:sz w:val="20"/>
          <w:szCs w:val="20"/>
        </w:rPr>
        <w:t xml:space="preserve"> Powell, L. (Director). (2025). An analysis of the performance of IBHS FORTIFIED home construction during Hurricane Sally [Report]. Center for Risk and Insurance Research (CRIR), Culverhouse College of Business, The University of Alabama. </w:t>
      </w:r>
      <w:hyperlink r:id="rId49">
        <w:r>
          <w:rPr>
            <w:rFonts w:ascii="Calibri" w:hAnsi="Calibri" w:eastAsia="Calibri" w:cs="Calibri"/>
            <w:color w:val="0064A8"/>
            <w:sz w:val="20"/>
            <w:szCs w:val="20"/>
            <w:u w:val="single"/>
          </w:rPr>
          <w:t>https://aldoi.gov/PDF/News/PerformanceIBHSFortifiedHomeConstructionHurricaneSally.pdf</w:t>
        </w:r>
      </w:hyperlink>
    </w:p>
  </w:footnote>
  <w:footnote w:id="56">
    <w:p w:rsidR="00080769" w:rsidRDefault="00080769" w14:paraId="2ECCFBFD"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Verisk. (2014, Summer). The role of building codes in reducing natural disaster property losses: Hailstorms in Missouri. ISO Mitigation Advantage Newsletter. </w:t>
      </w:r>
      <w:hyperlink r:id="rId50">
        <w:r>
          <w:rPr>
            <w:rFonts w:ascii="Calibri" w:hAnsi="Calibri" w:eastAsia="Calibri" w:cs="Calibri"/>
            <w:color w:val="0064A8"/>
            <w:sz w:val="20"/>
            <w:szCs w:val="20"/>
            <w:u w:val="single"/>
          </w:rPr>
          <w:t>https://www.isomitigation.com/newsletter/summer-2014/the-role-of-building-codes-in-reducing-natural-disaster-property-losses-hailstorms-in-missouri/</w:t>
        </w:r>
      </w:hyperlink>
    </w:p>
  </w:footnote>
  <w:footnote w:id="57">
    <w:p w:rsidR="00080769" w:rsidP="000C6E14" w:rsidRDefault="00080769" w14:paraId="08EBE93D"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https://www.insurancejournal.com/blogs/iat/2025/03/21/813836.htm</w:t>
      </w:r>
    </w:p>
  </w:footnote>
  <w:footnote w:id="58">
    <w:p w:rsidR="00080769" w:rsidRDefault="00080769" w14:paraId="5D5F71D8"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Insurance Business Magazine. (2025, February 5). Excessive lawsuits driving up insurance premiums for US policyholders [News article]. </w:t>
      </w:r>
      <w:hyperlink r:id="rId51">
        <w:r>
          <w:rPr>
            <w:rFonts w:ascii="Calibri" w:hAnsi="Calibri" w:eastAsia="Calibri" w:cs="Calibri"/>
            <w:color w:val="0064A8"/>
            <w:sz w:val="20"/>
            <w:szCs w:val="20"/>
            <w:u w:val="single"/>
          </w:rPr>
          <w:t>https://www.insurancebusinessmag.com/us/news/breaking-news/excessive-lawsuits-driving-up-insurance-premiums-for-us-policyholders-558342.aspx</w:t>
        </w:r>
      </w:hyperlink>
    </w:p>
  </w:footnote>
  <w:footnote w:id="59">
    <w:p w:rsidR="00080769" w:rsidRDefault="00080769" w14:paraId="319F5D83" w14:textId="03074BC1">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Milliman. (2025, August 18). How recent tort reforms are shaping insurance claims [White Paper]. </w:t>
      </w:r>
      <w:hyperlink r:id="rId52">
        <w:r>
          <w:rPr>
            <w:rFonts w:ascii="Calibri" w:hAnsi="Calibri" w:eastAsia="Calibri" w:cs="Calibri"/>
            <w:color w:val="0064A8"/>
            <w:sz w:val="20"/>
            <w:szCs w:val="20"/>
            <w:u w:val="single"/>
          </w:rPr>
          <w:t>https://www.milliman.com/en/insight/how-tort-reforms-shaping-insurance-claims-florida-georgia</w:t>
        </w:r>
      </w:hyperlink>
    </w:p>
  </w:footnote>
  <w:footnote w:id="60">
    <w:p w:rsidR="00080769" w:rsidRDefault="00080769" w14:paraId="49D32F99"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Insurance Information Institute. (2019, March). Florida's assignment of benefits crisis: Runaway litigation is spreading, and consumers are paying the price [White paper]. </w:t>
      </w:r>
      <w:hyperlink r:id="rId53">
        <w:r>
          <w:rPr>
            <w:rFonts w:ascii="Calibri" w:hAnsi="Calibri" w:eastAsia="Calibri" w:cs="Calibri"/>
            <w:color w:val="0064A8"/>
            <w:sz w:val="20"/>
            <w:szCs w:val="20"/>
            <w:u w:val="single"/>
          </w:rPr>
          <w:t>https://www.iii.org/sites/default/files/docs/pdf/aobfl_wp_031319.pdf</w:t>
        </w:r>
      </w:hyperlink>
    </w:p>
  </w:footnote>
  <w:footnote w:id="61">
    <w:p w:rsidR="00080769" w:rsidRDefault="00080769" w14:paraId="45D5E596"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Florida Office of Insurance Regulation. (2016, February 8). Assignment of benefits (AOB) data call report (Data Call Report No. P15-088). </w:t>
      </w:r>
      <w:hyperlink r:id="rId54">
        <w:r>
          <w:rPr>
            <w:rFonts w:ascii="Calibri" w:hAnsi="Calibri" w:eastAsia="Calibri" w:cs="Calibri"/>
            <w:color w:val="0064A8"/>
            <w:sz w:val="20"/>
            <w:szCs w:val="20"/>
            <w:u w:val="single"/>
          </w:rPr>
          <w:t>https://floir.gov/docs-sf/default-source/property-and-casualty/assignmentbenefitsdatacallreport02082016.pdf</w:t>
        </w:r>
      </w:hyperlink>
    </w:p>
  </w:footnote>
  <w:footnote w:id="62">
    <w:p w:rsidR="00080769" w:rsidRDefault="00080769" w14:paraId="39D57FA3"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Florida Office of Insurance Regulation. (2017, December 1). Assignment of benefits (AOB) data call report (Data Call Report No. P16-093). </w:t>
      </w:r>
      <w:hyperlink r:id="rId55">
        <w:r>
          <w:rPr>
            <w:rFonts w:ascii="Calibri" w:hAnsi="Calibri" w:eastAsia="Calibri" w:cs="Calibri"/>
            <w:color w:val="0064A8"/>
            <w:sz w:val="20"/>
            <w:szCs w:val="20"/>
            <w:u w:val="single"/>
          </w:rPr>
          <w:t>https://floir.gov/docs-sf/default-source/property-and-casualty/assignmentbenefitsdatacallreport02082017.pdf</w:t>
        </w:r>
      </w:hyperlink>
    </w:p>
  </w:footnote>
  <w:footnote w:id="63">
    <w:p w:rsidR="00080769" w:rsidRDefault="00080769" w14:paraId="4E8E6961" w14:textId="60DBF5D5">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Journal of Insurance Regulation. (2023). </w:t>
      </w:r>
      <w:r w:rsidRPr="00B708CA">
        <w:rPr>
          <w:rFonts w:ascii="Calibri" w:hAnsi="Calibri" w:eastAsia="Calibri" w:cs="Calibri"/>
          <w:sz w:val="20"/>
          <w:szCs w:val="20"/>
        </w:rPr>
        <w:t>The Case for Pausing Any Immediate Embrace of the Social Inflation Argument for Legal System Reforms</w:t>
      </w:r>
      <w:r>
        <w:rPr>
          <w:rFonts w:ascii="Calibri" w:hAnsi="Calibri" w:eastAsia="Calibri" w:cs="Calibri"/>
          <w:sz w:val="20"/>
          <w:szCs w:val="20"/>
        </w:rPr>
        <w:t xml:space="preserve">. </w:t>
      </w:r>
      <w:hyperlink w:history="1" r:id="rId56">
        <w:r w:rsidRPr="00997131">
          <w:rPr>
            <w:rStyle w:val="Hyperlink"/>
            <w:rFonts w:ascii="Calibri" w:hAnsi="Calibri" w:eastAsia="Calibri" w:cs="Calibri"/>
            <w:sz w:val="20"/>
            <w:szCs w:val="20"/>
          </w:rPr>
          <w:t>https://naic.soutronglobal.net/Portal/Public/en-us/RecordView/Index/26576</w:t>
        </w:r>
      </w:hyperlink>
      <w:r>
        <w:rPr>
          <w:rFonts w:ascii="Calibri" w:hAnsi="Calibri" w:eastAsia="Calibri" w:cs="Calibri"/>
          <w:sz w:val="20"/>
          <w:szCs w:val="20"/>
        </w:rPr>
        <w:t xml:space="preserve"> </w:t>
      </w:r>
    </w:p>
  </w:footnote>
  <w:footnote w:id="64">
    <w:p w:rsidR="00080769" w:rsidRDefault="00080769" w14:paraId="486D8DEC" w14:textId="77777777">
      <w:pPr>
        <w:spacing w:after="6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See eg </w:t>
      </w:r>
      <w:hyperlink r:id="rId57">
        <w:r>
          <w:rPr>
            <w:rFonts w:ascii="Calibri" w:hAnsi="Calibri" w:eastAsia="Calibri" w:cs="Calibri"/>
            <w:color w:val="0064A8"/>
            <w:sz w:val="20"/>
            <w:szCs w:val="20"/>
            <w:u w:val="single"/>
          </w:rPr>
          <w:t>https://programbusiness.com/news/minnesota-hoa-communities-grapple-with-soaring-property-insurance-costs/</w:t>
        </w:r>
      </w:hyperlink>
      <w:r>
        <w:rPr>
          <w:rFonts w:ascii="Calibri" w:hAnsi="Calibri" w:eastAsia="Calibri" w:cs="Calibri"/>
          <w:color w:val="0064A8"/>
          <w:sz w:val="20"/>
          <w:szCs w:val="20"/>
        </w:rPr>
        <w:t xml:space="preserve"> </w:t>
      </w:r>
      <w:r>
        <w:rPr>
          <w:rFonts w:ascii="Calibri" w:hAnsi="Calibri" w:eastAsia="Calibri" w:cs="Calibri"/>
          <w:sz w:val="20"/>
          <w:szCs w:val="20"/>
        </w:rPr>
        <w:t xml:space="preserve">(MN), </w:t>
      </w:r>
      <w:hyperlink r:id="rId58">
        <w:r>
          <w:rPr>
            <w:rFonts w:ascii="Calibri" w:hAnsi="Calibri" w:eastAsia="Calibri" w:cs="Calibri"/>
            <w:color w:val="0064A8"/>
            <w:sz w:val="20"/>
            <w:szCs w:val="20"/>
            <w:u w:val="single"/>
          </w:rPr>
          <w:t>https://www.worldpropertyjournal.com/real-estate-news/united-states/miami-real-estate-news/real-estate-news-florida-housing-market-problems-in-2025-cotality-florida-housing-market-data-selma-hepp-is-florida-becoming-the-next-california-flori-14426.php</w:t>
        </w:r>
      </w:hyperlink>
      <w:r>
        <w:rPr>
          <w:rFonts w:ascii="Calibri" w:hAnsi="Calibri" w:eastAsia="Calibri" w:cs="Calibri"/>
          <w:sz w:val="20"/>
          <w:szCs w:val="20"/>
        </w:rPr>
        <w:t xml:space="preserve"> (FL), </w:t>
      </w:r>
      <w:hyperlink r:id="rId59">
        <w:r>
          <w:rPr>
            <w:rFonts w:ascii="Calibri" w:hAnsi="Calibri" w:eastAsia="Calibri" w:cs="Calibri"/>
            <w:color w:val="0064A8"/>
            <w:sz w:val="20"/>
            <w:szCs w:val="20"/>
            <w:u w:val="single"/>
          </w:rPr>
          <w:t>https://www.hawaiibusiness.com/hawaii-condo-insurance-market-challenges-crisis/</w:t>
        </w:r>
      </w:hyperlink>
      <w:r>
        <w:rPr>
          <w:rFonts w:ascii="Calibri" w:hAnsi="Calibri" w:eastAsia="Calibri" w:cs="Calibri"/>
          <w:color w:val="0064A8"/>
          <w:sz w:val="20"/>
          <w:szCs w:val="20"/>
        </w:rPr>
        <w:t xml:space="preserve"> </w:t>
      </w:r>
      <w:r>
        <w:rPr>
          <w:rFonts w:ascii="Calibri" w:hAnsi="Calibri" w:eastAsia="Calibri" w:cs="Calibri"/>
          <w:sz w:val="20"/>
          <w:szCs w:val="20"/>
        </w:rPr>
        <w:t xml:space="preserve">(HI), </w:t>
      </w:r>
      <w:hyperlink r:id="rId60">
        <w:r>
          <w:rPr>
            <w:rFonts w:ascii="Calibri" w:hAnsi="Calibri" w:eastAsia="Calibri" w:cs="Calibri"/>
            <w:color w:val="0064A8"/>
            <w:sz w:val="20"/>
            <w:szCs w:val="20"/>
            <w:u w:val="single"/>
          </w:rPr>
          <w:t>https://www.summitdaily.com/news/summit-county-colorado-hoa-fees-increase-homeowner-insurance/</w:t>
        </w:r>
      </w:hyperlink>
      <w:r>
        <w:rPr>
          <w:rFonts w:ascii="Calibri" w:hAnsi="Calibri" w:eastAsia="Calibri" w:cs="Calibri"/>
          <w:sz w:val="20"/>
          <w:szCs w:val="20"/>
        </w:rPr>
        <w:t xml:space="preserve"> (CO)</w:t>
      </w:r>
    </w:p>
  </w:footnote>
  <w:footnote w:id="65">
    <w:p w:rsidR="00080769" w:rsidRDefault="00080769" w14:paraId="2DEA6EDA" w14:textId="77777777">
      <w:pP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HOA Resources: HOAs Report Big Challenges with Rising Insurance Premiums (N.D.). </w:t>
      </w:r>
      <w:hyperlink r:id="rId61">
        <w:r>
          <w:rPr>
            <w:rFonts w:ascii="Calibri" w:hAnsi="Calibri" w:eastAsia="Calibri" w:cs="Calibri"/>
            <w:color w:val="0064A8"/>
            <w:sz w:val="20"/>
            <w:szCs w:val="20"/>
            <w:u w:val="single"/>
          </w:rPr>
          <w:t>https://hoaresources.caionline.org/hoas-report-big-challenges-with-rising-insurance-premiums/</w:t>
        </w:r>
      </w:hyperlink>
    </w:p>
  </w:footnote>
  <w:footnote w:id="66">
    <w:p w:rsidR="00EF1A3F" w:rsidP="00EF1A3F" w:rsidRDefault="00EF1A3F" w14:paraId="7AD8D99E"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2021 NAIC Market Share Reports for Property/Casualty Groups and Companies by State and Countrywide (p.7), and the 2024 NAIC Market Share Reports for Property/Casualty Groups and Companies by State and Countrywide (p.7).</w:t>
      </w:r>
    </w:p>
  </w:footnote>
  <w:footnote w:id="67">
    <w:p w:rsidR="00080769" w:rsidRDefault="00080769" w14:paraId="6C5CF3CE" w14:textId="77777777">
      <w:pPr>
        <w:pBdr>
          <w:top w:val="nil"/>
          <w:left w:val="nil"/>
          <w:bottom w:val="nil"/>
          <w:right w:val="nil"/>
          <w:between w:val="nil"/>
        </w:pBd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64A8"/>
          <w:sz w:val="20"/>
          <w:szCs w:val="20"/>
        </w:rPr>
        <w:t xml:space="preserve"> </w:t>
      </w:r>
      <w:hyperlink r:id="rId62">
        <w:r>
          <w:rPr>
            <w:rFonts w:ascii="Calibri" w:hAnsi="Calibri" w:eastAsia="Calibri" w:cs="Calibri"/>
            <w:color w:val="0064A8"/>
            <w:sz w:val="20"/>
            <w:szCs w:val="20"/>
            <w:u w:val="single"/>
          </w:rPr>
          <w:t>NAIC 2022 Homeowners Report</w:t>
        </w:r>
      </w:hyperlink>
    </w:p>
  </w:footnote>
  <w:footnote w:id="68">
    <w:p w:rsidR="00080769" w:rsidRDefault="00080769" w14:paraId="450211CF" w14:textId="77777777">
      <w:pPr>
        <w:pBdr>
          <w:top w:val="nil"/>
          <w:left w:val="nil"/>
          <w:bottom w:val="nil"/>
          <w:right w:val="nil"/>
          <w:between w:val="nil"/>
        </w:pBd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0000"/>
          <w:sz w:val="20"/>
          <w:szCs w:val="20"/>
        </w:rPr>
        <w:t xml:space="preserve"> 2024 P&amp;C Report, p. 5; 2025 Residual Markets Event, p. 9; sigma 1/2025: Natural catastrophes: insured losses on trend to USD 145 billion in 2025: </w:t>
      </w:r>
      <w:hyperlink r:id="rId63">
        <w:r>
          <w:rPr>
            <w:rFonts w:ascii="Calibri" w:hAnsi="Calibri" w:eastAsia="Calibri" w:cs="Calibri"/>
            <w:color w:val="0064A8"/>
            <w:sz w:val="20"/>
            <w:szCs w:val="20"/>
            <w:u w:val="single"/>
          </w:rPr>
          <w:t>https://www.swissre.com/institute/research/sigma-research/sigma-2025-01-natural-catastrophes-trend.html</w:t>
        </w:r>
      </w:hyperlink>
    </w:p>
  </w:footnote>
  <w:footnote w:id="69">
    <w:p w:rsidR="00080769" w:rsidRDefault="00080769" w14:paraId="7B72024B"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Mockrin, Miranda, Barbara McGuinness, David Helmers, and Volker Radeloff. 2023.</w:t>
      </w:r>
      <w:r>
        <w:rPr>
          <w:rFonts w:ascii="Calibri" w:hAnsi="Calibri" w:eastAsia="Calibri" w:cs="Calibri"/>
          <w:color w:val="0064A8"/>
          <w:sz w:val="20"/>
          <w:szCs w:val="20"/>
        </w:rPr>
        <w:t xml:space="preserve"> </w:t>
      </w:r>
      <w:hyperlink r:id="rId64">
        <w:r>
          <w:rPr>
            <w:rFonts w:ascii="Calibri" w:hAnsi="Calibri" w:eastAsia="Calibri" w:cs="Calibri"/>
            <w:i/>
            <w:iCs/>
            <w:color w:val="0064A8"/>
            <w:sz w:val="20"/>
            <w:szCs w:val="20"/>
            <w:u w:val="single"/>
          </w:rPr>
          <w:t>Understanding the Wildland-Urban Interface (1990–2020)</w:t>
        </w:r>
      </w:hyperlink>
      <w:r>
        <w:rPr>
          <w:rFonts w:ascii="Calibri" w:hAnsi="Calibri" w:eastAsia="Calibri" w:cs="Calibri"/>
          <w:color w:val="000000"/>
          <w:sz w:val="20"/>
          <w:szCs w:val="20"/>
        </w:rPr>
        <w:t>. Madison, WI: U.S. Department of Agriculture, Forest Service, Northern Research Station.</w:t>
      </w:r>
    </w:p>
  </w:footnote>
  <w:footnote w:id="70">
    <w:p w:rsidR="00080769" w:rsidRDefault="00080769" w14:paraId="104C8D70"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Insurance Affordability Summer 2024 National Meeting (NAIC CIPR, 2024), pp. 9–11.</w:t>
      </w:r>
    </w:p>
  </w:footnote>
  <w:footnote w:id="71">
    <w:p w:rsidR="00080769" w:rsidRDefault="00080769" w14:paraId="63DACAE4"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CIPR Spring Event: Residual Property Markets (NAIC, March 2025), pp. 11–15.</w:t>
      </w:r>
    </w:p>
  </w:footnote>
  <w:footnote w:id="72">
    <w:p w:rsidR="00080769" w:rsidRDefault="00080769" w14:paraId="5BA6786C"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2023 Annual Property &amp; Casualty Insurance Industry Report (NAIC, 2024), p. 5; 2024 Annual Property &amp; Casualty Insurance Industry Report (NAIC, 2025), p. 5.</w:t>
      </w:r>
    </w:p>
  </w:footnote>
  <w:footnote w:id="73">
    <w:p w:rsidR="00080769" w:rsidRDefault="00080769" w14:paraId="1C66C125"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CIPR Spring Event: Residual Property Markets (NAIC, March 2025), p. 11.</w:t>
      </w:r>
    </w:p>
  </w:footnote>
  <w:footnote w:id="74">
    <w:p w:rsidR="00080769" w:rsidRDefault="00080769" w14:paraId="2D0C7039" w14:textId="77777777">
      <w:pPr>
        <w:pBdr>
          <w:top w:val="nil"/>
          <w:left w:val="nil"/>
          <w:bottom w:val="nil"/>
          <w:right w:val="nil"/>
          <w:between w:val="nil"/>
        </w:pBdr>
        <w:spacing w:after="60" w:line="240" w:lineRule="auto"/>
        <w:rPr>
          <w:color w:val="000000"/>
          <w:sz w:val="20"/>
          <w:szCs w:val="20"/>
        </w:rPr>
      </w:pPr>
      <w:r>
        <w:rPr>
          <w:vertAlign w:val="superscript"/>
        </w:rPr>
        <w:footnoteRef/>
      </w:r>
      <w:r>
        <w:rPr>
          <w:rFonts w:ascii="Calibri" w:hAnsi="Calibri" w:eastAsia="Calibri" w:cs="Calibri"/>
          <w:color w:val="000000"/>
          <w:sz w:val="20"/>
          <w:szCs w:val="20"/>
        </w:rPr>
        <w:t xml:space="preserve"> Financial Constraints and Insurer Behavior: CIPR Research Fellows Talk (2024), pp. 3–7; CIPR Spring Event: Residual Property Markets (2025), p. 9.</w:t>
      </w:r>
    </w:p>
  </w:footnote>
  <w:footnote w:id="75">
    <w:p w:rsidR="00080769" w:rsidRDefault="00080769" w14:paraId="513A14FF"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NAIC Annual Report: Advancing Insurance Regulation (2024), pp. 7–9; Climate Resiliency Resource Report (NAIC, 2021), pp. 5–7.</w:t>
      </w:r>
    </w:p>
  </w:footnote>
  <w:footnote w:id="76">
    <w:p w:rsidR="00080769" w:rsidRDefault="00080769" w14:paraId="3C444FC1"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2023 Annual Property &amp; Casualty Insurance Industries Analysis Report; 2025 NAIC Annual Report (Advancing Insurance Regulation)(p. 1); 2025 NAIC Annual Report (Advancing Insurance Regulation)(p. 8).</w:t>
      </w:r>
    </w:p>
  </w:footnote>
  <w:footnote w:id="77">
    <w:p w:rsidR="00080769" w:rsidRDefault="00080769" w14:paraId="23B48624"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2023 Annual Property &amp; Casualty Insurance Industries Analysis Report (pp. 1, 5-6).</w:t>
      </w:r>
    </w:p>
  </w:footnote>
  <w:footnote w:id="78">
    <w:p w:rsidR="00080769" w:rsidRDefault="00080769" w14:paraId="5F8AE38D"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2025 NAIC Annual Report (Advancing Insurance Regulation)(p.2); 2024 Annual Property &amp; Casualty Insurance Industries Analysis Report (p.4).</w:t>
      </w:r>
    </w:p>
  </w:footnote>
  <w:footnote w:id="79">
    <w:p w:rsidR="00080769" w:rsidRDefault="00080769" w14:paraId="6E487535"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2024 Annual Property &amp; Casualty Insurance Industries Analysis Report (p. 1, p. 5).</w:t>
      </w:r>
    </w:p>
  </w:footnote>
  <w:footnote w:id="80">
    <w:p w:rsidR="00080769" w:rsidRDefault="00080769" w14:paraId="6CC55C0D" w14:textId="77777777">
      <w:pPr>
        <w:pBdr>
          <w:top w:val="nil"/>
          <w:left w:val="nil"/>
          <w:bottom w:val="nil"/>
          <w:right w:val="nil"/>
          <w:between w:val="nil"/>
        </w:pBdr>
        <w:spacing w:after="60" w:line="240" w:lineRule="auto"/>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2023 Annual Property &amp; Casualty Insurance Industries Analysis Report (p.5); 2024 Mid-Year P&amp;C and Title Insurance Industry Report (p.5).</w:t>
      </w:r>
    </w:p>
  </w:footnote>
  <w:footnote w:id="81">
    <w:p w:rsidR="00080769" w:rsidRDefault="00080769" w14:paraId="6A694AD8" w14:textId="77777777">
      <w:pPr>
        <w:pBdr>
          <w:top w:val="nil"/>
          <w:left w:val="nil"/>
          <w:bottom w:val="nil"/>
          <w:right w:val="nil"/>
          <w:between w:val="nil"/>
        </w:pBdr>
        <w:spacing w:after="60" w:line="240" w:lineRule="auto"/>
        <w:rPr>
          <w:rFonts w:ascii="Times New Roman" w:hAnsi="Times New Roman" w:eastAsia="Times New Roman" w:cs="Times New Roman"/>
          <w:color w:val="000000"/>
          <w:sz w:val="20"/>
          <w:szCs w:val="20"/>
        </w:rPr>
      </w:pPr>
      <w:r>
        <w:rPr>
          <w:vertAlign w:val="superscript"/>
        </w:rPr>
        <w:footnoteRef/>
      </w:r>
      <w:r>
        <w:rPr>
          <w:rFonts w:ascii="Calibri" w:hAnsi="Calibri" w:eastAsia="Calibri" w:cs="Calibri"/>
          <w:color w:val="000000"/>
          <w:sz w:val="20"/>
          <w:szCs w:val="20"/>
        </w:rPr>
        <w:t xml:space="preserve"> Insurance Affordability Summer 2024 NAIC Meeting Presentation (p. 9-11).</w:t>
      </w:r>
    </w:p>
  </w:footnote>
  <w:footnote w:id="82">
    <w:p w:rsidR="00080769" w:rsidRDefault="00080769" w14:paraId="64691E80" w14:textId="77777777">
      <w:pPr>
        <w:pBdr>
          <w:top w:val="nil"/>
          <w:left w:val="nil"/>
          <w:bottom w:val="nil"/>
          <w:right w:val="nil"/>
          <w:between w:val="nil"/>
        </w:pBdr>
        <w:spacing w:after="6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64A8"/>
          <w:sz w:val="20"/>
          <w:szCs w:val="20"/>
        </w:rPr>
        <w:t xml:space="preserve"> </w:t>
      </w:r>
      <w:hyperlink r:id="rId65">
        <w:r>
          <w:rPr>
            <w:rFonts w:ascii="Calibri" w:hAnsi="Calibri" w:eastAsia="Calibri" w:cs="Calibri"/>
            <w:color w:val="0064A8"/>
            <w:sz w:val="20"/>
            <w:szCs w:val="20"/>
            <w:u w:val="single"/>
          </w:rPr>
          <w:t>2020 CA One Year Survey Report</w:t>
        </w:r>
      </w:hyperlink>
    </w:p>
  </w:footnote>
  <w:footnote w:id="83">
    <w:p w:rsidR="00080769" w:rsidRDefault="00080769" w14:paraId="2FC41321" w14:textId="77777777">
      <w:pPr>
        <w:pBdr>
          <w:top w:val="nil"/>
          <w:left w:val="nil"/>
          <w:bottom w:val="nil"/>
          <w:right w:val="nil"/>
          <w:between w:val="nil"/>
        </w:pBdr>
        <w:spacing w:after="60" w:line="240" w:lineRule="auto"/>
        <w:rPr>
          <w:rFonts w:ascii="Times New Roman" w:hAnsi="Times New Roman" w:eastAsia="Times New Roman" w:cs="Times New Roman"/>
          <w:color w:val="0064A8"/>
          <w:sz w:val="20"/>
          <w:szCs w:val="20"/>
        </w:rPr>
      </w:pPr>
      <w:r>
        <w:rPr>
          <w:vertAlign w:val="superscript"/>
        </w:rPr>
        <w:footnoteRef/>
      </w:r>
      <w:r>
        <w:rPr>
          <w:rFonts w:ascii="Calibri" w:hAnsi="Calibri" w:eastAsia="Calibri" w:cs="Calibri"/>
          <w:color w:val="0064A8"/>
          <w:sz w:val="20"/>
          <w:szCs w:val="20"/>
        </w:rPr>
        <w:t xml:space="preserve"> </w:t>
      </w:r>
      <w:hyperlink r:id="rId66">
        <w:r>
          <w:rPr>
            <w:rFonts w:ascii="Calibri" w:hAnsi="Calibri" w:eastAsia="Calibri" w:cs="Calibri"/>
            <w:color w:val="0064A8"/>
            <w:sz w:val="20"/>
            <w:szCs w:val="20"/>
            <w:u w:val="single"/>
          </w:rPr>
          <w:t>The Impact of Changing Wildfire Risks on California's Residential Insurance Market</w:t>
        </w:r>
      </w:hyperlink>
    </w:p>
  </w:footnote>
  <w:footnote w:id="84">
    <w:p w:rsidRPr="006F601B" w:rsidR="009C61F6" w:rsidP="009C61F6" w:rsidRDefault="009C61F6" w14:paraId="12CAF43B" w14:textId="77777777">
      <w:pPr>
        <w:pStyle w:val="FootnoteText"/>
      </w:pPr>
      <w:r>
        <w:rPr>
          <w:rStyle w:val="FootnoteReference"/>
        </w:rPr>
        <w:footnoteRef/>
      </w:r>
      <w:r>
        <w:t xml:space="preserve"> NAIC Back to Insurance Topics: Fair Access to Insurance Requirements Plans (</w:t>
      </w:r>
      <w:hyperlink w:history="1" r:id="rId67">
        <w:r w:rsidRPr="001B40B9">
          <w:rPr>
            <w:rStyle w:val="Hyperlink"/>
          </w:rPr>
          <w:t>https://content.naic.org/insurance-topics/fair-access-to-insurance-requirements-plans</w:t>
        </w:r>
      </w:hyperlink>
      <w:r>
        <w:t>, accessed March 4, 2026).</w:t>
      </w:r>
    </w:p>
  </w:footnote>
  <w:footnote w:id="85">
    <w:p w:rsidRPr="006F601B" w:rsidR="009C61F6" w:rsidP="009C61F6" w:rsidRDefault="009C61F6" w14:paraId="0F0846AA" w14:textId="77777777">
      <w:pPr>
        <w:pStyle w:val="FootnoteText"/>
      </w:pPr>
      <w:r>
        <w:rPr>
          <w:rStyle w:val="FootnoteReference"/>
        </w:rPr>
        <w:footnoteRef/>
      </w:r>
      <w:r>
        <w:t xml:space="preserve"> </w:t>
      </w:r>
      <w:r w:rsidRPr="001D3F59">
        <w:t>California Department of Insurance — Fact Sheet: Summary on Residential Insurance Policies and the FAIR Plan (Published Jan.</w:t>
      </w:r>
      <w:r w:rsidRPr="001D3F59">
        <w:rPr>
          <w:rFonts w:ascii="Arial" w:hAnsi="Arial" w:cs="Arial"/>
        </w:rPr>
        <w:t> </w:t>
      </w:r>
      <w:r w:rsidRPr="001D3F59">
        <w:t>13,</w:t>
      </w:r>
      <w:r w:rsidRPr="001D3F59">
        <w:rPr>
          <w:rFonts w:ascii="Arial" w:hAnsi="Arial" w:cs="Arial"/>
        </w:rPr>
        <w:t> </w:t>
      </w:r>
      <w:r w:rsidRPr="001D3F59">
        <w:t>2025), Table 1 (p.</w:t>
      </w:r>
      <w:r w:rsidRPr="001D3F59">
        <w:rPr>
          <w:rFonts w:ascii="Arial" w:hAnsi="Arial" w:cs="Arial"/>
        </w:rPr>
        <w:t> </w:t>
      </w:r>
      <w:r w:rsidRPr="001D3F59">
        <w:t>2).</w:t>
      </w:r>
    </w:p>
  </w:footnote>
  <w:footnote w:id="86">
    <w:p w:rsidRPr="00104DEC" w:rsidR="009C61F6" w:rsidP="009C61F6" w:rsidRDefault="009C61F6" w14:paraId="4B8BA952" w14:textId="77777777">
      <w:pPr>
        <w:pStyle w:val="FootnoteText"/>
      </w:pPr>
      <w:r>
        <w:rPr>
          <w:rStyle w:val="FootnoteReference"/>
        </w:rPr>
        <w:footnoteRef/>
      </w:r>
      <w:r>
        <w:t xml:space="preserve"> </w:t>
      </w:r>
      <w:r w:rsidRPr="006F39A6">
        <w:t>National Association of Insurance Commissioners. IID Surplus Lines Industry Summary. ©</w:t>
      </w:r>
      <w:r w:rsidRPr="006F39A6">
        <w:rPr>
          <w:rFonts w:ascii="Arial" w:hAnsi="Arial" w:cs="Arial"/>
        </w:rPr>
        <w:t> </w:t>
      </w:r>
      <w:r w:rsidRPr="006F39A6">
        <w:t>2021, ©</w:t>
      </w:r>
      <w:r w:rsidRPr="006F39A6">
        <w:rPr>
          <w:rFonts w:ascii="Arial" w:hAnsi="Arial" w:cs="Arial"/>
        </w:rPr>
        <w:t> </w:t>
      </w:r>
      <w:r w:rsidRPr="006F39A6">
        <w:t>2022, ©</w:t>
      </w:r>
      <w:r w:rsidRPr="006F39A6">
        <w:rPr>
          <w:rFonts w:ascii="Arial" w:hAnsi="Arial" w:cs="Arial"/>
        </w:rPr>
        <w:t> </w:t>
      </w:r>
      <w:r w:rsidRPr="006F39A6">
        <w:t>2023, and ©</w:t>
      </w:r>
      <w:r w:rsidRPr="006F39A6">
        <w:rPr>
          <w:rFonts w:ascii="Arial" w:hAnsi="Arial" w:cs="Arial"/>
        </w:rPr>
        <w:t> </w:t>
      </w:r>
      <w:r w:rsidRPr="006F39A6">
        <w:t>2024</w:t>
      </w:r>
    </w:p>
  </w:footnote>
  <w:footnote w:id="87">
    <w:p w:rsidR="00080769" w:rsidP="00943E29" w:rsidRDefault="00080769" w14:paraId="04970281" w14:textId="313B07D3">
      <w:pPr>
        <w:pBdr>
          <w:top w:val="nil"/>
          <w:left w:val="nil"/>
          <w:bottom w:val="nil"/>
          <w:right w:val="nil"/>
          <w:between w:val="nil"/>
        </w:pBdr>
        <w:spacing w:after="60" w:line="240" w:lineRule="auto"/>
        <w:rPr>
          <w:color w:val="000000"/>
          <w:sz w:val="20"/>
          <w:szCs w:val="20"/>
        </w:rPr>
      </w:pPr>
      <w:r>
        <w:rPr>
          <w:vertAlign w:val="superscript"/>
        </w:rPr>
        <w:footnoteRef/>
      </w:r>
      <w:r>
        <w:rPr>
          <w:rFonts w:ascii="Calibri" w:hAnsi="Calibri" w:eastAsia="Calibri" w:cs="Calibri"/>
          <w:color w:val="000000"/>
          <w:sz w:val="20"/>
          <w:szCs w:val="20"/>
        </w:rPr>
        <w:t xml:space="preserve"> </w:t>
      </w:r>
      <w:hyperlink r:id="rId68">
        <w:r>
          <w:rPr>
            <w:rFonts w:ascii="Calibri" w:hAnsi="Calibri" w:eastAsia="Calibri" w:cs="Calibri"/>
            <w:color w:val="467886"/>
            <w:sz w:val="20"/>
            <w:szCs w:val="20"/>
            <w:u w:val="single"/>
          </w:rPr>
          <w:t>https://cdola.colorado.gov/prop123</w:t>
        </w:r>
      </w:hyperlink>
    </w:p>
  </w:footnote>
  <w:footnote w:id="88">
    <w:p w:rsidR="00080769" w:rsidRDefault="00080769" w14:paraId="3047AEDC" w14:textId="77777777">
      <w:pPr>
        <w:spacing w:after="0" w:line="240" w:lineRule="auto"/>
        <w:rPr>
          <w:sz w:val="20"/>
          <w:szCs w:val="20"/>
        </w:rPr>
      </w:pPr>
      <w:r>
        <w:rPr>
          <w:vertAlign w:val="superscript"/>
        </w:rPr>
        <w:footnoteRef/>
      </w:r>
      <w:r>
        <w:rPr>
          <w:sz w:val="20"/>
          <w:szCs w:val="20"/>
        </w:rPr>
        <w:t xml:space="preserve"> </w:t>
      </w:r>
      <w:hyperlink r:id="rId69">
        <w:r>
          <w:rPr>
            <w:color w:val="467886"/>
            <w:sz w:val="20"/>
            <w:szCs w:val="20"/>
            <w:u w:val="single"/>
          </w:rPr>
          <w:t>https://www.milliman.com/en/insight/how-tort-reforms-shaping-insurance-claims-florida-georgia</w:t>
        </w:r>
      </w:hyperlink>
      <w:r>
        <w:rPr>
          <w:sz w:val="20"/>
          <w:szCs w:val="20"/>
        </w:rPr>
        <w:t xml:space="preserve"> </w:t>
      </w:r>
    </w:p>
  </w:footnote>
  <w:footnote w:id="89">
    <w:p w:rsidR="00080769" w:rsidP="00943E29" w:rsidRDefault="00080769" w14:paraId="6B0BD29C" w14:textId="3912595E">
      <w:pPr>
        <w:spacing w:after="60" w:line="240" w:lineRule="auto"/>
        <w:rPr>
          <w:sz w:val="20"/>
          <w:szCs w:val="20"/>
        </w:rPr>
      </w:pPr>
      <w:r>
        <w:rPr>
          <w:vertAlign w:val="superscript"/>
        </w:rPr>
        <w:footnoteRef/>
      </w:r>
      <w:r>
        <w:rPr>
          <w:rFonts w:ascii="Calibri" w:hAnsi="Calibri" w:eastAsia="Calibri" w:cs="Calibri"/>
          <w:sz w:val="20"/>
          <w:szCs w:val="20"/>
        </w:rPr>
        <w:t xml:space="preserve"> For more details, please see the bill chrome-extension://efaidnbmnnnibpcajpcglclefindmkaj/</w:t>
      </w:r>
      <w:hyperlink r:id="rId70">
        <w:r>
          <w:rPr>
            <w:rFonts w:ascii="Calibri" w:hAnsi="Calibri" w:eastAsia="Calibri" w:cs="Calibri"/>
            <w:color w:val="0064A8"/>
            <w:sz w:val="20"/>
            <w:szCs w:val="20"/>
            <w:u w:val="single"/>
          </w:rPr>
          <w:t>https://www.flhouse.gov/Sections/Documents/loaddoc.aspx?FileName=_h0837er.docx&amp;DocumentType=Bill&amp;BillNumber=837&amp;Session=2023</w:t>
        </w:r>
      </w:hyperlink>
    </w:p>
  </w:footnote>
  <w:footnote w:id="90">
    <w:p w:rsidRPr="009F6C4D" w:rsidR="002B7212" w:rsidRDefault="002B7212" w14:paraId="080A3516" w14:textId="0E9C6412">
      <w:pPr>
        <w:pStyle w:val="FootnoteText"/>
        <w:rPr>
          <w:rFonts w:asciiTheme="majorHAnsi" w:hAnsiTheme="majorHAnsi" w:cstheme="majorHAnsi"/>
        </w:rPr>
      </w:pPr>
      <w:r w:rsidRPr="009F6C4D">
        <w:rPr>
          <w:rStyle w:val="FootnoteReference"/>
          <w:rFonts w:asciiTheme="majorHAnsi" w:hAnsiTheme="majorHAnsi" w:cstheme="majorHAnsi"/>
        </w:rPr>
        <w:footnoteRef/>
      </w:r>
      <w:r w:rsidRPr="009F6C4D">
        <w:rPr>
          <w:rFonts w:asciiTheme="majorHAnsi" w:hAnsiTheme="majorHAnsi" w:cstheme="majorHAnsi"/>
        </w:rPr>
        <w:t xml:space="preserve"> </w:t>
      </w:r>
      <w:r w:rsidRPr="009F6C4D" w:rsidR="002014AE">
        <w:rPr>
          <w:rFonts w:asciiTheme="majorHAnsi" w:hAnsiTheme="majorHAnsi" w:cstheme="majorHAnsi"/>
        </w:rPr>
        <w:t xml:space="preserve">National Conference of State Legislatures, </w:t>
      </w:r>
      <w:r w:rsidRPr="009F6C4D" w:rsidR="002014AE">
        <w:rPr>
          <w:rFonts w:asciiTheme="majorHAnsi" w:hAnsiTheme="majorHAnsi" w:cstheme="majorHAnsi"/>
          <w:i/>
          <w:iCs/>
        </w:rPr>
        <w:t>Parametric Insurance Can Offer Prompt Payout When Disaster Strikes</w:t>
      </w:r>
      <w:r w:rsidRPr="009F6C4D" w:rsidR="002014AE">
        <w:rPr>
          <w:rFonts w:asciiTheme="majorHAnsi" w:hAnsiTheme="majorHAnsi" w:cstheme="majorHAnsi"/>
        </w:rPr>
        <w:t xml:space="preserve"> (2025).</w:t>
      </w:r>
    </w:p>
  </w:footnote>
  <w:footnote w:id="91">
    <w:p w:rsidRPr="003C652D" w:rsidR="00004016" w:rsidRDefault="00004016" w14:paraId="4B063865" w14:textId="0638014C">
      <w:pPr>
        <w:pStyle w:val="FootnoteText"/>
        <w:rPr>
          <w:rFonts w:asciiTheme="majorHAnsi" w:hAnsiTheme="majorHAnsi" w:cstheme="majorHAnsi"/>
        </w:rPr>
      </w:pPr>
      <w:r w:rsidRPr="003C652D">
        <w:rPr>
          <w:rStyle w:val="FootnoteReference"/>
          <w:rFonts w:asciiTheme="majorHAnsi" w:hAnsiTheme="majorHAnsi" w:cstheme="majorHAnsi"/>
        </w:rPr>
        <w:footnoteRef/>
      </w:r>
      <w:r w:rsidRPr="003C652D">
        <w:rPr>
          <w:rFonts w:asciiTheme="majorHAnsi" w:hAnsiTheme="majorHAnsi" w:cstheme="majorHAnsi"/>
        </w:rPr>
        <w:t xml:space="preserve"> </w:t>
      </w:r>
      <w:r w:rsidRPr="003C652D" w:rsidR="00FC0394">
        <w:rPr>
          <w:rFonts w:asciiTheme="majorHAnsi" w:hAnsiTheme="majorHAnsi" w:cstheme="majorHAnsi"/>
        </w:rPr>
        <w:t xml:space="preserve">California Department of Insurance. </w:t>
      </w:r>
      <w:r w:rsidRPr="003C652D" w:rsidR="00FC0394">
        <w:rPr>
          <w:rFonts w:asciiTheme="majorHAnsi" w:hAnsiTheme="majorHAnsi" w:cstheme="majorHAnsi"/>
          <w:i/>
          <w:iCs/>
        </w:rPr>
        <w:t>California Department of Insurance announces community</w:t>
      </w:r>
      <w:r w:rsidRPr="003C652D" w:rsidR="00FC0394">
        <w:rPr>
          <w:rFonts w:asciiTheme="majorHAnsi" w:hAnsiTheme="majorHAnsi" w:cstheme="majorHAnsi"/>
          <w:i/>
          <w:iCs/>
        </w:rPr>
        <w:noBreakHyphen/>
        <w:t>based insurance initiative to support disaster recovery</w:t>
      </w:r>
      <w:r w:rsidRPr="003C652D" w:rsidR="00FC0394">
        <w:rPr>
          <w:rFonts w:asciiTheme="majorHAnsi" w:hAnsiTheme="majorHAnsi" w:cstheme="majorHAnsi"/>
        </w:rPr>
        <w:t xml:space="preserve"> (2025).</w:t>
      </w:r>
      <w:r w:rsidRPr="003C652D" w:rsidR="00FC0394">
        <w:rPr>
          <w:rFonts w:asciiTheme="majorHAnsi" w:hAnsiTheme="majorHAnsi" w:cstheme="majorHAnsi"/>
        </w:rPr>
        <w:br/>
      </w:r>
      <w:r w:rsidRPr="003C652D" w:rsidR="00FC0394">
        <w:rPr>
          <w:rFonts w:asciiTheme="majorHAnsi" w:hAnsiTheme="majorHAnsi" w:cstheme="majorHAnsi"/>
        </w:rPr>
        <w:t>https://www.insurance.ca.gov/0400-news/0100-press-releases/2025/release034-2025.cfm</w:t>
      </w:r>
    </w:p>
  </w:footnote>
  <w:footnote w:id="92">
    <w:p w:rsidRPr="003C652D" w:rsidR="000B60BB" w:rsidRDefault="000B60BB" w14:paraId="7B65829E" w14:textId="0CB71924">
      <w:pPr>
        <w:pStyle w:val="FootnoteText"/>
        <w:rPr>
          <w:rFonts w:asciiTheme="majorHAnsi" w:hAnsiTheme="majorHAnsi" w:cstheme="majorHAnsi"/>
        </w:rPr>
      </w:pPr>
      <w:r w:rsidRPr="003C652D">
        <w:rPr>
          <w:rStyle w:val="FootnoteReference"/>
          <w:rFonts w:asciiTheme="majorHAnsi" w:hAnsiTheme="majorHAnsi" w:cstheme="majorHAnsi"/>
        </w:rPr>
        <w:footnoteRef/>
      </w:r>
      <w:r w:rsidRPr="003C652D">
        <w:rPr>
          <w:rFonts w:asciiTheme="majorHAnsi" w:hAnsiTheme="majorHAnsi" w:cstheme="majorHAnsi"/>
        </w:rPr>
        <w:t xml:space="preserve"> </w:t>
      </w:r>
      <w:r w:rsidRPr="003C652D" w:rsidR="005936F8">
        <w:rPr>
          <w:rFonts w:asciiTheme="majorHAnsi" w:hAnsiTheme="majorHAnsi" w:cstheme="majorHAnsi"/>
        </w:rPr>
        <w:t xml:space="preserve">California Department of Insurance: </w:t>
      </w:r>
      <w:r w:rsidRPr="003C652D" w:rsidR="005936F8">
        <w:rPr>
          <w:rFonts w:asciiTheme="majorHAnsi" w:hAnsiTheme="majorHAnsi" w:cstheme="majorHAnsi"/>
          <w:i/>
          <w:iCs/>
        </w:rPr>
        <w:t>Sustainable Insurance Strategy progress update</w:t>
      </w:r>
      <w:r w:rsidRPr="003C652D" w:rsidR="005936F8">
        <w:rPr>
          <w:rFonts w:asciiTheme="majorHAnsi" w:hAnsiTheme="majorHAnsi" w:cstheme="majorHAnsi"/>
        </w:rPr>
        <w:t xml:space="preserve"> (2025).</w:t>
      </w:r>
      <w:r w:rsidRPr="003C652D" w:rsidR="005936F8">
        <w:rPr>
          <w:rFonts w:asciiTheme="majorHAnsi" w:hAnsiTheme="majorHAnsi" w:cstheme="majorHAnsi"/>
        </w:rPr>
        <w:br/>
      </w:r>
      <w:r w:rsidRPr="003C652D" w:rsidR="005936F8">
        <w:rPr>
          <w:rFonts w:asciiTheme="majorHAnsi" w:hAnsiTheme="majorHAnsi" w:cstheme="majorHAnsi"/>
        </w:rPr>
        <w:t>https://www.insurance.ca.gov/0400-news/0100-press-releases/2025/release079-2025.cfm</w:t>
      </w:r>
    </w:p>
  </w:footnote>
  <w:footnote w:id="93">
    <w:p w:rsidR="00866AC8" w:rsidRDefault="00866AC8" w14:paraId="2D95EB1B" w14:textId="210F9C5C">
      <w:pPr>
        <w:pStyle w:val="FootnoteText"/>
      </w:pPr>
      <w:r w:rsidRPr="003C652D">
        <w:rPr>
          <w:rStyle w:val="FootnoteReference"/>
          <w:rFonts w:asciiTheme="majorHAnsi" w:hAnsiTheme="majorHAnsi" w:cstheme="majorHAnsi"/>
        </w:rPr>
        <w:footnoteRef/>
      </w:r>
      <w:r w:rsidRPr="003C652D">
        <w:rPr>
          <w:rFonts w:asciiTheme="majorHAnsi" w:hAnsiTheme="majorHAnsi" w:cstheme="majorHAnsi"/>
        </w:rPr>
        <w:t xml:space="preserve"> </w:t>
      </w:r>
      <w:r w:rsidRPr="003C652D" w:rsidR="004E58E0">
        <w:rPr>
          <w:rFonts w:asciiTheme="majorHAnsi" w:hAnsiTheme="majorHAnsi" w:cstheme="majorHAnsi"/>
        </w:rPr>
        <w:t xml:space="preserve">Washington State Office of the Insurance Commissioner. </w:t>
      </w:r>
      <w:r w:rsidRPr="003C652D" w:rsidR="004E58E0">
        <w:rPr>
          <w:rFonts w:asciiTheme="majorHAnsi" w:hAnsiTheme="majorHAnsi" w:cstheme="majorHAnsi"/>
          <w:i/>
          <w:iCs/>
        </w:rPr>
        <w:t>Kuderer announces priorities for 2026 legislative session</w:t>
      </w:r>
      <w:r w:rsidRPr="003C652D" w:rsidR="004E58E0">
        <w:rPr>
          <w:rFonts w:asciiTheme="majorHAnsi" w:hAnsiTheme="majorHAnsi" w:cstheme="majorHAnsi"/>
        </w:rPr>
        <w:t xml:space="preserve"> (January 12, 2026). Olympia, WA.</w:t>
      </w:r>
      <w:r w:rsidRPr="004E58E0" w:rsidR="004E58E0">
        <w:br/>
      </w:r>
      <w:r w:rsidRPr="004E58E0" w:rsidR="004E58E0">
        <w:t>https://www.insurance.wa.gov/about-us/news/2026/kuderer-announces-priorities-2026-legislative-session</w:t>
      </w:r>
    </w:p>
  </w:footnote>
  <w:footnote w:id="94">
    <w:p w:rsidRPr="00690C60" w:rsidR="0011436F" w:rsidP="0011436F" w:rsidRDefault="0011436F" w14:paraId="3C567603" w14:textId="77777777">
      <w:pPr>
        <w:pStyle w:val="FootnoteText"/>
        <w:rPr>
          <w:rFonts w:asciiTheme="majorHAnsi" w:hAnsiTheme="majorHAnsi" w:cstheme="majorHAnsi"/>
        </w:rPr>
      </w:pPr>
      <w:r w:rsidRPr="00690C60">
        <w:rPr>
          <w:rStyle w:val="FootnoteReference"/>
          <w:rFonts w:asciiTheme="majorHAnsi" w:hAnsiTheme="majorHAnsi" w:cstheme="majorHAnsi"/>
        </w:rPr>
        <w:footnoteRef/>
      </w:r>
      <w:r w:rsidRPr="00690C60">
        <w:rPr>
          <w:rFonts w:asciiTheme="majorHAnsi" w:hAnsiTheme="majorHAnsi" w:cstheme="majorHAnsi"/>
        </w:rPr>
        <w:t xml:space="preserve"> Maryland General Assembly, </w:t>
      </w:r>
      <w:r w:rsidRPr="00690C60">
        <w:rPr>
          <w:rFonts w:asciiTheme="majorHAnsi" w:hAnsiTheme="majorHAnsi" w:cstheme="majorHAnsi"/>
          <w:i/>
          <w:iCs/>
        </w:rPr>
        <w:t>Property and Casualty Insurance – Parametric Insurance – Regulation (SB 95)</w:t>
      </w:r>
      <w:r w:rsidRPr="00690C60">
        <w:rPr>
          <w:rFonts w:asciiTheme="majorHAnsi" w:hAnsiTheme="majorHAnsi" w:cstheme="majorHAnsi"/>
        </w:rPr>
        <w:t xml:space="preserve"> (2026); Maryland Department of Legislative Services, </w:t>
      </w:r>
      <w:r w:rsidRPr="00690C60">
        <w:rPr>
          <w:rFonts w:asciiTheme="majorHAnsi" w:hAnsiTheme="majorHAnsi" w:cstheme="majorHAnsi"/>
          <w:i/>
          <w:iCs/>
        </w:rPr>
        <w:t>Fiscal and Policy Note for Senate Bill 95</w:t>
      </w:r>
      <w:r w:rsidRPr="00690C60">
        <w:rPr>
          <w:rFonts w:asciiTheme="majorHAnsi" w:hAnsiTheme="majorHAnsi" w:cstheme="majorHAnsi"/>
        </w:rPr>
        <w:t xml:space="preserve"> (2026).</w:t>
      </w:r>
    </w:p>
  </w:footnote>
  <w:footnote w:id="95">
    <w:p w:rsidRPr="00177E4F" w:rsidR="00F735C2" w:rsidRDefault="00F735C2" w14:paraId="0BD7AA3E" w14:textId="38BAC387">
      <w:pPr>
        <w:pStyle w:val="FootnoteText"/>
        <w:rPr>
          <w:rFonts w:asciiTheme="majorHAnsi" w:hAnsiTheme="majorHAnsi" w:cstheme="majorHAnsi"/>
        </w:rPr>
      </w:pPr>
      <w:r w:rsidRPr="003C652D">
        <w:rPr>
          <w:rStyle w:val="FootnoteReference"/>
          <w:rFonts w:asciiTheme="majorHAnsi" w:hAnsiTheme="majorHAnsi" w:cstheme="majorHAnsi"/>
        </w:rPr>
        <w:footnoteRef/>
      </w:r>
      <w:r w:rsidRPr="003C652D">
        <w:rPr>
          <w:rFonts w:asciiTheme="majorHAnsi" w:hAnsiTheme="majorHAnsi" w:cstheme="majorHAnsi"/>
        </w:rPr>
        <w:t xml:space="preserve"> </w:t>
      </w:r>
      <w:r w:rsidRPr="003C652D" w:rsidR="003B4C21">
        <w:rPr>
          <w:rFonts w:asciiTheme="majorHAnsi" w:hAnsiTheme="majorHAnsi" w:cstheme="majorHAnsi"/>
        </w:rPr>
        <w:t xml:space="preserve">National Conference of State Legislatures, </w:t>
      </w:r>
      <w:r w:rsidRPr="003C652D" w:rsidR="003B4C21">
        <w:rPr>
          <w:rFonts w:asciiTheme="majorHAnsi" w:hAnsiTheme="majorHAnsi" w:cstheme="majorHAnsi"/>
          <w:i/>
          <w:iCs/>
        </w:rPr>
        <w:t>Parametric Insurance Can Offer Prompt Payout When Disaster Strikes</w:t>
      </w:r>
      <w:r w:rsidRPr="003C652D" w:rsidR="003B4C21">
        <w:rPr>
          <w:rFonts w:asciiTheme="majorHAnsi" w:hAnsiTheme="majorHAnsi" w:cstheme="majorHAnsi"/>
        </w:rPr>
        <w:t xml:space="preserve"> (2025); Gallagher Re, </w:t>
      </w:r>
      <w:r w:rsidRPr="003C652D" w:rsidR="003B4C21">
        <w:rPr>
          <w:rFonts w:asciiTheme="majorHAnsi" w:hAnsiTheme="majorHAnsi" w:cstheme="majorHAnsi"/>
          <w:i/>
          <w:iCs/>
        </w:rPr>
        <w:t>Parametric Insurance Gains Traction Amid Rising Climate and Systemic Risks</w:t>
      </w:r>
      <w:r w:rsidRPr="003C652D" w:rsidR="003B4C21">
        <w:rPr>
          <w:rFonts w:asciiTheme="majorHAnsi" w:hAnsiTheme="majorHAnsi" w:cstheme="majorHAnsi"/>
        </w:rPr>
        <w:t xml:space="preserve"> (2025).</w:t>
      </w:r>
    </w:p>
  </w:footnote>
  <w:footnote w:id="96">
    <w:p w:rsidR="00080769" w:rsidRDefault="00080769" w14:paraId="3F9B8A95" w14:textId="77777777">
      <w:pPr>
        <w:spacing w:after="0" w:line="240" w:lineRule="auto"/>
        <w:rPr>
          <w:rFonts w:ascii="Calibri" w:hAnsi="Calibri" w:eastAsia="Calibri" w:cs="Calibri"/>
          <w:sz w:val="20"/>
          <w:szCs w:val="20"/>
        </w:rPr>
      </w:pPr>
      <w:r w:rsidRPr="00132A6E">
        <w:rPr>
          <w:rFonts w:asciiTheme="majorHAnsi" w:hAnsiTheme="majorHAnsi" w:cstheme="majorHAnsi"/>
          <w:sz w:val="20"/>
          <w:szCs w:val="20"/>
          <w:vertAlign w:val="superscript"/>
        </w:rPr>
        <w:footnoteRef/>
      </w:r>
      <w:hyperlink r:id="rId71">
        <w:r w:rsidRPr="00132A6E">
          <w:rPr>
            <w:rFonts w:eastAsia="Calibri" w:asciiTheme="majorHAnsi" w:hAnsiTheme="majorHAnsi" w:cstheme="majorHAnsi"/>
            <w:color w:val="0064A8"/>
            <w:sz w:val="20"/>
            <w:szCs w:val="20"/>
            <w:u w:val="single"/>
          </w:rPr>
          <w:t>https://content.naic.org/sites/default/files/inline-files/2025%20SpNM_CIPR_residual_property_markets%20to%20post.pdf</w:t>
        </w:r>
      </w:hyperlink>
      <w:r>
        <w:rPr>
          <w:rFonts w:ascii="Calibri" w:hAnsi="Calibri" w:eastAsia="Calibri" w:cs="Calibri"/>
          <w:color w:val="0064A8"/>
          <w:sz w:val="20"/>
          <w:szCs w:val="20"/>
        </w:rPr>
        <w:t xml:space="preserve"> </w:t>
      </w:r>
      <w:r>
        <w:rPr>
          <w:rFonts w:ascii="Calibri" w:hAnsi="Calibri" w:eastAsia="Calibri" w:cs="Calibri"/>
          <w:sz w:val="20"/>
          <w:szCs w:val="20"/>
        </w:rPr>
        <w:t>“The Residual Market Landscape: FAIR and Beach Plans 2019-2023” NAIC 2025 Spring National Meeting materials, Stephen Jablonski, CPCU, President, Property Insurance Plans Service Office (PIPSO).</w:t>
      </w:r>
    </w:p>
  </w:footnote>
  <w:footnote w:id="97">
    <w:p w:rsidR="00080769" w:rsidRDefault="00080769" w14:paraId="4D203CC9"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Isabel Peñaranda, Moira Birss, Ruthy Gourevitch, and Tanaya Srini, “Insurers of Last Resort: Why Today’s FAIR Plans Need a Redesign to Address the Home Insurance Crisis,” Climate and Community Institute, October 2025 </w:t>
      </w:r>
      <w:hyperlink r:id="rId72">
        <w:r>
          <w:rPr>
            <w:rFonts w:ascii="Calibri" w:hAnsi="Calibri" w:eastAsia="Calibri" w:cs="Calibri"/>
            <w:color w:val="0064A8"/>
            <w:sz w:val="20"/>
            <w:szCs w:val="20"/>
            <w:u w:val="single"/>
          </w:rPr>
          <w:t>https://climateandcommunity.org/research/insurers-of-last-resort</w:t>
        </w:r>
      </w:hyperlink>
      <w:r>
        <w:rPr>
          <w:rFonts w:ascii="Calibri" w:hAnsi="Calibri" w:eastAsia="Calibri" w:cs="Calibri"/>
          <w:color w:val="0064A8"/>
          <w:sz w:val="20"/>
          <w:szCs w:val="20"/>
        </w:rPr>
        <w:t>.</w:t>
      </w:r>
    </w:p>
  </w:footnote>
  <w:footnote w:id="98">
    <w:p w:rsidR="00080769" w:rsidRDefault="00080769" w14:paraId="68C8CFDF"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64A8"/>
          <w:sz w:val="20"/>
          <w:szCs w:val="20"/>
        </w:rPr>
        <w:t xml:space="preserve"> </w:t>
      </w:r>
      <w:hyperlink r:id="rId73">
        <w:r>
          <w:rPr>
            <w:rFonts w:ascii="Calibri" w:hAnsi="Calibri" w:eastAsia="Calibri" w:cs="Calibri"/>
            <w:color w:val="0064A8"/>
            <w:sz w:val="20"/>
            <w:szCs w:val="20"/>
            <w:u w:val="single"/>
          </w:rPr>
          <w:t>https://www.coloradofairplan.com/</w:t>
        </w:r>
      </w:hyperlink>
    </w:p>
  </w:footnote>
  <w:footnote w:id="99">
    <w:p w:rsidR="00080769" w:rsidRDefault="00080769" w14:paraId="7ADB8A94"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64A8"/>
          <w:sz w:val="20"/>
          <w:szCs w:val="20"/>
        </w:rPr>
        <w:t xml:space="preserve"> </w:t>
      </w:r>
      <w:hyperlink r:id="rId74">
        <w:r>
          <w:rPr>
            <w:rFonts w:ascii="Calibri" w:hAnsi="Calibri" w:eastAsia="Calibri" w:cs="Calibri"/>
            <w:color w:val="0064A8"/>
            <w:sz w:val="20"/>
            <w:szCs w:val="20"/>
            <w:u w:val="single"/>
          </w:rPr>
          <w:t>https://coloradosun.com/2025/07/14/colorado-fair-plan-applications-launch/</w:t>
        </w:r>
      </w:hyperlink>
    </w:p>
  </w:footnote>
  <w:footnote w:id="100">
    <w:p w:rsidR="00080769" w:rsidRDefault="00080769" w14:paraId="53605789"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75">
        <w:r>
          <w:rPr>
            <w:rFonts w:ascii="Calibri" w:hAnsi="Calibri" w:eastAsia="Calibri" w:cs="Calibri"/>
            <w:color w:val="0064A8"/>
            <w:sz w:val="20"/>
            <w:szCs w:val="20"/>
            <w:u w:val="single"/>
          </w:rPr>
          <w:t>https://strengthenyourroof.com/Home/NCIUA</w:t>
        </w:r>
      </w:hyperlink>
    </w:p>
  </w:footnote>
  <w:footnote w:id="101">
    <w:p w:rsidR="00080769" w:rsidRDefault="00080769" w14:paraId="320B01B4"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76">
        <w:r>
          <w:rPr>
            <w:rFonts w:ascii="Calibri" w:hAnsi="Calibri" w:eastAsia="Calibri" w:cs="Calibri"/>
            <w:color w:val="0064A8"/>
            <w:sz w:val="20"/>
            <w:szCs w:val="20"/>
            <w:u w:val="single"/>
          </w:rPr>
          <w:t>https://www.artemis.bm/news/nciuas-recent-catastrophe-bond-included-integrated-disaster-resilience-feature/</w:t>
        </w:r>
      </w:hyperlink>
    </w:p>
  </w:footnote>
  <w:footnote w:id="102">
    <w:p w:rsidR="00080769" w:rsidRDefault="00080769" w14:paraId="6B4D358C"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77">
        <w:r>
          <w:rPr>
            <w:rFonts w:ascii="Calibri" w:hAnsi="Calibri" w:eastAsia="Calibri" w:cs="Calibri"/>
            <w:color w:val="0064A8"/>
            <w:sz w:val="20"/>
            <w:szCs w:val="20"/>
            <w:u w:val="single"/>
          </w:rPr>
          <w:t>https://fhcf.sbafla.com/media/kfuhfqjv/2024-sba-catf-annual-report-final.pdf</w:t>
        </w:r>
      </w:hyperlink>
    </w:p>
  </w:footnote>
  <w:footnote w:id="103">
    <w:p w:rsidR="00080769" w:rsidRDefault="00080769" w14:paraId="0C0C2FED"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78">
        <w:r>
          <w:rPr>
            <w:rFonts w:ascii="Calibri" w:hAnsi="Calibri" w:eastAsia="Calibri" w:cs="Calibri"/>
            <w:color w:val="0064A8"/>
            <w:sz w:val="20"/>
            <w:szCs w:val="20"/>
            <w:u w:val="single"/>
          </w:rPr>
          <w:t>https://www.earthquakeauthority.com/about-cea/cea-history</w:t>
        </w:r>
      </w:hyperlink>
    </w:p>
  </w:footnote>
  <w:footnote w:id="104">
    <w:p w:rsidR="00080769" w:rsidRDefault="00080769" w14:paraId="4A975882"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64A8"/>
          <w:sz w:val="20"/>
          <w:szCs w:val="20"/>
        </w:rPr>
        <w:t xml:space="preserve"> </w:t>
      </w:r>
      <w:hyperlink r:id="rId79">
        <w:r>
          <w:rPr>
            <w:rFonts w:ascii="Calibri" w:hAnsi="Calibri" w:eastAsia="Calibri" w:cs="Calibri"/>
            <w:color w:val="0064A8"/>
            <w:sz w:val="20"/>
            <w:szCs w:val="20"/>
            <w:u w:val="single"/>
          </w:rPr>
          <w:t>https://www.house.mn.gov/hrd/pubs/ss/sscontfund.pdf</w:t>
        </w:r>
      </w:hyperlink>
    </w:p>
  </w:footnote>
  <w:footnote w:id="105">
    <w:p w:rsidR="00080769" w:rsidRDefault="00080769" w14:paraId="2B2B6305"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80">
        <w:r>
          <w:rPr>
            <w:rFonts w:ascii="Calibri" w:hAnsi="Calibri" w:eastAsia="Calibri" w:cs="Calibri"/>
            <w:color w:val="0064A8"/>
            <w:sz w:val="20"/>
            <w:szCs w:val="20"/>
            <w:u w:val="single"/>
          </w:rPr>
          <w:t>https://www.lrl.mn.gov/docs/2025/mandated/250224.pdf</w:t>
        </w:r>
      </w:hyperlink>
    </w:p>
  </w:footnote>
  <w:footnote w:id="106">
    <w:p w:rsidR="00080769" w:rsidRDefault="00080769" w14:paraId="3A8290F5"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81">
        <w:r>
          <w:rPr>
            <w:rFonts w:ascii="Calibri" w:hAnsi="Calibri" w:eastAsia="Calibri" w:cs="Calibri"/>
            <w:color w:val="0064A8"/>
            <w:sz w:val="20"/>
            <w:szCs w:val="20"/>
            <w:u w:val="single"/>
          </w:rPr>
          <w:t>https://uphelp.org/buying-tips/</w:t>
        </w:r>
      </w:hyperlink>
    </w:p>
  </w:footnote>
  <w:footnote w:id="107">
    <w:p w:rsidR="00080769" w:rsidRDefault="00080769" w14:paraId="3DFFCE30"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color w:val="0064A8"/>
          <w:sz w:val="20"/>
          <w:szCs w:val="20"/>
        </w:rPr>
        <w:t xml:space="preserve"> </w:t>
      </w:r>
      <w:hyperlink r:id="rId82">
        <w:r>
          <w:rPr>
            <w:rFonts w:ascii="Calibri" w:hAnsi="Calibri" w:eastAsia="Calibri" w:cs="Calibri"/>
            <w:color w:val="0064A8"/>
            <w:sz w:val="20"/>
            <w:szCs w:val="20"/>
            <w:u w:val="single"/>
          </w:rPr>
          <w:t>https://flash.org/wp-content/uploads/1/2024/03/2-20-24-Resilience-Playbook.pdf</w:t>
        </w:r>
      </w:hyperlink>
    </w:p>
  </w:footnote>
  <w:footnote w:id="108">
    <w:p w:rsidR="00080769" w:rsidRDefault="00080769" w14:paraId="1995D058"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83">
        <w:r>
          <w:rPr>
            <w:rFonts w:ascii="Calibri" w:hAnsi="Calibri" w:eastAsia="Calibri" w:cs="Calibri"/>
            <w:color w:val="0064A8"/>
            <w:sz w:val="20"/>
            <w:szCs w:val="20"/>
            <w:u w:val="single"/>
          </w:rPr>
          <w:t>https://www.postbulletin.com/news/local/new-minnesota-law-incentivizes-construction-that-stands-up-to-climate-change</w:t>
        </w:r>
      </w:hyperlink>
    </w:p>
  </w:footnote>
  <w:footnote w:id="109">
    <w:p w:rsidR="00080769" w:rsidRDefault="00080769" w14:paraId="23668FB2"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84">
        <w:r>
          <w:rPr>
            <w:rFonts w:ascii="Calibri" w:hAnsi="Calibri" w:eastAsia="Calibri" w:cs="Calibri"/>
            <w:color w:val="0064A8"/>
            <w:sz w:val="20"/>
            <w:szCs w:val="20"/>
            <w:u w:val="single"/>
          </w:rPr>
          <w:t>https://www.forbes.com/sites/jamiegold/2025/06/03/wildfire-prepared-neighborhood-offers-resilience-insurance-benefits/</w:t>
        </w:r>
      </w:hyperlink>
    </w:p>
  </w:footnote>
  <w:footnote w:id="110">
    <w:p w:rsidR="00080769" w:rsidRDefault="00080769" w14:paraId="30A35D55"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85">
        <w:r>
          <w:rPr>
            <w:rFonts w:ascii="Calibri" w:hAnsi="Calibri" w:eastAsia="Calibri" w:cs="Calibri"/>
            <w:color w:val="0064A8"/>
            <w:sz w:val="20"/>
            <w:szCs w:val="20"/>
            <w:u w:val="single"/>
          </w:rPr>
          <w:t>https://www.smarthomeamerica.org/our-work/research-and-projects</w:t>
        </w:r>
      </w:hyperlink>
    </w:p>
  </w:footnote>
  <w:footnote w:id="111">
    <w:p w:rsidR="00080769" w:rsidRDefault="00080769" w14:paraId="06404C2A" w14:textId="77777777">
      <w:pPr>
        <w:spacing w:after="0" w:line="240" w:lineRule="auto"/>
        <w:rPr>
          <w:rFonts w:ascii="Calibri" w:hAnsi="Calibri" w:eastAsia="Calibri" w:cs="Calibri"/>
          <w:color w:val="0064A8"/>
          <w:sz w:val="20"/>
          <w:szCs w:val="20"/>
        </w:rPr>
      </w:pPr>
      <w:r>
        <w:rPr>
          <w:vertAlign w:val="superscript"/>
        </w:rPr>
        <w:footnoteRef/>
      </w:r>
      <w:hyperlink r:id="rId86">
        <w:r>
          <w:rPr>
            <w:rFonts w:ascii="Calibri" w:hAnsi="Calibri" w:eastAsia="Calibri" w:cs="Calibri"/>
            <w:color w:val="0064A8"/>
            <w:sz w:val="20"/>
            <w:szCs w:val="20"/>
            <w:u w:val="single"/>
          </w:rPr>
          <w:t>https://governor.alabama.gov/newsroom/2023/05/governor-ivey-signs-executive-order-to-establish-the-alabama-resilience-council/</w:t>
        </w:r>
      </w:hyperlink>
    </w:p>
  </w:footnote>
  <w:footnote w:id="112">
    <w:p w:rsidR="00080769" w:rsidRDefault="00080769" w14:paraId="6BB6A944" w14:textId="77777777">
      <w:pPr>
        <w:spacing w:after="0" w:line="240" w:lineRule="auto"/>
        <w:rPr>
          <w:rFonts w:ascii="Calibri" w:hAnsi="Calibri" w:eastAsia="Calibri" w:cs="Calibri"/>
          <w:color w:val="0064A8"/>
          <w:sz w:val="20"/>
          <w:szCs w:val="20"/>
        </w:rPr>
      </w:pPr>
      <w:r>
        <w:rPr>
          <w:vertAlign w:val="superscript"/>
        </w:rPr>
        <w:footnoteRef/>
      </w:r>
      <w:r>
        <w:rPr>
          <w:rFonts w:ascii="Calibri" w:hAnsi="Calibri" w:eastAsia="Calibri" w:cs="Calibri"/>
          <w:sz w:val="20"/>
          <w:szCs w:val="20"/>
        </w:rPr>
        <w:t xml:space="preserve"> </w:t>
      </w:r>
      <w:hyperlink r:id="rId87">
        <w:r>
          <w:rPr>
            <w:rFonts w:ascii="Calibri" w:hAnsi="Calibri" w:eastAsia="Calibri" w:cs="Calibri"/>
            <w:color w:val="0064A8"/>
            <w:sz w:val="20"/>
            <w:szCs w:val="20"/>
            <w:u w:val="single"/>
          </w:rPr>
          <w:t>https://www.safestrongal.com/</w:t>
        </w:r>
      </w:hyperlink>
    </w:p>
  </w:footnote>
  <w:footnote w:id="113">
    <w:p w:rsidR="00080769" w:rsidRDefault="00080769" w14:paraId="598896E1"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88">
        <w:r>
          <w:rPr>
            <w:rFonts w:ascii="Calibri" w:hAnsi="Calibri" w:eastAsia="Calibri" w:cs="Calibri"/>
            <w:color w:val="1155CC"/>
            <w:sz w:val="20"/>
            <w:szCs w:val="20"/>
            <w:u w:val="single"/>
          </w:rPr>
          <w:t>https://portal.ct.gov/cid/ct-severe-weather-resiliency-council?language=en_US</w:t>
        </w:r>
      </w:hyperlink>
    </w:p>
  </w:footnote>
  <w:footnote w:id="114">
    <w:p w:rsidR="00080769" w:rsidRDefault="00080769" w14:paraId="68111545" w14:textId="77777777">
      <w:pPr>
        <w:spacing w:after="0" w:line="240" w:lineRule="auto"/>
        <w:rPr>
          <w:rFonts w:ascii="Calibri" w:hAnsi="Calibri" w:eastAsia="Calibri" w:cs="Calibri"/>
          <w:sz w:val="20"/>
          <w:szCs w:val="20"/>
        </w:rPr>
      </w:pPr>
      <w:r>
        <w:rPr>
          <w:vertAlign w:val="superscript"/>
        </w:rPr>
        <w:footnoteRef/>
      </w:r>
      <w:hyperlink r:id="rId89">
        <w:r>
          <w:rPr>
            <w:rFonts w:ascii="Calibri" w:hAnsi="Calibri" w:eastAsia="Calibri" w:cs="Calibri"/>
            <w:color w:val="1155CC"/>
            <w:sz w:val="20"/>
            <w:szCs w:val="20"/>
            <w:u w:val="single"/>
          </w:rPr>
          <w:t>https://portal.ct.gov/cid/-/media/cid/1_consumerresources/resiliency-advisory-council-commissioner-report-feb-2025.pdf?rev=09e4cd31fb4b4e9db476abbc8413fc1d&amp;hash=4BA49A33FF0360D5138A0C6634C88B8F</w:t>
        </w:r>
      </w:hyperlink>
    </w:p>
  </w:footnote>
  <w:footnote w:id="115">
    <w:p w:rsidR="00080769" w:rsidRDefault="00080769" w14:paraId="7269E89B"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0">
        <w:r>
          <w:rPr>
            <w:rFonts w:ascii="Calibri" w:hAnsi="Calibri" w:eastAsia="Calibri" w:cs="Calibri"/>
            <w:color w:val="1155CC"/>
            <w:sz w:val="20"/>
            <w:szCs w:val="20"/>
            <w:u w:val="single"/>
          </w:rPr>
          <w:t>https://fphlm.cs.fiu.edu/</w:t>
        </w:r>
      </w:hyperlink>
    </w:p>
  </w:footnote>
  <w:footnote w:id="116">
    <w:p w:rsidR="00080769" w:rsidRDefault="00080769" w14:paraId="640D7BC4"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1">
        <w:r>
          <w:rPr>
            <w:rFonts w:ascii="Calibri" w:hAnsi="Calibri" w:eastAsia="Calibri" w:cs="Calibri"/>
            <w:color w:val="1155CC"/>
            <w:sz w:val="20"/>
            <w:szCs w:val="20"/>
            <w:u w:val="single"/>
          </w:rPr>
          <w:t>https://fphlm.cs.fiu.edu/docs/FPHLM_05_02_2014.pdf</w:t>
        </w:r>
      </w:hyperlink>
    </w:p>
  </w:footnote>
  <w:footnote w:id="117">
    <w:p w:rsidR="00080769" w:rsidRDefault="00080769" w14:paraId="7451F8F9"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2">
        <w:r>
          <w:rPr>
            <w:rFonts w:ascii="Calibri" w:hAnsi="Calibri" w:eastAsia="Calibri" w:cs="Calibri"/>
            <w:color w:val="1155CC"/>
            <w:sz w:val="20"/>
            <w:szCs w:val="20"/>
            <w:u w:val="single"/>
          </w:rPr>
          <w:t>https://leginfo.legislature.ca.gov/faces/billNavClient.xhtml?bill_id=202520260SB429</w:t>
        </w:r>
      </w:hyperlink>
    </w:p>
  </w:footnote>
  <w:footnote w:id="118">
    <w:p w:rsidR="00080769" w:rsidRDefault="00080769" w14:paraId="07C96272"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3">
        <w:r>
          <w:rPr>
            <w:rFonts w:ascii="Calibri" w:hAnsi="Calibri" w:eastAsia="Calibri" w:cs="Calibri"/>
            <w:color w:val="1155CC"/>
            <w:sz w:val="20"/>
            <w:szCs w:val="20"/>
            <w:u w:val="single"/>
          </w:rPr>
          <w:t>https://www.insurance.ca.gov/01-consumers/180-climate-change/catmodelgroup.cfm</w:t>
        </w:r>
      </w:hyperlink>
    </w:p>
  </w:footnote>
  <w:footnote w:id="119">
    <w:p w:rsidR="00080769" w:rsidRDefault="00080769" w14:paraId="53D257CD"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4">
        <w:r>
          <w:rPr>
            <w:rFonts w:ascii="Calibri" w:hAnsi="Calibri" w:eastAsia="Calibri" w:cs="Calibri"/>
            <w:color w:val="1155CC"/>
            <w:sz w:val="20"/>
            <w:szCs w:val="20"/>
            <w:u w:val="single"/>
          </w:rPr>
          <w:t>https://content.naic.org/research/catastrophe-modeling-center-of-excellence</w:t>
        </w:r>
      </w:hyperlink>
    </w:p>
  </w:footnote>
  <w:footnote w:id="120">
    <w:p w:rsidRPr="006F601B" w:rsidR="00413889" w:rsidP="00413889" w:rsidRDefault="00413889" w14:paraId="5A091329" w14:textId="77777777">
      <w:pPr>
        <w:pStyle w:val="FootnoteText"/>
      </w:pPr>
      <w:r>
        <w:rPr>
          <w:rStyle w:val="FootnoteReference"/>
        </w:rPr>
        <w:footnoteRef/>
      </w:r>
      <w:r>
        <w:t xml:space="preserve"> UNDRR: </w:t>
      </w:r>
      <w:r w:rsidRPr="009F0469">
        <w:t>The invisible costs of wildfire disasters in 2025</w:t>
      </w:r>
      <w:r>
        <w:t xml:space="preserve">. (2026). </w:t>
      </w:r>
      <w:r w:rsidRPr="009F0469">
        <w:t>https://www.undrr.org/news/invisible-costs-wildfire-disasters-2025</w:t>
      </w:r>
    </w:p>
  </w:footnote>
  <w:footnote w:id="121">
    <w:p w:rsidRPr="006F601B" w:rsidR="00413889" w:rsidP="00413889" w:rsidRDefault="00413889" w14:paraId="2930E9C8" w14:textId="77777777">
      <w:pPr>
        <w:pStyle w:val="FootnoteText"/>
      </w:pPr>
      <w:r>
        <w:rPr>
          <w:rStyle w:val="FootnoteReference"/>
        </w:rPr>
        <w:footnoteRef/>
      </w:r>
      <w:r>
        <w:t xml:space="preserve"> </w:t>
      </w:r>
      <w:r w:rsidRPr="00127DBB">
        <w:t>Institute of Energy and the Environment</w:t>
      </w:r>
      <w:r>
        <w:t xml:space="preserve">: </w:t>
      </w:r>
      <w:hyperlink w:history="1" r:id="rId95">
        <w:r w:rsidRPr="00127DBB">
          <w:rPr>
            <w:rStyle w:val="Hyperlink"/>
          </w:rPr>
          <w:t>California’s wildfire crisis: Expert insights on causes, spread, and solutions</w:t>
        </w:r>
      </w:hyperlink>
      <w:r>
        <w:t xml:space="preserve">. (2025). </w:t>
      </w:r>
      <w:r w:rsidRPr="009F0469">
        <w:t>https://iee.psu.edu/news/blog/californias-wildfire-crisis-expert-insights-causes-spread-and-solutions</w:t>
      </w:r>
    </w:p>
  </w:footnote>
  <w:footnote w:id="122">
    <w:p w:rsidRPr="006F601B" w:rsidR="00413889" w:rsidP="00413889" w:rsidRDefault="00413889" w14:paraId="548567FC" w14:textId="77777777">
      <w:pPr>
        <w:pStyle w:val="FootnoteText"/>
      </w:pPr>
      <w:r>
        <w:rPr>
          <w:rStyle w:val="FootnoteReference"/>
        </w:rPr>
        <w:footnoteRef/>
      </w:r>
      <w:r>
        <w:t xml:space="preserve"> </w:t>
      </w:r>
      <w:r w:rsidRPr="009F0469">
        <w:t>Kumar, M., AghaKouchak, A., Abatzoglou, J.T. et al. Compounding effects of climate change and WUI expansion quadruple the likelihood of extreme-impact wildfires in California. npj Nat. Hazards 2, 17 (2025). https://doi.org/10.1038/s44304-025-00067-6</w:t>
      </w:r>
    </w:p>
  </w:footnote>
  <w:footnote w:id="123">
    <w:p w:rsidR="00080769" w:rsidRDefault="00080769" w14:paraId="477F29A4" w14:textId="77777777">
      <w:pPr>
        <w:spacing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SSRN: Coverage Neglect in Homeowners Insurance (2024) </w:t>
      </w:r>
      <w:hyperlink r:id="rId96">
        <w:r>
          <w:rPr>
            <w:rFonts w:ascii="Calibri" w:hAnsi="Calibri" w:eastAsia="Calibri" w:cs="Calibri"/>
            <w:color w:val="1155CC"/>
            <w:sz w:val="20"/>
            <w:szCs w:val="20"/>
            <w:u w:val="single"/>
          </w:rPr>
          <w:t>https://papers.ssrn.com/sol3/papers.cfm?abstract_id=5057551</w:t>
        </w:r>
      </w:hyperlink>
    </w:p>
  </w:footnote>
  <w:footnote w:id="124">
    <w:p w:rsidR="00080769" w:rsidP="00D87EAE" w:rsidRDefault="00080769" w14:paraId="746D4E12"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DORA - Colorado Division of Insurance. Homeowners' Insurance Availability Study Now Available (SB22-206).</w:t>
      </w:r>
    </w:p>
  </w:footnote>
  <w:footnote w:id="125">
    <w:p w:rsidR="00080769" w:rsidP="00D87EAE" w:rsidRDefault="00080769" w14:paraId="2058EC0C"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R Street Institute. Colorado Homeowners' Insurance: On the Right Path. July 16, 2025</w:t>
      </w:r>
    </w:p>
    <w:p w:rsidR="00080769" w:rsidRDefault="00080769" w14:paraId="0E64443B" w14:textId="77777777">
      <w:pPr>
        <w:spacing w:line="240" w:lineRule="auto"/>
        <w:rPr>
          <w:sz w:val="20"/>
          <w:szCs w:val="20"/>
        </w:rPr>
      </w:pPr>
    </w:p>
  </w:footnote>
  <w:footnote w:id="126">
    <w:p w:rsidR="00080769" w:rsidRDefault="00080769" w14:paraId="379A43EE"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7">
        <w:r>
          <w:rPr>
            <w:rFonts w:ascii="Calibri" w:hAnsi="Calibri" w:eastAsia="Calibri" w:cs="Calibri"/>
            <w:color w:val="467886"/>
            <w:sz w:val="20"/>
            <w:szCs w:val="20"/>
            <w:u w:val="single"/>
          </w:rPr>
          <w:t>The 1989 Loma Prieta Earthquake</w:t>
        </w:r>
      </w:hyperlink>
      <w:r>
        <w:rPr>
          <w:rFonts w:ascii="Calibri" w:hAnsi="Calibri" w:eastAsia="Calibri" w:cs="Calibri"/>
          <w:sz w:val="20"/>
          <w:szCs w:val="20"/>
        </w:rPr>
        <w:t xml:space="preserve"> |California Department of Conservation</w:t>
      </w:r>
    </w:p>
  </w:footnote>
  <w:footnote w:id="127">
    <w:p w:rsidR="00080769" w:rsidRDefault="00080769" w14:paraId="342CD9A7"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8">
        <w:r>
          <w:rPr>
            <w:rFonts w:ascii="Calibri" w:hAnsi="Calibri" w:eastAsia="Calibri" w:cs="Calibri"/>
            <w:color w:val="467886"/>
            <w:sz w:val="20"/>
            <w:szCs w:val="20"/>
            <w:u w:val="single"/>
          </w:rPr>
          <w:t>Effects of the Northridge Earthquake</w:t>
        </w:r>
      </w:hyperlink>
      <w:r>
        <w:rPr>
          <w:rFonts w:ascii="Calibri" w:hAnsi="Calibri" w:eastAsia="Calibri" w:cs="Calibri"/>
          <w:sz w:val="20"/>
          <w:szCs w:val="20"/>
        </w:rPr>
        <w:t xml:space="preserve"> | Seismic Safety Commission</w:t>
      </w:r>
    </w:p>
  </w:footnote>
  <w:footnote w:id="128">
    <w:p w:rsidR="00080769" w:rsidRDefault="00080769" w14:paraId="37A6AD7E"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99">
        <w:r>
          <w:rPr>
            <w:rFonts w:ascii="Calibri" w:hAnsi="Calibri" w:eastAsia="Calibri" w:cs="Calibri"/>
            <w:color w:val="467886"/>
            <w:sz w:val="20"/>
            <w:szCs w:val="20"/>
            <w:u w:val="single"/>
          </w:rPr>
          <w:t>Earthquake Insurance</w:t>
        </w:r>
      </w:hyperlink>
      <w:r>
        <w:rPr>
          <w:rFonts w:ascii="Calibri" w:hAnsi="Calibri" w:eastAsia="Calibri" w:cs="Calibri"/>
          <w:sz w:val="20"/>
          <w:szCs w:val="20"/>
        </w:rPr>
        <w:t xml:space="preserve"> | FEMA</w:t>
      </w:r>
    </w:p>
  </w:footnote>
  <w:footnote w:id="129">
    <w:p w:rsidR="00080769" w:rsidRDefault="00080769" w14:paraId="105A7BBD" w14:textId="77777777">
      <w:pPr>
        <w:spacing w:after="0" w:line="240" w:lineRule="auto"/>
        <w:rPr>
          <w:rFonts w:ascii="Calibri" w:hAnsi="Calibri" w:eastAsia="Calibri" w:cs="Calibri"/>
          <w:sz w:val="20"/>
          <w:szCs w:val="20"/>
        </w:rPr>
      </w:pPr>
      <w:r>
        <w:rPr>
          <w:vertAlign w:val="superscript"/>
        </w:rPr>
        <w:footnoteRef/>
      </w:r>
      <w:r>
        <w:rPr>
          <w:rFonts w:ascii="Calibri" w:hAnsi="Calibri" w:eastAsia="Calibri" w:cs="Calibri"/>
          <w:sz w:val="20"/>
          <w:szCs w:val="20"/>
        </w:rPr>
        <w:t xml:space="preserve"> </w:t>
      </w:r>
      <w:hyperlink r:id="rId100">
        <w:r>
          <w:rPr>
            <w:rFonts w:ascii="Calibri" w:hAnsi="Calibri" w:eastAsia="Calibri" w:cs="Calibri"/>
            <w:color w:val="467886"/>
            <w:sz w:val="20"/>
            <w:szCs w:val="20"/>
            <w:u w:val="single"/>
          </w:rPr>
          <w:t>Climate‐Driven Sea Level Rise Exacerbates Alaskan and Cascadian Tsunami Hazards in Southern California</w:t>
        </w:r>
      </w:hyperlink>
      <w:r>
        <w:rPr>
          <w:rFonts w:ascii="Calibri" w:hAnsi="Calibri" w:eastAsia="Calibri" w:cs="Calibri"/>
          <w:sz w:val="20"/>
          <w:szCs w:val="20"/>
        </w:rPr>
        <w:t xml:space="preserve"> | Earth’s Future</w:t>
      </w:r>
    </w:p>
  </w:footnote>
  <w:footnote w:id="130">
    <w:p w:rsidR="00E53AD1" w:rsidRDefault="00E53AD1" w14:paraId="7D49133E" w14:textId="2AECA87F">
      <w:pPr>
        <w:pStyle w:val="FootnoteText"/>
      </w:pPr>
      <w:r>
        <w:rPr>
          <w:rStyle w:val="FootnoteReference"/>
        </w:rPr>
        <w:footnoteRef/>
      </w:r>
      <w:r>
        <w:t xml:space="preserve"> </w:t>
      </w:r>
      <w:r w:rsidRPr="00D51B2C" w:rsidR="00D51B2C">
        <w:t>California Natural Resources Agency. Fourth Climate Assessment. https://cal-heat.org/</w:t>
      </w:r>
    </w:p>
  </w:footnote>
  <w:footnote w:id="131">
    <w:p w:rsidR="003C10A9" w:rsidP="008F6E0F" w:rsidRDefault="003C10A9" w14:paraId="4FB0642D" w14:textId="03030499">
      <w:pPr>
        <w:pStyle w:val="FootnoteText"/>
      </w:pPr>
      <w:r>
        <w:rPr>
          <w:rStyle w:val="FootnoteReference"/>
        </w:rPr>
        <w:footnoteRef/>
      </w:r>
      <w:r>
        <w:t xml:space="preserve"> </w:t>
      </w:r>
      <w:r w:rsidR="008F6E0F">
        <w:t>Schmeltz, M.T., Petkova, E.P., and J.L. Gamble. 2016. Economic Burden of Hospitalizations for Heat-Related Illnesses in the United States, 2001-2010.</w:t>
      </w:r>
      <w:r w:rsidR="00D4100C">
        <w:t xml:space="preserve"> </w:t>
      </w:r>
      <w:r w:rsidR="008F6E0F">
        <w:t>International journal of environmental research and public health, 13(9), 894.</w:t>
      </w:r>
    </w:p>
  </w:footnote>
  <w:footnote w:id="132">
    <w:p w:rsidR="008F6E0F" w:rsidRDefault="008F6E0F" w14:paraId="1427F151" w14:textId="2FCEB7B9">
      <w:pPr>
        <w:pStyle w:val="FootnoteText"/>
      </w:pPr>
      <w:r>
        <w:rPr>
          <w:rStyle w:val="FootnoteReference"/>
        </w:rPr>
        <w:footnoteRef/>
      </w:r>
      <w:r>
        <w:t xml:space="preserve"> </w:t>
      </w:r>
      <w:r w:rsidR="00D4100C">
        <w:t xml:space="preserve">California Department of Insurance. 2024. </w:t>
      </w:r>
      <w:hyperlink r:id="rId101">
        <w:r w:rsidRPr="00D4100C" w:rsidR="00D4100C">
          <w:rPr>
            <w:rStyle w:val="Hyperlink"/>
            <w:lang w:val="en"/>
          </w:rPr>
          <w:t>Impacts of Extreme Heat to California’s People, Infrastructure, and Economy</w:t>
        </w:r>
      </w:hyperlink>
    </w:p>
  </w:footnote>
  <w:footnote w:id="133">
    <w:p w:rsidR="00080769" w:rsidP="00FB5637" w:rsidRDefault="00080769" w14:paraId="1280130C" w14:textId="77777777">
      <w:pPr>
        <w:pStyle w:val="FootnoteText"/>
      </w:pPr>
      <w:r>
        <w:rPr>
          <w:rStyle w:val="FootnoteReference"/>
        </w:rPr>
        <w:footnoteRef/>
      </w:r>
      <w:r>
        <w:t xml:space="preserve"> Cite article with Dan.</w:t>
      </w:r>
    </w:p>
  </w:footnote>
  <w:footnote w:id="134">
    <w:p w:rsidR="00080769" w:rsidP="00FB5637" w:rsidRDefault="00080769" w14:paraId="56675FDE" w14:textId="77777777">
      <w:pPr>
        <w:pStyle w:val="FootnoteText"/>
      </w:pPr>
      <w:r>
        <w:rPr>
          <w:rStyle w:val="FootnoteReference"/>
        </w:rPr>
        <w:footnoteRef/>
      </w:r>
      <w:r>
        <w:t xml:space="preserve"> Could cite NCEE and Champlain College.</w:t>
      </w:r>
    </w:p>
  </w:footnote>
  <w:footnote w:id="135">
    <w:p w:rsidR="00080769" w:rsidP="006F5C59" w:rsidRDefault="00080769" w14:paraId="2D63AD20" w14:textId="77777777">
      <w:pPr>
        <w:pStyle w:val="FootnoteText"/>
      </w:pPr>
      <w:r>
        <w:rPr>
          <w:rStyle w:val="FootnoteReference"/>
        </w:rPr>
        <w:footnoteRef/>
      </w:r>
      <w:r>
        <w:t xml:space="preserve"> Cite Bartholomae et al.</w:t>
      </w:r>
    </w:p>
  </w:footnote>
  <w:footnote w:id="136">
    <w:p w:rsidR="00080769" w:rsidP="00FB5637" w:rsidRDefault="00080769" w14:paraId="5C05D110" w14:textId="77777777">
      <w:pPr>
        <w:pStyle w:val="FootnoteText"/>
      </w:pPr>
      <w:r>
        <w:rPr>
          <w:rStyle w:val="FootnoteReference"/>
        </w:rPr>
        <w:footnoteRef/>
      </w:r>
      <w:r>
        <w:t xml:space="preserve"> Cite Bartholomae et al., </w:t>
      </w:r>
      <w:hyperlink w:history="1" r:id="rId102">
        <w:r w:rsidRPr="00292200">
          <w:rPr>
            <w:rStyle w:val="Hyperlink"/>
          </w:rPr>
          <w:t>Educational-Methodologies-of-Personal-Finance.pdf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1C8E" w:rsidRDefault="00871C8E" w14:paraId="72C4FA7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1C8E" w:rsidRDefault="00871C8E" w14:paraId="1D28457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1C8E" w:rsidRDefault="00871C8E" w14:paraId="5A35C82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bullet="t" o:hr="t" o:hrstd="t" o:hralign="center" fillcolor="#a0a0a0" stroked="f"/>
    </w:pict>
  </w:numPicBullet>
  <w:abstractNum w:abstractNumId="0" w15:restartNumberingAfterBreak="0">
    <w:nsid w:val="01E72989"/>
    <w:multiLevelType w:val="hybridMultilevel"/>
    <w:tmpl w:val="2B445A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A92C91"/>
    <w:multiLevelType w:val="multilevel"/>
    <w:tmpl w:val="D06AFA3A"/>
    <w:lvl w:ilvl="0">
      <w:start w:val="1"/>
      <w:numFmt w:val="bullet"/>
      <w:lvlText w:val=""/>
      <w:lvlJc w:val="left"/>
      <w:pPr>
        <w:ind w:left="1440" w:hanging="360"/>
      </w:pPr>
      <w:rPr>
        <w:rFonts w:hint="default" w:ascii="Symbol" w:hAnsi="Symbol"/>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3925C1"/>
    <w:multiLevelType w:val="hybridMultilevel"/>
    <w:tmpl w:val="47D078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4974246"/>
    <w:multiLevelType w:val="hybridMultilevel"/>
    <w:tmpl w:val="708406E8"/>
    <w:lvl w:ilvl="0" w:tplc="04090003">
      <w:start w:val="1"/>
      <w:numFmt w:val="bullet"/>
      <w:lvlText w:val="o"/>
      <w:lvlJc w:val="left"/>
      <w:pPr>
        <w:ind w:left="144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start w:val="1"/>
      <w:numFmt w:val="bullet"/>
      <w:lvlText w:val="o"/>
      <w:lvlJc w:val="left"/>
      <w:pPr>
        <w:ind w:left="4320" w:hanging="360"/>
      </w:pPr>
      <w:rPr>
        <w:rFonts w:hint="default" w:ascii="Courier New" w:hAnsi="Courier New" w:cs="Courier New"/>
      </w:rPr>
    </w:lvl>
    <w:lvl w:ilvl="5" w:tplc="04090005">
      <w:start w:val="1"/>
      <w:numFmt w:val="bullet"/>
      <w:lvlText w:val=""/>
      <w:lvlJc w:val="left"/>
      <w:pPr>
        <w:ind w:left="5040" w:hanging="360"/>
      </w:pPr>
      <w:rPr>
        <w:rFonts w:hint="default" w:ascii="Wingdings" w:hAnsi="Wingdings"/>
      </w:rPr>
    </w:lvl>
    <w:lvl w:ilvl="6" w:tplc="04090001">
      <w:start w:val="1"/>
      <w:numFmt w:val="bullet"/>
      <w:lvlText w:val=""/>
      <w:lvlJc w:val="left"/>
      <w:pPr>
        <w:ind w:left="5760" w:hanging="360"/>
      </w:pPr>
      <w:rPr>
        <w:rFonts w:hint="default" w:ascii="Symbol" w:hAnsi="Symbol"/>
      </w:rPr>
    </w:lvl>
    <w:lvl w:ilvl="7" w:tplc="04090003">
      <w:start w:val="1"/>
      <w:numFmt w:val="bullet"/>
      <w:lvlText w:val="o"/>
      <w:lvlJc w:val="left"/>
      <w:pPr>
        <w:ind w:left="6480" w:hanging="360"/>
      </w:pPr>
      <w:rPr>
        <w:rFonts w:hint="default" w:ascii="Courier New" w:hAnsi="Courier New" w:cs="Courier New"/>
      </w:rPr>
    </w:lvl>
    <w:lvl w:ilvl="8" w:tplc="04090005">
      <w:start w:val="1"/>
      <w:numFmt w:val="bullet"/>
      <w:lvlText w:val=""/>
      <w:lvlJc w:val="left"/>
      <w:pPr>
        <w:ind w:left="7200" w:hanging="360"/>
      </w:pPr>
      <w:rPr>
        <w:rFonts w:hint="default" w:ascii="Wingdings" w:hAnsi="Wingdings"/>
      </w:rPr>
    </w:lvl>
  </w:abstractNum>
  <w:abstractNum w:abstractNumId="4" w15:restartNumberingAfterBreak="0">
    <w:nsid w:val="05151780"/>
    <w:multiLevelType w:val="multilevel"/>
    <w:tmpl w:val="9AE609DA"/>
    <w:lvl w:ilvl="0">
      <w:start w:val="1"/>
      <w:numFmt w:val="bullet"/>
      <w:lvlText w:val=""/>
      <w:lvlJc w:val="left"/>
      <w:pPr>
        <w:ind w:left="720" w:hanging="360"/>
      </w:pPr>
      <w:rPr>
        <w:rFonts w:hint="default" w:ascii="Symbol" w:hAnsi="Symbol"/>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5" w15:restartNumberingAfterBreak="0">
    <w:nsid w:val="06354C4B"/>
    <w:multiLevelType w:val="multilevel"/>
    <w:tmpl w:val="2C7CD59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AE02F2"/>
    <w:multiLevelType w:val="hybridMultilevel"/>
    <w:tmpl w:val="47A0458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09CA37D6"/>
    <w:multiLevelType w:val="hybridMultilevel"/>
    <w:tmpl w:val="1FCAF3FC"/>
    <w:lvl w:ilvl="0" w:tplc="FFFFFFFF">
      <w:start w:val="1"/>
      <w:numFmt w:val="bullet"/>
      <w:lvlText w:val=""/>
      <w:lvlJc w:val="left"/>
      <w:pPr>
        <w:ind w:left="720" w:hanging="360"/>
      </w:pPr>
      <w:rPr>
        <w:rFonts w:hint="default" w:ascii="Symbol" w:hAnsi="Symbol"/>
      </w:rPr>
    </w:lvl>
    <w:lvl w:ilvl="1" w:tplc="04090005">
      <w:start w:val="1"/>
      <w:numFmt w:val="bullet"/>
      <w:lvlText w:val=""/>
      <w:lvlJc w:val="left"/>
      <w:pPr>
        <w:ind w:left="1080" w:hanging="360"/>
      </w:pPr>
      <w:rPr>
        <w:rFonts w:hint="default" w:ascii="Wingdings" w:hAnsi="Wingdings"/>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8" w15:restartNumberingAfterBreak="0">
    <w:nsid w:val="0FF4463B"/>
    <w:multiLevelType w:val="multilevel"/>
    <w:tmpl w:val="EE34EA28"/>
    <w:lvl w:ilvl="0">
      <w:start w:val="1"/>
      <w:numFmt w:val="bullet"/>
      <w:lvlText w:val="o"/>
      <w:lvlJc w:val="left"/>
      <w:pPr>
        <w:tabs>
          <w:tab w:val="num" w:pos="2160"/>
        </w:tabs>
        <w:ind w:left="2160" w:hanging="360"/>
      </w:pPr>
      <w:rPr>
        <w:rFonts w:hint="default" w:ascii="Courier New" w:hAnsi="Courier New" w:cs="Courier New"/>
        <w:sz w:val="20"/>
      </w:rPr>
    </w:lvl>
    <w:lvl w:ilvl="1">
      <w:start w:val="1"/>
      <w:numFmt w:val="bullet"/>
      <w:lvlText w:val="o"/>
      <w:lvlJc w:val="left"/>
      <w:pPr>
        <w:tabs>
          <w:tab w:val="num" w:pos="2880"/>
        </w:tabs>
        <w:ind w:left="2880" w:hanging="360"/>
      </w:pPr>
      <w:rPr>
        <w:rFonts w:hint="default" w:ascii="Courier New" w:hAnsi="Courier New" w:cs="Times New Roman"/>
        <w:sz w:val="20"/>
      </w:rPr>
    </w:lvl>
    <w:lvl w:ilvl="2">
      <w:start w:val="1"/>
      <w:numFmt w:val="bullet"/>
      <w:lvlText w:val=""/>
      <w:lvlJc w:val="left"/>
      <w:pPr>
        <w:tabs>
          <w:tab w:val="num" w:pos="3600"/>
        </w:tabs>
        <w:ind w:left="3600" w:hanging="360"/>
      </w:pPr>
      <w:rPr>
        <w:rFonts w:hint="default" w:ascii="Wingdings" w:hAnsi="Wingdings"/>
        <w:sz w:val="20"/>
      </w:rPr>
    </w:lvl>
    <w:lvl w:ilvl="3">
      <w:start w:val="1"/>
      <w:numFmt w:val="bullet"/>
      <w:lvlText w:val=""/>
      <w:lvlJc w:val="left"/>
      <w:pPr>
        <w:tabs>
          <w:tab w:val="num" w:pos="4320"/>
        </w:tabs>
        <w:ind w:left="4320" w:hanging="360"/>
      </w:pPr>
      <w:rPr>
        <w:rFonts w:hint="default" w:ascii="Wingdings" w:hAnsi="Wingdings"/>
        <w:sz w:val="20"/>
      </w:rPr>
    </w:lvl>
    <w:lvl w:ilvl="4">
      <w:start w:val="1"/>
      <w:numFmt w:val="bullet"/>
      <w:lvlText w:val=""/>
      <w:lvlJc w:val="left"/>
      <w:pPr>
        <w:tabs>
          <w:tab w:val="num" w:pos="5040"/>
        </w:tabs>
        <w:ind w:left="5040" w:hanging="360"/>
      </w:pPr>
      <w:rPr>
        <w:rFonts w:hint="default" w:ascii="Wingdings" w:hAnsi="Wingdings"/>
        <w:sz w:val="20"/>
      </w:rPr>
    </w:lvl>
    <w:lvl w:ilvl="5">
      <w:start w:val="1"/>
      <w:numFmt w:val="bullet"/>
      <w:lvlText w:val=""/>
      <w:lvlJc w:val="left"/>
      <w:pPr>
        <w:tabs>
          <w:tab w:val="num" w:pos="5760"/>
        </w:tabs>
        <w:ind w:left="5760" w:hanging="360"/>
      </w:pPr>
      <w:rPr>
        <w:rFonts w:hint="default" w:ascii="Wingdings" w:hAnsi="Wingdings"/>
        <w:sz w:val="20"/>
      </w:rPr>
    </w:lvl>
    <w:lvl w:ilvl="6">
      <w:start w:val="1"/>
      <w:numFmt w:val="bullet"/>
      <w:lvlText w:val=""/>
      <w:lvlJc w:val="left"/>
      <w:pPr>
        <w:tabs>
          <w:tab w:val="num" w:pos="6480"/>
        </w:tabs>
        <w:ind w:left="6480" w:hanging="360"/>
      </w:pPr>
      <w:rPr>
        <w:rFonts w:hint="default" w:ascii="Wingdings" w:hAnsi="Wingdings"/>
        <w:sz w:val="20"/>
      </w:rPr>
    </w:lvl>
    <w:lvl w:ilvl="7">
      <w:start w:val="1"/>
      <w:numFmt w:val="bullet"/>
      <w:lvlText w:val=""/>
      <w:lvlJc w:val="left"/>
      <w:pPr>
        <w:tabs>
          <w:tab w:val="num" w:pos="7200"/>
        </w:tabs>
        <w:ind w:left="7200" w:hanging="360"/>
      </w:pPr>
      <w:rPr>
        <w:rFonts w:hint="default" w:ascii="Wingdings" w:hAnsi="Wingdings"/>
        <w:sz w:val="20"/>
      </w:rPr>
    </w:lvl>
    <w:lvl w:ilvl="8">
      <w:start w:val="1"/>
      <w:numFmt w:val="bullet"/>
      <w:lvlText w:val=""/>
      <w:lvlJc w:val="left"/>
      <w:pPr>
        <w:tabs>
          <w:tab w:val="num" w:pos="7920"/>
        </w:tabs>
        <w:ind w:left="7920" w:hanging="360"/>
      </w:pPr>
      <w:rPr>
        <w:rFonts w:hint="default" w:ascii="Wingdings" w:hAnsi="Wingdings"/>
        <w:sz w:val="20"/>
      </w:rPr>
    </w:lvl>
  </w:abstractNum>
  <w:abstractNum w:abstractNumId="9" w15:restartNumberingAfterBreak="0">
    <w:nsid w:val="10E965D0"/>
    <w:multiLevelType w:val="hybridMultilevel"/>
    <w:tmpl w:val="3C76E3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13126D9"/>
    <w:multiLevelType w:val="hybridMultilevel"/>
    <w:tmpl w:val="328C7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4C2046E"/>
    <w:multiLevelType w:val="hybridMultilevel"/>
    <w:tmpl w:val="4DD67B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4F412A6"/>
    <w:multiLevelType w:val="multilevel"/>
    <w:tmpl w:val="E452AD0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981099"/>
    <w:multiLevelType w:val="hybridMultilevel"/>
    <w:tmpl w:val="227423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7E97546"/>
    <w:multiLevelType w:val="hybridMultilevel"/>
    <w:tmpl w:val="8D649E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A747D0B"/>
    <w:multiLevelType w:val="hybridMultilevel"/>
    <w:tmpl w:val="47AAD0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2014748"/>
    <w:multiLevelType w:val="multilevel"/>
    <w:tmpl w:val="CB5E6574"/>
    <w:lvl w:ilvl="0">
      <w:start w:val="1"/>
      <w:numFmt w:val="bullet"/>
      <w:lvlText w:val="●"/>
      <w:lvlJc w:val="left"/>
      <w:pPr>
        <w:ind w:left="720" w:hanging="360"/>
      </w:pPr>
      <w:rPr>
        <w:u w:val="none"/>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8B1E27"/>
    <w:multiLevelType w:val="multilevel"/>
    <w:tmpl w:val="0BDC5C7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C845F0"/>
    <w:multiLevelType w:val="hybridMultilevel"/>
    <w:tmpl w:val="7C7887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6D97BE8"/>
    <w:multiLevelType w:val="hybridMultilevel"/>
    <w:tmpl w:val="F12CB7D6"/>
    <w:lvl w:ilvl="0" w:tplc="04090005">
      <w:start w:val="1"/>
      <w:numFmt w:val="bullet"/>
      <w:lvlText w:val=""/>
      <w:lvlJc w:val="left"/>
      <w:pPr>
        <w:ind w:left="1080" w:hanging="360"/>
      </w:pPr>
      <w:rPr>
        <w:rFonts w:hint="default" w:ascii="Wingdings" w:hAnsi="Wingdings"/>
      </w:rPr>
    </w:lvl>
    <w:lvl w:ilvl="1" w:tplc="FFFFFFFF">
      <w:start w:val="1"/>
      <w:numFmt w:val="bullet"/>
      <w:lvlText w:val="o"/>
      <w:lvlJc w:val="left"/>
      <w:pPr>
        <w:ind w:left="1800" w:hanging="360"/>
      </w:pPr>
      <w:rPr>
        <w:rFonts w:hint="default" w:ascii="Courier New" w:hAnsi="Courier New" w:cs="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20" w15:restartNumberingAfterBreak="0">
    <w:nsid w:val="28947321"/>
    <w:multiLevelType w:val="multilevel"/>
    <w:tmpl w:val="2C0E97F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1" w15:restartNumberingAfterBreak="0">
    <w:nsid w:val="2A5E0E07"/>
    <w:multiLevelType w:val="hybridMultilevel"/>
    <w:tmpl w:val="D15AE1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BD7099A"/>
    <w:multiLevelType w:val="multilevel"/>
    <w:tmpl w:val="2DE63B8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650215"/>
    <w:multiLevelType w:val="hybridMultilevel"/>
    <w:tmpl w:val="9F0298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ECA460C"/>
    <w:multiLevelType w:val="hybridMultilevel"/>
    <w:tmpl w:val="EEF4917C"/>
    <w:lvl w:ilvl="0" w:tplc="04090005">
      <w:start w:val="1"/>
      <w:numFmt w:val="bullet"/>
      <w:lvlText w:val=""/>
      <w:lvlJc w:val="left"/>
      <w:pPr>
        <w:ind w:left="1080" w:hanging="360"/>
      </w:pPr>
      <w:rPr>
        <w:rFonts w:hint="default" w:ascii="Wingdings" w:hAnsi="Wingdings"/>
      </w:rPr>
    </w:lvl>
    <w:lvl w:ilvl="1" w:tplc="FFFFFFFF">
      <w:start w:val="1"/>
      <w:numFmt w:val="bullet"/>
      <w:lvlText w:val="o"/>
      <w:lvlJc w:val="left"/>
      <w:pPr>
        <w:ind w:left="1800" w:hanging="360"/>
      </w:pPr>
      <w:rPr>
        <w:rFonts w:hint="default" w:ascii="Courier New" w:hAnsi="Courier New" w:cs="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25" w15:restartNumberingAfterBreak="0">
    <w:nsid w:val="380012E2"/>
    <w:multiLevelType w:val="hybridMultilevel"/>
    <w:tmpl w:val="81948E32"/>
    <w:lvl w:ilvl="0" w:tplc="04090005">
      <w:start w:val="1"/>
      <w:numFmt w:val="bullet"/>
      <w:lvlText w:val=""/>
      <w:lvlJc w:val="left"/>
      <w:pPr>
        <w:ind w:left="1440" w:hanging="360"/>
      </w:pPr>
      <w:rPr>
        <w:rFonts w:hint="default" w:ascii="Wingdings" w:hAnsi="Wingdings"/>
      </w:rPr>
    </w:lvl>
    <w:lvl w:ilvl="1" w:tplc="FFFFFFFF">
      <w:start w:val="1"/>
      <w:numFmt w:val="bullet"/>
      <w:lvlText w:val="o"/>
      <w:lvlJc w:val="left"/>
      <w:pPr>
        <w:ind w:left="2160" w:hanging="360"/>
      </w:pPr>
      <w:rPr>
        <w:rFonts w:hint="default" w:ascii="Courier New" w:hAnsi="Courier New" w:cs="Courier New"/>
      </w:rPr>
    </w:lvl>
    <w:lvl w:ilvl="2" w:tplc="FFFFFFFF">
      <w:start w:val="1"/>
      <w:numFmt w:val="bullet"/>
      <w:lvlText w:val=""/>
      <w:lvlJc w:val="left"/>
      <w:pPr>
        <w:ind w:left="2880" w:hanging="360"/>
      </w:pPr>
      <w:rPr>
        <w:rFonts w:hint="default" w:ascii="Wingdings" w:hAnsi="Wingdings"/>
      </w:rPr>
    </w:lvl>
    <w:lvl w:ilvl="3" w:tplc="FFFFFFFF">
      <w:start w:val="1"/>
      <w:numFmt w:val="bullet"/>
      <w:lvlText w:val=""/>
      <w:lvlJc w:val="left"/>
      <w:pPr>
        <w:ind w:left="3600" w:hanging="360"/>
      </w:pPr>
      <w:rPr>
        <w:rFonts w:hint="default" w:ascii="Symbol" w:hAnsi="Symbol"/>
      </w:rPr>
    </w:lvl>
    <w:lvl w:ilvl="4" w:tplc="FFFFFFFF">
      <w:start w:val="1"/>
      <w:numFmt w:val="bullet"/>
      <w:lvlText w:val="o"/>
      <w:lvlJc w:val="left"/>
      <w:pPr>
        <w:ind w:left="4320" w:hanging="360"/>
      </w:pPr>
      <w:rPr>
        <w:rFonts w:hint="default" w:ascii="Courier New" w:hAnsi="Courier New" w:cs="Courier New"/>
      </w:rPr>
    </w:lvl>
    <w:lvl w:ilvl="5" w:tplc="FFFFFFFF">
      <w:start w:val="1"/>
      <w:numFmt w:val="bullet"/>
      <w:lvlText w:val=""/>
      <w:lvlJc w:val="left"/>
      <w:pPr>
        <w:ind w:left="5040" w:hanging="360"/>
      </w:pPr>
      <w:rPr>
        <w:rFonts w:hint="default" w:ascii="Wingdings" w:hAnsi="Wingdings"/>
      </w:rPr>
    </w:lvl>
    <w:lvl w:ilvl="6" w:tplc="FFFFFFFF">
      <w:start w:val="1"/>
      <w:numFmt w:val="bullet"/>
      <w:lvlText w:val=""/>
      <w:lvlJc w:val="left"/>
      <w:pPr>
        <w:ind w:left="5760" w:hanging="360"/>
      </w:pPr>
      <w:rPr>
        <w:rFonts w:hint="default" w:ascii="Symbol" w:hAnsi="Symbol"/>
      </w:rPr>
    </w:lvl>
    <w:lvl w:ilvl="7" w:tplc="FFFFFFFF">
      <w:start w:val="1"/>
      <w:numFmt w:val="bullet"/>
      <w:lvlText w:val="o"/>
      <w:lvlJc w:val="left"/>
      <w:pPr>
        <w:ind w:left="6480" w:hanging="360"/>
      </w:pPr>
      <w:rPr>
        <w:rFonts w:hint="default" w:ascii="Courier New" w:hAnsi="Courier New" w:cs="Courier New"/>
      </w:rPr>
    </w:lvl>
    <w:lvl w:ilvl="8" w:tplc="FFFFFFFF">
      <w:start w:val="1"/>
      <w:numFmt w:val="bullet"/>
      <w:lvlText w:val=""/>
      <w:lvlJc w:val="left"/>
      <w:pPr>
        <w:ind w:left="7200" w:hanging="360"/>
      </w:pPr>
      <w:rPr>
        <w:rFonts w:hint="default" w:ascii="Wingdings" w:hAnsi="Wingdings"/>
      </w:rPr>
    </w:lvl>
  </w:abstractNum>
  <w:abstractNum w:abstractNumId="26" w15:restartNumberingAfterBreak="0">
    <w:nsid w:val="3A4D4CC9"/>
    <w:multiLevelType w:val="hybridMultilevel"/>
    <w:tmpl w:val="148A6A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7" w15:restartNumberingAfterBreak="0">
    <w:nsid w:val="3DA35A7B"/>
    <w:multiLevelType w:val="hybridMultilevel"/>
    <w:tmpl w:val="2842C3E4"/>
    <w:lvl w:ilvl="0" w:tplc="FFFFFFFF">
      <w:start w:val="1"/>
      <w:numFmt w:val="bullet"/>
      <w:lvlText w:val=""/>
      <w:lvlJc w:val="left"/>
      <w:pPr>
        <w:ind w:left="720" w:hanging="360"/>
      </w:pPr>
      <w:rPr>
        <w:rFonts w:hint="default" w:ascii="Symbol" w:hAnsi="Symbol"/>
      </w:rPr>
    </w:lvl>
    <w:lvl w:ilvl="1" w:tplc="04090005">
      <w:start w:val="1"/>
      <w:numFmt w:val="bullet"/>
      <w:lvlText w:val=""/>
      <w:lvlJc w:val="left"/>
      <w:pPr>
        <w:ind w:left="144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44B178AE"/>
    <w:multiLevelType w:val="multilevel"/>
    <w:tmpl w:val="E452AD0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4FF36A6"/>
    <w:multiLevelType w:val="multilevel"/>
    <w:tmpl w:val="B3FEC86E"/>
    <w:lvl w:ilvl="0">
      <w:start w:val="1"/>
      <w:numFmt w:val="bullet"/>
      <w:lvlText w:val="●"/>
      <w:lvlJc w:val="left"/>
      <w:pPr>
        <w:ind w:left="720" w:hanging="360"/>
      </w:pPr>
      <w:rPr>
        <w:u w:val="none"/>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4C26B9"/>
    <w:multiLevelType w:val="multilevel"/>
    <w:tmpl w:val="7C50649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704A91"/>
    <w:multiLevelType w:val="hybridMultilevel"/>
    <w:tmpl w:val="9EE421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4818059B"/>
    <w:multiLevelType w:val="hybridMultilevel"/>
    <w:tmpl w:val="B68EEC9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4C6D271D"/>
    <w:multiLevelType w:val="multilevel"/>
    <w:tmpl w:val="E452AD0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594A9C"/>
    <w:multiLevelType w:val="hybridMultilevel"/>
    <w:tmpl w:val="F9F26B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149309D"/>
    <w:multiLevelType w:val="multilevel"/>
    <w:tmpl w:val="196EF1F0"/>
    <w:lvl w:ilvl="0">
      <w:start w:val="1"/>
      <w:numFmt w:val="bullet"/>
      <w:lvlText w:val=""/>
      <w:lvlJc w:val="left"/>
      <w:pPr>
        <w:ind w:left="720" w:hanging="360"/>
      </w:pPr>
      <w:rPr>
        <w:rFonts w:hint="default" w:ascii="Symbol" w:hAnsi="Symbol"/>
        <w:u w:val="none"/>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5F02C4"/>
    <w:multiLevelType w:val="hybridMultilevel"/>
    <w:tmpl w:val="B30A362E"/>
    <w:lvl w:ilvl="0" w:tplc="6E040602">
      <w:start w:val="1"/>
      <w:numFmt w:val="upperLetter"/>
      <w:pStyle w:val="OutlineP3H3"/>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31F06B6"/>
    <w:multiLevelType w:val="hybridMultilevel"/>
    <w:tmpl w:val="38743652"/>
    <w:lvl w:ilvl="0" w:tplc="FFFFFFFF">
      <w:start w:val="1"/>
      <w:numFmt w:val="bullet"/>
      <w:lvlText w:val=""/>
      <w:lvlJc w:val="left"/>
      <w:pPr>
        <w:ind w:left="720" w:hanging="360"/>
      </w:pPr>
      <w:rPr>
        <w:rFonts w:hint="default" w:ascii="Symbol" w:hAnsi="Symbol"/>
      </w:rPr>
    </w:lvl>
    <w:lvl w:ilvl="1" w:tplc="04090005">
      <w:start w:val="1"/>
      <w:numFmt w:val="bullet"/>
      <w:lvlText w:val=""/>
      <w:lvlJc w:val="left"/>
      <w:pPr>
        <w:ind w:left="1080" w:hanging="360"/>
      </w:pPr>
      <w:rPr>
        <w:rFonts w:hint="default" w:ascii="Wingdings" w:hAnsi="Wingdings"/>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38" w15:restartNumberingAfterBreak="0">
    <w:nsid w:val="54CC532E"/>
    <w:multiLevelType w:val="hybridMultilevel"/>
    <w:tmpl w:val="924873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6D74709"/>
    <w:multiLevelType w:val="hybridMultilevel"/>
    <w:tmpl w:val="094CF1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76516DE"/>
    <w:multiLevelType w:val="hybridMultilevel"/>
    <w:tmpl w:val="FEA221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A3272CA"/>
    <w:multiLevelType w:val="hybridMultilevel"/>
    <w:tmpl w:val="EB5A70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A744BC9"/>
    <w:multiLevelType w:val="hybridMultilevel"/>
    <w:tmpl w:val="4E021C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5C1140EF"/>
    <w:multiLevelType w:val="hybridMultilevel"/>
    <w:tmpl w:val="5C185C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C93365F"/>
    <w:multiLevelType w:val="hybridMultilevel"/>
    <w:tmpl w:val="170A44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5C98094F"/>
    <w:multiLevelType w:val="hybridMultilevel"/>
    <w:tmpl w:val="B002EA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5D1C4FC8"/>
    <w:multiLevelType w:val="hybridMultilevel"/>
    <w:tmpl w:val="F4B8CC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5DFE1430"/>
    <w:multiLevelType w:val="multilevel"/>
    <w:tmpl w:val="D2AA458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E2801B1"/>
    <w:multiLevelType w:val="hybridMultilevel"/>
    <w:tmpl w:val="A8FC6F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5F3413A6"/>
    <w:multiLevelType w:val="multilevel"/>
    <w:tmpl w:val="FB3A8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0974C60"/>
    <w:multiLevelType w:val="hybridMultilevel"/>
    <w:tmpl w:val="7D685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626465B7"/>
    <w:multiLevelType w:val="multilevel"/>
    <w:tmpl w:val="E5A0CD62"/>
    <w:lvl w:ilvl="0">
      <w:start w:val="1"/>
      <w:numFmt w:val="bullet"/>
      <w:lvlText w:val="●"/>
      <w:lvlJc w:val="left"/>
      <w:pPr>
        <w:ind w:left="720" w:hanging="360"/>
      </w:pPr>
      <w:rPr>
        <w:u w:val="none"/>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4DE6BA1"/>
    <w:multiLevelType w:val="hybridMultilevel"/>
    <w:tmpl w:val="7FAC59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68EC6B29"/>
    <w:multiLevelType w:val="hybridMultilevel"/>
    <w:tmpl w:val="C1EE71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6A1B689E"/>
    <w:multiLevelType w:val="hybridMultilevel"/>
    <w:tmpl w:val="7032C8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6B40380E"/>
    <w:multiLevelType w:val="hybridMultilevel"/>
    <w:tmpl w:val="406A7D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6E1277C1"/>
    <w:multiLevelType w:val="multilevel"/>
    <w:tmpl w:val="7A129ACA"/>
    <w:lvl w:ilvl="0">
      <w:start w:val="1"/>
      <w:numFmt w:val="bullet"/>
      <w:lvlText w:val=""/>
      <w:lvlJc w:val="left"/>
      <w:pPr>
        <w:ind w:left="720" w:hanging="360"/>
      </w:pPr>
      <w:rPr>
        <w:rFonts w:hint="default" w:ascii="Symbol" w:hAnsi="Symbol"/>
        <w:u w:val="none"/>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ECA11FD"/>
    <w:multiLevelType w:val="hybridMultilevel"/>
    <w:tmpl w:val="9476F5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EEF10F2"/>
    <w:multiLevelType w:val="multilevel"/>
    <w:tmpl w:val="3172330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20C1209"/>
    <w:multiLevelType w:val="multilevel"/>
    <w:tmpl w:val="E452AD0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5837B63"/>
    <w:multiLevelType w:val="hybridMultilevel"/>
    <w:tmpl w:val="CA943D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6206FF5"/>
    <w:multiLevelType w:val="hybridMultilevel"/>
    <w:tmpl w:val="B8B21210"/>
    <w:lvl w:ilvl="0" w:tplc="FFFFFFFF">
      <w:start w:val="1"/>
      <w:numFmt w:val="bullet"/>
      <w:lvlText w:val=""/>
      <w:lvlJc w:val="left"/>
      <w:pPr>
        <w:ind w:left="720" w:hanging="360"/>
      </w:pPr>
      <w:rPr>
        <w:rFonts w:hint="default" w:ascii="Symbol" w:hAnsi="Symbol"/>
      </w:rPr>
    </w:lvl>
    <w:lvl w:ilvl="1" w:tplc="04090005">
      <w:start w:val="1"/>
      <w:numFmt w:val="bullet"/>
      <w:lvlText w:val=""/>
      <w:lvlJc w:val="left"/>
      <w:pPr>
        <w:ind w:left="1080" w:hanging="360"/>
      </w:pPr>
      <w:rPr>
        <w:rFonts w:hint="default" w:ascii="Wingdings" w:hAnsi="Wingdings"/>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62" w15:restartNumberingAfterBreak="0">
    <w:nsid w:val="766E23E8"/>
    <w:multiLevelType w:val="hybridMultilevel"/>
    <w:tmpl w:val="8640B6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B541BDA"/>
    <w:multiLevelType w:val="multilevel"/>
    <w:tmpl w:val="85046CD2"/>
    <w:lvl w:ilvl="0">
      <w:start w:val="1"/>
      <w:numFmt w:val="bullet"/>
      <w:lvlText w:val=""/>
      <w:lvlJc w:val="left"/>
      <w:pPr>
        <w:tabs>
          <w:tab w:val="num" w:pos="2160"/>
        </w:tabs>
        <w:ind w:left="2160" w:hanging="360"/>
      </w:pPr>
      <w:rPr>
        <w:rFonts w:hint="default" w:ascii="Wingdings" w:hAnsi="Wingdings"/>
        <w:sz w:val="20"/>
      </w:rPr>
    </w:lvl>
    <w:lvl w:ilvl="1">
      <w:start w:val="1"/>
      <w:numFmt w:val="bullet"/>
      <w:lvlText w:val="o"/>
      <w:lvlJc w:val="left"/>
      <w:pPr>
        <w:tabs>
          <w:tab w:val="num" w:pos="2880"/>
        </w:tabs>
        <w:ind w:left="2880" w:hanging="360"/>
      </w:pPr>
      <w:rPr>
        <w:rFonts w:hint="default" w:ascii="Courier New" w:hAnsi="Courier New" w:cs="Times New Roman"/>
        <w:sz w:val="20"/>
      </w:rPr>
    </w:lvl>
    <w:lvl w:ilvl="2">
      <w:start w:val="1"/>
      <w:numFmt w:val="bullet"/>
      <w:lvlText w:val=""/>
      <w:lvlJc w:val="left"/>
      <w:pPr>
        <w:tabs>
          <w:tab w:val="num" w:pos="3600"/>
        </w:tabs>
        <w:ind w:left="3600" w:hanging="360"/>
      </w:pPr>
      <w:rPr>
        <w:rFonts w:hint="default" w:ascii="Wingdings" w:hAnsi="Wingdings"/>
        <w:sz w:val="20"/>
      </w:rPr>
    </w:lvl>
    <w:lvl w:ilvl="3">
      <w:start w:val="1"/>
      <w:numFmt w:val="bullet"/>
      <w:lvlText w:val=""/>
      <w:lvlJc w:val="left"/>
      <w:pPr>
        <w:tabs>
          <w:tab w:val="num" w:pos="4320"/>
        </w:tabs>
        <w:ind w:left="4320" w:hanging="360"/>
      </w:pPr>
      <w:rPr>
        <w:rFonts w:hint="default" w:ascii="Wingdings" w:hAnsi="Wingdings"/>
        <w:sz w:val="20"/>
      </w:rPr>
    </w:lvl>
    <w:lvl w:ilvl="4">
      <w:start w:val="1"/>
      <w:numFmt w:val="bullet"/>
      <w:lvlText w:val=""/>
      <w:lvlJc w:val="left"/>
      <w:pPr>
        <w:tabs>
          <w:tab w:val="num" w:pos="5040"/>
        </w:tabs>
        <w:ind w:left="5040" w:hanging="360"/>
      </w:pPr>
      <w:rPr>
        <w:rFonts w:hint="default" w:ascii="Wingdings" w:hAnsi="Wingdings"/>
        <w:sz w:val="20"/>
      </w:rPr>
    </w:lvl>
    <w:lvl w:ilvl="5">
      <w:start w:val="1"/>
      <w:numFmt w:val="bullet"/>
      <w:lvlText w:val=""/>
      <w:lvlJc w:val="left"/>
      <w:pPr>
        <w:tabs>
          <w:tab w:val="num" w:pos="5760"/>
        </w:tabs>
        <w:ind w:left="5760" w:hanging="360"/>
      </w:pPr>
      <w:rPr>
        <w:rFonts w:hint="default" w:ascii="Wingdings" w:hAnsi="Wingdings"/>
        <w:sz w:val="20"/>
      </w:rPr>
    </w:lvl>
    <w:lvl w:ilvl="6">
      <w:start w:val="1"/>
      <w:numFmt w:val="bullet"/>
      <w:lvlText w:val=""/>
      <w:lvlJc w:val="left"/>
      <w:pPr>
        <w:tabs>
          <w:tab w:val="num" w:pos="6480"/>
        </w:tabs>
        <w:ind w:left="6480" w:hanging="360"/>
      </w:pPr>
      <w:rPr>
        <w:rFonts w:hint="default" w:ascii="Wingdings" w:hAnsi="Wingdings"/>
        <w:sz w:val="20"/>
      </w:rPr>
    </w:lvl>
    <w:lvl w:ilvl="7">
      <w:start w:val="1"/>
      <w:numFmt w:val="bullet"/>
      <w:lvlText w:val=""/>
      <w:lvlJc w:val="left"/>
      <w:pPr>
        <w:tabs>
          <w:tab w:val="num" w:pos="7200"/>
        </w:tabs>
        <w:ind w:left="7200" w:hanging="360"/>
      </w:pPr>
      <w:rPr>
        <w:rFonts w:hint="default" w:ascii="Wingdings" w:hAnsi="Wingdings"/>
        <w:sz w:val="20"/>
      </w:rPr>
    </w:lvl>
    <w:lvl w:ilvl="8">
      <w:start w:val="1"/>
      <w:numFmt w:val="bullet"/>
      <w:lvlText w:val=""/>
      <w:lvlJc w:val="left"/>
      <w:pPr>
        <w:tabs>
          <w:tab w:val="num" w:pos="7920"/>
        </w:tabs>
        <w:ind w:left="7920" w:hanging="360"/>
      </w:pPr>
      <w:rPr>
        <w:rFonts w:hint="default" w:ascii="Wingdings" w:hAnsi="Wingdings"/>
        <w:sz w:val="20"/>
      </w:rPr>
    </w:lvl>
  </w:abstractNum>
  <w:abstractNum w:abstractNumId="64" w15:restartNumberingAfterBreak="0">
    <w:nsid w:val="7E350826"/>
    <w:multiLevelType w:val="hybridMultilevel"/>
    <w:tmpl w:val="3B98AA54"/>
    <w:lvl w:ilvl="0" w:tplc="161CAC5C">
      <w:start w:val="1"/>
      <w:numFmt w:val="lowerRoman"/>
      <w:pStyle w:val="outlinep3bh4"/>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D7530B"/>
    <w:multiLevelType w:val="multilevel"/>
    <w:tmpl w:val="C090DF3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F3027E3"/>
    <w:multiLevelType w:val="multilevel"/>
    <w:tmpl w:val="F31650B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F680A7C"/>
    <w:multiLevelType w:val="multilevel"/>
    <w:tmpl w:val="E452AD0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F9E2DC6"/>
    <w:multiLevelType w:val="hybridMultilevel"/>
    <w:tmpl w:val="7C1494B2"/>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num w:numId="1" w16cid:durableId="325861348">
    <w:abstractNumId w:val="58"/>
  </w:num>
  <w:num w:numId="2" w16cid:durableId="1718701359">
    <w:abstractNumId w:val="47"/>
  </w:num>
  <w:num w:numId="3" w16cid:durableId="171185737">
    <w:abstractNumId w:val="65"/>
  </w:num>
  <w:num w:numId="4" w16cid:durableId="1753509771">
    <w:abstractNumId w:val="66"/>
  </w:num>
  <w:num w:numId="5" w16cid:durableId="1178735419">
    <w:abstractNumId w:val="5"/>
  </w:num>
  <w:num w:numId="6" w16cid:durableId="2064601811">
    <w:abstractNumId w:val="20"/>
  </w:num>
  <w:num w:numId="7" w16cid:durableId="1240483937">
    <w:abstractNumId w:val="28"/>
  </w:num>
  <w:num w:numId="8" w16cid:durableId="2120055470">
    <w:abstractNumId w:val="30"/>
  </w:num>
  <w:num w:numId="9" w16cid:durableId="882525043">
    <w:abstractNumId w:val="49"/>
  </w:num>
  <w:num w:numId="10" w16cid:durableId="1078864274">
    <w:abstractNumId w:val="1"/>
  </w:num>
  <w:num w:numId="11" w16cid:durableId="394200391">
    <w:abstractNumId w:val="22"/>
  </w:num>
  <w:num w:numId="12" w16cid:durableId="380129533">
    <w:abstractNumId w:val="4"/>
  </w:num>
  <w:num w:numId="13" w16cid:durableId="1525292646">
    <w:abstractNumId w:val="64"/>
  </w:num>
  <w:num w:numId="14" w16cid:durableId="1514032854">
    <w:abstractNumId w:val="36"/>
  </w:num>
  <w:num w:numId="15" w16cid:durableId="1753234349">
    <w:abstractNumId w:val="40"/>
  </w:num>
  <w:num w:numId="16" w16cid:durableId="1578201065">
    <w:abstractNumId w:val="42"/>
  </w:num>
  <w:num w:numId="17" w16cid:durableId="1119489564">
    <w:abstractNumId w:val="62"/>
  </w:num>
  <w:num w:numId="18" w16cid:durableId="1404983964">
    <w:abstractNumId w:val="48"/>
  </w:num>
  <w:num w:numId="19" w16cid:durableId="2043942790">
    <w:abstractNumId w:val="14"/>
  </w:num>
  <w:num w:numId="20" w16cid:durableId="1193609646">
    <w:abstractNumId w:val="11"/>
  </w:num>
  <w:num w:numId="21" w16cid:durableId="1406340133">
    <w:abstractNumId w:val="9"/>
  </w:num>
  <w:num w:numId="22" w16cid:durableId="16733054">
    <w:abstractNumId w:val="46"/>
  </w:num>
  <w:num w:numId="23" w16cid:durableId="1405686213">
    <w:abstractNumId w:val="52"/>
  </w:num>
  <w:num w:numId="24" w16cid:durableId="219945143">
    <w:abstractNumId w:val="50"/>
  </w:num>
  <w:num w:numId="25" w16cid:durableId="992370931">
    <w:abstractNumId w:val="29"/>
  </w:num>
  <w:num w:numId="26" w16cid:durableId="1855073639">
    <w:abstractNumId w:val="51"/>
  </w:num>
  <w:num w:numId="27" w16cid:durableId="188492538">
    <w:abstractNumId w:val="56"/>
  </w:num>
  <w:num w:numId="28" w16cid:durableId="156964968">
    <w:abstractNumId w:val="13"/>
  </w:num>
  <w:num w:numId="29" w16cid:durableId="177935526">
    <w:abstractNumId w:val="53"/>
  </w:num>
  <w:num w:numId="30" w16cid:durableId="1586184912">
    <w:abstractNumId w:val="54"/>
  </w:num>
  <w:num w:numId="31" w16cid:durableId="1694110493">
    <w:abstractNumId w:val="55"/>
  </w:num>
  <w:num w:numId="32" w16cid:durableId="1930501926">
    <w:abstractNumId w:val="23"/>
  </w:num>
  <w:num w:numId="33" w16cid:durableId="1089809979">
    <w:abstractNumId w:val="45"/>
  </w:num>
  <w:num w:numId="34" w16cid:durableId="510068916">
    <w:abstractNumId w:val="2"/>
  </w:num>
  <w:num w:numId="35" w16cid:durableId="1175651344">
    <w:abstractNumId w:val="0"/>
  </w:num>
  <w:num w:numId="36" w16cid:durableId="345248937">
    <w:abstractNumId w:val="43"/>
  </w:num>
  <w:num w:numId="37" w16cid:durableId="1783766304">
    <w:abstractNumId w:val="27"/>
  </w:num>
  <w:num w:numId="38" w16cid:durableId="1245452871">
    <w:abstractNumId w:val="38"/>
  </w:num>
  <w:num w:numId="39" w16cid:durableId="397943252">
    <w:abstractNumId w:val="60"/>
  </w:num>
  <w:num w:numId="40" w16cid:durableId="1623728318">
    <w:abstractNumId w:val="44"/>
  </w:num>
  <w:num w:numId="41" w16cid:durableId="1528520797">
    <w:abstractNumId w:val="21"/>
  </w:num>
  <w:num w:numId="42" w16cid:durableId="2142184055">
    <w:abstractNumId w:val="41"/>
  </w:num>
  <w:num w:numId="43" w16cid:durableId="637028838">
    <w:abstractNumId w:val="34"/>
  </w:num>
  <w:num w:numId="44" w16cid:durableId="1774980358">
    <w:abstractNumId w:val="32"/>
  </w:num>
  <w:num w:numId="45" w16cid:durableId="484324887">
    <w:abstractNumId w:val="31"/>
  </w:num>
  <w:num w:numId="46" w16cid:durableId="576480306">
    <w:abstractNumId w:val="10"/>
  </w:num>
  <w:num w:numId="47" w16cid:durableId="704601743">
    <w:abstractNumId w:val="35"/>
  </w:num>
  <w:num w:numId="48" w16cid:durableId="1757048761">
    <w:abstractNumId w:val="57"/>
  </w:num>
  <w:num w:numId="49" w16cid:durableId="1862468507">
    <w:abstractNumId w:val="67"/>
  </w:num>
  <w:num w:numId="50" w16cid:durableId="1436630328">
    <w:abstractNumId w:val="33"/>
  </w:num>
  <w:num w:numId="51" w16cid:durableId="107822336">
    <w:abstractNumId w:val="59"/>
  </w:num>
  <w:num w:numId="52" w16cid:durableId="343820379">
    <w:abstractNumId w:val="12"/>
  </w:num>
  <w:num w:numId="53" w16cid:durableId="1568145585">
    <w:abstractNumId w:val="18"/>
  </w:num>
  <w:num w:numId="54" w16cid:durableId="1285427339">
    <w:abstractNumId w:val="39"/>
  </w:num>
  <w:num w:numId="55" w16cid:durableId="514851846">
    <w:abstractNumId w:val="15"/>
  </w:num>
  <w:num w:numId="56" w16cid:durableId="1776827702">
    <w:abstractNumId w:val="17"/>
  </w:num>
  <w:num w:numId="57" w16cid:durableId="1906601096">
    <w:abstractNumId w:val="26"/>
  </w:num>
  <w:num w:numId="58" w16cid:durableId="649019635">
    <w:abstractNumId w:val="68"/>
  </w:num>
  <w:num w:numId="59" w16cid:durableId="997226877">
    <w:abstractNumId w:val="19"/>
  </w:num>
  <w:num w:numId="60" w16cid:durableId="2037611064">
    <w:abstractNumId w:val="24"/>
  </w:num>
  <w:num w:numId="61" w16cid:durableId="248344725">
    <w:abstractNumId w:val="6"/>
  </w:num>
  <w:num w:numId="62" w16cid:durableId="1667509390">
    <w:abstractNumId w:val="63"/>
  </w:num>
  <w:num w:numId="63" w16cid:durableId="2010135589">
    <w:abstractNumId w:val="3"/>
  </w:num>
  <w:num w:numId="64" w16cid:durableId="1682321216">
    <w:abstractNumId w:val="61"/>
  </w:num>
  <w:num w:numId="65" w16cid:durableId="132673946">
    <w:abstractNumId w:val="8"/>
  </w:num>
  <w:num w:numId="66" w16cid:durableId="1060054712">
    <w:abstractNumId w:val="7"/>
  </w:num>
  <w:num w:numId="67" w16cid:durableId="709574500">
    <w:abstractNumId w:val="37"/>
  </w:num>
  <w:num w:numId="68" w16cid:durableId="499200738">
    <w:abstractNumId w:val="25"/>
  </w:num>
  <w:num w:numId="69" w16cid:durableId="1534659049">
    <w:abstractNumId w:val="16"/>
  </w:num>
  <w:numIdMacAtCleanup w:val="5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053"/>
    <w:rsid w:val="00000000"/>
    <w:rsid w:val="00000810"/>
    <w:rsid w:val="00001900"/>
    <w:rsid w:val="00001C81"/>
    <w:rsid w:val="0000219D"/>
    <w:rsid w:val="000025FE"/>
    <w:rsid w:val="00002A9E"/>
    <w:rsid w:val="00002AFE"/>
    <w:rsid w:val="00003209"/>
    <w:rsid w:val="0000370F"/>
    <w:rsid w:val="00004016"/>
    <w:rsid w:val="000056A4"/>
    <w:rsid w:val="00005944"/>
    <w:rsid w:val="0000631E"/>
    <w:rsid w:val="00011232"/>
    <w:rsid w:val="00011456"/>
    <w:rsid w:val="00011524"/>
    <w:rsid w:val="000119AD"/>
    <w:rsid w:val="000123D3"/>
    <w:rsid w:val="0001287D"/>
    <w:rsid w:val="00012AC6"/>
    <w:rsid w:val="00012C3D"/>
    <w:rsid w:val="0001354C"/>
    <w:rsid w:val="000137F8"/>
    <w:rsid w:val="00013988"/>
    <w:rsid w:val="0001401E"/>
    <w:rsid w:val="00014EC1"/>
    <w:rsid w:val="00014FC9"/>
    <w:rsid w:val="00015091"/>
    <w:rsid w:val="00015327"/>
    <w:rsid w:val="000156AC"/>
    <w:rsid w:val="00015BA6"/>
    <w:rsid w:val="00015D82"/>
    <w:rsid w:val="000169C7"/>
    <w:rsid w:val="00016B79"/>
    <w:rsid w:val="00016C0B"/>
    <w:rsid w:val="00020103"/>
    <w:rsid w:val="0002197E"/>
    <w:rsid w:val="000224E9"/>
    <w:rsid w:val="00022724"/>
    <w:rsid w:val="00023844"/>
    <w:rsid w:val="00023E62"/>
    <w:rsid w:val="000240CD"/>
    <w:rsid w:val="00024370"/>
    <w:rsid w:val="00034B77"/>
    <w:rsid w:val="00034D82"/>
    <w:rsid w:val="000355F6"/>
    <w:rsid w:val="00037712"/>
    <w:rsid w:val="00037B4A"/>
    <w:rsid w:val="00037C2B"/>
    <w:rsid w:val="00037DEC"/>
    <w:rsid w:val="000406F5"/>
    <w:rsid w:val="00040A34"/>
    <w:rsid w:val="00040C6B"/>
    <w:rsid w:val="00040CC0"/>
    <w:rsid w:val="00040E37"/>
    <w:rsid w:val="0004120A"/>
    <w:rsid w:val="000413CA"/>
    <w:rsid w:val="00041D22"/>
    <w:rsid w:val="000422A5"/>
    <w:rsid w:val="00042E05"/>
    <w:rsid w:val="00043962"/>
    <w:rsid w:val="00043A59"/>
    <w:rsid w:val="0004405F"/>
    <w:rsid w:val="000445C5"/>
    <w:rsid w:val="00044CEA"/>
    <w:rsid w:val="00046249"/>
    <w:rsid w:val="00046A04"/>
    <w:rsid w:val="000474FF"/>
    <w:rsid w:val="000475AE"/>
    <w:rsid w:val="0004761F"/>
    <w:rsid w:val="0004794C"/>
    <w:rsid w:val="00047AAB"/>
    <w:rsid w:val="00047DBD"/>
    <w:rsid w:val="00051876"/>
    <w:rsid w:val="00051E2D"/>
    <w:rsid w:val="0005208D"/>
    <w:rsid w:val="000526CC"/>
    <w:rsid w:val="000533ED"/>
    <w:rsid w:val="00054679"/>
    <w:rsid w:val="00054928"/>
    <w:rsid w:val="00054A1B"/>
    <w:rsid w:val="00055884"/>
    <w:rsid w:val="00055910"/>
    <w:rsid w:val="000568BA"/>
    <w:rsid w:val="0005701E"/>
    <w:rsid w:val="0006051E"/>
    <w:rsid w:val="000608F0"/>
    <w:rsid w:val="00062B23"/>
    <w:rsid w:val="00062F9D"/>
    <w:rsid w:val="00063598"/>
    <w:rsid w:val="0006393E"/>
    <w:rsid w:val="00063F4A"/>
    <w:rsid w:val="0006456A"/>
    <w:rsid w:val="00064D74"/>
    <w:rsid w:val="00065AA9"/>
    <w:rsid w:val="00065AFF"/>
    <w:rsid w:val="00066062"/>
    <w:rsid w:val="00066248"/>
    <w:rsid w:val="0006688E"/>
    <w:rsid w:val="00066C66"/>
    <w:rsid w:val="00067C38"/>
    <w:rsid w:val="0007002C"/>
    <w:rsid w:val="0007035E"/>
    <w:rsid w:val="000714AC"/>
    <w:rsid w:val="00071D95"/>
    <w:rsid w:val="00072BD8"/>
    <w:rsid w:val="00073343"/>
    <w:rsid w:val="000741DE"/>
    <w:rsid w:val="00074E30"/>
    <w:rsid w:val="00075286"/>
    <w:rsid w:val="00075F4E"/>
    <w:rsid w:val="0007663D"/>
    <w:rsid w:val="00076D14"/>
    <w:rsid w:val="00077268"/>
    <w:rsid w:val="00080265"/>
    <w:rsid w:val="00080769"/>
    <w:rsid w:val="0008106C"/>
    <w:rsid w:val="000811D9"/>
    <w:rsid w:val="000813D3"/>
    <w:rsid w:val="00081B8A"/>
    <w:rsid w:val="00082687"/>
    <w:rsid w:val="000829F4"/>
    <w:rsid w:val="00084295"/>
    <w:rsid w:val="000849F5"/>
    <w:rsid w:val="00084F84"/>
    <w:rsid w:val="0008542A"/>
    <w:rsid w:val="00085B20"/>
    <w:rsid w:val="00085C63"/>
    <w:rsid w:val="000862B2"/>
    <w:rsid w:val="000862ED"/>
    <w:rsid w:val="00086397"/>
    <w:rsid w:val="000873DB"/>
    <w:rsid w:val="000874AB"/>
    <w:rsid w:val="000908D4"/>
    <w:rsid w:val="00090925"/>
    <w:rsid w:val="000911EB"/>
    <w:rsid w:val="00091F35"/>
    <w:rsid w:val="0009219F"/>
    <w:rsid w:val="00092276"/>
    <w:rsid w:val="0009248A"/>
    <w:rsid w:val="000940CE"/>
    <w:rsid w:val="00094686"/>
    <w:rsid w:val="000948EE"/>
    <w:rsid w:val="00095A6B"/>
    <w:rsid w:val="00096618"/>
    <w:rsid w:val="00096E31"/>
    <w:rsid w:val="000971D8"/>
    <w:rsid w:val="000975B0"/>
    <w:rsid w:val="00097842"/>
    <w:rsid w:val="000A00E3"/>
    <w:rsid w:val="000A02B9"/>
    <w:rsid w:val="000A08A9"/>
    <w:rsid w:val="000A0DF1"/>
    <w:rsid w:val="000A0E42"/>
    <w:rsid w:val="000A10EC"/>
    <w:rsid w:val="000A13DB"/>
    <w:rsid w:val="000A164C"/>
    <w:rsid w:val="000A2322"/>
    <w:rsid w:val="000A240A"/>
    <w:rsid w:val="000A47A2"/>
    <w:rsid w:val="000A4FB9"/>
    <w:rsid w:val="000A5648"/>
    <w:rsid w:val="000A5B7E"/>
    <w:rsid w:val="000A634B"/>
    <w:rsid w:val="000A63AA"/>
    <w:rsid w:val="000A7F01"/>
    <w:rsid w:val="000B07D1"/>
    <w:rsid w:val="000B0B98"/>
    <w:rsid w:val="000B2A31"/>
    <w:rsid w:val="000B412F"/>
    <w:rsid w:val="000B474D"/>
    <w:rsid w:val="000B48EA"/>
    <w:rsid w:val="000B5318"/>
    <w:rsid w:val="000B55DB"/>
    <w:rsid w:val="000B5A54"/>
    <w:rsid w:val="000B5BA1"/>
    <w:rsid w:val="000B60BB"/>
    <w:rsid w:val="000B61E2"/>
    <w:rsid w:val="000B6A66"/>
    <w:rsid w:val="000B6FE6"/>
    <w:rsid w:val="000B7FBD"/>
    <w:rsid w:val="000C019E"/>
    <w:rsid w:val="000C0240"/>
    <w:rsid w:val="000C0806"/>
    <w:rsid w:val="000C099E"/>
    <w:rsid w:val="000C09F4"/>
    <w:rsid w:val="000C1032"/>
    <w:rsid w:val="000C1FCF"/>
    <w:rsid w:val="000C214D"/>
    <w:rsid w:val="000C2CA5"/>
    <w:rsid w:val="000C38B2"/>
    <w:rsid w:val="000C4B21"/>
    <w:rsid w:val="000C4D54"/>
    <w:rsid w:val="000C5703"/>
    <w:rsid w:val="000C6338"/>
    <w:rsid w:val="000C68A3"/>
    <w:rsid w:val="000C6DC2"/>
    <w:rsid w:val="000C6E14"/>
    <w:rsid w:val="000C6FD8"/>
    <w:rsid w:val="000C78EE"/>
    <w:rsid w:val="000D06A9"/>
    <w:rsid w:val="000D0790"/>
    <w:rsid w:val="000D1082"/>
    <w:rsid w:val="000D10AC"/>
    <w:rsid w:val="000D1E32"/>
    <w:rsid w:val="000D1E64"/>
    <w:rsid w:val="000D233F"/>
    <w:rsid w:val="000D23F1"/>
    <w:rsid w:val="000D24C4"/>
    <w:rsid w:val="000D2C38"/>
    <w:rsid w:val="000D3036"/>
    <w:rsid w:val="000D322E"/>
    <w:rsid w:val="000D4166"/>
    <w:rsid w:val="000D458C"/>
    <w:rsid w:val="000D500A"/>
    <w:rsid w:val="000D53FF"/>
    <w:rsid w:val="000D55D3"/>
    <w:rsid w:val="000D5F20"/>
    <w:rsid w:val="000D6A7F"/>
    <w:rsid w:val="000D6BB3"/>
    <w:rsid w:val="000D7094"/>
    <w:rsid w:val="000D7C99"/>
    <w:rsid w:val="000E0CC2"/>
    <w:rsid w:val="000E0CDA"/>
    <w:rsid w:val="000E16F9"/>
    <w:rsid w:val="000E2225"/>
    <w:rsid w:val="000E2356"/>
    <w:rsid w:val="000E23A0"/>
    <w:rsid w:val="000E28BC"/>
    <w:rsid w:val="000E2AB1"/>
    <w:rsid w:val="000E2C17"/>
    <w:rsid w:val="000E3623"/>
    <w:rsid w:val="000E388A"/>
    <w:rsid w:val="000E4B96"/>
    <w:rsid w:val="000E50CA"/>
    <w:rsid w:val="000E5AE5"/>
    <w:rsid w:val="000E601F"/>
    <w:rsid w:val="000E6456"/>
    <w:rsid w:val="000E659B"/>
    <w:rsid w:val="000E684F"/>
    <w:rsid w:val="000E6E23"/>
    <w:rsid w:val="000E6FE1"/>
    <w:rsid w:val="000F02C8"/>
    <w:rsid w:val="000F0861"/>
    <w:rsid w:val="000F3C16"/>
    <w:rsid w:val="000F4434"/>
    <w:rsid w:val="000F45C6"/>
    <w:rsid w:val="000F4A51"/>
    <w:rsid w:val="000F4B1D"/>
    <w:rsid w:val="000F4BF2"/>
    <w:rsid w:val="000F4C13"/>
    <w:rsid w:val="000F4FD5"/>
    <w:rsid w:val="000F53DE"/>
    <w:rsid w:val="000F5A7E"/>
    <w:rsid w:val="000F650B"/>
    <w:rsid w:val="000F7E48"/>
    <w:rsid w:val="00100ECE"/>
    <w:rsid w:val="00100EEB"/>
    <w:rsid w:val="00100EF7"/>
    <w:rsid w:val="00101116"/>
    <w:rsid w:val="00102ABA"/>
    <w:rsid w:val="00102B38"/>
    <w:rsid w:val="001031F5"/>
    <w:rsid w:val="0010333D"/>
    <w:rsid w:val="00103D80"/>
    <w:rsid w:val="0010450C"/>
    <w:rsid w:val="001059C5"/>
    <w:rsid w:val="00105DA4"/>
    <w:rsid w:val="00105EEF"/>
    <w:rsid w:val="0010602E"/>
    <w:rsid w:val="0010629B"/>
    <w:rsid w:val="00106335"/>
    <w:rsid w:val="00106D4E"/>
    <w:rsid w:val="00106F9E"/>
    <w:rsid w:val="00107022"/>
    <w:rsid w:val="001103CC"/>
    <w:rsid w:val="001115E3"/>
    <w:rsid w:val="001118E7"/>
    <w:rsid w:val="0011205D"/>
    <w:rsid w:val="001125D1"/>
    <w:rsid w:val="001126D8"/>
    <w:rsid w:val="0011278B"/>
    <w:rsid w:val="001127B1"/>
    <w:rsid w:val="00113B3F"/>
    <w:rsid w:val="0011436F"/>
    <w:rsid w:val="0011488D"/>
    <w:rsid w:val="00114949"/>
    <w:rsid w:val="0011529D"/>
    <w:rsid w:val="001153C9"/>
    <w:rsid w:val="0011601D"/>
    <w:rsid w:val="00117538"/>
    <w:rsid w:val="00117B06"/>
    <w:rsid w:val="00117D71"/>
    <w:rsid w:val="00117DDF"/>
    <w:rsid w:val="0012009A"/>
    <w:rsid w:val="0012023A"/>
    <w:rsid w:val="0012087B"/>
    <w:rsid w:val="001208AE"/>
    <w:rsid w:val="0012098A"/>
    <w:rsid w:val="00121C7B"/>
    <w:rsid w:val="00121FD6"/>
    <w:rsid w:val="00122092"/>
    <w:rsid w:val="001220F2"/>
    <w:rsid w:val="0012316F"/>
    <w:rsid w:val="001238F8"/>
    <w:rsid w:val="00123F9E"/>
    <w:rsid w:val="00124516"/>
    <w:rsid w:val="00124C72"/>
    <w:rsid w:val="00124E5B"/>
    <w:rsid w:val="001255AE"/>
    <w:rsid w:val="00125825"/>
    <w:rsid w:val="00126326"/>
    <w:rsid w:val="001265DF"/>
    <w:rsid w:val="001266FF"/>
    <w:rsid w:val="00127D3C"/>
    <w:rsid w:val="00130080"/>
    <w:rsid w:val="0013052C"/>
    <w:rsid w:val="0013073B"/>
    <w:rsid w:val="001308D9"/>
    <w:rsid w:val="00131722"/>
    <w:rsid w:val="0013237D"/>
    <w:rsid w:val="00132A6E"/>
    <w:rsid w:val="0013390D"/>
    <w:rsid w:val="00134EA8"/>
    <w:rsid w:val="00136253"/>
    <w:rsid w:val="0013629F"/>
    <w:rsid w:val="00137D6B"/>
    <w:rsid w:val="001402C2"/>
    <w:rsid w:val="001428CC"/>
    <w:rsid w:val="00142E8A"/>
    <w:rsid w:val="0014343B"/>
    <w:rsid w:val="0014360E"/>
    <w:rsid w:val="00143C37"/>
    <w:rsid w:val="0014406E"/>
    <w:rsid w:val="00145B43"/>
    <w:rsid w:val="00145C72"/>
    <w:rsid w:val="00146CE0"/>
    <w:rsid w:val="001472B9"/>
    <w:rsid w:val="0014785A"/>
    <w:rsid w:val="00150966"/>
    <w:rsid w:val="00151150"/>
    <w:rsid w:val="001517EA"/>
    <w:rsid w:val="00152604"/>
    <w:rsid w:val="00152895"/>
    <w:rsid w:val="001530B0"/>
    <w:rsid w:val="001536C1"/>
    <w:rsid w:val="00153843"/>
    <w:rsid w:val="00154288"/>
    <w:rsid w:val="001545CA"/>
    <w:rsid w:val="001547CD"/>
    <w:rsid w:val="00154AC4"/>
    <w:rsid w:val="00154DC1"/>
    <w:rsid w:val="001556E3"/>
    <w:rsid w:val="0015797F"/>
    <w:rsid w:val="00157995"/>
    <w:rsid w:val="00160148"/>
    <w:rsid w:val="00160287"/>
    <w:rsid w:val="001619CA"/>
    <w:rsid w:val="00161A5A"/>
    <w:rsid w:val="001622E2"/>
    <w:rsid w:val="001622ED"/>
    <w:rsid w:val="00162BDF"/>
    <w:rsid w:val="00163029"/>
    <w:rsid w:val="001633E1"/>
    <w:rsid w:val="0016388D"/>
    <w:rsid w:val="00163C9F"/>
    <w:rsid w:val="00164552"/>
    <w:rsid w:val="001647E8"/>
    <w:rsid w:val="00164AB6"/>
    <w:rsid w:val="00164DFE"/>
    <w:rsid w:val="00165AC5"/>
    <w:rsid w:val="0016643C"/>
    <w:rsid w:val="0016652C"/>
    <w:rsid w:val="00166B9A"/>
    <w:rsid w:val="001671B6"/>
    <w:rsid w:val="00167353"/>
    <w:rsid w:val="001705FA"/>
    <w:rsid w:val="00170D9C"/>
    <w:rsid w:val="00170F7F"/>
    <w:rsid w:val="00172DFE"/>
    <w:rsid w:val="00172E51"/>
    <w:rsid w:val="00173B70"/>
    <w:rsid w:val="00175EE3"/>
    <w:rsid w:val="00175FF3"/>
    <w:rsid w:val="00176416"/>
    <w:rsid w:val="00176B8A"/>
    <w:rsid w:val="00176CEC"/>
    <w:rsid w:val="00177CC4"/>
    <w:rsid w:val="00177E4F"/>
    <w:rsid w:val="00177EE7"/>
    <w:rsid w:val="001803BC"/>
    <w:rsid w:val="0018050E"/>
    <w:rsid w:val="001805E5"/>
    <w:rsid w:val="00180BF5"/>
    <w:rsid w:val="00180E0D"/>
    <w:rsid w:val="001818CA"/>
    <w:rsid w:val="001832C0"/>
    <w:rsid w:val="001833AB"/>
    <w:rsid w:val="0018370A"/>
    <w:rsid w:val="001845AD"/>
    <w:rsid w:val="00185863"/>
    <w:rsid w:val="00185888"/>
    <w:rsid w:val="00186270"/>
    <w:rsid w:val="00186389"/>
    <w:rsid w:val="00186751"/>
    <w:rsid w:val="00190881"/>
    <w:rsid w:val="00190C2F"/>
    <w:rsid w:val="00190FA1"/>
    <w:rsid w:val="001913B6"/>
    <w:rsid w:val="00191C7C"/>
    <w:rsid w:val="00191FEB"/>
    <w:rsid w:val="00192561"/>
    <w:rsid w:val="00192929"/>
    <w:rsid w:val="0019387A"/>
    <w:rsid w:val="00193D4C"/>
    <w:rsid w:val="00195504"/>
    <w:rsid w:val="00195A19"/>
    <w:rsid w:val="001960AB"/>
    <w:rsid w:val="001963A3"/>
    <w:rsid w:val="001968DB"/>
    <w:rsid w:val="00196B31"/>
    <w:rsid w:val="00196C5D"/>
    <w:rsid w:val="00196D82"/>
    <w:rsid w:val="001A0472"/>
    <w:rsid w:val="001A0524"/>
    <w:rsid w:val="001A0786"/>
    <w:rsid w:val="001A09D1"/>
    <w:rsid w:val="001A0E28"/>
    <w:rsid w:val="001A0EF0"/>
    <w:rsid w:val="001A1C84"/>
    <w:rsid w:val="001A2D53"/>
    <w:rsid w:val="001A3039"/>
    <w:rsid w:val="001A307F"/>
    <w:rsid w:val="001A31F8"/>
    <w:rsid w:val="001A3758"/>
    <w:rsid w:val="001A3854"/>
    <w:rsid w:val="001A3B80"/>
    <w:rsid w:val="001A3F6B"/>
    <w:rsid w:val="001A42AF"/>
    <w:rsid w:val="001A4E69"/>
    <w:rsid w:val="001A506A"/>
    <w:rsid w:val="001A5228"/>
    <w:rsid w:val="001A53F2"/>
    <w:rsid w:val="001A592F"/>
    <w:rsid w:val="001A5AEF"/>
    <w:rsid w:val="001A5FDA"/>
    <w:rsid w:val="001A63B3"/>
    <w:rsid w:val="001A72BA"/>
    <w:rsid w:val="001B07A1"/>
    <w:rsid w:val="001B0F29"/>
    <w:rsid w:val="001B15AE"/>
    <w:rsid w:val="001B2DD5"/>
    <w:rsid w:val="001B3094"/>
    <w:rsid w:val="001B44DA"/>
    <w:rsid w:val="001B4F47"/>
    <w:rsid w:val="001B5031"/>
    <w:rsid w:val="001B5461"/>
    <w:rsid w:val="001B5556"/>
    <w:rsid w:val="001B564B"/>
    <w:rsid w:val="001B5DB9"/>
    <w:rsid w:val="001B6475"/>
    <w:rsid w:val="001B6477"/>
    <w:rsid w:val="001B71C7"/>
    <w:rsid w:val="001C01B3"/>
    <w:rsid w:val="001C0821"/>
    <w:rsid w:val="001C0CB5"/>
    <w:rsid w:val="001C0F45"/>
    <w:rsid w:val="001C1AB4"/>
    <w:rsid w:val="001C2667"/>
    <w:rsid w:val="001C2B0D"/>
    <w:rsid w:val="001C3E49"/>
    <w:rsid w:val="001C4830"/>
    <w:rsid w:val="001C5D86"/>
    <w:rsid w:val="001C67C6"/>
    <w:rsid w:val="001C7892"/>
    <w:rsid w:val="001C7FD3"/>
    <w:rsid w:val="001D0509"/>
    <w:rsid w:val="001D114C"/>
    <w:rsid w:val="001D1B25"/>
    <w:rsid w:val="001D1E26"/>
    <w:rsid w:val="001D275E"/>
    <w:rsid w:val="001D3C36"/>
    <w:rsid w:val="001D3DD8"/>
    <w:rsid w:val="001D3F03"/>
    <w:rsid w:val="001D4308"/>
    <w:rsid w:val="001D5D33"/>
    <w:rsid w:val="001D6226"/>
    <w:rsid w:val="001D7023"/>
    <w:rsid w:val="001D75F6"/>
    <w:rsid w:val="001D7D6A"/>
    <w:rsid w:val="001E042E"/>
    <w:rsid w:val="001E0520"/>
    <w:rsid w:val="001E1972"/>
    <w:rsid w:val="001E201D"/>
    <w:rsid w:val="001E2D73"/>
    <w:rsid w:val="001E341C"/>
    <w:rsid w:val="001E369D"/>
    <w:rsid w:val="001E3A0E"/>
    <w:rsid w:val="001E47DA"/>
    <w:rsid w:val="001E534B"/>
    <w:rsid w:val="001E588B"/>
    <w:rsid w:val="001E6911"/>
    <w:rsid w:val="001E6A1F"/>
    <w:rsid w:val="001E7466"/>
    <w:rsid w:val="001E7D7A"/>
    <w:rsid w:val="001F02A7"/>
    <w:rsid w:val="001F0AE8"/>
    <w:rsid w:val="001F1B6D"/>
    <w:rsid w:val="001F1DA7"/>
    <w:rsid w:val="001F379D"/>
    <w:rsid w:val="001F37B0"/>
    <w:rsid w:val="001F4652"/>
    <w:rsid w:val="001F465A"/>
    <w:rsid w:val="001F4E3D"/>
    <w:rsid w:val="001F53F8"/>
    <w:rsid w:val="001F720A"/>
    <w:rsid w:val="001F78D6"/>
    <w:rsid w:val="001F7E2B"/>
    <w:rsid w:val="00200290"/>
    <w:rsid w:val="00200FB4"/>
    <w:rsid w:val="002014AE"/>
    <w:rsid w:val="00202D95"/>
    <w:rsid w:val="002034F1"/>
    <w:rsid w:val="0020376F"/>
    <w:rsid w:val="002040C3"/>
    <w:rsid w:val="00204133"/>
    <w:rsid w:val="00204237"/>
    <w:rsid w:val="002045A6"/>
    <w:rsid w:val="002051CE"/>
    <w:rsid w:val="00205CA9"/>
    <w:rsid w:val="00206E7C"/>
    <w:rsid w:val="002072E4"/>
    <w:rsid w:val="002073F0"/>
    <w:rsid w:val="0020760B"/>
    <w:rsid w:val="002104E5"/>
    <w:rsid w:val="002123AB"/>
    <w:rsid w:val="002124C4"/>
    <w:rsid w:val="0021286E"/>
    <w:rsid w:val="002131DC"/>
    <w:rsid w:val="002134C2"/>
    <w:rsid w:val="002135A0"/>
    <w:rsid w:val="002140B9"/>
    <w:rsid w:val="00214A9F"/>
    <w:rsid w:val="002152B5"/>
    <w:rsid w:val="0021559E"/>
    <w:rsid w:val="00216731"/>
    <w:rsid w:val="00216B39"/>
    <w:rsid w:val="00216F46"/>
    <w:rsid w:val="00217328"/>
    <w:rsid w:val="0021741D"/>
    <w:rsid w:val="002174E3"/>
    <w:rsid w:val="002176CD"/>
    <w:rsid w:val="002202DB"/>
    <w:rsid w:val="00220451"/>
    <w:rsid w:val="002208EC"/>
    <w:rsid w:val="00220A28"/>
    <w:rsid w:val="00221373"/>
    <w:rsid w:val="00221A38"/>
    <w:rsid w:val="00222F58"/>
    <w:rsid w:val="0022342C"/>
    <w:rsid w:val="002236DD"/>
    <w:rsid w:val="00223AA7"/>
    <w:rsid w:val="00224AF4"/>
    <w:rsid w:val="00224D05"/>
    <w:rsid w:val="002251A5"/>
    <w:rsid w:val="00225A12"/>
    <w:rsid w:val="00225AC3"/>
    <w:rsid w:val="00227327"/>
    <w:rsid w:val="002277F4"/>
    <w:rsid w:val="00230316"/>
    <w:rsid w:val="0023098A"/>
    <w:rsid w:val="00231398"/>
    <w:rsid w:val="002320AA"/>
    <w:rsid w:val="0023260F"/>
    <w:rsid w:val="00232E24"/>
    <w:rsid w:val="002330BB"/>
    <w:rsid w:val="00233B39"/>
    <w:rsid w:val="002353C2"/>
    <w:rsid w:val="00235446"/>
    <w:rsid w:val="0023584D"/>
    <w:rsid w:val="00236920"/>
    <w:rsid w:val="00236A17"/>
    <w:rsid w:val="00236C1D"/>
    <w:rsid w:val="00241083"/>
    <w:rsid w:val="00241454"/>
    <w:rsid w:val="002419C4"/>
    <w:rsid w:val="00241B19"/>
    <w:rsid w:val="00241E82"/>
    <w:rsid w:val="00242DA6"/>
    <w:rsid w:val="00242DDB"/>
    <w:rsid w:val="00242E43"/>
    <w:rsid w:val="002430D7"/>
    <w:rsid w:val="00243E94"/>
    <w:rsid w:val="00244E4A"/>
    <w:rsid w:val="00245038"/>
    <w:rsid w:val="00246894"/>
    <w:rsid w:val="00246A17"/>
    <w:rsid w:val="00247480"/>
    <w:rsid w:val="00247EF2"/>
    <w:rsid w:val="0025010C"/>
    <w:rsid w:val="002505D0"/>
    <w:rsid w:val="00250C05"/>
    <w:rsid w:val="0025120E"/>
    <w:rsid w:val="0025161A"/>
    <w:rsid w:val="00251E6E"/>
    <w:rsid w:val="00252FD3"/>
    <w:rsid w:val="00253CAF"/>
    <w:rsid w:val="00253CB3"/>
    <w:rsid w:val="00253EDF"/>
    <w:rsid w:val="002540C5"/>
    <w:rsid w:val="00254690"/>
    <w:rsid w:val="00254BCC"/>
    <w:rsid w:val="002550D4"/>
    <w:rsid w:val="00255394"/>
    <w:rsid w:val="00255DD3"/>
    <w:rsid w:val="0025736A"/>
    <w:rsid w:val="00257B77"/>
    <w:rsid w:val="00260726"/>
    <w:rsid w:val="00260DCB"/>
    <w:rsid w:val="00261497"/>
    <w:rsid w:val="0026158F"/>
    <w:rsid w:val="00261B3D"/>
    <w:rsid w:val="00262420"/>
    <w:rsid w:val="00262867"/>
    <w:rsid w:val="00263AD9"/>
    <w:rsid w:val="00263B92"/>
    <w:rsid w:val="00263C3B"/>
    <w:rsid w:val="00263EDD"/>
    <w:rsid w:val="00264287"/>
    <w:rsid w:val="002646BF"/>
    <w:rsid w:val="00264BB5"/>
    <w:rsid w:val="002667C6"/>
    <w:rsid w:val="002674B9"/>
    <w:rsid w:val="00267C48"/>
    <w:rsid w:val="00267FD1"/>
    <w:rsid w:val="00270E9F"/>
    <w:rsid w:val="00272FC5"/>
    <w:rsid w:val="002736B5"/>
    <w:rsid w:val="0027450D"/>
    <w:rsid w:val="00274EC8"/>
    <w:rsid w:val="00276FD9"/>
    <w:rsid w:val="002771D7"/>
    <w:rsid w:val="00277872"/>
    <w:rsid w:val="00277B92"/>
    <w:rsid w:val="002806D9"/>
    <w:rsid w:val="00280902"/>
    <w:rsid w:val="00280BE7"/>
    <w:rsid w:val="00281F63"/>
    <w:rsid w:val="00282ADA"/>
    <w:rsid w:val="00283ADD"/>
    <w:rsid w:val="00283F95"/>
    <w:rsid w:val="002852CE"/>
    <w:rsid w:val="002863D7"/>
    <w:rsid w:val="0028645B"/>
    <w:rsid w:val="002868F6"/>
    <w:rsid w:val="00290591"/>
    <w:rsid w:val="0029075B"/>
    <w:rsid w:val="002908E2"/>
    <w:rsid w:val="00290F29"/>
    <w:rsid w:val="002910C4"/>
    <w:rsid w:val="002917F6"/>
    <w:rsid w:val="00291EBC"/>
    <w:rsid w:val="00291FDE"/>
    <w:rsid w:val="00294605"/>
    <w:rsid w:val="002961B8"/>
    <w:rsid w:val="002965EC"/>
    <w:rsid w:val="00297293"/>
    <w:rsid w:val="002979B5"/>
    <w:rsid w:val="002A0AF8"/>
    <w:rsid w:val="002A1272"/>
    <w:rsid w:val="002A1881"/>
    <w:rsid w:val="002A2EDF"/>
    <w:rsid w:val="002A5243"/>
    <w:rsid w:val="002A68D1"/>
    <w:rsid w:val="002A73EC"/>
    <w:rsid w:val="002A7DD8"/>
    <w:rsid w:val="002B0041"/>
    <w:rsid w:val="002B0064"/>
    <w:rsid w:val="002B016C"/>
    <w:rsid w:val="002B0D3E"/>
    <w:rsid w:val="002B2336"/>
    <w:rsid w:val="002B2E7D"/>
    <w:rsid w:val="002B436E"/>
    <w:rsid w:val="002B470F"/>
    <w:rsid w:val="002B5650"/>
    <w:rsid w:val="002B5BDF"/>
    <w:rsid w:val="002B7212"/>
    <w:rsid w:val="002B72A9"/>
    <w:rsid w:val="002B77C0"/>
    <w:rsid w:val="002C0332"/>
    <w:rsid w:val="002C0DEB"/>
    <w:rsid w:val="002C119B"/>
    <w:rsid w:val="002C12E3"/>
    <w:rsid w:val="002C133F"/>
    <w:rsid w:val="002C1BBF"/>
    <w:rsid w:val="002C2438"/>
    <w:rsid w:val="002C2ADB"/>
    <w:rsid w:val="002C2C28"/>
    <w:rsid w:val="002C32CD"/>
    <w:rsid w:val="002C4803"/>
    <w:rsid w:val="002C59CA"/>
    <w:rsid w:val="002C67D7"/>
    <w:rsid w:val="002C7A41"/>
    <w:rsid w:val="002D0ABC"/>
    <w:rsid w:val="002D0DFD"/>
    <w:rsid w:val="002D1C1E"/>
    <w:rsid w:val="002D25FD"/>
    <w:rsid w:val="002D2693"/>
    <w:rsid w:val="002D35B8"/>
    <w:rsid w:val="002D43FE"/>
    <w:rsid w:val="002D45B0"/>
    <w:rsid w:val="002D58C8"/>
    <w:rsid w:val="002E0596"/>
    <w:rsid w:val="002E0770"/>
    <w:rsid w:val="002E089B"/>
    <w:rsid w:val="002E1B24"/>
    <w:rsid w:val="002E3396"/>
    <w:rsid w:val="002E3B7E"/>
    <w:rsid w:val="002E3E2B"/>
    <w:rsid w:val="002E42B1"/>
    <w:rsid w:val="002E447F"/>
    <w:rsid w:val="002E4692"/>
    <w:rsid w:val="002E519C"/>
    <w:rsid w:val="002E5234"/>
    <w:rsid w:val="002E5249"/>
    <w:rsid w:val="002E5576"/>
    <w:rsid w:val="002E56DD"/>
    <w:rsid w:val="002E5F9F"/>
    <w:rsid w:val="002E6277"/>
    <w:rsid w:val="002E6358"/>
    <w:rsid w:val="002E66F5"/>
    <w:rsid w:val="002E75E3"/>
    <w:rsid w:val="002E778D"/>
    <w:rsid w:val="002E7876"/>
    <w:rsid w:val="002E78D9"/>
    <w:rsid w:val="002F006E"/>
    <w:rsid w:val="002F0A70"/>
    <w:rsid w:val="002F0BF0"/>
    <w:rsid w:val="002F0FEC"/>
    <w:rsid w:val="002F133D"/>
    <w:rsid w:val="002F14C9"/>
    <w:rsid w:val="002F1D4A"/>
    <w:rsid w:val="002F25FF"/>
    <w:rsid w:val="002F30B1"/>
    <w:rsid w:val="002F520A"/>
    <w:rsid w:val="002F5303"/>
    <w:rsid w:val="002F57AE"/>
    <w:rsid w:val="002F5E73"/>
    <w:rsid w:val="002F60D5"/>
    <w:rsid w:val="002F6816"/>
    <w:rsid w:val="002F6B57"/>
    <w:rsid w:val="002F73C3"/>
    <w:rsid w:val="00300253"/>
    <w:rsid w:val="0030044D"/>
    <w:rsid w:val="003020AF"/>
    <w:rsid w:val="003020FA"/>
    <w:rsid w:val="00302997"/>
    <w:rsid w:val="00302EA1"/>
    <w:rsid w:val="003032E2"/>
    <w:rsid w:val="003034B9"/>
    <w:rsid w:val="00303750"/>
    <w:rsid w:val="00303B43"/>
    <w:rsid w:val="003049B0"/>
    <w:rsid w:val="00305CD6"/>
    <w:rsid w:val="003065C0"/>
    <w:rsid w:val="0030678F"/>
    <w:rsid w:val="003073B1"/>
    <w:rsid w:val="0030765D"/>
    <w:rsid w:val="003079EC"/>
    <w:rsid w:val="00307CAE"/>
    <w:rsid w:val="00307DB1"/>
    <w:rsid w:val="00307DEB"/>
    <w:rsid w:val="00307FDD"/>
    <w:rsid w:val="003113BC"/>
    <w:rsid w:val="00311865"/>
    <w:rsid w:val="00311869"/>
    <w:rsid w:val="00311A85"/>
    <w:rsid w:val="00312207"/>
    <w:rsid w:val="00312B14"/>
    <w:rsid w:val="0031572A"/>
    <w:rsid w:val="003164C6"/>
    <w:rsid w:val="00316560"/>
    <w:rsid w:val="003176E3"/>
    <w:rsid w:val="00317F65"/>
    <w:rsid w:val="0032104E"/>
    <w:rsid w:val="00321426"/>
    <w:rsid w:val="003215D3"/>
    <w:rsid w:val="00321726"/>
    <w:rsid w:val="00321DDD"/>
    <w:rsid w:val="00321F20"/>
    <w:rsid w:val="00323A25"/>
    <w:rsid w:val="003243C6"/>
    <w:rsid w:val="003277BA"/>
    <w:rsid w:val="00330017"/>
    <w:rsid w:val="00330092"/>
    <w:rsid w:val="00330BF7"/>
    <w:rsid w:val="003314A3"/>
    <w:rsid w:val="00331A04"/>
    <w:rsid w:val="003324BD"/>
    <w:rsid w:val="00332D86"/>
    <w:rsid w:val="00332E11"/>
    <w:rsid w:val="003332DC"/>
    <w:rsid w:val="00333567"/>
    <w:rsid w:val="00334273"/>
    <w:rsid w:val="00334544"/>
    <w:rsid w:val="00337A15"/>
    <w:rsid w:val="00337DD5"/>
    <w:rsid w:val="003400E1"/>
    <w:rsid w:val="0034086F"/>
    <w:rsid w:val="003415AD"/>
    <w:rsid w:val="00341C10"/>
    <w:rsid w:val="003420AB"/>
    <w:rsid w:val="003420C7"/>
    <w:rsid w:val="0034240F"/>
    <w:rsid w:val="00342576"/>
    <w:rsid w:val="003428B6"/>
    <w:rsid w:val="00343D3B"/>
    <w:rsid w:val="003445A3"/>
    <w:rsid w:val="003447F2"/>
    <w:rsid w:val="00345A41"/>
    <w:rsid w:val="00345B7F"/>
    <w:rsid w:val="00346C33"/>
    <w:rsid w:val="00346E9D"/>
    <w:rsid w:val="0035069D"/>
    <w:rsid w:val="00351211"/>
    <w:rsid w:val="00352878"/>
    <w:rsid w:val="00353A03"/>
    <w:rsid w:val="00354299"/>
    <w:rsid w:val="003545B3"/>
    <w:rsid w:val="0035518A"/>
    <w:rsid w:val="00357155"/>
    <w:rsid w:val="003618A2"/>
    <w:rsid w:val="00361B5F"/>
    <w:rsid w:val="00361C1B"/>
    <w:rsid w:val="00361CAE"/>
    <w:rsid w:val="00361FF8"/>
    <w:rsid w:val="0036207D"/>
    <w:rsid w:val="0036300F"/>
    <w:rsid w:val="00364B33"/>
    <w:rsid w:val="00364D85"/>
    <w:rsid w:val="00364E17"/>
    <w:rsid w:val="0036510B"/>
    <w:rsid w:val="00365DD3"/>
    <w:rsid w:val="00366276"/>
    <w:rsid w:val="00366773"/>
    <w:rsid w:val="00366B71"/>
    <w:rsid w:val="00366CF7"/>
    <w:rsid w:val="00370CA7"/>
    <w:rsid w:val="00371899"/>
    <w:rsid w:val="00371AE9"/>
    <w:rsid w:val="00371AED"/>
    <w:rsid w:val="00372082"/>
    <w:rsid w:val="00372624"/>
    <w:rsid w:val="00372F94"/>
    <w:rsid w:val="00373650"/>
    <w:rsid w:val="00373660"/>
    <w:rsid w:val="00373F14"/>
    <w:rsid w:val="0037406E"/>
    <w:rsid w:val="00374259"/>
    <w:rsid w:val="003744F5"/>
    <w:rsid w:val="003745E3"/>
    <w:rsid w:val="0037480B"/>
    <w:rsid w:val="00374B79"/>
    <w:rsid w:val="00374CDA"/>
    <w:rsid w:val="00375824"/>
    <w:rsid w:val="00375C3F"/>
    <w:rsid w:val="00375DE3"/>
    <w:rsid w:val="00376B30"/>
    <w:rsid w:val="00377364"/>
    <w:rsid w:val="003808B4"/>
    <w:rsid w:val="003818F9"/>
    <w:rsid w:val="0038304C"/>
    <w:rsid w:val="00383769"/>
    <w:rsid w:val="00383D35"/>
    <w:rsid w:val="003867D9"/>
    <w:rsid w:val="003869C7"/>
    <w:rsid w:val="00387FAC"/>
    <w:rsid w:val="00387FF8"/>
    <w:rsid w:val="0039054F"/>
    <w:rsid w:val="00390836"/>
    <w:rsid w:val="00390ACE"/>
    <w:rsid w:val="00391F9F"/>
    <w:rsid w:val="0039233F"/>
    <w:rsid w:val="00392A7F"/>
    <w:rsid w:val="0039509C"/>
    <w:rsid w:val="003952FD"/>
    <w:rsid w:val="003974E6"/>
    <w:rsid w:val="003A05CA"/>
    <w:rsid w:val="003A1743"/>
    <w:rsid w:val="003A261A"/>
    <w:rsid w:val="003A36F3"/>
    <w:rsid w:val="003A3AE1"/>
    <w:rsid w:val="003A3F26"/>
    <w:rsid w:val="003A46D1"/>
    <w:rsid w:val="003A5788"/>
    <w:rsid w:val="003A5C87"/>
    <w:rsid w:val="003A612D"/>
    <w:rsid w:val="003A7206"/>
    <w:rsid w:val="003A740E"/>
    <w:rsid w:val="003A7957"/>
    <w:rsid w:val="003B01F8"/>
    <w:rsid w:val="003B0B93"/>
    <w:rsid w:val="003B11EC"/>
    <w:rsid w:val="003B1A37"/>
    <w:rsid w:val="003B1D98"/>
    <w:rsid w:val="003B1F20"/>
    <w:rsid w:val="003B28D0"/>
    <w:rsid w:val="003B34A6"/>
    <w:rsid w:val="003B389A"/>
    <w:rsid w:val="003B414D"/>
    <w:rsid w:val="003B49E9"/>
    <w:rsid w:val="003B4C21"/>
    <w:rsid w:val="003B4ED4"/>
    <w:rsid w:val="003B5699"/>
    <w:rsid w:val="003B5E5A"/>
    <w:rsid w:val="003B6069"/>
    <w:rsid w:val="003B6735"/>
    <w:rsid w:val="003B78CF"/>
    <w:rsid w:val="003B78F9"/>
    <w:rsid w:val="003C0E8D"/>
    <w:rsid w:val="003C10A9"/>
    <w:rsid w:val="003C1245"/>
    <w:rsid w:val="003C2E8D"/>
    <w:rsid w:val="003C352D"/>
    <w:rsid w:val="003C3628"/>
    <w:rsid w:val="003C4B71"/>
    <w:rsid w:val="003C526F"/>
    <w:rsid w:val="003C61DB"/>
    <w:rsid w:val="003C652D"/>
    <w:rsid w:val="003D017F"/>
    <w:rsid w:val="003D0E46"/>
    <w:rsid w:val="003D1173"/>
    <w:rsid w:val="003D1A6C"/>
    <w:rsid w:val="003D2C54"/>
    <w:rsid w:val="003D4066"/>
    <w:rsid w:val="003D4246"/>
    <w:rsid w:val="003D4F69"/>
    <w:rsid w:val="003D5D47"/>
    <w:rsid w:val="003D62D9"/>
    <w:rsid w:val="003D6DC0"/>
    <w:rsid w:val="003D7095"/>
    <w:rsid w:val="003D7184"/>
    <w:rsid w:val="003D7636"/>
    <w:rsid w:val="003D7A87"/>
    <w:rsid w:val="003D7F9C"/>
    <w:rsid w:val="003E0694"/>
    <w:rsid w:val="003E0698"/>
    <w:rsid w:val="003E1643"/>
    <w:rsid w:val="003E1C6A"/>
    <w:rsid w:val="003E1CA6"/>
    <w:rsid w:val="003E1CB2"/>
    <w:rsid w:val="003E2043"/>
    <w:rsid w:val="003E20E8"/>
    <w:rsid w:val="003E28F0"/>
    <w:rsid w:val="003E2C96"/>
    <w:rsid w:val="003E33DE"/>
    <w:rsid w:val="003E354C"/>
    <w:rsid w:val="003E4522"/>
    <w:rsid w:val="003E4A58"/>
    <w:rsid w:val="003E6425"/>
    <w:rsid w:val="003E6E66"/>
    <w:rsid w:val="003E7EAF"/>
    <w:rsid w:val="003F003B"/>
    <w:rsid w:val="003F0734"/>
    <w:rsid w:val="003F1227"/>
    <w:rsid w:val="003F1502"/>
    <w:rsid w:val="003F15CB"/>
    <w:rsid w:val="003F2247"/>
    <w:rsid w:val="003F2582"/>
    <w:rsid w:val="003F2E6A"/>
    <w:rsid w:val="003F3291"/>
    <w:rsid w:val="003F37DA"/>
    <w:rsid w:val="003F3995"/>
    <w:rsid w:val="003F39D5"/>
    <w:rsid w:val="003F3EB9"/>
    <w:rsid w:val="003F4A5C"/>
    <w:rsid w:val="003F5054"/>
    <w:rsid w:val="003F7213"/>
    <w:rsid w:val="003F7865"/>
    <w:rsid w:val="004003BB"/>
    <w:rsid w:val="004004AD"/>
    <w:rsid w:val="00401FA1"/>
    <w:rsid w:val="00404ABA"/>
    <w:rsid w:val="00404C53"/>
    <w:rsid w:val="00407350"/>
    <w:rsid w:val="004106D9"/>
    <w:rsid w:val="00411612"/>
    <w:rsid w:val="00411AB6"/>
    <w:rsid w:val="00412F2C"/>
    <w:rsid w:val="00413889"/>
    <w:rsid w:val="00413B7E"/>
    <w:rsid w:val="00413C67"/>
    <w:rsid w:val="00413FC3"/>
    <w:rsid w:val="00414473"/>
    <w:rsid w:val="00414DF7"/>
    <w:rsid w:val="00414ED4"/>
    <w:rsid w:val="00415847"/>
    <w:rsid w:val="00415B3C"/>
    <w:rsid w:val="004203D2"/>
    <w:rsid w:val="0042060B"/>
    <w:rsid w:val="00420989"/>
    <w:rsid w:val="00422B56"/>
    <w:rsid w:val="00422D1B"/>
    <w:rsid w:val="00423890"/>
    <w:rsid w:val="00424475"/>
    <w:rsid w:val="00424671"/>
    <w:rsid w:val="004247D1"/>
    <w:rsid w:val="004255CB"/>
    <w:rsid w:val="00426AE3"/>
    <w:rsid w:val="00426E37"/>
    <w:rsid w:val="0042700C"/>
    <w:rsid w:val="004271AB"/>
    <w:rsid w:val="00431F6D"/>
    <w:rsid w:val="00432281"/>
    <w:rsid w:val="00432AD2"/>
    <w:rsid w:val="00433133"/>
    <w:rsid w:val="00433BFE"/>
    <w:rsid w:val="0043405F"/>
    <w:rsid w:val="00434240"/>
    <w:rsid w:val="004344A4"/>
    <w:rsid w:val="00434A94"/>
    <w:rsid w:val="004354FA"/>
    <w:rsid w:val="00436205"/>
    <w:rsid w:val="004365D7"/>
    <w:rsid w:val="004368FB"/>
    <w:rsid w:val="00436FDE"/>
    <w:rsid w:val="00437DA6"/>
    <w:rsid w:val="004401D7"/>
    <w:rsid w:val="0044046F"/>
    <w:rsid w:val="004405B0"/>
    <w:rsid w:val="00440E12"/>
    <w:rsid w:val="00441176"/>
    <w:rsid w:val="004411F5"/>
    <w:rsid w:val="004414DA"/>
    <w:rsid w:val="0044173B"/>
    <w:rsid w:val="0044206F"/>
    <w:rsid w:val="004423C2"/>
    <w:rsid w:val="004429FD"/>
    <w:rsid w:val="00442CA3"/>
    <w:rsid w:val="0044359E"/>
    <w:rsid w:val="00443E0F"/>
    <w:rsid w:val="00444029"/>
    <w:rsid w:val="00444359"/>
    <w:rsid w:val="0044457A"/>
    <w:rsid w:val="00444B36"/>
    <w:rsid w:val="0044507E"/>
    <w:rsid w:val="004451F3"/>
    <w:rsid w:val="00445699"/>
    <w:rsid w:val="0044586A"/>
    <w:rsid w:val="00446835"/>
    <w:rsid w:val="0045109F"/>
    <w:rsid w:val="0045135F"/>
    <w:rsid w:val="004519C6"/>
    <w:rsid w:val="00451EED"/>
    <w:rsid w:val="0045202B"/>
    <w:rsid w:val="004528AF"/>
    <w:rsid w:val="00452DD5"/>
    <w:rsid w:val="00452F1B"/>
    <w:rsid w:val="0045345C"/>
    <w:rsid w:val="00454860"/>
    <w:rsid w:val="004551F1"/>
    <w:rsid w:val="00455277"/>
    <w:rsid w:val="004559F5"/>
    <w:rsid w:val="00456228"/>
    <w:rsid w:val="00457757"/>
    <w:rsid w:val="00457B82"/>
    <w:rsid w:val="004604EA"/>
    <w:rsid w:val="00460A62"/>
    <w:rsid w:val="0046279E"/>
    <w:rsid w:val="00463A69"/>
    <w:rsid w:val="00463E2F"/>
    <w:rsid w:val="00464236"/>
    <w:rsid w:val="004643DD"/>
    <w:rsid w:val="00464A1E"/>
    <w:rsid w:val="00464CE5"/>
    <w:rsid w:val="00467E61"/>
    <w:rsid w:val="00470AEE"/>
    <w:rsid w:val="00472473"/>
    <w:rsid w:val="00472BE2"/>
    <w:rsid w:val="00472E64"/>
    <w:rsid w:val="0047349E"/>
    <w:rsid w:val="0047364B"/>
    <w:rsid w:val="00473AA4"/>
    <w:rsid w:val="00474228"/>
    <w:rsid w:val="004743A3"/>
    <w:rsid w:val="00476C85"/>
    <w:rsid w:val="00477335"/>
    <w:rsid w:val="00477E0A"/>
    <w:rsid w:val="00480605"/>
    <w:rsid w:val="00480C39"/>
    <w:rsid w:val="00481712"/>
    <w:rsid w:val="00482609"/>
    <w:rsid w:val="004827F9"/>
    <w:rsid w:val="00482953"/>
    <w:rsid w:val="00485585"/>
    <w:rsid w:val="00485DE7"/>
    <w:rsid w:val="004862DA"/>
    <w:rsid w:val="00486C61"/>
    <w:rsid w:val="00487382"/>
    <w:rsid w:val="00490032"/>
    <w:rsid w:val="00490643"/>
    <w:rsid w:val="00490ADD"/>
    <w:rsid w:val="00490EE0"/>
    <w:rsid w:val="00491062"/>
    <w:rsid w:val="004913C5"/>
    <w:rsid w:val="0049187C"/>
    <w:rsid w:val="00491DA6"/>
    <w:rsid w:val="00491F3B"/>
    <w:rsid w:val="00492DB1"/>
    <w:rsid w:val="00493AB9"/>
    <w:rsid w:val="0049450F"/>
    <w:rsid w:val="004949BA"/>
    <w:rsid w:val="00495940"/>
    <w:rsid w:val="00496825"/>
    <w:rsid w:val="00497745"/>
    <w:rsid w:val="004A01D9"/>
    <w:rsid w:val="004A0227"/>
    <w:rsid w:val="004A111B"/>
    <w:rsid w:val="004A141F"/>
    <w:rsid w:val="004A1B67"/>
    <w:rsid w:val="004A2933"/>
    <w:rsid w:val="004A294B"/>
    <w:rsid w:val="004A2A6B"/>
    <w:rsid w:val="004A3247"/>
    <w:rsid w:val="004A36E3"/>
    <w:rsid w:val="004A3978"/>
    <w:rsid w:val="004A3DB9"/>
    <w:rsid w:val="004A41A3"/>
    <w:rsid w:val="004A534F"/>
    <w:rsid w:val="004A53AB"/>
    <w:rsid w:val="004A57F0"/>
    <w:rsid w:val="004A697B"/>
    <w:rsid w:val="004A6D20"/>
    <w:rsid w:val="004A75FE"/>
    <w:rsid w:val="004B00D9"/>
    <w:rsid w:val="004B23C4"/>
    <w:rsid w:val="004B29A3"/>
    <w:rsid w:val="004B2B93"/>
    <w:rsid w:val="004B2BDD"/>
    <w:rsid w:val="004B2D12"/>
    <w:rsid w:val="004B2E6D"/>
    <w:rsid w:val="004B30C1"/>
    <w:rsid w:val="004B32DE"/>
    <w:rsid w:val="004B3C2A"/>
    <w:rsid w:val="004B3C96"/>
    <w:rsid w:val="004B3E35"/>
    <w:rsid w:val="004B47D6"/>
    <w:rsid w:val="004B4E59"/>
    <w:rsid w:val="004B4FB8"/>
    <w:rsid w:val="004B551F"/>
    <w:rsid w:val="004B5EF5"/>
    <w:rsid w:val="004B5F29"/>
    <w:rsid w:val="004B622E"/>
    <w:rsid w:val="004B699E"/>
    <w:rsid w:val="004B730A"/>
    <w:rsid w:val="004B7CB8"/>
    <w:rsid w:val="004B7E1E"/>
    <w:rsid w:val="004B7EE1"/>
    <w:rsid w:val="004C06E9"/>
    <w:rsid w:val="004C146C"/>
    <w:rsid w:val="004C23C2"/>
    <w:rsid w:val="004C2C3B"/>
    <w:rsid w:val="004C383B"/>
    <w:rsid w:val="004C3B9B"/>
    <w:rsid w:val="004C3BE0"/>
    <w:rsid w:val="004C3E29"/>
    <w:rsid w:val="004C4016"/>
    <w:rsid w:val="004C5B96"/>
    <w:rsid w:val="004C6531"/>
    <w:rsid w:val="004C6AF5"/>
    <w:rsid w:val="004C7C6D"/>
    <w:rsid w:val="004D070A"/>
    <w:rsid w:val="004D31DD"/>
    <w:rsid w:val="004D3D74"/>
    <w:rsid w:val="004D45DA"/>
    <w:rsid w:val="004D4721"/>
    <w:rsid w:val="004D6810"/>
    <w:rsid w:val="004D6C1A"/>
    <w:rsid w:val="004D6E33"/>
    <w:rsid w:val="004D7A44"/>
    <w:rsid w:val="004E090B"/>
    <w:rsid w:val="004E0C05"/>
    <w:rsid w:val="004E13F5"/>
    <w:rsid w:val="004E1B4F"/>
    <w:rsid w:val="004E21A7"/>
    <w:rsid w:val="004E2787"/>
    <w:rsid w:val="004E2A7D"/>
    <w:rsid w:val="004E32EF"/>
    <w:rsid w:val="004E3CB2"/>
    <w:rsid w:val="004E4C1D"/>
    <w:rsid w:val="004E58E0"/>
    <w:rsid w:val="004E5C75"/>
    <w:rsid w:val="004E650A"/>
    <w:rsid w:val="004E6A85"/>
    <w:rsid w:val="004E7F9C"/>
    <w:rsid w:val="004F14E8"/>
    <w:rsid w:val="004F1783"/>
    <w:rsid w:val="004F1DA1"/>
    <w:rsid w:val="004F204F"/>
    <w:rsid w:val="004F3C21"/>
    <w:rsid w:val="004F4BC7"/>
    <w:rsid w:val="004F626C"/>
    <w:rsid w:val="004F6594"/>
    <w:rsid w:val="004F6EC7"/>
    <w:rsid w:val="004F78DB"/>
    <w:rsid w:val="0050005A"/>
    <w:rsid w:val="00500651"/>
    <w:rsid w:val="00501149"/>
    <w:rsid w:val="00502F5B"/>
    <w:rsid w:val="005036E0"/>
    <w:rsid w:val="00503ACA"/>
    <w:rsid w:val="00504012"/>
    <w:rsid w:val="0050442E"/>
    <w:rsid w:val="00504D8F"/>
    <w:rsid w:val="00505353"/>
    <w:rsid w:val="00505389"/>
    <w:rsid w:val="00507158"/>
    <w:rsid w:val="00507BB7"/>
    <w:rsid w:val="00507D00"/>
    <w:rsid w:val="005106C0"/>
    <w:rsid w:val="005111F2"/>
    <w:rsid w:val="005120AB"/>
    <w:rsid w:val="005124EA"/>
    <w:rsid w:val="00512EF7"/>
    <w:rsid w:val="0051314A"/>
    <w:rsid w:val="00513254"/>
    <w:rsid w:val="005134B0"/>
    <w:rsid w:val="0051359C"/>
    <w:rsid w:val="0051425A"/>
    <w:rsid w:val="0051566D"/>
    <w:rsid w:val="005171AE"/>
    <w:rsid w:val="00517C09"/>
    <w:rsid w:val="00517F42"/>
    <w:rsid w:val="0052023B"/>
    <w:rsid w:val="0052120F"/>
    <w:rsid w:val="00521D54"/>
    <w:rsid w:val="005227E3"/>
    <w:rsid w:val="005228F7"/>
    <w:rsid w:val="005229FF"/>
    <w:rsid w:val="00522AD2"/>
    <w:rsid w:val="00523F6A"/>
    <w:rsid w:val="0052423B"/>
    <w:rsid w:val="00524D24"/>
    <w:rsid w:val="005259AB"/>
    <w:rsid w:val="005259E2"/>
    <w:rsid w:val="00525ABE"/>
    <w:rsid w:val="00526945"/>
    <w:rsid w:val="00527473"/>
    <w:rsid w:val="00527776"/>
    <w:rsid w:val="0053026A"/>
    <w:rsid w:val="00530910"/>
    <w:rsid w:val="00530DC7"/>
    <w:rsid w:val="00530ED4"/>
    <w:rsid w:val="005312C1"/>
    <w:rsid w:val="00531BDB"/>
    <w:rsid w:val="00532589"/>
    <w:rsid w:val="005325B9"/>
    <w:rsid w:val="00535BD7"/>
    <w:rsid w:val="00536F39"/>
    <w:rsid w:val="0053706F"/>
    <w:rsid w:val="00537375"/>
    <w:rsid w:val="00540168"/>
    <w:rsid w:val="0054101F"/>
    <w:rsid w:val="00541FF3"/>
    <w:rsid w:val="005427AD"/>
    <w:rsid w:val="00542DD0"/>
    <w:rsid w:val="00545A36"/>
    <w:rsid w:val="00545BD1"/>
    <w:rsid w:val="005524C8"/>
    <w:rsid w:val="00552818"/>
    <w:rsid w:val="00552842"/>
    <w:rsid w:val="005536C8"/>
    <w:rsid w:val="005537CD"/>
    <w:rsid w:val="005541A3"/>
    <w:rsid w:val="00554F0C"/>
    <w:rsid w:val="00555716"/>
    <w:rsid w:val="00557417"/>
    <w:rsid w:val="00560AE6"/>
    <w:rsid w:val="00560E64"/>
    <w:rsid w:val="00561CA0"/>
    <w:rsid w:val="00562DA8"/>
    <w:rsid w:val="0056320E"/>
    <w:rsid w:val="00563361"/>
    <w:rsid w:val="005637C0"/>
    <w:rsid w:val="005637D2"/>
    <w:rsid w:val="00563848"/>
    <w:rsid w:val="00563992"/>
    <w:rsid w:val="005640B3"/>
    <w:rsid w:val="005640F7"/>
    <w:rsid w:val="00564655"/>
    <w:rsid w:val="00564B18"/>
    <w:rsid w:val="00564E0B"/>
    <w:rsid w:val="00566E28"/>
    <w:rsid w:val="00566F3B"/>
    <w:rsid w:val="005676E4"/>
    <w:rsid w:val="005700DA"/>
    <w:rsid w:val="0057045C"/>
    <w:rsid w:val="0057074F"/>
    <w:rsid w:val="00570E8F"/>
    <w:rsid w:val="0057106C"/>
    <w:rsid w:val="00571744"/>
    <w:rsid w:val="005719B9"/>
    <w:rsid w:val="00572187"/>
    <w:rsid w:val="005721C7"/>
    <w:rsid w:val="005726D1"/>
    <w:rsid w:val="0057286A"/>
    <w:rsid w:val="00572CA3"/>
    <w:rsid w:val="005736E9"/>
    <w:rsid w:val="00574528"/>
    <w:rsid w:val="00574579"/>
    <w:rsid w:val="00575271"/>
    <w:rsid w:val="005754C7"/>
    <w:rsid w:val="005760D1"/>
    <w:rsid w:val="0057675C"/>
    <w:rsid w:val="0058019D"/>
    <w:rsid w:val="0058098F"/>
    <w:rsid w:val="005815BE"/>
    <w:rsid w:val="0058204D"/>
    <w:rsid w:val="00582335"/>
    <w:rsid w:val="005824E4"/>
    <w:rsid w:val="00583129"/>
    <w:rsid w:val="0058325E"/>
    <w:rsid w:val="005839F2"/>
    <w:rsid w:val="00585123"/>
    <w:rsid w:val="005851F3"/>
    <w:rsid w:val="00585987"/>
    <w:rsid w:val="00585C8C"/>
    <w:rsid w:val="00587D97"/>
    <w:rsid w:val="005906C7"/>
    <w:rsid w:val="00591C78"/>
    <w:rsid w:val="00592491"/>
    <w:rsid w:val="00592957"/>
    <w:rsid w:val="005931EC"/>
    <w:rsid w:val="005936F8"/>
    <w:rsid w:val="005941F4"/>
    <w:rsid w:val="00594363"/>
    <w:rsid w:val="0059498B"/>
    <w:rsid w:val="00594DCA"/>
    <w:rsid w:val="00595643"/>
    <w:rsid w:val="00595879"/>
    <w:rsid w:val="00595D9B"/>
    <w:rsid w:val="005962A0"/>
    <w:rsid w:val="005967B7"/>
    <w:rsid w:val="005A2FE1"/>
    <w:rsid w:val="005A38E6"/>
    <w:rsid w:val="005A3DAA"/>
    <w:rsid w:val="005A4538"/>
    <w:rsid w:val="005A4FA1"/>
    <w:rsid w:val="005A68C1"/>
    <w:rsid w:val="005A7DE4"/>
    <w:rsid w:val="005B0194"/>
    <w:rsid w:val="005B03F9"/>
    <w:rsid w:val="005B053F"/>
    <w:rsid w:val="005B11ED"/>
    <w:rsid w:val="005B1F6C"/>
    <w:rsid w:val="005B27AE"/>
    <w:rsid w:val="005B2C14"/>
    <w:rsid w:val="005B320C"/>
    <w:rsid w:val="005B36E1"/>
    <w:rsid w:val="005B40B8"/>
    <w:rsid w:val="005B49C9"/>
    <w:rsid w:val="005B5489"/>
    <w:rsid w:val="005B58E1"/>
    <w:rsid w:val="005B6FA2"/>
    <w:rsid w:val="005B705F"/>
    <w:rsid w:val="005B75D8"/>
    <w:rsid w:val="005C0141"/>
    <w:rsid w:val="005C09BF"/>
    <w:rsid w:val="005C0C98"/>
    <w:rsid w:val="005C12B8"/>
    <w:rsid w:val="005C2DB6"/>
    <w:rsid w:val="005C2EA3"/>
    <w:rsid w:val="005C5989"/>
    <w:rsid w:val="005C5F2D"/>
    <w:rsid w:val="005C642F"/>
    <w:rsid w:val="005C654A"/>
    <w:rsid w:val="005C6CF6"/>
    <w:rsid w:val="005C73B6"/>
    <w:rsid w:val="005C7B6E"/>
    <w:rsid w:val="005D0531"/>
    <w:rsid w:val="005D05CA"/>
    <w:rsid w:val="005D1524"/>
    <w:rsid w:val="005D1A7B"/>
    <w:rsid w:val="005D2C62"/>
    <w:rsid w:val="005D3EE8"/>
    <w:rsid w:val="005D49EC"/>
    <w:rsid w:val="005D4CBF"/>
    <w:rsid w:val="005D4ED3"/>
    <w:rsid w:val="005D5D82"/>
    <w:rsid w:val="005D5F32"/>
    <w:rsid w:val="005D7262"/>
    <w:rsid w:val="005D77EA"/>
    <w:rsid w:val="005D79D6"/>
    <w:rsid w:val="005E0399"/>
    <w:rsid w:val="005E194D"/>
    <w:rsid w:val="005E2A4C"/>
    <w:rsid w:val="005E398B"/>
    <w:rsid w:val="005E3EC1"/>
    <w:rsid w:val="005E4637"/>
    <w:rsid w:val="005E5CCD"/>
    <w:rsid w:val="005E789C"/>
    <w:rsid w:val="005F0102"/>
    <w:rsid w:val="005F02C4"/>
    <w:rsid w:val="005F0C09"/>
    <w:rsid w:val="005F105E"/>
    <w:rsid w:val="005F360C"/>
    <w:rsid w:val="005F3783"/>
    <w:rsid w:val="005F3F03"/>
    <w:rsid w:val="005F4149"/>
    <w:rsid w:val="005F4293"/>
    <w:rsid w:val="005F42F2"/>
    <w:rsid w:val="005F4603"/>
    <w:rsid w:val="005F498F"/>
    <w:rsid w:val="005F5461"/>
    <w:rsid w:val="005F59A9"/>
    <w:rsid w:val="005F6430"/>
    <w:rsid w:val="005F6E62"/>
    <w:rsid w:val="005F7417"/>
    <w:rsid w:val="005F77C1"/>
    <w:rsid w:val="00602E71"/>
    <w:rsid w:val="00603223"/>
    <w:rsid w:val="006037EC"/>
    <w:rsid w:val="00603DFE"/>
    <w:rsid w:val="0060465F"/>
    <w:rsid w:val="0060544A"/>
    <w:rsid w:val="00607637"/>
    <w:rsid w:val="00607E23"/>
    <w:rsid w:val="00610391"/>
    <w:rsid w:val="006113AD"/>
    <w:rsid w:val="00611745"/>
    <w:rsid w:val="00612952"/>
    <w:rsid w:val="00612E2E"/>
    <w:rsid w:val="00613348"/>
    <w:rsid w:val="00613A6B"/>
    <w:rsid w:val="006143AC"/>
    <w:rsid w:val="00614D42"/>
    <w:rsid w:val="00615905"/>
    <w:rsid w:val="00615FE7"/>
    <w:rsid w:val="00616830"/>
    <w:rsid w:val="00616905"/>
    <w:rsid w:val="00617853"/>
    <w:rsid w:val="00617979"/>
    <w:rsid w:val="006200B0"/>
    <w:rsid w:val="00620310"/>
    <w:rsid w:val="00620AEC"/>
    <w:rsid w:val="00620D25"/>
    <w:rsid w:val="00620FEF"/>
    <w:rsid w:val="00621468"/>
    <w:rsid w:val="006215BE"/>
    <w:rsid w:val="00622B15"/>
    <w:rsid w:val="00622F25"/>
    <w:rsid w:val="00623D2F"/>
    <w:rsid w:val="0062450F"/>
    <w:rsid w:val="006247A3"/>
    <w:rsid w:val="006250C3"/>
    <w:rsid w:val="006268FC"/>
    <w:rsid w:val="00626AD7"/>
    <w:rsid w:val="00626E9C"/>
    <w:rsid w:val="006309C1"/>
    <w:rsid w:val="006309F5"/>
    <w:rsid w:val="00630F57"/>
    <w:rsid w:val="006321EB"/>
    <w:rsid w:val="006323F1"/>
    <w:rsid w:val="006333AC"/>
    <w:rsid w:val="006334DC"/>
    <w:rsid w:val="00634B4D"/>
    <w:rsid w:val="00634CB9"/>
    <w:rsid w:val="00634D15"/>
    <w:rsid w:val="00636A09"/>
    <w:rsid w:val="00637979"/>
    <w:rsid w:val="006403F0"/>
    <w:rsid w:val="00641027"/>
    <w:rsid w:val="0064152E"/>
    <w:rsid w:val="00641847"/>
    <w:rsid w:val="006418B7"/>
    <w:rsid w:val="00642039"/>
    <w:rsid w:val="006429EE"/>
    <w:rsid w:val="00642D7D"/>
    <w:rsid w:val="00642FF5"/>
    <w:rsid w:val="00643438"/>
    <w:rsid w:val="00643FDB"/>
    <w:rsid w:val="00645126"/>
    <w:rsid w:val="00645387"/>
    <w:rsid w:val="00645A89"/>
    <w:rsid w:val="00646309"/>
    <w:rsid w:val="00646905"/>
    <w:rsid w:val="00646DC3"/>
    <w:rsid w:val="0064755C"/>
    <w:rsid w:val="00650307"/>
    <w:rsid w:val="00650794"/>
    <w:rsid w:val="006507DA"/>
    <w:rsid w:val="00650825"/>
    <w:rsid w:val="00650E0F"/>
    <w:rsid w:val="00651AB4"/>
    <w:rsid w:val="00652513"/>
    <w:rsid w:val="00653008"/>
    <w:rsid w:val="00653974"/>
    <w:rsid w:val="00653A5D"/>
    <w:rsid w:val="00653F59"/>
    <w:rsid w:val="00654244"/>
    <w:rsid w:val="006572D1"/>
    <w:rsid w:val="00660971"/>
    <w:rsid w:val="006614B7"/>
    <w:rsid w:val="00661599"/>
    <w:rsid w:val="00661C21"/>
    <w:rsid w:val="00662021"/>
    <w:rsid w:val="006620FC"/>
    <w:rsid w:val="00662F5D"/>
    <w:rsid w:val="0066349E"/>
    <w:rsid w:val="006635E9"/>
    <w:rsid w:val="00663F5B"/>
    <w:rsid w:val="00663FAF"/>
    <w:rsid w:val="0066548F"/>
    <w:rsid w:val="0066576A"/>
    <w:rsid w:val="00665D5E"/>
    <w:rsid w:val="00666EFD"/>
    <w:rsid w:val="0066728A"/>
    <w:rsid w:val="00670075"/>
    <w:rsid w:val="00670F70"/>
    <w:rsid w:val="0067128D"/>
    <w:rsid w:val="0067177B"/>
    <w:rsid w:val="00671DCA"/>
    <w:rsid w:val="00672357"/>
    <w:rsid w:val="006725DF"/>
    <w:rsid w:val="00672ECA"/>
    <w:rsid w:val="0067385C"/>
    <w:rsid w:val="006739C9"/>
    <w:rsid w:val="00673CE4"/>
    <w:rsid w:val="00674059"/>
    <w:rsid w:val="006744C2"/>
    <w:rsid w:val="00674895"/>
    <w:rsid w:val="00675190"/>
    <w:rsid w:val="00675356"/>
    <w:rsid w:val="0067579F"/>
    <w:rsid w:val="00675E35"/>
    <w:rsid w:val="00676629"/>
    <w:rsid w:val="00676AD3"/>
    <w:rsid w:val="00677134"/>
    <w:rsid w:val="006806FF"/>
    <w:rsid w:val="00681494"/>
    <w:rsid w:val="00681515"/>
    <w:rsid w:val="00681E31"/>
    <w:rsid w:val="00682CD8"/>
    <w:rsid w:val="00682CEB"/>
    <w:rsid w:val="006849DA"/>
    <w:rsid w:val="00684DBF"/>
    <w:rsid w:val="00686C51"/>
    <w:rsid w:val="006910B1"/>
    <w:rsid w:val="006917D8"/>
    <w:rsid w:val="00691FE9"/>
    <w:rsid w:val="006921A7"/>
    <w:rsid w:val="00692A90"/>
    <w:rsid w:val="006932CA"/>
    <w:rsid w:val="006935B5"/>
    <w:rsid w:val="0069402D"/>
    <w:rsid w:val="006946D6"/>
    <w:rsid w:val="006951BD"/>
    <w:rsid w:val="00697130"/>
    <w:rsid w:val="006A1998"/>
    <w:rsid w:val="006A1A6C"/>
    <w:rsid w:val="006A2470"/>
    <w:rsid w:val="006A24DA"/>
    <w:rsid w:val="006A3392"/>
    <w:rsid w:val="006A3CDA"/>
    <w:rsid w:val="006A413F"/>
    <w:rsid w:val="006A4FE9"/>
    <w:rsid w:val="006A6CDC"/>
    <w:rsid w:val="006A7402"/>
    <w:rsid w:val="006B078D"/>
    <w:rsid w:val="006B1BF4"/>
    <w:rsid w:val="006B2501"/>
    <w:rsid w:val="006B267A"/>
    <w:rsid w:val="006B2A38"/>
    <w:rsid w:val="006B2D22"/>
    <w:rsid w:val="006B3FF5"/>
    <w:rsid w:val="006B40C0"/>
    <w:rsid w:val="006B4340"/>
    <w:rsid w:val="006B4942"/>
    <w:rsid w:val="006B4943"/>
    <w:rsid w:val="006B4ACB"/>
    <w:rsid w:val="006B4E17"/>
    <w:rsid w:val="006C054E"/>
    <w:rsid w:val="006C0932"/>
    <w:rsid w:val="006C101A"/>
    <w:rsid w:val="006C15DF"/>
    <w:rsid w:val="006C1C5D"/>
    <w:rsid w:val="006C20C2"/>
    <w:rsid w:val="006C27AF"/>
    <w:rsid w:val="006C3D59"/>
    <w:rsid w:val="006C3D8E"/>
    <w:rsid w:val="006C48A8"/>
    <w:rsid w:val="006C49FB"/>
    <w:rsid w:val="006C556D"/>
    <w:rsid w:val="006C6D52"/>
    <w:rsid w:val="006C6E86"/>
    <w:rsid w:val="006C707F"/>
    <w:rsid w:val="006C7EE8"/>
    <w:rsid w:val="006D04F1"/>
    <w:rsid w:val="006D0DC2"/>
    <w:rsid w:val="006D2554"/>
    <w:rsid w:val="006D292F"/>
    <w:rsid w:val="006D3AC1"/>
    <w:rsid w:val="006D3AEF"/>
    <w:rsid w:val="006D4237"/>
    <w:rsid w:val="006D4514"/>
    <w:rsid w:val="006D4B63"/>
    <w:rsid w:val="006D4DD6"/>
    <w:rsid w:val="006D5493"/>
    <w:rsid w:val="006D5CC1"/>
    <w:rsid w:val="006D6057"/>
    <w:rsid w:val="006D6A77"/>
    <w:rsid w:val="006D6FE4"/>
    <w:rsid w:val="006D6FF8"/>
    <w:rsid w:val="006D7154"/>
    <w:rsid w:val="006D726F"/>
    <w:rsid w:val="006D798A"/>
    <w:rsid w:val="006E0AC9"/>
    <w:rsid w:val="006E1C8D"/>
    <w:rsid w:val="006E26E2"/>
    <w:rsid w:val="006E2BAC"/>
    <w:rsid w:val="006E3072"/>
    <w:rsid w:val="006E3DC3"/>
    <w:rsid w:val="006E43C7"/>
    <w:rsid w:val="006E4936"/>
    <w:rsid w:val="006E5005"/>
    <w:rsid w:val="006E5CD5"/>
    <w:rsid w:val="006E5D16"/>
    <w:rsid w:val="006E621F"/>
    <w:rsid w:val="006E6965"/>
    <w:rsid w:val="006E75C5"/>
    <w:rsid w:val="006E7DE3"/>
    <w:rsid w:val="006F13C1"/>
    <w:rsid w:val="006F1488"/>
    <w:rsid w:val="006F1FB9"/>
    <w:rsid w:val="006F21B6"/>
    <w:rsid w:val="006F2255"/>
    <w:rsid w:val="006F2DAA"/>
    <w:rsid w:val="006F30BA"/>
    <w:rsid w:val="006F3726"/>
    <w:rsid w:val="006F3AF3"/>
    <w:rsid w:val="006F3BE8"/>
    <w:rsid w:val="006F42B8"/>
    <w:rsid w:val="006F45E2"/>
    <w:rsid w:val="006F5C59"/>
    <w:rsid w:val="006F5C5E"/>
    <w:rsid w:val="006F5F4D"/>
    <w:rsid w:val="006F7D42"/>
    <w:rsid w:val="00702C92"/>
    <w:rsid w:val="0070314D"/>
    <w:rsid w:val="00703F87"/>
    <w:rsid w:val="0070482B"/>
    <w:rsid w:val="00704FB2"/>
    <w:rsid w:val="00706720"/>
    <w:rsid w:val="007068F0"/>
    <w:rsid w:val="00707941"/>
    <w:rsid w:val="00707A6C"/>
    <w:rsid w:val="00707D08"/>
    <w:rsid w:val="00707FED"/>
    <w:rsid w:val="00710371"/>
    <w:rsid w:val="00710524"/>
    <w:rsid w:val="00711C34"/>
    <w:rsid w:val="007120C3"/>
    <w:rsid w:val="0071225F"/>
    <w:rsid w:val="00712281"/>
    <w:rsid w:val="00712A23"/>
    <w:rsid w:val="007156E8"/>
    <w:rsid w:val="0071682A"/>
    <w:rsid w:val="00717325"/>
    <w:rsid w:val="00717CEE"/>
    <w:rsid w:val="007205F9"/>
    <w:rsid w:val="00720C48"/>
    <w:rsid w:val="007214FE"/>
    <w:rsid w:val="0072201B"/>
    <w:rsid w:val="0072202C"/>
    <w:rsid w:val="00722D4E"/>
    <w:rsid w:val="0072383D"/>
    <w:rsid w:val="00723AA8"/>
    <w:rsid w:val="0072444F"/>
    <w:rsid w:val="00724C3C"/>
    <w:rsid w:val="0072573C"/>
    <w:rsid w:val="00725FEF"/>
    <w:rsid w:val="00726185"/>
    <w:rsid w:val="00727146"/>
    <w:rsid w:val="007272F8"/>
    <w:rsid w:val="007273BC"/>
    <w:rsid w:val="00727541"/>
    <w:rsid w:val="00730113"/>
    <w:rsid w:val="00730558"/>
    <w:rsid w:val="00730884"/>
    <w:rsid w:val="007309E9"/>
    <w:rsid w:val="00731645"/>
    <w:rsid w:val="00732328"/>
    <w:rsid w:val="0073324E"/>
    <w:rsid w:val="007337C9"/>
    <w:rsid w:val="00733D62"/>
    <w:rsid w:val="007356E3"/>
    <w:rsid w:val="00735E1D"/>
    <w:rsid w:val="00735ED7"/>
    <w:rsid w:val="00736779"/>
    <w:rsid w:val="0073682D"/>
    <w:rsid w:val="00737591"/>
    <w:rsid w:val="00737863"/>
    <w:rsid w:val="00737EB7"/>
    <w:rsid w:val="00740D78"/>
    <w:rsid w:val="00741563"/>
    <w:rsid w:val="00741868"/>
    <w:rsid w:val="0074212C"/>
    <w:rsid w:val="00742731"/>
    <w:rsid w:val="00743187"/>
    <w:rsid w:val="00743275"/>
    <w:rsid w:val="007437E7"/>
    <w:rsid w:val="007439F0"/>
    <w:rsid w:val="0074528A"/>
    <w:rsid w:val="007459BD"/>
    <w:rsid w:val="00745FBA"/>
    <w:rsid w:val="00746145"/>
    <w:rsid w:val="007464DF"/>
    <w:rsid w:val="00746FF2"/>
    <w:rsid w:val="0074770A"/>
    <w:rsid w:val="00747B30"/>
    <w:rsid w:val="00750D69"/>
    <w:rsid w:val="0075117E"/>
    <w:rsid w:val="007514B9"/>
    <w:rsid w:val="00751C15"/>
    <w:rsid w:val="00751CFF"/>
    <w:rsid w:val="0075222D"/>
    <w:rsid w:val="00752B30"/>
    <w:rsid w:val="00752EF6"/>
    <w:rsid w:val="0075338C"/>
    <w:rsid w:val="007553BF"/>
    <w:rsid w:val="0075648E"/>
    <w:rsid w:val="00756D97"/>
    <w:rsid w:val="00756DD5"/>
    <w:rsid w:val="007572BE"/>
    <w:rsid w:val="00757A2A"/>
    <w:rsid w:val="00757B54"/>
    <w:rsid w:val="00760469"/>
    <w:rsid w:val="007609D2"/>
    <w:rsid w:val="00760B38"/>
    <w:rsid w:val="00761168"/>
    <w:rsid w:val="007611A6"/>
    <w:rsid w:val="007614A9"/>
    <w:rsid w:val="00761885"/>
    <w:rsid w:val="00761F80"/>
    <w:rsid w:val="0076202F"/>
    <w:rsid w:val="00762484"/>
    <w:rsid w:val="0076264B"/>
    <w:rsid w:val="00762CAD"/>
    <w:rsid w:val="0076309A"/>
    <w:rsid w:val="007636C2"/>
    <w:rsid w:val="00763A4B"/>
    <w:rsid w:val="00763D27"/>
    <w:rsid w:val="00764268"/>
    <w:rsid w:val="00765647"/>
    <w:rsid w:val="00765D98"/>
    <w:rsid w:val="0076622F"/>
    <w:rsid w:val="007666F2"/>
    <w:rsid w:val="007669E9"/>
    <w:rsid w:val="00767A61"/>
    <w:rsid w:val="00770BA5"/>
    <w:rsid w:val="00772211"/>
    <w:rsid w:val="00772A31"/>
    <w:rsid w:val="0077329D"/>
    <w:rsid w:val="00775EC7"/>
    <w:rsid w:val="0077633F"/>
    <w:rsid w:val="00776CAD"/>
    <w:rsid w:val="0077740C"/>
    <w:rsid w:val="007808BB"/>
    <w:rsid w:val="00780BE6"/>
    <w:rsid w:val="00780E19"/>
    <w:rsid w:val="00781764"/>
    <w:rsid w:val="00781EC5"/>
    <w:rsid w:val="00783408"/>
    <w:rsid w:val="007852AC"/>
    <w:rsid w:val="007855CC"/>
    <w:rsid w:val="00786446"/>
    <w:rsid w:val="00786EEF"/>
    <w:rsid w:val="007904B6"/>
    <w:rsid w:val="00790D69"/>
    <w:rsid w:val="00791425"/>
    <w:rsid w:val="00791817"/>
    <w:rsid w:val="00791B59"/>
    <w:rsid w:val="007923A2"/>
    <w:rsid w:val="00792566"/>
    <w:rsid w:val="007930D8"/>
    <w:rsid w:val="00793932"/>
    <w:rsid w:val="00793A31"/>
    <w:rsid w:val="00793CA5"/>
    <w:rsid w:val="0079489E"/>
    <w:rsid w:val="00794B47"/>
    <w:rsid w:val="00794D6E"/>
    <w:rsid w:val="007953AC"/>
    <w:rsid w:val="0079577A"/>
    <w:rsid w:val="007957E0"/>
    <w:rsid w:val="00796075"/>
    <w:rsid w:val="00797A01"/>
    <w:rsid w:val="007A037B"/>
    <w:rsid w:val="007A0A8F"/>
    <w:rsid w:val="007A14CD"/>
    <w:rsid w:val="007A1606"/>
    <w:rsid w:val="007A1B88"/>
    <w:rsid w:val="007A2109"/>
    <w:rsid w:val="007A3335"/>
    <w:rsid w:val="007A369F"/>
    <w:rsid w:val="007A4281"/>
    <w:rsid w:val="007A4424"/>
    <w:rsid w:val="007A5D40"/>
    <w:rsid w:val="007A6641"/>
    <w:rsid w:val="007A68FD"/>
    <w:rsid w:val="007A6AF8"/>
    <w:rsid w:val="007A72E6"/>
    <w:rsid w:val="007A7302"/>
    <w:rsid w:val="007A7585"/>
    <w:rsid w:val="007B068F"/>
    <w:rsid w:val="007B1578"/>
    <w:rsid w:val="007B2D14"/>
    <w:rsid w:val="007B3B62"/>
    <w:rsid w:val="007B47C0"/>
    <w:rsid w:val="007B4E46"/>
    <w:rsid w:val="007B576C"/>
    <w:rsid w:val="007B5FA8"/>
    <w:rsid w:val="007B6428"/>
    <w:rsid w:val="007B669C"/>
    <w:rsid w:val="007B6B7E"/>
    <w:rsid w:val="007B726A"/>
    <w:rsid w:val="007B7E3A"/>
    <w:rsid w:val="007B7F6D"/>
    <w:rsid w:val="007C0089"/>
    <w:rsid w:val="007C12F1"/>
    <w:rsid w:val="007C231C"/>
    <w:rsid w:val="007C468E"/>
    <w:rsid w:val="007C4853"/>
    <w:rsid w:val="007C48C4"/>
    <w:rsid w:val="007C4934"/>
    <w:rsid w:val="007C5B98"/>
    <w:rsid w:val="007C5FFA"/>
    <w:rsid w:val="007D0212"/>
    <w:rsid w:val="007D02CF"/>
    <w:rsid w:val="007D0F74"/>
    <w:rsid w:val="007D1FF7"/>
    <w:rsid w:val="007D27D6"/>
    <w:rsid w:val="007D2A8C"/>
    <w:rsid w:val="007D39DF"/>
    <w:rsid w:val="007D44A1"/>
    <w:rsid w:val="007D474A"/>
    <w:rsid w:val="007D493C"/>
    <w:rsid w:val="007D4C0F"/>
    <w:rsid w:val="007D4D75"/>
    <w:rsid w:val="007D5529"/>
    <w:rsid w:val="007D5689"/>
    <w:rsid w:val="007D598E"/>
    <w:rsid w:val="007D638A"/>
    <w:rsid w:val="007D659A"/>
    <w:rsid w:val="007D7745"/>
    <w:rsid w:val="007E10B0"/>
    <w:rsid w:val="007E1C7A"/>
    <w:rsid w:val="007E1F48"/>
    <w:rsid w:val="007E2F83"/>
    <w:rsid w:val="007E2FB9"/>
    <w:rsid w:val="007E4472"/>
    <w:rsid w:val="007E47F5"/>
    <w:rsid w:val="007E4916"/>
    <w:rsid w:val="007E50D8"/>
    <w:rsid w:val="007E518C"/>
    <w:rsid w:val="007E533A"/>
    <w:rsid w:val="007E5CD8"/>
    <w:rsid w:val="007E6EEB"/>
    <w:rsid w:val="007E7225"/>
    <w:rsid w:val="007E72F6"/>
    <w:rsid w:val="007E763C"/>
    <w:rsid w:val="007E7B0C"/>
    <w:rsid w:val="007F033B"/>
    <w:rsid w:val="007F0820"/>
    <w:rsid w:val="007F225D"/>
    <w:rsid w:val="007F2B71"/>
    <w:rsid w:val="007F37DA"/>
    <w:rsid w:val="007F40B9"/>
    <w:rsid w:val="007F43C6"/>
    <w:rsid w:val="007F477C"/>
    <w:rsid w:val="007F4AAC"/>
    <w:rsid w:val="007F4AC4"/>
    <w:rsid w:val="007F57A2"/>
    <w:rsid w:val="007F787F"/>
    <w:rsid w:val="007F7FB1"/>
    <w:rsid w:val="008000BA"/>
    <w:rsid w:val="0080166F"/>
    <w:rsid w:val="00801974"/>
    <w:rsid w:val="00802AB8"/>
    <w:rsid w:val="00802AD4"/>
    <w:rsid w:val="008041D0"/>
    <w:rsid w:val="00804338"/>
    <w:rsid w:val="008058C1"/>
    <w:rsid w:val="00806162"/>
    <w:rsid w:val="00806CBE"/>
    <w:rsid w:val="008072BA"/>
    <w:rsid w:val="008072DC"/>
    <w:rsid w:val="00807553"/>
    <w:rsid w:val="00807977"/>
    <w:rsid w:val="00810D41"/>
    <w:rsid w:val="0081193C"/>
    <w:rsid w:val="008125A8"/>
    <w:rsid w:val="00812733"/>
    <w:rsid w:val="00812C95"/>
    <w:rsid w:val="00813E90"/>
    <w:rsid w:val="008144CE"/>
    <w:rsid w:val="008145ED"/>
    <w:rsid w:val="00814C79"/>
    <w:rsid w:val="00814D59"/>
    <w:rsid w:val="00815811"/>
    <w:rsid w:val="00816CED"/>
    <w:rsid w:val="008172FC"/>
    <w:rsid w:val="0081747B"/>
    <w:rsid w:val="008211F6"/>
    <w:rsid w:val="0082168D"/>
    <w:rsid w:val="00821941"/>
    <w:rsid w:val="00822373"/>
    <w:rsid w:val="0082238D"/>
    <w:rsid w:val="0082377E"/>
    <w:rsid w:val="00823D99"/>
    <w:rsid w:val="00824509"/>
    <w:rsid w:val="00824DAC"/>
    <w:rsid w:val="008259BC"/>
    <w:rsid w:val="00826388"/>
    <w:rsid w:val="00826827"/>
    <w:rsid w:val="008268D1"/>
    <w:rsid w:val="0082761D"/>
    <w:rsid w:val="00830164"/>
    <w:rsid w:val="00830512"/>
    <w:rsid w:val="00830A2B"/>
    <w:rsid w:val="00831571"/>
    <w:rsid w:val="00832CEF"/>
    <w:rsid w:val="00832F9A"/>
    <w:rsid w:val="008330C0"/>
    <w:rsid w:val="0083354F"/>
    <w:rsid w:val="00835B37"/>
    <w:rsid w:val="0083748B"/>
    <w:rsid w:val="00837525"/>
    <w:rsid w:val="00840893"/>
    <w:rsid w:val="00840CD8"/>
    <w:rsid w:val="00841437"/>
    <w:rsid w:val="008435F9"/>
    <w:rsid w:val="00844A53"/>
    <w:rsid w:val="00845AC5"/>
    <w:rsid w:val="00845C85"/>
    <w:rsid w:val="00845D21"/>
    <w:rsid w:val="00847139"/>
    <w:rsid w:val="00847373"/>
    <w:rsid w:val="00847D4D"/>
    <w:rsid w:val="008511C7"/>
    <w:rsid w:val="008511F5"/>
    <w:rsid w:val="00853846"/>
    <w:rsid w:val="008538C6"/>
    <w:rsid w:val="00853E1D"/>
    <w:rsid w:val="00854448"/>
    <w:rsid w:val="0085495B"/>
    <w:rsid w:val="008553E3"/>
    <w:rsid w:val="00856349"/>
    <w:rsid w:val="0085647A"/>
    <w:rsid w:val="00857606"/>
    <w:rsid w:val="00857E65"/>
    <w:rsid w:val="008605A1"/>
    <w:rsid w:val="008605B7"/>
    <w:rsid w:val="008606AA"/>
    <w:rsid w:val="0086074F"/>
    <w:rsid w:val="00860DFF"/>
    <w:rsid w:val="00862959"/>
    <w:rsid w:val="00862D09"/>
    <w:rsid w:val="00862E8C"/>
    <w:rsid w:val="00863833"/>
    <w:rsid w:val="00863A81"/>
    <w:rsid w:val="00863D15"/>
    <w:rsid w:val="008641F4"/>
    <w:rsid w:val="00864485"/>
    <w:rsid w:val="00865346"/>
    <w:rsid w:val="00865D90"/>
    <w:rsid w:val="008662FD"/>
    <w:rsid w:val="008664AC"/>
    <w:rsid w:val="00866AC8"/>
    <w:rsid w:val="00866C4E"/>
    <w:rsid w:val="00866E96"/>
    <w:rsid w:val="008670C0"/>
    <w:rsid w:val="008718C8"/>
    <w:rsid w:val="00871C8E"/>
    <w:rsid w:val="00872653"/>
    <w:rsid w:val="00873A4C"/>
    <w:rsid w:val="00873EDC"/>
    <w:rsid w:val="0087410F"/>
    <w:rsid w:val="008746CB"/>
    <w:rsid w:val="00874D64"/>
    <w:rsid w:val="00875C70"/>
    <w:rsid w:val="00876301"/>
    <w:rsid w:val="00877174"/>
    <w:rsid w:val="00877206"/>
    <w:rsid w:val="008805B9"/>
    <w:rsid w:val="0088077D"/>
    <w:rsid w:val="00880908"/>
    <w:rsid w:val="00880AF4"/>
    <w:rsid w:val="00880D9C"/>
    <w:rsid w:val="00880E3A"/>
    <w:rsid w:val="0088211F"/>
    <w:rsid w:val="0088231A"/>
    <w:rsid w:val="0088265C"/>
    <w:rsid w:val="00883177"/>
    <w:rsid w:val="008832B5"/>
    <w:rsid w:val="00883C3D"/>
    <w:rsid w:val="00883E07"/>
    <w:rsid w:val="008844E8"/>
    <w:rsid w:val="0088464E"/>
    <w:rsid w:val="00884B11"/>
    <w:rsid w:val="008857CC"/>
    <w:rsid w:val="0088624C"/>
    <w:rsid w:val="00886B5B"/>
    <w:rsid w:val="00886F8D"/>
    <w:rsid w:val="00887D3A"/>
    <w:rsid w:val="0089070E"/>
    <w:rsid w:val="00890774"/>
    <w:rsid w:val="00890CED"/>
    <w:rsid w:val="00890D2F"/>
    <w:rsid w:val="008918BB"/>
    <w:rsid w:val="00891A2B"/>
    <w:rsid w:val="008923B9"/>
    <w:rsid w:val="008923FB"/>
    <w:rsid w:val="008924CD"/>
    <w:rsid w:val="00892C08"/>
    <w:rsid w:val="008931B6"/>
    <w:rsid w:val="008931F5"/>
    <w:rsid w:val="008933D1"/>
    <w:rsid w:val="00894EA5"/>
    <w:rsid w:val="00895460"/>
    <w:rsid w:val="00895603"/>
    <w:rsid w:val="0089747F"/>
    <w:rsid w:val="0089769F"/>
    <w:rsid w:val="00897EE9"/>
    <w:rsid w:val="008A0047"/>
    <w:rsid w:val="008A16D6"/>
    <w:rsid w:val="008A1FAD"/>
    <w:rsid w:val="008A204D"/>
    <w:rsid w:val="008A2209"/>
    <w:rsid w:val="008A2599"/>
    <w:rsid w:val="008A2792"/>
    <w:rsid w:val="008A2B5B"/>
    <w:rsid w:val="008A2DD4"/>
    <w:rsid w:val="008A3781"/>
    <w:rsid w:val="008A3D12"/>
    <w:rsid w:val="008A3FFD"/>
    <w:rsid w:val="008A4583"/>
    <w:rsid w:val="008A4A08"/>
    <w:rsid w:val="008A4D9E"/>
    <w:rsid w:val="008A6203"/>
    <w:rsid w:val="008A6BDE"/>
    <w:rsid w:val="008A70D5"/>
    <w:rsid w:val="008A7302"/>
    <w:rsid w:val="008A7D14"/>
    <w:rsid w:val="008A7E79"/>
    <w:rsid w:val="008A7EFD"/>
    <w:rsid w:val="008B0636"/>
    <w:rsid w:val="008B0B2C"/>
    <w:rsid w:val="008B0C23"/>
    <w:rsid w:val="008B112C"/>
    <w:rsid w:val="008B12AE"/>
    <w:rsid w:val="008B14F8"/>
    <w:rsid w:val="008B15E4"/>
    <w:rsid w:val="008B177A"/>
    <w:rsid w:val="008B1C42"/>
    <w:rsid w:val="008B3C92"/>
    <w:rsid w:val="008B47A3"/>
    <w:rsid w:val="008B4F2A"/>
    <w:rsid w:val="008B5882"/>
    <w:rsid w:val="008B5A69"/>
    <w:rsid w:val="008B6F25"/>
    <w:rsid w:val="008B722D"/>
    <w:rsid w:val="008B7A2D"/>
    <w:rsid w:val="008C02FD"/>
    <w:rsid w:val="008C0424"/>
    <w:rsid w:val="008C0956"/>
    <w:rsid w:val="008C1359"/>
    <w:rsid w:val="008C1DA5"/>
    <w:rsid w:val="008C3071"/>
    <w:rsid w:val="008C38F1"/>
    <w:rsid w:val="008C3E27"/>
    <w:rsid w:val="008C7D16"/>
    <w:rsid w:val="008D02B6"/>
    <w:rsid w:val="008D08E4"/>
    <w:rsid w:val="008D0C0D"/>
    <w:rsid w:val="008D102D"/>
    <w:rsid w:val="008D15FD"/>
    <w:rsid w:val="008D18E2"/>
    <w:rsid w:val="008D1945"/>
    <w:rsid w:val="008D22DD"/>
    <w:rsid w:val="008D2313"/>
    <w:rsid w:val="008D282E"/>
    <w:rsid w:val="008D3FDD"/>
    <w:rsid w:val="008D4080"/>
    <w:rsid w:val="008D4577"/>
    <w:rsid w:val="008D47F2"/>
    <w:rsid w:val="008D54DF"/>
    <w:rsid w:val="008D577D"/>
    <w:rsid w:val="008D74A7"/>
    <w:rsid w:val="008D7659"/>
    <w:rsid w:val="008D7A37"/>
    <w:rsid w:val="008E0A32"/>
    <w:rsid w:val="008E0C07"/>
    <w:rsid w:val="008E12E5"/>
    <w:rsid w:val="008E1EDA"/>
    <w:rsid w:val="008E2574"/>
    <w:rsid w:val="008E27FC"/>
    <w:rsid w:val="008E344F"/>
    <w:rsid w:val="008E45AE"/>
    <w:rsid w:val="008E47DD"/>
    <w:rsid w:val="008E4ABE"/>
    <w:rsid w:val="008E5BFA"/>
    <w:rsid w:val="008E6034"/>
    <w:rsid w:val="008E6086"/>
    <w:rsid w:val="008E687B"/>
    <w:rsid w:val="008E6F5A"/>
    <w:rsid w:val="008E6FD0"/>
    <w:rsid w:val="008F0516"/>
    <w:rsid w:val="008F0530"/>
    <w:rsid w:val="008F061A"/>
    <w:rsid w:val="008F1B88"/>
    <w:rsid w:val="008F1E3D"/>
    <w:rsid w:val="008F3FB8"/>
    <w:rsid w:val="008F3FC2"/>
    <w:rsid w:val="008F49EA"/>
    <w:rsid w:val="008F4E48"/>
    <w:rsid w:val="008F57B2"/>
    <w:rsid w:val="008F57B8"/>
    <w:rsid w:val="008F59C6"/>
    <w:rsid w:val="008F5ED9"/>
    <w:rsid w:val="008F632C"/>
    <w:rsid w:val="008F6E0F"/>
    <w:rsid w:val="009001F4"/>
    <w:rsid w:val="009004F5"/>
    <w:rsid w:val="00900BD1"/>
    <w:rsid w:val="00900EEF"/>
    <w:rsid w:val="0090103F"/>
    <w:rsid w:val="0090157A"/>
    <w:rsid w:val="0090265F"/>
    <w:rsid w:val="00902CCC"/>
    <w:rsid w:val="00902D6D"/>
    <w:rsid w:val="00902DF8"/>
    <w:rsid w:val="00903356"/>
    <w:rsid w:val="0090384A"/>
    <w:rsid w:val="0090467D"/>
    <w:rsid w:val="00904A74"/>
    <w:rsid w:val="00904C6B"/>
    <w:rsid w:val="00904F71"/>
    <w:rsid w:val="00906DCC"/>
    <w:rsid w:val="00906EC5"/>
    <w:rsid w:val="00907162"/>
    <w:rsid w:val="009074AC"/>
    <w:rsid w:val="009077F7"/>
    <w:rsid w:val="00907BCD"/>
    <w:rsid w:val="00910480"/>
    <w:rsid w:val="00910DB0"/>
    <w:rsid w:val="00911EDC"/>
    <w:rsid w:val="0091249B"/>
    <w:rsid w:val="00912CAF"/>
    <w:rsid w:val="0091335E"/>
    <w:rsid w:val="00913474"/>
    <w:rsid w:val="00913755"/>
    <w:rsid w:val="009139E6"/>
    <w:rsid w:val="00913B08"/>
    <w:rsid w:val="00913BFB"/>
    <w:rsid w:val="00913E02"/>
    <w:rsid w:val="009143EA"/>
    <w:rsid w:val="009147AB"/>
    <w:rsid w:val="00914A41"/>
    <w:rsid w:val="00914E8B"/>
    <w:rsid w:val="009163ED"/>
    <w:rsid w:val="00916776"/>
    <w:rsid w:val="009168EC"/>
    <w:rsid w:val="00917336"/>
    <w:rsid w:val="00917ADE"/>
    <w:rsid w:val="00921948"/>
    <w:rsid w:val="009222EF"/>
    <w:rsid w:val="0092260E"/>
    <w:rsid w:val="009226C4"/>
    <w:rsid w:val="00922823"/>
    <w:rsid w:val="00923988"/>
    <w:rsid w:val="00923B98"/>
    <w:rsid w:val="00925804"/>
    <w:rsid w:val="00925D02"/>
    <w:rsid w:val="0092661A"/>
    <w:rsid w:val="00926630"/>
    <w:rsid w:val="0092718F"/>
    <w:rsid w:val="00927909"/>
    <w:rsid w:val="00927FE8"/>
    <w:rsid w:val="00930030"/>
    <w:rsid w:val="009316D1"/>
    <w:rsid w:val="009319A4"/>
    <w:rsid w:val="00933032"/>
    <w:rsid w:val="00933202"/>
    <w:rsid w:val="00933735"/>
    <w:rsid w:val="00933A93"/>
    <w:rsid w:val="00933B50"/>
    <w:rsid w:val="00933E2A"/>
    <w:rsid w:val="00933FD4"/>
    <w:rsid w:val="009344B6"/>
    <w:rsid w:val="009346D2"/>
    <w:rsid w:val="009354F6"/>
    <w:rsid w:val="009360C2"/>
    <w:rsid w:val="009362C1"/>
    <w:rsid w:val="00937652"/>
    <w:rsid w:val="00942543"/>
    <w:rsid w:val="009429F1"/>
    <w:rsid w:val="00942A20"/>
    <w:rsid w:val="009430EE"/>
    <w:rsid w:val="00943B70"/>
    <w:rsid w:val="00943E29"/>
    <w:rsid w:val="00944564"/>
    <w:rsid w:val="009445AB"/>
    <w:rsid w:val="0094569A"/>
    <w:rsid w:val="00945CCC"/>
    <w:rsid w:val="00946382"/>
    <w:rsid w:val="009472BE"/>
    <w:rsid w:val="00947FC6"/>
    <w:rsid w:val="0095068E"/>
    <w:rsid w:val="00950899"/>
    <w:rsid w:val="00950DBB"/>
    <w:rsid w:val="00951257"/>
    <w:rsid w:val="009516D3"/>
    <w:rsid w:val="00951759"/>
    <w:rsid w:val="009534A7"/>
    <w:rsid w:val="0095428A"/>
    <w:rsid w:val="009552E4"/>
    <w:rsid w:val="009561F1"/>
    <w:rsid w:val="00956983"/>
    <w:rsid w:val="00956F96"/>
    <w:rsid w:val="00957035"/>
    <w:rsid w:val="009574CD"/>
    <w:rsid w:val="00957A44"/>
    <w:rsid w:val="00957B5A"/>
    <w:rsid w:val="00960064"/>
    <w:rsid w:val="009604A6"/>
    <w:rsid w:val="00960A67"/>
    <w:rsid w:val="00960CFE"/>
    <w:rsid w:val="00961E69"/>
    <w:rsid w:val="00961FCA"/>
    <w:rsid w:val="00962696"/>
    <w:rsid w:val="009635D5"/>
    <w:rsid w:val="0096471E"/>
    <w:rsid w:val="009652F7"/>
    <w:rsid w:val="00965334"/>
    <w:rsid w:val="00967773"/>
    <w:rsid w:val="00970697"/>
    <w:rsid w:val="00970D28"/>
    <w:rsid w:val="00970EA3"/>
    <w:rsid w:val="009715D2"/>
    <w:rsid w:val="00971625"/>
    <w:rsid w:val="00972AF6"/>
    <w:rsid w:val="00972B1A"/>
    <w:rsid w:val="00972B22"/>
    <w:rsid w:val="00972DE3"/>
    <w:rsid w:val="009741F0"/>
    <w:rsid w:val="00974497"/>
    <w:rsid w:val="00975340"/>
    <w:rsid w:val="009754BB"/>
    <w:rsid w:val="0097588F"/>
    <w:rsid w:val="009764A2"/>
    <w:rsid w:val="009803CB"/>
    <w:rsid w:val="00980681"/>
    <w:rsid w:val="00980938"/>
    <w:rsid w:val="00980964"/>
    <w:rsid w:val="00980FFF"/>
    <w:rsid w:val="009816B7"/>
    <w:rsid w:val="00983A13"/>
    <w:rsid w:val="00983A92"/>
    <w:rsid w:val="00983FE0"/>
    <w:rsid w:val="00984091"/>
    <w:rsid w:val="00984474"/>
    <w:rsid w:val="00984EB3"/>
    <w:rsid w:val="00985751"/>
    <w:rsid w:val="0098668B"/>
    <w:rsid w:val="00986D52"/>
    <w:rsid w:val="00987B9E"/>
    <w:rsid w:val="00990349"/>
    <w:rsid w:val="009910F0"/>
    <w:rsid w:val="009916A5"/>
    <w:rsid w:val="00991B0D"/>
    <w:rsid w:val="00991DC9"/>
    <w:rsid w:val="00992257"/>
    <w:rsid w:val="009933C0"/>
    <w:rsid w:val="009934D5"/>
    <w:rsid w:val="00994977"/>
    <w:rsid w:val="00995ED0"/>
    <w:rsid w:val="00996308"/>
    <w:rsid w:val="00996A7F"/>
    <w:rsid w:val="009970EA"/>
    <w:rsid w:val="00997131"/>
    <w:rsid w:val="00997902"/>
    <w:rsid w:val="00997A83"/>
    <w:rsid w:val="00997F42"/>
    <w:rsid w:val="00997FDF"/>
    <w:rsid w:val="009A2401"/>
    <w:rsid w:val="009A2673"/>
    <w:rsid w:val="009A2A1C"/>
    <w:rsid w:val="009A2BD7"/>
    <w:rsid w:val="009A3601"/>
    <w:rsid w:val="009A360D"/>
    <w:rsid w:val="009A3E3E"/>
    <w:rsid w:val="009A406B"/>
    <w:rsid w:val="009A447A"/>
    <w:rsid w:val="009A4562"/>
    <w:rsid w:val="009A469B"/>
    <w:rsid w:val="009A46ED"/>
    <w:rsid w:val="009A4C10"/>
    <w:rsid w:val="009A4C9A"/>
    <w:rsid w:val="009A5521"/>
    <w:rsid w:val="009A5B9E"/>
    <w:rsid w:val="009A6624"/>
    <w:rsid w:val="009A674B"/>
    <w:rsid w:val="009A674E"/>
    <w:rsid w:val="009A6BC5"/>
    <w:rsid w:val="009A7482"/>
    <w:rsid w:val="009B00F5"/>
    <w:rsid w:val="009B0627"/>
    <w:rsid w:val="009B2005"/>
    <w:rsid w:val="009B233B"/>
    <w:rsid w:val="009B2B39"/>
    <w:rsid w:val="009B36B7"/>
    <w:rsid w:val="009B41CF"/>
    <w:rsid w:val="009B4F5D"/>
    <w:rsid w:val="009B64C4"/>
    <w:rsid w:val="009B73EC"/>
    <w:rsid w:val="009B7707"/>
    <w:rsid w:val="009C0117"/>
    <w:rsid w:val="009C02CB"/>
    <w:rsid w:val="009C14D8"/>
    <w:rsid w:val="009C18B5"/>
    <w:rsid w:val="009C1D07"/>
    <w:rsid w:val="009C21D3"/>
    <w:rsid w:val="009C2A9F"/>
    <w:rsid w:val="009C2B09"/>
    <w:rsid w:val="009C32A5"/>
    <w:rsid w:val="009C32D6"/>
    <w:rsid w:val="009C34CF"/>
    <w:rsid w:val="009C39DD"/>
    <w:rsid w:val="009C3AA5"/>
    <w:rsid w:val="009C4B47"/>
    <w:rsid w:val="009C4EBE"/>
    <w:rsid w:val="009C4F98"/>
    <w:rsid w:val="009C61F6"/>
    <w:rsid w:val="009C6565"/>
    <w:rsid w:val="009C69EB"/>
    <w:rsid w:val="009C6A67"/>
    <w:rsid w:val="009C6C1B"/>
    <w:rsid w:val="009D0206"/>
    <w:rsid w:val="009D073C"/>
    <w:rsid w:val="009D0E5C"/>
    <w:rsid w:val="009D1789"/>
    <w:rsid w:val="009D1970"/>
    <w:rsid w:val="009D2207"/>
    <w:rsid w:val="009D2694"/>
    <w:rsid w:val="009D3746"/>
    <w:rsid w:val="009D45FD"/>
    <w:rsid w:val="009D4885"/>
    <w:rsid w:val="009D4D43"/>
    <w:rsid w:val="009D4F61"/>
    <w:rsid w:val="009D5856"/>
    <w:rsid w:val="009D5A94"/>
    <w:rsid w:val="009D5C22"/>
    <w:rsid w:val="009D612D"/>
    <w:rsid w:val="009D77D9"/>
    <w:rsid w:val="009E04A2"/>
    <w:rsid w:val="009E118E"/>
    <w:rsid w:val="009E11E4"/>
    <w:rsid w:val="009E23F1"/>
    <w:rsid w:val="009E4237"/>
    <w:rsid w:val="009E4FA7"/>
    <w:rsid w:val="009E50A7"/>
    <w:rsid w:val="009E51C1"/>
    <w:rsid w:val="009E557A"/>
    <w:rsid w:val="009E6702"/>
    <w:rsid w:val="009E750F"/>
    <w:rsid w:val="009F14BD"/>
    <w:rsid w:val="009F157F"/>
    <w:rsid w:val="009F19C0"/>
    <w:rsid w:val="009F2012"/>
    <w:rsid w:val="009F35F3"/>
    <w:rsid w:val="009F57A3"/>
    <w:rsid w:val="009F5AEE"/>
    <w:rsid w:val="009F5D0A"/>
    <w:rsid w:val="009F63D9"/>
    <w:rsid w:val="009F6C4D"/>
    <w:rsid w:val="009F70DD"/>
    <w:rsid w:val="009F729D"/>
    <w:rsid w:val="009F7838"/>
    <w:rsid w:val="009F7EA8"/>
    <w:rsid w:val="00A01D99"/>
    <w:rsid w:val="00A02C92"/>
    <w:rsid w:val="00A02C97"/>
    <w:rsid w:val="00A034B0"/>
    <w:rsid w:val="00A03666"/>
    <w:rsid w:val="00A0386E"/>
    <w:rsid w:val="00A05F2A"/>
    <w:rsid w:val="00A06F0B"/>
    <w:rsid w:val="00A0799C"/>
    <w:rsid w:val="00A07C51"/>
    <w:rsid w:val="00A1065D"/>
    <w:rsid w:val="00A1180D"/>
    <w:rsid w:val="00A11C45"/>
    <w:rsid w:val="00A11C6B"/>
    <w:rsid w:val="00A12A15"/>
    <w:rsid w:val="00A1308E"/>
    <w:rsid w:val="00A131A2"/>
    <w:rsid w:val="00A133F0"/>
    <w:rsid w:val="00A137FA"/>
    <w:rsid w:val="00A1387B"/>
    <w:rsid w:val="00A13E72"/>
    <w:rsid w:val="00A13F89"/>
    <w:rsid w:val="00A14084"/>
    <w:rsid w:val="00A149E1"/>
    <w:rsid w:val="00A15561"/>
    <w:rsid w:val="00A15EDE"/>
    <w:rsid w:val="00A1619D"/>
    <w:rsid w:val="00A201D6"/>
    <w:rsid w:val="00A206DF"/>
    <w:rsid w:val="00A21055"/>
    <w:rsid w:val="00A2386E"/>
    <w:rsid w:val="00A25021"/>
    <w:rsid w:val="00A25C12"/>
    <w:rsid w:val="00A25CCC"/>
    <w:rsid w:val="00A26A67"/>
    <w:rsid w:val="00A27530"/>
    <w:rsid w:val="00A30D92"/>
    <w:rsid w:val="00A31A5F"/>
    <w:rsid w:val="00A31B0F"/>
    <w:rsid w:val="00A31C4A"/>
    <w:rsid w:val="00A33034"/>
    <w:rsid w:val="00A331E6"/>
    <w:rsid w:val="00A34121"/>
    <w:rsid w:val="00A34186"/>
    <w:rsid w:val="00A344A0"/>
    <w:rsid w:val="00A3463A"/>
    <w:rsid w:val="00A349C0"/>
    <w:rsid w:val="00A366C4"/>
    <w:rsid w:val="00A36E6E"/>
    <w:rsid w:val="00A378CF"/>
    <w:rsid w:val="00A37B89"/>
    <w:rsid w:val="00A37EB5"/>
    <w:rsid w:val="00A4098D"/>
    <w:rsid w:val="00A41109"/>
    <w:rsid w:val="00A4149D"/>
    <w:rsid w:val="00A421DE"/>
    <w:rsid w:val="00A426E1"/>
    <w:rsid w:val="00A46847"/>
    <w:rsid w:val="00A46A02"/>
    <w:rsid w:val="00A47EC5"/>
    <w:rsid w:val="00A517D0"/>
    <w:rsid w:val="00A51F4A"/>
    <w:rsid w:val="00A52B10"/>
    <w:rsid w:val="00A52D07"/>
    <w:rsid w:val="00A530D1"/>
    <w:rsid w:val="00A5365E"/>
    <w:rsid w:val="00A53987"/>
    <w:rsid w:val="00A542E8"/>
    <w:rsid w:val="00A54407"/>
    <w:rsid w:val="00A56749"/>
    <w:rsid w:val="00A5697F"/>
    <w:rsid w:val="00A56ABB"/>
    <w:rsid w:val="00A56D83"/>
    <w:rsid w:val="00A60346"/>
    <w:rsid w:val="00A60A8A"/>
    <w:rsid w:val="00A60E86"/>
    <w:rsid w:val="00A61B77"/>
    <w:rsid w:val="00A62039"/>
    <w:rsid w:val="00A625E2"/>
    <w:rsid w:val="00A6343C"/>
    <w:rsid w:val="00A63654"/>
    <w:rsid w:val="00A63C3A"/>
    <w:rsid w:val="00A640C4"/>
    <w:rsid w:val="00A659AF"/>
    <w:rsid w:val="00A65F7D"/>
    <w:rsid w:val="00A66794"/>
    <w:rsid w:val="00A670F3"/>
    <w:rsid w:val="00A671C5"/>
    <w:rsid w:val="00A672E5"/>
    <w:rsid w:val="00A673F0"/>
    <w:rsid w:val="00A67CE3"/>
    <w:rsid w:val="00A701A7"/>
    <w:rsid w:val="00A703ED"/>
    <w:rsid w:val="00A7069C"/>
    <w:rsid w:val="00A707C9"/>
    <w:rsid w:val="00A70918"/>
    <w:rsid w:val="00A70F1A"/>
    <w:rsid w:val="00A71EA4"/>
    <w:rsid w:val="00A73387"/>
    <w:rsid w:val="00A7348D"/>
    <w:rsid w:val="00A74010"/>
    <w:rsid w:val="00A74380"/>
    <w:rsid w:val="00A7478D"/>
    <w:rsid w:val="00A7547F"/>
    <w:rsid w:val="00A7589E"/>
    <w:rsid w:val="00A759E8"/>
    <w:rsid w:val="00A765A7"/>
    <w:rsid w:val="00A766E7"/>
    <w:rsid w:val="00A77A2A"/>
    <w:rsid w:val="00A77DEA"/>
    <w:rsid w:val="00A802F3"/>
    <w:rsid w:val="00A808FC"/>
    <w:rsid w:val="00A8106F"/>
    <w:rsid w:val="00A818BF"/>
    <w:rsid w:val="00A8372E"/>
    <w:rsid w:val="00A83A88"/>
    <w:rsid w:val="00A847FA"/>
    <w:rsid w:val="00A852EA"/>
    <w:rsid w:val="00A86488"/>
    <w:rsid w:val="00A90622"/>
    <w:rsid w:val="00A90703"/>
    <w:rsid w:val="00A90EFA"/>
    <w:rsid w:val="00A912DF"/>
    <w:rsid w:val="00A91312"/>
    <w:rsid w:val="00A922EC"/>
    <w:rsid w:val="00A93AD1"/>
    <w:rsid w:val="00A93CC4"/>
    <w:rsid w:val="00A93F09"/>
    <w:rsid w:val="00A948A3"/>
    <w:rsid w:val="00A95650"/>
    <w:rsid w:val="00A95DB0"/>
    <w:rsid w:val="00A95E0B"/>
    <w:rsid w:val="00A95E66"/>
    <w:rsid w:val="00A9665F"/>
    <w:rsid w:val="00A96B46"/>
    <w:rsid w:val="00A96C87"/>
    <w:rsid w:val="00A97576"/>
    <w:rsid w:val="00A975BE"/>
    <w:rsid w:val="00A978E7"/>
    <w:rsid w:val="00A97E93"/>
    <w:rsid w:val="00AA0018"/>
    <w:rsid w:val="00AA10B3"/>
    <w:rsid w:val="00AA2572"/>
    <w:rsid w:val="00AA297D"/>
    <w:rsid w:val="00AA2ADE"/>
    <w:rsid w:val="00AA3276"/>
    <w:rsid w:val="00AA369E"/>
    <w:rsid w:val="00AA44B5"/>
    <w:rsid w:val="00AA47DD"/>
    <w:rsid w:val="00AA4D35"/>
    <w:rsid w:val="00AA5A7D"/>
    <w:rsid w:val="00AA5AE4"/>
    <w:rsid w:val="00AA6067"/>
    <w:rsid w:val="00AB01B8"/>
    <w:rsid w:val="00AB02C8"/>
    <w:rsid w:val="00AB0EC5"/>
    <w:rsid w:val="00AB274F"/>
    <w:rsid w:val="00AB3297"/>
    <w:rsid w:val="00AB37E4"/>
    <w:rsid w:val="00AB4DC8"/>
    <w:rsid w:val="00AB4F7E"/>
    <w:rsid w:val="00AB4FC7"/>
    <w:rsid w:val="00AB640B"/>
    <w:rsid w:val="00AB6B63"/>
    <w:rsid w:val="00AB6C44"/>
    <w:rsid w:val="00AB6D48"/>
    <w:rsid w:val="00AB7E0F"/>
    <w:rsid w:val="00AC0A2C"/>
    <w:rsid w:val="00AC13CB"/>
    <w:rsid w:val="00AC13D8"/>
    <w:rsid w:val="00AC19E8"/>
    <w:rsid w:val="00AC1F03"/>
    <w:rsid w:val="00AC2656"/>
    <w:rsid w:val="00AC26E3"/>
    <w:rsid w:val="00AC2A65"/>
    <w:rsid w:val="00AC3EB1"/>
    <w:rsid w:val="00AC4072"/>
    <w:rsid w:val="00AC40A5"/>
    <w:rsid w:val="00AC4C29"/>
    <w:rsid w:val="00AC52B3"/>
    <w:rsid w:val="00AC5637"/>
    <w:rsid w:val="00AC62AB"/>
    <w:rsid w:val="00AC6C94"/>
    <w:rsid w:val="00AC7014"/>
    <w:rsid w:val="00AD0181"/>
    <w:rsid w:val="00AD0CAA"/>
    <w:rsid w:val="00AD0D82"/>
    <w:rsid w:val="00AD1F52"/>
    <w:rsid w:val="00AD2119"/>
    <w:rsid w:val="00AD3DD2"/>
    <w:rsid w:val="00AD4096"/>
    <w:rsid w:val="00AD4668"/>
    <w:rsid w:val="00AD515C"/>
    <w:rsid w:val="00AD5B3B"/>
    <w:rsid w:val="00AD6492"/>
    <w:rsid w:val="00AD6583"/>
    <w:rsid w:val="00AD737E"/>
    <w:rsid w:val="00AD75C1"/>
    <w:rsid w:val="00AD78FF"/>
    <w:rsid w:val="00AE002E"/>
    <w:rsid w:val="00AE00FA"/>
    <w:rsid w:val="00AE01A4"/>
    <w:rsid w:val="00AE09F7"/>
    <w:rsid w:val="00AE1465"/>
    <w:rsid w:val="00AE2ABE"/>
    <w:rsid w:val="00AE2EBE"/>
    <w:rsid w:val="00AE34AB"/>
    <w:rsid w:val="00AE46D2"/>
    <w:rsid w:val="00AE5BFB"/>
    <w:rsid w:val="00AE7AB9"/>
    <w:rsid w:val="00AF0382"/>
    <w:rsid w:val="00AF0773"/>
    <w:rsid w:val="00AF1108"/>
    <w:rsid w:val="00AF16FD"/>
    <w:rsid w:val="00AF208A"/>
    <w:rsid w:val="00AF2E12"/>
    <w:rsid w:val="00AF39C0"/>
    <w:rsid w:val="00AF3CE4"/>
    <w:rsid w:val="00AF52D1"/>
    <w:rsid w:val="00AF651B"/>
    <w:rsid w:val="00AF6E03"/>
    <w:rsid w:val="00AF7CFD"/>
    <w:rsid w:val="00B00262"/>
    <w:rsid w:val="00B00381"/>
    <w:rsid w:val="00B01621"/>
    <w:rsid w:val="00B0194F"/>
    <w:rsid w:val="00B01DD9"/>
    <w:rsid w:val="00B021D0"/>
    <w:rsid w:val="00B02277"/>
    <w:rsid w:val="00B02984"/>
    <w:rsid w:val="00B02ABC"/>
    <w:rsid w:val="00B02BBC"/>
    <w:rsid w:val="00B0392D"/>
    <w:rsid w:val="00B03C35"/>
    <w:rsid w:val="00B04126"/>
    <w:rsid w:val="00B04308"/>
    <w:rsid w:val="00B04AA3"/>
    <w:rsid w:val="00B04D05"/>
    <w:rsid w:val="00B0519D"/>
    <w:rsid w:val="00B053DB"/>
    <w:rsid w:val="00B05DF1"/>
    <w:rsid w:val="00B05F80"/>
    <w:rsid w:val="00B063A4"/>
    <w:rsid w:val="00B06B62"/>
    <w:rsid w:val="00B07634"/>
    <w:rsid w:val="00B078DF"/>
    <w:rsid w:val="00B10746"/>
    <w:rsid w:val="00B10866"/>
    <w:rsid w:val="00B10F63"/>
    <w:rsid w:val="00B1116A"/>
    <w:rsid w:val="00B11333"/>
    <w:rsid w:val="00B11CCB"/>
    <w:rsid w:val="00B11DFE"/>
    <w:rsid w:val="00B11EF5"/>
    <w:rsid w:val="00B1247C"/>
    <w:rsid w:val="00B1259D"/>
    <w:rsid w:val="00B1326B"/>
    <w:rsid w:val="00B13F24"/>
    <w:rsid w:val="00B14F47"/>
    <w:rsid w:val="00B156D7"/>
    <w:rsid w:val="00B15FFB"/>
    <w:rsid w:val="00B2091D"/>
    <w:rsid w:val="00B2097F"/>
    <w:rsid w:val="00B21FFC"/>
    <w:rsid w:val="00B22ACB"/>
    <w:rsid w:val="00B23021"/>
    <w:rsid w:val="00B2353E"/>
    <w:rsid w:val="00B23D0E"/>
    <w:rsid w:val="00B24198"/>
    <w:rsid w:val="00B24345"/>
    <w:rsid w:val="00B2491A"/>
    <w:rsid w:val="00B2522B"/>
    <w:rsid w:val="00B255D6"/>
    <w:rsid w:val="00B25682"/>
    <w:rsid w:val="00B2592C"/>
    <w:rsid w:val="00B25A24"/>
    <w:rsid w:val="00B25CA4"/>
    <w:rsid w:val="00B2756D"/>
    <w:rsid w:val="00B27704"/>
    <w:rsid w:val="00B27881"/>
    <w:rsid w:val="00B30A3B"/>
    <w:rsid w:val="00B30AAA"/>
    <w:rsid w:val="00B3193A"/>
    <w:rsid w:val="00B31CF7"/>
    <w:rsid w:val="00B322AA"/>
    <w:rsid w:val="00B324C8"/>
    <w:rsid w:val="00B3315B"/>
    <w:rsid w:val="00B336E6"/>
    <w:rsid w:val="00B34334"/>
    <w:rsid w:val="00B3442D"/>
    <w:rsid w:val="00B3506E"/>
    <w:rsid w:val="00B35176"/>
    <w:rsid w:val="00B3575D"/>
    <w:rsid w:val="00B3578A"/>
    <w:rsid w:val="00B364AD"/>
    <w:rsid w:val="00B4042A"/>
    <w:rsid w:val="00B40761"/>
    <w:rsid w:val="00B407B9"/>
    <w:rsid w:val="00B41105"/>
    <w:rsid w:val="00B4114B"/>
    <w:rsid w:val="00B419C9"/>
    <w:rsid w:val="00B42C1C"/>
    <w:rsid w:val="00B42CAC"/>
    <w:rsid w:val="00B42CD5"/>
    <w:rsid w:val="00B438E1"/>
    <w:rsid w:val="00B44100"/>
    <w:rsid w:val="00B44411"/>
    <w:rsid w:val="00B445BF"/>
    <w:rsid w:val="00B44986"/>
    <w:rsid w:val="00B47059"/>
    <w:rsid w:val="00B473C6"/>
    <w:rsid w:val="00B5133E"/>
    <w:rsid w:val="00B518A3"/>
    <w:rsid w:val="00B51F09"/>
    <w:rsid w:val="00B5449B"/>
    <w:rsid w:val="00B5480F"/>
    <w:rsid w:val="00B54F53"/>
    <w:rsid w:val="00B55BAE"/>
    <w:rsid w:val="00B560BF"/>
    <w:rsid w:val="00B565DA"/>
    <w:rsid w:val="00B56D27"/>
    <w:rsid w:val="00B56DF3"/>
    <w:rsid w:val="00B57437"/>
    <w:rsid w:val="00B6080F"/>
    <w:rsid w:val="00B60CD9"/>
    <w:rsid w:val="00B61C47"/>
    <w:rsid w:val="00B63D87"/>
    <w:rsid w:val="00B6401C"/>
    <w:rsid w:val="00B65AB9"/>
    <w:rsid w:val="00B65C7A"/>
    <w:rsid w:val="00B65CED"/>
    <w:rsid w:val="00B661AD"/>
    <w:rsid w:val="00B66B4E"/>
    <w:rsid w:val="00B66F43"/>
    <w:rsid w:val="00B672A3"/>
    <w:rsid w:val="00B675C8"/>
    <w:rsid w:val="00B70062"/>
    <w:rsid w:val="00B708CA"/>
    <w:rsid w:val="00B70F2A"/>
    <w:rsid w:val="00B7140A"/>
    <w:rsid w:val="00B716A4"/>
    <w:rsid w:val="00B7183E"/>
    <w:rsid w:val="00B729E9"/>
    <w:rsid w:val="00B73628"/>
    <w:rsid w:val="00B73C22"/>
    <w:rsid w:val="00B73F9A"/>
    <w:rsid w:val="00B74633"/>
    <w:rsid w:val="00B75DBF"/>
    <w:rsid w:val="00B75F64"/>
    <w:rsid w:val="00B77045"/>
    <w:rsid w:val="00B771A1"/>
    <w:rsid w:val="00B80BD0"/>
    <w:rsid w:val="00B8148F"/>
    <w:rsid w:val="00B815F5"/>
    <w:rsid w:val="00B81E98"/>
    <w:rsid w:val="00B825CE"/>
    <w:rsid w:val="00B829C4"/>
    <w:rsid w:val="00B82C73"/>
    <w:rsid w:val="00B8542B"/>
    <w:rsid w:val="00B8629A"/>
    <w:rsid w:val="00B86A28"/>
    <w:rsid w:val="00B86A6F"/>
    <w:rsid w:val="00B86CCB"/>
    <w:rsid w:val="00B86F17"/>
    <w:rsid w:val="00B87B8D"/>
    <w:rsid w:val="00B87C23"/>
    <w:rsid w:val="00B90427"/>
    <w:rsid w:val="00B91A9E"/>
    <w:rsid w:val="00B927B8"/>
    <w:rsid w:val="00B92C7F"/>
    <w:rsid w:val="00B947C1"/>
    <w:rsid w:val="00B95719"/>
    <w:rsid w:val="00B958C8"/>
    <w:rsid w:val="00B95C13"/>
    <w:rsid w:val="00B96E87"/>
    <w:rsid w:val="00B96F6C"/>
    <w:rsid w:val="00B97018"/>
    <w:rsid w:val="00BA0EF8"/>
    <w:rsid w:val="00BA19F2"/>
    <w:rsid w:val="00BA2244"/>
    <w:rsid w:val="00BA33C0"/>
    <w:rsid w:val="00BA3F78"/>
    <w:rsid w:val="00BA5737"/>
    <w:rsid w:val="00BB0B05"/>
    <w:rsid w:val="00BB1603"/>
    <w:rsid w:val="00BB49CF"/>
    <w:rsid w:val="00BB5642"/>
    <w:rsid w:val="00BB5CF0"/>
    <w:rsid w:val="00BB6B1C"/>
    <w:rsid w:val="00BB7349"/>
    <w:rsid w:val="00BB768B"/>
    <w:rsid w:val="00BB7953"/>
    <w:rsid w:val="00BC09FA"/>
    <w:rsid w:val="00BC1191"/>
    <w:rsid w:val="00BC1230"/>
    <w:rsid w:val="00BC1251"/>
    <w:rsid w:val="00BC28B3"/>
    <w:rsid w:val="00BC3949"/>
    <w:rsid w:val="00BC4BA3"/>
    <w:rsid w:val="00BC692B"/>
    <w:rsid w:val="00BC6B77"/>
    <w:rsid w:val="00BC79E1"/>
    <w:rsid w:val="00BC7BF5"/>
    <w:rsid w:val="00BD007A"/>
    <w:rsid w:val="00BD0534"/>
    <w:rsid w:val="00BD0F91"/>
    <w:rsid w:val="00BD12EB"/>
    <w:rsid w:val="00BD18CC"/>
    <w:rsid w:val="00BD2009"/>
    <w:rsid w:val="00BD2A21"/>
    <w:rsid w:val="00BD37D4"/>
    <w:rsid w:val="00BD3AD2"/>
    <w:rsid w:val="00BD3D7E"/>
    <w:rsid w:val="00BD4452"/>
    <w:rsid w:val="00BD4560"/>
    <w:rsid w:val="00BD54C6"/>
    <w:rsid w:val="00BD54D5"/>
    <w:rsid w:val="00BD64C0"/>
    <w:rsid w:val="00BD7CF2"/>
    <w:rsid w:val="00BE0883"/>
    <w:rsid w:val="00BE0FE2"/>
    <w:rsid w:val="00BE1158"/>
    <w:rsid w:val="00BE1EE2"/>
    <w:rsid w:val="00BE3378"/>
    <w:rsid w:val="00BE39C3"/>
    <w:rsid w:val="00BE5327"/>
    <w:rsid w:val="00BE553A"/>
    <w:rsid w:val="00BE5644"/>
    <w:rsid w:val="00BE5875"/>
    <w:rsid w:val="00BE6B71"/>
    <w:rsid w:val="00BE7044"/>
    <w:rsid w:val="00BE733F"/>
    <w:rsid w:val="00BE75A2"/>
    <w:rsid w:val="00BF0860"/>
    <w:rsid w:val="00BF0F16"/>
    <w:rsid w:val="00BF14B1"/>
    <w:rsid w:val="00BF159B"/>
    <w:rsid w:val="00BF1801"/>
    <w:rsid w:val="00BF194B"/>
    <w:rsid w:val="00BF20CC"/>
    <w:rsid w:val="00BF2C8B"/>
    <w:rsid w:val="00BF3622"/>
    <w:rsid w:val="00BF47E4"/>
    <w:rsid w:val="00BF580A"/>
    <w:rsid w:val="00BF66F9"/>
    <w:rsid w:val="00BF6778"/>
    <w:rsid w:val="00BF6952"/>
    <w:rsid w:val="00BF696F"/>
    <w:rsid w:val="00BF6C2B"/>
    <w:rsid w:val="00BF7474"/>
    <w:rsid w:val="00C0020E"/>
    <w:rsid w:val="00C0043C"/>
    <w:rsid w:val="00C00470"/>
    <w:rsid w:val="00C009AD"/>
    <w:rsid w:val="00C00B5B"/>
    <w:rsid w:val="00C00C0A"/>
    <w:rsid w:val="00C01306"/>
    <w:rsid w:val="00C0155F"/>
    <w:rsid w:val="00C019A8"/>
    <w:rsid w:val="00C0208B"/>
    <w:rsid w:val="00C02AA3"/>
    <w:rsid w:val="00C038A3"/>
    <w:rsid w:val="00C039EE"/>
    <w:rsid w:val="00C03B5F"/>
    <w:rsid w:val="00C03CB2"/>
    <w:rsid w:val="00C04850"/>
    <w:rsid w:val="00C048D7"/>
    <w:rsid w:val="00C05025"/>
    <w:rsid w:val="00C05D06"/>
    <w:rsid w:val="00C063F9"/>
    <w:rsid w:val="00C0671C"/>
    <w:rsid w:val="00C06E88"/>
    <w:rsid w:val="00C07508"/>
    <w:rsid w:val="00C077F6"/>
    <w:rsid w:val="00C07B40"/>
    <w:rsid w:val="00C07F56"/>
    <w:rsid w:val="00C07F8A"/>
    <w:rsid w:val="00C07FE4"/>
    <w:rsid w:val="00C117C0"/>
    <w:rsid w:val="00C12BDA"/>
    <w:rsid w:val="00C135FC"/>
    <w:rsid w:val="00C1382F"/>
    <w:rsid w:val="00C13988"/>
    <w:rsid w:val="00C13AEB"/>
    <w:rsid w:val="00C14217"/>
    <w:rsid w:val="00C14D3D"/>
    <w:rsid w:val="00C1515C"/>
    <w:rsid w:val="00C15886"/>
    <w:rsid w:val="00C16108"/>
    <w:rsid w:val="00C167F6"/>
    <w:rsid w:val="00C172C8"/>
    <w:rsid w:val="00C17FD4"/>
    <w:rsid w:val="00C17FDA"/>
    <w:rsid w:val="00C20679"/>
    <w:rsid w:val="00C20EAE"/>
    <w:rsid w:val="00C21CBC"/>
    <w:rsid w:val="00C21E17"/>
    <w:rsid w:val="00C22E06"/>
    <w:rsid w:val="00C24E20"/>
    <w:rsid w:val="00C24FC4"/>
    <w:rsid w:val="00C2618E"/>
    <w:rsid w:val="00C267B3"/>
    <w:rsid w:val="00C26B7C"/>
    <w:rsid w:val="00C27302"/>
    <w:rsid w:val="00C27497"/>
    <w:rsid w:val="00C27AE7"/>
    <w:rsid w:val="00C306BC"/>
    <w:rsid w:val="00C3184A"/>
    <w:rsid w:val="00C31C93"/>
    <w:rsid w:val="00C31F04"/>
    <w:rsid w:val="00C322C2"/>
    <w:rsid w:val="00C34EE3"/>
    <w:rsid w:val="00C3508E"/>
    <w:rsid w:val="00C36712"/>
    <w:rsid w:val="00C36A99"/>
    <w:rsid w:val="00C375C9"/>
    <w:rsid w:val="00C375E8"/>
    <w:rsid w:val="00C409B6"/>
    <w:rsid w:val="00C41EBD"/>
    <w:rsid w:val="00C41FEE"/>
    <w:rsid w:val="00C426E4"/>
    <w:rsid w:val="00C428F5"/>
    <w:rsid w:val="00C42E39"/>
    <w:rsid w:val="00C43D7C"/>
    <w:rsid w:val="00C44680"/>
    <w:rsid w:val="00C4542C"/>
    <w:rsid w:val="00C45935"/>
    <w:rsid w:val="00C462BF"/>
    <w:rsid w:val="00C47CC6"/>
    <w:rsid w:val="00C47D4D"/>
    <w:rsid w:val="00C5087E"/>
    <w:rsid w:val="00C510F7"/>
    <w:rsid w:val="00C51630"/>
    <w:rsid w:val="00C51C75"/>
    <w:rsid w:val="00C52A03"/>
    <w:rsid w:val="00C54D12"/>
    <w:rsid w:val="00C55A61"/>
    <w:rsid w:val="00C55F1C"/>
    <w:rsid w:val="00C563DC"/>
    <w:rsid w:val="00C572D6"/>
    <w:rsid w:val="00C57B8F"/>
    <w:rsid w:val="00C57C04"/>
    <w:rsid w:val="00C57CDA"/>
    <w:rsid w:val="00C57E36"/>
    <w:rsid w:val="00C60E6B"/>
    <w:rsid w:val="00C60F67"/>
    <w:rsid w:val="00C612D3"/>
    <w:rsid w:val="00C62F38"/>
    <w:rsid w:val="00C640D5"/>
    <w:rsid w:val="00C64AFB"/>
    <w:rsid w:val="00C65340"/>
    <w:rsid w:val="00C6575B"/>
    <w:rsid w:val="00C667D4"/>
    <w:rsid w:val="00C67136"/>
    <w:rsid w:val="00C67444"/>
    <w:rsid w:val="00C67575"/>
    <w:rsid w:val="00C675FB"/>
    <w:rsid w:val="00C67F35"/>
    <w:rsid w:val="00C70269"/>
    <w:rsid w:val="00C71307"/>
    <w:rsid w:val="00C71345"/>
    <w:rsid w:val="00C71BC1"/>
    <w:rsid w:val="00C720BF"/>
    <w:rsid w:val="00C7233D"/>
    <w:rsid w:val="00C730BA"/>
    <w:rsid w:val="00C7367A"/>
    <w:rsid w:val="00C73C87"/>
    <w:rsid w:val="00C73FD2"/>
    <w:rsid w:val="00C74BEC"/>
    <w:rsid w:val="00C74F16"/>
    <w:rsid w:val="00C752F7"/>
    <w:rsid w:val="00C75545"/>
    <w:rsid w:val="00C7727E"/>
    <w:rsid w:val="00C8073B"/>
    <w:rsid w:val="00C80AFF"/>
    <w:rsid w:val="00C80CEC"/>
    <w:rsid w:val="00C82496"/>
    <w:rsid w:val="00C82FE8"/>
    <w:rsid w:val="00C8435E"/>
    <w:rsid w:val="00C84B41"/>
    <w:rsid w:val="00C85E0C"/>
    <w:rsid w:val="00C86680"/>
    <w:rsid w:val="00C86868"/>
    <w:rsid w:val="00C8738F"/>
    <w:rsid w:val="00C876A9"/>
    <w:rsid w:val="00C87B01"/>
    <w:rsid w:val="00C9056D"/>
    <w:rsid w:val="00C90DEB"/>
    <w:rsid w:val="00C91585"/>
    <w:rsid w:val="00C91F84"/>
    <w:rsid w:val="00C923F7"/>
    <w:rsid w:val="00C9277B"/>
    <w:rsid w:val="00C92BE1"/>
    <w:rsid w:val="00C93407"/>
    <w:rsid w:val="00C94127"/>
    <w:rsid w:val="00C94D18"/>
    <w:rsid w:val="00C9525E"/>
    <w:rsid w:val="00C95473"/>
    <w:rsid w:val="00C95534"/>
    <w:rsid w:val="00C96053"/>
    <w:rsid w:val="00C96B99"/>
    <w:rsid w:val="00CA05A8"/>
    <w:rsid w:val="00CA19FD"/>
    <w:rsid w:val="00CA24E4"/>
    <w:rsid w:val="00CA257F"/>
    <w:rsid w:val="00CA388C"/>
    <w:rsid w:val="00CA48D2"/>
    <w:rsid w:val="00CA664E"/>
    <w:rsid w:val="00CB08C0"/>
    <w:rsid w:val="00CB0B35"/>
    <w:rsid w:val="00CB1099"/>
    <w:rsid w:val="00CB264C"/>
    <w:rsid w:val="00CB26DE"/>
    <w:rsid w:val="00CB3310"/>
    <w:rsid w:val="00CB495E"/>
    <w:rsid w:val="00CB4EFA"/>
    <w:rsid w:val="00CB56E6"/>
    <w:rsid w:val="00CB59DE"/>
    <w:rsid w:val="00CB7202"/>
    <w:rsid w:val="00CB7EC6"/>
    <w:rsid w:val="00CC0518"/>
    <w:rsid w:val="00CC0EF9"/>
    <w:rsid w:val="00CC13E7"/>
    <w:rsid w:val="00CC18B3"/>
    <w:rsid w:val="00CC2E9B"/>
    <w:rsid w:val="00CC2FC3"/>
    <w:rsid w:val="00CC3501"/>
    <w:rsid w:val="00CC364C"/>
    <w:rsid w:val="00CC485F"/>
    <w:rsid w:val="00CC48A1"/>
    <w:rsid w:val="00CC4BE0"/>
    <w:rsid w:val="00CC535E"/>
    <w:rsid w:val="00CC5BFC"/>
    <w:rsid w:val="00CC5D50"/>
    <w:rsid w:val="00CC5F4C"/>
    <w:rsid w:val="00CC6A8A"/>
    <w:rsid w:val="00CC6F0A"/>
    <w:rsid w:val="00CC79D8"/>
    <w:rsid w:val="00CC7B09"/>
    <w:rsid w:val="00CD113D"/>
    <w:rsid w:val="00CD2C0C"/>
    <w:rsid w:val="00CD3E2E"/>
    <w:rsid w:val="00CD4319"/>
    <w:rsid w:val="00CD4745"/>
    <w:rsid w:val="00CD51EE"/>
    <w:rsid w:val="00CD5805"/>
    <w:rsid w:val="00CD5EE7"/>
    <w:rsid w:val="00CD6983"/>
    <w:rsid w:val="00CD6D1E"/>
    <w:rsid w:val="00CD70AC"/>
    <w:rsid w:val="00CE054A"/>
    <w:rsid w:val="00CE07D3"/>
    <w:rsid w:val="00CE0F36"/>
    <w:rsid w:val="00CE13CA"/>
    <w:rsid w:val="00CE1483"/>
    <w:rsid w:val="00CE1540"/>
    <w:rsid w:val="00CE1DE4"/>
    <w:rsid w:val="00CE288D"/>
    <w:rsid w:val="00CE51A5"/>
    <w:rsid w:val="00CE5A42"/>
    <w:rsid w:val="00CE5C2C"/>
    <w:rsid w:val="00CE5D70"/>
    <w:rsid w:val="00CE61CF"/>
    <w:rsid w:val="00CE62ED"/>
    <w:rsid w:val="00CE711C"/>
    <w:rsid w:val="00CE7189"/>
    <w:rsid w:val="00CF07FF"/>
    <w:rsid w:val="00CF0A5F"/>
    <w:rsid w:val="00CF1844"/>
    <w:rsid w:val="00CF1A16"/>
    <w:rsid w:val="00CF1D06"/>
    <w:rsid w:val="00CF27D0"/>
    <w:rsid w:val="00CF2FC2"/>
    <w:rsid w:val="00CF46C9"/>
    <w:rsid w:val="00CF4BAD"/>
    <w:rsid w:val="00CF4FBD"/>
    <w:rsid w:val="00CF7E27"/>
    <w:rsid w:val="00D02B00"/>
    <w:rsid w:val="00D02BFF"/>
    <w:rsid w:val="00D03193"/>
    <w:rsid w:val="00D03F29"/>
    <w:rsid w:val="00D04379"/>
    <w:rsid w:val="00D04DF3"/>
    <w:rsid w:val="00D05ACB"/>
    <w:rsid w:val="00D05AE0"/>
    <w:rsid w:val="00D05E79"/>
    <w:rsid w:val="00D06A6C"/>
    <w:rsid w:val="00D10000"/>
    <w:rsid w:val="00D10F8A"/>
    <w:rsid w:val="00D11864"/>
    <w:rsid w:val="00D11D41"/>
    <w:rsid w:val="00D11D8B"/>
    <w:rsid w:val="00D12C2B"/>
    <w:rsid w:val="00D1383B"/>
    <w:rsid w:val="00D14128"/>
    <w:rsid w:val="00D14F15"/>
    <w:rsid w:val="00D15584"/>
    <w:rsid w:val="00D15ACA"/>
    <w:rsid w:val="00D16D41"/>
    <w:rsid w:val="00D16E09"/>
    <w:rsid w:val="00D1705E"/>
    <w:rsid w:val="00D20D10"/>
    <w:rsid w:val="00D21211"/>
    <w:rsid w:val="00D21C3F"/>
    <w:rsid w:val="00D224C0"/>
    <w:rsid w:val="00D235D7"/>
    <w:rsid w:val="00D23E27"/>
    <w:rsid w:val="00D240E7"/>
    <w:rsid w:val="00D24C2A"/>
    <w:rsid w:val="00D24D54"/>
    <w:rsid w:val="00D24E10"/>
    <w:rsid w:val="00D26764"/>
    <w:rsid w:val="00D275CC"/>
    <w:rsid w:val="00D2789B"/>
    <w:rsid w:val="00D27F41"/>
    <w:rsid w:val="00D30306"/>
    <w:rsid w:val="00D3127B"/>
    <w:rsid w:val="00D32197"/>
    <w:rsid w:val="00D32B5F"/>
    <w:rsid w:val="00D32BA1"/>
    <w:rsid w:val="00D32F1B"/>
    <w:rsid w:val="00D33109"/>
    <w:rsid w:val="00D333AE"/>
    <w:rsid w:val="00D33E8F"/>
    <w:rsid w:val="00D34B86"/>
    <w:rsid w:val="00D35779"/>
    <w:rsid w:val="00D3627A"/>
    <w:rsid w:val="00D369F3"/>
    <w:rsid w:val="00D36D1B"/>
    <w:rsid w:val="00D36E7B"/>
    <w:rsid w:val="00D371D8"/>
    <w:rsid w:val="00D37385"/>
    <w:rsid w:val="00D37D94"/>
    <w:rsid w:val="00D401E7"/>
    <w:rsid w:val="00D402A6"/>
    <w:rsid w:val="00D40619"/>
    <w:rsid w:val="00D40672"/>
    <w:rsid w:val="00D40691"/>
    <w:rsid w:val="00D4100C"/>
    <w:rsid w:val="00D42495"/>
    <w:rsid w:val="00D428BC"/>
    <w:rsid w:val="00D42D16"/>
    <w:rsid w:val="00D441DF"/>
    <w:rsid w:val="00D45A79"/>
    <w:rsid w:val="00D463DD"/>
    <w:rsid w:val="00D465D2"/>
    <w:rsid w:val="00D4725C"/>
    <w:rsid w:val="00D4763C"/>
    <w:rsid w:val="00D50136"/>
    <w:rsid w:val="00D507D9"/>
    <w:rsid w:val="00D51B2C"/>
    <w:rsid w:val="00D51FA7"/>
    <w:rsid w:val="00D52644"/>
    <w:rsid w:val="00D556A0"/>
    <w:rsid w:val="00D55A5B"/>
    <w:rsid w:val="00D564BC"/>
    <w:rsid w:val="00D56C06"/>
    <w:rsid w:val="00D570D3"/>
    <w:rsid w:val="00D57DE1"/>
    <w:rsid w:val="00D61137"/>
    <w:rsid w:val="00D6142E"/>
    <w:rsid w:val="00D616D2"/>
    <w:rsid w:val="00D621F7"/>
    <w:rsid w:val="00D624A6"/>
    <w:rsid w:val="00D627CE"/>
    <w:rsid w:val="00D62A6B"/>
    <w:rsid w:val="00D6312D"/>
    <w:rsid w:val="00D63601"/>
    <w:rsid w:val="00D63FFE"/>
    <w:rsid w:val="00D6445A"/>
    <w:rsid w:val="00D6650A"/>
    <w:rsid w:val="00D6766E"/>
    <w:rsid w:val="00D70B92"/>
    <w:rsid w:val="00D70D1C"/>
    <w:rsid w:val="00D70F7B"/>
    <w:rsid w:val="00D7103E"/>
    <w:rsid w:val="00D7221E"/>
    <w:rsid w:val="00D726B4"/>
    <w:rsid w:val="00D72901"/>
    <w:rsid w:val="00D72BC5"/>
    <w:rsid w:val="00D73126"/>
    <w:rsid w:val="00D737D9"/>
    <w:rsid w:val="00D73D82"/>
    <w:rsid w:val="00D73DA5"/>
    <w:rsid w:val="00D7407D"/>
    <w:rsid w:val="00D7562C"/>
    <w:rsid w:val="00D7569D"/>
    <w:rsid w:val="00D7682F"/>
    <w:rsid w:val="00D76A0A"/>
    <w:rsid w:val="00D76B34"/>
    <w:rsid w:val="00D774AF"/>
    <w:rsid w:val="00D77DB8"/>
    <w:rsid w:val="00D80D47"/>
    <w:rsid w:val="00D80E55"/>
    <w:rsid w:val="00D81499"/>
    <w:rsid w:val="00D81FC3"/>
    <w:rsid w:val="00D825B8"/>
    <w:rsid w:val="00D82853"/>
    <w:rsid w:val="00D83C36"/>
    <w:rsid w:val="00D83FB2"/>
    <w:rsid w:val="00D84FD1"/>
    <w:rsid w:val="00D854DB"/>
    <w:rsid w:val="00D8554A"/>
    <w:rsid w:val="00D8574E"/>
    <w:rsid w:val="00D857C9"/>
    <w:rsid w:val="00D8691E"/>
    <w:rsid w:val="00D879BD"/>
    <w:rsid w:val="00D87EAE"/>
    <w:rsid w:val="00D908D4"/>
    <w:rsid w:val="00D91473"/>
    <w:rsid w:val="00D923FF"/>
    <w:rsid w:val="00D9271C"/>
    <w:rsid w:val="00D9380F"/>
    <w:rsid w:val="00D93A47"/>
    <w:rsid w:val="00D9429A"/>
    <w:rsid w:val="00D954C1"/>
    <w:rsid w:val="00D96EDD"/>
    <w:rsid w:val="00D97B0E"/>
    <w:rsid w:val="00DA057D"/>
    <w:rsid w:val="00DA0DA1"/>
    <w:rsid w:val="00DA0F3F"/>
    <w:rsid w:val="00DA1067"/>
    <w:rsid w:val="00DA115B"/>
    <w:rsid w:val="00DA25BE"/>
    <w:rsid w:val="00DA27FA"/>
    <w:rsid w:val="00DA322F"/>
    <w:rsid w:val="00DA3483"/>
    <w:rsid w:val="00DA3B89"/>
    <w:rsid w:val="00DA4FAC"/>
    <w:rsid w:val="00DA548F"/>
    <w:rsid w:val="00DA5B96"/>
    <w:rsid w:val="00DA60E0"/>
    <w:rsid w:val="00DA748D"/>
    <w:rsid w:val="00DA7BFE"/>
    <w:rsid w:val="00DB0E2A"/>
    <w:rsid w:val="00DB1303"/>
    <w:rsid w:val="00DB1329"/>
    <w:rsid w:val="00DB1A41"/>
    <w:rsid w:val="00DB3E9D"/>
    <w:rsid w:val="00DB53B9"/>
    <w:rsid w:val="00DB6C41"/>
    <w:rsid w:val="00DB6C7E"/>
    <w:rsid w:val="00DC0CBC"/>
    <w:rsid w:val="00DC1012"/>
    <w:rsid w:val="00DC1997"/>
    <w:rsid w:val="00DC2250"/>
    <w:rsid w:val="00DC333E"/>
    <w:rsid w:val="00DC4C73"/>
    <w:rsid w:val="00DC4C94"/>
    <w:rsid w:val="00DC4FF6"/>
    <w:rsid w:val="00DC5237"/>
    <w:rsid w:val="00DC5A83"/>
    <w:rsid w:val="00DC6613"/>
    <w:rsid w:val="00DC7060"/>
    <w:rsid w:val="00DC726C"/>
    <w:rsid w:val="00DC7270"/>
    <w:rsid w:val="00DC7B95"/>
    <w:rsid w:val="00DC7C98"/>
    <w:rsid w:val="00DD0882"/>
    <w:rsid w:val="00DD0EBE"/>
    <w:rsid w:val="00DD0EEF"/>
    <w:rsid w:val="00DD1270"/>
    <w:rsid w:val="00DD1AF4"/>
    <w:rsid w:val="00DD1CDC"/>
    <w:rsid w:val="00DD1EF8"/>
    <w:rsid w:val="00DD27EB"/>
    <w:rsid w:val="00DD3F1F"/>
    <w:rsid w:val="00DD4025"/>
    <w:rsid w:val="00DD521D"/>
    <w:rsid w:val="00DD5B37"/>
    <w:rsid w:val="00DD5D46"/>
    <w:rsid w:val="00DD5DF6"/>
    <w:rsid w:val="00DE09E3"/>
    <w:rsid w:val="00DE0E9B"/>
    <w:rsid w:val="00DE147D"/>
    <w:rsid w:val="00DE22C8"/>
    <w:rsid w:val="00DE2422"/>
    <w:rsid w:val="00DE255A"/>
    <w:rsid w:val="00DE332F"/>
    <w:rsid w:val="00DE351B"/>
    <w:rsid w:val="00DE3C97"/>
    <w:rsid w:val="00DE4514"/>
    <w:rsid w:val="00DE4D23"/>
    <w:rsid w:val="00DE555C"/>
    <w:rsid w:val="00DE58C2"/>
    <w:rsid w:val="00DE61FC"/>
    <w:rsid w:val="00DE61FE"/>
    <w:rsid w:val="00DE6776"/>
    <w:rsid w:val="00DE7110"/>
    <w:rsid w:val="00DE773D"/>
    <w:rsid w:val="00DE7EED"/>
    <w:rsid w:val="00DF013A"/>
    <w:rsid w:val="00DF19B1"/>
    <w:rsid w:val="00DF232C"/>
    <w:rsid w:val="00DF24F8"/>
    <w:rsid w:val="00DF279F"/>
    <w:rsid w:val="00DF3292"/>
    <w:rsid w:val="00DF4880"/>
    <w:rsid w:val="00DF56BE"/>
    <w:rsid w:val="00DF5713"/>
    <w:rsid w:val="00DF60FB"/>
    <w:rsid w:val="00DF6815"/>
    <w:rsid w:val="00DF72EB"/>
    <w:rsid w:val="00DF7B48"/>
    <w:rsid w:val="00DF7CB3"/>
    <w:rsid w:val="00E0104C"/>
    <w:rsid w:val="00E02A7F"/>
    <w:rsid w:val="00E03D4A"/>
    <w:rsid w:val="00E03DAC"/>
    <w:rsid w:val="00E03EF4"/>
    <w:rsid w:val="00E04501"/>
    <w:rsid w:val="00E045C7"/>
    <w:rsid w:val="00E051D0"/>
    <w:rsid w:val="00E054BF"/>
    <w:rsid w:val="00E0577E"/>
    <w:rsid w:val="00E0672B"/>
    <w:rsid w:val="00E06910"/>
    <w:rsid w:val="00E0776C"/>
    <w:rsid w:val="00E11192"/>
    <w:rsid w:val="00E11700"/>
    <w:rsid w:val="00E1280C"/>
    <w:rsid w:val="00E13233"/>
    <w:rsid w:val="00E13463"/>
    <w:rsid w:val="00E140C0"/>
    <w:rsid w:val="00E145E8"/>
    <w:rsid w:val="00E14AAB"/>
    <w:rsid w:val="00E1730D"/>
    <w:rsid w:val="00E17A9F"/>
    <w:rsid w:val="00E21894"/>
    <w:rsid w:val="00E21FDA"/>
    <w:rsid w:val="00E22F08"/>
    <w:rsid w:val="00E23D61"/>
    <w:rsid w:val="00E2498F"/>
    <w:rsid w:val="00E2640A"/>
    <w:rsid w:val="00E264EA"/>
    <w:rsid w:val="00E26D0C"/>
    <w:rsid w:val="00E27FD5"/>
    <w:rsid w:val="00E3070A"/>
    <w:rsid w:val="00E31EC8"/>
    <w:rsid w:val="00E3203E"/>
    <w:rsid w:val="00E326EE"/>
    <w:rsid w:val="00E33996"/>
    <w:rsid w:val="00E344D2"/>
    <w:rsid w:val="00E34F77"/>
    <w:rsid w:val="00E36D14"/>
    <w:rsid w:val="00E412CC"/>
    <w:rsid w:val="00E417BC"/>
    <w:rsid w:val="00E41D0C"/>
    <w:rsid w:val="00E41FD3"/>
    <w:rsid w:val="00E4272F"/>
    <w:rsid w:val="00E43144"/>
    <w:rsid w:val="00E4369D"/>
    <w:rsid w:val="00E43D65"/>
    <w:rsid w:val="00E44D82"/>
    <w:rsid w:val="00E452C8"/>
    <w:rsid w:val="00E4576E"/>
    <w:rsid w:val="00E45FF2"/>
    <w:rsid w:val="00E46CD0"/>
    <w:rsid w:val="00E47E4E"/>
    <w:rsid w:val="00E501D9"/>
    <w:rsid w:val="00E50DEB"/>
    <w:rsid w:val="00E516A7"/>
    <w:rsid w:val="00E518C6"/>
    <w:rsid w:val="00E51AF1"/>
    <w:rsid w:val="00E52954"/>
    <w:rsid w:val="00E53789"/>
    <w:rsid w:val="00E53931"/>
    <w:rsid w:val="00E53AD1"/>
    <w:rsid w:val="00E54FC3"/>
    <w:rsid w:val="00E5568D"/>
    <w:rsid w:val="00E558BC"/>
    <w:rsid w:val="00E564B3"/>
    <w:rsid w:val="00E56522"/>
    <w:rsid w:val="00E56EBE"/>
    <w:rsid w:val="00E601C3"/>
    <w:rsid w:val="00E606EE"/>
    <w:rsid w:val="00E60DF7"/>
    <w:rsid w:val="00E62016"/>
    <w:rsid w:val="00E62726"/>
    <w:rsid w:val="00E629B7"/>
    <w:rsid w:val="00E62DBE"/>
    <w:rsid w:val="00E63A59"/>
    <w:rsid w:val="00E63AD9"/>
    <w:rsid w:val="00E648CF"/>
    <w:rsid w:val="00E64EF7"/>
    <w:rsid w:val="00E654FB"/>
    <w:rsid w:val="00E65B51"/>
    <w:rsid w:val="00E66708"/>
    <w:rsid w:val="00E67462"/>
    <w:rsid w:val="00E70B90"/>
    <w:rsid w:val="00E71166"/>
    <w:rsid w:val="00E71B84"/>
    <w:rsid w:val="00E72274"/>
    <w:rsid w:val="00E72DA6"/>
    <w:rsid w:val="00E733EB"/>
    <w:rsid w:val="00E7522C"/>
    <w:rsid w:val="00E76404"/>
    <w:rsid w:val="00E769D5"/>
    <w:rsid w:val="00E76FFE"/>
    <w:rsid w:val="00E7747B"/>
    <w:rsid w:val="00E77565"/>
    <w:rsid w:val="00E811F7"/>
    <w:rsid w:val="00E8183D"/>
    <w:rsid w:val="00E81B08"/>
    <w:rsid w:val="00E81EE8"/>
    <w:rsid w:val="00E822C6"/>
    <w:rsid w:val="00E82B4E"/>
    <w:rsid w:val="00E83316"/>
    <w:rsid w:val="00E8469C"/>
    <w:rsid w:val="00E849AC"/>
    <w:rsid w:val="00E855E1"/>
    <w:rsid w:val="00E8571D"/>
    <w:rsid w:val="00E85E42"/>
    <w:rsid w:val="00E8634B"/>
    <w:rsid w:val="00E86F9C"/>
    <w:rsid w:val="00E90095"/>
    <w:rsid w:val="00E90AEC"/>
    <w:rsid w:val="00E93C2D"/>
    <w:rsid w:val="00E93D28"/>
    <w:rsid w:val="00E94C2A"/>
    <w:rsid w:val="00E95AD6"/>
    <w:rsid w:val="00E95B0E"/>
    <w:rsid w:val="00E96012"/>
    <w:rsid w:val="00E962D1"/>
    <w:rsid w:val="00E9729F"/>
    <w:rsid w:val="00EA0045"/>
    <w:rsid w:val="00EA1387"/>
    <w:rsid w:val="00EA16E9"/>
    <w:rsid w:val="00EA1A7D"/>
    <w:rsid w:val="00EA24A6"/>
    <w:rsid w:val="00EA2551"/>
    <w:rsid w:val="00EA26BF"/>
    <w:rsid w:val="00EA3804"/>
    <w:rsid w:val="00EA49FB"/>
    <w:rsid w:val="00EA5458"/>
    <w:rsid w:val="00EA5D15"/>
    <w:rsid w:val="00EA75FC"/>
    <w:rsid w:val="00EB0043"/>
    <w:rsid w:val="00EB1D37"/>
    <w:rsid w:val="00EB1D9B"/>
    <w:rsid w:val="00EB24E1"/>
    <w:rsid w:val="00EB2F13"/>
    <w:rsid w:val="00EB3A3A"/>
    <w:rsid w:val="00EB3ED2"/>
    <w:rsid w:val="00EB3ED6"/>
    <w:rsid w:val="00EB57D2"/>
    <w:rsid w:val="00EB60FB"/>
    <w:rsid w:val="00EB6140"/>
    <w:rsid w:val="00EB63F6"/>
    <w:rsid w:val="00EB663F"/>
    <w:rsid w:val="00EB69B8"/>
    <w:rsid w:val="00EB6B29"/>
    <w:rsid w:val="00EB6FCB"/>
    <w:rsid w:val="00EB7735"/>
    <w:rsid w:val="00EB79FC"/>
    <w:rsid w:val="00EC0CC0"/>
    <w:rsid w:val="00EC0FAF"/>
    <w:rsid w:val="00EC2A83"/>
    <w:rsid w:val="00EC346A"/>
    <w:rsid w:val="00EC3C01"/>
    <w:rsid w:val="00EC44A5"/>
    <w:rsid w:val="00EC559F"/>
    <w:rsid w:val="00EC6DD7"/>
    <w:rsid w:val="00EC72A2"/>
    <w:rsid w:val="00EC7596"/>
    <w:rsid w:val="00ED08F8"/>
    <w:rsid w:val="00ED0A29"/>
    <w:rsid w:val="00ED118C"/>
    <w:rsid w:val="00ED1777"/>
    <w:rsid w:val="00ED2D50"/>
    <w:rsid w:val="00ED2F3E"/>
    <w:rsid w:val="00ED396D"/>
    <w:rsid w:val="00ED3BCC"/>
    <w:rsid w:val="00ED46F5"/>
    <w:rsid w:val="00ED561F"/>
    <w:rsid w:val="00ED6566"/>
    <w:rsid w:val="00ED68AB"/>
    <w:rsid w:val="00ED73DC"/>
    <w:rsid w:val="00ED7621"/>
    <w:rsid w:val="00ED7D05"/>
    <w:rsid w:val="00ED7DB9"/>
    <w:rsid w:val="00EE0214"/>
    <w:rsid w:val="00EE08BA"/>
    <w:rsid w:val="00EE0EDB"/>
    <w:rsid w:val="00EE0F95"/>
    <w:rsid w:val="00EE240B"/>
    <w:rsid w:val="00EE2540"/>
    <w:rsid w:val="00EE2B60"/>
    <w:rsid w:val="00EE349E"/>
    <w:rsid w:val="00EE3BA1"/>
    <w:rsid w:val="00EE5A94"/>
    <w:rsid w:val="00EE6BD8"/>
    <w:rsid w:val="00EE7521"/>
    <w:rsid w:val="00EE7960"/>
    <w:rsid w:val="00EF0254"/>
    <w:rsid w:val="00EF03AE"/>
    <w:rsid w:val="00EF114D"/>
    <w:rsid w:val="00EF1A3F"/>
    <w:rsid w:val="00EF1AEE"/>
    <w:rsid w:val="00EF417E"/>
    <w:rsid w:val="00EF5898"/>
    <w:rsid w:val="00EF58CC"/>
    <w:rsid w:val="00EF58ED"/>
    <w:rsid w:val="00EF5AE5"/>
    <w:rsid w:val="00EF5F16"/>
    <w:rsid w:val="00EF62C7"/>
    <w:rsid w:val="00EF65EB"/>
    <w:rsid w:val="00EF716E"/>
    <w:rsid w:val="00EF7AF4"/>
    <w:rsid w:val="00F022B5"/>
    <w:rsid w:val="00F02521"/>
    <w:rsid w:val="00F027CF"/>
    <w:rsid w:val="00F030D3"/>
    <w:rsid w:val="00F033FB"/>
    <w:rsid w:val="00F03D68"/>
    <w:rsid w:val="00F04031"/>
    <w:rsid w:val="00F04D9A"/>
    <w:rsid w:val="00F04F02"/>
    <w:rsid w:val="00F056C0"/>
    <w:rsid w:val="00F05EA0"/>
    <w:rsid w:val="00F0623F"/>
    <w:rsid w:val="00F06268"/>
    <w:rsid w:val="00F06EF9"/>
    <w:rsid w:val="00F071EB"/>
    <w:rsid w:val="00F0787B"/>
    <w:rsid w:val="00F07990"/>
    <w:rsid w:val="00F10C2F"/>
    <w:rsid w:val="00F1221A"/>
    <w:rsid w:val="00F12C1F"/>
    <w:rsid w:val="00F13B2F"/>
    <w:rsid w:val="00F13DEB"/>
    <w:rsid w:val="00F13F24"/>
    <w:rsid w:val="00F15550"/>
    <w:rsid w:val="00F16E9F"/>
    <w:rsid w:val="00F17F5C"/>
    <w:rsid w:val="00F20BDC"/>
    <w:rsid w:val="00F20E3F"/>
    <w:rsid w:val="00F2172A"/>
    <w:rsid w:val="00F22F3F"/>
    <w:rsid w:val="00F2570C"/>
    <w:rsid w:val="00F26388"/>
    <w:rsid w:val="00F26AFC"/>
    <w:rsid w:val="00F26C2C"/>
    <w:rsid w:val="00F2728E"/>
    <w:rsid w:val="00F276F8"/>
    <w:rsid w:val="00F3184C"/>
    <w:rsid w:val="00F31EC5"/>
    <w:rsid w:val="00F3261F"/>
    <w:rsid w:val="00F32B43"/>
    <w:rsid w:val="00F32B83"/>
    <w:rsid w:val="00F33591"/>
    <w:rsid w:val="00F33881"/>
    <w:rsid w:val="00F351B3"/>
    <w:rsid w:val="00F35994"/>
    <w:rsid w:val="00F35DB6"/>
    <w:rsid w:val="00F36D36"/>
    <w:rsid w:val="00F37281"/>
    <w:rsid w:val="00F374A2"/>
    <w:rsid w:val="00F377FD"/>
    <w:rsid w:val="00F409CF"/>
    <w:rsid w:val="00F40F7A"/>
    <w:rsid w:val="00F41005"/>
    <w:rsid w:val="00F41BC3"/>
    <w:rsid w:val="00F43EDE"/>
    <w:rsid w:val="00F44CC2"/>
    <w:rsid w:val="00F44D7D"/>
    <w:rsid w:val="00F459A8"/>
    <w:rsid w:val="00F45F47"/>
    <w:rsid w:val="00F469F2"/>
    <w:rsid w:val="00F5078D"/>
    <w:rsid w:val="00F50FA4"/>
    <w:rsid w:val="00F510CD"/>
    <w:rsid w:val="00F51AD4"/>
    <w:rsid w:val="00F51D86"/>
    <w:rsid w:val="00F52EDE"/>
    <w:rsid w:val="00F53A4E"/>
    <w:rsid w:val="00F53E9A"/>
    <w:rsid w:val="00F540A6"/>
    <w:rsid w:val="00F54132"/>
    <w:rsid w:val="00F54BC4"/>
    <w:rsid w:val="00F5507E"/>
    <w:rsid w:val="00F5640E"/>
    <w:rsid w:val="00F576A4"/>
    <w:rsid w:val="00F57AAA"/>
    <w:rsid w:val="00F600B5"/>
    <w:rsid w:val="00F6104C"/>
    <w:rsid w:val="00F61D1D"/>
    <w:rsid w:val="00F625A5"/>
    <w:rsid w:val="00F62919"/>
    <w:rsid w:val="00F62F5E"/>
    <w:rsid w:val="00F64632"/>
    <w:rsid w:val="00F646B7"/>
    <w:rsid w:val="00F6502B"/>
    <w:rsid w:val="00F666A1"/>
    <w:rsid w:val="00F67127"/>
    <w:rsid w:val="00F67354"/>
    <w:rsid w:val="00F67DD7"/>
    <w:rsid w:val="00F723D3"/>
    <w:rsid w:val="00F7315F"/>
    <w:rsid w:val="00F73221"/>
    <w:rsid w:val="00F735C2"/>
    <w:rsid w:val="00F7400E"/>
    <w:rsid w:val="00F746F3"/>
    <w:rsid w:val="00F74811"/>
    <w:rsid w:val="00F758DD"/>
    <w:rsid w:val="00F75C87"/>
    <w:rsid w:val="00F762C0"/>
    <w:rsid w:val="00F76C66"/>
    <w:rsid w:val="00F77BBA"/>
    <w:rsid w:val="00F80912"/>
    <w:rsid w:val="00F81765"/>
    <w:rsid w:val="00F822F9"/>
    <w:rsid w:val="00F825F4"/>
    <w:rsid w:val="00F82D30"/>
    <w:rsid w:val="00F83057"/>
    <w:rsid w:val="00F8387E"/>
    <w:rsid w:val="00F8517B"/>
    <w:rsid w:val="00F85899"/>
    <w:rsid w:val="00F86C11"/>
    <w:rsid w:val="00F87233"/>
    <w:rsid w:val="00F87419"/>
    <w:rsid w:val="00F875D4"/>
    <w:rsid w:val="00F878E1"/>
    <w:rsid w:val="00F87A45"/>
    <w:rsid w:val="00F90235"/>
    <w:rsid w:val="00F90657"/>
    <w:rsid w:val="00F908B5"/>
    <w:rsid w:val="00F90E64"/>
    <w:rsid w:val="00F916F4"/>
    <w:rsid w:val="00F91925"/>
    <w:rsid w:val="00F920D4"/>
    <w:rsid w:val="00F92F36"/>
    <w:rsid w:val="00F93B7C"/>
    <w:rsid w:val="00F93FE0"/>
    <w:rsid w:val="00F94550"/>
    <w:rsid w:val="00F94AD1"/>
    <w:rsid w:val="00F94E7E"/>
    <w:rsid w:val="00F96269"/>
    <w:rsid w:val="00F967E6"/>
    <w:rsid w:val="00F96C08"/>
    <w:rsid w:val="00F96C41"/>
    <w:rsid w:val="00F970B4"/>
    <w:rsid w:val="00F9749D"/>
    <w:rsid w:val="00FA0195"/>
    <w:rsid w:val="00FA0385"/>
    <w:rsid w:val="00FA0463"/>
    <w:rsid w:val="00FA059D"/>
    <w:rsid w:val="00FA05A1"/>
    <w:rsid w:val="00FA0D83"/>
    <w:rsid w:val="00FA172D"/>
    <w:rsid w:val="00FA1B89"/>
    <w:rsid w:val="00FA2B2B"/>
    <w:rsid w:val="00FA3050"/>
    <w:rsid w:val="00FA32C3"/>
    <w:rsid w:val="00FA3819"/>
    <w:rsid w:val="00FA3D7E"/>
    <w:rsid w:val="00FA3FF1"/>
    <w:rsid w:val="00FA42F8"/>
    <w:rsid w:val="00FA4AE3"/>
    <w:rsid w:val="00FA4CDD"/>
    <w:rsid w:val="00FA50CB"/>
    <w:rsid w:val="00FA66C5"/>
    <w:rsid w:val="00FA72BA"/>
    <w:rsid w:val="00FA7FEB"/>
    <w:rsid w:val="00FB1784"/>
    <w:rsid w:val="00FB1E74"/>
    <w:rsid w:val="00FB1F6C"/>
    <w:rsid w:val="00FB287A"/>
    <w:rsid w:val="00FB2B55"/>
    <w:rsid w:val="00FB45AC"/>
    <w:rsid w:val="00FB55AC"/>
    <w:rsid w:val="00FB5637"/>
    <w:rsid w:val="00FB58CD"/>
    <w:rsid w:val="00FB6059"/>
    <w:rsid w:val="00FB6319"/>
    <w:rsid w:val="00FC00DA"/>
    <w:rsid w:val="00FC0394"/>
    <w:rsid w:val="00FC0F90"/>
    <w:rsid w:val="00FC169F"/>
    <w:rsid w:val="00FC1E49"/>
    <w:rsid w:val="00FC2333"/>
    <w:rsid w:val="00FC2864"/>
    <w:rsid w:val="00FC34BC"/>
    <w:rsid w:val="00FC41C4"/>
    <w:rsid w:val="00FC44E4"/>
    <w:rsid w:val="00FC4A0B"/>
    <w:rsid w:val="00FC4A66"/>
    <w:rsid w:val="00FC577A"/>
    <w:rsid w:val="00FC72C2"/>
    <w:rsid w:val="00FC7D5C"/>
    <w:rsid w:val="00FD05B6"/>
    <w:rsid w:val="00FD1797"/>
    <w:rsid w:val="00FD215B"/>
    <w:rsid w:val="00FD2776"/>
    <w:rsid w:val="00FD432E"/>
    <w:rsid w:val="00FD476E"/>
    <w:rsid w:val="00FD489F"/>
    <w:rsid w:val="00FD509A"/>
    <w:rsid w:val="00FD5BF4"/>
    <w:rsid w:val="00FD5FF1"/>
    <w:rsid w:val="00FD6F14"/>
    <w:rsid w:val="00FD746A"/>
    <w:rsid w:val="00FD7CA9"/>
    <w:rsid w:val="00FE0B05"/>
    <w:rsid w:val="00FE0B80"/>
    <w:rsid w:val="00FE26C6"/>
    <w:rsid w:val="00FE3332"/>
    <w:rsid w:val="00FE39FC"/>
    <w:rsid w:val="00FE425A"/>
    <w:rsid w:val="00FE479A"/>
    <w:rsid w:val="00FE4883"/>
    <w:rsid w:val="00FE492C"/>
    <w:rsid w:val="00FE4970"/>
    <w:rsid w:val="00FE4BFD"/>
    <w:rsid w:val="00FE4E52"/>
    <w:rsid w:val="00FE516E"/>
    <w:rsid w:val="00FE526D"/>
    <w:rsid w:val="00FE69B3"/>
    <w:rsid w:val="00FE7401"/>
    <w:rsid w:val="00FE7E2D"/>
    <w:rsid w:val="00FF01B6"/>
    <w:rsid w:val="00FF03ED"/>
    <w:rsid w:val="00FF0FAB"/>
    <w:rsid w:val="00FF0FDA"/>
    <w:rsid w:val="00FF1756"/>
    <w:rsid w:val="00FF227E"/>
    <w:rsid w:val="00FF3610"/>
    <w:rsid w:val="00FF363C"/>
    <w:rsid w:val="00FF366E"/>
    <w:rsid w:val="00FF3857"/>
    <w:rsid w:val="00FF3FDF"/>
    <w:rsid w:val="00FF459E"/>
    <w:rsid w:val="00FF4F63"/>
    <w:rsid w:val="00FF583A"/>
    <w:rsid w:val="00FF650C"/>
    <w:rsid w:val="00FF679D"/>
    <w:rsid w:val="00FF7612"/>
    <w:rsid w:val="00FF787B"/>
    <w:rsid w:val="32B008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BC76B"/>
  <w15:docId w15:val="{0DAEE473-1DE9-4E55-A932-7BE423014F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0"/>
      <w:jc w:val="both"/>
      <w:outlineLvl w:val="0"/>
    </w:pPr>
    <w:rPr>
      <w:rFonts w:ascii="Calibri" w:hAnsi="Calibri" w:eastAsia="Calibri" w:cs="Calibri"/>
      <w:color w:val="0064A8"/>
      <w:sz w:val="40"/>
      <w:szCs w:val="40"/>
    </w:rPr>
  </w:style>
  <w:style w:type="paragraph" w:styleId="Heading2">
    <w:name w:val="heading 2"/>
    <w:basedOn w:val="Normal"/>
    <w:next w:val="Normal"/>
    <w:uiPriority w:val="9"/>
    <w:unhideWhenUsed/>
    <w:qFormat/>
    <w:pPr>
      <w:keepNext/>
      <w:keepLines/>
      <w:spacing w:before="160" w:after="120"/>
      <w:jc w:val="both"/>
      <w:outlineLvl w:val="1"/>
    </w:pPr>
    <w:rPr>
      <w:rFonts w:ascii="Calibri" w:hAnsi="Calibri" w:eastAsia="Calibri" w:cs="Calibri"/>
      <w:color w:val="0064A8"/>
      <w:sz w:val="32"/>
      <w:szCs w:val="32"/>
    </w:rPr>
  </w:style>
  <w:style w:type="paragraph" w:styleId="Heading3">
    <w:name w:val="heading 3"/>
    <w:basedOn w:val="Normal"/>
    <w:next w:val="Normal"/>
    <w:uiPriority w:val="9"/>
    <w:unhideWhenUsed/>
    <w:qFormat/>
    <w:pPr>
      <w:keepNext/>
      <w:keepLines/>
      <w:spacing w:before="160" w:after="80"/>
      <w:jc w:val="both"/>
      <w:outlineLvl w:val="2"/>
    </w:pPr>
    <w:rPr>
      <w:rFonts w:ascii="Calibri" w:hAnsi="Calibri" w:eastAsia="Calibri" w:cs="Calibri"/>
      <w:color w:val="0064A8"/>
      <w:sz w:val="28"/>
      <w:szCs w:val="28"/>
    </w:rPr>
  </w:style>
  <w:style w:type="paragraph" w:styleId="Heading4">
    <w:name w:val="heading 4"/>
    <w:basedOn w:val="Normal"/>
    <w:next w:val="Normal"/>
    <w:link w:val="Heading4Char"/>
    <w:uiPriority w:val="9"/>
    <w:unhideWhenUsed/>
    <w:qFormat/>
    <w:pPr>
      <w:keepNext/>
      <w:keepLines/>
      <w:spacing w:before="80" w:after="40"/>
      <w:jc w:val="both"/>
      <w:outlineLvl w:val="3"/>
    </w:pPr>
    <w:rPr>
      <w:rFonts w:ascii="Calibri" w:hAnsi="Calibri" w:eastAsia="Calibri" w:cs="Calibri"/>
      <w:i/>
      <w:iCs/>
      <w:color w:val="0064A8"/>
    </w:rPr>
  </w:style>
  <w:style w:type="paragraph" w:styleId="Heading5">
    <w:name w:val="heading 5"/>
    <w:basedOn w:val="Normal"/>
    <w:next w:val="Normal"/>
    <w:uiPriority w:val="9"/>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hAnsi="Play" w:eastAsia="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Comment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Comment Reference"/>
    <w:basedOn w:val="DefaultParagraphFont"/>
    <w:uiPriority w:val="99"/>
    <w:semiHidden/>
    <w:unhideWhenUsed/>
    <w:rPr>
      <w:sz w:val="16"/>
      <w:szCs w:val="16"/>
    </w:rPr>
  </w:style>
  <w:style w:type="paragraph" w:styleId="CommentSubject">
    <w:name w:val="Comment Subject"/>
    <w:basedOn w:val="CommentText"/>
    <w:next w:val="CommentText"/>
    <w:link w:val="CommentSubjectChar"/>
    <w:uiPriority w:val="99"/>
    <w:semiHidden/>
    <w:unhideWhenUsed/>
    <w:rsid w:val="009574CD"/>
    <w:rPr>
      <w:b/>
      <w:bCs/>
    </w:rPr>
  </w:style>
  <w:style w:type="character" w:styleId="CommentSubjectChar" w:customStyle="1">
    <w:name w:val="Comment Subject Char"/>
    <w:basedOn w:val="CommentTextChar"/>
    <w:link w:val="CommentSubject"/>
    <w:uiPriority w:val="99"/>
    <w:semiHidden/>
    <w:rsid w:val="009574CD"/>
    <w:rPr>
      <w:b/>
      <w:bCs/>
      <w:sz w:val="20"/>
      <w:szCs w:val="20"/>
    </w:rPr>
  </w:style>
  <w:style w:type="character" w:styleId="Hyperlink">
    <w:name w:val="Hyperlink"/>
    <w:basedOn w:val="DefaultParagraphFont"/>
    <w:uiPriority w:val="99"/>
    <w:unhideWhenUsed/>
    <w:rsid w:val="00997131"/>
    <w:rPr>
      <w:color w:val="0000FF" w:themeColor="hyperlink"/>
      <w:u w:val="single"/>
    </w:rPr>
  </w:style>
  <w:style w:type="character" w:styleId="UnresolvedMention1" w:customStyle="1">
    <w:name w:val="Unresolved Mention1"/>
    <w:basedOn w:val="DefaultParagraphFont"/>
    <w:uiPriority w:val="99"/>
    <w:semiHidden/>
    <w:unhideWhenUsed/>
    <w:rsid w:val="00997131"/>
    <w:rPr>
      <w:color w:val="605E5C"/>
      <w:shd w:val="clear" w:color="auto" w:fill="E1DFDD"/>
    </w:rPr>
  </w:style>
  <w:style w:type="character" w:styleId="FollowedHyperlink">
    <w:name w:val="FollowedHyperlink"/>
    <w:basedOn w:val="DefaultParagraphFont"/>
    <w:uiPriority w:val="99"/>
    <w:semiHidden/>
    <w:unhideWhenUsed/>
    <w:rsid w:val="00997131"/>
    <w:rPr>
      <w:color w:val="800080" w:themeColor="followedHyperlink"/>
      <w:u w:val="single"/>
    </w:rPr>
  </w:style>
  <w:style w:type="paragraph" w:styleId="Revision">
    <w:name w:val="Revision"/>
    <w:hidden/>
    <w:uiPriority w:val="99"/>
    <w:semiHidden/>
    <w:rsid w:val="001556E3"/>
    <w:pPr>
      <w:spacing w:after="0" w:line="240" w:lineRule="auto"/>
    </w:pPr>
  </w:style>
  <w:style w:type="paragraph" w:styleId="Header">
    <w:name w:val="header"/>
    <w:basedOn w:val="Normal"/>
    <w:link w:val="HeaderChar"/>
    <w:uiPriority w:val="99"/>
    <w:unhideWhenUsed/>
    <w:rsid w:val="001818C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818CA"/>
  </w:style>
  <w:style w:type="paragraph" w:styleId="Footer">
    <w:name w:val="footer"/>
    <w:basedOn w:val="Normal"/>
    <w:link w:val="FooterChar"/>
    <w:uiPriority w:val="99"/>
    <w:unhideWhenUsed/>
    <w:rsid w:val="001818C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818CA"/>
  </w:style>
  <w:style w:type="paragraph" w:styleId="outlinep3bh4" w:customStyle="1">
    <w:name w:val="outline p3b h4"/>
    <w:basedOn w:val="Heading4"/>
    <w:link w:val="outlinep3bh4Char"/>
    <w:qFormat/>
    <w:rsid w:val="002F6B57"/>
    <w:pPr>
      <w:numPr>
        <w:numId w:val="13"/>
      </w:numPr>
      <w:spacing w:before="200" w:after="0" w:line="276" w:lineRule="auto"/>
      <w:contextualSpacing/>
      <w:jc w:val="left"/>
    </w:pPr>
    <w:rPr>
      <w:rFonts w:ascii="Cambria" w:hAnsi="Cambria" w:eastAsia="MS Mincho" w:cs="Times New Roman"/>
      <w:b/>
      <w:i w:val="0"/>
      <w:color w:val="000000" w:themeColor="text1"/>
      <w:sz w:val="22"/>
      <w:szCs w:val="22"/>
      <w:lang w:val="en-US"/>
    </w:rPr>
  </w:style>
  <w:style w:type="character" w:styleId="outlinep3bh4Char" w:customStyle="1">
    <w:name w:val="outline p3b h4 Char"/>
    <w:basedOn w:val="DefaultParagraphFont"/>
    <w:link w:val="outlinep3bh4"/>
    <w:rsid w:val="002F6B57"/>
    <w:rPr>
      <w:rFonts w:ascii="Cambria" w:hAnsi="Cambria" w:eastAsia="MS Mincho" w:cs="Times New Roman"/>
      <w:b/>
      <w:iCs/>
      <w:color w:val="000000" w:themeColor="text1"/>
      <w:sz w:val="22"/>
      <w:szCs w:val="22"/>
      <w:lang w:val="en-US"/>
    </w:rPr>
  </w:style>
  <w:style w:type="paragraph" w:styleId="OutlineP3H3" w:customStyle="1">
    <w:name w:val="Outline P3 H3"/>
    <w:basedOn w:val="Heading3"/>
    <w:link w:val="OutlineP3H3Char"/>
    <w:qFormat/>
    <w:rsid w:val="008A1FAD"/>
    <w:pPr>
      <w:numPr>
        <w:numId w:val="14"/>
      </w:numPr>
      <w:spacing w:before="200" w:after="120" w:afterLines="50" w:line="276" w:lineRule="auto"/>
      <w:jc w:val="left"/>
    </w:pPr>
    <w:rPr>
      <w:rFonts w:eastAsia="MS Gothic" w:cs="Times New Roman"/>
      <w:b/>
      <w:color w:val="4F81BD"/>
      <w:sz w:val="24"/>
      <w:szCs w:val="24"/>
      <w:lang w:val="en-US"/>
    </w:rPr>
  </w:style>
  <w:style w:type="character" w:styleId="OutlineP3H3Char" w:customStyle="1">
    <w:name w:val="Outline P3 H3 Char"/>
    <w:basedOn w:val="DefaultParagraphFont"/>
    <w:link w:val="OutlineP3H3"/>
    <w:rsid w:val="008A1FAD"/>
    <w:rPr>
      <w:rFonts w:ascii="Calibri" w:hAnsi="Calibri" w:eastAsia="MS Gothic" w:cs="Times New Roman"/>
      <w:b/>
      <w:color w:val="4F81BD"/>
      <w:lang w:val="en-US"/>
    </w:rPr>
  </w:style>
  <w:style w:type="table" w:styleId="GridTable4">
    <w:name w:val="Grid Table 4"/>
    <w:basedOn w:val="TableNormal"/>
    <w:uiPriority w:val="49"/>
    <w:rsid w:val="009F5AEE"/>
    <w:pPr>
      <w:spacing w:after="0" w:line="240" w:lineRule="auto"/>
    </w:pPr>
    <w:rPr>
      <w:rFonts w:asciiTheme="minorHAnsi" w:hAnsiTheme="minorHAnsi" w:eastAsiaTheme="minorHAnsi" w:cstheme="minorBidi"/>
      <w:kern w:val="2"/>
      <w:lang w:val="en-US"/>
      <w14:ligatures w14:val="standardContextu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9F5AEE"/>
    <w:pPr>
      <w:spacing w:after="0" w:line="240" w:lineRule="auto"/>
    </w:pPr>
    <w:rPr>
      <w:rFonts w:asciiTheme="minorHAnsi" w:hAnsiTheme="minorHAnsi" w:eastAsiaTheme="minorEastAsia" w:cstheme="minorBidi"/>
      <w:sz w:val="22"/>
      <w:szCs w:val="22"/>
      <w:lang w:val="en-US"/>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B5637"/>
    <w:pPr>
      <w:ind w:left="720"/>
      <w:contextualSpacing/>
    </w:pPr>
    <w:rPr>
      <w:rFonts w:asciiTheme="minorHAnsi" w:hAnsiTheme="minorHAnsi" w:eastAsiaTheme="minorHAnsi" w:cstheme="minorBidi"/>
      <w:kern w:val="2"/>
      <w:lang w:val="en-US"/>
      <w14:ligatures w14:val="standardContextual"/>
    </w:rPr>
  </w:style>
  <w:style w:type="paragraph" w:styleId="FootnoteText">
    <w:name w:val="footnote text"/>
    <w:basedOn w:val="Normal"/>
    <w:link w:val="FootnoteTextChar"/>
    <w:uiPriority w:val="99"/>
    <w:semiHidden/>
    <w:unhideWhenUsed/>
    <w:rsid w:val="00FB5637"/>
    <w:pPr>
      <w:spacing w:after="0" w:line="240" w:lineRule="auto"/>
    </w:pPr>
    <w:rPr>
      <w:rFonts w:asciiTheme="minorHAnsi" w:hAnsiTheme="minorHAnsi" w:eastAsiaTheme="minorHAnsi" w:cstheme="minorBidi"/>
      <w:kern w:val="2"/>
      <w:sz w:val="20"/>
      <w:szCs w:val="20"/>
      <w:lang w:val="en-US"/>
      <w14:ligatures w14:val="standardContextual"/>
    </w:rPr>
  </w:style>
  <w:style w:type="character" w:styleId="FootnoteTextChar" w:customStyle="1">
    <w:name w:val="Footnote Text Char"/>
    <w:basedOn w:val="DefaultParagraphFont"/>
    <w:link w:val="FootnoteText"/>
    <w:uiPriority w:val="99"/>
    <w:semiHidden/>
    <w:rsid w:val="00FB5637"/>
    <w:rPr>
      <w:rFonts w:asciiTheme="minorHAnsi" w:hAnsiTheme="minorHAnsi" w:eastAsia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FB5637"/>
    <w:rPr>
      <w:vertAlign w:val="superscript"/>
    </w:rPr>
  </w:style>
  <w:style w:type="paragraph" w:styleId="BalloonText">
    <w:name w:val="Balloon Text"/>
    <w:basedOn w:val="Normal"/>
    <w:link w:val="BalloonTextChar"/>
    <w:uiPriority w:val="99"/>
    <w:semiHidden/>
    <w:unhideWhenUsed/>
    <w:rsid w:val="00F540A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540A6"/>
    <w:rPr>
      <w:rFonts w:ascii="Segoe UI" w:hAnsi="Segoe UI" w:cs="Segoe UI"/>
      <w:sz w:val="18"/>
      <w:szCs w:val="18"/>
    </w:rPr>
  </w:style>
  <w:style w:type="character" w:styleId="UnresolvedMention">
    <w:name w:val="Unresolved Mention"/>
    <w:basedOn w:val="DefaultParagraphFont"/>
    <w:uiPriority w:val="99"/>
    <w:semiHidden/>
    <w:unhideWhenUsed/>
    <w:rsid w:val="005941F4"/>
    <w:rPr>
      <w:color w:val="605E5C"/>
      <w:shd w:val="clear" w:color="auto" w:fill="E1DFDD"/>
    </w:rPr>
  </w:style>
  <w:style w:type="character" w:styleId="Heading4Char" w:customStyle="1">
    <w:name w:val="Heading 4 Char"/>
    <w:basedOn w:val="DefaultParagraphFont"/>
    <w:link w:val="Heading4"/>
    <w:uiPriority w:val="9"/>
    <w:rsid w:val="006946D6"/>
    <w:rPr>
      <w:rFonts w:ascii="Calibri" w:hAnsi="Calibri" w:eastAsia="Calibri" w:cs="Calibri"/>
      <w:i/>
      <w:iCs/>
      <w:color w:val="0064A8"/>
    </w:rPr>
  </w:style>
  <w:style w:type="paragraph" w:styleId="NoSpacing">
    <w:name w:val="No Spacing"/>
    <w:uiPriority w:val="1"/>
    <w:qFormat/>
    <w:rsid w:val="006946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govt.westlaw.com/calregs/Document/IE61E4860BD1211EF9A30ABD762E92752?viewType=FullText&amp;originationContext=documenttoc&amp;transitionType=CategoryPageItem&amp;contextData=(sc.Default)" TargetMode="External" Id="rId117" /><Relationship Type="http://schemas.openxmlformats.org/officeDocument/2006/relationships/hyperlink" Target="https://fphlm.cs.fiu.edu/" TargetMode="External" Id="rId21" /><Relationship Type="http://schemas.openxmlformats.org/officeDocument/2006/relationships/hyperlink" Target="http://viewer.zmags.com/publication/8120d9b9" TargetMode="External" Id="rId63" /><Relationship Type="http://schemas.openxmlformats.org/officeDocument/2006/relationships/hyperlink" Target="https://www.insurance.ca.gov/01-consumers/180-climate-change/upload/Public-Wildfire-Model-Strategy-Group-Chaired-by-Cal-Poly-Humboldt-Future-Directions-and-Considerations-05-16-2025.pdf" TargetMode="External" Id="rId159" /><Relationship Type="http://schemas.openxmlformats.org/officeDocument/2006/relationships/hyperlink" Target="https://washingtonrcd.org/wp-content/uploads/2025/10/Wildland-Fire-Strategic-Plan-Review-Community-Resilience-Recommendations-10-7-25.pdf" TargetMode="External" Id="rId170" /><Relationship Type="http://schemas.openxmlformats.org/officeDocument/2006/relationships/hyperlink" Target="https://govt.westlaw.com/calregs/Document/IE5518280BD1211EF9A30ABD762E92752?viewType=FullText&amp;originationContext=documenttoc&amp;transitionType=CategoryPageItem&amp;contextData=(sc.Default)" TargetMode="External" Id="rId226" /><Relationship Type="http://schemas.openxmlformats.org/officeDocument/2006/relationships/hyperlink" Target="https://billstatus.ls.state.ms.us/documents/2025/pdf/HB/1600-1699/HB1611SG.pdf" TargetMode="External" Id="rId268" /><Relationship Type="http://schemas.openxmlformats.org/officeDocument/2006/relationships/hyperlink" Target="https://www.myfloridacfo.com/division/ica/planprepareprotect" TargetMode="External" Id="rId32" /><Relationship Type="http://schemas.openxmlformats.org/officeDocument/2006/relationships/hyperlink" Target="https://www.lcc.mn.gov/hcpi/meetings/20260205/Task-Force-on-Homeowners-and-Commercial-Property-Insurance-Final-Report" TargetMode="External" Id="rId74" /><Relationship Type="http://schemas.openxmlformats.org/officeDocument/2006/relationships/hyperlink" Target="https://govt.westlaw.com/calregs/Document/I0C27E6E0D99911EFA0F5AFC148DB63EB?viewType=FullText&amp;originationContext=documenttoc&amp;transitionType=CategoryPageItem&amp;contextData=(sc.Default)" TargetMode="External" Id="rId128" /><Relationship Type="http://schemas.openxmlformats.org/officeDocument/2006/relationships/numbering" Target="numbering.xml" Id="rId5" /><Relationship Type="http://schemas.openxmlformats.org/officeDocument/2006/relationships/hyperlink" Target="https://leginfo.legislature.ca.gov/faces/codes_displayText.xhtml?lawCode=INS&amp;division=2.&amp;title=&amp;part=1.&amp;chapter=8.5.&amp;article=" TargetMode="External" Id="rId181" /><Relationship Type="http://schemas.openxmlformats.org/officeDocument/2006/relationships/hyperlink" Target="https://www.insurance.ca.gov/0400-news/0100-press-releases/release051-2024.cfm" TargetMode="External" Id="rId237" /><Relationship Type="http://schemas.openxmlformats.org/officeDocument/2006/relationships/hyperlink" Target="https://www.insurance.ca.gov/0400-news/0100-press-releases/2024/release065-2024.cfm" TargetMode="External" Id="rId279" /><Relationship Type="http://schemas.openxmlformats.org/officeDocument/2006/relationships/hyperlink" Target="https://magnoliatribune.com/2025/11/11/mississippi-hosting-disaster-leadership-conference-in-biloxi/" TargetMode="External" Id="rId43" /><Relationship Type="http://schemas.openxmlformats.org/officeDocument/2006/relationships/hyperlink" Target="https://leginfo.legislature.ca.gov/faces/codes_displaySection.xhtml?sectionNum=3333.8&amp;lawCode=CIV" TargetMode="External" Id="rId139" /><Relationship Type="http://schemas.openxmlformats.org/officeDocument/2006/relationships/footer" Target="footer1.xml" Id="rId290" /><Relationship Type="http://schemas.openxmlformats.org/officeDocument/2006/relationships/hyperlink" Target="https://www.mid.ms.gov/mississippi-insurance-department/companies/clarity-act-market-analysis-data-call/" TargetMode="External" Id="rId85" /><Relationship Type="http://schemas.openxmlformats.org/officeDocument/2006/relationships/hyperlink" Target="https://www.insurance.ca.gov/01-consumers/180-climate-change/Climate-Insurance-Working-Group-Members.cfm" TargetMode="External" Id="rId150" /><Relationship Type="http://schemas.openxmlformats.org/officeDocument/2006/relationships/hyperlink" Target="https://www.scec.org/" TargetMode="External" Id="rId192" /><Relationship Type="http://schemas.openxmlformats.org/officeDocument/2006/relationships/hyperlink" Target="https://www.minneapolismn.gov/resident-services/utility-services/stormwater/residential-stormwater-credits/" TargetMode="External" Id="rId206" /><Relationship Type="http://schemas.openxmlformats.org/officeDocument/2006/relationships/hyperlink" Target="https://www.insurance.ca.gov/01-consumers/180-climate-change/upload/Impacts-of-extreme-heat-to-California-s-people-infrastructure-and-economy-by-California-Department-of-Insurance-June-2024.pdf" TargetMode="External" Id="rId248" /><Relationship Type="http://schemas.openxmlformats.org/officeDocument/2006/relationships/hyperlink" Target="https://foundation.caionline.org/research/snap-surveys/" TargetMode="External" Id="rId12" /><Relationship Type="http://schemas.openxmlformats.org/officeDocument/2006/relationships/hyperlink" Target="https://www.myfloridacfo.com/division/ica/demolish" TargetMode="External" Id="rId33" /><Relationship Type="http://schemas.openxmlformats.org/officeDocument/2006/relationships/hyperlink" Target="http://www.insurance.ca.gov/cci/" TargetMode="External" Id="rId108" /><Relationship Type="http://schemas.openxmlformats.org/officeDocument/2006/relationships/hyperlink" Target="https://govt.westlaw.com/calregs/Document/I0B925DA0D99911EFA0F5AFC148DB63EB?viewType=FullText&amp;originationContext=documenttoc&amp;transitionType=CategoryPageItem&amp;contextData=(sc.Default)" TargetMode="External" Id="rId129" /><Relationship Type="http://schemas.openxmlformats.org/officeDocument/2006/relationships/hyperlink" Target="https://www.gov.ca.gov/2023/09/21/governor-newsom-signs-executive-order-to-strengthen-property-insurance-market/" TargetMode="External" Id="rId280" /><Relationship Type="http://schemas.openxmlformats.org/officeDocument/2006/relationships/hyperlink" Target="https://aldoi.gov/PDF/Misc/AHICReport.pdf" TargetMode="External" Id="rId54" /><Relationship Type="http://schemas.openxmlformats.org/officeDocument/2006/relationships/hyperlink" Target="https://mn.gov/commerce/insurance/home/dic/" TargetMode="External" Id="rId75" /><Relationship Type="http://schemas.openxmlformats.org/officeDocument/2006/relationships/hyperlink" Target="https://www.mid.ms.gov/wp-content/uploads/2024/01/Pressrel050123.pdf" TargetMode="External" Id="rId96" /><Relationship Type="http://schemas.openxmlformats.org/officeDocument/2006/relationships/hyperlink" Target="https://www.fire.ca.gov/what-we-do/natural-resource-management/prescribed-fire" TargetMode="External" Id="rId140" /><Relationship Type="http://schemas.openxmlformats.org/officeDocument/2006/relationships/hyperlink" Target="https://content.naic.org/sites/default/files/draft-naic-national-climate-resilience-strategy-12-1-2023-updated.pdf" TargetMode="External" Id="rId161" /><Relationship Type="http://schemas.openxmlformats.org/officeDocument/2006/relationships/hyperlink" Target="https://leginfo.legislature.ca.gov/faces/codes_displaySection.xhtml?sectionNum=10089.396&amp;lawCode=INS" TargetMode="External" Id="rId182" /><Relationship Type="http://schemas.openxmlformats.org/officeDocument/2006/relationships/hyperlink" Target="https://billstatus.ls.state.ms.us/documents/2018/pdf/SB/2200-2299/SB2277SG.pdf" TargetMode="External" Id="rId217" /><Relationship Type="http://schemas.openxmlformats.org/officeDocument/2006/relationships/styles" Target="styles.xml" Id="rId6" /><Relationship Type="http://schemas.openxmlformats.org/officeDocument/2006/relationships/hyperlink" Target="https://www.insurance.ca.gov/0400-news/0100-press-releases/2024/release020-2024.cfm" TargetMode="External" Id="rId238" /><Relationship Type="http://schemas.openxmlformats.org/officeDocument/2006/relationships/hyperlink" Target="https://www.insurance.ca.gov/01-consumers/200-wrr/upload/Wildfire-Mitigation-Partnership-Summary-02142022.pdf" TargetMode="External" Id="rId259" /><Relationship Type="http://schemas.openxmlformats.org/officeDocument/2006/relationships/hyperlink" Target="https://mysafeflhome.com/" TargetMode="External" Id="rId23" /><Relationship Type="http://schemas.openxmlformats.org/officeDocument/2006/relationships/hyperlink" Target="https://govt.westlaw.com/calregs/Document/IE9616570BD1211EFB5E0A23137C97BB9?viewType=FullText&amp;originationContext=documenttoc&amp;transitionType=CategoryPageItem&amp;contextData=(sc.Default)" TargetMode="External" Id="rId119" /><Relationship Type="http://schemas.openxmlformats.org/officeDocument/2006/relationships/hyperlink" Target="https://billstatus.ls.state.ms.us/documents/2015/pdf/HB/0700-0799/HB0739SG.pdf" TargetMode="External" Id="rId270" /><Relationship Type="http://schemas.openxmlformats.org/officeDocument/2006/relationships/footer" Target="footer2.xml" Id="rId291" /><Relationship Type="http://schemas.openxmlformats.org/officeDocument/2006/relationships/hyperlink" Target="https://acrobat.adobe.com/id/urn:aaid:sc:US:15b427b8-57f9-4ad7-8120-%094f00b4b80e24" TargetMode="External" Id="rId44" /><Relationship Type="http://schemas.openxmlformats.org/officeDocument/2006/relationships/hyperlink" Target="https://www.oid.ok.gov/regulated-entities/financial/market-conduct-regulation/data-call-submission/pre-and-post-disaster-faq/" TargetMode="External" Id="rId65" /><Relationship Type="http://schemas.openxmlformats.org/officeDocument/2006/relationships/hyperlink" Target="https://content.naic.org/committees/ex/climate-resiliency-tf" TargetMode="External" Id="rId86" /><Relationship Type="http://schemas.openxmlformats.org/officeDocument/2006/relationships/hyperlink" Target="https://leginfo.legislature.ca.gov/faces/billNavClient.xhtml?bill_id=202520260AB888" TargetMode="External" Id="rId130" /><Relationship Type="http://schemas.openxmlformats.org/officeDocument/2006/relationships/hyperlink" Target="http://www.insurance.ca.gov/cci/" TargetMode="External" Id="rId151" /><Relationship Type="http://schemas.openxmlformats.org/officeDocument/2006/relationships/hyperlink" Target="https://app.leg.wa.gov/ReportsToTheLegislature/Home/GetPDF?fileName=final-report-washington-disaster-resiliency-work-group-november-2020_ede7320e-f46b-441a-9fb3-5284297d7d51.pdf" TargetMode="External" Id="rId172" /><Relationship Type="http://schemas.openxmlformats.org/officeDocument/2006/relationships/hyperlink" Target="http://www.leg.state.fl.us/statutes/index.cfm?App_mode=Display_Statute&amp;Search_String=&amp;URL=0100-0199/0161/Sections/0161.551.html" TargetMode="External" Id="rId193" /><Relationship Type="http://schemas.openxmlformats.org/officeDocument/2006/relationships/hyperlink" Target="https://www.cityofroseville.com/3029/Stormwater-Utility-Credit" TargetMode="External" Id="rId207" /><Relationship Type="http://schemas.openxmlformats.org/officeDocument/2006/relationships/hyperlink" Target="https://govt.westlaw.com/calregs/Document/I1E7A1400BD1311EF8CA7FB0F0C0C2DC2?viewType=FullText&amp;originationContext=documenttoc&amp;transitionType=CategoryPageItem&amp;contextData=(sc.Default)" TargetMode="External" Id="rId228" /><Relationship Type="http://schemas.openxmlformats.org/officeDocument/2006/relationships/hyperlink" Target="https://oehha.ca.gov/press-release/california-announces-tool-protect-risk-communities-dangerous-heat-waves-ahead-triple-digit" TargetMode="External" Id="rId249" /><Relationship Type="http://schemas.openxmlformats.org/officeDocument/2006/relationships/hyperlink" Target="https://content.naic.org/sites/default/files/resilience-policy-playbook-addendum.pdf" TargetMode="External" Id="rId13" /><Relationship Type="http://schemas.openxmlformats.org/officeDocument/2006/relationships/hyperlink" Target="https://www.insurance.ca.gov/01-consumers/180-climate-change/upload/CA-Sustainable-Insurance-Roadmap-2022.pdf" TargetMode="External" Id="rId109" /><Relationship Type="http://schemas.openxmlformats.org/officeDocument/2006/relationships/hyperlink" Target="https://content.naic.org/sites/default/files/cipr_report_wildfire_mitigation.pdf" TargetMode="External" Id="rId260" /><Relationship Type="http://schemas.openxmlformats.org/officeDocument/2006/relationships/hyperlink" Target="https://www.cawildfirefund.com/sb-254-natural-catastrophe-resilience-study" TargetMode="External" Id="rId281" /><Relationship Type="http://schemas.openxmlformats.org/officeDocument/2006/relationships/hyperlink" Target="https://www.myfloridacfo.com/docs-sf/insurance-consumer-advocate-libraries/ica-documents/applying-for-homeowners-insurance-what-you-need-to-know.pdf?sfvrsn=60deb59f_18" TargetMode="External" Id="rId34" /><Relationship Type="http://schemas.openxmlformats.org/officeDocument/2006/relationships/hyperlink" Target="https://aei.culverhouse.ua.edu/wp-content/uploads/sites/45/2018/12/AL_CIWG_final_report.pdf" TargetMode="External" Id="rId55" /><Relationship Type="http://schemas.openxmlformats.org/officeDocument/2006/relationships/hyperlink" Target="https://mn.gov/commerce/insurance/home/dic/prepare.jsp" TargetMode="External" Id="rId76" /><Relationship Type="http://schemas.openxmlformats.org/officeDocument/2006/relationships/hyperlink" Target="https://www.mid.ms.gov/wp-content/uploads/2023/04/Pressrel052522.pdf" TargetMode="External" Id="rId97" /><Relationship Type="http://schemas.openxmlformats.org/officeDocument/2006/relationships/hyperlink" Target="https://govt.westlaw.com/calregs/Document/IF6305B80BD1211EFA80D8890FEA85126?viewType=FullText&amp;originationContext=documenttoc&amp;transitionType=CategoryPageItem&amp;contextData=(sc.Default)" TargetMode="External" Id="rId120" /><Relationship Type="http://schemas.openxmlformats.org/officeDocument/2006/relationships/hyperlink" Target="https://leginfo.legislature.ca.gov/faces/billTextClient.xhtml?bill_id=202120220SB926" TargetMode="External" Id="rId141" /><Relationship Type="http://schemas.openxmlformats.org/officeDocument/2006/relationships/settings" Target="settings.xml" Id="rId7" /><Relationship Type="http://schemas.openxmlformats.org/officeDocument/2006/relationships/hyperlink" Target="https://www.iais.org/" TargetMode="External" Id="rId162" /><Relationship Type="http://schemas.openxmlformats.org/officeDocument/2006/relationships/hyperlink" Target="https://www.earthquakeauthority.com/" TargetMode="External" Id="rId183" /><Relationship Type="http://schemas.openxmlformats.org/officeDocument/2006/relationships/hyperlink" Target="https://msdisasterrecovery.com/" TargetMode="External" Id="rId218" /><Relationship Type="http://schemas.openxmlformats.org/officeDocument/2006/relationships/hyperlink" Target="https://www.insurance.ca.gov/01-consumers/105-type/95-guides/Climate-Change-Portal.cfm" TargetMode="External" Id="rId239" /><Relationship Type="http://schemas.openxmlformats.org/officeDocument/2006/relationships/hyperlink" Target="https://leginfo.legislature.ca.gov/faces/billNavClient.xhtml?bill_id=201720180SB30" TargetMode="External" Id="rId250" /><Relationship Type="http://schemas.openxmlformats.org/officeDocument/2006/relationships/hyperlink" Target="https://billstatus.ls.state.ms.us/documents/2023/pdf/SB/2200-2299/SB2224SG.pdf" TargetMode="External" Id="rId271" /><Relationship Type="http://schemas.openxmlformats.org/officeDocument/2006/relationships/header" Target="header3.xml" Id="rId292" /><Relationship Type="http://schemas.openxmlformats.org/officeDocument/2006/relationships/hyperlink" Target="https://www.leg.state.fl.us/Statutes/index.cfm?App_mode=Display_Statute&amp;Search_String=&amp;URL=0200-0299/0215/Sections/0215.5586.html" TargetMode="External" Id="rId24" /><Relationship Type="http://schemas.openxmlformats.org/officeDocument/2006/relationships/hyperlink" Target="https://www.wbdg.org/FFC/DHS/fema_p_804.pdf" TargetMode="External" Id="rId45" /><Relationship Type="http://schemas.openxmlformats.org/officeDocument/2006/relationships/hyperlink" Target="https://oklahoma.gov/oem/programs-and-services/soonersafe-safe-room-rebate-program/rules-and-regulations.html" TargetMode="External" Id="rId66" /><Relationship Type="http://schemas.openxmlformats.org/officeDocument/2006/relationships/hyperlink" Target="https://www.mid.ms.gov/mississippi-insurance-department/preparedness/mitigation/the-comprehensive-hurricane-damage-mitigation-program/" TargetMode="External" Id="rId87" /><Relationship Type="http://schemas.openxmlformats.org/officeDocument/2006/relationships/hyperlink" Target="https://www.insurance.ca.gov/01-consumers/140-catastrophes/MandatoryOneYearMoratoriumNonRenewals.cfm" TargetMode="External" Id="rId110" /><Relationship Type="http://schemas.openxmlformats.org/officeDocument/2006/relationships/hyperlink" Target="https://leginfo.legislature.ca.gov/faces/billNavClient.xhtml?bill_id=202520260SB429" TargetMode="External" Id="rId131" /><Relationship Type="http://schemas.openxmlformats.org/officeDocument/2006/relationships/hyperlink" Target="https://leginfo.legislature.ca.gov/faces/billNavClient.xhtml?bill_id=202520260AB1236" TargetMode="External" Id="rId152" /><Relationship Type="http://schemas.openxmlformats.org/officeDocument/2006/relationships/hyperlink" Target="https://gcc02.safelinks.protection.outlook.com/?url=https%3A%2F%2Fwww.insurance.wa.gov%2Fsites%2Fdefault%2Ffiles%2F2024-12%2Fwa-nonrenewal-datacall-instructions.pdf&amp;data=05%7C02%7CLauren.Burnes%40oic.wa.gov%7Cd4d270c36bdc495603d708de6fc60045%7C11d0e217264e400a8ba057dcc127d72d%7C0%7C0%7C639071093355143287%7CUnknown%7CTWFpbGZsb3d8eyJFbXB0eU1hcGkiOnRydWUsIlYiOiIwLjAuMDAwMCIsIlAiOiJXaW4zMiIsIkFOIjoiTWFpbCIsIldUIjoyfQ%3D%3D%7C0%7C%7C%7C&amp;sdata=Q6gEuJEalCRCqgeMYxEWVvzPoLNQorCNTD378jOywXk%3D&amp;reserved=0" TargetMode="External" Id="rId173" /><Relationship Type="http://schemas.openxmlformats.org/officeDocument/2006/relationships/hyperlink" Target="https://dcp.ufl.edu/fiber/resources/" TargetMode="External" Id="rId194" /><Relationship Type="http://schemas.openxmlformats.org/officeDocument/2006/relationships/hyperlink" Target="https://www2.minneapolismn.gov/government/departments/public-works/surface-water-sewers/programs-policy/green-infrastructure/southwest-windom-neighborhood/" TargetMode="External" Id="rId208" /><Relationship Type="http://schemas.openxmlformats.org/officeDocument/2006/relationships/hyperlink" Target="https://govt.westlaw.com/calregs/Document/IE9616570BD1211EFB5E0A23137C97BB9?viewType=FullText&amp;originationContext=documenttoc&amp;transitionType=CategoryPageItem&amp;contextData=(sc.Default)" TargetMode="External" Id="rId229" /><Relationship Type="http://schemas.openxmlformats.org/officeDocument/2006/relationships/hyperlink" Target="http://www.insurance.ca.gov/cci/" TargetMode="External" Id="rId240" /><Relationship Type="http://schemas.openxmlformats.org/officeDocument/2006/relationships/hyperlink" Target="https://www.insurance.ca.gov/01-consumers/200-wrr/upload/Wildfire-Mitigation-Partnership-Summary-02142022.pdf" TargetMode="External" Id="rId261" /><Relationship Type="http://schemas.openxmlformats.org/officeDocument/2006/relationships/hyperlink" Target="https://www.insurancejournal.com/app/uploads/2024/06/Rating-the-States-report.pdf" TargetMode="External" Id="rId14" /><Relationship Type="http://schemas.openxmlformats.org/officeDocument/2006/relationships/hyperlink" Target="https://www.citizensfla.com/es/" TargetMode="External" Id="rId35" /><Relationship Type="http://schemas.openxmlformats.org/officeDocument/2006/relationships/hyperlink" Target="https://www.strengthenalabamahomes.com/" TargetMode="External" Id="rId56" /><Relationship Type="http://schemas.openxmlformats.org/officeDocument/2006/relationships/hyperlink" Target="https://mn.gov/commerce/insurance/home/dic/after-the-disaster.jsp" TargetMode="External" Id="rId77" /><Relationship Type="http://schemas.openxmlformats.org/officeDocument/2006/relationships/hyperlink" Target="https://www.msema.org/" TargetMode="External" Id="rId100" /><Relationship Type="http://schemas.openxmlformats.org/officeDocument/2006/relationships/hyperlink" Target="https://34c031f8-c9fd-4018-8c5a-4159cdff6b0d-cdn-endpoint.azureedge.net/-/media/osfm-website/committes/risk-modeling-advisory-workgroup/final-risk-modeling-advisory-workgroup-report-october-10-2023.pdf?rev=7c75481f549840d79077836bef527cc5&amp;hash=CDD7D78A505B63F29705BBB86DAA5B0E" TargetMode="External" Id="rId282" /><Relationship Type="http://schemas.openxmlformats.org/officeDocument/2006/relationships/webSettings" Target="webSettings.xml" Id="rId8" /><Relationship Type="http://schemas.openxmlformats.org/officeDocument/2006/relationships/hyperlink" Target="https://www.mid.ms.gov/wp-content/uploads/2023/04/pressrel120720.pdf" TargetMode="External" Id="rId98" /><Relationship Type="http://schemas.openxmlformats.org/officeDocument/2006/relationships/hyperlink" Target="https://govt.westlaw.com/calregs/Document/ID028065062FC11F0B60FC01779096CAF?viewType=FullText&amp;originationContext=documenttoc&amp;transitionType=CategoryPageItem&amp;contextData=(sc.Default)" TargetMode="External" Id="rId121" /><Relationship Type="http://schemas.openxmlformats.org/officeDocument/2006/relationships/hyperlink" Target="https://leginfo.legislature.ca.gov/faces/billTextClient.xhtml?bill_id=202320240SB310" TargetMode="External" Id="rId142" /><Relationship Type="http://schemas.openxmlformats.org/officeDocument/2006/relationships/hyperlink" Target="https://www.iais.org/uploads/2023/11/IAIS-Report-A-call-to-action-the-role-of-insurance-supervisors-in-addressing-natural-catastrophe-protection-gaps.pdf" TargetMode="External" Id="rId163" /><Relationship Type="http://schemas.openxmlformats.org/officeDocument/2006/relationships/hyperlink" Target="https://www.earthquakeauthority.com/california-earthquake-insurance-policies/other-providers" TargetMode="External" Id="rId184" /><Relationship Type="http://schemas.openxmlformats.org/officeDocument/2006/relationships/hyperlink" Target="https://msdisasterrecovery.com/" TargetMode="External" Id="rId219" /><Relationship Type="http://schemas.openxmlformats.org/officeDocument/2006/relationships/hyperlink" Target="https://govt.westlaw.com/calregs/Document/IF6305B80BD1211EFA80D8890FEA85126?viewType=FullText&amp;originationContext=documenttoc&amp;transitionType=CategoryPageItem&amp;contextData=(sc.Default)" TargetMode="External" Id="rId230" /><Relationship Type="http://schemas.openxmlformats.org/officeDocument/2006/relationships/hyperlink" Target="https://leginfo.legislature.ca.gov/faces/codes_displaySection.xhtml?sectionNum=12922.5&amp;lawCode=INS" TargetMode="External" Id="rId251" /><Relationship Type="http://schemas.openxmlformats.org/officeDocument/2006/relationships/hyperlink" Target="https://myfloridacfo.com/mysafeflhome/mysafefloridacondo" TargetMode="External" Id="rId25" /><Relationship Type="http://schemas.openxmlformats.org/officeDocument/2006/relationships/hyperlink" Target="https://www.msplans.com/about-us" TargetMode="External" Id="rId46" /><Relationship Type="http://schemas.openxmlformats.org/officeDocument/2006/relationships/hyperlink" Target="https://mapsprogram.com/" TargetMode="External" Id="rId67" /><Relationship Type="http://schemas.openxmlformats.org/officeDocument/2006/relationships/hyperlink" Target="https://law.justia.com/codes/mississippi/title-83/chapter-1/comprehensive-hurricane-damage-mitigation-program/" TargetMode="External" Id="rId272" /><Relationship Type="http://schemas.openxmlformats.org/officeDocument/2006/relationships/footer" Target="footer3.xml" Id="rId293" /><Relationship Type="http://schemas.openxmlformats.org/officeDocument/2006/relationships/hyperlink" Target="https://billstatus.ls.state.ms.us/documents/2007/pdf/HB/0700-0799/HB0753SG.pdf" TargetMode="External" Id="rId88" /><Relationship Type="http://schemas.openxmlformats.org/officeDocument/2006/relationships/hyperlink" Target="https://govt.westlaw.com/calregs/Document/I6C093D70545D11EDABBBA91488E976A2?viewType=FullText&amp;listSource=Search&amp;originationContext=Search+Result&amp;transitionType=SearchItem&amp;contextData=(sc.Search)&amp;navigationPath=Search%2fv1%2fresults%2fnavigation%2fi0a939cc50000019760ecd69bdbd5398b%3fppcid%3d5b92347bc10749a58d178485b25db654%26Nav%3dREGULATION_PUBLICVIEW%26fragmentIdentifier%3dI6C093D70545D11EDABBBA91488E976A2%26startIndex%3d1%26transitionType%3dSearchItem%26contextData%3d%2528sc.Default%2529%26originationContext%3dSearch%2520Result&amp;list=REGULATION_PUBLICVIEW&amp;rank=1&amp;t_T1=10&amp;t_T2=2644.9&amp;t_S1=CA+ADC+s" TargetMode="External" Id="rId111" /><Relationship Type="http://schemas.openxmlformats.org/officeDocument/2006/relationships/hyperlink" Target="https://leginfo.legislature.ca.gov/faces/billNavClient.xhtml?bill_id=202520260SB495" TargetMode="External" Id="rId132" /><Relationship Type="http://schemas.openxmlformats.org/officeDocument/2006/relationships/hyperlink" Target="https://leginfo.legislature.ca.gov/faces/billTextClient.xhtml?bill_id=201920200SB182" TargetMode="External" Id="rId153" /><Relationship Type="http://schemas.openxmlformats.org/officeDocument/2006/relationships/hyperlink" Target="https://www.insurance.wa.gov/sites/default/files/2025-12/2025-wildfire-wg-final-rpt_0.pdf" TargetMode="External" Id="rId174" /><Relationship Type="http://schemas.openxmlformats.org/officeDocument/2006/relationships/hyperlink" Target="https://floir.gov/tools-and-data/residential-market-share-reports" TargetMode="External" Id="rId195" /><Relationship Type="http://schemas.openxmlformats.org/officeDocument/2006/relationships/hyperlink" Target="https://www.pca.state.mn.us/air-water-land-climate/grants-to-prepare-minnesota-for-climate-change" TargetMode="External" Id="rId209" /><Relationship Type="http://schemas.openxmlformats.org/officeDocument/2006/relationships/hyperlink" Target="https://www.msema.org/about/about-mema/mitigation/available-grants" TargetMode="External" Id="rId220" /><Relationship Type="http://schemas.openxmlformats.org/officeDocument/2006/relationships/hyperlink" Target="https://www.insurance.ca.gov/01-consumers/180-climate-change/upload/Impacts-of-extreme-heat-to-California-s-people-infrastructure-and-economy-by-California-Department-of-Insurance-June-2024.pdf" TargetMode="External" Id="rId241" /><Relationship Type="http://schemas.openxmlformats.org/officeDocument/2006/relationships/hyperlink" Target="https://floir.gov/tools-and-data/residential-market-share-reports" TargetMode="External" Id="rId15" /><Relationship Type="http://schemas.openxmlformats.org/officeDocument/2006/relationships/hyperlink" Target="https://www.citizensfla.com/depopulation" TargetMode="External" Id="rId36" /><Relationship Type="http://schemas.openxmlformats.org/officeDocument/2006/relationships/hyperlink" Target="https://aldoi.gov/Consumers/StrengthenAL.aspx" TargetMode="External" Id="rId57" /><Relationship Type="http://schemas.openxmlformats.org/officeDocument/2006/relationships/hyperlink" Target="https://content.naic.org/sites/default/files/cipr_report_wildfire_mitigation.pdf" TargetMode="External" Id="rId262" /><Relationship Type="http://schemas.openxmlformats.org/officeDocument/2006/relationships/hyperlink" Target="https://www.insurance.ca.gov/01-consumers/180-climate-change/Climate-Insurance-Working-Group-Members.cfm" TargetMode="External" Id="rId283" /><Relationship Type="http://schemas.openxmlformats.org/officeDocument/2006/relationships/hyperlink" Target="https://mn.gov/commerce-stat/pdfs/2024_disaster-information-inventory.pdf" TargetMode="External" Id="rId78" /><Relationship Type="http://schemas.openxmlformats.org/officeDocument/2006/relationships/hyperlink" Target="https://www.mid.ms.gov/mississippi-insurance-department/preparedness/weather-disaster/" TargetMode="External" Id="rId99" /><Relationship Type="http://schemas.openxmlformats.org/officeDocument/2006/relationships/hyperlink" Target="https://www.fema.gov/grants/mitigation/learn/hazard-mitigation" TargetMode="External" Id="rId101" /><Relationship Type="http://schemas.openxmlformats.org/officeDocument/2006/relationships/hyperlink" Target="https://govt.westlaw.com/calregs/Document/IEDB46BE0BD1211EF8CA7FB0F0C0C2DC2?viewType=FullText&amp;originationContext=documenttoc&amp;transitionType=CategoryPageItem&amp;contextData=(sc.Default)" TargetMode="External" Id="rId122" /><Relationship Type="http://schemas.openxmlformats.org/officeDocument/2006/relationships/hyperlink" Target="https://leginfo.legislature.ca.gov/faces/codes_displaySection.xhtml?sectionNum=3333.8&amp;lawCode=CIV" TargetMode="External" Id="rId143" /><Relationship Type="http://schemas.openxmlformats.org/officeDocument/2006/relationships/hyperlink" Target="https://papers.ssrn.com/sol3/papers.cfm?abstract_id=5057551" TargetMode="External" Id="rId164" /><Relationship Type="http://schemas.openxmlformats.org/officeDocument/2006/relationships/hyperlink" Target="https://blog.jumpstartinsurance.com/jumpstart-company-overview/" TargetMode="External" Id="rId185" /><Relationship Type="http://schemas.openxmlformats.org/officeDocument/2006/relationships/footnotes" Target="footnotes.xml" Id="rId9" /><Relationship Type="http://schemas.openxmlformats.org/officeDocument/2006/relationships/hyperlink" Target="https://data.pca.state.mn.us/views/Climategrantsmap/ClimateGrants?%3Aembed=y&amp;%3AisGuestRedirectFromVizportal=y" TargetMode="External" Id="rId210" /><Relationship Type="http://schemas.openxmlformats.org/officeDocument/2006/relationships/hyperlink" Target="https://www.leg.state.fl.us/Statutes/index.cfm?App_mode=Display_Statute&amp;Search_String=&amp;URL=0200-0299/0215/Sections/0215.55871.html" TargetMode="External" Id="rId26" /><Relationship Type="http://schemas.openxmlformats.org/officeDocument/2006/relationships/hyperlink" Target="https://govt.westlaw.com/calregs/Document/ID028065062FC11F0B60FC01779096CAF?viewType=FullText&amp;originationContext=documenttoc&amp;transitionType=CategoryPageItem&amp;contextData=(sc.Default)" TargetMode="External" Id="rId231" /><Relationship Type="http://schemas.openxmlformats.org/officeDocument/2006/relationships/hyperlink" Target="https://www.insurance.ca.gov/01-consumers/180-climate-change/Climate-Insurance-Working-Group-Members.cfm" TargetMode="External" Id="rId252" /><Relationship Type="http://schemas.openxmlformats.org/officeDocument/2006/relationships/hyperlink" Target="https://www.congress.gov/bill/116th-congress/senate-bill/1708/text" TargetMode="External" Id="rId273" /><Relationship Type="http://schemas.openxmlformats.org/officeDocument/2006/relationships/fontTable" Target="fontTable.xml" Id="rId294" /><Relationship Type="http://schemas.openxmlformats.org/officeDocument/2006/relationships/hyperlink" Target="https://billstatus.ls.state.ms.us/documents/2003/html/HB/1100-1199/HB1113SG.htm" TargetMode="External" Id="rId47" /><Relationship Type="http://schemas.openxmlformats.org/officeDocument/2006/relationships/hyperlink" Target="https://www.oid.ok.gov/okready/" TargetMode="External" Id="rId68" /><Relationship Type="http://schemas.openxmlformats.org/officeDocument/2006/relationships/hyperlink" Target="https://www.msema.org/about/about-mema/mitigation/grant-funding/statewide-residential-safe-room-grant-program" TargetMode="External" Id="rId89" /><Relationship Type="http://schemas.openxmlformats.org/officeDocument/2006/relationships/hyperlink" Target="https://www.insurance.ca.gov/01-consumers/180-climate-change/Sustainable-Insurance-Strategy.cfm" TargetMode="External" Id="rId112" /><Relationship Type="http://schemas.openxmlformats.org/officeDocument/2006/relationships/hyperlink" Target="https://leginfo.legislature.ca.gov/faces/billNavClient.xhtml?bill_id=201720180SB824" TargetMode="External" Id="rId133" /><Relationship Type="http://schemas.openxmlformats.org/officeDocument/2006/relationships/hyperlink" Target="https://leginfo.legislature.ca.gov/faces/billTextClient.xhtml?bill_id=201920200SB295" TargetMode="External" Id="rId154" /><Relationship Type="http://schemas.openxmlformats.org/officeDocument/2006/relationships/hyperlink" Target="https://app.leg.wa.gov/billsummary/?BillNumber=5928&amp;Year=2025&amp;Initiative=false" TargetMode="External" Id="rId175" /><Relationship Type="http://schemas.openxmlformats.org/officeDocument/2006/relationships/hyperlink" Target="https://floir.gov/tools-and-data/catastrophe-reporting" TargetMode="External" Id="rId196" /><Relationship Type="http://schemas.openxmlformats.org/officeDocument/2006/relationships/hyperlink" Target="https://floir.gov/property-casualty/flood-insurance" TargetMode="External" Id="rId200" /><Relationship Type="http://schemas.openxmlformats.org/officeDocument/2006/relationships/hyperlink" Target="https://floir.com/tools-and-data/catastrophe-reporting" TargetMode="External" Id="rId16" /><Relationship Type="http://schemas.openxmlformats.org/officeDocument/2006/relationships/hyperlink" Target="https://www.msema.org/" TargetMode="External" Id="rId221" /><Relationship Type="http://schemas.openxmlformats.org/officeDocument/2006/relationships/hyperlink" Target="https://www.insurance.ca.gov/01-consumers/180-climate-change/upload/Impacts-of-extreme-heat-to-California-s-people-infrastructure-and-economy-by-California-Department-of-Insurance-June-2024.pdf" TargetMode="External" Id="rId242" /><Relationship Type="http://schemas.openxmlformats.org/officeDocument/2006/relationships/hyperlink" Target="https://billstatus.ls.state.ms.us/documents/2022/pdf/HB/1100-1199/HB1163SG.pdf" TargetMode="External" Id="rId263" /><Relationship Type="http://schemas.openxmlformats.org/officeDocument/2006/relationships/hyperlink" Target="https://www.insurance.ca.gov/cci/" TargetMode="External" Id="rId284" /><Relationship Type="http://schemas.openxmlformats.org/officeDocument/2006/relationships/hyperlink" Target="https://floir.gov/property-casualty/take-out-companies" TargetMode="External" Id="rId37" /><Relationship Type="http://schemas.openxmlformats.org/officeDocument/2006/relationships/hyperlink" Target="https://www.al.com/news/2020/04/where-are-community-storm-shelters-in-alabama-county-by-county-list-of-public-shelters.html" TargetMode="External" Id="rId58" /><Relationship Type="http://schemas.openxmlformats.org/officeDocument/2006/relationships/hyperlink" Target="https://www.youtube.com/watch?v=4fjwn0KsgeE" TargetMode="External" Id="rId79" /><Relationship Type="http://schemas.openxmlformats.org/officeDocument/2006/relationships/hyperlink" Target="https://www.mid.ms.gov/" TargetMode="External" Id="rId102" /><Relationship Type="http://schemas.openxmlformats.org/officeDocument/2006/relationships/hyperlink" Target="https://govt.westlaw.com/calregs/Document/I0D2532A0D99911EFA0F5AFC148DB63EB?viewType=FullText&amp;originationContext=documenttoc&amp;transitionType=CategoryPageItem&amp;contextData=(sc.Default)" TargetMode="External" Id="rId123" /><Relationship Type="http://schemas.openxmlformats.org/officeDocument/2006/relationships/hyperlink" Target="https://leginfo.legislature.ca.gov/faces/codes_displaySection.xhtml?sectionNum=4002.4&amp;lawCode=PRC" TargetMode="External" Id="rId144" /><Relationship Type="http://schemas.openxmlformats.org/officeDocument/2006/relationships/hyperlink" Target="https://www.mid.ms.gov/wp-content/uploads/2023/04/Pressrel041723.pdf" TargetMode="External" Id="rId90" /><Relationship Type="http://schemas.openxmlformats.org/officeDocument/2006/relationships/hyperlink" Target="https://leg.colorado.gov/bills/sb22-206" TargetMode="External" Id="rId165" /><Relationship Type="http://schemas.openxmlformats.org/officeDocument/2006/relationships/hyperlink" Target="https://www.earthquakeauthority.com/prepare-your-house-earthquake-risk/brace-and-bolt-grants" TargetMode="External" Id="rId186" /><Relationship Type="http://schemas.openxmlformats.org/officeDocument/2006/relationships/hyperlink" Target="https://www.mrcti.org/" TargetMode="External" Id="rId211" /><Relationship Type="http://schemas.openxmlformats.org/officeDocument/2006/relationships/hyperlink" Target="https://www.insurance.ca.gov/01-consumers/105-type/95-guides/upload/CLIMATE-RESILIENCE-DISTRICTS.pdf" TargetMode="External" Id="rId232" /><Relationship Type="http://schemas.openxmlformats.org/officeDocument/2006/relationships/hyperlink" Target="http://www.insurance.ca.gov/cci/" TargetMode="External" Id="rId253" /><Relationship Type="http://schemas.openxmlformats.org/officeDocument/2006/relationships/hyperlink" Target="https://regulations.justia.com/states/mississippi/title-19/part-5/chapter-3/" TargetMode="External" Id="rId274" /><Relationship Type="http://schemas.openxmlformats.org/officeDocument/2006/relationships/theme" Target="theme/theme1.xml" Id="rId295" /><Relationship Type="http://schemas.openxmlformats.org/officeDocument/2006/relationships/hyperlink" Target="https://floir.gov/docs-sf/property-casualty-libraries/product-review/all-forms/form-oir-1802-adopted-version-(no-watermark).pdf?Status=Master" TargetMode="External" Id="rId27" /><Relationship Type="http://schemas.openxmlformats.org/officeDocument/2006/relationships/hyperlink" Target="https://www.msema.org/about/about-mema/mitigation/grant-funding/statewide-residential-safe-room-grant-program" TargetMode="External" Id="rId48" /><Relationship Type="http://schemas.openxmlformats.org/officeDocument/2006/relationships/hyperlink" Target="https://www.oid.ok.gov/release_022019/" TargetMode="External" Id="rId69" /><Relationship Type="http://schemas.openxmlformats.org/officeDocument/2006/relationships/hyperlink" Target="https://govt.westlaw.com/calregs/Document/IDF6617D08F6A11EFBD72D926767C8300?viewType=FullText&amp;originationContext=documenttoc&amp;transitionType=CategoryPageItem&amp;contextData=(sc.Default)" TargetMode="External" Id="rId113" /><Relationship Type="http://schemas.openxmlformats.org/officeDocument/2006/relationships/hyperlink" Target="https://leginfo.legislature.ca.gov/faces/codes_displaySection.xhtml?sectionNum=675.1&amp;lawCode=INS" TargetMode="External" Id="rId134" /><Relationship Type="http://schemas.openxmlformats.org/officeDocument/2006/relationships/hyperlink" Target="https://www.youtube.com/watch?v=NS-Oty7LUjw" TargetMode="External" Id="rId80" /><Relationship Type="http://schemas.openxmlformats.org/officeDocument/2006/relationships/hyperlink" Target="https://www.insurance.ca.gov/01-consumers/200-wrr/DataAnalysisOnWildfiresAndInsurance.cfm" TargetMode="External" Id="rId155" /><Relationship Type="http://schemas.openxmlformats.org/officeDocument/2006/relationships/hyperlink" Target="https://app.leg.wa.gov/BillSummary/?BillNumber=6079&amp;Year=2025&amp;Initiative=false" TargetMode="External" Id="rId176" /><Relationship Type="http://schemas.openxmlformats.org/officeDocument/2006/relationships/hyperlink" Target="https://flfloods.org/page/faw_dashboard" TargetMode="External" Id="rId197" /><Relationship Type="http://schemas.openxmlformats.org/officeDocument/2006/relationships/hyperlink" Target="https://www.usf.edu/marine-science/research/florida-flood-hub-for-applied-research-and-innovation/" TargetMode="External" Id="rId201" /><Relationship Type="http://schemas.openxmlformats.org/officeDocument/2006/relationships/hyperlink" Target="https://www.mid.ms.gov/wp-content/uploads/2025/03/Pressrel031725-1.pdf" TargetMode="External" Id="rId222" /><Relationship Type="http://schemas.openxmlformats.org/officeDocument/2006/relationships/hyperlink" Target="https://www.insurance.ca.gov/01-consumers/180-climate-change/upload/Impacts-of-Extreme-Heat-to-California-s-People-Infrastructure-and-Economy-Key-Findings-and-Recommendations.pdf" TargetMode="External" Id="rId243" /><Relationship Type="http://schemas.openxmlformats.org/officeDocument/2006/relationships/hyperlink" Target="https://www.mid.ms.gov/wp-content/uploads/2023/04/20071reg.pdf" TargetMode="External" Id="rId264" /><Relationship Type="http://schemas.openxmlformats.org/officeDocument/2006/relationships/hyperlink" Target="https://www.insurance.ca.gov/01-consumers/180-climate-change/upload/Impacts-of-extreme-heat-to-California-s-people-infrastructure-and-economy-by-California-Department-of-Insurance-June-2024.pdf" TargetMode="External" Id="rId285" /><Relationship Type="http://schemas.openxmlformats.org/officeDocument/2006/relationships/hyperlink" Target="https://floir.gov/tools-and-data/data-call-reporting" TargetMode="External" Id="rId17" /><Relationship Type="http://schemas.openxmlformats.org/officeDocument/2006/relationships/hyperlink" Target="https://www.mid.ms.gov/mississippi-insurance-department/preparedness/mitigation/the-comprehensive-hurricane-damage-mitigation-program/" TargetMode="External" Id="rId38" /><Relationship Type="http://schemas.openxmlformats.org/officeDocument/2006/relationships/hyperlink" Target="https://www.aiua.org/" TargetMode="External" Id="rId59" /><Relationship Type="http://schemas.openxmlformats.org/officeDocument/2006/relationships/hyperlink" Target="https://www.msema.org/" TargetMode="External" Id="rId103" /><Relationship Type="http://schemas.openxmlformats.org/officeDocument/2006/relationships/hyperlink" Target="https://govt.westlaw.com/calregs/Document/I1B3904C0D99911EF83F78FD10F20308E?viewType=FullText&amp;originationContext=documenttoc&amp;transitionType=CategoryPageItem&amp;contextData=(sc.Default)" TargetMode="External" Id="rId124" /><Relationship Type="http://schemas.openxmlformats.org/officeDocument/2006/relationships/hyperlink" Target="https://www.tornadosummit.org/" TargetMode="External" Id="rId70" /><Relationship Type="http://schemas.openxmlformats.org/officeDocument/2006/relationships/hyperlink" Target="https://www.mid.ms.gov/wp-content/uploads/2024/09/Pressrel091224.pdf" TargetMode="External" Id="rId91" /><Relationship Type="http://schemas.openxmlformats.org/officeDocument/2006/relationships/hyperlink" Target="https://leginfo.legislature.ca.gov/faces/codes_displaySection.xhtml?sectionNum=4002.6&amp;lawCode=PRC" TargetMode="External" Id="rId145" /><Relationship Type="http://schemas.openxmlformats.org/officeDocument/2006/relationships/hyperlink" Target="https://doi.colorado.gov/homeowners-hoainsurancetoolkit" TargetMode="External" Id="rId166" /><Relationship Type="http://schemas.openxmlformats.org/officeDocument/2006/relationships/hyperlink" Target="https://www.crmp.org/" TargetMode="External" Id="rId187" /><Relationship Type="http://schemas.openxmlformats.org/officeDocument/2006/relationships/customXml" Target="../customXml/item1.xml" Id="rId1" /><Relationship Type="http://schemas.openxmlformats.org/officeDocument/2006/relationships/hyperlink" Target="https://www.minnpost.com/other-nonprofit-media/2024/12/mississippi-river-towns-pilot-new-insurance-model-to-help-with-flooding/" TargetMode="External" Id="rId212" /><Relationship Type="http://schemas.openxmlformats.org/officeDocument/2006/relationships/hyperlink" Target="https://leginfo.legislature.ca.gov/faces/billTextClient.xhtml?bill_id=202120220SB852" TargetMode="External" Id="rId233" /><Relationship Type="http://schemas.openxmlformats.org/officeDocument/2006/relationships/hyperlink" Target="https://www.insurance.ca.gov/01-consumers/180-climate-change/upload/CA-Sustainable-Insurance-Roadmap-2022.pdf" TargetMode="External" Id="rId254" /><Relationship Type="http://schemas.openxmlformats.org/officeDocument/2006/relationships/hyperlink" Target="https://floir.com/docs-sf/property-casualty-libraries/product-review/all-forms/oir-b1-1699.xls?sfvrsn=33b31377_2" TargetMode="External" Id="rId28" /><Relationship Type="http://schemas.openxmlformats.org/officeDocument/2006/relationships/hyperlink" Target="https://www.fema.gov/grants/mitigation" TargetMode="External" Id="rId49" /><Relationship Type="http://schemas.openxmlformats.org/officeDocument/2006/relationships/hyperlink" Target="https://govt.westlaw.com/calregs/Document/IE593D1B08F6A11EFB9318C1AAFF1F14B?viewType=FullText&amp;originationContext=documenttoc&amp;transitionType=CategoryPageItem&amp;contextData=(sc.Default)" TargetMode="External" Id="rId114" /><Relationship Type="http://schemas.openxmlformats.org/officeDocument/2006/relationships/hyperlink" Target="https://www.insurance.ca.gov/01-consumers/150-other-prog/01-intervenor/index.cfm" TargetMode="External" Id="rId275" /><Relationship Type="http://schemas.openxmlformats.org/officeDocument/2006/relationships/hyperlink" Target="https://www.insurancejournal.com/news/southeast/2005/04/21/54129.htm" TargetMode="External" Id="rId60" /><Relationship Type="http://schemas.openxmlformats.org/officeDocument/2006/relationships/hyperlink" Target="https://www.revisor.mn.gov/statutes/cite/65A.299" TargetMode="External" Id="rId81" /><Relationship Type="http://schemas.openxmlformats.org/officeDocument/2006/relationships/hyperlink" Target="https://leginfo.legislature.ca.gov/faces/billNavClient.xhtml?bill_id=201720180SB824" TargetMode="External" Id="rId135" /><Relationship Type="http://schemas.openxmlformats.org/officeDocument/2006/relationships/hyperlink" Target="https://www.insurance.ca.gov/01-consumers/105-type/95-guides/03-res/upload/FAQ-Safer-from-Wildfire-Regulation.pdf" TargetMode="External" Id="rId156" /><Relationship Type="http://schemas.openxmlformats.org/officeDocument/2006/relationships/hyperlink" Target="https://www.insurance.wa.gov/insurance-resources/home-insurance/insurance-natural-disasters/wildfires-and-homeowner-insurance" TargetMode="External" Id="rId177" /><Relationship Type="http://schemas.openxmlformats.org/officeDocument/2006/relationships/hyperlink" Target="https://www.floridadisaster.org/dem/mitigation/elevate-Florida/" TargetMode="External" Id="rId198" /><Relationship Type="http://schemas.openxmlformats.org/officeDocument/2006/relationships/hyperlink" Target="https://floridadep.gov/rcp/resilient-florida-program/content/resilient-florida-program-slip" TargetMode="External" Id="rId202" /><Relationship Type="http://schemas.openxmlformats.org/officeDocument/2006/relationships/hyperlink" Target="https://www.nicb.org/news/news-releases/mississippi-acts-protect-buyers-flood-flooded-vehicles" TargetMode="External" Id="rId223" /><Relationship Type="http://schemas.openxmlformats.org/officeDocument/2006/relationships/hyperlink" Target="https://calheatscore.calepa.ca.gov/" TargetMode="External" Id="rId244" /><Relationship Type="http://schemas.openxmlformats.org/officeDocument/2006/relationships/hyperlink" Target="https://floir.com/consumers/wind-mitigation-resources/" TargetMode="External" Id="rId18" /><Relationship Type="http://schemas.openxmlformats.org/officeDocument/2006/relationships/hyperlink" Target="https://www.msema.org/about/about-mema/mitigation/grant-funding/statewide-residential-safe-room-grant-program" TargetMode="External" Id="rId39" /><Relationship Type="http://schemas.openxmlformats.org/officeDocument/2006/relationships/hyperlink" Target="https://www.mid.ms.gov/mississippi-insurance-department/preparedness/mitigation/the-comprehensive-hurricane-damage-mitigation-program/" TargetMode="External" Id="rId265" /><Relationship Type="http://schemas.openxmlformats.org/officeDocument/2006/relationships/hyperlink" Target="https://consumeradvocacyforhealth.org/resource/disparities-in-insurance-access/" TargetMode="External" Id="rId286" /><Relationship Type="http://schemas.openxmlformats.org/officeDocument/2006/relationships/hyperlink" Target="https://www.mid.ms.gov/mississippi-insurance-department/preparedness/weather-disaster/" TargetMode="External" Id="rId50" /><Relationship Type="http://schemas.openxmlformats.org/officeDocument/2006/relationships/hyperlink" Target="https://www.msema.org/" TargetMode="External" Id="rId104" /><Relationship Type="http://schemas.openxmlformats.org/officeDocument/2006/relationships/hyperlink" Target="https://govt.westlaw.com/calregs/Document/I29B16510D99911EFB9A3C8E71143034D?viewType=FullText&amp;originationContext=documenttoc&amp;transitionType=CategoryPageItem&amp;contextData=(sc.Default)" TargetMode="External" Id="rId125" /><Relationship Type="http://schemas.openxmlformats.org/officeDocument/2006/relationships/hyperlink" Target="https://leginfo.legislature.ca.gov/faces/billTextClient.xhtml?bill_id=202120220SB852" TargetMode="External" Id="rId146" /><Relationship Type="http://schemas.openxmlformats.org/officeDocument/2006/relationships/hyperlink" Target="https://www.insurance.wa.gov/laws-rules/legislation-and-rulemaking/legislative-committees-and-work-groups/wildfire-mitigation-and-resiliency-standards-work-group" TargetMode="External" Id="rId167" /><Relationship Type="http://schemas.openxmlformats.org/officeDocument/2006/relationships/hyperlink" Target="https://www.crmp.org/our-seismic-retrofit-programs/the-retrofits/ebb-retrofit" TargetMode="External" Id="rId188" /><Relationship Type="http://schemas.openxmlformats.org/officeDocument/2006/relationships/hyperlink" Target="https://www.oid.ok.gov/podcast/" TargetMode="External" Id="rId71" /><Relationship Type="http://schemas.openxmlformats.org/officeDocument/2006/relationships/hyperlink" Target="https://www.mid.ms.gov/wp-content/uploads/2023/12/Pressrel121923.pdf" TargetMode="External" Id="rId92" /><Relationship Type="http://schemas.openxmlformats.org/officeDocument/2006/relationships/hyperlink" Target="https://www.wlox.com/2025/11/13/gulf-coast-states-joining-stand-against-insurance-rate-hikes/" TargetMode="External" Id="rId213" /><Relationship Type="http://schemas.openxmlformats.org/officeDocument/2006/relationships/hyperlink" Target="https://leginfo.legislature.ca.gov/faces/codes_displayText.xhtml?lawCode=GOV&amp;division=6.&amp;title=6.&amp;part=&amp;chapter=&amp;article=" TargetMode="External" Id="rId234" /><Relationship Type="http://schemas.openxmlformats.org/officeDocument/2006/relationships/customXml" Target="../customXml/item2.xml" Id="rId2" /><Relationship Type="http://schemas.openxmlformats.org/officeDocument/2006/relationships/hyperlink" Target="https://floir.com/docs-sf/property-casualty-libraries/product-review/all-forms/oir-b1-1700.xls?sfvrsn=c8417a9f_2" TargetMode="External" Id="rId29" /><Relationship Type="http://schemas.openxmlformats.org/officeDocument/2006/relationships/hyperlink" Target="https://www.marshmclennan.com/web-assets/insights/publications/2022/november/Race%20to%20Reslience%20Report_COP27%20FINAL.pdf" TargetMode="External" Id="rId255" /><Relationship Type="http://schemas.openxmlformats.org/officeDocument/2006/relationships/hyperlink" Target="https://www.insurance.ca.gov/0400-news/0100-press-releases/2024/release037-2024.cfm" TargetMode="External" Id="rId276" /><Relationship Type="http://schemas.openxmlformats.org/officeDocument/2006/relationships/hyperlink" Target="https://www.wlox.com/2024/05/23/state-leaders-discuss-hurricane-mitigation-program-during-extreme-wind-conference/" TargetMode="External" Id="rId40" /><Relationship Type="http://schemas.openxmlformats.org/officeDocument/2006/relationships/hyperlink" Target="https://govt.westlaw.com/calregs/Document/ID663BA208F6A11EFBD72D926767C8300?viewType=FullText&amp;originationContext=documenttoc&amp;transitionType=CategoryPageItem&amp;contextData=(sc.Default)" TargetMode="External" Id="rId115" /><Relationship Type="http://schemas.openxmlformats.org/officeDocument/2006/relationships/hyperlink" Target="https://leginfo.legislature.ca.gov/faces/billNavClient.xhtml?bill_id=201920200SB190" TargetMode="External" Id="rId136" /><Relationship Type="http://schemas.openxmlformats.org/officeDocument/2006/relationships/hyperlink" Target="https://interactive.web.insurance.ca.gov/apex_extprd/f?p=400:50" TargetMode="External" Id="rId157" /><Relationship Type="http://schemas.openxmlformats.org/officeDocument/2006/relationships/hyperlink" Target="https://laist.com/news/kpcc-archive/what-does-it-take-to-map-an-earthquake-fault" TargetMode="External" Id="rId178" /><Relationship Type="http://schemas.openxmlformats.org/officeDocument/2006/relationships/hyperlink" Target="https://www.colodnyfass.com/blog/alabama-governor-bentley-releases-affordable-homeowners-insurance-commission-report/" TargetMode="External" Id="rId61" /><Relationship Type="http://schemas.openxmlformats.org/officeDocument/2006/relationships/hyperlink" Target="https://mn.gov/commerce/energy/consumer/energy-programs/strengthen-mn-homes.jsp" TargetMode="External" Id="rId82" /><Relationship Type="http://schemas.openxmlformats.org/officeDocument/2006/relationships/hyperlink" Target="https://floir.gov/property-casualty/flood-insurance" TargetMode="External" Id="rId199" /><Relationship Type="http://schemas.openxmlformats.org/officeDocument/2006/relationships/hyperlink" Target="https://www.floridadisaster.org/dem/mitigation/flood-mitigation-assistance-program/" TargetMode="External" Id="rId203" /><Relationship Type="http://schemas.openxmlformats.org/officeDocument/2006/relationships/hyperlink" Target="https://fhcf.sbafla.com/about-the-fhcf/" TargetMode="External" Id="rId19" /><Relationship Type="http://schemas.openxmlformats.org/officeDocument/2006/relationships/hyperlink" Target="https://billstatus.ls.state.ms.us/documents/2018/pdf/SB/2200-2299/SB2277SG.pdf" TargetMode="External" Id="rId224" /><Relationship Type="http://schemas.openxmlformats.org/officeDocument/2006/relationships/hyperlink" Target="https://leginfo.legislature.ca.gov/faces/billNavClient.xhtml?bill_id=202120220AB2238" TargetMode="External" Id="rId245" /><Relationship Type="http://schemas.openxmlformats.org/officeDocument/2006/relationships/hyperlink" Target="https://billstatus.ls.state.ms.us/documents/2024/pdf/SB/2100-2199/SB2130SG.pdf" TargetMode="External" Id="rId266" /><Relationship Type="http://schemas.openxmlformats.org/officeDocument/2006/relationships/hyperlink" Target="https://content.naic.org/sites/default/files/inline-files/Financial%20Wellness%20Resource%20Guide_FINAL.pdf" TargetMode="External" Id="rId287" /><Relationship Type="http://schemas.openxmlformats.org/officeDocument/2006/relationships/hyperlink" Target="https://floir.com/docs-sf/default-source/property-and-casualty/oir-b1-1655.pdf?sfvrsn=935a74bb_2" TargetMode="External" Id="rId30" /><Relationship Type="http://schemas.openxmlformats.org/officeDocument/2006/relationships/hyperlink" Target="https://www.fema.gov/grants/mitigation" TargetMode="External" Id="rId105" /><Relationship Type="http://schemas.openxmlformats.org/officeDocument/2006/relationships/hyperlink" Target="https://govt.westlaw.com/calregs/Document/ID028065062FC11F0B60FC01779096CAF?viewType=FullText&amp;originationContext=documenttoc&amp;transitionType=CategoryPageItem&amp;contextData=(sc.Default)" TargetMode="External" Id="rId126" /><Relationship Type="http://schemas.openxmlformats.org/officeDocument/2006/relationships/hyperlink" Target="https://leginfo.legislature.ca.gov/faces/codes_displayText.xhtml?lawCode=GOV&amp;division=6.&amp;title=6.&amp;part=&amp;chapter=&amp;article=" TargetMode="External" Id="rId147" /><Relationship Type="http://schemas.openxmlformats.org/officeDocument/2006/relationships/hyperlink" Target="https://app.leg.wa.gov/billsummary/?BillNumber=1539&amp;Year=2025&amp;Initiative=false" TargetMode="External" Id="rId168" /><Relationship Type="http://schemas.openxmlformats.org/officeDocument/2006/relationships/hyperlink" Target="https://windnetwork.com/" TargetMode="External" Id="rId51" /><Relationship Type="http://schemas.openxmlformats.org/officeDocument/2006/relationships/hyperlink" Target="https://oklahoma.gov/oem.html" TargetMode="External" Id="rId72" /><Relationship Type="http://schemas.openxmlformats.org/officeDocument/2006/relationships/hyperlink" Target="https://www.mid.ms.gov/wp-content/uploads/2024/01/Pressrel090523.pdf" TargetMode="External" Id="rId93" /><Relationship Type="http://schemas.openxmlformats.org/officeDocument/2006/relationships/hyperlink" Target="https://www.californiaresidentialmitigationprogram.com/do-i-need-a-retrofit/other-financial-assistance-options" TargetMode="External" Id="rId189" /><Relationship Type="http://schemas.openxmlformats.org/officeDocument/2006/relationships/customXml" Target="../customXml/item3.xml" Id="rId3" /><Relationship Type="http://schemas.openxmlformats.org/officeDocument/2006/relationships/hyperlink" Target="https://www.wxxv25.com/local-leaders-discuss-response-plans-at-annual-disaster-leadership-conference/" TargetMode="External" Id="rId214" /><Relationship Type="http://schemas.openxmlformats.org/officeDocument/2006/relationships/hyperlink" Target="https://leginfo.legislature.ca.gov/faces/codes_displaySection.xhtml?sectionNum=30985&amp;lawCode=PRC" TargetMode="External" Id="rId235" /><Relationship Type="http://schemas.openxmlformats.org/officeDocument/2006/relationships/hyperlink" Target="https://inclusiveaction.org/press-release/groundbreaking-south-north-initiative-to-bring-heat-insurance-direct-cash-support-and-resilience-to-heat-exposed-outdoor-workers-of-los-angeles/" TargetMode="External" Id="rId256" /><Relationship Type="http://schemas.openxmlformats.org/officeDocument/2006/relationships/hyperlink" Target="https://www.insurance.ca.gov/0400-news/0100-press-releases/2024/release035-2024.cfm" TargetMode="External" Id="rId277" /><Relationship Type="http://schemas.openxmlformats.org/officeDocument/2006/relationships/hyperlink" Target="https://govt.westlaw.com/calregs/Document/IE5518280BD1211EF9A30ABD762E92752?viewType=FullText&amp;originationContext=documenttoc&amp;transitionType=CategoryPageItem&amp;contextData=(sc.Default)" TargetMode="External" Id="rId116" /><Relationship Type="http://schemas.openxmlformats.org/officeDocument/2006/relationships/hyperlink" Target="https://leginfo.legislature.ca.gov/faces/billNavClient.xhtml?bill_id=202120220SB11" TargetMode="External" Id="rId137" /><Relationship Type="http://schemas.openxmlformats.org/officeDocument/2006/relationships/hyperlink" Target="https://www.insurance.ca.gov/01-consumers/180-climate-change/catmodelgroup.cfm" TargetMode="External" Id="rId158" /><Relationship Type="http://schemas.openxmlformats.org/officeDocument/2006/relationships/hyperlink" Target="https://fhcf.sbafla.com/" TargetMode="External" Id="rId20" /><Relationship Type="http://schemas.openxmlformats.org/officeDocument/2006/relationships/hyperlink" Target="https://www.wlox.com/2025/11/13/gulf-coast-states-joining-stand-against-insurance-rate-hikes/" TargetMode="External" Id="rId41" /><Relationship Type="http://schemas.openxmlformats.org/officeDocument/2006/relationships/hyperlink" Target="https://crir.culverhouse.ua.edu/" TargetMode="External" Id="rId62" /><Relationship Type="http://schemas.openxmlformats.org/officeDocument/2006/relationships/hyperlink" Target="https://www.revisor.mn.gov/statutes/cite/65A.298" TargetMode="External" Id="rId83" /><Relationship Type="http://schemas.openxmlformats.org/officeDocument/2006/relationships/hyperlink" Target="https://wgcep.org/UCERF3.html" TargetMode="External" Id="rId179" /><Relationship Type="http://schemas.openxmlformats.org/officeDocument/2006/relationships/hyperlink" Target="https://www.earthquakeauthority.com/prepare-your-house-earthquake-risk/structural-risks" TargetMode="External" Id="rId190" /><Relationship Type="http://schemas.openxmlformats.org/officeDocument/2006/relationships/hyperlink" Target="https://dcp.ufl.edu/fiber/resources/" TargetMode="External" Id="rId204" /><Relationship Type="http://schemas.openxmlformats.org/officeDocument/2006/relationships/hyperlink" Target="https://www.insurance.ca.gov/01-consumers/180-climate-change/upload/Catastrophe-Modeling-and-Ratemaking-Final-Text-of-Regulation.PDF" TargetMode="External" Id="rId225" /><Relationship Type="http://schemas.openxmlformats.org/officeDocument/2006/relationships/hyperlink" Target="https://leginfo.legislature.ca.gov/faces/codes_displaySection.xhtml?sectionNum=71410&amp;lawCode=PRC" TargetMode="External" Id="rId246" /><Relationship Type="http://schemas.openxmlformats.org/officeDocument/2006/relationships/hyperlink" Target="https://law.justia.com/codes/mississippi/title-83/chapter-75/section-83-75-3/" TargetMode="External" Id="rId267" /><Relationship Type="http://schemas.openxmlformats.org/officeDocument/2006/relationships/header" Target="header1.xml" Id="rId288" /><Relationship Type="http://schemas.openxmlformats.org/officeDocument/2006/relationships/hyperlink" Target="https://www.smarthomeamerica.org/resources/mississippi" TargetMode="External" Id="rId106" /><Relationship Type="http://schemas.openxmlformats.org/officeDocument/2006/relationships/hyperlink" Target="https://govt.westlaw.com/calregs/Document/I0C3EA330D99911EFA0F5AFC148DB63EB?viewType=FullText&amp;originationContext=documenttoc&amp;transitionType=CategoryPageItem&amp;contextData=(sc.Default)" TargetMode="External" Id="rId127" /><Relationship Type="http://schemas.openxmlformats.org/officeDocument/2006/relationships/endnotes" Target="endnotes.xml" Id="rId10" /><Relationship Type="http://schemas.openxmlformats.org/officeDocument/2006/relationships/hyperlink" Target="https://www.myfloridacfo.com/division/ica/consumeroutreach" TargetMode="External" Id="rId31" /><Relationship Type="http://schemas.openxmlformats.org/officeDocument/2006/relationships/hyperlink" Target="https://aldoi.gov/PDF/News/PerformanceIBHSFortifiedHomeConstructionHurricaneSally.pdf" TargetMode="External" Id="rId52" /><Relationship Type="http://schemas.openxmlformats.org/officeDocument/2006/relationships/hyperlink" Target="https://www.minneapolisfed.org/article/2025/rising-property-insurance-costs-stress-multifamily-housing" TargetMode="External" Id="rId73" /><Relationship Type="http://schemas.openxmlformats.org/officeDocument/2006/relationships/hyperlink" Target="https://www.mid.ms.gov/wp-content/uploads/2024/01/Pressrel062223.pdf" TargetMode="External" Id="rId94" /><Relationship Type="http://schemas.openxmlformats.org/officeDocument/2006/relationships/hyperlink" Target="https://leginfo.legislature.ca.gov/faces/billNavClient.xhtml?bill_id=201720180SB30" TargetMode="External" Id="rId148" /><Relationship Type="http://schemas.openxmlformats.org/officeDocument/2006/relationships/hyperlink" Target="https://www.insurance.wa.gov/laws-rules/legislation-and-rulemaking/legislative-committees-and-work-groups/wildfire-mitigation-and-resiliency-standards-work-group" TargetMode="External" Id="rId169" /><Relationship Type="http://schemas.openxmlformats.org/officeDocument/2006/relationships/customXml" Target="../customXml/item4.xml" Id="rId4" /><Relationship Type="http://schemas.openxmlformats.org/officeDocument/2006/relationships/hyperlink" Target="https://leginfo.legislature.ca.gov/faces/codes_displaySection.xhtml?sectionNum=10081&amp;lawCode=INS" TargetMode="External" Id="rId180" /><Relationship Type="http://schemas.openxmlformats.org/officeDocument/2006/relationships/hyperlink" Target="https://magnoliatribune.com/2025/11/11/mississippi-hosting-disaster-leadership-conference-in-biloxi/" TargetMode="External" Id="rId215" /><Relationship Type="http://schemas.openxmlformats.org/officeDocument/2006/relationships/hyperlink" Target="https://www.insurance.ca.gov/01-consumers/105-type/95-guides/upload/Climate-Action-Guide-Full-10-pg.pdf" TargetMode="External" Id="rId236" /><Relationship Type="http://schemas.openxmlformats.org/officeDocument/2006/relationships/hyperlink" Target="https://www.npr.org/sections/goats-and-soda/2025/07/16/g-s1-76948/hot-temperatures-insurance-gig-workers-india" TargetMode="External" Id="rId257" /><Relationship Type="http://schemas.openxmlformats.org/officeDocument/2006/relationships/hyperlink" Target="https://www.insurance.ca.gov/0400-news/0100-press-releases/2024/release062-2024.cfm" TargetMode="External" Id="rId278" /><Relationship Type="http://schemas.openxmlformats.org/officeDocument/2006/relationships/hyperlink" Target="https://www.wxxv25.com/local-leaders-discuss-response-plans-at-annual-disaster-leadership-conference/" TargetMode="External" Id="rId42" /><Relationship Type="http://schemas.openxmlformats.org/officeDocument/2006/relationships/hyperlink" Target="https://billstatus.ls.state.ms.us/documents/2015/html/HB/0700-0799/HB0739SG.htm" TargetMode="External" Id="rId84" /><Relationship Type="http://schemas.openxmlformats.org/officeDocument/2006/relationships/hyperlink" Target="https://leginfo.legislature.ca.gov/faces/billNavClient.xhtml?bill_id=202120220SB332" TargetMode="External" Id="rId138" /><Relationship Type="http://schemas.openxmlformats.org/officeDocument/2006/relationships/hyperlink" Target="https://www.earthquakecountry.org/step1/" TargetMode="External" Id="rId191" /><Relationship Type="http://schemas.openxmlformats.org/officeDocument/2006/relationships/hyperlink" Target="https://climate.state.mn.us/minnesotas-climate-action-framework" TargetMode="External" Id="rId205" /><Relationship Type="http://schemas.openxmlformats.org/officeDocument/2006/relationships/hyperlink" Target="https://www.insurance.ca.gov/cci/" TargetMode="External" Id="rId247" /><Relationship Type="http://schemas.openxmlformats.org/officeDocument/2006/relationships/hyperlink" Target="https://www.smarthomeamerica.org/assets/uploads/SHA_Coastal_Construction_Code_Supplement_2021_Version_Final.pdf" TargetMode="External" Id="rId107" /><Relationship Type="http://schemas.openxmlformats.org/officeDocument/2006/relationships/header" Target="header2.xml" Id="rId289" /><Relationship Type="http://schemas.openxmlformats.org/officeDocument/2006/relationships/image" Target="media/image1.png" Id="rId11" /><Relationship Type="http://schemas.openxmlformats.org/officeDocument/2006/relationships/hyperlink" Target="https://www.aldoi.gov/currentnewsitem.aspx?ID=1321" TargetMode="External" Id="rId53" /><Relationship Type="http://schemas.openxmlformats.org/officeDocument/2006/relationships/hyperlink" Target="https://leginfo.legislature.ca.gov/faces/codes_displaySection.xhtml?sectionNum=12922.5&amp;lawCode=INS" TargetMode="External" Id="rId149" /><Relationship Type="http://schemas.openxmlformats.org/officeDocument/2006/relationships/hyperlink" Target="https://www.mid.ms.gov/wp-content/uploads/2024/01/Pressrel053123.pdf" TargetMode="External" Id="rId95" /><Relationship Type="http://schemas.openxmlformats.org/officeDocument/2006/relationships/hyperlink" Target="https://content.naic.org/committees/ex/climate-resiliency-tf" TargetMode="External" Id="rId160" /><Relationship Type="http://schemas.openxmlformats.org/officeDocument/2006/relationships/hyperlink" Target="https://www.mvd.usace.army.mil/About/Mississippi-River-Commission-MRC/" TargetMode="External" Id="rId216" /><Relationship Type="http://schemas.openxmlformats.org/officeDocument/2006/relationships/hyperlink" Target="https://www.insurance.ca.gov/01-consumers/105-type/95-guides/upload/Urban-Forest-Insurance.pdf" TargetMode="External" Id="rId258" /><Relationship Type="http://schemas.openxmlformats.org/officeDocument/2006/relationships/hyperlink" Target="https://www.leg.state.fl.us/STATUTES/index.cfm/index.cfm?App_mode=Display_Statute&amp;Search_String=&amp;URL=0600-0699/0627/Sections/0627.06281.html" TargetMode="External" Id="rId22" /><Relationship Type="http://schemas.openxmlformats.org/officeDocument/2006/relationships/hyperlink" Target="https://journals.ametsoc.org/view/journals/wcas/7/2/wcas-d-14-00032_1.xml" TargetMode="External" Id="rId64" /><Relationship Type="http://schemas.openxmlformats.org/officeDocument/2006/relationships/hyperlink" Target="https://govt.westlaw.com/calregs/Document/I1E7A1400BD1311EF8CA7FB0F0C0C2DC2?viewType=FullText&amp;originationContext=documenttoc&amp;transitionType=CategoryPageItem&amp;contextData=(sc.Default)" TargetMode="External" Id="rId118" /><Relationship Type="http://schemas.openxmlformats.org/officeDocument/2006/relationships/hyperlink" Target="https://dnr.wa.gov/wildfire-resources/wildfire-prevention/wildland-fire-protection-strategic-plan" TargetMode="External" Id="rId171" /><Relationship Type="http://schemas.openxmlformats.org/officeDocument/2006/relationships/hyperlink" Target="https://govt.westlaw.com/calregs/Document/IE61E4860BD1211EF9A30ABD762E92752?viewType=FullText&amp;originationContext=documenttoc&amp;transitionType=CategoryPageItem&amp;contextData=(sc.Default)" TargetMode="External" Id="rId227" /><Relationship Type="http://schemas.openxmlformats.org/officeDocument/2006/relationships/hyperlink" Target="https://law.justia.com/codes/mississippi/title-17/chapter-2/section-17-2-4/" TargetMode="External" Id="rId26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documents1.worldbank.org/curated/en/290301468159328458/pdf/528390PUB0safe101Official0Use0Only1.pdf" TargetMode="External"/><Relationship Id="rId21" Type="http://schemas.openxmlformats.org/officeDocument/2006/relationships/hyperlink" Target="https://risk.lexisnexis.com/insights-resources/white-paper/home-consumer-research-study?trmid=INSHME24.MrktRsrch.HmeConsStd.WSLN-1318612" TargetMode="External"/><Relationship Id="rId42" Type="http://schemas.openxmlformats.org/officeDocument/2006/relationships/hyperlink" Target="https://doi.org/10.1108/JFMPC-07-2019-0063" TargetMode="External"/><Relationship Id="rId47" Type="http://schemas.openxmlformats.org/officeDocument/2006/relationships/hyperlink" Target="https://ibhs1.wpenginepowered.com/wp-content/uploads/RTS_2024_v2.pdf" TargetMode="External"/><Relationship Id="rId63" Type="http://schemas.openxmlformats.org/officeDocument/2006/relationships/hyperlink" Target="https://www.swissre.com/institute/research/sigma-research/sigma-2025-01-natural-catastrophes-trend.html" TargetMode="External"/><Relationship Id="rId68" Type="http://schemas.openxmlformats.org/officeDocument/2006/relationships/hyperlink" Target="https://cdola.colorado.gov/prop123" TargetMode="External"/><Relationship Id="rId84" Type="http://schemas.openxmlformats.org/officeDocument/2006/relationships/hyperlink" Target="https://www.forbes.com/sites/jamiegold/2025/06/03/wildfire-prepared-neighborhood-offers-resilience-insurance-benefits/" TargetMode="External"/><Relationship Id="rId89" Type="http://schemas.openxmlformats.org/officeDocument/2006/relationships/hyperlink" Target="https://portal.ct.gov/cid/-/media/cid/1_consumerresources/resiliency-advisory-council-commissioner-report-feb-2025.pdf?rev=09e4cd31fb4b4e9db476abbc8413fc1d&amp;hash=4BA49A33FF0360D5138A0C6634C88B8F" TargetMode="External"/><Relationship Id="rId16" Type="http://schemas.openxmlformats.org/officeDocument/2006/relationships/hyperlink" Target="https://www.theguardian.com/news/datablog/2025/feb/15/california-wildfire-building-risk" TargetMode="External"/><Relationship Id="rId11" Type="http://schemas.openxmlformats.org/officeDocument/2006/relationships/hyperlink" Target="https://www.climate.gov/news-features/understanding-climate/climate-change-global-sea-level" TargetMode="External"/><Relationship Id="rId32" Type="http://schemas.openxmlformats.org/officeDocument/2006/relationships/hyperlink" Target="https://law.pepperdine.edu/surf-report/posts/effect-inflation-supply-chain-disruption-labor-shortages-real-estate-development-justin-wong.htm" TargetMode="External"/><Relationship Id="rId37" Type="http://schemas.openxmlformats.org/officeDocument/2006/relationships/hyperlink" Target="https://economics.princeton.edu/wp-content/uploads/2022/06/cox_steel_20220601.pdf" TargetMode="External"/><Relationship Id="rId53" Type="http://schemas.openxmlformats.org/officeDocument/2006/relationships/hyperlink" Target="https://www.iii.org/sites/default/files/docs/pdf/aobfl_wp_031319.pdf" TargetMode="External"/><Relationship Id="rId58" Type="http://schemas.openxmlformats.org/officeDocument/2006/relationships/hyperlink" Target="https://www.worldpropertyjournal.com/real-estate-news/united-states/miami-real-estate-news/real-estate-news-florida-housing-market-problems-in-2025-cotality-florida-housing-market-data-selma-hepp-is-florida-becoming-the-next-california-flori-14426.php" TargetMode="External"/><Relationship Id="rId74" Type="http://schemas.openxmlformats.org/officeDocument/2006/relationships/hyperlink" Target="https://coloradosun.com/2025/07/14/colorado-fair-plan-applications-launch/" TargetMode="External"/><Relationship Id="rId79" Type="http://schemas.openxmlformats.org/officeDocument/2006/relationships/hyperlink" Target="https://www.house.mn.gov/hrd/pubs/ss/sscontfund.pdf" TargetMode="External"/><Relationship Id="rId102" Type="http://schemas.openxmlformats.org/officeDocument/2006/relationships/hyperlink" Target="https://www.financialeducatorscouncil.org/wp-content/uploads/Educational-Methodologies-of-Personal-Finance.pdf" TargetMode="External"/><Relationship Id="rId5" Type="http://schemas.openxmlformats.org/officeDocument/2006/relationships/hyperlink" Target="https://www.nber.org/digest/202410/disaster-risk-and-rising-home-insurance-premiums?page=1&amp;perPage=50" TargetMode="External"/><Relationship Id="rId90" Type="http://schemas.openxmlformats.org/officeDocument/2006/relationships/hyperlink" Target="https://fphlm.cs.fiu.edu/" TargetMode="External"/><Relationship Id="rId95" Type="http://schemas.openxmlformats.org/officeDocument/2006/relationships/hyperlink" Target="https://iee.psu.edu/news/blog/californias-wildfire-crisis-expert-insights-causes-spread-and-solutions" TargetMode="External"/><Relationship Id="rId22" Type="http://schemas.openxmlformats.org/officeDocument/2006/relationships/hyperlink" Target="https://www.prnewswire.com/news-releases/lexisnexis-risk-solutions-releases-new-study-on-us-homeowner-insurance-preferences-and-behaviors-302260017.html" TargetMode="External"/><Relationship Id="rId27" Type="http://schemas.openxmlformats.org/officeDocument/2006/relationships/hyperlink" Target="https://www.rsmeans.com/resources/how-does-location-affect-cost-of-construction-projects" TargetMode="External"/><Relationship Id="rId43" Type="http://schemas.openxmlformats.org/officeDocument/2006/relationships/hyperlink" Target="https://www.nahb.org/-/media/NAHB/advocacy/docs/top-priorities/codes/code-adoption/estimated-costs-of-2024-irc-changes.pdf" TargetMode="External"/><Relationship Id="rId48" Type="http://schemas.openxmlformats.org/officeDocument/2006/relationships/hyperlink" Target="https://files.hudexchange.info/resources/documents/Resilient-Building-Codes-Narrative.pdf" TargetMode="External"/><Relationship Id="rId64" Type="http://schemas.openxmlformats.org/officeDocument/2006/relationships/hyperlink" Target="https://storymaps.arcgis.com/stories/6b2050a0ded0498c863ce30d73460c9e" TargetMode="External"/><Relationship Id="rId69" Type="http://schemas.openxmlformats.org/officeDocument/2006/relationships/hyperlink" Target="https://www.milliman.com/en/insight/how-tort-reforms-shaping-insurance-claims-florida-georgia" TargetMode="External"/><Relationship Id="rId80" Type="http://schemas.openxmlformats.org/officeDocument/2006/relationships/hyperlink" Target="https://www.lrl.mn.gov/docs/2025/mandated/250224.pdf" TargetMode="External"/><Relationship Id="rId85" Type="http://schemas.openxmlformats.org/officeDocument/2006/relationships/hyperlink" Target="https://www.smarthomeamerica.org/our-work/research-and-projects" TargetMode="External"/><Relationship Id="rId12" Type="http://schemas.openxmlformats.org/officeDocument/2006/relationships/hyperlink" Target="https://consumerfed.org/wp-content/uploads/2025/03/OverburdenedReport.pdf" TargetMode="External"/><Relationship Id="rId17" Type="http://schemas.openxmlformats.org/officeDocument/2006/relationships/hyperlink" Target="https://doi.org/10.1038/s44168-025-00231-8" TargetMode="External"/><Relationship Id="rId25" Type="http://schemas.openxmlformats.org/officeDocument/2006/relationships/hyperlink" Target="https://content.naic.org/article/consumer-insight-understanding-your-homeowners-or-renters-policy" TargetMode="External"/><Relationship Id="rId33" Type="http://schemas.openxmlformats.org/officeDocument/2006/relationships/hyperlink" Target="https://www.nahb.org/blog/2024/07/how-soaring-prices-building-materials-impact-housing" TargetMode="External"/><Relationship Id="rId38" Type="http://schemas.openxmlformats.org/officeDocument/2006/relationships/hyperlink" Target="https://www.insurancethoughtleadership.com/personal-lines/tariffs-drive-homeowners-insurance-costs" TargetMode="External"/><Relationship Id="rId46" Type="http://schemas.openxmlformats.org/officeDocument/2006/relationships/hyperlink" Target="https://nibs.org/wp-content/uploads/2025/04/NIBS_MMC_MitigationSaves_2019.pdf" TargetMode="External"/><Relationship Id="rId59" Type="http://schemas.openxmlformats.org/officeDocument/2006/relationships/hyperlink" Target="https://www.hawaiibusiness.com/hawaii-condo-insurance-market-challenges-crisis/" TargetMode="External"/><Relationship Id="rId67" Type="http://schemas.openxmlformats.org/officeDocument/2006/relationships/hyperlink" Target="https://content.naic.org/insurance-topics/fair-access-to-insurance-requirements-plans" TargetMode="External"/><Relationship Id="rId20" Type="http://schemas.openxmlformats.org/officeDocument/2006/relationships/hyperlink" Target="https://www.fema.gov/flood-maps/products-tools/hazus" TargetMode="External"/><Relationship Id="rId41" Type="http://schemas.openxmlformats.org/officeDocument/2006/relationships/hyperlink" Target="https://www.cushmanwakefield.com/en/united-states/insights/commodities-volatility" TargetMode="External"/><Relationship Id="rId54" Type="http://schemas.openxmlformats.org/officeDocument/2006/relationships/hyperlink" Target="https://floir.gov/docs-sf/default-source/property-and-casualty/assignmentbenefitsdatacallreport02082016.pdf" TargetMode="External"/><Relationship Id="rId62" Type="http://schemas.openxmlformats.org/officeDocument/2006/relationships/hyperlink" Target="https://content.naic.org/sites/default/files/publication-hmr-zu-homeowners-report.pdf" TargetMode="External"/><Relationship Id="rId70" Type="http://schemas.openxmlformats.org/officeDocument/2006/relationships/hyperlink" Target="https://www.flhouse.gov/Sections/Documents/loaddoc.aspx?FileName=_h0837er.docx&amp;DocumentType=Bill&amp;BillNumber=837&amp;Session=2023" TargetMode="External"/><Relationship Id="rId75" Type="http://schemas.openxmlformats.org/officeDocument/2006/relationships/hyperlink" Target="https://strengthenyourroof.com/Home/NCIUA" TargetMode="External"/><Relationship Id="rId83" Type="http://schemas.openxmlformats.org/officeDocument/2006/relationships/hyperlink" Target="https://www.postbulletin.com/news/local/new-minnesota-law-incentivizes-construction-that-stands-up-to-climate-change" TargetMode="External"/><Relationship Id="rId88" Type="http://schemas.openxmlformats.org/officeDocument/2006/relationships/hyperlink" Target="https://portal.ct.gov/cid/ct-severe-weather-resiliency-council?language=en_US" TargetMode="External"/><Relationship Id="rId91" Type="http://schemas.openxmlformats.org/officeDocument/2006/relationships/hyperlink" Target="https://fphlm.cs.fiu.edu/docs/FPHLM_05_02_2014.pdf" TargetMode="External"/><Relationship Id="rId96" Type="http://schemas.openxmlformats.org/officeDocument/2006/relationships/hyperlink" Target="https://papers.ssrn.com/sol3/papers.cfm?abstract_id=5057551" TargetMode="External"/><Relationship Id="rId1" Type="http://schemas.openxmlformats.org/officeDocument/2006/relationships/hyperlink" Target="https://www.nber.org/people/benjamin_keys?page=1&amp;perPage=50" TargetMode="External"/><Relationship Id="rId6" Type="http://schemas.openxmlformats.org/officeDocument/2006/relationships/hyperlink" Target="https://www.reuters.com/world/us/us-property-catastrophe-reinsurance-rates-rise-up-50-july-1-report-2023-07-03/" TargetMode="External"/><Relationship Id="rId15" Type="http://schemas.openxmlformats.org/officeDocument/2006/relationships/hyperlink" Target="https://www.theguardian.com/news/datablog/2025/feb/15/california-wildfire-building-risk" TargetMode="External"/><Relationship Id="rId23" Type="http://schemas.openxmlformats.org/officeDocument/2006/relationships/hyperlink" Target="https://ulw.guardianservice.com/home-insurance/2025-consumer-insights-report/" TargetMode="External"/><Relationship Id="rId28" Type="http://schemas.openxmlformats.org/officeDocument/2006/relationships/hyperlink" Target="https://doi.org/10.3390/su16104235" TargetMode="External"/><Relationship Id="rId36" Type="http://schemas.openxmlformats.org/officeDocument/2006/relationships/hyperlink" Target="https://www.nahb.org/advocacy/top-priorities/building-materials-trade-policy/how-tariffs-impact-home-building" TargetMode="External"/><Relationship Id="rId49" Type="http://schemas.openxmlformats.org/officeDocument/2006/relationships/hyperlink" Target="https://aldoi.gov/PDF/News/PerformanceIBHSFortifiedHomeConstructionHurricaneSally.pdf" TargetMode="External"/><Relationship Id="rId57" Type="http://schemas.openxmlformats.org/officeDocument/2006/relationships/hyperlink" Target="https://programbusiness.com/news/minnesota-hoa-communities-grapple-with-soaring-property-insurance-costs/" TargetMode="External"/><Relationship Id="rId10" Type="http://schemas.openxmlformats.org/officeDocument/2006/relationships/hyperlink" Target="https://www.nytimes.com/2025/10/22/climate/trump-noaa-weather-tracking.html" TargetMode="External"/><Relationship Id="rId31" Type="http://schemas.openxmlformats.org/officeDocument/2006/relationships/hyperlink" Target="https://www.richmondfed.org/region_communities/regional_data_analysis/regional_matters/2024/rm_08_15_24_labor_shortages_rural_urban" TargetMode="External"/><Relationship Id="rId44" Type="http://schemas.openxmlformats.org/officeDocument/2006/relationships/hyperlink" Target="https://www.nahb.org/advocacy/top-priorities/building-codes/construction-codes-standards-research/estimated-costs-of-building-code-changes" TargetMode="External"/><Relationship Id="rId52" Type="http://schemas.openxmlformats.org/officeDocument/2006/relationships/hyperlink" Target="https://www.milliman.com/en/insight/how-tort-reforms-shaping-insurance-claims-florida-georgia" TargetMode="External"/><Relationship Id="rId60" Type="http://schemas.openxmlformats.org/officeDocument/2006/relationships/hyperlink" Target="https://www.summitdaily.com/news/summit-county-colorado-hoa-fees-increase-homeowner-insurance/" TargetMode="External"/><Relationship Id="rId65" Type="http://schemas.openxmlformats.org/officeDocument/2006/relationships/hyperlink" Target="https://uphelp.org/wp-content/uploads/2022/03/2020-CA-One-Year-Survey-Report.pdf" TargetMode="External"/><Relationship Id="rId73" Type="http://schemas.openxmlformats.org/officeDocument/2006/relationships/hyperlink" Target="https://www.coloradofairplan.com/" TargetMode="External"/><Relationship Id="rId78" Type="http://schemas.openxmlformats.org/officeDocument/2006/relationships/hyperlink" Target="https://www.earthquakeauthority.com/about-cea/cea-history" TargetMode="External"/><Relationship Id="rId81" Type="http://schemas.openxmlformats.org/officeDocument/2006/relationships/hyperlink" Target="https://uphelp.org/buying-tips/" TargetMode="External"/><Relationship Id="rId86" Type="http://schemas.openxmlformats.org/officeDocument/2006/relationships/hyperlink" Target="https://governor.alabama.gov/newsroom/2023/05/governor-ivey-signs-executive-order-to-establish-the-alabama-resilience-council/" TargetMode="External"/><Relationship Id="rId94" Type="http://schemas.openxmlformats.org/officeDocument/2006/relationships/hyperlink" Target="https://content.naic.org/research/catastrophe-modeling-center-of-excellence" TargetMode="External"/><Relationship Id="rId99" Type="http://schemas.openxmlformats.org/officeDocument/2006/relationships/hyperlink" Target="https://www.fema.gov/emergency-managers/risk-management/earthquake/insurance" TargetMode="External"/><Relationship Id="rId101" Type="http://schemas.openxmlformats.org/officeDocument/2006/relationships/hyperlink" Target="https://www.insurance.ca.gov/01-consumers/180-climate-change/upload/Impacts-of-extreme-heat-to-California-s-people-infrastructure-and-economy-by-California-Department-of-Insurance-June-2024.pdf" TargetMode="External"/><Relationship Id="rId4" Type="http://schemas.openxmlformats.org/officeDocument/2006/relationships/hyperlink" Target="https://www.nber.org/digest/202410/disaster-risk-and-rising-home-insurance-premiums?page=1&amp;perPage=50" TargetMode="External"/><Relationship Id="rId9" Type="http://schemas.openxmlformats.org/officeDocument/2006/relationships/hyperlink" Target="https://www.climate.gov/news-features/blogs/beyond-data/2024-active-year-us-billion-dollar-weather-and-climate-disasters" TargetMode="External"/><Relationship Id="rId13" Type="http://schemas.openxmlformats.org/officeDocument/2006/relationships/hyperlink" Target="https://www.deloitte.com/us/en/insights/industry/financial-services/financial-services-industry-outlooks/insurance-industry-outlook.html" TargetMode="External"/><Relationship Id="rId18" Type="http://schemas.openxmlformats.org/officeDocument/2006/relationships/hyperlink" Target="https://agents.floodsmart.gov/articles/brief-history-nfip" TargetMode="External"/><Relationship Id="rId39" Type="http://schemas.openxmlformats.org/officeDocument/2006/relationships/hyperlink" Target="https://doi.org/10.1007/s10479-023-05782-9" TargetMode="External"/><Relationship Id="rId34" Type="http://schemas.openxmlformats.org/officeDocument/2006/relationships/hyperlink" Target="https://www.nahb.org/blog/2024/07/how-soaring-prices-building-materials-impact-housing" TargetMode="External"/><Relationship Id="rId50" Type="http://schemas.openxmlformats.org/officeDocument/2006/relationships/hyperlink" Target="https://www.isomitigation.com/newsletter/summer-2014/the-role-of-building-codes-in-reducing-natural-disaster-property-losses-hailstorms-in-missouri/" TargetMode="External"/><Relationship Id="rId55" Type="http://schemas.openxmlformats.org/officeDocument/2006/relationships/hyperlink" Target="https://floir.gov/docs-sf/default-source/property-and-casualty/assignmentbenefitsdatacallreport02082017.pdf" TargetMode="External"/><Relationship Id="rId76" Type="http://schemas.openxmlformats.org/officeDocument/2006/relationships/hyperlink" Target="https://www.artemis.bm/news/nciuas-recent-catastrophe-bond-included-integrated-disaster-resilience-feature/" TargetMode="External"/><Relationship Id="rId97" Type="http://schemas.openxmlformats.org/officeDocument/2006/relationships/hyperlink" Target="https://www.conservation.ca.gov/cgs/earthquakes/loma-prieta" TargetMode="External"/><Relationship Id="rId7" Type="http://schemas.openxmlformats.org/officeDocument/2006/relationships/hyperlink" Target="https://www3.ambest.com/ambv/sales/bwpurchase.aspx?record_code=360432&amp;altsrc=" TargetMode="External"/><Relationship Id="rId71" Type="http://schemas.openxmlformats.org/officeDocument/2006/relationships/hyperlink" Target="https://content.naic.org/sites/default/files/inline-files/2025%20SpNM_CIPR_residual_property_markets%20to%20post.pdf" TargetMode="External"/><Relationship Id="rId92" Type="http://schemas.openxmlformats.org/officeDocument/2006/relationships/hyperlink" Target="https://leginfo.legislature.ca.gov/faces/billNavClient.xhtml?bill_id=202520260SB429" TargetMode="External"/><Relationship Id="rId2" Type="http://schemas.openxmlformats.org/officeDocument/2006/relationships/hyperlink" Target="https://www.nber.org/people/philip__mulder?page=1&amp;perPage=50" TargetMode="External"/><Relationship Id="rId29" Type="http://schemas.openxmlformats.org/officeDocument/2006/relationships/hyperlink" Target="https://www.agc.org/news/2022/08/31/construction-workforce-shortages-risk-undermining-infrastructure-projects-most-contractors-struggle-0" TargetMode="External"/><Relationship Id="rId24" Type="http://schemas.openxmlformats.org/officeDocument/2006/relationships/hyperlink" Target="https://www.consumerfinance.gov/ask-cfpb/what-is-homeowners-insurance-why-is-homeowners-insurance-required-en-162/" TargetMode="External"/><Relationship Id="rId40" Type="http://schemas.openxmlformats.org/officeDocument/2006/relationships/hyperlink" Target="https://www.cbre.com/insights/books/2022-us-construction-cost-trends/03-supply-chain-disruption" TargetMode="External"/><Relationship Id="rId45" Type="http://schemas.openxmlformats.org/officeDocument/2006/relationships/hyperlink" Target="https://doi.org/10.1061/AJRUA6.0000947" TargetMode="External"/><Relationship Id="rId66" Type="http://schemas.openxmlformats.org/officeDocument/2006/relationships/hyperlink" Target="https://www.rand.org/content/dam/rand/pubs/external_publications/EP60000/EP67670/RAND_EP67670.pdf" TargetMode="External"/><Relationship Id="rId87" Type="http://schemas.openxmlformats.org/officeDocument/2006/relationships/hyperlink" Target="https://www.safestrongal.com/" TargetMode="External"/><Relationship Id="rId61" Type="http://schemas.openxmlformats.org/officeDocument/2006/relationships/hyperlink" Target="https://hoaresources.caionline.org/hoas-report-big-challenges-with-rising-insurance-premiums/" TargetMode="External"/><Relationship Id="rId82" Type="http://schemas.openxmlformats.org/officeDocument/2006/relationships/hyperlink" Target="https://flash.org/wp-content/uploads/1/2024/03/2-20-24-Resilience-Playbook.pdf" TargetMode="External"/><Relationship Id="rId19" Type="http://schemas.openxmlformats.org/officeDocument/2006/relationships/hyperlink" Target="https://lailluminator.com/2025/12/04/trump-climate-insurance/" TargetMode="External"/><Relationship Id="rId14" Type="http://schemas.openxmlformats.org/officeDocument/2006/relationships/hyperlink" Target="https://www.redfin.com/news/homes-built-disaster-prone-areas/" TargetMode="External"/><Relationship Id="rId30" Type="http://schemas.openxmlformats.org/officeDocument/2006/relationships/hyperlink" Target="https://hbi.org/wp-content/uploads/2025/05/HBI-Denver-Study.pdf" TargetMode="External"/><Relationship Id="rId35" Type="http://schemas.openxmlformats.org/officeDocument/2006/relationships/hyperlink" Target="https://yieldpro.com/2025/12/construction-materials-prices-rise-despite-lumber-price-drop/" TargetMode="External"/><Relationship Id="rId56" Type="http://schemas.openxmlformats.org/officeDocument/2006/relationships/hyperlink" Target="https://naic.soutronglobal.net/Portal/Public/en-us/RecordView/Index/26576" TargetMode="External"/><Relationship Id="rId77" Type="http://schemas.openxmlformats.org/officeDocument/2006/relationships/hyperlink" Target="https://fhcf.sbafla.com/media/kfuhfqjv/2024-sba-catf-annual-report-final.pdf" TargetMode="External"/><Relationship Id="rId100" Type="http://schemas.openxmlformats.org/officeDocument/2006/relationships/hyperlink" Target="https://agupubs.onlinelibrary.wiley.com/doi/full/10.1029/2024EF005435" TargetMode="External"/><Relationship Id="rId8" Type="http://schemas.openxmlformats.org/officeDocument/2006/relationships/hyperlink" Target="https://www.financialresearch.gov/the-ofr-blog/2023/12/14/property-insurance-market/" TargetMode="External"/><Relationship Id="rId51" Type="http://schemas.openxmlformats.org/officeDocument/2006/relationships/hyperlink" Target="https://www.insurancebusinessmag.com/us/news/breaking-news/excessive-lawsuits-driving-up-insurance-premiums-for-us-policyholders-558342.aspx" TargetMode="External"/><Relationship Id="rId72" Type="http://schemas.openxmlformats.org/officeDocument/2006/relationships/hyperlink" Target="https://climateandcommunity.org/research/insurers-of-last-resort" TargetMode="External"/><Relationship Id="rId93" Type="http://schemas.openxmlformats.org/officeDocument/2006/relationships/hyperlink" Target="https://www.insurance.ca.gov/01-consumers/180-climate-change/catmodelgroup.cfm" TargetMode="External"/><Relationship Id="rId98" Type="http://schemas.openxmlformats.org/officeDocument/2006/relationships/hyperlink" Target="https://ssc.ca.gov/wp-content/uploads/sites/9/2020/08/cssc95-01c-ch1.pdf" TargetMode="External"/><Relationship Id="rId3" Type="http://schemas.openxmlformats.org/officeDocument/2006/relationships/hyperlink" Target="https://www.nber.org/papers/w325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2026-03-17T18:58:45+00:00</_EndDate>
    <StartDate xmlns="http://schemas.microsoft.com/sharepoint/v3">2026-03-17T18:58:45+00:00</StartDate>
    <Date xmlns="55eb7663-75cc-4f64-9609-52561375e7a6" xsi:nil="true"/>
    <Location xmlns="http://schemas.microsoft.com/sharepoint/v3/fields" xsi:nil="true"/>
    <Meeting_x0020_Type xmlns="734dc620-9a3c-4363-b6b2-552d0a5c0ad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4" ma:contentTypeDescription="Create a new document." ma:contentTypeScope="" ma:versionID="e380f9955b4208ba635c5e24eac43a16">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39470062fe3424c71532fd57740563bd"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ate" ma:index="3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30D150-E388-4BBC-8516-7DB6BE5E62AF}">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customXml/itemProps2.xml><?xml version="1.0" encoding="utf-8"?>
<ds:datastoreItem xmlns:ds="http://schemas.openxmlformats.org/officeDocument/2006/customXml" ds:itemID="{B3DECCD3-8A67-408B-AF65-6DB917B054E9}">
  <ds:schemaRefs>
    <ds:schemaRef ds:uri="http://schemas.openxmlformats.org/officeDocument/2006/bibliography"/>
  </ds:schemaRefs>
</ds:datastoreItem>
</file>

<file path=customXml/itemProps3.xml><?xml version="1.0" encoding="utf-8"?>
<ds:datastoreItem xmlns:ds="http://schemas.openxmlformats.org/officeDocument/2006/customXml" ds:itemID="{4743206A-18A6-4957-968A-CB37503F18CC}">
  <ds:schemaRefs>
    <ds:schemaRef ds:uri="http://schemas.microsoft.com/sharepoint/v3/contenttype/forms"/>
  </ds:schemaRefs>
</ds:datastoreItem>
</file>

<file path=customXml/itemProps4.xml><?xml version="1.0" encoding="utf-8"?>
<ds:datastoreItem xmlns:ds="http://schemas.openxmlformats.org/officeDocument/2006/customXml" ds:itemID="{D59ED214-5EB4-4818-B45F-33C85BA9A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f7c44d-d510-4321-9258-956e71d8b56e}" enabled="0" method="" siteId="{61f7c44d-d510-4321-9258-956e71d8b56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Rhonda Upton</dc:creator>
  <keywords/>
  <lastModifiedBy>Beal, Alex</lastModifiedBy>
  <revision>144</revision>
  <dcterms:created xsi:type="dcterms:W3CDTF">2026-03-22T21:46:00.0000000Z</dcterms:created>
  <dcterms:modified xsi:type="dcterms:W3CDTF">2026-03-22T21:47:24.6660123Z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df9e5af2-8cf0-4baa-9632-208718b370fe</vt:lpwstr>
  </property>
  <property fmtid="{D5CDD505-2E9C-101B-9397-08002B2CF9AE}" pid="3" name="ContentTypeId">
    <vt:lpwstr>0x010100376674D47D81254AAE898D727025BAAD</vt:lpwstr>
  </property>
  <property fmtid="{D5CDD505-2E9C-101B-9397-08002B2CF9AE}" pid="4" name="MediaServiceImageTags">
    <vt:lpwstr/>
  </property>
  <property fmtid="{D5CDD505-2E9C-101B-9397-08002B2CF9AE}" pid="5" name="docLang">
    <vt:lpwstr>en</vt:lpwstr>
  </property>
  <property fmtid="{D5CDD505-2E9C-101B-9397-08002B2CF9AE}" pid="6" name="Order">
    <vt:r8>300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