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9065" w14:textId="46E50DA8" w:rsidR="00571E4A" w:rsidRDefault="00571E4A" w:rsidP="00EF1FC1">
      <w:pPr>
        <w:rPr>
          <w:rFonts w:eastAsia="Times New Roman" w:cs="Times New Roman"/>
        </w:rPr>
      </w:pPr>
      <w:bookmarkStart w:id="0" w:name="_GoBack"/>
      <w:bookmarkEnd w:id="0"/>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14:paraId="162F2D19" w14:textId="77777777" w:rsidR="0066591A" w:rsidRDefault="0066591A" w:rsidP="00EF1FC1">
      <w:pPr>
        <w:rPr>
          <w:rFonts w:eastAsia="Times New Roman" w:cs="Times New Roman"/>
        </w:rPr>
      </w:pPr>
    </w:p>
    <w:p w14:paraId="1E4D55DF" w14:textId="57AFAD2A" w:rsidR="000D0D80" w:rsidRDefault="000D0D80" w:rsidP="00EF1FC1">
      <w:pPr>
        <w:rPr>
          <w:rFonts w:eastAsia="Times New Roman" w:cs="Times New Roman"/>
        </w:rPr>
      </w:pPr>
      <w:r>
        <w:rPr>
          <w:rFonts w:eastAsia="Times New Roman" w:cs="Times New Roman"/>
        </w:rPr>
        <w:t xml:space="preserve">To: </w:t>
      </w:r>
      <w:r>
        <w:rPr>
          <w:rFonts w:eastAsia="Times New Roman" w:cs="Times New Roman"/>
        </w:rPr>
        <w:tab/>
      </w:r>
      <w:r w:rsidR="00F42956">
        <w:rPr>
          <w:rFonts w:eastAsia="Times New Roman" w:cs="Times New Roman"/>
        </w:rPr>
        <w:t>Bob Wake, Chair</w:t>
      </w:r>
      <w:r w:rsidR="00571E4A">
        <w:rPr>
          <w:rFonts w:eastAsia="Times New Roman" w:cs="Times New Roman"/>
        </w:rPr>
        <w:t xml:space="preserve">, </w:t>
      </w:r>
      <w:r w:rsidR="00F42956">
        <w:rPr>
          <w:rFonts w:eastAsia="Times New Roman" w:cs="Times New Roman"/>
        </w:rPr>
        <w:t>ERISA Work</w:t>
      </w:r>
      <w:r w:rsidR="002316E8">
        <w:rPr>
          <w:rFonts w:eastAsia="Times New Roman" w:cs="Times New Roman"/>
        </w:rPr>
        <w:t>ing</w:t>
      </w:r>
      <w:r w:rsidR="00F42956">
        <w:rPr>
          <w:rFonts w:eastAsia="Times New Roman" w:cs="Times New Roman"/>
        </w:rPr>
        <w:t xml:space="preserve"> Group</w:t>
      </w:r>
    </w:p>
    <w:p w14:paraId="7F360346" w14:textId="2399AC74" w:rsidR="00571E4A" w:rsidRDefault="000D0D80" w:rsidP="000D0D80">
      <w:pPr>
        <w:rPr>
          <w:rFonts w:eastAsia="Times New Roman" w:cs="Times New Roman"/>
        </w:rPr>
      </w:pPr>
      <w:r>
        <w:rPr>
          <w:rFonts w:eastAsia="Times New Roman" w:cs="Times New Roman"/>
        </w:rPr>
        <w:t xml:space="preserve">       </w:t>
      </w:r>
      <w:r>
        <w:rPr>
          <w:rFonts w:eastAsia="Times New Roman" w:cs="Times New Roman"/>
        </w:rPr>
        <w:tab/>
      </w:r>
      <w:r w:rsidR="00F42956">
        <w:rPr>
          <w:rFonts w:eastAsia="Times New Roman" w:cs="Times New Roman"/>
        </w:rPr>
        <w:t>Jennifer Cook</w:t>
      </w:r>
      <w:r w:rsidR="00571E4A">
        <w:rPr>
          <w:rFonts w:eastAsia="Times New Roman" w:cs="Times New Roman"/>
        </w:rPr>
        <w:t>, Senior Health and Life Policy Counsel</w:t>
      </w:r>
    </w:p>
    <w:p w14:paraId="59885EB9" w14:textId="5FA6B84C" w:rsidR="00571E4A" w:rsidRDefault="00571E4A" w:rsidP="00FF2967">
      <w:pPr>
        <w:ind w:firstLine="720"/>
        <w:outlineLvl w:val="0"/>
        <w:rPr>
          <w:rFonts w:eastAsia="Times New Roman" w:cs="Times New Roman"/>
        </w:rPr>
      </w:pPr>
      <w:r>
        <w:rPr>
          <w:rFonts w:eastAsia="Times New Roman" w:cs="Times New Roman"/>
        </w:rPr>
        <w:t>National Association of Insurance Commissioners</w:t>
      </w:r>
    </w:p>
    <w:p w14:paraId="21923846" w14:textId="57ECA021" w:rsidR="00F42956" w:rsidRDefault="000D0D80" w:rsidP="00FF2967">
      <w:pPr>
        <w:outlineLvl w:val="0"/>
        <w:rPr>
          <w:rFonts w:eastAsia="Times New Roman" w:cs="Times New Roman"/>
        </w:rPr>
      </w:pPr>
      <w:r>
        <w:rPr>
          <w:rFonts w:eastAsia="Times New Roman" w:cs="Times New Roman"/>
        </w:rPr>
        <w:t xml:space="preserve">From: </w:t>
      </w:r>
      <w:r>
        <w:rPr>
          <w:rFonts w:eastAsia="Times New Roman" w:cs="Times New Roman"/>
        </w:rPr>
        <w:tab/>
        <w:t>NAIC Consumer Representatives</w:t>
      </w:r>
    </w:p>
    <w:p w14:paraId="5979ADDD" w14:textId="191F26CA" w:rsidR="000D0D80" w:rsidRDefault="009B7D31" w:rsidP="00EF1FC1">
      <w:pPr>
        <w:rPr>
          <w:rFonts w:eastAsia="Times New Roman" w:cs="Times New Roman"/>
        </w:rPr>
      </w:pPr>
      <w:r>
        <w:rPr>
          <w:rFonts w:eastAsia="Times New Roman" w:cs="Times New Roman"/>
        </w:rPr>
        <w:t xml:space="preserve">Date: </w:t>
      </w:r>
      <w:r>
        <w:rPr>
          <w:rFonts w:eastAsia="Times New Roman" w:cs="Times New Roman"/>
        </w:rPr>
        <w:tab/>
        <w:t>October 26</w:t>
      </w:r>
      <w:r w:rsidR="000D0D80">
        <w:rPr>
          <w:rFonts w:eastAsia="Times New Roman" w:cs="Times New Roman"/>
        </w:rPr>
        <w:t>, 2018</w:t>
      </w:r>
    </w:p>
    <w:p w14:paraId="5F3AD994" w14:textId="77777777" w:rsidR="000D0D80" w:rsidRDefault="000D0D80" w:rsidP="00EF1FC1">
      <w:pPr>
        <w:rPr>
          <w:rFonts w:eastAsia="Times New Roman" w:cs="Times New Roman"/>
        </w:rPr>
      </w:pPr>
    </w:p>
    <w:p w14:paraId="2680A619" w14:textId="5B009C40" w:rsidR="00571E4A" w:rsidRDefault="00EF1FC1" w:rsidP="00EF1FC1">
      <w:pPr>
        <w:rPr>
          <w:rFonts w:eastAsia="Times New Roman" w:cs="Times New Roman"/>
        </w:rPr>
      </w:pPr>
      <w:r w:rsidRPr="00EF1FC1">
        <w:rPr>
          <w:rFonts w:eastAsia="Times New Roman" w:cs="Times New Roman"/>
        </w:rPr>
        <w:t>On behalf of the NAIC consumer representatives</w:t>
      </w:r>
      <w:r w:rsidR="001B5CB1">
        <w:rPr>
          <w:rFonts w:eastAsia="Times New Roman" w:cs="Times New Roman"/>
        </w:rPr>
        <w:t xml:space="preserve"> signed below</w:t>
      </w:r>
      <w:r w:rsidRPr="00EF1FC1">
        <w:rPr>
          <w:rFonts w:eastAsia="Times New Roman" w:cs="Times New Roman"/>
        </w:rPr>
        <w:t xml:space="preserve">, we appreciate the opportunity to comment on </w:t>
      </w:r>
      <w:r w:rsidR="00AF1B95">
        <w:rPr>
          <w:rFonts w:eastAsia="Times New Roman" w:cs="Times New Roman"/>
        </w:rPr>
        <w:t>the draft of the ERISA Handbook, dated October 11, 2018, which</w:t>
      </w:r>
      <w:r w:rsidR="009B7D31">
        <w:rPr>
          <w:rFonts w:eastAsia="Times New Roman" w:cs="Times New Roman"/>
        </w:rPr>
        <w:t xml:space="preserve"> incorporates updates for the final federal ru</w:t>
      </w:r>
      <w:r w:rsidR="00AF1B95">
        <w:rPr>
          <w:rFonts w:eastAsia="Times New Roman" w:cs="Times New Roman"/>
        </w:rPr>
        <w:t xml:space="preserve">le on Association Health Plans issued on </w:t>
      </w:r>
      <w:r w:rsidR="0093711C">
        <w:rPr>
          <w:rFonts w:eastAsia="Times New Roman" w:cs="Times New Roman"/>
        </w:rPr>
        <w:t>June 21, 2018</w:t>
      </w:r>
      <w:r w:rsidR="002A59D6">
        <w:rPr>
          <w:rFonts w:eastAsia="Times New Roman" w:cs="Times New Roman"/>
        </w:rPr>
        <w:t>.</w:t>
      </w:r>
    </w:p>
    <w:p w14:paraId="73E7F978" w14:textId="77777777" w:rsidR="00571E4A" w:rsidRDefault="00571E4A" w:rsidP="00EF1FC1">
      <w:pPr>
        <w:rPr>
          <w:rFonts w:eastAsia="Times New Roman" w:cs="Times New Roman"/>
        </w:rPr>
      </w:pPr>
    </w:p>
    <w:p w14:paraId="133B6B72" w14:textId="51D62BAD" w:rsidR="00100306" w:rsidRDefault="00100306" w:rsidP="00EF1FC1">
      <w:pPr>
        <w:rPr>
          <w:rFonts w:eastAsia="Times New Roman" w:cs="Times New Roman"/>
        </w:rPr>
      </w:pPr>
      <w:r>
        <w:rPr>
          <w:rFonts w:eastAsia="Times New Roman" w:cs="Times New Roman"/>
        </w:rPr>
        <w:t xml:space="preserve">We </w:t>
      </w:r>
      <w:r w:rsidR="007E3AEF">
        <w:rPr>
          <w:rFonts w:eastAsia="Times New Roman" w:cs="Times New Roman"/>
        </w:rPr>
        <w:t xml:space="preserve">believe the </w:t>
      </w:r>
      <w:r w:rsidR="006C69CA">
        <w:rPr>
          <w:rFonts w:eastAsia="Times New Roman" w:cs="Times New Roman"/>
        </w:rPr>
        <w:t xml:space="preserve">revisions </w:t>
      </w:r>
      <w:r w:rsidR="007E3AEF">
        <w:rPr>
          <w:rFonts w:eastAsia="Times New Roman" w:cs="Times New Roman"/>
        </w:rPr>
        <w:t>to t</w:t>
      </w:r>
      <w:r>
        <w:rPr>
          <w:rFonts w:eastAsia="Times New Roman" w:cs="Times New Roman"/>
        </w:rPr>
        <w:t xml:space="preserve">he </w:t>
      </w:r>
      <w:r w:rsidR="00571E4A">
        <w:rPr>
          <w:rFonts w:eastAsia="Times New Roman" w:cs="Times New Roman"/>
        </w:rPr>
        <w:t xml:space="preserve">Handbook </w:t>
      </w:r>
      <w:r w:rsidR="007E3AEF">
        <w:rPr>
          <w:rFonts w:eastAsia="Times New Roman" w:cs="Times New Roman"/>
        </w:rPr>
        <w:t xml:space="preserve">adequately address the areas we identified as critical elements </w:t>
      </w:r>
      <w:r w:rsidR="006C69CA">
        <w:rPr>
          <w:rFonts w:eastAsia="Times New Roman" w:cs="Times New Roman"/>
        </w:rPr>
        <w:t xml:space="preserve">to be included in a discussion of the </w:t>
      </w:r>
      <w:r w:rsidR="002F5922">
        <w:rPr>
          <w:rFonts w:eastAsia="Times New Roman" w:cs="Times New Roman"/>
        </w:rPr>
        <w:t xml:space="preserve">final rule, specifically: </w:t>
      </w:r>
    </w:p>
    <w:p w14:paraId="10C3A4DD" w14:textId="77777777" w:rsidR="00100306" w:rsidRDefault="00100306" w:rsidP="00EF1FC1">
      <w:pPr>
        <w:rPr>
          <w:rFonts w:eastAsia="Times New Roman" w:cs="Times New Roman"/>
        </w:rPr>
      </w:pPr>
    </w:p>
    <w:p w14:paraId="2589770B" w14:textId="77777777" w:rsidR="003E3D9F" w:rsidRDefault="002E23F8" w:rsidP="003E3D9F">
      <w:pPr>
        <w:pStyle w:val="ListParagraph"/>
        <w:numPr>
          <w:ilvl w:val="0"/>
          <w:numId w:val="1"/>
        </w:numPr>
        <w:rPr>
          <w:rFonts w:eastAsia="Times New Roman" w:cs="Times New Roman"/>
        </w:rPr>
      </w:pPr>
      <w:r>
        <w:rPr>
          <w:rFonts w:eastAsia="Times New Roman" w:cs="Times New Roman"/>
        </w:rPr>
        <w:t xml:space="preserve">The final rule provides an additional way for </w:t>
      </w:r>
      <w:r w:rsidR="003E4061">
        <w:rPr>
          <w:rFonts w:eastAsia="Times New Roman" w:cs="Times New Roman"/>
        </w:rPr>
        <w:t xml:space="preserve">an association of employers to be determined to be an “employer” under ERISA. New AHPs can therefore form and offer coverage under either the prior guidance or under the new rule. </w:t>
      </w:r>
    </w:p>
    <w:p w14:paraId="3D850347" w14:textId="1D8D903F" w:rsidR="00837560" w:rsidRPr="0003307B" w:rsidRDefault="003E4061" w:rsidP="002316E8">
      <w:pPr>
        <w:pStyle w:val="ListParagraph"/>
        <w:numPr>
          <w:ilvl w:val="0"/>
          <w:numId w:val="1"/>
        </w:numPr>
        <w:rPr>
          <w:rFonts w:eastAsia="Times New Roman" w:cs="Times New Roman"/>
        </w:rPr>
      </w:pPr>
      <w:r w:rsidRPr="003E3D9F">
        <w:rPr>
          <w:rFonts w:eastAsia="Times New Roman" w:cs="Times New Roman"/>
        </w:rPr>
        <w:t>AH</w:t>
      </w:r>
      <w:r w:rsidR="003E3D9F">
        <w:rPr>
          <w:rFonts w:eastAsia="Times New Roman" w:cs="Times New Roman"/>
        </w:rPr>
        <w:t>Ps formed and operated</w:t>
      </w:r>
      <w:r w:rsidRPr="003E3D9F">
        <w:rPr>
          <w:rFonts w:eastAsia="Times New Roman" w:cs="Times New Roman"/>
        </w:rPr>
        <w:t xml:space="preserve"> under the new regulatory pathway </w:t>
      </w:r>
      <w:r w:rsidR="003E3D9F">
        <w:rPr>
          <w:rFonts w:eastAsia="Times New Roman" w:cs="Times New Roman"/>
        </w:rPr>
        <w:t>are prohibited from discriminating in eligibility, benefits or premiums based on a health factor either within or across employer groups that obtain coverage through the AHP</w:t>
      </w:r>
      <w:r w:rsidR="0012498D" w:rsidRPr="0003307B">
        <w:rPr>
          <w:rFonts w:eastAsia="Times New Roman" w:cs="Times New Roman"/>
        </w:rPr>
        <w:t xml:space="preserve">. </w:t>
      </w:r>
    </w:p>
    <w:p w14:paraId="1036C940" w14:textId="512DB6A3" w:rsidR="003E3D9F" w:rsidRDefault="003E3D9F" w:rsidP="003E3D9F">
      <w:pPr>
        <w:pStyle w:val="ListParagraph"/>
        <w:numPr>
          <w:ilvl w:val="0"/>
          <w:numId w:val="1"/>
        </w:numPr>
        <w:rPr>
          <w:rFonts w:eastAsia="Times New Roman" w:cs="Times New Roman"/>
        </w:rPr>
      </w:pPr>
      <w:r>
        <w:rPr>
          <w:rFonts w:eastAsia="Times New Roman" w:cs="Times New Roman"/>
        </w:rPr>
        <w:t>The final rule reaffirms the authority of states to regulate both fully insured or self-insured MEWAs.</w:t>
      </w:r>
    </w:p>
    <w:p w14:paraId="570DDC63" w14:textId="77777777" w:rsidR="003E3D9F" w:rsidRPr="003E3D9F" w:rsidRDefault="003E3D9F" w:rsidP="003E3D9F">
      <w:pPr>
        <w:ind w:left="360"/>
        <w:rPr>
          <w:rFonts w:eastAsia="Times New Roman" w:cs="Times New Roman"/>
        </w:rPr>
      </w:pPr>
    </w:p>
    <w:p w14:paraId="5AE38030" w14:textId="71C171BF" w:rsidR="007E2216" w:rsidRDefault="002F5922" w:rsidP="00EF1FC1">
      <w:pPr>
        <w:rPr>
          <w:rFonts w:eastAsia="Times New Roman" w:cs="Times New Roman"/>
        </w:rPr>
      </w:pPr>
      <w:r>
        <w:rPr>
          <w:rFonts w:eastAsia="Times New Roman" w:cs="Times New Roman"/>
        </w:rPr>
        <w:t xml:space="preserve">We also believe the final, adopted </w:t>
      </w:r>
      <w:r w:rsidR="00BC3F19">
        <w:rPr>
          <w:rFonts w:eastAsia="Times New Roman" w:cs="Times New Roman"/>
        </w:rPr>
        <w:t xml:space="preserve">Handbook </w:t>
      </w:r>
      <w:r>
        <w:rPr>
          <w:rFonts w:eastAsia="Times New Roman" w:cs="Times New Roman"/>
        </w:rPr>
        <w:t>should retain discussion of</w:t>
      </w:r>
      <w:r w:rsidR="00BC3F19">
        <w:rPr>
          <w:rFonts w:eastAsia="Times New Roman" w:cs="Times New Roman"/>
        </w:rPr>
        <w:t xml:space="preserve"> the </w:t>
      </w:r>
      <w:r w:rsidR="00491A50">
        <w:rPr>
          <w:rFonts w:eastAsia="Times New Roman" w:cs="Times New Roman"/>
        </w:rPr>
        <w:t xml:space="preserve">extensive </w:t>
      </w:r>
      <w:r w:rsidR="00BC3F19">
        <w:rPr>
          <w:rFonts w:eastAsia="Times New Roman" w:cs="Times New Roman"/>
        </w:rPr>
        <w:t>history of AHP fraud and insolvencies that left consumers and providers with unpaid claims. We are concerned that the more flexible</w:t>
      </w:r>
      <w:r w:rsidR="002316E8">
        <w:rPr>
          <w:rFonts w:eastAsia="Times New Roman" w:cs="Times New Roman"/>
        </w:rPr>
        <w:t>, newly authorized</w:t>
      </w:r>
      <w:r w:rsidR="00BC3F19">
        <w:rPr>
          <w:rFonts w:eastAsia="Times New Roman" w:cs="Times New Roman"/>
        </w:rPr>
        <w:t xml:space="preserve"> path, which makes it easier to meet the test for “employer,” will invite greater fraud and insolvenci</w:t>
      </w:r>
      <w:r w:rsidR="00491A50">
        <w:rPr>
          <w:rFonts w:eastAsia="Times New Roman" w:cs="Times New Roman"/>
        </w:rPr>
        <w:t xml:space="preserve">es. Further, while </w:t>
      </w:r>
      <w:r w:rsidR="00BC3F19">
        <w:rPr>
          <w:rFonts w:eastAsia="Times New Roman" w:cs="Times New Roman"/>
        </w:rPr>
        <w:t xml:space="preserve">the </w:t>
      </w:r>
      <w:r w:rsidR="002316E8">
        <w:rPr>
          <w:rFonts w:eastAsia="Times New Roman" w:cs="Times New Roman"/>
        </w:rPr>
        <w:t xml:space="preserve">new rule prohibits </w:t>
      </w:r>
      <w:r w:rsidR="00BC3F19">
        <w:rPr>
          <w:rFonts w:eastAsia="Times New Roman" w:cs="Times New Roman"/>
        </w:rPr>
        <w:t xml:space="preserve">basing eligibility, benefits or premiums on health status, </w:t>
      </w:r>
      <w:r w:rsidR="002316E8">
        <w:rPr>
          <w:rFonts w:eastAsia="Times New Roman" w:cs="Times New Roman"/>
        </w:rPr>
        <w:t xml:space="preserve">we remain concerned that </w:t>
      </w:r>
      <w:r w:rsidR="00BC3F19">
        <w:rPr>
          <w:rFonts w:eastAsia="Times New Roman" w:cs="Times New Roman"/>
        </w:rPr>
        <w:t>AHPs operating under the final federal rule retain the flexibility to rate on other factors that can be used as a proxy for health status, such as age, gender and industry</w:t>
      </w:r>
      <w:r w:rsidR="001F5375">
        <w:rPr>
          <w:rFonts w:eastAsia="Times New Roman" w:cs="Times New Roman"/>
        </w:rPr>
        <w:t xml:space="preserve"> and can design benefits to avoid higher cost employers and individuals. </w:t>
      </w:r>
    </w:p>
    <w:p w14:paraId="2535B38F" w14:textId="77777777" w:rsidR="002F5922" w:rsidRDefault="002F5922" w:rsidP="00EF1FC1">
      <w:pPr>
        <w:rPr>
          <w:rFonts w:eastAsia="Times New Roman" w:cs="Times New Roman"/>
        </w:rPr>
      </w:pPr>
    </w:p>
    <w:p w14:paraId="18364281" w14:textId="231E8E69" w:rsidR="002F5922" w:rsidRDefault="002F5922" w:rsidP="00EF1FC1">
      <w:pPr>
        <w:rPr>
          <w:rFonts w:eastAsia="Times New Roman" w:cs="Times New Roman"/>
        </w:rPr>
      </w:pPr>
      <w:r>
        <w:rPr>
          <w:rFonts w:eastAsia="Times New Roman" w:cs="Times New Roman"/>
        </w:rPr>
        <w:t xml:space="preserve">We also reviewed the discussion of Wellness Programs on p. 103 of the current draft and recommend the edits noted below: </w:t>
      </w:r>
    </w:p>
    <w:p w14:paraId="652B2A9C" w14:textId="77777777" w:rsidR="002F5922" w:rsidRDefault="002F5922" w:rsidP="00EF1FC1">
      <w:pPr>
        <w:rPr>
          <w:rFonts w:eastAsia="Times New Roman" w:cs="Times New Roman"/>
        </w:rPr>
      </w:pPr>
    </w:p>
    <w:p w14:paraId="7CEFEFC1" w14:textId="2BB8A494" w:rsidR="002F5922" w:rsidRPr="00A74DA7" w:rsidRDefault="002F5922" w:rsidP="005447E3">
      <w:pPr>
        <w:pStyle w:val="ListParagraph"/>
        <w:keepNext/>
        <w:numPr>
          <w:ilvl w:val="0"/>
          <w:numId w:val="3"/>
        </w:numPr>
        <w:spacing w:after="240"/>
        <w:jc w:val="both"/>
        <w:rPr>
          <w:rFonts w:eastAsia="Calibri"/>
          <w:i/>
          <w:u w:val="single"/>
        </w:rPr>
      </w:pPr>
      <w:r w:rsidRPr="00A74DA7">
        <w:rPr>
          <w:rFonts w:eastAsia="Calibri"/>
          <w:i/>
          <w:u w:val="single"/>
        </w:rPr>
        <w:t>Wellness Programs – (29 CFR §§ 2590.702 and 29 CFR 2590.715-2705)</w:t>
      </w:r>
    </w:p>
    <w:p w14:paraId="1BCDC96F" w14:textId="4197975D" w:rsidR="002F5922" w:rsidRPr="00D045BA" w:rsidRDefault="002F5922" w:rsidP="002F5922">
      <w:r w:rsidRPr="00D045BA">
        <w:t>Wellness programs are programs of health promotion or disease prevention. Employers may provide a wide range of wellness programs, but the regulations generally prohibit discrimination based on health factors, with exceptions for benign discrimination (</w:t>
      </w:r>
      <w:r w:rsidRPr="00D045BA">
        <w:rPr>
          <w:i/>
        </w:rPr>
        <w:t>e.g.,</w:t>
      </w:r>
      <w:r w:rsidRPr="00D045BA">
        <w:t xml:space="preserve"> making benefits specifically available to persons with designated health conditions) and participation incentives. “Health contingent” incentives (incentives that depend on health outcomes or on participation in specified activities such as exercise) are subject to financial limits and must </w:t>
      </w:r>
      <w:r w:rsidRPr="00D045BA">
        <w:lastRenderedPageBreak/>
        <w:t xml:space="preserve">provide </w:t>
      </w:r>
      <w:r w:rsidR="005447E3">
        <w:rPr>
          <w:color w:val="FF0000"/>
        </w:rPr>
        <w:t xml:space="preserve">an opportunity to earn the incentive through </w:t>
      </w:r>
      <w:r w:rsidRPr="00D045BA">
        <w:t xml:space="preserve">reasonable alternatives </w:t>
      </w:r>
      <w:r w:rsidR="005F69BE">
        <w:rPr>
          <w:color w:val="FF0000"/>
        </w:rPr>
        <w:t>or</w:t>
      </w:r>
      <w:r w:rsidRPr="002F5922">
        <w:rPr>
          <w:color w:val="FF0000"/>
        </w:rPr>
        <w:t xml:space="preserve"> </w:t>
      </w:r>
      <w:r w:rsidR="005447E3">
        <w:rPr>
          <w:color w:val="FF0000"/>
        </w:rPr>
        <w:t xml:space="preserve">to </w:t>
      </w:r>
      <w:r w:rsidR="005F69BE">
        <w:rPr>
          <w:color w:val="FF0000"/>
        </w:rPr>
        <w:t>waive</w:t>
      </w:r>
      <w:r w:rsidR="005447E3">
        <w:rPr>
          <w:color w:val="FF0000"/>
        </w:rPr>
        <w:t xml:space="preserve"> the </w:t>
      </w:r>
      <w:r w:rsidRPr="002F5922">
        <w:rPr>
          <w:color w:val="FF0000"/>
        </w:rPr>
        <w:t>standard for</w:t>
      </w:r>
      <w:r>
        <w:t xml:space="preserve"> </w:t>
      </w:r>
      <w:r w:rsidRPr="00185338">
        <w:rPr>
          <w:strike/>
        </w:rPr>
        <w:t>that give</w:t>
      </w:r>
      <w:r>
        <w:t xml:space="preserve"> </w:t>
      </w:r>
      <w:r w:rsidRPr="00D045BA">
        <w:t>participants with medical limitations</w:t>
      </w:r>
      <w:r>
        <w:t xml:space="preserve"> </w:t>
      </w:r>
      <w:r w:rsidRPr="00C77D15">
        <w:rPr>
          <w:color w:val="FF0000"/>
        </w:rPr>
        <w:t>or, in some cases, other limitations</w:t>
      </w:r>
      <w:r w:rsidRPr="00D045BA">
        <w:t xml:space="preserve"> </w:t>
      </w:r>
      <w:r w:rsidRPr="005447E3">
        <w:rPr>
          <w:strike/>
        </w:rPr>
        <w:t>an opportunity to earn the incentiv</w:t>
      </w:r>
      <w:r w:rsidR="009E3D94">
        <w:rPr>
          <w:strike/>
        </w:rPr>
        <w:t>e</w:t>
      </w:r>
      <w:r w:rsidRPr="00D045BA">
        <w:t>. Wellness programs are also regulated by the EEOC under the Americans with Disabilities Act (ADA) and GINA. A recent court decision has remanded the EEOC’s regulations and directed the agency to reconsider whether the ADA and GINA further limit the range of wellness program penalties otherwise permitted under the PHS Act if employees refuse to provide health information on themselves or their spouses.</w:t>
      </w:r>
      <w:r w:rsidRPr="00860443">
        <w:rPr>
          <w:rStyle w:val="FootnoteReference"/>
        </w:rPr>
        <w:footnoteReference w:id="1"/>
      </w:r>
    </w:p>
    <w:p w14:paraId="0C978549" w14:textId="77777777" w:rsidR="006022BE" w:rsidRDefault="006022BE" w:rsidP="00EF1FC1">
      <w:pPr>
        <w:rPr>
          <w:rFonts w:eastAsia="Times New Roman" w:cs="Times New Roman"/>
        </w:rPr>
      </w:pPr>
    </w:p>
    <w:p w14:paraId="2BE0FD2A" w14:textId="1AF5C83F" w:rsidR="006022BE" w:rsidRDefault="00C77D15" w:rsidP="00EF1FC1">
      <w:pPr>
        <w:rPr>
          <w:rFonts w:eastAsia="Times New Roman" w:cs="Times New Roman"/>
        </w:rPr>
      </w:pPr>
      <w:r>
        <w:rPr>
          <w:rFonts w:eastAsia="Times New Roman" w:cs="Times New Roman"/>
        </w:rPr>
        <w:t xml:space="preserve">With these changes, we urge the Working Group to swiftly approve the Handbook and move to adopt a final version that can be shared with states and other interested parties. </w:t>
      </w:r>
      <w:r w:rsidR="001833AC">
        <w:rPr>
          <w:rFonts w:eastAsia="Times New Roman" w:cs="Times New Roman"/>
        </w:rPr>
        <w:t>As noted on the Working Group’s last call</w:t>
      </w:r>
      <w:r w:rsidR="00994E53">
        <w:rPr>
          <w:rFonts w:eastAsia="Times New Roman" w:cs="Times New Roman"/>
        </w:rPr>
        <w:t>, we can expect continued changes to federal rules affecting ERISA-governed plans, including the proposed rule on Health Reimbursement Arrangements released this week and open for comment until the end of the year. However, d</w:t>
      </w:r>
      <w:r w:rsidR="006022BE">
        <w:rPr>
          <w:rFonts w:eastAsia="Times New Roman" w:cs="Times New Roman"/>
        </w:rPr>
        <w:t>espite comments from the NAIC and many state regulators asking for federal regulators to delay implementation of the final rule</w:t>
      </w:r>
      <w:r w:rsidR="00994E53">
        <w:rPr>
          <w:rFonts w:eastAsia="Times New Roman" w:cs="Times New Roman"/>
        </w:rPr>
        <w:t xml:space="preserve"> on AHPs</w:t>
      </w:r>
      <w:r w:rsidR="006022BE">
        <w:rPr>
          <w:rFonts w:eastAsia="Times New Roman" w:cs="Times New Roman"/>
        </w:rPr>
        <w:t xml:space="preserve"> until 2020, </w:t>
      </w:r>
      <w:r w:rsidR="002679CB">
        <w:rPr>
          <w:rFonts w:eastAsia="Times New Roman" w:cs="Times New Roman"/>
        </w:rPr>
        <w:t xml:space="preserve">some types of </w:t>
      </w:r>
      <w:r w:rsidR="006022BE">
        <w:rPr>
          <w:rFonts w:eastAsia="Times New Roman" w:cs="Times New Roman"/>
        </w:rPr>
        <w:t>AHPs have been able to</w:t>
      </w:r>
      <w:r w:rsidR="002679CB">
        <w:rPr>
          <w:rFonts w:eastAsia="Times New Roman" w:cs="Times New Roman"/>
        </w:rPr>
        <w:t xml:space="preserve"> form and operate under the new, more flexible </w:t>
      </w:r>
      <w:r w:rsidR="006022BE">
        <w:rPr>
          <w:rFonts w:eastAsia="Times New Roman" w:cs="Times New Roman"/>
        </w:rPr>
        <w:t>guidance since September 1st. We therefore urge the Work</w:t>
      </w:r>
      <w:r w:rsidR="002316E8">
        <w:rPr>
          <w:rFonts w:eastAsia="Times New Roman" w:cs="Times New Roman"/>
        </w:rPr>
        <w:t>ing</w:t>
      </w:r>
      <w:r w:rsidR="006022BE">
        <w:rPr>
          <w:rFonts w:eastAsia="Times New Roman" w:cs="Times New Roman"/>
        </w:rPr>
        <w:t xml:space="preserve"> Group to finalize the Handbook </w:t>
      </w:r>
      <w:r w:rsidR="002679CB">
        <w:rPr>
          <w:rFonts w:eastAsia="Times New Roman" w:cs="Times New Roman"/>
        </w:rPr>
        <w:t>as quickly as possible</w:t>
      </w:r>
      <w:r w:rsidR="001833AC">
        <w:rPr>
          <w:rFonts w:eastAsia="Times New Roman" w:cs="Times New Roman"/>
        </w:rPr>
        <w:t xml:space="preserve"> and revisit the Handbook, as needed, to reflect final changes to federal rules in the future. </w:t>
      </w:r>
    </w:p>
    <w:p w14:paraId="0DA2A9D2" w14:textId="77777777" w:rsidR="00047987" w:rsidRDefault="00047987" w:rsidP="00EF1FC1">
      <w:pPr>
        <w:rPr>
          <w:rFonts w:eastAsia="Times New Roman" w:cs="Times New Roman"/>
        </w:rPr>
      </w:pPr>
    </w:p>
    <w:p w14:paraId="50FD8903" w14:textId="28B42B15" w:rsidR="00100306" w:rsidRDefault="000D0D80" w:rsidP="00EF1FC1">
      <w:pPr>
        <w:rPr>
          <w:rFonts w:eastAsia="Times New Roman" w:cs="Times New Roman"/>
        </w:rPr>
      </w:pPr>
      <w:r>
        <w:rPr>
          <w:rFonts w:eastAsia="Times New Roman" w:cs="Times New Roman"/>
        </w:rPr>
        <w:t xml:space="preserve">Thank you for your consideration. </w:t>
      </w:r>
      <w:r w:rsidR="0066591A">
        <w:rPr>
          <w:rFonts w:eastAsia="Times New Roman" w:cs="Times New Roman"/>
        </w:rPr>
        <w:t xml:space="preserve">If you have any questions, please contact JoAnn Volk at 202-687-3944 or </w:t>
      </w:r>
      <w:hyperlink r:id="rId8" w:history="1">
        <w:r w:rsidR="0066591A" w:rsidRPr="009C47E1">
          <w:rPr>
            <w:rStyle w:val="Hyperlink"/>
            <w:rFonts w:eastAsia="Times New Roman" w:cs="Times New Roman"/>
          </w:rPr>
          <w:t>joann.volk@georgetown.edu</w:t>
        </w:r>
      </w:hyperlink>
      <w:r w:rsidR="0066591A">
        <w:rPr>
          <w:rFonts w:eastAsia="Times New Roman" w:cs="Times New Roman"/>
        </w:rPr>
        <w:t>.</w:t>
      </w:r>
    </w:p>
    <w:p w14:paraId="5A582762" w14:textId="77777777" w:rsidR="0066591A" w:rsidRDefault="0066591A" w:rsidP="00EF1FC1">
      <w:pPr>
        <w:rPr>
          <w:rFonts w:eastAsia="Times New Roman" w:cs="Times New Roman"/>
        </w:rPr>
      </w:pPr>
    </w:p>
    <w:p w14:paraId="2AF8DD7A" w14:textId="77777777" w:rsidR="00BC46D7" w:rsidRDefault="00BC46D7" w:rsidP="00EF1FC1">
      <w:pPr>
        <w:rPr>
          <w:rFonts w:eastAsia="Times New Roman" w:cs="Times New Roman"/>
        </w:rPr>
      </w:pPr>
    </w:p>
    <w:p w14:paraId="3BACEED5" w14:textId="16102BA4" w:rsidR="00BC46D7" w:rsidRDefault="00007ECE" w:rsidP="00EF1FC1">
      <w:pPr>
        <w:rPr>
          <w:rFonts w:eastAsia="Times New Roman" w:cs="Times New Roman"/>
        </w:rPr>
      </w:pPr>
      <w:r>
        <w:rPr>
          <w:rFonts w:eastAsia="Times New Roman" w:cs="Times New Roman"/>
        </w:rPr>
        <w:t>JoAnn Volk</w:t>
      </w:r>
    </w:p>
    <w:p w14:paraId="5C49CB7C" w14:textId="5985C262" w:rsidR="00007ECE" w:rsidRDefault="00007ECE" w:rsidP="00EF1FC1">
      <w:pPr>
        <w:rPr>
          <w:rFonts w:eastAsia="Times New Roman" w:cs="Times New Roman"/>
        </w:rPr>
      </w:pPr>
      <w:r>
        <w:rPr>
          <w:rFonts w:eastAsia="Times New Roman" w:cs="Times New Roman"/>
        </w:rPr>
        <w:t>Matthew Smith</w:t>
      </w:r>
    </w:p>
    <w:p w14:paraId="0566F305" w14:textId="5506DCF4" w:rsidR="00007ECE" w:rsidRDefault="00007ECE" w:rsidP="00EF1FC1">
      <w:pPr>
        <w:rPr>
          <w:rFonts w:eastAsia="Times New Roman" w:cs="Times New Roman"/>
        </w:rPr>
      </w:pPr>
      <w:r>
        <w:rPr>
          <w:rFonts w:eastAsia="Times New Roman" w:cs="Times New Roman"/>
        </w:rPr>
        <w:t>Sarah Lueck</w:t>
      </w:r>
    </w:p>
    <w:p w14:paraId="7B7F12F3" w14:textId="0B174F7E" w:rsidR="00007ECE" w:rsidRDefault="0042181C" w:rsidP="00EF1FC1">
      <w:pPr>
        <w:rPr>
          <w:rFonts w:eastAsia="Times New Roman" w:cs="Times New Roman"/>
        </w:rPr>
      </w:pPr>
      <w:r>
        <w:rPr>
          <w:rFonts w:eastAsia="Times New Roman" w:cs="Times New Roman"/>
        </w:rPr>
        <w:t>Bi</w:t>
      </w:r>
      <w:r w:rsidR="00007ECE">
        <w:rPr>
          <w:rFonts w:eastAsia="Times New Roman" w:cs="Times New Roman"/>
        </w:rPr>
        <w:t>rny Birnbaum</w:t>
      </w:r>
    </w:p>
    <w:p w14:paraId="47334EA6" w14:textId="69BD5CB9" w:rsidR="00007ECE" w:rsidRDefault="00007ECE" w:rsidP="00EF1FC1">
      <w:pPr>
        <w:rPr>
          <w:rFonts w:eastAsia="Times New Roman" w:cs="Times New Roman"/>
        </w:rPr>
      </w:pPr>
      <w:r>
        <w:rPr>
          <w:rFonts w:eastAsia="Times New Roman" w:cs="Times New Roman"/>
        </w:rPr>
        <w:t>Harper Jean Tobin</w:t>
      </w:r>
    </w:p>
    <w:p w14:paraId="534ED6CB" w14:textId="76371585" w:rsidR="00007ECE" w:rsidRDefault="00007ECE" w:rsidP="00EF1FC1">
      <w:pPr>
        <w:rPr>
          <w:rFonts w:eastAsia="Times New Roman" w:cs="Times New Roman"/>
        </w:rPr>
      </w:pPr>
      <w:r>
        <w:rPr>
          <w:rFonts w:eastAsia="Times New Roman" w:cs="Times New Roman"/>
        </w:rPr>
        <w:t>Deb Judy</w:t>
      </w:r>
    </w:p>
    <w:p w14:paraId="209B05B8" w14:textId="7CE17907" w:rsidR="00007ECE" w:rsidRDefault="00007ECE" w:rsidP="00EF1FC1">
      <w:pPr>
        <w:rPr>
          <w:rFonts w:eastAsia="Times New Roman" w:cs="Times New Roman"/>
        </w:rPr>
      </w:pPr>
      <w:r>
        <w:rPr>
          <w:rFonts w:eastAsia="Times New Roman" w:cs="Times New Roman"/>
        </w:rPr>
        <w:t>Betsy Imholz</w:t>
      </w:r>
    </w:p>
    <w:p w14:paraId="3A417991" w14:textId="7794C8A6" w:rsidR="00007ECE" w:rsidRDefault="00007ECE" w:rsidP="00EF1FC1">
      <w:pPr>
        <w:rPr>
          <w:rFonts w:eastAsia="Times New Roman" w:cs="Times New Roman"/>
        </w:rPr>
      </w:pPr>
      <w:r>
        <w:rPr>
          <w:rFonts w:eastAsia="Times New Roman" w:cs="Times New Roman"/>
        </w:rPr>
        <w:t>Linc</w:t>
      </w:r>
      <w:r w:rsidR="0042181C">
        <w:rPr>
          <w:rFonts w:eastAsia="Times New Roman" w:cs="Times New Roman"/>
        </w:rPr>
        <w:t>o</w:t>
      </w:r>
      <w:r>
        <w:rPr>
          <w:rFonts w:eastAsia="Times New Roman" w:cs="Times New Roman"/>
        </w:rPr>
        <w:t>ln Nehring</w:t>
      </w:r>
    </w:p>
    <w:p w14:paraId="70ECFB13" w14:textId="4FA04DF0" w:rsidR="00007ECE" w:rsidRDefault="00007ECE" w:rsidP="00EF1FC1">
      <w:pPr>
        <w:rPr>
          <w:rFonts w:eastAsia="Times New Roman" w:cs="Times New Roman"/>
        </w:rPr>
      </w:pPr>
      <w:r>
        <w:rPr>
          <w:rFonts w:eastAsia="Times New Roman" w:cs="Times New Roman"/>
        </w:rPr>
        <w:t>Lucy Culp</w:t>
      </w:r>
    </w:p>
    <w:p w14:paraId="2C40DE63" w14:textId="09E1931A" w:rsidR="00007ECE" w:rsidRDefault="00007ECE" w:rsidP="00EF1FC1">
      <w:pPr>
        <w:rPr>
          <w:rFonts w:eastAsia="Times New Roman" w:cs="Times New Roman"/>
        </w:rPr>
      </w:pPr>
      <w:r>
        <w:rPr>
          <w:rFonts w:eastAsia="Times New Roman" w:cs="Times New Roman"/>
        </w:rPr>
        <w:t>Andrew Sperling</w:t>
      </w:r>
    </w:p>
    <w:p w14:paraId="53DABF16" w14:textId="78B5F924" w:rsidR="00007ECE" w:rsidRDefault="00007ECE" w:rsidP="00EF1FC1">
      <w:pPr>
        <w:rPr>
          <w:rFonts w:eastAsia="Times New Roman" w:cs="Times New Roman"/>
        </w:rPr>
      </w:pPr>
      <w:r>
        <w:rPr>
          <w:rFonts w:eastAsia="Times New Roman" w:cs="Times New Roman"/>
        </w:rPr>
        <w:t>Laura Colbert</w:t>
      </w:r>
    </w:p>
    <w:p w14:paraId="2DD4F356" w14:textId="12CA4A49" w:rsidR="00007ECE" w:rsidRDefault="00007ECE" w:rsidP="00EF1FC1">
      <w:pPr>
        <w:rPr>
          <w:rFonts w:eastAsia="Times New Roman" w:cs="Times New Roman"/>
        </w:rPr>
      </w:pPr>
      <w:r>
        <w:rPr>
          <w:rFonts w:eastAsia="Times New Roman" w:cs="Times New Roman"/>
        </w:rPr>
        <w:t>Anna Schwamlein Howard</w:t>
      </w:r>
    </w:p>
    <w:p w14:paraId="7823DC60" w14:textId="4562CE72" w:rsidR="00007ECE" w:rsidRDefault="00007ECE" w:rsidP="00EF1FC1">
      <w:pPr>
        <w:rPr>
          <w:rFonts w:eastAsia="Times New Roman" w:cs="Times New Roman"/>
        </w:rPr>
      </w:pPr>
      <w:r>
        <w:rPr>
          <w:rFonts w:eastAsia="Times New Roman" w:cs="Times New Roman"/>
        </w:rPr>
        <w:t>Deb Darcy</w:t>
      </w:r>
    </w:p>
    <w:p w14:paraId="75908C49" w14:textId="7A96C40D" w:rsidR="00007ECE" w:rsidRDefault="00007ECE" w:rsidP="00EF1FC1">
      <w:pPr>
        <w:rPr>
          <w:rFonts w:eastAsia="Times New Roman" w:cs="Times New Roman"/>
        </w:rPr>
      </w:pPr>
      <w:r>
        <w:rPr>
          <w:rFonts w:eastAsia="Times New Roman" w:cs="Times New Roman"/>
        </w:rPr>
        <w:t>Marguerite Herman</w:t>
      </w:r>
    </w:p>
    <w:p w14:paraId="1555C908" w14:textId="170DF7E6" w:rsidR="006230B0" w:rsidRDefault="006230B0" w:rsidP="00EF1FC1">
      <w:pPr>
        <w:rPr>
          <w:rFonts w:eastAsia="Times New Roman" w:cs="Times New Roman"/>
        </w:rPr>
      </w:pPr>
      <w:r>
        <w:rPr>
          <w:rFonts w:eastAsia="Times New Roman" w:cs="Times New Roman"/>
        </w:rPr>
        <w:t>Silvia Yee</w:t>
      </w:r>
    </w:p>
    <w:p w14:paraId="78BD0DF7" w14:textId="7B7CA711" w:rsidR="002B3AFF" w:rsidRDefault="002B3AFF" w:rsidP="00EF1FC1">
      <w:pPr>
        <w:rPr>
          <w:rFonts w:eastAsia="Times New Roman" w:cs="Times New Roman"/>
        </w:rPr>
      </w:pPr>
      <w:r>
        <w:rPr>
          <w:rFonts w:eastAsia="Times New Roman" w:cs="Times New Roman"/>
        </w:rPr>
        <w:t>Lorri Unumb</w:t>
      </w:r>
    </w:p>
    <w:p w14:paraId="07CDC148" w14:textId="7822350D" w:rsidR="002B3AFF" w:rsidRDefault="002B3AFF" w:rsidP="00EF1FC1">
      <w:pPr>
        <w:rPr>
          <w:rFonts w:eastAsia="Times New Roman" w:cs="Times New Roman"/>
        </w:rPr>
      </w:pPr>
      <w:r>
        <w:rPr>
          <w:rFonts w:eastAsia="Times New Roman" w:cs="Times New Roman"/>
        </w:rPr>
        <w:t>Brendan Riley</w:t>
      </w:r>
    </w:p>
    <w:p w14:paraId="3788F5A2" w14:textId="1C44260A" w:rsidR="00FD7261" w:rsidRDefault="00FD7261" w:rsidP="00EF1FC1">
      <w:pPr>
        <w:rPr>
          <w:rFonts w:eastAsia="Times New Roman" w:cs="Times New Roman"/>
        </w:rPr>
      </w:pPr>
      <w:r>
        <w:rPr>
          <w:rFonts w:eastAsia="Times New Roman" w:cs="Times New Roman"/>
        </w:rPr>
        <w:t>Katie Keith</w:t>
      </w:r>
    </w:p>
    <w:sectPr w:rsidR="00FD7261" w:rsidSect="005C54C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1B16F" w14:textId="77777777" w:rsidR="00110218" w:rsidRDefault="00110218" w:rsidP="002F5922">
      <w:r>
        <w:separator/>
      </w:r>
    </w:p>
  </w:endnote>
  <w:endnote w:type="continuationSeparator" w:id="0">
    <w:p w14:paraId="36471ED4" w14:textId="77777777" w:rsidR="00110218" w:rsidRDefault="00110218" w:rsidP="002F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A199A" w14:textId="77777777" w:rsidR="0042181C" w:rsidRDefault="0042181C" w:rsidP="0042181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77E03" w14:textId="77777777" w:rsidR="0042181C" w:rsidRDefault="0042181C" w:rsidP="004218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7352" w14:textId="77777777" w:rsidR="0042181C" w:rsidRDefault="0042181C" w:rsidP="0042181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633">
      <w:rPr>
        <w:rStyle w:val="PageNumber"/>
        <w:noProof/>
      </w:rPr>
      <w:t>2</w:t>
    </w:r>
    <w:r>
      <w:rPr>
        <w:rStyle w:val="PageNumber"/>
      </w:rPr>
      <w:fldChar w:fldCharType="end"/>
    </w:r>
  </w:p>
  <w:p w14:paraId="02120336" w14:textId="349640AB" w:rsidR="00B11A7F" w:rsidRDefault="00B11A7F" w:rsidP="0042181C">
    <w:pPr>
      <w:pStyle w:val="Footer"/>
      <w:ind w:right="360"/>
      <w:jc w:val="center"/>
    </w:pPr>
  </w:p>
  <w:p w14:paraId="1F095155" w14:textId="77777777" w:rsidR="00B11A7F" w:rsidRDefault="00B11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E4AB9" w14:textId="77777777" w:rsidR="00110218" w:rsidRDefault="00110218" w:rsidP="002F5922">
      <w:r>
        <w:separator/>
      </w:r>
    </w:p>
  </w:footnote>
  <w:footnote w:type="continuationSeparator" w:id="0">
    <w:p w14:paraId="5134EA56" w14:textId="77777777" w:rsidR="00110218" w:rsidRDefault="00110218" w:rsidP="002F5922">
      <w:r>
        <w:continuationSeparator/>
      </w:r>
    </w:p>
  </w:footnote>
  <w:footnote w:id="1">
    <w:p w14:paraId="0A352775" w14:textId="77777777" w:rsidR="002F5922" w:rsidRPr="006E1376" w:rsidRDefault="002F5922" w:rsidP="002F5922">
      <w:pPr>
        <w:pStyle w:val="FootnoteText"/>
      </w:pPr>
      <w:r w:rsidRPr="00A0514B">
        <w:rPr>
          <w:rStyle w:val="FootnoteReference"/>
        </w:rPr>
        <w:footnoteRef/>
      </w:r>
      <w:r w:rsidRPr="006E1376">
        <w:t xml:space="preserve"> </w:t>
      </w:r>
      <w:r w:rsidRPr="006E1376">
        <w:rPr>
          <w:i/>
        </w:rPr>
        <w:t>AARP v. EEOC,</w:t>
      </w:r>
      <w:r w:rsidRPr="006E1376">
        <w:t xml:space="preserve"> No. 16-2113 (D.D.C. August 22, 2017), 2017 U.S. Dist. LEXIS 133650.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64723"/>
    <w:multiLevelType w:val="hybridMultilevel"/>
    <w:tmpl w:val="B16AE2F6"/>
    <w:lvl w:ilvl="0" w:tplc="66123CD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D28D4"/>
    <w:multiLevelType w:val="hybridMultilevel"/>
    <w:tmpl w:val="E4C4CD28"/>
    <w:lvl w:ilvl="0" w:tplc="9CFA8F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D03598"/>
    <w:multiLevelType w:val="hybridMultilevel"/>
    <w:tmpl w:val="AABEBDDE"/>
    <w:lvl w:ilvl="0" w:tplc="E444BDCA">
      <w:start w:val="1"/>
      <w:numFmt w:val="decimal"/>
      <w:lvlText w:val="%1."/>
      <w:lvlJc w:val="left"/>
      <w:pPr>
        <w:ind w:left="720" w:hanging="360"/>
      </w:pPr>
    </w:lvl>
    <w:lvl w:ilvl="1" w:tplc="6D5E28BE">
      <w:start w:val="1"/>
      <w:numFmt w:val="lowerLetter"/>
      <w:lvlText w:val="%2."/>
      <w:lvlJc w:val="left"/>
      <w:pPr>
        <w:ind w:left="1440" w:hanging="360"/>
      </w:pPr>
      <w:rPr>
        <w:i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C1"/>
    <w:rsid w:val="00007ECE"/>
    <w:rsid w:val="0003307B"/>
    <w:rsid w:val="0003496B"/>
    <w:rsid w:val="00047987"/>
    <w:rsid w:val="00050D2B"/>
    <w:rsid w:val="000D0D80"/>
    <w:rsid w:val="000F5871"/>
    <w:rsid w:val="00100306"/>
    <w:rsid w:val="00110218"/>
    <w:rsid w:val="0012498D"/>
    <w:rsid w:val="001612F2"/>
    <w:rsid w:val="00170C2E"/>
    <w:rsid w:val="001833AC"/>
    <w:rsid w:val="00185338"/>
    <w:rsid w:val="001B5CB1"/>
    <w:rsid w:val="001F5375"/>
    <w:rsid w:val="002316E8"/>
    <w:rsid w:val="002679CB"/>
    <w:rsid w:val="002A59D6"/>
    <w:rsid w:val="002B3AFF"/>
    <w:rsid w:val="002E23F8"/>
    <w:rsid w:val="002F5922"/>
    <w:rsid w:val="003E188B"/>
    <w:rsid w:val="003E3D9F"/>
    <w:rsid w:val="003E4061"/>
    <w:rsid w:val="0042181C"/>
    <w:rsid w:val="00477647"/>
    <w:rsid w:val="00491A50"/>
    <w:rsid w:val="005447E3"/>
    <w:rsid w:val="00571E4A"/>
    <w:rsid w:val="005B11C9"/>
    <w:rsid w:val="005C54C9"/>
    <w:rsid w:val="005F69BE"/>
    <w:rsid w:val="006022BE"/>
    <w:rsid w:val="006144E2"/>
    <w:rsid w:val="006230B0"/>
    <w:rsid w:val="0066591A"/>
    <w:rsid w:val="006973A4"/>
    <w:rsid w:val="006C69CA"/>
    <w:rsid w:val="006E7C4B"/>
    <w:rsid w:val="006F23F3"/>
    <w:rsid w:val="00724063"/>
    <w:rsid w:val="007E2216"/>
    <w:rsid w:val="007E3AEF"/>
    <w:rsid w:val="0083730A"/>
    <w:rsid w:val="00837560"/>
    <w:rsid w:val="008630ED"/>
    <w:rsid w:val="00865061"/>
    <w:rsid w:val="008764A7"/>
    <w:rsid w:val="00910198"/>
    <w:rsid w:val="0093711C"/>
    <w:rsid w:val="00994E53"/>
    <w:rsid w:val="009B7D31"/>
    <w:rsid w:val="009E3D94"/>
    <w:rsid w:val="009E5633"/>
    <w:rsid w:val="00A05FD2"/>
    <w:rsid w:val="00A51A9D"/>
    <w:rsid w:val="00A92F5F"/>
    <w:rsid w:val="00AF1B95"/>
    <w:rsid w:val="00B11A7F"/>
    <w:rsid w:val="00B26E4E"/>
    <w:rsid w:val="00BA4066"/>
    <w:rsid w:val="00BC3F19"/>
    <w:rsid w:val="00BC46D7"/>
    <w:rsid w:val="00C77D15"/>
    <w:rsid w:val="00CE24DD"/>
    <w:rsid w:val="00CF4086"/>
    <w:rsid w:val="00E15B76"/>
    <w:rsid w:val="00E34013"/>
    <w:rsid w:val="00EF1FC1"/>
    <w:rsid w:val="00F42146"/>
    <w:rsid w:val="00F42956"/>
    <w:rsid w:val="00FC4001"/>
    <w:rsid w:val="00FD7261"/>
    <w:rsid w:val="00FF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EB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06"/>
    <w:pPr>
      <w:ind w:left="720"/>
      <w:contextualSpacing/>
    </w:pPr>
  </w:style>
  <w:style w:type="character" w:styleId="CommentReference">
    <w:name w:val="annotation reference"/>
    <w:basedOn w:val="DefaultParagraphFont"/>
    <w:uiPriority w:val="99"/>
    <w:unhideWhenUsed/>
    <w:rsid w:val="002316E8"/>
    <w:rPr>
      <w:sz w:val="16"/>
      <w:szCs w:val="16"/>
    </w:rPr>
  </w:style>
  <w:style w:type="paragraph" w:styleId="CommentText">
    <w:name w:val="annotation text"/>
    <w:basedOn w:val="Normal"/>
    <w:link w:val="CommentTextChar"/>
    <w:uiPriority w:val="99"/>
    <w:unhideWhenUsed/>
    <w:rsid w:val="002316E8"/>
    <w:rPr>
      <w:sz w:val="20"/>
      <w:szCs w:val="20"/>
    </w:rPr>
  </w:style>
  <w:style w:type="character" w:customStyle="1" w:styleId="CommentTextChar">
    <w:name w:val="Comment Text Char"/>
    <w:basedOn w:val="DefaultParagraphFont"/>
    <w:link w:val="CommentText"/>
    <w:uiPriority w:val="99"/>
    <w:rsid w:val="002316E8"/>
    <w:rPr>
      <w:sz w:val="20"/>
      <w:szCs w:val="20"/>
    </w:rPr>
  </w:style>
  <w:style w:type="paragraph" w:styleId="CommentSubject">
    <w:name w:val="annotation subject"/>
    <w:basedOn w:val="CommentText"/>
    <w:next w:val="CommentText"/>
    <w:link w:val="CommentSubjectChar"/>
    <w:uiPriority w:val="99"/>
    <w:semiHidden/>
    <w:unhideWhenUsed/>
    <w:rsid w:val="002316E8"/>
    <w:rPr>
      <w:b/>
      <w:bCs/>
    </w:rPr>
  </w:style>
  <w:style w:type="character" w:customStyle="1" w:styleId="CommentSubjectChar">
    <w:name w:val="Comment Subject Char"/>
    <w:basedOn w:val="CommentTextChar"/>
    <w:link w:val="CommentSubject"/>
    <w:uiPriority w:val="99"/>
    <w:semiHidden/>
    <w:rsid w:val="002316E8"/>
    <w:rPr>
      <w:b/>
      <w:bCs/>
      <w:sz w:val="20"/>
      <w:szCs w:val="20"/>
    </w:rPr>
  </w:style>
  <w:style w:type="paragraph" w:styleId="BalloonText">
    <w:name w:val="Balloon Text"/>
    <w:basedOn w:val="Normal"/>
    <w:link w:val="BalloonTextChar"/>
    <w:uiPriority w:val="99"/>
    <w:semiHidden/>
    <w:unhideWhenUsed/>
    <w:rsid w:val="00231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E8"/>
    <w:rPr>
      <w:rFonts w:ascii="Segoe UI" w:hAnsi="Segoe UI" w:cs="Segoe UI"/>
      <w:sz w:val="18"/>
      <w:szCs w:val="18"/>
    </w:rPr>
  </w:style>
  <w:style w:type="character" w:styleId="Hyperlink">
    <w:name w:val="Hyperlink"/>
    <w:basedOn w:val="DefaultParagraphFont"/>
    <w:uiPriority w:val="99"/>
    <w:unhideWhenUsed/>
    <w:rsid w:val="0066591A"/>
    <w:rPr>
      <w:color w:val="0563C1" w:themeColor="hyperlink"/>
      <w:u w:val="single"/>
    </w:rPr>
  </w:style>
  <w:style w:type="character" w:styleId="FootnoteReference">
    <w:name w:val="footnote reference"/>
    <w:rsid w:val="002F5922"/>
    <w:rPr>
      <w:position w:val="6"/>
      <w:sz w:val="16"/>
    </w:rPr>
  </w:style>
  <w:style w:type="paragraph" w:styleId="FootnoteText">
    <w:name w:val="footnote text"/>
    <w:basedOn w:val="Normal"/>
    <w:link w:val="FootnoteTextChar1"/>
    <w:uiPriority w:val="99"/>
    <w:unhideWhenUsed/>
    <w:rsid w:val="002F5922"/>
    <w:pPr>
      <w:widowControl w:val="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F5922"/>
  </w:style>
  <w:style w:type="character" w:customStyle="1" w:styleId="FootnoteTextChar1">
    <w:name w:val="Footnote Text Char1"/>
    <w:basedOn w:val="DefaultParagraphFont"/>
    <w:link w:val="FootnoteText"/>
    <w:uiPriority w:val="99"/>
    <w:rsid w:val="002F5922"/>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FF2967"/>
    <w:rPr>
      <w:rFonts w:ascii="Times New Roman" w:hAnsi="Times New Roman" w:cs="Times New Roman"/>
    </w:rPr>
  </w:style>
  <w:style w:type="character" w:customStyle="1" w:styleId="DocumentMapChar">
    <w:name w:val="Document Map Char"/>
    <w:basedOn w:val="DefaultParagraphFont"/>
    <w:link w:val="DocumentMap"/>
    <w:uiPriority w:val="99"/>
    <w:semiHidden/>
    <w:rsid w:val="00FF2967"/>
    <w:rPr>
      <w:rFonts w:ascii="Times New Roman" w:hAnsi="Times New Roman" w:cs="Times New Roman"/>
    </w:rPr>
  </w:style>
  <w:style w:type="paragraph" w:styleId="Header">
    <w:name w:val="header"/>
    <w:basedOn w:val="Normal"/>
    <w:link w:val="HeaderChar"/>
    <w:uiPriority w:val="99"/>
    <w:unhideWhenUsed/>
    <w:rsid w:val="00B11A7F"/>
    <w:pPr>
      <w:tabs>
        <w:tab w:val="center" w:pos="4680"/>
        <w:tab w:val="right" w:pos="9360"/>
      </w:tabs>
    </w:pPr>
  </w:style>
  <w:style w:type="character" w:customStyle="1" w:styleId="HeaderChar">
    <w:name w:val="Header Char"/>
    <w:basedOn w:val="DefaultParagraphFont"/>
    <w:link w:val="Header"/>
    <w:uiPriority w:val="99"/>
    <w:rsid w:val="00B11A7F"/>
  </w:style>
  <w:style w:type="paragraph" w:styleId="Footer">
    <w:name w:val="footer"/>
    <w:basedOn w:val="Normal"/>
    <w:link w:val="FooterChar"/>
    <w:uiPriority w:val="99"/>
    <w:unhideWhenUsed/>
    <w:rsid w:val="00B11A7F"/>
    <w:pPr>
      <w:tabs>
        <w:tab w:val="center" w:pos="4680"/>
        <w:tab w:val="right" w:pos="9360"/>
      </w:tabs>
    </w:pPr>
  </w:style>
  <w:style w:type="character" w:customStyle="1" w:styleId="FooterChar">
    <w:name w:val="Footer Char"/>
    <w:basedOn w:val="DefaultParagraphFont"/>
    <w:link w:val="Footer"/>
    <w:uiPriority w:val="99"/>
    <w:rsid w:val="00B11A7F"/>
  </w:style>
  <w:style w:type="character" w:styleId="PageNumber">
    <w:name w:val="page number"/>
    <w:basedOn w:val="DefaultParagraphFont"/>
    <w:uiPriority w:val="99"/>
    <w:semiHidden/>
    <w:unhideWhenUsed/>
    <w:rsid w:val="00421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6816">
      <w:bodyDiv w:val="1"/>
      <w:marLeft w:val="0"/>
      <w:marRight w:val="0"/>
      <w:marTop w:val="0"/>
      <w:marBottom w:val="0"/>
      <w:divBdr>
        <w:top w:val="none" w:sz="0" w:space="0" w:color="auto"/>
        <w:left w:val="none" w:sz="0" w:space="0" w:color="auto"/>
        <w:bottom w:val="none" w:sz="0" w:space="0" w:color="auto"/>
        <w:right w:val="none" w:sz="0" w:space="0" w:color="auto"/>
      </w:divBdr>
    </w:div>
    <w:div w:id="213584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volk@georgetow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8C37AD-D92B-4C86-8D0F-C411C587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77663079</Template>
  <TotalTime>0</TotalTime>
  <Pages>2</Pages>
  <Words>689</Words>
  <Characters>3932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Volk</dc:creator>
  <cp:keywords/>
  <dc:description/>
  <cp:lastModifiedBy>Hyman, Alexis</cp:lastModifiedBy>
  <cp:revision>2</cp:revision>
  <dcterms:created xsi:type="dcterms:W3CDTF">2018-10-30T12:42:00Z</dcterms:created>
  <dcterms:modified xsi:type="dcterms:W3CDTF">2018-10-30T12:42:00Z</dcterms:modified>
</cp:coreProperties>
</file>