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55AB" w14:textId="47A83623" w:rsidR="005C65D4" w:rsidRPr="00846E30" w:rsidRDefault="00EC1599" w:rsidP="005C65D4">
      <w:pPr>
        <w:pStyle w:val="Heading1"/>
        <w:ind w:left="0"/>
        <w:rPr>
          <w:rFonts w:cs="Times New Roman"/>
          <w:b w:val="0"/>
          <w:spacing w:val="-2"/>
          <w:sz w:val="20"/>
          <w:szCs w:val="20"/>
        </w:rPr>
      </w:pPr>
      <w:bookmarkStart w:id="0" w:name="_GoBack"/>
      <w:bookmarkEnd w:id="0"/>
      <w:r>
        <w:rPr>
          <w:rFonts w:cs="Times New Roman"/>
          <w:b w:val="0"/>
          <w:spacing w:val="-2"/>
          <w:sz w:val="20"/>
          <w:szCs w:val="20"/>
        </w:rPr>
        <w:t>8</w:t>
      </w:r>
      <w:r w:rsidR="001D5295">
        <w:rPr>
          <w:rFonts w:cs="Times New Roman"/>
          <w:b w:val="0"/>
          <w:spacing w:val="-2"/>
          <w:sz w:val="20"/>
          <w:szCs w:val="20"/>
        </w:rPr>
        <w:t>/</w:t>
      </w:r>
      <w:r w:rsidR="006C4F9E">
        <w:rPr>
          <w:rFonts w:cs="Times New Roman"/>
          <w:b w:val="0"/>
          <w:spacing w:val="-2"/>
          <w:sz w:val="20"/>
          <w:szCs w:val="20"/>
        </w:rPr>
        <w:t>1</w:t>
      </w:r>
      <w:r>
        <w:rPr>
          <w:rFonts w:cs="Times New Roman"/>
          <w:b w:val="0"/>
          <w:spacing w:val="-2"/>
          <w:sz w:val="20"/>
          <w:szCs w:val="20"/>
        </w:rPr>
        <w:t>1</w:t>
      </w:r>
      <w:r w:rsidR="001D5295">
        <w:rPr>
          <w:rFonts w:cs="Times New Roman"/>
          <w:b w:val="0"/>
          <w:spacing w:val="-2"/>
          <w:sz w:val="20"/>
          <w:szCs w:val="20"/>
        </w:rPr>
        <w:t>/2016</w:t>
      </w:r>
      <w:r w:rsidR="000733F9">
        <w:rPr>
          <w:rFonts w:cs="Times New Roman"/>
          <w:b w:val="0"/>
          <w:spacing w:val="-2"/>
          <w:sz w:val="20"/>
          <w:szCs w:val="20"/>
        </w:rPr>
        <w:t xml:space="preserve"> - 2/</w:t>
      </w:r>
      <w:r w:rsidR="00C920AD" w:rsidRPr="00464016">
        <w:rPr>
          <w:rFonts w:cs="Times New Roman"/>
          <w:b w:val="0"/>
          <w:spacing w:val="-2"/>
          <w:sz w:val="20"/>
          <w:szCs w:val="20"/>
        </w:rPr>
        <w:t>2</w:t>
      </w:r>
      <w:r w:rsidR="00F27837">
        <w:rPr>
          <w:rFonts w:cs="Times New Roman"/>
          <w:b w:val="0"/>
          <w:spacing w:val="-2"/>
          <w:sz w:val="20"/>
          <w:szCs w:val="20"/>
        </w:rPr>
        <w:t>7</w:t>
      </w:r>
      <w:r w:rsidR="006147CA" w:rsidRPr="00464016">
        <w:rPr>
          <w:rFonts w:cs="Times New Roman"/>
          <w:b w:val="0"/>
          <w:spacing w:val="-2"/>
          <w:sz w:val="20"/>
          <w:szCs w:val="20"/>
        </w:rPr>
        <w:t>/</w:t>
      </w:r>
      <w:r w:rsidR="006147CA">
        <w:rPr>
          <w:rFonts w:cs="Times New Roman"/>
          <w:b w:val="0"/>
          <w:spacing w:val="-2"/>
          <w:sz w:val="20"/>
          <w:szCs w:val="20"/>
        </w:rPr>
        <w:t>17 draft improvements</w:t>
      </w:r>
    </w:p>
    <w:p w14:paraId="5A1161DA" w14:textId="77777777" w:rsidR="005C65D4" w:rsidRPr="0015055B" w:rsidRDefault="005C65D4" w:rsidP="005C65D4">
      <w:pPr>
        <w:pStyle w:val="Heading1"/>
        <w:ind w:left="0"/>
        <w:rPr>
          <w:rFonts w:cs="Times New Roman"/>
          <w:b w:val="0"/>
          <w:spacing w:val="-2"/>
          <w:sz w:val="20"/>
          <w:szCs w:val="20"/>
        </w:rPr>
      </w:pPr>
    </w:p>
    <w:p w14:paraId="3BD8C60B" w14:textId="035ADCD9" w:rsidR="00035C33" w:rsidRPr="00BF2137" w:rsidRDefault="00035C33" w:rsidP="00035C33">
      <w:pPr>
        <w:pStyle w:val="Heading1"/>
        <w:spacing w:before="78" w:after="240"/>
        <w:ind w:left="3"/>
        <w:jc w:val="center"/>
        <w:rPr>
          <w:rFonts w:cs="Times New Roman"/>
          <w:b w:val="0"/>
          <w:bCs w:val="0"/>
          <w:sz w:val="20"/>
          <w:szCs w:val="20"/>
        </w:rPr>
      </w:pPr>
      <w:r w:rsidRPr="00BF2137">
        <w:rPr>
          <w:rFonts w:cs="Times New Roman"/>
          <w:spacing w:val="-2"/>
          <w:sz w:val="20"/>
          <w:szCs w:val="20"/>
        </w:rPr>
        <w:t>Ac</w:t>
      </w:r>
      <w:r w:rsidRPr="00BF2137">
        <w:rPr>
          <w:rFonts w:cs="Times New Roman"/>
          <w:spacing w:val="-1"/>
          <w:sz w:val="20"/>
          <w:szCs w:val="20"/>
        </w:rPr>
        <w:t>t</w:t>
      </w:r>
      <w:r w:rsidRPr="00BF2137">
        <w:rPr>
          <w:rFonts w:cs="Times New Roman"/>
          <w:spacing w:val="-2"/>
          <w:sz w:val="20"/>
          <w:szCs w:val="20"/>
        </w:rPr>
        <w:t>uar</w:t>
      </w:r>
      <w:r w:rsidRPr="00BF2137">
        <w:rPr>
          <w:rFonts w:cs="Times New Roman"/>
          <w:sz w:val="20"/>
          <w:szCs w:val="20"/>
        </w:rPr>
        <w:t>ial</w:t>
      </w:r>
      <w:r w:rsidRPr="00BF2137">
        <w:rPr>
          <w:rFonts w:cs="Times New Roman"/>
          <w:spacing w:val="-1"/>
          <w:sz w:val="20"/>
          <w:szCs w:val="20"/>
        </w:rPr>
        <w:t xml:space="preserve"> G</w:t>
      </w:r>
      <w:r w:rsidRPr="00BF2137">
        <w:rPr>
          <w:rFonts w:cs="Times New Roman"/>
          <w:spacing w:val="-2"/>
          <w:sz w:val="20"/>
          <w:szCs w:val="20"/>
        </w:rPr>
        <w:t>u</w:t>
      </w:r>
      <w:r w:rsidRPr="00BF2137">
        <w:rPr>
          <w:rFonts w:cs="Times New Roman"/>
          <w:sz w:val="20"/>
          <w:szCs w:val="20"/>
        </w:rPr>
        <w:t>id</w:t>
      </w:r>
      <w:r w:rsidRPr="00BF2137">
        <w:rPr>
          <w:rFonts w:cs="Times New Roman"/>
          <w:spacing w:val="-2"/>
          <w:sz w:val="20"/>
          <w:szCs w:val="20"/>
        </w:rPr>
        <w:t>e</w:t>
      </w:r>
      <w:r w:rsidRPr="00BF2137">
        <w:rPr>
          <w:rFonts w:cs="Times New Roman"/>
          <w:spacing w:val="-1"/>
          <w:sz w:val="20"/>
          <w:szCs w:val="20"/>
        </w:rPr>
        <w:t>l</w:t>
      </w:r>
      <w:r w:rsidRPr="00BF2137">
        <w:rPr>
          <w:rFonts w:cs="Times New Roman"/>
          <w:sz w:val="20"/>
          <w:szCs w:val="20"/>
        </w:rPr>
        <w:t>ine</w:t>
      </w:r>
      <w:r w:rsidRPr="00BF2137">
        <w:rPr>
          <w:rFonts w:cs="Times New Roman"/>
          <w:spacing w:val="-2"/>
          <w:sz w:val="20"/>
          <w:szCs w:val="20"/>
        </w:rPr>
        <w:t xml:space="preserve"> </w:t>
      </w:r>
      <w:r w:rsidR="001D5295">
        <w:rPr>
          <w:rFonts w:cs="Times New Roman"/>
          <w:spacing w:val="-2"/>
          <w:sz w:val="20"/>
          <w:szCs w:val="20"/>
        </w:rPr>
        <w:t>LTC</w:t>
      </w:r>
    </w:p>
    <w:p w14:paraId="06325DE1" w14:textId="42A3FD3E" w:rsidR="00035C33" w:rsidRPr="00BF2137" w:rsidRDefault="00582777" w:rsidP="00035C33">
      <w:pPr>
        <w:spacing w:after="240"/>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THE APPLICATION OF </w:t>
      </w:r>
      <w:r w:rsidR="0060156E">
        <w:rPr>
          <w:rFonts w:ascii="Times New Roman" w:eastAsia="Times New Roman" w:hAnsi="Times New Roman" w:cs="Times New Roman"/>
          <w:b/>
          <w:bCs/>
          <w:spacing w:val="-2"/>
          <w:sz w:val="20"/>
          <w:szCs w:val="20"/>
        </w:rPr>
        <w:t>ASSET ADEQUACY</w:t>
      </w:r>
      <w:r>
        <w:rPr>
          <w:rFonts w:ascii="Times New Roman" w:eastAsia="Times New Roman" w:hAnsi="Times New Roman" w:cs="Times New Roman"/>
          <w:b/>
          <w:bCs/>
          <w:spacing w:val="-2"/>
          <w:sz w:val="20"/>
          <w:szCs w:val="20"/>
        </w:rPr>
        <w:t xml:space="preserve"> TESTING </w:t>
      </w:r>
      <w:r w:rsidR="0060156E">
        <w:rPr>
          <w:rFonts w:ascii="Times New Roman" w:eastAsia="Times New Roman" w:hAnsi="Times New Roman" w:cs="Times New Roman"/>
          <w:b/>
          <w:bCs/>
          <w:spacing w:val="-2"/>
          <w:sz w:val="20"/>
          <w:szCs w:val="20"/>
        </w:rPr>
        <w:t>TO</w:t>
      </w:r>
      <w:r>
        <w:rPr>
          <w:rFonts w:ascii="Times New Roman" w:eastAsia="Times New Roman" w:hAnsi="Times New Roman" w:cs="Times New Roman"/>
          <w:b/>
          <w:bCs/>
          <w:spacing w:val="-2"/>
          <w:sz w:val="20"/>
          <w:szCs w:val="20"/>
        </w:rPr>
        <w:t xml:space="preserve"> LONG-TERM CARE INSURANCE RESERVES</w:t>
      </w:r>
    </w:p>
    <w:p w14:paraId="554837F6" w14:textId="77777777" w:rsidR="00035C33" w:rsidRPr="00BF2137" w:rsidRDefault="00035C33" w:rsidP="00FB4616">
      <w:pPr>
        <w:spacing w:after="240"/>
        <w:ind w:left="3"/>
        <w:jc w:val="both"/>
        <w:rPr>
          <w:rFonts w:ascii="Times New Roman" w:eastAsia="Times New Roman" w:hAnsi="Times New Roman" w:cs="Times New Roman"/>
          <w:sz w:val="20"/>
          <w:szCs w:val="20"/>
        </w:rPr>
      </w:pPr>
      <w:r w:rsidRPr="00BF2137">
        <w:rPr>
          <w:rFonts w:ascii="Times New Roman" w:eastAsia="Times New Roman" w:hAnsi="Times New Roman" w:cs="Times New Roman"/>
          <w:b/>
          <w:bCs/>
          <w:spacing w:val="1"/>
          <w:sz w:val="20"/>
          <w:szCs w:val="20"/>
        </w:rPr>
        <w:t>B</w:t>
      </w:r>
      <w:r w:rsidRPr="00BF2137">
        <w:rPr>
          <w:rFonts w:ascii="Times New Roman" w:eastAsia="Times New Roman" w:hAnsi="Times New Roman" w:cs="Times New Roman"/>
          <w:b/>
          <w:bCs/>
          <w:sz w:val="20"/>
          <w:szCs w:val="20"/>
        </w:rPr>
        <w:t>ac</w:t>
      </w:r>
      <w:r w:rsidRPr="00BF2137">
        <w:rPr>
          <w:rFonts w:ascii="Times New Roman" w:eastAsia="Times New Roman" w:hAnsi="Times New Roman" w:cs="Times New Roman"/>
          <w:b/>
          <w:bCs/>
          <w:spacing w:val="-3"/>
          <w:sz w:val="20"/>
          <w:szCs w:val="20"/>
        </w:rPr>
        <w:t>k</w:t>
      </w:r>
      <w:r w:rsidRPr="00BF2137">
        <w:rPr>
          <w:rFonts w:ascii="Times New Roman" w:eastAsia="Times New Roman" w:hAnsi="Times New Roman" w:cs="Times New Roman"/>
          <w:b/>
          <w:bCs/>
          <w:sz w:val="20"/>
          <w:szCs w:val="20"/>
        </w:rPr>
        <w:t>ground</w:t>
      </w:r>
    </w:p>
    <w:p w14:paraId="2BDBD598" w14:textId="1673B3FA" w:rsidR="00035C33" w:rsidRPr="0098488C" w:rsidRDefault="00035C33" w:rsidP="0060156E">
      <w:pPr>
        <w:pStyle w:val="BodyText"/>
        <w:spacing w:before="1" w:after="240"/>
        <w:ind w:left="3"/>
        <w:jc w:val="both"/>
        <w:rPr>
          <w:rFonts w:cs="Times New Roman"/>
          <w:spacing w:val="1"/>
          <w:sz w:val="20"/>
          <w:szCs w:val="20"/>
        </w:rPr>
      </w:pPr>
      <w:r w:rsidRPr="0098488C">
        <w:rPr>
          <w:rFonts w:cs="Times New Roman"/>
          <w:spacing w:val="1"/>
          <w:sz w:val="20"/>
          <w:szCs w:val="20"/>
        </w:rPr>
        <w:t xml:space="preserve">The </w:t>
      </w:r>
      <w:r w:rsidR="001D5295">
        <w:rPr>
          <w:rFonts w:cs="Times New Roman"/>
          <w:i/>
          <w:spacing w:val="1"/>
          <w:sz w:val="20"/>
          <w:szCs w:val="20"/>
        </w:rPr>
        <w:t>Health Insurance Reserves Model Regulation (#010)</w:t>
      </w:r>
      <w:r w:rsidRPr="0098488C">
        <w:rPr>
          <w:rFonts w:cs="Times New Roman"/>
          <w:spacing w:val="1"/>
          <w:sz w:val="20"/>
          <w:szCs w:val="20"/>
        </w:rPr>
        <w:t xml:space="preserve"> </w:t>
      </w:r>
      <w:r w:rsidR="0060156E">
        <w:rPr>
          <w:rFonts w:cs="Times New Roman"/>
          <w:spacing w:val="1"/>
          <w:sz w:val="20"/>
          <w:szCs w:val="20"/>
        </w:rPr>
        <w:t xml:space="preserve">and the </w:t>
      </w:r>
      <w:r w:rsidR="0060156E" w:rsidRPr="0060156E">
        <w:rPr>
          <w:rFonts w:cs="Times New Roman"/>
          <w:i/>
          <w:spacing w:val="1"/>
          <w:sz w:val="20"/>
          <w:szCs w:val="20"/>
        </w:rPr>
        <w:t>NAIC Valuation Manual (VM-25)</w:t>
      </w:r>
      <w:r w:rsidR="0060156E">
        <w:rPr>
          <w:rFonts w:cs="Times New Roman"/>
          <w:spacing w:val="1"/>
          <w:sz w:val="20"/>
          <w:szCs w:val="20"/>
        </w:rPr>
        <w:t xml:space="preserve"> </w:t>
      </w:r>
      <w:r w:rsidR="001D5295">
        <w:rPr>
          <w:rFonts w:cs="Times New Roman"/>
          <w:spacing w:val="1"/>
          <w:sz w:val="20"/>
          <w:szCs w:val="20"/>
        </w:rPr>
        <w:t xml:space="preserve">contain requirements for </w:t>
      </w:r>
      <w:r w:rsidR="0060156E">
        <w:rPr>
          <w:rFonts w:cs="Times New Roman"/>
          <w:spacing w:val="1"/>
          <w:sz w:val="20"/>
          <w:szCs w:val="20"/>
        </w:rPr>
        <w:t xml:space="preserve">the </w:t>
      </w:r>
      <w:r w:rsidR="001D5295">
        <w:rPr>
          <w:rFonts w:cs="Times New Roman"/>
          <w:spacing w:val="1"/>
          <w:sz w:val="20"/>
          <w:szCs w:val="20"/>
        </w:rPr>
        <w:t>calculation of long-term care insurance (LTC) reserves</w:t>
      </w:r>
      <w:r w:rsidRPr="004E0035">
        <w:rPr>
          <w:rFonts w:cs="Times New Roman"/>
          <w:spacing w:val="1"/>
          <w:sz w:val="20"/>
          <w:szCs w:val="20"/>
        </w:rPr>
        <w:t>.</w:t>
      </w:r>
      <w:r w:rsidRPr="0098488C">
        <w:rPr>
          <w:rFonts w:cs="Times New Roman"/>
          <w:spacing w:val="1"/>
          <w:sz w:val="20"/>
          <w:szCs w:val="20"/>
        </w:rPr>
        <w:t xml:space="preserve">  </w:t>
      </w:r>
      <w:r w:rsidR="001D5295">
        <w:rPr>
          <w:rFonts w:cs="Times New Roman"/>
          <w:spacing w:val="1"/>
          <w:sz w:val="20"/>
          <w:szCs w:val="20"/>
        </w:rPr>
        <w:t xml:space="preserve">Regulators have observed </w:t>
      </w:r>
      <w:r w:rsidRPr="00751164">
        <w:rPr>
          <w:rFonts w:cs="Times New Roman"/>
          <w:spacing w:val="1"/>
          <w:sz w:val="20"/>
          <w:szCs w:val="20"/>
        </w:rPr>
        <w:t xml:space="preserve">a lack of uniform practice in </w:t>
      </w:r>
      <w:r w:rsidR="001D5295">
        <w:rPr>
          <w:rFonts w:cs="Times New Roman"/>
          <w:spacing w:val="1"/>
          <w:sz w:val="20"/>
          <w:szCs w:val="20"/>
        </w:rPr>
        <w:t>the</w:t>
      </w:r>
      <w:r w:rsidRPr="00751164">
        <w:rPr>
          <w:rFonts w:cs="Times New Roman"/>
          <w:spacing w:val="1"/>
          <w:sz w:val="20"/>
          <w:szCs w:val="20"/>
        </w:rPr>
        <w:t xml:space="preserve"> implementation</w:t>
      </w:r>
      <w:r w:rsidR="001D5295">
        <w:rPr>
          <w:rFonts w:cs="Times New Roman"/>
          <w:spacing w:val="1"/>
          <w:sz w:val="20"/>
          <w:szCs w:val="20"/>
        </w:rPr>
        <w:t xml:space="preserve"> of tests of reserve adequacy and reasonableness of LTC reserves</w:t>
      </w:r>
      <w:r w:rsidRPr="00751164">
        <w:rPr>
          <w:rFonts w:cs="Times New Roman"/>
          <w:spacing w:val="1"/>
          <w:sz w:val="20"/>
          <w:szCs w:val="20"/>
        </w:rPr>
        <w:t xml:space="preserve">. </w:t>
      </w:r>
      <w:r w:rsidR="00E00584">
        <w:rPr>
          <w:rFonts w:cs="Times New Roman"/>
          <w:spacing w:val="1"/>
          <w:sz w:val="20"/>
          <w:szCs w:val="20"/>
        </w:rPr>
        <w:t xml:space="preserve"> For instance, the </w:t>
      </w:r>
      <w:r w:rsidR="00E00584" w:rsidRPr="00E00584">
        <w:rPr>
          <w:rFonts w:cs="Times New Roman"/>
          <w:i/>
          <w:spacing w:val="1"/>
          <w:sz w:val="20"/>
          <w:szCs w:val="20"/>
        </w:rPr>
        <w:t>Model Regulation</w:t>
      </w:r>
      <w:r w:rsidR="00E00584">
        <w:rPr>
          <w:rFonts w:cs="Times New Roman"/>
          <w:spacing w:val="1"/>
          <w:sz w:val="20"/>
          <w:szCs w:val="20"/>
        </w:rPr>
        <w:t xml:space="preserve"> states, “a gross premium valuation is to be performed whenever a significant doubt exists as to reserve adequacy with respect to any major block of contracts”; however, other wording in the </w:t>
      </w:r>
      <w:r w:rsidR="00E00584">
        <w:rPr>
          <w:rFonts w:cs="Times New Roman"/>
          <w:i/>
          <w:spacing w:val="1"/>
          <w:sz w:val="20"/>
          <w:szCs w:val="20"/>
        </w:rPr>
        <w:t>Model</w:t>
      </w:r>
      <w:r w:rsidR="00E00584" w:rsidRPr="00E00584">
        <w:rPr>
          <w:rFonts w:cs="Times New Roman"/>
          <w:i/>
          <w:spacing w:val="1"/>
          <w:sz w:val="20"/>
          <w:szCs w:val="20"/>
        </w:rPr>
        <w:t xml:space="preserve"> Regulation </w:t>
      </w:r>
      <w:r w:rsidR="00E00584">
        <w:rPr>
          <w:rFonts w:cs="Times New Roman"/>
          <w:spacing w:val="1"/>
          <w:sz w:val="20"/>
          <w:szCs w:val="20"/>
        </w:rPr>
        <w:t xml:space="preserve">creates confusion for some on whether the test of adequacy is required at the major block of contract level.  </w:t>
      </w:r>
      <w:r w:rsidR="00E00584" w:rsidRPr="00E00584">
        <w:rPr>
          <w:rFonts w:cs="Times New Roman"/>
          <w:spacing w:val="1"/>
          <w:sz w:val="20"/>
          <w:szCs w:val="20"/>
        </w:rPr>
        <w:t xml:space="preserve"> </w:t>
      </w:r>
      <w:r w:rsidRPr="00E00584">
        <w:rPr>
          <w:rFonts w:cs="Times New Roman"/>
          <w:spacing w:val="1"/>
          <w:sz w:val="20"/>
          <w:szCs w:val="20"/>
        </w:rPr>
        <w:t>In</w:t>
      </w:r>
      <w:r w:rsidRPr="00751164">
        <w:rPr>
          <w:rFonts w:cs="Times New Roman"/>
          <w:spacing w:val="1"/>
          <w:sz w:val="20"/>
          <w:szCs w:val="20"/>
        </w:rPr>
        <w:t xml:space="preserve"> t</w:t>
      </w:r>
      <w:r w:rsidR="00E00584">
        <w:rPr>
          <w:rFonts w:cs="Times New Roman"/>
          <w:spacing w:val="1"/>
          <w:sz w:val="20"/>
          <w:szCs w:val="20"/>
        </w:rPr>
        <w:t>he absence of uniform guidance,</w:t>
      </w:r>
      <w:r>
        <w:rPr>
          <w:rFonts w:cs="Times New Roman"/>
          <w:spacing w:val="1"/>
          <w:sz w:val="20"/>
          <w:szCs w:val="20"/>
        </w:rPr>
        <w:t xml:space="preserve"> </w:t>
      </w:r>
      <w:r w:rsidR="001D5295">
        <w:rPr>
          <w:rFonts w:cs="Times New Roman"/>
          <w:spacing w:val="1"/>
          <w:sz w:val="20"/>
          <w:szCs w:val="20"/>
        </w:rPr>
        <w:t xml:space="preserve">insurers </w:t>
      </w:r>
      <w:r w:rsidR="00E00584">
        <w:rPr>
          <w:rFonts w:cs="Times New Roman"/>
          <w:spacing w:val="1"/>
          <w:sz w:val="20"/>
          <w:szCs w:val="20"/>
        </w:rPr>
        <w:t>may not be determining adequacy of LTC reserves</w:t>
      </w:r>
      <w:r w:rsidR="00E65186">
        <w:rPr>
          <w:rFonts w:cs="Times New Roman"/>
          <w:spacing w:val="1"/>
          <w:sz w:val="20"/>
          <w:szCs w:val="20"/>
        </w:rPr>
        <w:t xml:space="preserve"> </w:t>
      </w:r>
      <w:r w:rsidR="0060156E">
        <w:rPr>
          <w:rFonts w:cs="Times New Roman"/>
          <w:spacing w:val="1"/>
          <w:sz w:val="20"/>
          <w:szCs w:val="20"/>
        </w:rPr>
        <w:t>in a uniform manner.  As such, this Guideline</w:t>
      </w:r>
      <w:r w:rsidRPr="00D43974">
        <w:rPr>
          <w:rFonts w:cs="Times New Roman"/>
          <w:spacing w:val="1"/>
          <w:sz w:val="20"/>
          <w:szCs w:val="20"/>
        </w:rPr>
        <w:t xml:space="preserve"> </w:t>
      </w:r>
      <w:r w:rsidRPr="00AF09C0">
        <w:rPr>
          <w:rFonts w:cs="Times New Roman"/>
          <w:spacing w:val="1"/>
          <w:sz w:val="20"/>
          <w:szCs w:val="20"/>
        </w:rPr>
        <w:t>provides</w:t>
      </w:r>
      <w:r w:rsidRPr="00D43974">
        <w:rPr>
          <w:rFonts w:cs="Times New Roman"/>
          <w:spacing w:val="1"/>
          <w:sz w:val="20"/>
          <w:szCs w:val="20"/>
        </w:rPr>
        <w:t xml:space="preserve"> uniform guidance </w:t>
      </w:r>
      <w:r w:rsidR="0060156E">
        <w:rPr>
          <w:rFonts w:cs="Times New Roman"/>
          <w:spacing w:val="1"/>
          <w:sz w:val="20"/>
          <w:szCs w:val="20"/>
        </w:rPr>
        <w:t xml:space="preserve">and limits to certain assumptions </w:t>
      </w:r>
      <w:r w:rsidRPr="00D43974">
        <w:rPr>
          <w:rFonts w:cs="Times New Roman"/>
          <w:spacing w:val="1"/>
          <w:sz w:val="20"/>
          <w:szCs w:val="20"/>
        </w:rPr>
        <w:t xml:space="preserve">for </w:t>
      </w:r>
      <w:r w:rsidR="0060156E">
        <w:rPr>
          <w:rFonts w:cs="Times New Roman"/>
          <w:spacing w:val="1"/>
          <w:sz w:val="20"/>
          <w:szCs w:val="20"/>
        </w:rPr>
        <w:t>the asset adequacy testing applied to an insurer’s</w:t>
      </w:r>
      <w:r w:rsidR="003B7C58">
        <w:rPr>
          <w:rFonts w:cs="Times New Roman"/>
          <w:spacing w:val="1"/>
          <w:sz w:val="20"/>
          <w:szCs w:val="20"/>
        </w:rPr>
        <w:t xml:space="preserve"> major LTC block of </w:t>
      </w:r>
      <w:r w:rsidR="00864499">
        <w:rPr>
          <w:rFonts w:cs="Times New Roman"/>
          <w:spacing w:val="1"/>
          <w:sz w:val="20"/>
          <w:szCs w:val="20"/>
        </w:rPr>
        <w:t>contracts</w:t>
      </w:r>
      <w:r w:rsidRPr="00D43974">
        <w:rPr>
          <w:rFonts w:cs="Times New Roman"/>
          <w:spacing w:val="1"/>
          <w:sz w:val="20"/>
          <w:szCs w:val="20"/>
        </w:rPr>
        <w:t xml:space="preserve">. In particular, this </w:t>
      </w:r>
      <w:r w:rsidR="0060156E">
        <w:rPr>
          <w:rFonts w:cs="Times New Roman"/>
          <w:spacing w:val="1"/>
          <w:sz w:val="20"/>
          <w:szCs w:val="20"/>
        </w:rPr>
        <w:t>G</w:t>
      </w:r>
      <w:r w:rsidR="0060156E" w:rsidRPr="00D43974">
        <w:rPr>
          <w:rFonts w:cs="Times New Roman"/>
          <w:spacing w:val="1"/>
          <w:sz w:val="20"/>
          <w:szCs w:val="20"/>
        </w:rPr>
        <w:t>uideline</w:t>
      </w:r>
      <w:r w:rsidRPr="00D43974">
        <w:rPr>
          <w:rFonts w:cs="Times New Roman"/>
          <w:spacing w:val="1"/>
          <w:sz w:val="20"/>
          <w:szCs w:val="20"/>
        </w:rPr>
        <w:t>:</w:t>
      </w:r>
    </w:p>
    <w:p w14:paraId="2B9DE2D0" w14:textId="08387A87" w:rsidR="00035C33" w:rsidRPr="00E12135" w:rsidRDefault="004248B5"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w:t>
      </w:r>
      <w:r w:rsidR="00FD23A0">
        <w:rPr>
          <w:rFonts w:cs="Times New Roman"/>
          <w:spacing w:val="1"/>
          <w:sz w:val="20"/>
          <w:szCs w:val="20"/>
        </w:rPr>
        <w:t>equires asset adequacy analysis</w:t>
      </w:r>
      <w:r w:rsidR="00864499">
        <w:rPr>
          <w:rFonts w:cs="Times New Roman"/>
          <w:spacing w:val="1"/>
          <w:sz w:val="20"/>
          <w:szCs w:val="20"/>
        </w:rPr>
        <w:t xml:space="preserve"> of an insurer’s LTC </w:t>
      </w:r>
      <w:r w:rsidR="0060156E">
        <w:rPr>
          <w:rFonts w:cs="Times New Roman"/>
          <w:spacing w:val="1"/>
          <w:sz w:val="20"/>
          <w:szCs w:val="20"/>
        </w:rPr>
        <w:t>business that falls within the scope of the Guideline (LTC business)</w:t>
      </w:r>
      <w:r w:rsidR="00864499">
        <w:rPr>
          <w:rFonts w:cs="Times New Roman"/>
          <w:spacing w:val="1"/>
          <w:sz w:val="20"/>
          <w:szCs w:val="20"/>
        </w:rPr>
        <w:t>.</w:t>
      </w:r>
    </w:p>
    <w:p w14:paraId="6313210C" w14:textId="3FEAF5B9" w:rsidR="00035C33" w:rsidRDefault="00864499"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Specifies that the appropriate form of asset adequacy </w:t>
      </w:r>
      <w:r w:rsidR="00FD23A0">
        <w:rPr>
          <w:rFonts w:cs="Times New Roman"/>
          <w:spacing w:val="1"/>
          <w:sz w:val="20"/>
          <w:szCs w:val="20"/>
        </w:rPr>
        <w:t>analysis</w:t>
      </w:r>
      <w:r>
        <w:rPr>
          <w:rFonts w:cs="Times New Roman"/>
          <w:spacing w:val="1"/>
          <w:sz w:val="20"/>
          <w:szCs w:val="20"/>
        </w:rPr>
        <w:t xml:space="preserve"> may be in the form of a gross premium valuation or in a more robust form, such as cash-flow testing</w:t>
      </w:r>
      <w:r w:rsidR="00BD11B4">
        <w:rPr>
          <w:rFonts w:cs="Times New Roman"/>
          <w:spacing w:val="1"/>
          <w:sz w:val="20"/>
          <w:szCs w:val="20"/>
        </w:rPr>
        <w:t>, with Actuarial Standards of Practice providing guidance in this area</w:t>
      </w:r>
      <w:r w:rsidR="00035C33">
        <w:rPr>
          <w:rFonts w:cs="Times New Roman"/>
          <w:spacing w:val="1"/>
          <w:sz w:val="20"/>
          <w:szCs w:val="20"/>
        </w:rPr>
        <w:t>.</w:t>
      </w:r>
    </w:p>
    <w:p w14:paraId="6C8F3DDA" w14:textId="27AC112D" w:rsidR="00E96FA1" w:rsidRDefault="00E96FA1"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Provides a process </w:t>
      </w:r>
      <w:r w:rsidR="0060156E">
        <w:rPr>
          <w:rFonts w:cs="Times New Roman"/>
          <w:spacing w:val="1"/>
          <w:sz w:val="20"/>
          <w:szCs w:val="20"/>
        </w:rPr>
        <w:t xml:space="preserve">and maximum timeframe </w:t>
      </w:r>
      <w:r>
        <w:rPr>
          <w:rFonts w:cs="Times New Roman"/>
          <w:spacing w:val="1"/>
          <w:sz w:val="20"/>
          <w:szCs w:val="20"/>
        </w:rPr>
        <w:t>for increasing reserves</w:t>
      </w:r>
      <w:r w:rsidR="0060156E">
        <w:rPr>
          <w:rFonts w:cs="Times New Roman"/>
          <w:spacing w:val="1"/>
          <w:sz w:val="20"/>
          <w:szCs w:val="20"/>
        </w:rPr>
        <w:t xml:space="preserve"> determined to be inadequate</w:t>
      </w:r>
      <w:r>
        <w:rPr>
          <w:rFonts w:cs="Times New Roman"/>
          <w:spacing w:val="1"/>
          <w:sz w:val="20"/>
          <w:szCs w:val="20"/>
        </w:rPr>
        <w:t>, where applicable.</w:t>
      </w:r>
    </w:p>
    <w:p w14:paraId="264E78B5" w14:textId="033A1DFF" w:rsidR="00BD11B4" w:rsidRDefault="00BB1123"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Requires a</w:t>
      </w:r>
      <w:r w:rsidR="00BD11B4">
        <w:rPr>
          <w:rFonts w:cs="Times New Roman"/>
          <w:spacing w:val="1"/>
          <w:sz w:val="20"/>
          <w:szCs w:val="20"/>
        </w:rPr>
        <w:t xml:space="preserve"> uniform </w:t>
      </w:r>
      <w:r>
        <w:rPr>
          <w:rFonts w:cs="Times New Roman"/>
          <w:spacing w:val="1"/>
          <w:sz w:val="20"/>
          <w:szCs w:val="20"/>
        </w:rPr>
        <w:t xml:space="preserve">approach to </w:t>
      </w:r>
      <w:r w:rsidR="0060156E">
        <w:rPr>
          <w:rFonts w:cs="Times New Roman"/>
          <w:spacing w:val="1"/>
          <w:sz w:val="20"/>
          <w:szCs w:val="20"/>
        </w:rPr>
        <w:t xml:space="preserve">assumptions regarding </w:t>
      </w:r>
      <w:r w:rsidR="00BD11B4">
        <w:rPr>
          <w:rFonts w:cs="Times New Roman"/>
          <w:spacing w:val="1"/>
          <w:sz w:val="20"/>
          <w:szCs w:val="20"/>
        </w:rPr>
        <w:t>future rate increases.</w:t>
      </w:r>
    </w:p>
    <w:p w14:paraId="029FB368" w14:textId="679D6FD0" w:rsidR="00FD40C8" w:rsidRDefault="00BD11B4"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Provides requirements </w:t>
      </w:r>
      <w:r w:rsidR="00BB1123">
        <w:rPr>
          <w:rFonts w:cs="Times New Roman"/>
          <w:spacing w:val="1"/>
          <w:sz w:val="20"/>
          <w:szCs w:val="20"/>
        </w:rPr>
        <w:t>on</w:t>
      </w:r>
      <w:r w:rsidR="00B551CD">
        <w:rPr>
          <w:rFonts w:cs="Times New Roman"/>
          <w:spacing w:val="1"/>
          <w:sz w:val="20"/>
          <w:szCs w:val="20"/>
        </w:rPr>
        <w:t xml:space="preserve"> documentation of assumptions</w:t>
      </w:r>
      <w:r w:rsidR="00FD40C8">
        <w:rPr>
          <w:rFonts w:cs="Times New Roman"/>
          <w:spacing w:val="1"/>
          <w:sz w:val="20"/>
          <w:szCs w:val="20"/>
        </w:rPr>
        <w:t xml:space="preserve"> associated with all key LTC risks.</w:t>
      </w:r>
    </w:p>
    <w:p w14:paraId="6FE7C13E" w14:textId="2AB2462B" w:rsidR="00035C33" w:rsidRPr="0098488C" w:rsidRDefault="00FD40C8"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Provides requirements for documentation of</w:t>
      </w:r>
      <w:r w:rsidR="0060156E">
        <w:rPr>
          <w:rFonts w:cs="Times New Roman"/>
          <w:spacing w:val="1"/>
          <w:sz w:val="20"/>
          <w:szCs w:val="20"/>
        </w:rPr>
        <w:t xml:space="preserve"> standalone LTC asset adequacy testing results</w:t>
      </w:r>
      <w:r w:rsidR="00B551CD">
        <w:rPr>
          <w:rFonts w:cs="Times New Roman"/>
          <w:spacing w:val="1"/>
          <w:sz w:val="20"/>
          <w:szCs w:val="20"/>
        </w:rPr>
        <w:t>.</w:t>
      </w:r>
    </w:p>
    <w:p w14:paraId="28ED5957" w14:textId="77777777" w:rsidR="00035C33" w:rsidRDefault="00035C33" w:rsidP="00FB4616">
      <w:pPr>
        <w:pStyle w:val="Heading1"/>
        <w:spacing w:after="240"/>
        <w:ind w:left="0"/>
        <w:jc w:val="both"/>
        <w:rPr>
          <w:rFonts w:cs="Times New Roman"/>
          <w:spacing w:val="-1"/>
          <w:sz w:val="20"/>
          <w:szCs w:val="20"/>
        </w:rPr>
      </w:pPr>
      <w:r>
        <w:rPr>
          <w:rFonts w:cs="Times New Roman"/>
          <w:spacing w:val="-1"/>
          <w:sz w:val="20"/>
          <w:szCs w:val="20"/>
        </w:rPr>
        <w:t>Text</w:t>
      </w:r>
    </w:p>
    <w:p w14:paraId="4731D531" w14:textId="1DD776E7" w:rsidR="00035C33" w:rsidRPr="0043392E" w:rsidRDefault="00035C33" w:rsidP="00B551CD">
      <w:pPr>
        <w:pStyle w:val="Heading1"/>
        <w:numPr>
          <w:ilvl w:val="0"/>
          <w:numId w:val="1"/>
        </w:numPr>
        <w:spacing w:after="240"/>
        <w:ind w:left="360"/>
        <w:rPr>
          <w:rFonts w:cs="Times New Roman"/>
          <w:b w:val="0"/>
          <w:spacing w:val="-1"/>
          <w:sz w:val="20"/>
          <w:szCs w:val="20"/>
        </w:rPr>
      </w:pPr>
      <w:r w:rsidRPr="00F131ED">
        <w:rPr>
          <w:rFonts w:cs="Times New Roman"/>
          <w:b w:val="0"/>
          <w:spacing w:val="-1"/>
          <w:sz w:val="20"/>
          <w:szCs w:val="20"/>
        </w:rPr>
        <w:t>Effective</w:t>
      </w:r>
      <w:r w:rsidR="00FB4616">
        <w:rPr>
          <w:rFonts w:cs="Times New Roman"/>
          <w:b w:val="0"/>
          <w:spacing w:val="-1"/>
          <w:sz w:val="20"/>
          <w:szCs w:val="20"/>
        </w:rPr>
        <w:t xml:space="preserve"> </w:t>
      </w:r>
      <w:r w:rsidRPr="00F131ED">
        <w:rPr>
          <w:rFonts w:cs="Times New Roman"/>
          <w:b w:val="0"/>
          <w:spacing w:val="-1"/>
          <w:sz w:val="20"/>
          <w:szCs w:val="20"/>
        </w:rPr>
        <w:t>Date</w:t>
      </w:r>
      <w:r>
        <w:rPr>
          <w:rFonts w:cs="Times New Roman"/>
          <w:b w:val="0"/>
          <w:spacing w:val="-1"/>
          <w:sz w:val="20"/>
          <w:szCs w:val="20"/>
        </w:rPr>
        <w:br/>
      </w:r>
      <w:r>
        <w:rPr>
          <w:rFonts w:cs="Times New Roman"/>
          <w:b w:val="0"/>
          <w:spacing w:val="-1"/>
          <w:sz w:val="20"/>
          <w:szCs w:val="20"/>
        </w:rPr>
        <w:br/>
      </w:r>
      <w:r w:rsidR="00B551CD">
        <w:rPr>
          <w:rFonts w:cs="Times New Roman"/>
          <w:b w:val="0"/>
          <w:spacing w:val="-1"/>
          <w:sz w:val="20"/>
          <w:szCs w:val="20"/>
        </w:rPr>
        <w:t xml:space="preserve">This </w:t>
      </w:r>
      <w:r w:rsidRPr="009B6FA5">
        <w:rPr>
          <w:rFonts w:cs="Times New Roman"/>
          <w:b w:val="0"/>
          <w:spacing w:val="-1"/>
          <w:sz w:val="20"/>
          <w:szCs w:val="20"/>
        </w:rPr>
        <w:t xml:space="preserve">Guideline shall </w:t>
      </w:r>
      <w:r w:rsidR="0043392E">
        <w:rPr>
          <w:rFonts w:cs="Times New Roman"/>
          <w:b w:val="0"/>
          <w:spacing w:val="-1"/>
          <w:sz w:val="20"/>
          <w:szCs w:val="20"/>
        </w:rPr>
        <w:t>be</w:t>
      </w:r>
      <w:r w:rsidR="0043392E" w:rsidRPr="0043392E">
        <w:rPr>
          <w:rFonts w:cs="Times New Roman"/>
          <w:b w:val="0"/>
          <w:spacing w:val="-1"/>
          <w:sz w:val="20"/>
          <w:szCs w:val="20"/>
        </w:rPr>
        <w:t xml:space="preserve"> effective for </w:t>
      </w:r>
      <w:r w:rsidR="00B551CD">
        <w:rPr>
          <w:rFonts w:cs="Times New Roman"/>
          <w:b w:val="0"/>
          <w:spacing w:val="-1"/>
          <w:sz w:val="20"/>
          <w:szCs w:val="20"/>
        </w:rPr>
        <w:t xml:space="preserve">reserves reported </w:t>
      </w:r>
      <w:r w:rsidR="0060156E">
        <w:rPr>
          <w:rFonts w:cs="Times New Roman"/>
          <w:b w:val="0"/>
          <w:spacing w:val="-1"/>
          <w:sz w:val="20"/>
          <w:szCs w:val="20"/>
        </w:rPr>
        <w:t xml:space="preserve">with </w:t>
      </w:r>
      <w:r w:rsidR="00B551CD">
        <w:rPr>
          <w:rFonts w:cs="Times New Roman"/>
          <w:b w:val="0"/>
          <w:spacing w:val="-1"/>
          <w:sz w:val="20"/>
          <w:szCs w:val="20"/>
        </w:rPr>
        <w:t>the December 31, 2017 and subsequent annual statutory financial statements.</w:t>
      </w:r>
      <w:r w:rsidR="0043392E" w:rsidRPr="0043392E">
        <w:rPr>
          <w:rFonts w:cs="Times New Roman"/>
          <w:b w:val="0"/>
          <w:spacing w:val="-1"/>
          <w:sz w:val="20"/>
          <w:szCs w:val="20"/>
        </w:rPr>
        <w:t xml:space="preserve"> </w:t>
      </w:r>
    </w:p>
    <w:p w14:paraId="23C16EAA" w14:textId="6DF93B74" w:rsidR="00035C33" w:rsidRPr="00B551CD" w:rsidRDefault="00035C33" w:rsidP="00B551CD">
      <w:pPr>
        <w:pStyle w:val="Heading1"/>
        <w:numPr>
          <w:ilvl w:val="0"/>
          <w:numId w:val="1"/>
        </w:numPr>
        <w:spacing w:after="240"/>
        <w:ind w:left="360"/>
        <w:rPr>
          <w:rFonts w:cs="Times New Roman"/>
          <w:b w:val="0"/>
          <w:spacing w:val="-1"/>
          <w:sz w:val="20"/>
          <w:szCs w:val="20"/>
        </w:rPr>
      </w:pPr>
      <w:r>
        <w:rPr>
          <w:rFonts w:cs="Times New Roman"/>
          <w:b w:val="0"/>
          <w:spacing w:val="-1"/>
          <w:sz w:val="20"/>
          <w:szCs w:val="20"/>
        </w:rPr>
        <w:t>Scope</w:t>
      </w:r>
      <w:r>
        <w:rPr>
          <w:rFonts w:cs="Times New Roman"/>
          <w:b w:val="0"/>
          <w:spacing w:val="-1"/>
          <w:sz w:val="20"/>
          <w:szCs w:val="20"/>
        </w:rPr>
        <w:br/>
      </w:r>
      <w:r>
        <w:rPr>
          <w:rFonts w:cs="Times New Roman"/>
          <w:b w:val="0"/>
          <w:spacing w:val="-1"/>
          <w:sz w:val="20"/>
          <w:szCs w:val="20"/>
        </w:rPr>
        <w:br/>
      </w:r>
      <w:r w:rsidRPr="009B6FA5">
        <w:rPr>
          <w:rFonts w:cs="Times New Roman"/>
          <w:b w:val="0"/>
          <w:spacing w:val="-1"/>
          <w:sz w:val="20"/>
          <w:szCs w:val="20"/>
        </w:rPr>
        <w:t xml:space="preserve">This Guideline </w:t>
      </w:r>
      <w:r w:rsidR="00B551CD">
        <w:rPr>
          <w:rFonts w:cs="Times New Roman"/>
          <w:b w:val="0"/>
          <w:spacing w:val="-1"/>
          <w:sz w:val="20"/>
          <w:szCs w:val="20"/>
        </w:rPr>
        <w:t xml:space="preserve">shall apply to </w:t>
      </w:r>
      <w:r w:rsidR="0060156E">
        <w:rPr>
          <w:rFonts w:cs="Times New Roman"/>
          <w:b w:val="0"/>
          <w:spacing w:val="-1"/>
          <w:sz w:val="20"/>
          <w:szCs w:val="20"/>
        </w:rPr>
        <w:t xml:space="preserve">an insurer with long-term care insurance contracts with over 10,000 inforce lives as of the valuation date.  All </w:t>
      </w:r>
      <w:r w:rsidR="00B551CD">
        <w:rPr>
          <w:rFonts w:cs="Times New Roman"/>
          <w:b w:val="0"/>
          <w:spacing w:val="-1"/>
          <w:sz w:val="20"/>
          <w:szCs w:val="20"/>
        </w:rPr>
        <w:t>long-term care insurance contracts, whether directly written or assumed through reinsurance</w:t>
      </w:r>
      <w:r w:rsidR="0060156E">
        <w:rPr>
          <w:rFonts w:cs="Times New Roman"/>
          <w:b w:val="0"/>
          <w:spacing w:val="-1"/>
          <w:sz w:val="20"/>
          <w:szCs w:val="20"/>
        </w:rPr>
        <w:t xml:space="preserve"> are included</w:t>
      </w:r>
      <w:r w:rsidR="00B551CD">
        <w:rPr>
          <w:rFonts w:cs="Times New Roman"/>
          <w:b w:val="0"/>
          <w:spacing w:val="-1"/>
          <w:sz w:val="20"/>
          <w:szCs w:val="20"/>
        </w:rPr>
        <w:t>.</w:t>
      </w:r>
      <w:r w:rsidR="00D930EF">
        <w:rPr>
          <w:rFonts w:cs="Times New Roman"/>
          <w:b w:val="0"/>
          <w:spacing w:val="-1"/>
          <w:sz w:val="20"/>
          <w:szCs w:val="20"/>
        </w:rPr>
        <w:t xml:space="preserve">  </w:t>
      </w:r>
      <w:r w:rsidR="00E72F4A">
        <w:rPr>
          <w:rFonts w:cs="Times New Roman"/>
          <w:b w:val="0"/>
          <w:spacing w:val="-1"/>
          <w:sz w:val="20"/>
          <w:szCs w:val="20"/>
        </w:rPr>
        <w:t xml:space="preserve">Accelerated death benefit products or other combination products where the substantial risk </w:t>
      </w:r>
      <w:r w:rsidR="0060156E">
        <w:rPr>
          <w:rFonts w:cs="Times New Roman"/>
          <w:b w:val="0"/>
          <w:spacing w:val="-1"/>
          <w:sz w:val="20"/>
          <w:szCs w:val="20"/>
        </w:rPr>
        <w:t xml:space="preserve">of the product </w:t>
      </w:r>
      <w:r w:rsidR="00E72F4A">
        <w:rPr>
          <w:rFonts w:cs="Times New Roman"/>
          <w:b w:val="0"/>
          <w:spacing w:val="-1"/>
          <w:sz w:val="20"/>
          <w:szCs w:val="20"/>
        </w:rPr>
        <w:t>is associated with life insurance or an annuity are not subject to this Guideline.</w:t>
      </w:r>
    </w:p>
    <w:p w14:paraId="6533BC8E" w14:textId="61F851DB" w:rsidR="00040990" w:rsidRDefault="008F1272" w:rsidP="00040990">
      <w:pPr>
        <w:pStyle w:val="Heading1"/>
        <w:spacing w:after="240"/>
        <w:ind w:left="360" w:hanging="360"/>
        <w:rPr>
          <w:rFonts w:cs="Times New Roman"/>
          <w:b w:val="0"/>
          <w:spacing w:val="-1"/>
          <w:sz w:val="20"/>
          <w:szCs w:val="20"/>
        </w:rPr>
      </w:pPr>
      <w:r>
        <w:rPr>
          <w:rFonts w:cs="Times New Roman"/>
          <w:b w:val="0"/>
          <w:spacing w:val="-1"/>
          <w:sz w:val="20"/>
          <w:szCs w:val="20"/>
        </w:rPr>
        <w:t>3</w:t>
      </w:r>
      <w:r w:rsidR="00040990">
        <w:rPr>
          <w:rFonts w:cs="Times New Roman"/>
          <w:b w:val="0"/>
          <w:spacing w:val="-1"/>
          <w:sz w:val="20"/>
          <w:szCs w:val="20"/>
        </w:rPr>
        <w:t>.</w:t>
      </w:r>
      <w:r w:rsidR="00040990">
        <w:rPr>
          <w:rFonts w:cs="Times New Roman"/>
          <w:b w:val="0"/>
          <w:spacing w:val="-1"/>
          <w:sz w:val="20"/>
          <w:szCs w:val="20"/>
        </w:rPr>
        <w:tab/>
        <w:t xml:space="preserve">Asset Adequacy </w:t>
      </w:r>
      <w:r w:rsidR="00FD23A0">
        <w:rPr>
          <w:rFonts w:cs="Times New Roman"/>
          <w:b w:val="0"/>
          <w:spacing w:val="-1"/>
          <w:sz w:val="20"/>
          <w:szCs w:val="20"/>
        </w:rPr>
        <w:t>Analysis</w:t>
      </w:r>
      <w:r w:rsidR="00040990">
        <w:rPr>
          <w:rFonts w:cs="Times New Roman"/>
          <w:b w:val="0"/>
          <w:spacing w:val="-1"/>
          <w:sz w:val="20"/>
          <w:szCs w:val="20"/>
        </w:rPr>
        <w:t xml:space="preserve"> of </w:t>
      </w:r>
      <w:r w:rsidR="00AD6DE0">
        <w:rPr>
          <w:rFonts w:cs="Times New Roman"/>
          <w:b w:val="0"/>
          <w:spacing w:val="-1"/>
          <w:sz w:val="20"/>
          <w:szCs w:val="20"/>
        </w:rPr>
        <w:t>LTC</w:t>
      </w:r>
      <w:r w:rsidR="00D5743B">
        <w:rPr>
          <w:rFonts w:cs="Times New Roman"/>
          <w:b w:val="0"/>
          <w:spacing w:val="-1"/>
          <w:sz w:val="20"/>
          <w:szCs w:val="20"/>
        </w:rPr>
        <w:t xml:space="preserve"> </w:t>
      </w:r>
      <w:r w:rsidR="00A77143">
        <w:rPr>
          <w:rFonts w:cs="Times New Roman"/>
          <w:b w:val="0"/>
          <w:spacing w:val="-1"/>
          <w:sz w:val="20"/>
          <w:szCs w:val="20"/>
        </w:rPr>
        <w:t>Business</w:t>
      </w:r>
    </w:p>
    <w:p w14:paraId="476BA976" w14:textId="5559CCBD" w:rsidR="00503278" w:rsidRDefault="00040990" w:rsidP="002439AD">
      <w:pPr>
        <w:pStyle w:val="Heading1"/>
        <w:spacing w:after="240"/>
        <w:ind w:left="720" w:hanging="360"/>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r w:rsidR="00503278">
        <w:rPr>
          <w:rFonts w:cs="Times New Roman"/>
          <w:b w:val="0"/>
          <w:spacing w:val="-1"/>
          <w:sz w:val="20"/>
          <w:szCs w:val="20"/>
        </w:rPr>
        <w:t xml:space="preserve">As stated in Actuarial Standard of Practice (ASOP) No. 22, </w:t>
      </w:r>
      <w:r w:rsidR="002439AD">
        <w:rPr>
          <w:rFonts w:cs="Times New Roman"/>
          <w:b w:val="0"/>
          <w:spacing w:val="-1"/>
          <w:sz w:val="20"/>
          <w:szCs w:val="20"/>
        </w:rPr>
        <w:t>multiple</w:t>
      </w:r>
      <w:r w:rsidR="00503278" w:rsidRPr="00503278">
        <w:rPr>
          <w:rFonts w:cs="Times New Roman"/>
          <w:b w:val="0"/>
          <w:spacing w:val="-1"/>
          <w:sz w:val="20"/>
          <w:szCs w:val="20"/>
        </w:rPr>
        <w:t xml:space="preserve"> asset adequacy analysis methods</w:t>
      </w:r>
      <w:r w:rsidR="002439AD">
        <w:rPr>
          <w:rFonts w:cs="Times New Roman"/>
          <w:b w:val="0"/>
          <w:spacing w:val="-1"/>
          <w:sz w:val="20"/>
          <w:szCs w:val="20"/>
        </w:rPr>
        <w:t>, including cash-flow testing and gross premium valuation,</w:t>
      </w:r>
      <w:r w:rsidR="00503278" w:rsidRPr="00503278">
        <w:rPr>
          <w:rFonts w:cs="Times New Roman"/>
          <w:b w:val="0"/>
          <w:spacing w:val="-1"/>
          <w:sz w:val="20"/>
          <w:szCs w:val="20"/>
        </w:rPr>
        <w:t xml:space="preserve"> </w:t>
      </w:r>
      <w:r w:rsidR="002439AD">
        <w:rPr>
          <w:rFonts w:cs="Times New Roman"/>
          <w:b w:val="0"/>
          <w:spacing w:val="-1"/>
          <w:sz w:val="20"/>
          <w:szCs w:val="20"/>
        </w:rPr>
        <w:t>are</w:t>
      </w:r>
      <w:r w:rsidR="00503278" w:rsidRPr="00503278">
        <w:rPr>
          <w:rFonts w:cs="Times New Roman"/>
          <w:b w:val="0"/>
          <w:spacing w:val="-1"/>
          <w:sz w:val="20"/>
          <w:szCs w:val="20"/>
        </w:rPr>
        <w:t xml:space="preserve"> available to actuaries. </w:t>
      </w:r>
      <w:r w:rsidR="002439AD">
        <w:rPr>
          <w:rFonts w:cs="Times New Roman"/>
          <w:b w:val="0"/>
          <w:spacing w:val="-1"/>
          <w:sz w:val="20"/>
          <w:szCs w:val="20"/>
        </w:rPr>
        <w:t xml:space="preserve"> </w:t>
      </w:r>
    </w:p>
    <w:p w14:paraId="5BD4CCAC" w14:textId="27B42029" w:rsidR="008B5145" w:rsidRDefault="008B5145" w:rsidP="002439AD">
      <w:pPr>
        <w:pStyle w:val="Heading1"/>
        <w:spacing w:after="240"/>
        <w:ind w:left="720"/>
        <w:rPr>
          <w:rFonts w:cs="Times New Roman"/>
          <w:b w:val="0"/>
          <w:spacing w:val="-1"/>
          <w:sz w:val="20"/>
          <w:szCs w:val="20"/>
        </w:rPr>
      </w:pPr>
      <w:r w:rsidRPr="00040990">
        <w:rPr>
          <w:rFonts w:cs="Times New Roman"/>
          <w:b w:val="0"/>
          <w:spacing w:val="-1"/>
          <w:sz w:val="20"/>
          <w:szCs w:val="20"/>
        </w:rPr>
        <w:t xml:space="preserve">The method of analysis </w:t>
      </w:r>
      <w:r w:rsidR="00FD40C8">
        <w:rPr>
          <w:rFonts w:cs="Times New Roman"/>
          <w:b w:val="0"/>
          <w:spacing w:val="-1"/>
          <w:sz w:val="20"/>
          <w:szCs w:val="20"/>
        </w:rPr>
        <w:t xml:space="preserve">used for LTC </w:t>
      </w:r>
      <w:r w:rsidR="004E48AE">
        <w:rPr>
          <w:rFonts w:cs="Times New Roman"/>
          <w:b w:val="0"/>
          <w:spacing w:val="-1"/>
          <w:sz w:val="20"/>
          <w:szCs w:val="20"/>
        </w:rPr>
        <w:t>shall conform</w:t>
      </w:r>
      <w:r w:rsidR="00FD40C8">
        <w:rPr>
          <w:rFonts w:cs="Times New Roman"/>
          <w:b w:val="0"/>
          <w:spacing w:val="-1"/>
          <w:sz w:val="20"/>
          <w:szCs w:val="20"/>
        </w:rPr>
        <w:t xml:space="preserve"> </w:t>
      </w:r>
      <w:proofErr w:type="gramStart"/>
      <w:r w:rsidR="00FD40C8">
        <w:rPr>
          <w:rFonts w:cs="Times New Roman"/>
          <w:b w:val="0"/>
          <w:spacing w:val="-1"/>
          <w:sz w:val="20"/>
          <w:szCs w:val="20"/>
        </w:rPr>
        <w:t>with</w:t>
      </w:r>
      <w:proofErr w:type="gramEnd"/>
      <w:r w:rsidR="00FD40C8">
        <w:rPr>
          <w:rFonts w:cs="Times New Roman"/>
          <w:b w:val="0"/>
          <w:spacing w:val="-1"/>
          <w:sz w:val="20"/>
          <w:szCs w:val="20"/>
        </w:rPr>
        <w:t xml:space="preserve"> ASOP No. 22</w:t>
      </w:r>
      <w:r w:rsidR="004E48AE">
        <w:rPr>
          <w:rFonts w:cs="Times New Roman"/>
          <w:b w:val="0"/>
          <w:spacing w:val="-1"/>
          <w:sz w:val="20"/>
          <w:szCs w:val="20"/>
        </w:rPr>
        <w:t xml:space="preserve"> in recognition of the typical significant asset- and liability-related risks</w:t>
      </w:r>
      <w:r w:rsidR="00FD40C8">
        <w:rPr>
          <w:rFonts w:cs="Times New Roman"/>
          <w:b w:val="0"/>
          <w:spacing w:val="-1"/>
          <w:sz w:val="20"/>
          <w:szCs w:val="20"/>
        </w:rPr>
        <w:t xml:space="preserve"> associated with LTC.</w:t>
      </w:r>
    </w:p>
    <w:p w14:paraId="0E66EE60" w14:textId="75588EA9" w:rsidR="00040990" w:rsidRDefault="00503278" w:rsidP="00040990">
      <w:pPr>
        <w:pStyle w:val="Heading1"/>
        <w:spacing w:after="240"/>
        <w:ind w:left="720" w:hanging="360"/>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r>
      <w:r w:rsidR="0068742A">
        <w:rPr>
          <w:rFonts w:cs="Times New Roman"/>
          <w:b w:val="0"/>
          <w:spacing w:val="-1"/>
          <w:sz w:val="20"/>
          <w:szCs w:val="20"/>
        </w:rPr>
        <w:t xml:space="preserve">Reserves for </w:t>
      </w:r>
      <w:r w:rsidR="00A50710">
        <w:rPr>
          <w:rFonts w:cs="Times New Roman"/>
          <w:b w:val="0"/>
          <w:spacing w:val="-1"/>
          <w:sz w:val="20"/>
          <w:szCs w:val="20"/>
        </w:rPr>
        <w:t xml:space="preserve">LTC </w:t>
      </w:r>
      <w:r w:rsidR="0060156E">
        <w:rPr>
          <w:rFonts w:cs="Times New Roman"/>
          <w:b w:val="0"/>
          <w:spacing w:val="-1"/>
          <w:sz w:val="20"/>
          <w:szCs w:val="20"/>
        </w:rPr>
        <w:t xml:space="preserve">business </w:t>
      </w:r>
      <w:r w:rsidR="0068742A">
        <w:rPr>
          <w:rFonts w:cs="Times New Roman"/>
          <w:b w:val="0"/>
          <w:spacing w:val="-1"/>
          <w:sz w:val="20"/>
          <w:szCs w:val="20"/>
        </w:rPr>
        <w:t>must be supported by an</w:t>
      </w:r>
      <w:r w:rsidR="00040990" w:rsidRPr="00040990">
        <w:rPr>
          <w:rFonts w:cs="Times New Roman"/>
          <w:b w:val="0"/>
          <w:spacing w:val="-1"/>
          <w:sz w:val="20"/>
          <w:szCs w:val="20"/>
        </w:rPr>
        <w:t xml:space="preserve"> asset adequacy analysis </w:t>
      </w:r>
      <w:r w:rsidR="0068742A">
        <w:rPr>
          <w:rFonts w:cs="Times New Roman"/>
          <w:b w:val="0"/>
          <w:spacing w:val="-1"/>
          <w:sz w:val="20"/>
          <w:szCs w:val="20"/>
        </w:rPr>
        <w:t>specific to</w:t>
      </w:r>
      <w:r w:rsidR="0076304C">
        <w:rPr>
          <w:rFonts w:cs="Times New Roman"/>
          <w:b w:val="0"/>
          <w:spacing w:val="-1"/>
          <w:sz w:val="20"/>
          <w:szCs w:val="20"/>
        </w:rPr>
        <w:t xml:space="preserve"> LTC</w:t>
      </w:r>
      <w:r w:rsidR="0060156E">
        <w:rPr>
          <w:rFonts w:cs="Times New Roman"/>
          <w:b w:val="0"/>
          <w:spacing w:val="-1"/>
          <w:sz w:val="20"/>
          <w:szCs w:val="20"/>
        </w:rPr>
        <w:t xml:space="preserve"> business</w:t>
      </w:r>
      <w:r w:rsidR="00040990" w:rsidRPr="00040990">
        <w:rPr>
          <w:rFonts w:cs="Times New Roman"/>
          <w:b w:val="0"/>
          <w:spacing w:val="-1"/>
          <w:sz w:val="20"/>
          <w:szCs w:val="20"/>
        </w:rPr>
        <w:t xml:space="preserve"> for valuations associated with the December 31, 2017 and subsequent annual s</w:t>
      </w:r>
      <w:r w:rsidR="00040990">
        <w:rPr>
          <w:rFonts w:cs="Times New Roman"/>
          <w:b w:val="0"/>
          <w:spacing w:val="-1"/>
          <w:sz w:val="20"/>
          <w:szCs w:val="20"/>
        </w:rPr>
        <w:t>tatutory financial statements.</w:t>
      </w:r>
      <w:r w:rsidR="00884FF9">
        <w:rPr>
          <w:rFonts w:cs="Times New Roman"/>
          <w:b w:val="0"/>
          <w:spacing w:val="-1"/>
          <w:sz w:val="20"/>
          <w:szCs w:val="20"/>
        </w:rPr>
        <w:t xml:space="preserve">  The analysis shall </w:t>
      </w:r>
      <w:r w:rsidR="00884FF9">
        <w:rPr>
          <w:rFonts w:cs="Times New Roman"/>
          <w:b w:val="0"/>
          <w:spacing w:val="-1"/>
          <w:sz w:val="20"/>
          <w:szCs w:val="20"/>
        </w:rPr>
        <w:lastRenderedPageBreak/>
        <w:t>comply with applicable Actuarial Standards of Practice</w:t>
      </w:r>
      <w:r w:rsidR="001F6FCC">
        <w:rPr>
          <w:rFonts w:cs="Times New Roman"/>
          <w:b w:val="0"/>
          <w:spacing w:val="-1"/>
          <w:sz w:val="20"/>
          <w:szCs w:val="20"/>
        </w:rPr>
        <w:t xml:space="preserve">, including standards regarding </w:t>
      </w:r>
      <w:r w:rsidR="00A41845">
        <w:rPr>
          <w:rFonts w:cs="Times New Roman"/>
          <w:b w:val="0"/>
          <w:spacing w:val="-1"/>
          <w:sz w:val="20"/>
          <w:szCs w:val="20"/>
        </w:rPr>
        <w:t>identification of key risks</w:t>
      </w:r>
      <w:r>
        <w:rPr>
          <w:rFonts w:cs="Times New Roman"/>
          <w:b w:val="0"/>
          <w:spacing w:val="-1"/>
          <w:sz w:val="20"/>
          <w:szCs w:val="20"/>
        </w:rPr>
        <w:t xml:space="preserve"> </w:t>
      </w:r>
      <w:r w:rsidR="00A41845">
        <w:rPr>
          <w:rFonts w:cs="Times New Roman"/>
          <w:b w:val="0"/>
          <w:spacing w:val="-1"/>
          <w:sz w:val="20"/>
          <w:szCs w:val="20"/>
        </w:rPr>
        <w:t xml:space="preserve">(assumptions) associated with the </w:t>
      </w:r>
      <w:r w:rsidR="0076304C">
        <w:rPr>
          <w:rFonts w:cs="Times New Roman"/>
          <w:b w:val="0"/>
          <w:spacing w:val="-1"/>
          <w:sz w:val="20"/>
          <w:szCs w:val="20"/>
        </w:rPr>
        <w:t>LTC</w:t>
      </w:r>
      <w:r w:rsidR="0060156E">
        <w:rPr>
          <w:rFonts w:cs="Times New Roman"/>
          <w:b w:val="0"/>
          <w:spacing w:val="-1"/>
          <w:sz w:val="20"/>
          <w:szCs w:val="20"/>
        </w:rPr>
        <w:t xml:space="preserve"> business</w:t>
      </w:r>
      <w:r w:rsidR="00B1097D">
        <w:rPr>
          <w:rFonts w:cs="Times New Roman"/>
          <w:b w:val="0"/>
          <w:spacing w:val="-1"/>
          <w:sz w:val="20"/>
          <w:szCs w:val="20"/>
        </w:rPr>
        <w:t xml:space="preserve"> shall be determined </w:t>
      </w:r>
      <w:r w:rsidR="001F6FCC" w:rsidRPr="001F6FCC">
        <w:rPr>
          <w:rFonts w:cs="Times New Roman"/>
          <w:b w:val="0"/>
          <w:spacing w:val="-1"/>
          <w:sz w:val="20"/>
          <w:szCs w:val="20"/>
        </w:rPr>
        <w:t>test</w:t>
      </w:r>
      <w:r w:rsidR="001F6FCC">
        <w:rPr>
          <w:rFonts w:cs="Times New Roman"/>
          <w:b w:val="0"/>
          <w:spacing w:val="-1"/>
          <w:sz w:val="20"/>
          <w:szCs w:val="20"/>
        </w:rPr>
        <w:t>ing</w:t>
      </w:r>
      <w:r w:rsidR="001F6FCC" w:rsidRPr="001F6FCC">
        <w:rPr>
          <w:rFonts w:cs="Times New Roman"/>
          <w:b w:val="0"/>
          <w:spacing w:val="-1"/>
          <w:sz w:val="20"/>
          <w:szCs w:val="20"/>
        </w:rPr>
        <w:t xml:space="preserve"> moderately adverse deviations in actuarial assumptions</w:t>
      </w:r>
      <w:r w:rsidR="00884FF9" w:rsidRPr="00A77143">
        <w:rPr>
          <w:rFonts w:cs="Times New Roman"/>
          <w:b w:val="0"/>
          <w:spacing w:val="-1"/>
          <w:sz w:val="20"/>
          <w:szCs w:val="20"/>
        </w:rPr>
        <w:t>.</w:t>
      </w:r>
    </w:p>
    <w:p w14:paraId="30C30306" w14:textId="7A877A4C" w:rsidR="008B5145" w:rsidRPr="008B5145" w:rsidRDefault="0002509F" w:rsidP="008B5145">
      <w:pPr>
        <w:pStyle w:val="Heading1"/>
        <w:spacing w:after="240"/>
        <w:ind w:left="720" w:hanging="360"/>
        <w:rPr>
          <w:rFonts w:cs="Times New Roman"/>
          <w:b w:val="0"/>
          <w:spacing w:val="-1"/>
          <w:sz w:val="20"/>
          <w:szCs w:val="20"/>
        </w:rPr>
      </w:pPr>
      <w:r>
        <w:rPr>
          <w:rFonts w:cs="Times New Roman"/>
          <w:b w:val="0"/>
          <w:spacing w:val="-1"/>
          <w:sz w:val="20"/>
          <w:szCs w:val="20"/>
        </w:rPr>
        <w:t>C</w:t>
      </w:r>
      <w:r w:rsidR="00040990">
        <w:rPr>
          <w:rFonts w:cs="Times New Roman"/>
          <w:b w:val="0"/>
          <w:spacing w:val="-1"/>
          <w:sz w:val="20"/>
          <w:szCs w:val="20"/>
        </w:rPr>
        <w:t>.</w:t>
      </w:r>
      <w:r w:rsidR="00040990">
        <w:rPr>
          <w:rFonts w:cs="Times New Roman"/>
          <w:b w:val="0"/>
          <w:spacing w:val="-1"/>
          <w:sz w:val="20"/>
          <w:szCs w:val="20"/>
        </w:rPr>
        <w:tab/>
      </w:r>
      <w:r w:rsidR="008B5145" w:rsidRPr="008B5145">
        <w:rPr>
          <w:rFonts w:cs="Times New Roman"/>
          <w:b w:val="0"/>
          <w:spacing w:val="-1"/>
          <w:sz w:val="20"/>
          <w:szCs w:val="20"/>
        </w:rPr>
        <w:t>When determining whether additional reserves are necessary:</w:t>
      </w:r>
    </w:p>
    <w:p w14:paraId="67BE332F" w14:textId="4FA2CCAF" w:rsidR="00946055" w:rsidRDefault="008B5145" w:rsidP="00FD16C2">
      <w:pPr>
        <w:pStyle w:val="Heading1"/>
        <w:numPr>
          <w:ilvl w:val="0"/>
          <w:numId w:val="16"/>
        </w:numPr>
        <w:spacing w:after="240"/>
        <w:rPr>
          <w:rFonts w:cs="Times New Roman"/>
          <w:b w:val="0"/>
          <w:spacing w:val="-1"/>
          <w:sz w:val="20"/>
          <w:szCs w:val="20"/>
        </w:rPr>
      </w:pPr>
      <w:r w:rsidRPr="0087793D">
        <w:rPr>
          <w:rFonts w:cs="Times New Roman"/>
          <w:b w:val="0"/>
          <w:spacing w:val="-1"/>
          <w:sz w:val="20"/>
          <w:szCs w:val="20"/>
        </w:rPr>
        <w:t xml:space="preserve">In the case where cash-flow testing is used </w:t>
      </w:r>
      <w:r w:rsidR="00A50710" w:rsidRPr="0087793D">
        <w:rPr>
          <w:rFonts w:cs="Times New Roman"/>
          <w:b w:val="0"/>
          <w:spacing w:val="-1"/>
          <w:sz w:val="20"/>
          <w:szCs w:val="20"/>
        </w:rPr>
        <w:t xml:space="preserve">both </w:t>
      </w:r>
      <w:r w:rsidRPr="0087793D">
        <w:rPr>
          <w:rFonts w:cs="Times New Roman"/>
          <w:b w:val="0"/>
          <w:spacing w:val="-1"/>
          <w:sz w:val="20"/>
          <w:szCs w:val="20"/>
        </w:rPr>
        <w:t xml:space="preserve">for LTC </w:t>
      </w:r>
      <w:r w:rsidR="0060156E">
        <w:rPr>
          <w:rFonts w:cs="Times New Roman"/>
          <w:b w:val="0"/>
          <w:spacing w:val="-1"/>
          <w:sz w:val="20"/>
          <w:szCs w:val="20"/>
        </w:rPr>
        <w:t xml:space="preserve">business </w:t>
      </w:r>
      <w:r w:rsidRPr="0087793D">
        <w:rPr>
          <w:rFonts w:cs="Times New Roman"/>
          <w:b w:val="0"/>
          <w:spacing w:val="-1"/>
          <w:sz w:val="20"/>
          <w:szCs w:val="20"/>
        </w:rPr>
        <w:t xml:space="preserve">and for the companywide analysis, </w:t>
      </w:r>
    </w:p>
    <w:p w14:paraId="1D19C204" w14:textId="2A1EB35B" w:rsidR="00946055" w:rsidRDefault="00946055" w:rsidP="00FD16C2">
      <w:pPr>
        <w:pStyle w:val="Heading1"/>
        <w:numPr>
          <w:ilvl w:val="1"/>
          <w:numId w:val="16"/>
        </w:numPr>
        <w:spacing w:after="240"/>
        <w:rPr>
          <w:rFonts w:cs="Times New Roman"/>
          <w:b w:val="0"/>
          <w:spacing w:val="-1"/>
          <w:sz w:val="20"/>
          <w:szCs w:val="20"/>
        </w:rPr>
      </w:pPr>
      <w:r>
        <w:rPr>
          <w:rFonts w:cs="Times New Roman"/>
          <w:b w:val="0"/>
          <w:spacing w:val="-1"/>
          <w:sz w:val="20"/>
          <w:szCs w:val="20"/>
        </w:rPr>
        <w:t>A</w:t>
      </w:r>
      <w:r w:rsidR="00370A4D">
        <w:rPr>
          <w:rFonts w:cs="Times New Roman"/>
          <w:b w:val="0"/>
          <w:spacing w:val="-1"/>
          <w:sz w:val="20"/>
          <w:szCs w:val="20"/>
        </w:rPr>
        <w:t xml:space="preserve"> deficiency in the</w:t>
      </w:r>
      <w:r w:rsidR="00A50710" w:rsidRPr="0087793D">
        <w:rPr>
          <w:rFonts w:cs="Times New Roman"/>
          <w:b w:val="0"/>
          <w:spacing w:val="-1"/>
          <w:sz w:val="20"/>
          <w:szCs w:val="20"/>
        </w:rPr>
        <w:t xml:space="preserve"> </w:t>
      </w:r>
      <w:r w:rsidR="008B5145" w:rsidRPr="0087793D">
        <w:rPr>
          <w:rFonts w:cs="Times New Roman"/>
          <w:b w:val="0"/>
          <w:spacing w:val="-1"/>
          <w:sz w:val="20"/>
          <w:szCs w:val="20"/>
        </w:rPr>
        <w:t xml:space="preserve">LTC </w:t>
      </w:r>
      <w:r w:rsidR="00370A4D">
        <w:rPr>
          <w:rFonts w:cs="Times New Roman"/>
          <w:b w:val="0"/>
          <w:spacing w:val="-1"/>
          <w:sz w:val="20"/>
          <w:szCs w:val="20"/>
        </w:rPr>
        <w:t>segment</w:t>
      </w:r>
      <w:r w:rsidR="008B5145" w:rsidRPr="0087793D">
        <w:rPr>
          <w:rFonts w:cs="Times New Roman"/>
          <w:b w:val="0"/>
          <w:spacing w:val="-1"/>
          <w:sz w:val="20"/>
          <w:szCs w:val="20"/>
        </w:rPr>
        <w:t xml:space="preserve"> may be offset by </w:t>
      </w:r>
      <w:r w:rsidR="00370A4D">
        <w:rPr>
          <w:rFonts w:cs="Times New Roman"/>
          <w:b w:val="0"/>
          <w:spacing w:val="-1"/>
          <w:sz w:val="20"/>
          <w:szCs w:val="20"/>
        </w:rPr>
        <w:t xml:space="preserve">a </w:t>
      </w:r>
      <w:r w:rsidR="00A50710" w:rsidRPr="00885B66">
        <w:rPr>
          <w:rFonts w:cs="Times New Roman"/>
          <w:b w:val="0"/>
          <w:spacing w:val="-1"/>
          <w:sz w:val="20"/>
          <w:szCs w:val="20"/>
        </w:rPr>
        <w:t xml:space="preserve">projected and justified </w:t>
      </w:r>
      <w:r w:rsidR="008B5145" w:rsidRPr="00885B66">
        <w:rPr>
          <w:rFonts w:cs="Times New Roman"/>
          <w:b w:val="0"/>
          <w:spacing w:val="-1"/>
          <w:sz w:val="20"/>
          <w:szCs w:val="20"/>
        </w:rPr>
        <w:t xml:space="preserve">overall </w:t>
      </w:r>
      <w:r w:rsidR="00A37330" w:rsidRPr="00885B66">
        <w:rPr>
          <w:rFonts w:cs="Times New Roman"/>
          <w:b w:val="0"/>
          <w:spacing w:val="-1"/>
          <w:sz w:val="20"/>
          <w:szCs w:val="20"/>
        </w:rPr>
        <w:t xml:space="preserve">cash-flow testing </w:t>
      </w:r>
      <w:r w:rsidR="00885B66">
        <w:rPr>
          <w:rFonts w:cs="Times New Roman"/>
          <w:b w:val="0"/>
          <w:spacing w:val="-1"/>
          <w:sz w:val="20"/>
          <w:szCs w:val="20"/>
        </w:rPr>
        <w:t>sufficiency</w:t>
      </w:r>
      <w:r w:rsidR="00370A4D">
        <w:rPr>
          <w:rFonts w:cs="Times New Roman"/>
          <w:b w:val="0"/>
          <w:spacing w:val="-1"/>
          <w:sz w:val="20"/>
          <w:szCs w:val="20"/>
        </w:rPr>
        <w:t xml:space="preserve"> in non-LTC segments</w:t>
      </w:r>
      <w:r w:rsidR="008B5145" w:rsidRPr="00885B66">
        <w:rPr>
          <w:rFonts w:cs="Times New Roman"/>
          <w:b w:val="0"/>
          <w:spacing w:val="-1"/>
          <w:sz w:val="20"/>
          <w:szCs w:val="20"/>
        </w:rPr>
        <w:t>.</w:t>
      </w:r>
      <w:r w:rsidR="00F27837">
        <w:rPr>
          <w:rFonts w:cs="Times New Roman"/>
          <w:b w:val="0"/>
          <w:spacing w:val="-1"/>
          <w:sz w:val="20"/>
          <w:szCs w:val="20"/>
        </w:rPr>
        <w:t xml:space="preserve">  </w:t>
      </w:r>
      <w:r w:rsidR="00F27837" w:rsidRPr="0087793D">
        <w:rPr>
          <w:rFonts w:cs="Times New Roman"/>
          <w:b w:val="0"/>
          <w:spacing w:val="-1"/>
          <w:sz w:val="20"/>
          <w:szCs w:val="20"/>
        </w:rPr>
        <w:t>The LTC-related assumptions in the companywide cash-flow testing shall be the same as with the standalone LTC cash-flow testing.</w:t>
      </w:r>
      <w:r w:rsidR="00C920AD" w:rsidRPr="00885B66">
        <w:rPr>
          <w:rFonts w:cs="Times New Roman"/>
          <w:b w:val="0"/>
          <w:spacing w:val="-1"/>
          <w:sz w:val="20"/>
          <w:szCs w:val="20"/>
        </w:rPr>
        <w:t xml:space="preserve">  </w:t>
      </w:r>
    </w:p>
    <w:p w14:paraId="7531867A" w14:textId="427A464A" w:rsidR="00946055" w:rsidRDefault="00C920AD" w:rsidP="00FD16C2">
      <w:pPr>
        <w:pStyle w:val="Heading1"/>
        <w:numPr>
          <w:ilvl w:val="1"/>
          <w:numId w:val="16"/>
        </w:numPr>
        <w:spacing w:after="240"/>
        <w:rPr>
          <w:rFonts w:cs="Times New Roman"/>
          <w:b w:val="0"/>
          <w:spacing w:val="-1"/>
          <w:sz w:val="20"/>
          <w:szCs w:val="20"/>
        </w:rPr>
      </w:pPr>
      <w:r w:rsidRPr="00885B66">
        <w:rPr>
          <w:rFonts w:cs="Times New Roman"/>
          <w:b w:val="0"/>
          <w:spacing w:val="-1"/>
          <w:sz w:val="20"/>
          <w:szCs w:val="20"/>
        </w:rPr>
        <w:t xml:space="preserve">To the extent projected LTC </w:t>
      </w:r>
      <w:r w:rsidR="00885B66">
        <w:rPr>
          <w:rFonts w:cs="Times New Roman"/>
          <w:b w:val="0"/>
          <w:spacing w:val="-1"/>
          <w:sz w:val="20"/>
          <w:szCs w:val="20"/>
        </w:rPr>
        <w:t>reserve insufficiency</w:t>
      </w:r>
      <w:r w:rsidRPr="00885B66">
        <w:rPr>
          <w:rFonts w:cs="Times New Roman"/>
          <w:b w:val="0"/>
          <w:spacing w:val="-1"/>
          <w:sz w:val="20"/>
          <w:szCs w:val="20"/>
        </w:rPr>
        <w:t xml:space="preserve"> </w:t>
      </w:r>
      <w:r w:rsidR="00885B66">
        <w:rPr>
          <w:rFonts w:cs="Times New Roman"/>
          <w:b w:val="0"/>
          <w:spacing w:val="-1"/>
          <w:sz w:val="20"/>
          <w:szCs w:val="20"/>
        </w:rPr>
        <w:t>is</w:t>
      </w:r>
      <w:r w:rsidRPr="00885B66">
        <w:rPr>
          <w:rFonts w:cs="Times New Roman"/>
          <w:b w:val="0"/>
          <w:spacing w:val="-1"/>
          <w:sz w:val="20"/>
          <w:szCs w:val="20"/>
        </w:rPr>
        <w:t xml:space="preserve"> not offset through aggregation, reserves for </w:t>
      </w:r>
      <w:r w:rsidRPr="0087793D">
        <w:rPr>
          <w:rFonts w:cs="Times New Roman"/>
          <w:b w:val="0"/>
          <w:spacing w:val="-1"/>
          <w:sz w:val="20"/>
          <w:szCs w:val="20"/>
        </w:rPr>
        <w:t xml:space="preserve">LTC </w:t>
      </w:r>
      <w:r w:rsidR="0060156E">
        <w:rPr>
          <w:rFonts w:cs="Times New Roman"/>
          <w:b w:val="0"/>
          <w:spacing w:val="-1"/>
          <w:sz w:val="20"/>
          <w:szCs w:val="20"/>
        </w:rPr>
        <w:t xml:space="preserve">business </w:t>
      </w:r>
      <w:r w:rsidRPr="0087793D">
        <w:rPr>
          <w:rFonts w:cs="Times New Roman"/>
          <w:b w:val="0"/>
          <w:spacing w:val="-1"/>
          <w:sz w:val="20"/>
          <w:szCs w:val="20"/>
        </w:rPr>
        <w:t>shall be increased by any additional reserves required</w:t>
      </w:r>
      <w:r w:rsidR="0087793D" w:rsidRPr="0087793D">
        <w:rPr>
          <w:rFonts w:cs="Times New Roman"/>
          <w:b w:val="0"/>
          <w:spacing w:val="-1"/>
          <w:sz w:val="20"/>
          <w:szCs w:val="20"/>
        </w:rPr>
        <w:t xml:space="preserve"> to eliminate the projected </w:t>
      </w:r>
      <w:r w:rsidR="00885B66">
        <w:rPr>
          <w:rFonts w:cs="Times New Roman"/>
          <w:b w:val="0"/>
          <w:spacing w:val="-1"/>
          <w:sz w:val="20"/>
          <w:szCs w:val="20"/>
        </w:rPr>
        <w:t>reserve insufficiency</w:t>
      </w:r>
      <w:r w:rsidRPr="0087793D">
        <w:rPr>
          <w:rFonts w:cs="Times New Roman"/>
          <w:b w:val="0"/>
          <w:spacing w:val="-1"/>
          <w:sz w:val="20"/>
          <w:szCs w:val="20"/>
        </w:rPr>
        <w:t>.</w:t>
      </w:r>
      <w:r w:rsidR="00A50710" w:rsidRPr="0087793D">
        <w:rPr>
          <w:rFonts w:cs="Times New Roman"/>
          <w:b w:val="0"/>
          <w:spacing w:val="-1"/>
          <w:sz w:val="20"/>
          <w:szCs w:val="20"/>
        </w:rPr>
        <w:t xml:space="preserve"> </w:t>
      </w:r>
    </w:p>
    <w:p w14:paraId="4457D093" w14:textId="12A797E1" w:rsidR="008B5145" w:rsidRPr="008B5145" w:rsidRDefault="00423375" w:rsidP="00FD16C2">
      <w:pPr>
        <w:pStyle w:val="Heading1"/>
        <w:numPr>
          <w:ilvl w:val="1"/>
          <w:numId w:val="16"/>
        </w:numPr>
        <w:spacing w:after="240"/>
        <w:rPr>
          <w:rFonts w:cs="Times New Roman"/>
          <w:b w:val="0"/>
          <w:spacing w:val="-1"/>
          <w:sz w:val="20"/>
          <w:szCs w:val="20"/>
        </w:rPr>
      </w:pPr>
      <w:r w:rsidRPr="00773EF5">
        <w:rPr>
          <w:rFonts w:cs="Times New Roman"/>
          <w:b w:val="0"/>
          <w:spacing w:val="-1"/>
          <w:sz w:val="20"/>
          <w:szCs w:val="20"/>
        </w:rPr>
        <w:t xml:space="preserve">Requirements for standalone analysis for a health insurance major block of contracts, per </w:t>
      </w:r>
      <w:r w:rsidRPr="00773EF5">
        <w:rPr>
          <w:rFonts w:cs="Times New Roman"/>
          <w:b w:val="0"/>
          <w:i/>
          <w:spacing w:val="-1"/>
          <w:sz w:val="20"/>
          <w:szCs w:val="20"/>
        </w:rPr>
        <w:t>Model Regulation #010</w:t>
      </w:r>
      <w:r w:rsidRPr="00773EF5">
        <w:rPr>
          <w:rFonts w:cs="Times New Roman"/>
          <w:b w:val="0"/>
          <w:spacing w:val="-1"/>
          <w:sz w:val="20"/>
          <w:szCs w:val="20"/>
        </w:rPr>
        <w:t>, still apply even if aggregation of cash-flow testing results occurs.</w:t>
      </w:r>
    </w:p>
    <w:p w14:paraId="77E9779B" w14:textId="79CA6090" w:rsidR="008B5145" w:rsidRPr="008B5145" w:rsidRDefault="008B5145" w:rsidP="002439AD">
      <w:pPr>
        <w:pStyle w:val="Heading1"/>
        <w:spacing w:after="240"/>
        <w:ind w:left="1080" w:hanging="360"/>
        <w:rPr>
          <w:rFonts w:cs="Times New Roman"/>
          <w:b w:val="0"/>
          <w:spacing w:val="-1"/>
          <w:sz w:val="20"/>
          <w:szCs w:val="20"/>
        </w:rPr>
      </w:pPr>
      <w:r w:rsidRPr="008B5145">
        <w:rPr>
          <w:rFonts w:cs="Times New Roman"/>
          <w:b w:val="0"/>
          <w:spacing w:val="-1"/>
          <w:sz w:val="20"/>
          <w:szCs w:val="20"/>
        </w:rPr>
        <w:t>2.</w:t>
      </w:r>
      <w:r w:rsidRPr="008B5145">
        <w:rPr>
          <w:rFonts w:cs="Times New Roman"/>
          <w:b w:val="0"/>
          <w:spacing w:val="-1"/>
          <w:sz w:val="20"/>
          <w:szCs w:val="20"/>
        </w:rPr>
        <w:tab/>
        <w:t xml:space="preserve">In cases where </w:t>
      </w:r>
      <w:r>
        <w:rPr>
          <w:rFonts w:cs="Times New Roman"/>
          <w:b w:val="0"/>
          <w:spacing w:val="-1"/>
          <w:sz w:val="20"/>
          <w:szCs w:val="20"/>
        </w:rPr>
        <w:t>cash-flow testing is not used for LTC</w:t>
      </w:r>
      <w:r w:rsidR="008456CF">
        <w:rPr>
          <w:rFonts w:cs="Times New Roman"/>
          <w:b w:val="0"/>
          <w:spacing w:val="-1"/>
          <w:sz w:val="20"/>
          <w:szCs w:val="20"/>
        </w:rPr>
        <w:t xml:space="preserve"> business</w:t>
      </w:r>
      <w:r>
        <w:rPr>
          <w:rFonts w:cs="Times New Roman"/>
          <w:b w:val="0"/>
          <w:spacing w:val="-1"/>
          <w:sz w:val="20"/>
          <w:szCs w:val="20"/>
        </w:rPr>
        <w:t xml:space="preserve">, reserves for LTC </w:t>
      </w:r>
      <w:r w:rsidR="008F1272">
        <w:rPr>
          <w:rFonts w:cs="Times New Roman"/>
          <w:b w:val="0"/>
          <w:spacing w:val="-1"/>
          <w:sz w:val="20"/>
          <w:szCs w:val="20"/>
        </w:rPr>
        <w:t xml:space="preserve">business </w:t>
      </w:r>
      <w:r>
        <w:rPr>
          <w:rFonts w:cs="Times New Roman"/>
          <w:b w:val="0"/>
          <w:spacing w:val="-1"/>
          <w:sz w:val="20"/>
          <w:szCs w:val="20"/>
        </w:rPr>
        <w:t xml:space="preserve">shall be increased by any additional reserves required by the </w:t>
      </w:r>
      <w:r w:rsidR="00A50710">
        <w:rPr>
          <w:rFonts w:cs="Times New Roman"/>
          <w:b w:val="0"/>
          <w:spacing w:val="-1"/>
          <w:sz w:val="20"/>
          <w:szCs w:val="20"/>
        </w:rPr>
        <w:t xml:space="preserve">standalone LTC </w:t>
      </w:r>
      <w:r w:rsidR="008F1272">
        <w:rPr>
          <w:rFonts w:cs="Times New Roman"/>
          <w:b w:val="0"/>
          <w:spacing w:val="-1"/>
          <w:sz w:val="20"/>
          <w:szCs w:val="20"/>
        </w:rPr>
        <w:t xml:space="preserve">business </w:t>
      </w:r>
      <w:r>
        <w:rPr>
          <w:rFonts w:cs="Times New Roman"/>
          <w:b w:val="0"/>
          <w:spacing w:val="-1"/>
          <w:sz w:val="20"/>
          <w:szCs w:val="20"/>
        </w:rPr>
        <w:t>asset adequacy analysis</w:t>
      </w:r>
      <w:r w:rsidR="0087793D">
        <w:rPr>
          <w:rFonts w:cs="Times New Roman"/>
          <w:b w:val="0"/>
          <w:spacing w:val="-1"/>
          <w:sz w:val="20"/>
          <w:szCs w:val="20"/>
        </w:rPr>
        <w:t xml:space="preserve"> to eliminate </w:t>
      </w:r>
      <w:r w:rsidR="00885B66">
        <w:rPr>
          <w:rFonts w:cs="Times New Roman"/>
          <w:b w:val="0"/>
          <w:spacing w:val="-1"/>
          <w:sz w:val="20"/>
          <w:szCs w:val="20"/>
        </w:rPr>
        <w:t xml:space="preserve">a </w:t>
      </w:r>
      <w:r w:rsidR="0087793D">
        <w:rPr>
          <w:rFonts w:cs="Times New Roman"/>
          <w:b w:val="0"/>
          <w:spacing w:val="-1"/>
          <w:sz w:val="20"/>
          <w:szCs w:val="20"/>
        </w:rPr>
        <w:t>reserve insufficienc</w:t>
      </w:r>
      <w:r w:rsidR="00885B66">
        <w:rPr>
          <w:rFonts w:cs="Times New Roman"/>
          <w:b w:val="0"/>
          <w:spacing w:val="-1"/>
          <w:sz w:val="20"/>
          <w:szCs w:val="20"/>
        </w:rPr>
        <w:t>y</w:t>
      </w:r>
      <w:r>
        <w:rPr>
          <w:rFonts w:cs="Times New Roman"/>
          <w:b w:val="0"/>
          <w:spacing w:val="-1"/>
          <w:sz w:val="20"/>
          <w:szCs w:val="20"/>
        </w:rPr>
        <w:t>.</w:t>
      </w:r>
    </w:p>
    <w:p w14:paraId="10F4FBA2" w14:textId="7ED09A02" w:rsidR="00946055" w:rsidRDefault="00A50710" w:rsidP="00946055">
      <w:pPr>
        <w:pStyle w:val="Heading1"/>
        <w:spacing w:after="240"/>
        <w:ind w:left="1080" w:hanging="360"/>
        <w:rPr>
          <w:rFonts w:cs="Times New Roman"/>
          <w:b w:val="0"/>
          <w:spacing w:val="-1"/>
          <w:sz w:val="20"/>
          <w:szCs w:val="20"/>
        </w:rPr>
      </w:pPr>
      <w:r>
        <w:rPr>
          <w:rFonts w:cs="Times New Roman"/>
          <w:b w:val="0"/>
          <w:spacing w:val="-1"/>
          <w:sz w:val="20"/>
          <w:szCs w:val="20"/>
        </w:rPr>
        <w:t>3.</w:t>
      </w:r>
      <w:r>
        <w:rPr>
          <w:rFonts w:cs="Times New Roman"/>
          <w:b w:val="0"/>
          <w:spacing w:val="-1"/>
          <w:sz w:val="20"/>
          <w:szCs w:val="20"/>
        </w:rPr>
        <w:tab/>
        <w:t>Phase-</w:t>
      </w:r>
      <w:r w:rsidR="008B5145" w:rsidRPr="008B5145">
        <w:rPr>
          <w:rFonts w:cs="Times New Roman"/>
          <w:b w:val="0"/>
          <w:spacing w:val="-1"/>
          <w:sz w:val="20"/>
          <w:szCs w:val="20"/>
        </w:rPr>
        <w:t xml:space="preserve">in </w:t>
      </w:r>
      <w:r>
        <w:rPr>
          <w:rFonts w:cs="Times New Roman"/>
          <w:b w:val="0"/>
          <w:spacing w:val="-1"/>
          <w:sz w:val="20"/>
          <w:szCs w:val="20"/>
        </w:rPr>
        <w:t xml:space="preserve">of additional reserves </w:t>
      </w:r>
      <w:r w:rsidR="008B5145" w:rsidRPr="008B5145">
        <w:rPr>
          <w:rFonts w:cs="Times New Roman"/>
          <w:b w:val="0"/>
          <w:spacing w:val="-1"/>
          <w:sz w:val="20"/>
          <w:szCs w:val="20"/>
        </w:rPr>
        <w:t xml:space="preserve">according to </w:t>
      </w:r>
      <w:r w:rsidR="00EF6288">
        <w:rPr>
          <w:rFonts w:cs="Times New Roman"/>
          <w:b w:val="0"/>
          <w:spacing w:val="-1"/>
          <w:sz w:val="20"/>
          <w:szCs w:val="20"/>
        </w:rPr>
        <w:t xml:space="preserve">considerations stated in </w:t>
      </w:r>
      <w:r w:rsidR="008B5145" w:rsidRPr="008B5145">
        <w:rPr>
          <w:rFonts w:cs="Times New Roman"/>
          <w:b w:val="0"/>
          <w:spacing w:val="-1"/>
          <w:sz w:val="20"/>
          <w:szCs w:val="20"/>
        </w:rPr>
        <w:t xml:space="preserve">Section </w:t>
      </w:r>
      <w:r w:rsidR="008F1272">
        <w:rPr>
          <w:rFonts w:cs="Times New Roman"/>
          <w:b w:val="0"/>
          <w:spacing w:val="-1"/>
          <w:sz w:val="20"/>
          <w:szCs w:val="20"/>
        </w:rPr>
        <w:t>3</w:t>
      </w:r>
      <w:r w:rsidR="008B5145" w:rsidRPr="008B5145">
        <w:rPr>
          <w:rFonts w:cs="Times New Roman"/>
          <w:b w:val="0"/>
          <w:spacing w:val="-1"/>
          <w:sz w:val="20"/>
          <w:szCs w:val="20"/>
        </w:rPr>
        <w:t>.</w:t>
      </w:r>
      <w:r>
        <w:rPr>
          <w:rFonts w:cs="Times New Roman"/>
          <w:b w:val="0"/>
          <w:spacing w:val="-1"/>
          <w:sz w:val="20"/>
          <w:szCs w:val="20"/>
        </w:rPr>
        <w:t>F</w:t>
      </w:r>
      <w:r w:rsidR="008B5145" w:rsidRPr="008B5145">
        <w:rPr>
          <w:rFonts w:cs="Times New Roman"/>
          <w:b w:val="0"/>
          <w:spacing w:val="-1"/>
          <w:sz w:val="20"/>
          <w:szCs w:val="20"/>
        </w:rPr>
        <w:t>. may be available.</w:t>
      </w:r>
    </w:p>
    <w:p w14:paraId="7D647819" w14:textId="030F1CFE" w:rsidR="008456CF" w:rsidRDefault="00A35FD4" w:rsidP="00040990">
      <w:pPr>
        <w:pStyle w:val="Heading1"/>
        <w:spacing w:after="240"/>
        <w:ind w:left="720" w:hanging="360"/>
        <w:rPr>
          <w:rFonts w:cs="Times New Roman"/>
          <w:b w:val="0"/>
          <w:spacing w:val="-1"/>
          <w:sz w:val="20"/>
          <w:szCs w:val="20"/>
        </w:rPr>
      </w:pPr>
      <w:r>
        <w:rPr>
          <w:rFonts w:cs="Times New Roman"/>
          <w:b w:val="0"/>
          <w:spacing w:val="-1"/>
          <w:sz w:val="20"/>
          <w:szCs w:val="20"/>
        </w:rPr>
        <w:t xml:space="preserve"> </w:t>
      </w:r>
      <w:r w:rsidR="00F3529A">
        <w:rPr>
          <w:rFonts w:cs="Times New Roman"/>
          <w:b w:val="0"/>
          <w:spacing w:val="-1"/>
          <w:sz w:val="20"/>
          <w:szCs w:val="20"/>
        </w:rPr>
        <w:t xml:space="preserve">D.   </w:t>
      </w:r>
      <w:r w:rsidR="008456CF">
        <w:rPr>
          <w:rFonts w:cs="Times New Roman"/>
          <w:b w:val="0"/>
          <w:spacing w:val="-1"/>
          <w:sz w:val="20"/>
          <w:szCs w:val="20"/>
        </w:rPr>
        <w:t>When determining the effect of investment returns or the time value of money:</w:t>
      </w:r>
    </w:p>
    <w:p w14:paraId="29B25D29" w14:textId="3FD40FDA" w:rsidR="00F3529A" w:rsidRDefault="008456CF" w:rsidP="008456CF">
      <w:pPr>
        <w:pStyle w:val="Heading1"/>
        <w:spacing w:after="240"/>
        <w:ind w:left="1080" w:hanging="360"/>
        <w:rPr>
          <w:rFonts w:cs="Times New Roman"/>
          <w:b w:val="0"/>
          <w:spacing w:val="-1"/>
          <w:sz w:val="20"/>
          <w:szCs w:val="20"/>
        </w:rPr>
      </w:pPr>
      <w:r>
        <w:rPr>
          <w:rFonts w:cs="Times New Roman"/>
          <w:b w:val="0"/>
          <w:spacing w:val="-1"/>
          <w:sz w:val="20"/>
          <w:szCs w:val="20"/>
        </w:rPr>
        <w:t xml:space="preserve">1.  </w:t>
      </w:r>
      <w:r>
        <w:rPr>
          <w:rFonts w:cs="Times New Roman"/>
          <w:b w:val="0"/>
          <w:spacing w:val="-1"/>
          <w:sz w:val="20"/>
          <w:szCs w:val="20"/>
        </w:rPr>
        <w:tab/>
        <w:t>In the case where cash-flow testing is used, t</w:t>
      </w:r>
      <w:r w:rsidR="00F3529A">
        <w:rPr>
          <w:rFonts w:cs="Times New Roman"/>
          <w:b w:val="0"/>
          <w:spacing w:val="-1"/>
          <w:sz w:val="20"/>
          <w:szCs w:val="20"/>
        </w:rPr>
        <w:t xml:space="preserve">he analysis shall represent investment income associated with </w:t>
      </w:r>
      <w:r w:rsidR="00A35FD4">
        <w:rPr>
          <w:rFonts w:cs="Times New Roman"/>
          <w:b w:val="0"/>
          <w:spacing w:val="-1"/>
          <w:sz w:val="20"/>
          <w:szCs w:val="20"/>
        </w:rPr>
        <w:t>LTC</w:t>
      </w:r>
      <w:r w:rsidR="00FD16C2">
        <w:rPr>
          <w:rFonts w:cs="Times New Roman"/>
          <w:b w:val="0"/>
          <w:spacing w:val="-1"/>
          <w:sz w:val="20"/>
          <w:szCs w:val="20"/>
        </w:rPr>
        <w:t xml:space="preserve"> business</w:t>
      </w:r>
      <w:r w:rsidR="00F3529A">
        <w:rPr>
          <w:rFonts w:cs="Times New Roman"/>
          <w:b w:val="0"/>
          <w:spacing w:val="-1"/>
          <w:sz w:val="20"/>
          <w:szCs w:val="20"/>
        </w:rPr>
        <w:t xml:space="preserve"> consistently with the way assets within the General Account are managed.  If a segment of the General Account is </w:t>
      </w:r>
      <w:r w:rsidR="00A35FD4">
        <w:rPr>
          <w:rFonts w:cs="Times New Roman"/>
          <w:b w:val="0"/>
          <w:spacing w:val="-1"/>
          <w:sz w:val="20"/>
          <w:szCs w:val="20"/>
        </w:rPr>
        <w:t>used</w:t>
      </w:r>
      <w:r w:rsidR="00F3529A">
        <w:rPr>
          <w:rFonts w:cs="Times New Roman"/>
          <w:b w:val="0"/>
          <w:spacing w:val="-1"/>
          <w:sz w:val="20"/>
          <w:szCs w:val="20"/>
        </w:rPr>
        <w:t xml:space="preserve"> to manage the investment risk for </w:t>
      </w:r>
      <w:r w:rsidR="00A35FD4">
        <w:rPr>
          <w:rFonts w:cs="Times New Roman"/>
          <w:b w:val="0"/>
          <w:spacing w:val="-1"/>
          <w:sz w:val="20"/>
          <w:szCs w:val="20"/>
        </w:rPr>
        <w:t>LTC</w:t>
      </w:r>
      <w:r>
        <w:rPr>
          <w:rFonts w:cs="Times New Roman"/>
          <w:b w:val="0"/>
          <w:spacing w:val="-1"/>
          <w:sz w:val="20"/>
          <w:szCs w:val="20"/>
        </w:rPr>
        <w:t xml:space="preserve"> business</w:t>
      </w:r>
      <w:r w:rsidR="00F3529A">
        <w:rPr>
          <w:rFonts w:cs="Times New Roman"/>
          <w:b w:val="0"/>
          <w:spacing w:val="-1"/>
          <w:sz w:val="20"/>
          <w:szCs w:val="20"/>
        </w:rPr>
        <w:t xml:space="preserve">, the assets from that segment should be appropriately represented within the asset adequacy analysis whether asset cash flows are </w:t>
      </w:r>
      <w:r w:rsidR="00A35FD4">
        <w:rPr>
          <w:rFonts w:cs="Times New Roman"/>
          <w:b w:val="0"/>
          <w:spacing w:val="-1"/>
          <w:sz w:val="20"/>
          <w:szCs w:val="20"/>
        </w:rPr>
        <w:t xml:space="preserve">explicitly </w:t>
      </w:r>
      <w:r w:rsidR="00F3529A">
        <w:rPr>
          <w:rFonts w:cs="Times New Roman"/>
          <w:b w:val="0"/>
          <w:spacing w:val="-1"/>
          <w:sz w:val="20"/>
          <w:szCs w:val="20"/>
        </w:rPr>
        <w:t xml:space="preserve">generated or whether a </w:t>
      </w:r>
      <w:r w:rsidR="00A35FD4">
        <w:rPr>
          <w:rFonts w:cs="Times New Roman"/>
          <w:b w:val="0"/>
          <w:spacing w:val="-1"/>
          <w:sz w:val="20"/>
          <w:szCs w:val="20"/>
        </w:rPr>
        <w:t>simpler method</w:t>
      </w:r>
      <w:r w:rsidR="00F3529A">
        <w:rPr>
          <w:rFonts w:cs="Times New Roman"/>
          <w:b w:val="0"/>
          <w:spacing w:val="-1"/>
          <w:sz w:val="20"/>
          <w:szCs w:val="20"/>
        </w:rPr>
        <w:t xml:space="preserve"> to </w:t>
      </w:r>
      <w:r w:rsidR="00A35FD4">
        <w:rPr>
          <w:rFonts w:cs="Times New Roman"/>
          <w:b w:val="0"/>
          <w:spacing w:val="-1"/>
          <w:sz w:val="20"/>
          <w:szCs w:val="20"/>
        </w:rPr>
        <w:t>reflect</w:t>
      </w:r>
      <w:r w:rsidR="00F3529A">
        <w:rPr>
          <w:rFonts w:cs="Times New Roman"/>
          <w:b w:val="0"/>
          <w:spacing w:val="-1"/>
          <w:sz w:val="20"/>
          <w:szCs w:val="20"/>
        </w:rPr>
        <w:t xml:space="preserve"> investment income is used in the analysis.</w:t>
      </w:r>
    </w:p>
    <w:p w14:paraId="49807A42" w14:textId="45710765" w:rsidR="00537C24" w:rsidRDefault="008456CF" w:rsidP="008456CF">
      <w:pPr>
        <w:pStyle w:val="Heading1"/>
        <w:ind w:left="1080" w:hanging="360"/>
        <w:jc w:val="both"/>
        <w:rPr>
          <w:rFonts w:cs="Times New Roman"/>
          <w:b w:val="0"/>
          <w:spacing w:val="-1"/>
          <w:sz w:val="20"/>
          <w:szCs w:val="20"/>
        </w:rPr>
      </w:pPr>
      <w:r>
        <w:rPr>
          <w:rFonts w:cs="Times New Roman"/>
          <w:b w:val="0"/>
          <w:spacing w:val="-1"/>
          <w:sz w:val="20"/>
          <w:szCs w:val="20"/>
        </w:rPr>
        <w:t>2.</w:t>
      </w:r>
      <w:r>
        <w:rPr>
          <w:rFonts w:cs="Times New Roman"/>
          <w:b w:val="0"/>
          <w:spacing w:val="-1"/>
          <w:sz w:val="20"/>
          <w:szCs w:val="20"/>
        </w:rPr>
        <w:tab/>
        <w:t xml:space="preserve">In the case where </w:t>
      </w:r>
      <w:r w:rsidR="00A35FD4">
        <w:rPr>
          <w:rFonts w:cs="Times New Roman"/>
          <w:b w:val="0"/>
          <w:spacing w:val="-1"/>
          <w:sz w:val="20"/>
          <w:szCs w:val="20"/>
        </w:rPr>
        <w:t>a gross premium valuation method is used</w:t>
      </w:r>
      <w:r>
        <w:rPr>
          <w:rFonts w:cs="Times New Roman"/>
          <w:b w:val="0"/>
          <w:spacing w:val="-1"/>
          <w:sz w:val="20"/>
          <w:szCs w:val="20"/>
        </w:rPr>
        <w:t xml:space="preserve"> or asset cash flows are not explicitly modeled</w:t>
      </w:r>
      <w:r w:rsidR="00A35FD4">
        <w:rPr>
          <w:rFonts w:cs="Times New Roman"/>
          <w:b w:val="0"/>
          <w:spacing w:val="-1"/>
          <w:sz w:val="20"/>
          <w:szCs w:val="20"/>
        </w:rPr>
        <w:t>, t</w:t>
      </w:r>
      <w:r w:rsidR="00537C24" w:rsidRPr="00537C24">
        <w:rPr>
          <w:rFonts w:cs="Times New Roman"/>
          <w:b w:val="0"/>
          <w:spacing w:val="-1"/>
          <w:sz w:val="20"/>
          <w:szCs w:val="20"/>
        </w:rPr>
        <w:t xml:space="preserve">he discount rate used by the actuary must </w:t>
      </w:r>
      <w:r w:rsidR="00C26B55">
        <w:rPr>
          <w:rFonts w:cs="Times New Roman"/>
          <w:b w:val="0"/>
          <w:spacing w:val="-1"/>
          <w:sz w:val="20"/>
          <w:szCs w:val="20"/>
        </w:rPr>
        <w:t xml:space="preserve">reflect </w:t>
      </w:r>
      <w:r w:rsidR="00537C24" w:rsidRPr="00537C24">
        <w:rPr>
          <w:rFonts w:cs="Times New Roman"/>
          <w:b w:val="0"/>
          <w:spacing w:val="-1"/>
          <w:sz w:val="20"/>
          <w:szCs w:val="20"/>
        </w:rPr>
        <w:t>consider</w:t>
      </w:r>
      <w:r w:rsidR="00C26B55">
        <w:rPr>
          <w:rFonts w:cs="Times New Roman"/>
          <w:b w:val="0"/>
          <w:spacing w:val="-1"/>
          <w:sz w:val="20"/>
          <w:szCs w:val="20"/>
        </w:rPr>
        <w:t>ation of</w:t>
      </w:r>
      <w:r w:rsidR="00537C24" w:rsidRPr="00537C24">
        <w:rPr>
          <w:rFonts w:cs="Times New Roman"/>
          <w:b w:val="0"/>
          <w:spacing w:val="-1"/>
          <w:sz w:val="20"/>
          <w:szCs w:val="20"/>
        </w:rPr>
        <w:t xml:space="preserve"> the yield on current assets held to support the liability</w:t>
      </w:r>
      <w:r w:rsidR="00A35FD4">
        <w:rPr>
          <w:rFonts w:cs="Times New Roman"/>
          <w:b w:val="0"/>
          <w:spacing w:val="-1"/>
          <w:sz w:val="20"/>
          <w:szCs w:val="20"/>
        </w:rPr>
        <w:t xml:space="preserve"> </w:t>
      </w:r>
      <w:r w:rsidR="00537C24" w:rsidRPr="00537C24">
        <w:rPr>
          <w:rFonts w:cs="Times New Roman"/>
          <w:b w:val="0"/>
          <w:spacing w:val="-1"/>
          <w:sz w:val="20"/>
          <w:szCs w:val="20"/>
        </w:rPr>
        <w:t>as well as future yields on assets purchased with future premium income and reinvestments or anticipated</w:t>
      </w:r>
      <w:r w:rsidR="00A35FD4">
        <w:rPr>
          <w:rFonts w:cs="Times New Roman"/>
          <w:b w:val="0"/>
          <w:spacing w:val="-1"/>
          <w:sz w:val="20"/>
          <w:szCs w:val="20"/>
        </w:rPr>
        <w:t xml:space="preserve"> </w:t>
      </w:r>
      <w:r w:rsidR="00537C24" w:rsidRPr="00537C24">
        <w:rPr>
          <w:rFonts w:cs="Times New Roman"/>
          <w:b w:val="0"/>
          <w:spacing w:val="-1"/>
          <w:sz w:val="20"/>
          <w:szCs w:val="20"/>
        </w:rPr>
        <w:t>divesture of existing assets.</w:t>
      </w:r>
    </w:p>
    <w:p w14:paraId="18305A9E" w14:textId="77777777" w:rsidR="00537C24" w:rsidRDefault="00537C24" w:rsidP="002439AD">
      <w:pPr>
        <w:pStyle w:val="Heading1"/>
        <w:ind w:left="1080" w:hanging="360"/>
        <w:jc w:val="both"/>
        <w:rPr>
          <w:rFonts w:cs="Times New Roman"/>
          <w:b w:val="0"/>
          <w:spacing w:val="-1"/>
          <w:sz w:val="20"/>
          <w:szCs w:val="20"/>
        </w:rPr>
      </w:pPr>
    </w:p>
    <w:p w14:paraId="5F236851" w14:textId="71C6E3B0" w:rsidR="00170836" w:rsidRDefault="008B5145" w:rsidP="00170836">
      <w:pPr>
        <w:pStyle w:val="Heading1"/>
        <w:spacing w:after="240"/>
        <w:ind w:left="720" w:hanging="360"/>
        <w:rPr>
          <w:rFonts w:cs="Times New Roman"/>
          <w:b w:val="0"/>
          <w:spacing w:val="-1"/>
          <w:sz w:val="20"/>
          <w:szCs w:val="20"/>
        </w:rPr>
      </w:pPr>
      <w:r>
        <w:rPr>
          <w:rFonts w:cs="Times New Roman"/>
          <w:b w:val="0"/>
          <w:spacing w:val="-1"/>
          <w:sz w:val="20"/>
          <w:szCs w:val="20"/>
        </w:rPr>
        <w:t>E</w:t>
      </w:r>
      <w:r w:rsidR="00040990">
        <w:rPr>
          <w:rFonts w:cs="Times New Roman"/>
          <w:b w:val="0"/>
          <w:spacing w:val="-1"/>
          <w:sz w:val="20"/>
          <w:szCs w:val="20"/>
        </w:rPr>
        <w:t>.</w:t>
      </w:r>
      <w:r w:rsidR="00040990">
        <w:rPr>
          <w:rFonts w:cs="Times New Roman"/>
          <w:b w:val="0"/>
          <w:spacing w:val="-1"/>
          <w:sz w:val="20"/>
          <w:szCs w:val="20"/>
        </w:rPr>
        <w:tab/>
      </w:r>
      <w:r w:rsidR="00170836">
        <w:rPr>
          <w:rFonts w:cs="Times New Roman"/>
          <w:b w:val="0"/>
          <w:spacing w:val="-1"/>
          <w:sz w:val="20"/>
          <w:szCs w:val="20"/>
        </w:rPr>
        <w:t>The analysis shall</w:t>
      </w:r>
      <w:r w:rsidR="00040990" w:rsidRPr="00040990">
        <w:rPr>
          <w:rFonts w:cs="Times New Roman"/>
          <w:b w:val="0"/>
          <w:spacing w:val="-1"/>
          <w:sz w:val="20"/>
          <w:szCs w:val="20"/>
        </w:rPr>
        <w:t xml:space="preserve"> anticipate no premium rate increases unless a rate increase plan is documented</w:t>
      </w:r>
      <w:r w:rsidR="00F3529A">
        <w:rPr>
          <w:rFonts w:cs="Times New Roman"/>
          <w:b w:val="0"/>
          <w:spacing w:val="-1"/>
          <w:sz w:val="20"/>
          <w:szCs w:val="20"/>
        </w:rPr>
        <w:t xml:space="preserve">, is supported by and has been </w:t>
      </w:r>
      <w:r w:rsidR="00040990" w:rsidRPr="00040990">
        <w:rPr>
          <w:rFonts w:cs="Times New Roman"/>
          <w:b w:val="0"/>
          <w:spacing w:val="-1"/>
          <w:sz w:val="20"/>
          <w:szCs w:val="20"/>
        </w:rPr>
        <w:t xml:space="preserve">approved by management, is highly likely to be executed, and contains documented, realistic estimated approved amounts and </w:t>
      </w:r>
      <w:r w:rsidR="00946055">
        <w:rPr>
          <w:rFonts w:cs="Times New Roman"/>
          <w:b w:val="0"/>
          <w:spacing w:val="-1"/>
          <w:sz w:val="20"/>
          <w:szCs w:val="20"/>
        </w:rPr>
        <w:t>implementation timelines</w:t>
      </w:r>
      <w:r w:rsidR="00040990" w:rsidRPr="00040990">
        <w:rPr>
          <w:rFonts w:cs="Times New Roman"/>
          <w:b w:val="0"/>
          <w:spacing w:val="-1"/>
          <w:sz w:val="20"/>
          <w:szCs w:val="20"/>
        </w:rPr>
        <w:t xml:space="preserve"> by jurisdiction.</w:t>
      </w:r>
    </w:p>
    <w:p w14:paraId="7CFC3A8B" w14:textId="7F92270D" w:rsidR="00FD23A0" w:rsidRDefault="008B5145" w:rsidP="00170836">
      <w:pPr>
        <w:pStyle w:val="Heading1"/>
        <w:spacing w:after="240"/>
        <w:ind w:left="720" w:hanging="360"/>
        <w:rPr>
          <w:rFonts w:cs="Times New Roman"/>
          <w:b w:val="0"/>
          <w:spacing w:val="-1"/>
          <w:sz w:val="20"/>
          <w:szCs w:val="20"/>
        </w:rPr>
      </w:pPr>
      <w:r>
        <w:rPr>
          <w:rFonts w:cs="Times New Roman"/>
          <w:b w:val="0"/>
          <w:spacing w:val="-1"/>
          <w:sz w:val="20"/>
          <w:szCs w:val="20"/>
        </w:rPr>
        <w:t>F</w:t>
      </w:r>
      <w:r w:rsidR="00170836">
        <w:rPr>
          <w:rFonts w:cs="Times New Roman"/>
          <w:b w:val="0"/>
          <w:spacing w:val="-1"/>
          <w:sz w:val="20"/>
          <w:szCs w:val="20"/>
        </w:rPr>
        <w:t>.</w:t>
      </w:r>
      <w:r w:rsidR="00170836">
        <w:rPr>
          <w:rFonts w:cs="Times New Roman"/>
          <w:b w:val="0"/>
          <w:spacing w:val="-1"/>
          <w:sz w:val="20"/>
          <w:szCs w:val="20"/>
        </w:rPr>
        <w:tab/>
      </w:r>
      <w:r w:rsidR="00BD15B3">
        <w:rPr>
          <w:rFonts w:cs="Times New Roman"/>
          <w:b w:val="0"/>
          <w:spacing w:val="-1"/>
          <w:sz w:val="20"/>
          <w:szCs w:val="20"/>
        </w:rPr>
        <w:t xml:space="preserve">If </w:t>
      </w:r>
      <w:r w:rsidR="00F3529A">
        <w:rPr>
          <w:rFonts w:cs="Times New Roman"/>
          <w:b w:val="0"/>
          <w:spacing w:val="-1"/>
          <w:sz w:val="20"/>
          <w:szCs w:val="20"/>
        </w:rPr>
        <w:t xml:space="preserve">the standalone asset adequacy </w:t>
      </w:r>
      <w:r w:rsidR="00F3529A" w:rsidRPr="00901B30">
        <w:rPr>
          <w:rFonts w:cs="Times New Roman"/>
          <w:b w:val="0"/>
          <w:spacing w:val="-1"/>
          <w:sz w:val="20"/>
          <w:szCs w:val="20"/>
        </w:rPr>
        <w:t xml:space="preserve">analysis for </w:t>
      </w:r>
      <w:r w:rsidR="00736F03" w:rsidRPr="00B1097D">
        <w:rPr>
          <w:rFonts w:cs="Times New Roman"/>
          <w:b w:val="0"/>
          <w:spacing w:val="-1"/>
          <w:sz w:val="20"/>
          <w:szCs w:val="20"/>
        </w:rPr>
        <w:t xml:space="preserve">LTC </w:t>
      </w:r>
      <w:r w:rsidR="008F1272">
        <w:rPr>
          <w:rFonts w:cs="Times New Roman"/>
          <w:b w:val="0"/>
          <w:spacing w:val="-1"/>
          <w:sz w:val="20"/>
          <w:szCs w:val="20"/>
        </w:rPr>
        <w:t xml:space="preserve">business </w:t>
      </w:r>
      <w:r w:rsidR="00F3529A" w:rsidRPr="00B1097D">
        <w:rPr>
          <w:rFonts w:cs="Times New Roman"/>
          <w:b w:val="0"/>
          <w:spacing w:val="-1"/>
          <w:sz w:val="20"/>
          <w:szCs w:val="20"/>
        </w:rPr>
        <w:t xml:space="preserve">demonstrates a potential need for </w:t>
      </w:r>
      <w:r w:rsidR="00BD15B3" w:rsidRPr="00B1097D">
        <w:rPr>
          <w:rFonts w:cs="Times New Roman"/>
          <w:b w:val="0"/>
          <w:spacing w:val="-1"/>
          <w:sz w:val="20"/>
          <w:szCs w:val="20"/>
        </w:rPr>
        <w:t xml:space="preserve">additional reserves, </w:t>
      </w:r>
      <w:r w:rsidR="00736F03" w:rsidRPr="00B1097D">
        <w:rPr>
          <w:rFonts w:cs="Times New Roman"/>
          <w:b w:val="0"/>
          <w:spacing w:val="-1"/>
          <w:sz w:val="20"/>
          <w:szCs w:val="20"/>
        </w:rPr>
        <w:t xml:space="preserve">with or without </w:t>
      </w:r>
      <w:r w:rsidR="00C920AD" w:rsidRPr="00B1097D">
        <w:rPr>
          <w:rFonts w:cs="Times New Roman"/>
          <w:b w:val="0"/>
          <w:spacing w:val="-1"/>
          <w:sz w:val="20"/>
          <w:szCs w:val="20"/>
        </w:rPr>
        <w:t xml:space="preserve">offsets from </w:t>
      </w:r>
      <w:r w:rsidR="00AC67E1" w:rsidRPr="00B1097D">
        <w:rPr>
          <w:rFonts w:cs="Times New Roman"/>
          <w:b w:val="0"/>
          <w:spacing w:val="-1"/>
          <w:sz w:val="20"/>
          <w:szCs w:val="20"/>
        </w:rPr>
        <w:t>non-LTC</w:t>
      </w:r>
      <w:r w:rsidR="00F3529A" w:rsidRPr="00B1097D">
        <w:rPr>
          <w:rFonts w:cs="Times New Roman"/>
          <w:b w:val="0"/>
          <w:spacing w:val="-1"/>
          <w:sz w:val="20"/>
          <w:szCs w:val="20"/>
        </w:rPr>
        <w:t xml:space="preserve"> business</w:t>
      </w:r>
      <w:r w:rsidR="00C26A10" w:rsidRPr="00B1097D">
        <w:rPr>
          <w:rFonts w:cs="Times New Roman"/>
          <w:b w:val="0"/>
          <w:spacing w:val="-1"/>
          <w:sz w:val="20"/>
          <w:szCs w:val="20"/>
        </w:rPr>
        <w:t xml:space="preserve"> as contemplated in section </w:t>
      </w:r>
      <w:r w:rsidR="008F1272">
        <w:rPr>
          <w:rFonts w:cs="Times New Roman"/>
          <w:b w:val="0"/>
          <w:spacing w:val="-1"/>
          <w:sz w:val="20"/>
          <w:szCs w:val="20"/>
        </w:rPr>
        <w:t>3</w:t>
      </w:r>
      <w:r w:rsidR="00C26A10" w:rsidRPr="00B1097D">
        <w:rPr>
          <w:rFonts w:cs="Times New Roman"/>
          <w:b w:val="0"/>
          <w:spacing w:val="-1"/>
          <w:sz w:val="20"/>
          <w:szCs w:val="20"/>
        </w:rPr>
        <w:t>.</w:t>
      </w:r>
      <w:r w:rsidR="00694E8A" w:rsidRPr="00B1097D">
        <w:rPr>
          <w:rFonts w:cs="Times New Roman"/>
          <w:b w:val="0"/>
          <w:spacing w:val="-1"/>
          <w:sz w:val="20"/>
          <w:szCs w:val="20"/>
        </w:rPr>
        <w:t>C</w:t>
      </w:r>
      <w:r w:rsidR="00C26A10" w:rsidRPr="00B1097D">
        <w:rPr>
          <w:rFonts w:cs="Times New Roman"/>
          <w:b w:val="0"/>
          <w:spacing w:val="-1"/>
          <w:sz w:val="20"/>
          <w:szCs w:val="20"/>
        </w:rPr>
        <w:t>.</w:t>
      </w:r>
      <w:r w:rsidR="00F3529A" w:rsidRPr="00B1097D">
        <w:rPr>
          <w:rFonts w:cs="Times New Roman"/>
          <w:b w:val="0"/>
          <w:spacing w:val="-1"/>
          <w:sz w:val="20"/>
          <w:szCs w:val="20"/>
        </w:rPr>
        <w:t xml:space="preserve">, </w:t>
      </w:r>
      <w:r w:rsidR="00BD15B3" w:rsidRPr="00B1097D">
        <w:rPr>
          <w:rFonts w:cs="Times New Roman"/>
          <w:b w:val="0"/>
          <w:spacing w:val="-1"/>
          <w:sz w:val="20"/>
          <w:szCs w:val="20"/>
        </w:rPr>
        <w:t>a</w:t>
      </w:r>
      <w:r w:rsidR="00170836" w:rsidRPr="00B1097D">
        <w:rPr>
          <w:rFonts w:cs="Times New Roman"/>
          <w:b w:val="0"/>
          <w:spacing w:val="-1"/>
          <w:sz w:val="20"/>
          <w:szCs w:val="20"/>
        </w:rPr>
        <w:t xml:space="preserve"> phase-in period of up to three years</w:t>
      </w:r>
      <w:r w:rsidR="00170836">
        <w:rPr>
          <w:rFonts w:cs="Times New Roman"/>
          <w:b w:val="0"/>
          <w:spacing w:val="-1"/>
          <w:sz w:val="20"/>
          <w:szCs w:val="20"/>
        </w:rPr>
        <w:t xml:space="preserve"> may be approved by the company’s domiciliary Commissioner.  </w:t>
      </w:r>
      <w:r w:rsidR="00170836" w:rsidRPr="00170836">
        <w:rPr>
          <w:rFonts w:cs="Times New Roman"/>
          <w:b w:val="0"/>
          <w:spacing w:val="-1"/>
          <w:sz w:val="20"/>
          <w:szCs w:val="20"/>
        </w:rPr>
        <w:t>Such phase</w:t>
      </w:r>
      <w:r w:rsidR="00170836">
        <w:rPr>
          <w:rFonts w:cs="Times New Roman"/>
          <w:b w:val="0"/>
          <w:spacing w:val="-1"/>
          <w:sz w:val="20"/>
          <w:szCs w:val="20"/>
        </w:rPr>
        <w:t>-</w:t>
      </w:r>
      <w:r w:rsidR="00170836" w:rsidRPr="00170836">
        <w:rPr>
          <w:rFonts w:cs="Times New Roman"/>
          <w:b w:val="0"/>
          <w:spacing w:val="-1"/>
          <w:sz w:val="20"/>
          <w:szCs w:val="20"/>
        </w:rPr>
        <w:t>in period shall only be</w:t>
      </w:r>
      <w:r w:rsidR="00170836">
        <w:rPr>
          <w:rFonts w:cs="Times New Roman"/>
          <w:b w:val="0"/>
          <w:spacing w:val="-1"/>
          <w:sz w:val="20"/>
          <w:szCs w:val="20"/>
        </w:rPr>
        <w:t xml:space="preserve"> </w:t>
      </w:r>
      <w:r w:rsidR="00170836" w:rsidRPr="00170836">
        <w:rPr>
          <w:rFonts w:cs="Times New Roman"/>
          <w:b w:val="0"/>
          <w:spacing w:val="-1"/>
          <w:sz w:val="20"/>
          <w:szCs w:val="20"/>
        </w:rPr>
        <w:t>permitted if the company is able to demonstrate to the satisfaction of the Commissioner that it</w:t>
      </w:r>
      <w:r w:rsidR="00170836">
        <w:rPr>
          <w:rFonts w:cs="Times New Roman"/>
          <w:b w:val="0"/>
          <w:spacing w:val="-1"/>
          <w:sz w:val="20"/>
          <w:szCs w:val="20"/>
        </w:rPr>
        <w:t xml:space="preserve"> </w:t>
      </w:r>
      <w:r w:rsidR="00170836" w:rsidRPr="00170836">
        <w:rPr>
          <w:rFonts w:cs="Times New Roman"/>
          <w:b w:val="0"/>
          <w:spacing w:val="-1"/>
          <w:sz w:val="20"/>
          <w:szCs w:val="20"/>
        </w:rPr>
        <w:t>would not be operating in a hazardous financial condition and that there is not adverse risk to its</w:t>
      </w:r>
      <w:r w:rsidR="00170836">
        <w:rPr>
          <w:rFonts w:cs="Times New Roman"/>
          <w:b w:val="0"/>
          <w:spacing w:val="-1"/>
          <w:sz w:val="20"/>
          <w:szCs w:val="20"/>
        </w:rPr>
        <w:t xml:space="preserve"> </w:t>
      </w:r>
      <w:r w:rsidR="00170836" w:rsidRPr="00170836">
        <w:rPr>
          <w:rFonts w:cs="Times New Roman"/>
          <w:b w:val="0"/>
          <w:spacing w:val="-1"/>
          <w:sz w:val="20"/>
          <w:szCs w:val="20"/>
        </w:rPr>
        <w:t>insureds.</w:t>
      </w:r>
    </w:p>
    <w:p w14:paraId="176EE26B" w14:textId="5323E740" w:rsidR="00A56B10" w:rsidRDefault="00A50710" w:rsidP="00981CCD">
      <w:pPr>
        <w:pStyle w:val="Heading1"/>
        <w:spacing w:after="240"/>
        <w:ind w:left="720" w:hanging="360"/>
        <w:rPr>
          <w:rFonts w:cs="Times New Roman"/>
          <w:b w:val="0"/>
          <w:spacing w:val="-1"/>
          <w:sz w:val="20"/>
          <w:szCs w:val="20"/>
        </w:rPr>
      </w:pPr>
      <w:r>
        <w:rPr>
          <w:rFonts w:cs="Times New Roman"/>
          <w:b w:val="0"/>
          <w:spacing w:val="-1"/>
          <w:sz w:val="20"/>
          <w:szCs w:val="20"/>
        </w:rPr>
        <w:t>G</w:t>
      </w:r>
      <w:r w:rsidR="00A56B10">
        <w:rPr>
          <w:rFonts w:cs="Times New Roman"/>
          <w:b w:val="0"/>
          <w:spacing w:val="-1"/>
          <w:sz w:val="20"/>
          <w:szCs w:val="20"/>
        </w:rPr>
        <w:t>.</w:t>
      </w:r>
      <w:r w:rsidR="00A56B10">
        <w:rPr>
          <w:rFonts w:cs="Times New Roman"/>
          <w:b w:val="0"/>
          <w:spacing w:val="-1"/>
          <w:sz w:val="20"/>
          <w:szCs w:val="20"/>
        </w:rPr>
        <w:tab/>
      </w:r>
      <w:r w:rsidR="00A56B10" w:rsidRPr="00A56B10">
        <w:rPr>
          <w:rFonts w:cs="Times New Roman"/>
          <w:b w:val="0"/>
          <w:spacing w:val="-1"/>
          <w:sz w:val="20"/>
          <w:szCs w:val="20"/>
        </w:rPr>
        <w:t xml:space="preserve">The </w:t>
      </w:r>
      <w:r w:rsidR="00A56B10">
        <w:rPr>
          <w:rFonts w:cs="Times New Roman"/>
          <w:b w:val="0"/>
          <w:spacing w:val="-1"/>
          <w:sz w:val="20"/>
          <w:szCs w:val="20"/>
        </w:rPr>
        <w:t xml:space="preserve">asset adequacy analysis shall be in the form of an </w:t>
      </w:r>
      <w:r w:rsidR="00A56B10" w:rsidRPr="00A56B10">
        <w:rPr>
          <w:rFonts w:cs="Times New Roman"/>
          <w:b w:val="0"/>
          <w:spacing w:val="-1"/>
          <w:sz w:val="20"/>
          <w:szCs w:val="20"/>
        </w:rPr>
        <w:t>Actuarial Memorandum</w:t>
      </w:r>
      <w:r w:rsidR="00A56B10">
        <w:rPr>
          <w:rFonts w:cs="Times New Roman"/>
          <w:b w:val="0"/>
          <w:spacing w:val="-1"/>
          <w:sz w:val="20"/>
          <w:szCs w:val="20"/>
        </w:rPr>
        <w:t xml:space="preserve"> which contains documentation of the </w:t>
      </w:r>
      <w:r w:rsidR="00A56B10" w:rsidRPr="00A56B10">
        <w:rPr>
          <w:rFonts w:cs="Times New Roman"/>
          <w:b w:val="0"/>
          <w:spacing w:val="-1"/>
          <w:sz w:val="20"/>
          <w:szCs w:val="20"/>
        </w:rPr>
        <w:t>assumptions</w:t>
      </w:r>
      <w:r w:rsidR="00A56B10">
        <w:rPr>
          <w:rFonts w:cs="Times New Roman"/>
          <w:b w:val="0"/>
          <w:spacing w:val="-1"/>
          <w:sz w:val="20"/>
          <w:szCs w:val="20"/>
        </w:rPr>
        <w:t xml:space="preserve"> a</w:t>
      </w:r>
      <w:r w:rsidR="00A56B10" w:rsidRPr="00A56B10">
        <w:rPr>
          <w:rFonts w:cs="Times New Roman"/>
          <w:b w:val="0"/>
          <w:spacing w:val="-1"/>
          <w:sz w:val="20"/>
          <w:szCs w:val="20"/>
        </w:rPr>
        <w:t xml:space="preserve">nd results of the </w:t>
      </w:r>
      <w:r w:rsidR="00A56B10">
        <w:rPr>
          <w:rFonts w:cs="Times New Roman"/>
          <w:b w:val="0"/>
          <w:spacing w:val="-1"/>
          <w:sz w:val="20"/>
          <w:szCs w:val="20"/>
        </w:rPr>
        <w:t xml:space="preserve">analysis and </w:t>
      </w:r>
      <w:r w:rsidR="00A56B10" w:rsidRPr="00A56B10">
        <w:rPr>
          <w:rFonts w:cs="Times New Roman"/>
          <w:b w:val="0"/>
          <w:spacing w:val="-1"/>
          <w:sz w:val="20"/>
          <w:szCs w:val="20"/>
        </w:rPr>
        <w:t>shall</w:t>
      </w:r>
      <w:r w:rsidR="00A56B10">
        <w:rPr>
          <w:rFonts w:cs="Times New Roman"/>
          <w:b w:val="0"/>
          <w:spacing w:val="-1"/>
          <w:sz w:val="20"/>
          <w:szCs w:val="20"/>
        </w:rPr>
        <w:t xml:space="preserve"> </w:t>
      </w:r>
      <w:r w:rsidR="00A56B10" w:rsidRPr="00A56B10">
        <w:rPr>
          <w:rFonts w:cs="Times New Roman"/>
          <w:b w:val="0"/>
          <w:spacing w:val="-1"/>
          <w:sz w:val="20"/>
          <w:szCs w:val="20"/>
        </w:rPr>
        <w:t xml:space="preserve">be submitted to the state of domicile of the company by the April 30 </w:t>
      </w:r>
      <w:r w:rsidR="00A56B10" w:rsidRPr="00901B30">
        <w:rPr>
          <w:rFonts w:cs="Times New Roman"/>
          <w:b w:val="0"/>
          <w:spacing w:val="-1"/>
          <w:sz w:val="20"/>
          <w:szCs w:val="20"/>
        </w:rPr>
        <w:t>following the valuation date.</w:t>
      </w:r>
      <w:r w:rsidR="00981CCD" w:rsidRPr="00901B30">
        <w:rPr>
          <w:rFonts w:cs="Times New Roman"/>
          <w:b w:val="0"/>
          <w:spacing w:val="-1"/>
          <w:sz w:val="20"/>
          <w:szCs w:val="20"/>
        </w:rPr>
        <w:t xml:space="preserve">  The </w:t>
      </w:r>
      <w:r w:rsidR="00694E8A" w:rsidRPr="00901B30">
        <w:rPr>
          <w:rFonts w:cs="Times New Roman"/>
          <w:b w:val="0"/>
          <w:spacing w:val="-1"/>
          <w:sz w:val="20"/>
          <w:szCs w:val="20"/>
        </w:rPr>
        <w:t>company</w:t>
      </w:r>
      <w:r w:rsidR="00981CCD" w:rsidRPr="00901B30">
        <w:rPr>
          <w:rFonts w:cs="Times New Roman"/>
          <w:b w:val="0"/>
          <w:spacing w:val="-1"/>
          <w:sz w:val="20"/>
          <w:szCs w:val="20"/>
        </w:rPr>
        <w:t xml:space="preserve"> shall provide a copy of the Actuarial Memorandum to </w:t>
      </w:r>
      <w:r w:rsidR="00981CCD" w:rsidRPr="00B1097D">
        <w:rPr>
          <w:rFonts w:cs="Times New Roman"/>
          <w:b w:val="0"/>
          <w:spacing w:val="-1"/>
          <w:sz w:val="20"/>
          <w:szCs w:val="20"/>
        </w:rPr>
        <w:t>any state</w:t>
      </w:r>
      <w:r w:rsidR="00981CCD" w:rsidRPr="00981CCD">
        <w:rPr>
          <w:rFonts w:cs="Times New Roman"/>
          <w:b w:val="0"/>
          <w:spacing w:val="-1"/>
          <w:sz w:val="20"/>
          <w:szCs w:val="20"/>
        </w:rPr>
        <w:t xml:space="preserve"> in which the company is licensed</w:t>
      </w:r>
      <w:r w:rsidR="00CB6F1C">
        <w:rPr>
          <w:rFonts w:cs="Times New Roman"/>
          <w:b w:val="0"/>
          <w:spacing w:val="-1"/>
          <w:sz w:val="20"/>
          <w:szCs w:val="20"/>
        </w:rPr>
        <w:t>, upon request</w:t>
      </w:r>
      <w:r w:rsidR="00981CCD" w:rsidRPr="00981CCD">
        <w:rPr>
          <w:rFonts w:cs="Times New Roman"/>
          <w:b w:val="0"/>
          <w:spacing w:val="-1"/>
          <w:sz w:val="20"/>
          <w:szCs w:val="20"/>
        </w:rPr>
        <w:t>.</w:t>
      </w:r>
    </w:p>
    <w:p w14:paraId="371557A9" w14:textId="2472668C" w:rsidR="00884FF9" w:rsidRDefault="008F1272" w:rsidP="00FD23A0">
      <w:pPr>
        <w:pStyle w:val="Heading1"/>
        <w:spacing w:after="240"/>
        <w:ind w:left="360" w:hanging="360"/>
        <w:rPr>
          <w:rFonts w:cs="Times New Roman"/>
          <w:b w:val="0"/>
          <w:spacing w:val="-1"/>
          <w:sz w:val="20"/>
          <w:szCs w:val="20"/>
        </w:rPr>
      </w:pPr>
      <w:r>
        <w:rPr>
          <w:rFonts w:cs="Times New Roman"/>
          <w:b w:val="0"/>
          <w:spacing w:val="-1"/>
          <w:sz w:val="20"/>
          <w:szCs w:val="20"/>
        </w:rPr>
        <w:t>4</w:t>
      </w:r>
      <w:r w:rsidR="00FD23A0">
        <w:rPr>
          <w:rFonts w:cs="Times New Roman"/>
          <w:b w:val="0"/>
          <w:spacing w:val="-1"/>
          <w:sz w:val="20"/>
          <w:szCs w:val="20"/>
        </w:rPr>
        <w:t>.</w:t>
      </w:r>
      <w:r w:rsidR="00FD23A0">
        <w:rPr>
          <w:rFonts w:cs="Times New Roman"/>
          <w:b w:val="0"/>
          <w:spacing w:val="-1"/>
          <w:sz w:val="20"/>
          <w:szCs w:val="20"/>
        </w:rPr>
        <w:tab/>
        <w:t xml:space="preserve">Documentation of Assumptions Underlying Long-Term Care </w:t>
      </w:r>
      <w:r w:rsidR="00181A89">
        <w:rPr>
          <w:rFonts w:cs="Times New Roman"/>
          <w:b w:val="0"/>
          <w:spacing w:val="-1"/>
          <w:sz w:val="20"/>
          <w:szCs w:val="20"/>
        </w:rPr>
        <w:t xml:space="preserve">Insurance </w:t>
      </w:r>
      <w:r w:rsidR="00FD23A0">
        <w:rPr>
          <w:rFonts w:cs="Times New Roman"/>
          <w:b w:val="0"/>
          <w:spacing w:val="-1"/>
          <w:sz w:val="20"/>
          <w:szCs w:val="20"/>
        </w:rPr>
        <w:t>Asset Adequacy Analysis</w:t>
      </w:r>
      <w:r w:rsidR="001966D3">
        <w:rPr>
          <w:rFonts w:cs="Times New Roman"/>
          <w:b w:val="0"/>
          <w:spacing w:val="-1"/>
          <w:sz w:val="20"/>
          <w:szCs w:val="20"/>
        </w:rPr>
        <w:t xml:space="preserve"> to be </w:t>
      </w:r>
      <w:r w:rsidR="00243C34">
        <w:rPr>
          <w:rFonts w:cs="Times New Roman"/>
          <w:b w:val="0"/>
          <w:spacing w:val="-1"/>
          <w:sz w:val="20"/>
          <w:szCs w:val="20"/>
        </w:rPr>
        <w:t xml:space="preserve">provided </w:t>
      </w:r>
      <w:r w:rsidR="00284397">
        <w:rPr>
          <w:rFonts w:cs="Times New Roman"/>
          <w:b w:val="0"/>
          <w:spacing w:val="-1"/>
          <w:sz w:val="20"/>
          <w:szCs w:val="20"/>
        </w:rPr>
        <w:t xml:space="preserve">in the </w:t>
      </w:r>
      <w:r w:rsidR="00F02885">
        <w:rPr>
          <w:rFonts w:cs="Times New Roman"/>
          <w:b w:val="0"/>
          <w:spacing w:val="-1"/>
          <w:sz w:val="20"/>
          <w:szCs w:val="20"/>
        </w:rPr>
        <w:t>Stand</w:t>
      </w:r>
      <w:r w:rsidR="00544DE4">
        <w:rPr>
          <w:rFonts w:cs="Times New Roman"/>
          <w:b w:val="0"/>
          <w:spacing w:val="-1"/>
          <w:sz w:val="20"/>
          <w:szCs w:val="20"/>
        </w:rPr>
        <w:t>a</w:t>
      </w:r>
      <w:r w:rsidR="00F02885">
        <w:rPr>
          <w:rFonts w:cs="Times New Roman"/>
          <w:b w:val="0"/>
          <w:spacing w:val="-1"/>
          <w:sz w:val="20"/>
          <w:szCs w:val="20"/>
        </w:rPr>
        <w:t xml:space="preserve">lone </w:t>
      </w:r>
      <w:r w:rsidR="00284397">
        <w:rPr>
          <w:rFonts w:cs="Times New Roman"/>
          <w:b w:val="0"/>
          <w:spacing w:val="-1"/>
          <w:sz w:val="20"/>
          <w:szCs w:val="20"/>
        </w:rPr>
        <w:t>Actuarial Memorandum</w:t>
      </w:r>
    </w:p>
    <w:p w14:paraId="596E348E" w14:textId="24247716" w:rsidR="0009441A" w:rsidRDefault="00884FF9" w:rsidP="00884FF9">
      <w:pPr>
        <w:pStyle w:val="Heading1"/>
        <w:spacing w:after="240"/>
        <w:ind w:left="720" w:hanging="360"/>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t xml:space="preserve">Assumptions on mortality </w:t>
      </w:r>
      <w:r w:rsidR="00B46D09">
        <w:rPr>
          <w:rFonts w:cs="Times New Roman"/>
          <w:b w:val="0"/>
          <w:spacing w:val="-1"/>
          <w:sz w:val="20"/>
          <w:szCs w:val="20"/>
        </w:rPr>
        <w:t xml:space="preserve">shall be documented to state the reference standard valuation table, if applicable, and explicitly site adjustments, select factors, and mortality improvement factors, where applicable.  If a reference </w:t>
      </w:r>
      <w:r w:rsidR="00B46D09">
        <w:rPr>
          <w:rFonts w:cs="Times New Roman"/>
          <w:b w:val="0"/>
          <w:spacing w:val="-1"/>
          <w:sz w:val="20"/>
          <w:szCs w:val="20"/>
        </w:rPr>
        <w:lastRenderedPageBreak/>
        <w:t>standard valuation table is not used in setting the mortality assumption</w:t>
      </w:r>
      <w:r w:rsidR="00B46D09" w:rsidRPr="00901B30">
        <w:rPr>
          <w:rFonts w:cs="Times New Roman"/>
          <w:b w:val="0"/>
          <w:spacing w:val="-1"/>
          <w:sz w:val="20"/>
          <w:szCs w:val="20"/>
        </w:rPr>
        <w:t xml:space="preserve">, then a table of rates </w:t>
      </w:r>
      <w:r w:rsidR="00901B30" w:rsidRPr="00901B30">
        <w:rPr>
          <w:rFonts w:cs="Times New Roman"/>
          <w:b w:val="0"/>
          <w:spacing w:val="-1"/>
          <w:sz w:val="20"/>
          <w:szCs w:val="20"/>
        </w:rPr>
        <w:t xml:space="preserve">and comparison of the applied rates to rates from an unmodified standard mortality table </w:t>
      </w:r>
      <w:r w:rsidR="00B46D09" w:rsidRPr="00901B30">
        <w:rPr>
          <w:rFonts w:cs="Times New Roman"/>
          <w:b w:val="0"/>
          <w:spacing w:val="-1"/>
          <w:sz w:val="20"/>
          <w:szCs w:val="20"/>
        </w:rPr>
        <w:t>for sample issue ages shall be provided.</w:t>
      </w:r>
      <w:r w:rsidR="0050743A">
        <w:rPr>
          <w:rFonts w:cs="Times New Roman"/>
          <w:b w:val="0"/>
          <w:spacing w:val="-1"/>
          <w:sz w:val="20"/>
          <w:szCs w:val="20"/>
        </w:rPr>
        <w:t xml:space="preserve">  A summary of experience or other </w:t>
      </w:r>
      <w:r w:rsidR="0086514B">
        <w:rPr>
          <w:rFonts w:cs="Times New Roman"/>
          <w:b w:val="0"/>
          <w:spacing w:val="-1"/>
          <w:sz w:val="20"/>
          <w:szCs w:val="20"/>
        </w:rPr>
        <w:t xml:space="preserve">actuarial support </w:t>
      </w:r>
      <w:r w:rsidR="0050743A">
        <w:rPr>
          <w:rFonts w:cs="Times New Roman"/>
          <w:b w:val="0"/>
          <w:spacing w:val="-1"/>
          <w:sz w:val="20"/>
          <w:szCs w:val="20"/>
        </w:rPr>
        <w:t xml:space="preserve">of </w:t>
      </w:r>
      <w:r w:rsidR="0086514B">
        <w:rPr>
          <w:rFonts w:cs="Times New Roman"/>
          <w:b w:val="0"/>
          <w:spacing w:val="-1"/>
          <w:sz w:val="20"/>
          <w:szCs w:val="20"/>
        </w:rPr>
        <w:t xml:space="preserve">assumptions used </w:t>
      </w:r>
      <w:r w:rsidR="0050743A">
        <w:rPr>
          <w:rFonts w:cs="Times New Roman"/>
          <w:b w:val="0"/>
          <w:spacing w:val="-1"/>
          <w:sz w:val="20"/>
          <w:szCs w:val="20"/>
        </w:rPr>
        <w:t>shall be documented</w:t>
      </w:r>
      <w:r w:rsidR="0050743A" w:rsidRPr="00901B30">
        <w:rPr>
          <w:rFonts w:cs="Times New Roman"/>
          <w:b w:val="0"/>
          <w:spacing w:val="-1"/>
          <w:sz w:val="20"/>
          <w:szCs w:val="20"/>
        </w:rPr>
        <w:t>.</w:t>
      </w:r>
    </w:p>
    <w:p w14:paraId="7897025C" w14:textId="0ED1BB4F" w:rsidR="0009441A" w:rsidRDefault="0009441A" w:rsidP="00884FF9">
      <w:pPr>
        <w:pStyle w:val="Heading1"/>
        <w:spacing w:after="240"/>
        <w:ind w:left="720" w:hanging="360"/>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t xml:space="preserve">Assumptions on </w:t>
      </w:r>
      <w:r w:rsidR="00694E8A" w:rsidRPr="00901B30">
        <w:rPr>
          <w:rFonts w:cs="Times New Roman"/>
          <w:b w:val="0"/>
          <w:spacing w:val="-1"/>
          <w:sz w:val="20"/>
          <w:szCs w:val="20"/>
        </w:rPr>
        <w:t>voluntary</w:t>
      </w:r>
      <w:r w:rsidR="00694E8A">
        <w:rPr>
          <w:rFonts w:cs="Times New Roman"/>
          <w:b w:val="0"/>
          <w:spacing w:val="-1"/>
          <w:sz w:val="20"/>
          <w:szCs w:val="20"/>
        </w:rPr>
        <w:t xml:space="preserve"> </w:t>
      </w:r>
      <w:r>
        <w:rPr>
          <w:rFonts w:cs="Times New Roman"/>
          <w:b w:val="0"/>
          <w:spacing w:val="-1"/>
          <w:sz w:val="20"/>
          <w:szCs w:val="20"/>
        </w:rPr>
        <w:t xml:space="preserve">lapse shall be documented in table format by duration band and by other factors </w:t>
      </w:r>
      <w:r w:rsidR="00CA45FD" w:rsidRPr="00003232">
        <w:rPr>
          <w:rFonts w:cs="Times New Roman"/>
          <w:b w:val="0"/>
          <w:spacing w:val="-1"/>
          <w:sz w:val="20"/>
          <w:szCs w:val="20"/>
        </w:rPr>
        <w:t xml:space="preserve">such as gender, marital status, with versus without inflation rider, and </w:t>
      </w:r>
      <w:r w:rsidR="0086514B">
        <w:rPr>
          <w:rFonts w:cs="Times New Roman"/>
          <w:b w:val="0"/>
          <w:spacing w:val="-1"/>
          <w:sz w:val="20"/>
          <w:szCs w:val="20"/>
        </w:rPr>
        <w:t>length of</w:t>
      </w:r>
      <w:r w:rsidR="00CA45FD" w:rsidRPr="00003232">
        <w:rPr>
          <w:rFonts w:cs="Times New Roman"/>
          <w:b w:val="0"/>
          <w:spacing w:val="-1"/>
          <w:sz w:val="20"/>
          <w:szCs w:val="20"/>
        </w:rPr>
        <w:t xml:space="preserve"> benefit</w:t>
      </w:r>
      <w:r w:rsidR="0086514B">
        <w:rPr>
          <w:rFonts w:cs="Times New Roman"/>
          <w:b w:val="0"/>
          <w:spacing w:val="-1"/>
          <w:sz w:val="20"/>
          <w:szCs w:val="20"/>
        </w:rPr>
        <w:t xml:space="preserve"> period</w:t>
      </w:r>
      <w:r w:rsidR="00CA45FD" w:rsidRPr="00003232">
        <w:rPr>
          <w:rFonts w:cs="Times New Roman"/>
          <w:b w:val="0"/>
          <w:spacing w:val="-1"/>
          <w:sz w:val="20"/>
          <w:szCs w:val="20"/>
        </w:rPr>
        <w:t xml:space="preserve"> </w:t>
      </w:r>
      <w:r>
        <w:rPr>
          <w:rFonts w:cs="Times New Roman"/>
          <w:b w:val="0"/>
          <w:spacing w:val="-1"/>
          <w:sz w:val="20"/>
          <w:szCs w:val="20"/>
        </w:rPr>
        <w:t>impacting the lapse assumption, where applicable.</w:t>
      </w:r>
      <w:r w:rsidR="0050743A">
        <w:rPr>
          <w:rFonts w:cs="Times New Roman"/>
          <w:b w:val="0"/>
          <w:spacing w:val="-1"/>
          <w:sz w:val="20"/>
          <w:szCs w:val="20"/>
        </w:rPr>
        <w:t xml:space="preserve">  A summary of experience or other justification of expectations shall be documented.</w:t>
      </w:r>
    </w:p>
    <w:p w14:paraId="06ECF3A3" w14:textId="712FA8E6" w:rsidR="0084795F" w:rsidRDefault="0009441A" w:rsidP="00884FF9">
      <w:pPr>
        <w:pStyle w:val="Heading1"/>
        <w:spacing w:after="240"/>
        <w:ind w:left="720" w:hanging="360"/>
        <w:rPr>
          <w:rFonts w:cs="Times New Roman"/>
          <w:b w:val="0"/>
          <w:spacing w:val="-1"/>
          <w:sz w:val="20"/>
          <w:szCs w:val="20"/>
        </w:rPr>
      </w:pPr>
      <w:r>
        <w:rPr>
          <w:rFonts w:cs="Times New Roman"/>
          <w:b w:val="0"/>
          <w:spacing w:val="-1"/>
          <w:sz w:val="20"/>
          <w:szCs w:val="20"/>
        </w:rPr>
        <w:t>C.</w:t>
      </w:r>
      <w:r>
        <w:rPr>
          <w:rFonts w:cs="Times New Roman"/>
          <w:b w:val="0"/>
          <w:spacing w:val="-1"/>
          <w:sz w:val="20"/>
          <w:szCs w:val="20"/>
        </w:rPr>
        <w:tab/>
        <w:t>Assumptions on morbidity shall be documented</w:t>
      </w:r>
      <w:r w:rsidR="0050743A">
        <w:rPr>
          <w:rFonts w:cs="Times New Roman"/>
          <w:b w:val="0"/>
          <w:spacing w:val="-1"/>
          <w:sz w:val="20"/>
          <w:szCs w:val="20"/>
        </w:rPr>
        <w:t xml:space="preserve"> and justification of the assumption shall be provided</w:t>
      </w:r>
      <w:r w:rsidR="0084795F">
        <w:rPr>
          <w:rFonts w:cs="Times New Roman"/>
          <w:b w:val="0"/>
          <w:spacing w:val="-1"/>
          <w:sz w:val="20"/>
          <w:szCs w:val="20"/>
        </w:rPr>
        <w:t>.</w:t>
      </w:r>
      <w:r w:rsidR="0050743A">
        <w:rPr>
          <w:rFonts w:cs="Times New Roman"/>
          <w:b w:val="0"/>
          <w:spacing w:val="-1"/>
          <w:sz w:val="20"/>
          <w:szCs w:val="20"/>
        </w:rPr>
        <w:t xml:space="preserve">  If an outside source is used as the basis for morbidity assumptions, then the rationale for the applicability of that source and any adjustments to the factors from that source shall be documented.</w:t>
      </w:r>
    </w:p>
    <w:p w14:paraId="1775829B" w14:textId="25F95A17" w:rsidR="0050743A" w:rsidRDefault="0084795F" w:rsidP="00884FF9">
      <w:pPr>
        <w:pStyle w:val="Heading1"/>
        <w:spacing w:after="240"/>
        <w:ind w:left="720" w:hanging="360"/>
        <w:rPr>
          <w:rFonts w:cs="Times New Roman"/>
          <w:b w:val="0"/>
          <w:spacing w:val="-1"/>
          <w:sz w:val="20"/>
          <w:szCs w:val="20"/>
        </w:rPr>
      </w:pPr>
      <w:r>
        <w:rPr>
          <w:rFonts w:cs="Times New Roman"/>
          <w:b w:val="0"/>
          <w:spacing w:val="-1"/>
          <w:sz w:val="20"/>
          <w:szCs w:val="20"/>
        </w:rPr>
        <w:t>D.</w:t>
      </w:r>
      <w:r>
        <w:rPr>
          <w:rFonts w:cs="Times New Roman"/>
          <w:b w:val="0"/>
          <w:spacing w:val="-1"/>
          <w:sz w:val="20"/>
          <w:szCs w:val="20"/>
        </w:rPr>
        <w:tab/>
        <w:t>Assumptions on investment returns and interest rates shall be documented.  If a simplified approach is applied</w:t>
      </w:r>
      <w:r w:rsidR="0050743A">
        <w:rPr>
          <w:rFonts w:cs="Times New Roman"/>
          <w:b w:val="0"/>
          <w:spacing w:val="-1"/>
          <w:sz w:val="20"/>
          <w:szCs w:val="20"/>
        </w:rPr>
        <w:t>, such as implicit reflection of projected investment returns through the use of discount rates in a gross premium valuation</w:t>
      </w:r>
      <w:r w:rsidR="0054767B">
        <w:rPr>
          <w:rFonts w:cs="Times New Roman"/>
          <w:b w:val="0"/>
          <w:spacing w:val="-1"/>
          <w:sz w:val="20"/>
          <w:szCs w:val="20"/>
        </w:rPr>
        <w:t xml:space="preserve"> as contemplated in Section </w:t>
      </w:r>
      <w:r w:rsidR="008F1272">
        <w:rPr>
          <w:rFonts w:cs="Times New Roman"/>
          <w:b w:val="0"/>
          <w:spacing w:val="-1"/>
          <w:sz w:val="20"/>
          <w:szCs w:val="20"/>
        </w:rPr>
        <w:t>3</w:t>
      </w:r>
      <w:r w:rsidR="0054767B">
        <w:rPr>
          <w:rFonts w:cs="Times New Roman"/>
          <w:b w:val="0"/>
          <w:spacing w:val="-1"/>
          <w:sz w:val="20"/>
          <w:szCs w:val="20"/>
        </w:rPr>
        <w:t>.D.</w:t>
      </w:r>
      <w:r w:rsidR="0050743A">
        <w:rPr>
          <w:rFonts w:cs="Times New Roman"/>
          <w:b w:val="0"/>
          <w:spacing w:val="-1"/>
          <w:sz w:val="20"/>
          <w:szCs w:val="20"/>
        </w:rPr>
        <w:t>, then justification shall be provided.</w:t>
      </w:r>
    </w:p>
    <w:p w14:paraId="0C1720A3" w14:textId="66489AF3" w:rsidR="00D415EB" w:rsidRDefault="0050743A" w:rsidP="00884FF9">
      <w:pPr>
        <w:pStyle w:val="Heading1"/>
        <w:spacing w:after="240"/>
        <w:ind w:left="720" w:hanging="360"/>
        <w:rPr>
          <w:rFonts w:cs="Times New Roman"/>
          <w:b w:val="0"/>
          <w:spacing w:val="-1"/>
          <w:sz w:val="20"/>
          <w:szCs w:val="20"/>
        </w:rPr>
      </w:pPr>
      <w:r>
        <w:rPr>
          <w:rFonts w:cs="Times New Roman"/>
          <w:b w:val="0"/>
          <w:spacing w:val="-1"/>
          <w:sz w:val="20"/>
          <w:szCs w:val="20"/>
        </w:rPr>
        <w:t>E.</w:t>
      </w:r>
      <w:r>
        <w:rPr>
          <w:rFonts w:cs="Times New Roman"/>
          <w:b w:val="0"/>
          <w:spacing w:val="-1"/>
          <w:sz w:val="20"/>
          <w:szCs w:val="20"/>
        </w:rPr>
        <w:tab/>
      </w:r>
      <w:r w:rsidR="00F0703D">
        <w:rPr>
          <w:rFonts w:cs="Times New Roman"/>
          <w:b w:val="0"/>
          <w:spacing w:val="-1"/>
          <w:sz w:val="20"/>
          <w:szCs w:val="20"/>
        </w:rPr>
        <w:t>Assumptions on future rate increases shall be documented</w:t>
      </w:r>
      <w:r w:rsidR="001966D3">
        <w:rPr>
          <w:rFonts w:cs="Times New Roman"/>
          <w:b w:val="0"/>
          <w:spacing w:val="-1"/>
          <w:sz w:val="20"/>
          <w:szCs w:val="20"/>
        </w:rPr>
        <w:t>, by rate increase percentage assumed and jurisdiction;</w:t>
      </w:r>
      <w:r w:rsidR="00F0703D">
        <w:rPr>
          <w:rFonts w:cs="Times New Roman"/>
          <w:b w:val="0"/>
          <w:spacing w:val="-1"/>
          <w:sz w:val="20"/>
          <w:szCs w:val="20"/>
        </w:rPr>
        <w:t xml:space="preserve"> and the documentation and justification stated in Section </w:t>
      </w:r>
      <w:r w:rsidR="008F1272">
        <w:rPr>
          <w:rFonts w:cs="Times New Roman"/>
          <w:b w:val="0"/>
          <w:spacing w:val="-1"/>
          <w:sz w:val="20"/>
          <w:szCs w:val="20"/>
        </w:rPr>
        <w:t>3</w:t>
      </w:r>
      <w:r w:rsidR="00F0703D">
        <w:rPr>
          <w:rFonts w:cs="Times New Roman"/>
          <w:b w:val="0"/>
          <w:spacing w:val="-1"/>
          <w:sz w:val="20"/>
          <w:szCs w:val="20"/>
        </w:rPr>
        <w:t>.</w:t>
      </w:r>
      <w:r w:rsidR="00243C34">
        <w:rPr>
          <w:rFonts w:cs="Times New Roman"/>
          <w:b w:val="0"/>
          <w:spacing w:val="-1"/>
          <w:sz w:val="20"/>
          <w:szCs w:val="20"/>
        </w:rPr>
        <w:t>E</w:t>
      </w:r>
      <w:r w:rsidR="00F0703D">
        <w:rPr>
          <w:rFonts w:cs="Times New Roman"/>
          <w:b w:val="0"/>
          <w:spacing w:val="-1"/>
          <w:sz w:val="20"/>
          <w:szCs w:val="20"/>
        </w:rPr>
        <w:t>. shall be provided.</w:t>
      </w:r>
    </w:p>
    <w:p w14:paraId="7FC6B63D" w14:textId="77777777" w:rsidR="00D415EB" w:rsidRDefault="00D415EB" w:rsidP="00884FF9">
      <w:pPr>
        <w:pStyle w:val="Heading1"/>
        <w:spacing w:after="240"/>
        <w:ind w:left="720" w:hanging="360"/>
        <w:rPr>
          <w:rFonts w:cs="Times New Roman"/>
          <w:b w:val="0"/>
          <w:spacing w:val="-1"/>
          <w:sz w:val="20"/>
          <w:szCs w:val="20"/>
        </w:rPr>
      </w:pPr>
      <w:r>
        <w:rPr>
          <w:rFonts w:cs="Times New Roman"/>
          <w:b w:val="0"/>
          <w:spacing w:val="-1"/>
          <w:sz w:val="20"/>
          <w:szCs w:val="20"/>
        </w:rPr>
        <w:t>F.</w:t>
      </w:r>
      <w:r>
        <w:rPr>
          <w:rFonts w:cs="Times New Roman"/>
          <w:b w:val="0"/>
          <w:spacing w:val="-1"/>
          <w:sz w:val="20"/>
          <w:szCs w:val="20"/>
        </w:rPr>
        <w:tab/>
        <w:t>Documentation of other material assumptions shall be provided.</w:t>
      </w:r>
    </w:p>
    <w:p w14:paraId="0C96018E" w14:textId="1738E9B1" w:rsidR="00C26FA5" w:rsidRPr="00F02885" w:rsidRDefault="00D415EB" w:rsidP="00F02885">
      <w:pPr>
        <w:pStyle w:val="Heading1"/>
        <w:spacing w:after="240"/>
        <w:ind w:left="720" w:hanging="360"/>
        <w:rPr>
          <w:rFonts w:cs="Times New Roman"/>
          <w:b w:val="0"/>
          <w:spacing w:val="-1"/>
          <w:sz w:val="20"/>
          <w:szCs w:val="20"/>
        </w:rPr>
      </w:pPr>
      <w:r>
        <w:rPr>
          <w:rFonts w:cs="Times New Roman"/>
          <w:b w:val="0"/>
          <w:spacing w:val="-1"/>
          <w:sz w:val="20"/>
          <w:szCs w:val="20"/>
        </w:rPr>
        <w:t>G.</w:t>
      </w:r>
      <w:r>
        <w:rPr>
          <w:rFonts w:cs="Times New Roman"/>
          <w:b w:val="0"/>
          <w:spacing w:val="-1"/>
          <w:sz w:val="20"/>
          <w:szCs w:val="20"/>
        </w:rPr>
        <w:tab/>
        <w:t>Documentation shall be provided for assumptions that have significantly changed from the prior year’s analysis.</w:t>
      </w:r>
      <w:r w:rsidR="00170836">
        <w:rPr>
          <w:rFonts w:cs="Times New Roman"/>
          <w:b w:val="0"/>
          <w:spacing w:val="-1"/>
          <w:sz w:val="20"/>
          <w:szCs w:val="20"/>
        </w:rPr>
        <w:br/>
      </w:r>
    </w:p>
    <w:p w14:paraId="77378FCF" w14:textId="748151A6" w:rsidR="00501A0D" w:rsidRPr="00317F3D" w:rsidRDefault="00501A0D" w:rsidP="004E0035">
      <w:pPr>
        <w:rPr>
          <w:rFonts w:ascii="Times New Roman" w:hAnsi="Times New Roman" w:cs="Times New Roman"/>
          <w:sz w:val="20"/>
          <w:szCs w:val="20"/>
        </w:rPr>
      </w:pPr>
    </w:p>
    <w:sectPr w:rsidR="00501A0D" w:rsidRPr="00317F3D" w:rsidSect="0079666A">
      <w:footerReference w:type="default" r:id="rId7"/>
      <w:pgSz w:w="12240" w:h="15840"/>
      <w:pgMar w:top="1080" w:right="1080" w:bottom="108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A5EC" w14:textId="77777777" w:rsidR="00203344" w:rsidRDefault="00203344">
      <w:r>
        <w:separator/>
      </w:r>
    </w:p>
  </w:endnote>
  <w:endnote w:type="continuationSeparator" w:id="0">
    <w:p w14:paraId="48BE2A04" w14:textId="77777777" w:rsidR="00203344" w:rsidRDefault="0020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D80" w14:textId="77777777" w:rsidR="00D90E16" w:rsidRDefault="00D90E16" w:rsidP="0079666A">
    <w:pPr>
      <w:pStyle w:val="Footer"/>
      <w:tabs>
        <w:tab w:val="center" w:pos="5040"/>
      </w:tabs>
      <w:rPr>
        <w:rFonts w:ascii="Times New Roman" w:hAnsi="Times New Roman" w:cs="Times New Roman"/>
        <w:sz w:val="20"/>
      </w:rPr>
    </w:pPr>
  </w:p>
  <w:p w14:paraId="769E47E8" w14:textId="212F5345" w:rsidR="0079666A" w:rsidRPr="00154DD4" w:rsidRDefault="0079666A"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6D1F76">
      <w:rPr>
        <w:rFonts w:ascii="Times New Roman" w:hAnsi="Times New Roman" w:cs="Times New Roman"/>
        <w:noProof/>
        <w:sz w:val="20"/>
      </w:rPr>
      <w:t>2</w:t>
    </w:r>
    <w:r w:rsidRPr="00154DD4">
      <w:rPr>
        <w:rFonts w:ascii="Times New Roman" w:hAnsi="Times New Roman" w:cs="Times New Roman"/>
        <w:noProof/>
        <w:sz w:val="20"/>
      </w:rPr>
      <w:fldChar w:fldCharType="end"/>
    </w:r>
  </w:p>
  <w:p w14:paraId="31397E07" w14:textId="77777777" w:rsidR="0079666A" w:rsidRPr="00154DD4" w:rsidRDefault="0079666A" w:rsidP="0079666A">
    <w:pPr>
      <w:pStyle w:val="Footer"/>
    </w:pPr>
  </w:p>
  <w:p w14:paraId="60B5904A" w14:textId="39B52D79" w:rsidR="00DF54E1" w:rsidRPr="0079666A" w:rsidRDefault="00DF54E1" w:rsidP="0079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2BFA" w14:textId="77777777" w:rsidR="00203344" w:rsidRDefault="00203344">
      <w:r>
        <w:separator/>
      </w:r>
    </w:p>
  </w:footnote>
  <w:footnote w:type="continuationSeparator" w:id="0">
    <w:p w14:paraId="08A65750" w14:textId="77777777" w:rsidR="00203344" w:rsidRDefault="0020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F2A70"/>
    <w:multiLevelType w:val="hybridMultilevel"/>
    <w:tmpl w:val="A2FC4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10"/>
  </w:num>
  <w:num w:numId="5">
    <w:abstractNumId w:val="3"/>
  </w:num>
  <w:num w:numId="6">
    <w:abstractNumId w:val="4"/>
  </w:num>
  <w:num w:numId="7">
    <w:abstractNumId w:val="12"/>
  </w:num>
  <w:num w:numId="8">
    <w:abstractNumId w:val="11"/>
  </w:num>
  <w:num w:numId="9">
    <w:abstractNumId w:val="0"/>
  </w:num>
  <w:num w:numId="10">
    <w:abstractNumId w:val="6"/>
  </w:num>
  <w:num w:numId="11">
    <w:abstractNumId w:val="9"/>
  </w:num>
  <w:num w:numId="12">
    <w:abstractNumId w:val="2"/>
  </w:num>
  <w:num w:numId="13">
    <w:abstractNumId w:val="8"/>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EFD043-3BE2-41DF-A9C2-366EB3ADB694}"/>
    <w:docVar w:name="dgnword-eventsink" w:val="137618736"/>
  </w:docVars>
  <w:rsids>
    <w:rsidRoot w:val="00035C33"/>
    <w:rsid w:val="000055DF"/>
    <w:rsid w:val="00006CDB"/>
    <w:rsid w:val="00020365"/>
    <w:rsid w:val="0002509F"/>
    <w:rsid w:val="00035C33"/>
    <w:rsid w:val="00036B61"/>
    <w:rsid w:val="00040990"/>
    <w:rsid w:val="000733F9"/>
    <w:rsid w:val="0008034E"/>
    <w:rsid w:val="0009441A"/>
    <w:rsid w:val="000E6152"/>
    <w:rsid w:val="000E75D9"/>
    <w:rsid w:val="000F22EE"/>
    <w:rsid w:val="00111FE4"/>
    <w:rsid w:val="00126CEC"/>
    <w:rsid w:val="00134879"/>
    <w:rsid w:val="00135848"/>
    <w:rsid w:val="0013769B"/>
    <w:rsid w:val="00147258"/>
    <w:rsid w:val="001613B4"/>
    <w:rsid w:val="00170836"/>
    <w:rsid w:val="00181A89"/>
    <w:rsid w:val="001966D3"/>
    <w:rsid w:val="001A33F2"/>
    <w:rsid w:val="001D5295"/>
    <w:rsid w:val="001F5EF8"/>
    <w:rsid w:val="001F6FCC"/>
    <w:rsid w:val="00203344"/>
    <w:rsid w:val="00205195"/>
    <w:rsid w:val="002338F0"/>
    <w:rsid w:val="00237C0E"/>
    <w:rsid w:val="002439AD"/>
    <w:rsid w:val="00243C34"/>
    <w:rsid w:val="00244AEC"/>
    <w:rsid w:val="00284397"/>
    <w:rsid w:val="00293FBA"/>
    <w:rsid w:val="00294186"/>
    <w:rsid w:val="002A541D"/>
    <w:rsid w:val="002D2624"/>
    <w:rsid w:val="002F3BC3"/>
    <w:rsid w:val="0030214A"/>
    <w:rsid w:val="00302308"/>
    <w:rsid w:val="00317F3D"/>
    <w:rsid w:val="00334822"/>
    <w:rsid w:val="00370A4D"/>
    <w:rsid w:val="003A2D8F"/>
    <w:rsid w:val="003B7C58"/>
    <w:rsid w:val="003C4FC0"/>
    <w:rsid w:val="003C728C"/>
    <w:rsid w:val="003F2559"/>
    <w:rsid w:val="00403524"/>
    <w:rsid w:val="004130E6"/>
    <w:rsid w:val="004230E1"/>
    <w:rsid w:val="00423375"/>
    <w:rsid w:val="004248B5"/>
    <w:rsid w:val="0043392E"/>
    <w:rsid w:val="00443265"/>
    <w:rsid w:val="00445863"/>
    <w:rsid w:val="00446A33"/>
    <w:rsid w:val="00455CB4"/>
    <w:rsid w:val="00462554"/>
    <w:rsid w:val="00464016"/>
    <w:rsid w:val="00470CAE"/>
    <w:rsid w:val="00483FD2"/>
    <w:rsid w:val="0049558E"/>
    <w:rsid w:val="004C1638"/>
    <w:rsid w:val="004D4E31"/>
    <w:rsid w:val="004E0035"/>
    <w:rsid w:val="004E48AE"/>
    <w:rsid w:val="00501A0D"/>
    <w:rsid w:val="00503278"/>
    <w:rsid w:val="0050743A"/>
    <w:rsid w:val="00537C24"/>
    <w:rsid w:val="00544DE4"/>
    <w:rsid w:val="0054767B"/>
    <w:rsid w:val="005675AF"/>
    <w:rsid w:val="00577FCE"/>
    <w:rsid w:val="00582777"/>
    <w:rsid w:val="005A58E9"/>
    <w:rsid w:val="005C3335"/>
    <w:rsid w:val="005C65D4"/>
    <w:rsid w:val="005E14BF"/>
    <w:rsid w:val="005E6FA6"/>
    <w:rsid w:val="0060156E"/>
    <w:rsid w:val="006147CA"/>
    <w:rsid w:val="006158F6"/>
    <w:rsid w:val="00616624"/>
    <w:rsid w:val="006205AE"/>
    <w:rsid w:val="0066204B"/>
    <w:rsid w:val="00671670"/>
    <w:rsid w:val="0068742A"/>
    <w:rsid w:val="00687AE5"/>
    <w:rsid w:val="00694E8A"/>
    <w:rsid w:val="006B337C"/>
    <w:rsid w:val="006C4F9E"/>
    <w:rsid w:val="006D1F76"/>
    <w:rsid w:val="0070379A"/>
    <w:rsid w:val="00712272"/>
    <w:rsid w:val="00712E42"/>
    <w:rsid w:val="0071581A"/>
    <w:rsid w:val="007247D6"/>
    <w:rsid w:val="00730539"/>
    <w:rsid w:val="00736F03"/>
    <w:rsid w:val="0076304C"/>
    <w:rsid w:val="0076423B"/>
    <w:rsid w:val="00773EF5"/>
    <w:rsid w:val="00776E9B"/>
    <w:rsid w:val="0079666A"/>
    <w:rsid w:val="007E1CF3"/>
    <w:rsid w:val="007E3231"/>
    <w:rsid w:val="007E6D34"/>
    <w:rsid w:val="007F076D"/>
    <w:rsid w:val="007F4FDB"/>
    <w:rsid w:val="00811ABB"/>
    <w:rsid w:val="00823489"/>
    <w:rsid w:val="008456CF"/>
    <w:rsid w:val="00846E30"/>
    <w:rsid w:val="0084795F"/>
    <w:rsid w:val="00864499"/>
    <w:rsid w:val="0086514B"/>
    <w:rsid w:val="0087793D"/>
    <w:rsid w:val="00884FF9"/>
    <w:rsid w:val="00885B66"/>
    <w:rsid w:val="00897458"/>
    <w:rsid w:val="008B5145"/>
    <w:rsid w:val="008B6252"/>
    <w:rsid w:val="008D47A3"/>
    <w:rsid w:val="008F0384"/>
    <w:rsid w:val="008F1272"/>
    <w:rsid w:val="00901B30"/>
    <w:rsid w:val="00911666"/>
    <w:rsid w:val="0091286C"/>
    <w:rsid w:val="009267E5"/>
    <w:rsid w:val="00946055"/>
    <w:rsid w:val="00952BB2"/>
    <w:rsid w:val="00962DF0"/>
    <w:rsid w:val="0097725A"/>
    <w:rsid w:val="00981CCD"/>
    <w:rsid w:val="009903B3"/>
    <w:rsid w:val="009A3CA6"/>
    <w:rsid w:val="009F2444"/>
    <w:rsid w:val="00A35FD4"/>
    <w:rsid w:val="00A37153"/>
    <w:rsid w:val="00A37330"/>
    <w:rsid w:val="00A41845"/>
    <w:rsid w:val="00A50710"/>
    <w:rsid w:val="00A508DF"/>
    <w:rsid w:val="00A56B10"/>
    <w:rsid w:val="00A77143"/>
    <w:rsid w:val="00A96849"/>
    <w:rsid w:val="00AA2301"/>
    <w:rsid w:val="00AA7E63"/>
    <w:rsid w:val="00AB0A36"/>
    <w:rsid w:val="00AC67E1"/>
    <w:rsid w:val="00AD6DE0"/>
    <w:rsid w:val="00B1097D"/>
    <w:rsid w:val="00B245EC"/>
    <w:rsid w:val="00B32B81"/>
    <w:rsid w:val="00B3654B"/>
    <w:rsid w:val="00B406DE"/>
    <w:rsid w:val="00B46D09"/>
    <w:rsid w:val="00B551CD"/>
    <w:rsid w:val="00B71449"/>
    <w:rsid w:val="00B7158E"/>
    <w:rsid w:val="00B910FC"/>
    <w:rsid w:val="00BA4B75"/>
    <w:rsid w:val="00BB1123"/>
    <w:rsid w:val="00BC4D6C"/>
    <w:rsid w:val="00BD11B4"/>
    <w:rsid w:val="00BD15B3"/>
    <w:rsid w:val="00BE23F7"/>
    <w:rsid w:val="00BE300A"/>
    <w:rsid w:val="00C17380"/>
    <w:rsid w:val="00C22A98"/>
    <w:rsid w:val="00C26A10"/>
    <w:rsid w:val="00C26B55"/>
    <w:rsid w:val="00C26FA5"/>
    <w:rsid w:val="00C32C4C"/>
    <w:rsid w:val="00C80F00"/>
    <w:rsid w:val="00C9057F"/>
    <w:rsid w:val="00C920AD"/>
    <w:rsid w:val="00CA45FD"/>
    <w:rsid w:val="00CB6F1C"/>
    <w:rsid w:val="00D04770"/>
    <w:rsid w:val="00D15EAD"/>
    <w:rsid w:val="00D23FD5"/>
    <w:rsid w:val="00D412CF"/>
    <w:rsid w:val="00D415EB"/>
    <w:rsid w:val="00D50390"/>
    <w:rsid w:val="00D520FE"/>
    <w:rsid w:val="00D5743B"/>
    <w:rsid w:val="00D90E16"/>
    <w:rsid w:val="00D930EF"/>
    <w:rsid w:val="00DC46CE"/>
    <w:rsid w:val="00DF54E1"/>
    <w:rsid w:val="00E00092"/>
    <w:rsid w:val="00E00584"/>
    <w:rsid w:val="00E20DA2"/>
    <w:rsid w:val="00E65186"/>
    <w:rsid w:val="00E72F4A"/>
    <w:rsid w:val="00E96FA1"/>
    <w:rsid w:val="00EC1599"/>
    <w:rsid w:val="00EF6288"/>
    <w:rsid w:val="00F02885"/>
    <w:rsid w:val="00F053B9"/>
    <w:rsid w:val="00F0703D"/>
    <w:rsid w:val="00F15510"/>
    <w:rsid w:val="00F27837"/>
    <w:rsid w:val="00F322DB"/>
    <w:rsid w:val="00F3529A"/>
    <w:rsid w:val="00F37C83"/>
    <w:rsid w:val="00F43789"/>
    <w:rsid w:val="00FA6B52"/>
    <w:rsid w:val="00FB0A03"/>
    <w:rsid w:val="00FB4616"/>
    <w:rsid w:val="00FD16C2"/>
    <w:rsid w:val="00FD23A0"/>
    <w:rsid w:val="00FD40C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87FF37"/>
  <w15:docId w15:val="{749F3064-1BAF-4D25-836D-DB76DBE3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semiHidden/>
    <w:unhideWhenUsed/>
    <w:rsid w:val="00D412CF"/>
    <w:rPr>
      <w:sz w:val="20"/>
      <w:szCs w:val="20"/>
    </w:rPr>
  </w:style>
  <w:style w:type="character" w:customStyle="1" w:styleId="CommentTextChar">
    <w:name w:val="Comment Text Char"/>
    <w:basedOn w:val="DefaultParagraphFont"/>
    <w:link w:val="CommentText"/>
    <w:uiPriority w:val="99"/>
    <w:semiHidden/>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Andersen</dc:creator>
  <cp:lastModifiedBy>Frederick Andersen</cp:lastModifiedBy>
  <cp:revision>3</cp:revision>
  <dcterms:created xsi:type="dcterms:W3CDTF">2017-02-27T16:33:00Z</dcterms:created>
  <dcterms:modified xsi:type="dcterms:W3CDTF">2017-02-27T16:34:00Z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