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17"/>
        <w:gridCol w:w="2451"/>
        <w:gridCol w:w="5930"/>
        <w:gridCol w:w="2858"/>
        <w:gridCol w:w="1390"/>
      </w:tblGrid>
      <w:tr w:rsidR="00073D7B" w:rsidRPr="00922F8B" w:rsidTr="00073D7B">
        <w:trPr>
          <w:trHeight w:val="420"/>
          <w:tblHeader/>
        </w:trPr>
        <w:tc>
          <w:tcPr>
            <w:tcW w:w="0" w:type="auto"/>
            <w:shd w:val="clear" w:color="auto" w:fill="4F81BD"/>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No.</w:t>
            </w:r>
          </w:p>
        </w:tc>
        <w:tc>
          <w:tcPr>
            <w:tcW w:w="0" w:type="auto"/>
            <w:shd w:val="clear" w:color="auto" w:fill="4F81BD"/>
            <w:hideMark/>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Regulation</w:t>
            </w:r>
            <w:r w:rsidRPr="00922F8B">
              <w:rPr>
                <w:rStyle w:val="FootnoteReference"/>
                <w:rFonts w:eastAsia="Times New Roman"/>
                <w:b/>
                <w:bCs/>
                <w:color w:val="FFFFFF"/>
                <w:sz w:val="24"/>
                <w:szCs w:val="24"/>
              </w:rPr>
              <w:footnoteReference w:id="1"/>
            </w:r>
          </w:p>
        </w:tc>
        <w:tc>
          <w:tcPr>
            <w:tcW w:w="0" w:type="auto"/>
            <w:shd w:val="clear" w:color="auto" w:fill="4F81BD"/>
            <w:hideMark/>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Purpose</w:t>
            </w:r>
          </w:p>
        </w:tc>
        <w:tc>
          <w:tcPr>
            <w:tcW w:w="5930" w:type="dxa"/>
            <w:shd w:val="clear" w:color="auto" w:fill="4F81BD"/>
            <w:hideMark/>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Proposed Compliance Procedures</w:t>
            </w:r>
          </w:p>
        </w:tc>
        <w:tc>
          <w:tcPr>
            <w:tcW w:w="2858" w:type="dxa"/>
            <w:shd w:val="clear" w:color="auto" w:fill="4F81BD"/>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Description of Work Performed</w:t>
            </w:r>
          </w:p>
        </w:tc>
        <w:tc>
          <w:tcPr>
            <w:tcW w:w="0" w:type="auto"/>
            <w:shd w:val="clear" w:color="auto" w:fill="4F81BD"/>
          </w:tcPr>
          <w:p w:rsidR="00073D7B" w:rsidRPr="00922F8B" w:rsidRDefault="00073D7B" w:rsidP="005060C3">
            <w:pPr>
              <w:spacing w:after="0"/>
              <w:jc w:val="center"/>
              <w:rPr>
                <w:rFonts w:eastAsia="Times New Roman"/>
                <w:b/>
                <w:bCs/>
                <w:color w:val="FFFFFF"/>
                <w:sz w:val="24"/>
                <w:szCs w:val="24"/>
              </w:rPr>
            </w:pPr>
            <w:r w:rsidRPr="00922F8B">
              <w:rPr>
                <w:rFonts w:eastAsia="Times New Roman"/>
                <w:b/>
                <w:bCs/>
                <w:color w:val="FFFFFF"/>
                <w:sz w:val="24"/>
                <w:szCs w:val="24"/>
              </w:rPr>
              <w:t>Summary of Results</w:t>
            </w:r>
          </w:p>
        </w:tc>
      </w:tr>
      <w:tr w:rsidR="00073D7B" w:rsidRPr="00922F8B" w:rsidTr="00073D7B">
        <w:trPr>
          <w:trHeight w:val="1600"/>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1</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§158.110</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 xml:space="preserve">Test accuracy of reporting and reconcile with the Supplemental Health Care Exhibit </w:t>
            </w:r>
          </w:p>
        </w:tc>
        <w:tc>
          <w:tcPr>
            <w:tcW w:w="5930" w:type="dxa"/>
            <w:tcBorders>
              <w:top w:val="single" w:sz="8" w:space="0" w:color="4F81BD"/>
              <w:bottom w:val="single" w:sz="8" w:space="0" w:color="4F81BD"/>
            </w:tcBorders>
            <w:shd w:val="clear" w:color="auto" w:fill="auto"/>
            <w:hideMark/>
          </w:tcPr>
          <w:p w:rsidR="00073D7B" w:rsidRPr="00922F8B" w:rsidRDefault="00073D7B" w:rsidP="00922F8B">
            <w:pPr>
              <w:pStyle w:val="NoSpacing"/>
              <w:numPr>
                <w:ilvl w:val="0"/>
                <w:numId w:val="7"/>
              </w:numPr>
              <w:spacing w:after="120"/>
            </w:pPr>
            <w:r w:rsidRPr="00922F8B">
              <w:t xml:space="preserve">Verify that the issuer completed the federal MLR Annual Reporting Form (MLR Form) for every state for which they submitted the Supplemental Health Care Exhibit (SHCE). </w:t>
            </w:r>
          </w:p>
          <w:p w:rsidR="00073D7B" w:rsidRPr="00922F8B" w:rsidRDefault="00073D7B" w:rsidP="00922F8B">
            <w:pPr>
              <w:pStyle w:val="NoSpacing"/>
              <w:numPr>
                <w:ilvl w:val="0"/>
                <w:numId w:val="7"/>
              </w:numPr>
              <w:spacing w:after="120"/>
              <w:rPr>
                <w:rFonts w:eastAsia="Times New Roman"/>
                <w:color w:val="auto"/>
              </w:rPr>
            </w:pPr>
            <w:r w:rsidRPr="00922F8B">
              <w:rPr>
                <w:rFonts w:eastAsia="Times New Roman"/>
                <w:color w:val="auto"/>
              </w:rPr>
              <w:t xml:space="preserve">Verify that </w:t>
            </w:r>
            <w:r w:rsidRPr="00922F8B">
              <w:t>the amounts reported on the MLR Form are consistent with the amounts reported on the SHCE. Use the NAIC’s MLR Reconciliation Report or similar tool to check for variations between the SHCE and the MLR Form.</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251"/>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2</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§158.110</w:t>
            </w:r>
          </w:p>
          <w:p w:rsidR="00073D7B" w:rsidRPr="00922F8B" w:rsidRDefault="00073D7B" w:rsidP="005060C3">
            <w:pPr>
              <w:spacing w:after="0"/>
              <w:rPr>
                <w:rFonts w:eastAsia="Times New Roman"/>
                <w:color w:val="auto"/>
              </w:rPr>
            </w:pPr>
            <w:r w:rsidRPr="00922F8B">
              <w:rPr>
                <w:rFonts w:eastAsia="Times New Roman"/>
                <w:color w:val="auto"/>
              </w:rPr>
              <w:t>§158.120</w:t>
            </w:r>
          </w:p>
          <w:p w:rsidR="00073D7B" w:rsidRPr="00922F8B" w:rsidRDefault="00073D7B" w:rsidP="005060C3">
            <w:pPr>
              <w:spacing w:after="0"/>
              <w:rPr>
                <w:rFonts w:eastAsia="Times New Roman"/>
                <w:color w:val="auto"/>
              </w:rPr>
            </w:pPr>
            <w:r w:rsidRPr="00922F8B">
              <w:rPr>
                <w:rFonts w:eastAsia="Times New Roman"/>
                <w:color w:val="auto"/>
              </w:rPr>
              <w:t>§158.220</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 state and market classifications</w:t>
            </w:r>
          </w:p>
        </w:tc>
        <w:tc>
          <w:tcPr>
            <w:tcW w:w="5930" w:type="dxa"/>
            <w:shd w:val="clear" w:color="auto" w:fill="auto"/>
          </w:tcPr>
          <w:p w:rsidR="00606AE8" w:rsidRDefault="00606AE8" w:rsidP="00606AE8">
            <w:pPr>
              <w:pStyle w:val="ListParagraph"/>
              <w:numPr>
                <w:ilvl w:val="0"/>
                <w:numId w:val="6"/>
              </w:numPr>
              <w:contextualSpacing w:val="0"/>
              <w:rPr>
                <w:rFonts w:eastAsia="Times New Roman"/>
                <w:color w:val="auto"/>
              </w:rPr>
            </w:pPr>
            <w:r>
              <w:rPr>
                <w:rFonts w:eastAsia="Times New Roman"/>
                <w:color w:val="auto"/>
              </w:rPr>
              <w:t>Reconcile summary level policy dataset with the relevant MLR Form amount</w:t>
            </w:r>
            <w:r w:rsidR="002E5FD1">
              <w:rPr>
                <w:rFonts w:eastAsia="Times New Roman"/>
                <w:color w:val="auto"/>
              </w:rPr>
              <w:t>s</w:t>
            </w:r>
            <w:r>
              <w:rPr>
                <w:rFonts w:eastAsia="Times New Roman"/>
                <w:color w:val="auto"/>
              </w:rPr>
              <w:t>.</w:t>
            </w:r>
          </w:p>
          <w:p w:rsidR="00073D7B" w:rsidRPr="00606AE8" w:rsidRDefault="00073D7B" w:rsidP="00606AE8">
            <w:pPr>
              <w:pStyle w:val="ListParagraph"/>
              <w:numPr>
                <w:ilvl w:val="0"/>
                <w:numId w:val="6"/>
              </w:numPr>
              <w:contextualSpacing w:val="0"/>
              <w:rPr>
                <w:rFonts w:eastAsia="Times New Roman"/>
                <w:color w:val="auto"/>
              </w:rPr>
            </w:pPr>
            <w:r w:rsidRPr="00606AE8">
              <w:rPr>
                <w:rFonts w:eastAsia="Times New Roman"/>
                <w:color w:val="auto"/>
              </w:rPr>
              <w:t xml:space="preserve">Select a </w:t>
            </w:r>
            <w:r w:rsidR="00606AE8" w:rsidRPr="007349E7">
              <w:rPr>
                <w:rFonts w:eastAsia="Times New Roman"/>
                <w:color w:val="auto"/>
              </w:rPr>
              <w:t xml:space="preserve">representative </w:t>
            </w:r>
            <w:r w:rsidRPr="00606AE8">
              <w:rPr>
                <w:rFonts w:eastAsia="Times New Roman"/>
                <w:color w:val="auto"/>
              </w:rPr>
              <w:t xml:space="preserve">sample of policies </w:t>
            </w:r>
            <w:r w:rsidR="00606AE8">
              <w:rPr>
                <w:rFonts w:eastAsia="Times New Roman"/>
                <w:color w:val="auto"/>
              </w:rPr>
              <w:t xml:space="preserve">from all market segments </w:t>
            </w:r>
            <w:r w:rsidRPr="00606AE8">
              <w:rPr>
                <w:rFonts w:eastAsia="Times New Roman"/>
                <w:color w:val="auto"/>
              </w:rPr>
              <w:t xml:space="preserve">entity-wide. Review supporting contract documents and general ledger accounts to verify that: </w:t>
            </w:r>
          </w:p>
          <w:p w:rsidR="00073D7B" w:rsidRPr="00922F8B" w:rsidRDefault="00073D7B" w:rsidP="00606AE8">
            <w:pPr>
              <w:pStyle w:val="ListParagraph"/>
              <w:numPr>
                <w:ilvl w:val="1"/>
                <w:numId w:val="6"/>
              </w:numPr>
              <w:ind w:left="772"/>
              <w:contextualSpacing w:val="0"/>
              <w:rPr>
                <w:rFonts w:eastAsia="Times New Roman"/>
                <w:color w:val="auto"/>
              </w:rPr>
            </w:pPr>
            <w:r w:rsidRPr="00922F8B">
              <w:rPr>
                <w:rFonts w:eastAsia="Times New Roman"/>
                <w:color w:val="auto"/>
              </w:rPr>
              <w:t>Policies were assigned to the correct state</w:t>
            </w:r>
            <w:r w:rsidR="00922F8B" w:rsidRPr="00922F8B">
              <w:rPr>
                <w:rFonts w:eastAsia="Times New Roman"/>
                <w:color w:val="auto"/>
              </w:rPr>
              <w:t>,</w:t>
            </w:r>
            <w:r w:rsidRPr="00922F8B">
              <w:rPr>
                <w:rFonts w:eastAsia="Times New Roman"/>
                <w:color w:val="auto"/>
              </w:rPr>
              <w:t xml:space="preserve"> i.e. by situs with exceptions noted in the regulation. </w:t>
            </w:r>
          </w:p>
          <w:p w:rsidR="00073D7B" w:rsidRDefault="00073D7B" w:rsidP="00606AE8">
            <w:pPr>
              <w:pStyle w:val="ListParagraph"/>
              <w:numPr>
                <w:ilvl w:val="1"/>
                <w:numId w:val="6"/>
              </w:numPr>
              <w:ind w:left="772"/>
              <w:contextualSpacing w:val="0"/>
              <w:rPr>
                <w:rFonts w:eastAsia="Times New Roman"/>
                <w:color w:val="auto"/>
              </w:rPr>
            </w:pPr>
            <w:r w:rsidRPr="00922F8B">
              <w:rPr>
                <w:rFonts w:eastAsia="Times New Roman"/>
                <w:color w:val="auto"/>
              </w:rPr>
              <w:t>Policies were assigned to the correct line of business. Verify that:</w:t>
            </w:r>
          </w:p>
          <w:p w:rsidR="00F72240" w:rsidRDefault="00F72240" w:rsidP="00F72240">
            <w:pPr>
              <w:pStyle w:val="ListParagraph"/>
              <w:numPr>
                <w:ilvl w:val="2"/>
                <w:numId w:val="6"/>
              </w:numPr>
              <w:ind w:left="1132"/>
              <w:contextualSpacing w:val="0"/>
              <w:rPr>
                <w:rFonts w:eastAsia="Times New Roman"/>
                <w:color w:val="auto"/>
              </w:rPr>
            </w:pPr>
            <w:r w:rsidRPr="00922F8B">
              <w:rPr>
                <w:rFonts w:eastAsia="Times New Roman"/>
                <w:color w:val="auto"/>
              </w:rPr>
              <w:t>Business subject to the commercial MLR rule, including grandfathered and/or transitional plans,</w:t>
            </w:r>
            <w:r w:rsidRPr="00922F8B">
              <w:rPr>
                <w:rStyle w:val="FootnoteReference"/>
                <w:rFonts w:eastAsia="Times New Roman"/>
                <w:color w:val="auto"/>
              </w:rPr>
              <w:footnoteReference w:id="2"/>
            </w:r>
            <w:r w:rsidRPr="00922F8B">
              <w:rPr>
                <w:rFonts w:eastAsia="Times New Roman"/>
                <w:color w:val="auto"/>
              </w:rPr>
              <w:t xml:space="preserve"> was reported in the Health Insurance Coverage columns.</w:t>
            </w:r>
          </w:p>
          <w:p w:rsidR="00F72240" w:rsidRDefault="00F72240" w:rsidP="00F72240">
            <w:pPr>
              <w:pStyle w:val="ListParagraph"/>
              <w:numPr>
                <w:ilvl w:val="2"/>
                <w:numId w:val="6"/>
              </w:numPr>
              <w:ind w:left="1132"/>
              <w:contextualSpacing w:val="0"/>
              <w:rPr>
                <w:rFonts w:eastAsia="Times New Roman"/>
                <w:color w:val="auto"/>
              </w:rPr>
            </w:pPr>
            <w:r w:rsidRPr="00922F8B">
              <w:rPr>
                <w:rFonts w:eastAsia="Times New Roman"/>
                <w:color w:val="auto"/>
              </w:rPr>
              <w:t>Business not subject to the commercial MLR rule was reported as government program plans, other health business, or uninsured plans.</w:t>
            </w:r>
          </w:p>
          <w:p w:rsidR="00F72240" w:rsidRDefault="00F72240" w:rsidP="00F72240">
            <w:pPr>
              <w:pStyle w:val="ListParagraph"/>
              <w:numPr>
                <w:ilvl w:val="2"/>
                <w:numId w:val="6"/>
              </w:numPr>
              <w:ind w:left="1132"/>
              <w:contextualSpacing w:val="0"/>
              <w:rPr>
                <w:rFonts w:eastAsia="Times New Roman"/>
                <w:color w:val="auto"/>
              </w:rPr>
            </w:pPr>
            <w:r w:rsidRPr="00922F8B">
              <w:rPr>
                <w:rFonts w:eastAsia="Times New Roman"/>
                <w:color w:val="auto"/>
              </w:rPr>
              <w:t>Policies with annual limits &lt; $250,000 were reported separately as mini-med policies.</w:t>
            </w:r>
          </w:p>
          <w:p w:rsidR="00F72240" w:rsidRDefault="00F72240" w:rsidP="00F72240">
            <w:pPr>
              <w:pStyle w:val="ListParagraph"/>
              <w:numPr>
                <w:ilvl w:val="2"/>
                <w:numId w:val="6"/>
              </w:numPr>
              <w:ind w:left="1132"/>
              <w:contextualSpacing w:val="0"/>
              <w:rPr>
                <w:rFonts w:eastAsia="Times New Roman"/>
                <w:color w:val="auto"/>
              </w:rPr>
            </w:pPr>
            <w:r w:rsidRPr="00922F8B">
              <w:rPr>
                <w:rFonts w:eastAsia="Times New Roman"/>
                <w:color w:val="auto"/>
              </w:rPr>
              <w:t>Policies meeting the definition of Expatriate policies under §158.120(d</w:t>
            </w:r>
            <w:proofErr w:type="gramStart"/>
            <w:r w:rsidRPr="00922F8B">
              <w:rPr>
                <w:rFonts w:eastAsia="Times New Roman"/>
                <w:color w:val="auto"/>
              </w:rPr>
              <w:t>)(</w:t>
            </w:r>
            <w:proofErr w:type="gramEnd"/>
            <w:r w:rsidRPr="00922F8B">
              <w:rPr>
                <w:rFonts w:eastAsia="Times New Roman"/>
                <w:color w:val="auto"/>
              </w:rPr>
              <w:t xml:space="preserve">4) were reported separately from other policies and either were </w:t>
            </w:r>
            <w:r w:rsidRPr="00922F8B">
              <w:rPr>
                <w:rFonts w:eastAsia="Times New Roman"/>
                <w:color w:val="auto"/>
              </w:rPr>
              <w:lastRenderedPageBreak/>
              <w:t>aggregated nationally in the Expat columns or were included in Other Health columns.</w:t>
            </w:r>
          </w:p>
          <w:p w:rsidR="00F72240" w:rsidRDefault="00F72240" w:rsidP="00F72240">
            <w:pPr>
              <w:pStyle w:val="ListParagraph"/>
              <w:numPr>
                <w:ilvl w:val="2"/>
                <w:numId w:val="6"/>
              </w:numPr>
              <w:ind w:left="1132"/>
              <w:contextualSpacing w:val="0"/>
              <w:rPr>
                <w:rFonts w:eastAsia="Times New Roman"/>
                <w:color w:val="auto"/>
              </w:rPr>
            </w:pPr>
            <w:r w:rsidRPr="00922F8B">
              <w:rPr>
                <w:rFonts w:eastAsia="Times New Roman"/>
                <w:color w:val="auto"/>
              </w:rPr>
              <w:t>Policies in the student market were reported separately from other policies and aggregat</w:t>
            </w:r>
            <w:r>
              <w:rPr>
                <w:rFonts w:eastAsia="Times New Roman"/>
                <w:color w:val="auto"/>
              </w:rPr>
              <w:t>ed nationally starting in 2013.</w:t>
            </w:r>
          </w:p>
          <w:p w:rsidR="00F72240" w:rsidRPr="00922F8B" w:rsidRDefault="00F72240" w:rsidP="00F72240">
            <w:pPr>
              <w:pStyle w:val="ListParagraph"/>
              <w:numPr>
                <w:ilvl w:val="2"/>
                <w:numId w:val="6"/>
              </w:numPr>
              <w:ind w:left="1132"/>
              <w:contextualSpacing w:val="0"/>
              <w:rPr>
                <w:rFonts w:eastAsia="Times New Roman"/>
                <w:color w:val="auto"/>
              </w:rPr>
            </w:pPr>
            <w:r>
              <w:rPr>
                <w:rFonts w:eastAsia="Times New Roman"/>
                <w:color w:val="auto"/>
              </w:rPr>
              <w:t>Premium dollars are supported by billing invoice and subsequent payment information.</w:t>
            </w:r>
          </w:p>
          <w:p w:rsidR="005267F6" w:rsidRPr="00922F8B" w:rsidRDefault="005267F6" w:rsidP="00922F8B">
            <w:pPr>
              <w:pStyle w:val="ListParagraph"/>
              <w:numPr>
                <w:ilvl w:val="0"/>
                <w:numId w:val="6"/>
              </w:numPr>
              <w:contextualSpacing w:val="0"/>
            </w:pPr>
            <w:r w:rsidRPr="00922F8B">
              <w:t>Evaluate the methodology</w:t>
            </w:r>
            <w:r w:rsidR="00EC7CD8" w:rsidRPr="00922F8B">
              <w:t>/definition</w:t>
            </w:r>
            <w:r w:rsidRPr="00922F8B">
              <w:t xml:space="preserve"> </w:t>
            </w:r>
            <w:r w:rsidR="00EC7CD8" w:rsidRPr="00922F8B">
              <w:t xml:space="preserve">the issuer used </w:t>
            </w:r>
            <w:r w:rsidRPr="00922F8B">
              <w:t>to determine group size</w:t>
            </w:r>
            <w:r w:rsidR="00EC7CD8" w:rsidRPr="00922F8B">
              <w:t xml:space="preserve"> on both the SHCE and the MLR Form</w:t>
            </w:r>
            <w:r w:rsidRPr="00922F8B">
              <w:t xml:space="preserve"> </w:t>
            </w:r>
            <w:r w:rsidR="00EC7CD8" w:rsidRPr="00922F8B">
              <w:t>and not</w:t>
            </w:r>
            <w:r w:rsidR="005765ED" w:rsidRPr="00922F8B">
              <w:t>e</w:t>
            </w:r>
            <w:r w:rsidR="00EC7CD8" w:rsidRPr="00922F8B">
              <w:t xml:space="preserve"> if they are </w:t>
            </w:r>
            <w:r w:rsidRPr="00922F8B">
              <w:t xml:space="preserve">different. </w:t>
            </w:r>
            <w:r w:rsidR="00EC7CD8" w:rsidRPr="00922F8B">
              <w:t xml:space="preserve">(Federal law uses </w:t>
            </w:r>
            <w:r w:rsidR="00130C99" w:rsidRPr="00922F8B">
              <w:t>“</w:t>
            </w:r>
            <w:r w:rsidR="00130C99" w:rsidRPr="00922F8B">
              <w:rPr>
                <w:szCs w:val="24"/>
              </w:rPr>
              <w:t xml:space="preserve">the </w:t>
            </w:r>
            <w:r w:rsidR="00130C99" w:rsidRPr="00922F8B">
              <w:rPr>
                <w:rFonts w:eastAsia="Times New Roman"/>
                <w:szCs w:val="24"/>
              </w:rPr>
              <w:t>average number of employees on the business days of the calendar year preceding the coverage effective date</w:t>
            </w:r>
            <w:r w:rsidR="00EC7CD8" w:rsidRPr="00922F8B">
              <w:t>)</w:t>
            </w:r>
            <w:r w:rsidRPr="00922F8B">
              <w:t xml:space="preserve"> If the insurer utilizes a different definition</w:t>
            </w:r>
            <w:r w:rsidR="00EC7CD8" w:rsidRPr="00922F8B">
              <w:t xml:space="preserve"> than that in federal law</w:t>
            </w:r>
            <w:r w:rsidRPr="00922F8B">
              <w:t>,</w:t>
            </w:r>
            <w:r w:rsidR="00EC7CD8" w:rsidRPr="00922F8B">
              <w:t xml:space="preserve"> determine </w:t>
            </w:r>
            <w:r w:rsidR="002571D4" w:rsidRPr="00922F8B">
              <w:t>how it impacted determining group size and market classification.</w:t>
            </w:r>
            <w:r w:rsidRPr="00922F8B">
              <w:t xml:space="preserve">    </w:t>
            </w:r>
          </w:p>
          <w:p w:rsidR="00073D7B" w:rsidRPr="00922F8B" w:rsidRDefault="005267F6" w:rsidP="00922F8B">
            <w:pPr>
              <w:pStyle w:val="ListParagraph"/>
              <w:numPr>
                <w:ilvl w:val="0"/>
                <w:numId w:val="6"/>
              </w:numPr>
              <w:contextualSpacing w:val="0"/>
            </w:pPr>
            <w:r w:rsidRPr="00922F8B">
              <w:rPr>
                <w:rFonts w:eastAsia="Times New Roman"/>
                <w:color w:val="auto"/>
              </w:rPr>
              <w:t xml:space="preserve">Verify that </w:t>
            </w:r>
            <w:r w:rsidR="00EC7CD8" w:rsidRPr="00922F8B">
              <w:rPr>
                <w:rFonts w:eastAsia="Times New Roman"/>
                <w:color w:val="auto"/>
              </w:rPr>
              <w:t>p</w:t>
            </w:r>
            <w:r w:rsidR="00073D7B" w:rsidRPr="00922F8B">
              <w:rPr>
                <w:rFonts w:eastAsia="Times New Roman"/>
                <w:color w:val="auto"/>
              </w:rPr>
              <w:t xml:space="preserve">olicies are assigned to the correct market </w:t>
            </w:r>
            <w:r w:rsidR="00EC7CD8" w:rsidRPr="00922F8B">
              <w:rPr>
                <w:rFonts w:eastAsia="Times New Roman"/>
                <w:color w:val="auto"/>
              </w:rPr>
              <w:t xml:space="preserve">classification </w:t>
            </w:r>
            <w:r w:rsidR="00073D7B" w:rsidRPr="00922F8B">
              <w:rPr>
                <w:rFonts w:eastAsia="Times New Roman"/>
                <w:color w:val="auto"/>
              </w:rPr>
              <w:t>(individual, small group, large group). For the group markets, verify that:</w:t>
            </w:r>
          </w:p>
          <w:p w:rsidR="00922F8B" w:rsidRPr="00922F8B" w:rsidRDefault="00073D7B" w:rsidP="00922F8B">
            <w:pPr>
              <w:pStyle w:val="ListParagraph"/>
              <w:numPr>
                <w:ilvl w:val="1"/>
                <w:numId w:val="6"/>
              </w:numPr>
              <w:ind w:left="751"/>
              <w:contextualSpacing w:val="0"/>
            </w:pPr>
            <w:r w:rsidRPr="00922F8B">
              <w:rPr>
                <w:rFonts w:eastAsia="Times New Roman"/>
                <w:color w:val="auto"/>
              </w:rPr>
              <w:t xml:space="preserve">Group size is based on the number of employees and not the number of subscribers (i.e., </w:t>
            </w:r>
            <w:r w:rsidR="00EC7CD8" w:rsidRPr="00922F8B">
              <w:rPr>
                <w:rFonts w:eastAsia="Times New Roman"/>
                <w:color w:val="auto"/>
              </w:rPr>
              <w:t xml:space="preserve">all </w:t>
            </w:r>
            <w:r w:rsidRPr="00922F8B">
              <w:rPr>
                <w:rFonts w:eastAsia="Times New Roman"/>
                <w:color w:val="auto"/>
              </w:rPr>
              <w:t xml:space="preserve">active employees </w:t>
            </w:r>
            <w:r w:rsidR="00EC7CD8" w:rsidRPr="00922F8B">
              <w:rPr>
                <w:rFonts w:eastAsia="Times New Roman"/>
                <w:color w:val="auto"/>
              </w:rPr>
              <w:t xml:space="preserve">counted </w:t>
            </w:r>
            <w:r w:rsidRPr="00922F8B">
              <w:rPr>
                <w:rFonts w:eastAsia="Times New Roman"/>
                <w:color w:val="auto"/>
              </w:rPr>
              <w:t>even if they were not enrolled in the plan)</w:t>
            </w:r>
            <w:r w:rsidR="00D27CC2" w:rsidRPr="00922F8B">
              <w:rPr>
                <w:rStyle w:val="FootnoteReference"/>
                <w:rFonts w:eastAsia="Times New Roman"/>
                <w:color w:val="auto"/>
              </w:rPr>
              <w:footnoteReference w:id="3"/>
            </w:r>
            <w:r w:rsidRPr="00922F8B">
              <w:rPr>
                <w:rFonts w:eastAsia="Times New Roman"/>
                <w:color w:val="auto"/>
              </w:rPr>
              <w:t xml:space="preserve">. </w:t>
            </w:r>
          </w:p>
          <w:p w:rsidR="00073D7B" w:rsidRPr="00922F8B" w:rsidRDefault="00073D7B" w:rsidP="00922F8B">
            <w:pPr>
              <w:pStyle w:val="ListParagraph"/>
              <w:numPr>
                <w:ilvl w:val="1"/>
                <w:numId w:val="6"/>
              </w:numPr>
              <w:ind w:left="751"/>
              <w:contextualSpacing w:val="0"/>
            </w:pPr>
            <w:r w:rsidRPr="00922F8B">
              <w:rPr>
                <w:rFonts w:eastAsia="Times New Roman"/>
                <w:color w:val="auto"/>
              </w:rPr>
              <w:t xml:space="preserve">Employers with ≥ </w:t>
            </w:r>
            <w:r w:rsidR="00922F8B">
              <w:rPr>
                <w:rFonts w:eastAsia="Times New Roman"/>
                <w:color w:val="auto"/>
              </w:rPr>
              <w:t>50</w:t>
            </w:r>
            <w:r w:rsidRPr="00922F8B">
              <w:rPr>
                <w:rFonts w:eastAsia="Times New Roman"/>
                <w:color w:val="auto"/>
              </w:rPr>
              <w:t xml:space="preserve"> employees were assigned to the large group market. (Or other number, if applicable</w:t>
            </w:r>
            <w:proofErr w:type="gramStart"/>
            <w:r w:rsidRPr="00922F8B">
              <w:rPr>
                <w:rFonts w:eastAsia="Times New Roman"/>
                <w:color w:val="auto"/>
              </w:rPr>
              <w:t>.</w:t>
            </w:r>
            <w:r w:rsidRPr="00922F8B">
              <w:rPr>
                <w:rStyle w:val="FootnoteReference"/>
                <w:rFonts w:eastAsia="Times New Roman"/>
                <w:color w:val="auto"/>
              </w:rPr>
              <w:footnoteReference w:id="4"/>
            </w:r>
            <w:r w:rsidR="00922F8B" w:rsidRPr="00922F8B">
              <w:rPr>
                <w:rFonts w:eastAsia="Times New Roman"/>
                <w:color w:val="auto"/>
                <w:vertAlign w:val="superscript"/>
              </w:rPr>
              <w:t>,</w:t>
            </w:r>
            <w:proofErr w:type="gramEnd"/>
            <w:r w:rsidR="00922F8B">
              <w:rPr>
                <w:rStyle w:val="FootnoteReference"/>
                <w:rFonts w:eastAsia="Times New Roman"/>
                <w:color w:val="auto"/>
              </w:rPr>
              <w:footnoteReference w:id="5"/>
            </w:r>
            <w:r w:rsidRPr="00922F8B">
              <w:rPr>
                <w:rFonts w:eastAsia="Times New Roman"/>
                <w:color w:val="auto"/>
              </w:rPr>
              <w:t xml:space="preserve">) </w:t>
            </w:r>
          </w:p>
          <w:p w:rsidR="00922F8B" w:rsidRPr="00922F8B" w:rsidRDefault="00922F8B" w:rsidP="00922F8B">
            <w:pPr>
              <w:pStyle w:val="ListParagraph"/>
              <w:numPr>
                <w:ilvl w:val="0"/>
                <w:numId w:val="6"/>
              </w:numPr>
              <w:contextualSpacing w:val="0"/>
            </w:pPr>
            <w:r w:rsidRPr="00922F8B">
              <w:t>For issuers subject to the commercial Risk Corridors (RC) rule,</w:t>
            </w:r>
            <w:r w:rsidRPr="00922F8B">
              <w:rPr>
                <w:rStyle w:val="FootnoteReference"/>
              </w:rPr>
              <w:footnoteReference w:id="6"/>
            </w:r>
            <w:r w:rsidRPr="00922F8B">
              <w:t xml:space="preserve"> verify that:</w:t>
            </w:r>
          </w:p>
          <w:p w:rsidR="00606AE8" w:rsidRDefault="00606AE8" w:rsidP="00F72240">
            <w:pPr>
              <w:pStyle w:val="ListParagraph"/>
              <w:numPr>
                <w:ilvl w:val="1"/>
                <w:numId w:val="6"/>
              </w:numPr>
              <w:ind w:left="772"/>
              <w:contextualSpacing w:val="0"/>
            </w:pPr>
            <w:r w:rsidRPr="005F7D74">
              <w:t xml:space="preserve">Premium </w:t>
            </w:r>
            <w:r>
              <w:t>amounts reported i</w:t>
            </w:r>
            <w:r w:rsidRPr="005F7D74">
              <w:t xml:space="preserve">n the RC </w:t>
            </w:r>
            <w:r>
              <w:t xml:space="preserve">columns of the MLR Form reconcile to the summary level policy data </w:t>
            </w:r>
            <w:r>
              <w:lastRenderedPageBreak/>
              <w:t>set provided by the issuer.</w:t>
            </w:r>
          </w:p>
          <w:p w:rsidR="00922F8B" w:rsidRPr="00922F8B" w:rsidRDefault="00922F8B" w:rsidP="00F72240">
            <w:pPr>
              <w:pStyle w:val="ListParagraph"/>
              <w:numPr>
                <w:ilvl w:val="1"/>
                <w:numId w:val="6"/>
              </w:numPr>
              <w:ind w:left="772"/>
              <w:contextualSpacing w:val="0"/>
            </w:pPr>
            <w:r w:rsidRPr="00922F8B">
              <w:t>Policies were assigned to the correct classification as either ACA-compliant or not ACA-compliant (for reporting in the RC columns of the MLR Form).</w:t>
            </w:r>
            <w:r w:rsidRPr="00922F8B">
              <w:rPr>
                <w:rStyle w:val="FootnoteReference"/>
              </w:rPr>
              <w:footnoteReference w:id="7"/>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413"/>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3</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§158.120(c)</w:t>
            </w:r>
          </w:p>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accuracy of reporting under the dual contracts option</w:t>
            </w:r>
          </w:p>
        </w:tc>
        <w:tc>
          <w:tcPr>
            <w:tcW w:w="5930" w:type="dxa"/>
            <w:tcBorders>
              <w:top w:val="single" w:sz="8" w:space="0" w:color="4F81BD"/>
              <w:bottom w:val="single" w:sz="8" w:space="0" w:color="4F81BD"/>
            </w:tcBorders>
            <w:shd w:val="clear" w:color="auto" w:fill="auto"/>
          </w:tcPr>
          <w:p w:rsidR="00073D7B" w:rsidRPr="00922F8B" w:rsidRDefault="00073D7B" w:rsidP="003A096D">
            <w:pPr>
              <w:pStyle w:val="ListParagraph"/>
              <w:numPr>
                <w:ilvl w:val="0"/>
                <w:numId w:val="27"/>
              </w:numPr>
              <w:contextualSpacing w:val="0"/>
            </w:pPr>
            <w:r w:rsidRPr="00922F8B">
              <w:rPr>
                <w:rFonts w:eastAsia="Times New Roman"/>
                <w:color w:val="auto"/>
              </w:rPr>
              <w:t>If an issuer opted to report an out-of-network issuer’s experience with the in-network issuer’s experience under the dual contract option, verify that:</w:t>
            </w:r>
          </w:p>
          <w:p w:rsidR="00073D7B" w:rsidRPr="00922F8B" w:rsidRDefault="00073D7B" w:rsidP="003A096D">
            <w:pPr>
              <w:pStyle w:val="ListParagraph"/>
              <w:numPr>
                <w:ilvl w:val="0"/>
                <w:numId w:val="25"/>
              </w:numPr>
              <w:contextualSpacing w:val="0"/>
              <w:rPr>
                <w:rFonts w:eastAsia="Times New Roman"/>
                <w:color w:val="auto"/>
              </w:rPr>
            </w:pPr>
            <w:r w:rsidRPr="00922F8B">
              <w:rPr>
                <w:rFonts w:eastAsia="Times New Roman"/>
                <w:color w:val="auto"/>
              </w:rPr>
              <w:t>The in-network issuer reported all components of the out-of-network experience, including premiums, taxes and fees, claims, quality improving expenses, and non-claims costs.</w:t>
            </w:r>
          </w:p>
          <w:p w:rsidR="00073D7B" w:rsidRPr="00922F8B" w:rsidRDefault="00073D7B" w:rsidP="003A096D">
            <w:pPr>
              <w:pStyle w:val="ListParagraph"/>
              <w:numPr>
                <w:ilvl w:val="0"/>
                <w:numId w:val="25"/>
              </w:numPr>
              <w:contextualSpacing w:val="0"/>
              <w:rPr>
                <w:rFonts w:eastAsia="Times New Roman"/>
                <w:color w:val="auto"/>
              </w:rPr>
            </w:pPr>
            <w:r w:rsidRPr="00922F8B">
              <w:rPr>
                <w:rFonts w:eastAsia="Times New Roman"/>
                <w:color w:val="auto"/>
              </w:rPr>
              <w:t>The option was or will be consistently applied for at least three consecutive reporting years.</w:t>
            </w:r>
          </w:p>
          <w:p w:rsidR="00073D7B" w:rsidRPr="00922F8B" w:rsidRDefault="00073D7B" w:rsidP="003A096D">
            <w:pPr>
              <w:pStyle w:val="ListParagraph"/>
              <w:numPr>
                <w:ilvl w:val="0"/>
                <w:numId w:val="25"/>
              </w:numPr>
              <w:contextualSpacing w:val="0"/>
              <w:rPr>
                <w:rFonts w:eastAsia="Times New Roman"/>
                <w:color w:val="auto"/>
              </w:rPr>
            </w:pPr>
            <w:r w:rsidRPr="00922F8B">
              <w:rPr>
                <w:rFonts w:eastAsia="Times New Roman"/>
                <w:color w:val="auto"/>
              </w:rPr>
              <w:t xml:space="preserve">Corresponding adjustments were made to the MLR Form for the out-of-network issuer. </w:t>
            </w:r>
            <w:r w:rsidRPr="00922F8B">
              <w:rPr>
                <w:rFonts w:eastAsia="Times New Roman"/>
                <w:i/>
                <w:color w:val="auto"/>
              </w:rPr>
              <w:t>This</w:t>
            </w:r>
            <w:r w:rsidRPr="00922F8B">
              <w:rPr>
                <w:i/>
                <w:color w:val="auto"/>
              </w:rPr>
              <w:t xml:space="preserve"> will require obtaining </w:t>
            </w:r>
            <w:r w:rsidRPr="00922F8B">
              <w:rPr>
                <w:rFonts w:eastAsia="Times New Roman"/>
                <w:i/>
                <w:color w:val="auto"/>
              </w:rPr>
              <w:t xml:space="preserve">the out-of-network </w:t>
            </w:r>
            <w:r w:rsidRPr="00922F8B">
              <w:rPr>
                <w:i/>
                <w:color w:val="auto"/>
              </w:rPr>
              <w:t>issuer’s MLR Form</w:t>
            </w:r>
            <w:r w:rsidRPr="00922F8B">
              <w:rPr>
                <w:rFonts w:eastAsia="Times New Roman"/>
                <w:i/>
                <w:color w:val="auto"/>
              </w:rPr>
              <w:t>.</w:t>
            </w:r>
          </w:p>
          <w:p w:rsidR="00073D7B" w:rsidRPr="00922F8B" w:rsidRDefault="00073D7B" w:rsidP="003A096D">
            <w:pPr>
              <w:rPr>
                <w:rFonts w:eastAsia="Times New Roman"/>
                <w:color w:val="auto"/>
              </w:rPr>
            </w:pPr>
            <w:r w:rsidRPr="00922F8B">
              <w:rPr>
                <w:rFonts w:eastAsia="Times New Roman"/>
                <w:i/>
                <w:color w:val="auto"/>
              </w:rPr>
              <w:t>[Dual Contracts=Pt 1 Dual Contract column]</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431"/>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4</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§158.121</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w:t>
            </w:r>
            <w:r w:rsidRPr="00922F8B">
              <w:rPr>
                <w:rFonts w:eastAsia="Times New Roman"/>
                <w:color w:val="auto"/>
              </w:rPr>
              <w:br/>
              <w:t>reporting for new business</w:t>
            </w:r>
          </w:p>
        </w:tc>
        <w:tc>
          <w:tcPr>
            <w:tcW w:w="5930" w:type="dxa"/>
            <w:shd w:val="clear" w:color="auto" w:fill="auto"/>
            <w:hideMark/>
          </w:tcPr>
          <w:p w:rsidR="00073D7B" w:rsidRPr="00922F8B" w:rsidRDefault="00073D7B" w:rsidP="003A096D">
            <w:pPr>
              <w:pStyle w:val="ListParagraph"/>
              <w:numPr>
                <w:ilvl w:val="0"/>
                <w:numId w:val="33"/>
              </w:numPr>
              <w:contextualSpacing w:val="0"/>
              <w:rPr>
                <w:rFonts w:eastAsia="Times New Roman"/>
                <w:color w:val="auto"/>
              </w:rPr>
            </w:pPr>
            <w:r w:rsidRPr="00922F8B">
              <w:rPr>
                <w:rFonts w:eastAsia="Times New Roman"/>
                <w:color w:val="auto"/>
              </w:rPr>
              <w:t>If an issuer opted to exclude new business from their MLR calculation,</w:t>
            </w:r>
            <w:r w:rsidR="00474C30">
              <w:rPr>
                <w:rStyle w:val="FootnoteReference"/>
                <w:rFonts w:eastAsia="Times New Roman"/>
                <w:color w:val="auto"/>
              </w:rPr>
              <w:footnoteReference w:id="8"/>
            </w:r>
            <w:r w:rsidRPr="00922F8B">
              <w:rPr>
                <w:rFonts w:eastAsia="Times New Roman"/>
                <w:color w:val="auto"/>
              </w:rPr>
              <w:t xml:space="preserve"> verify that:</w:t>
            </w:r>
          </w:p>
          <w:p w:rsidR="00073D7B" w:rsidRPr="00922F8B" w:rsidRDefault="00073D7B" w:rsidP="003A096D">
            <w:pPr>
              <w:pStyle w:val="ListParagraph"/>
              <w:numPr>
                <w:ilvl w:val="0"/>
                <w:numId w:val="34"/>
              </w:numPr>
              <w:contextualSpacing w:val="0"/>
              <w:rPr>
                <w:rFonts w:eastAsia="Times New Roman"/>
                <w:color w:val="auto"/>
              </w:rPr>
            </w:pPr>
            <w:r w:rsidRPr="00922F8B">
              <w:rPr>
                <w:rFonts w:eastAsia="Times New Roman"/>
                <w:color w:val="auto"/>
              </w:rPr>
              <w:t xml:space="preserve">50% or more of the total earned premiums for the MLR reporting year is attributable to policies newly issued and with 12 </w:t>
            </w:r>
            <w:r w:rsidR="00474C30">
              <w:rPr>
                <w:rFonts w:eastAsia="Times New Roman"/>
                <w:color w:val="auto"/>
              </w:rPr>
              <w:t xml:space="preserve">or fewer </w:t>
            </w:r>
            <w:r w:rsidRPr="00922F8B">
              <w:rPr>
                <w:rFonts w:eastAsia="Times New Roman"/>
                <w:color w:val="auto"/>
              </w:rPr>
              <w:t>months of experience in that MLR reporting year.</w:t>
            </w:r>
          </w:p>
          <w:p w:rsidR="00073D7B" w:rsidRPr="00922F8B" w:rsidRDefault="00073D7B" w:rsidP="003A096D">
            <w:pPr>
              <w:pStyle w:val="ListParagraph"/>
              <w:numPr>
                <w:ilvl w:val="0"/>
                <w:numId w:val="34"/>
              </w:numPr>
              <w:contextualSpacing w:val="0"/>
              <w:rPr>
                <w:rFonts w:eastAsia="Times New Roman"/>
                <w:color w:val="auto"/>
              </w:rPr>
            </w:pPr>
            <w:r w:rsidRPr="00922F8B">
              <w:rPr>
                <w:rFonts w:eastAsia="Times New Roman"/>
                <w:color w:val="auto"/>
              </w:rPr>
              <w:t>The issuer excluded all components of the new business, including premiums, taxes and fees, claims, quality improvement expenses, and non-claims costs.</w:t>
            </w:r>
          </w:p>
          <w:p w:rsidR="00073D7B" w:rsidRPr="00922F8B" w:rsidRDefault="00073D7B" w:rsidP="003A096D">
            <w:pPr>
              <w:pStyle w:val="ListParagraph"/>
              <w:ind w:left="0"/>
              <w:contextualSpacing w:val="0"/>
              <w:rPr>
                <w:rFonts w:eastAsia="Times New Roman"/>
                <w:color w:val="auto"/>
              </w:rPr>
            </w:pPr>
            <w:r w:rsidRPr="00922F8B" w:rsidDel="00CE6A97">
              <w:rPr>
                <w:rFonts w:eastAsia="Times New Roman"/>
                <w:color w:val="auto"/>
              </w:rPr>
              <w:t xml:space="preserve"> </w:t>
            </w:r>
            <w:r w:rsidRPr="00922F8B">
              <w:rPr>
                <w:rFonts w:eastAsia="Times New Roman"/>
                <w:i/>
                <w:color w:val="auto"/>
              </w:rPr>
              <w:t>[Deferred Business CY=Pt 1 Deferred CY (subtract) column]</w:t>
            </w:r>
          </w:p>
          <w:p w:rsidR="00073D7B" w:rsidRPr="00922F8B" w:rsidRDefault="00073D7B" w:rsidP="003A096D">
            <w:pPr>
              <w:pStyle w:val="ListParagraph"/>
              <w:numPr>
                <w:ilvl w:val="0"/>
                <w:numId w:val="33"/>
              </w:numPr>
              <w:contextualSpacing w:val="0"/>
              <w:rPr>
                <w:rFonts w:eastAsia="Times New Roman"/>
                <w:color w:val="auto"/>
              </w:rPr>
            </w:pPr>
            <w:r w:rsidRPr="00922F8B">
              <w:rPr>
                <w:rFonts w:eastAsia="Times New Roman"/>
                <w:color w:val="auto"/>
              </w:rPr>
              <w:lastRenderedPageBreak/>
              <w:t xml:space="preserve">Obtain the issuer’s prior year MLR Form. If newly written business was excluded in the prior year, verify that: </w:t>
            </w:r>
          </w:p>
          <w:p w:rsidR="00073D7B" w:rsidRPr="00922F8B" w:rsidRDefault="00073D7B" w:rsidP="003A096D">
            <w:pPr>
              <w:pStyle w:val="ListParagraph"/>
              <w:numPr>
                <w:ilvl w:val="0"/>
                <w:numId w:val="35"/>
              </w:numPr>
              <w:contextualSpacing w:val="0"/>
              <w:rPr>
                <w:rFonts w:eastAsia="Times New Roman"/>
                <w:color w:val="auto"/>
              </w:rPr>
            </w:pPr>
            <w:r w:rsidRPr="00922F8B">
              <w:rPr>
                <w:rFonts w:eastAsia="Times New Roman"/>
                <w:color w:val="auto"/>
              </w:rPr>
              <w:t>The prior year’s deferred business was added back to the subsequent year’s MLR Form in the same state and market.</w:t>
            </w:r>
          </w:p>
          <w:p w:rsidR="00073D7B" w:rsidRPr="00922F8B" w:rsidRDefault="00073D7B" w:rsidP="003A096D">
            <w:pPr>
              <w:pStyle w:val="ListParagraph"/>
              <w:numPr>
                <w:ilvl w:val="0"/>
                <w:numId w:val="35"/>
              </w:numPr>
              <w:contextualSpacing w:val="0"/>
              <w:rPr>
                <w:rFonts w:eastAsia="Times New Roman"/>
                <w:color w:val="auto"/>
              </w:rPr>
            </w:pPr>
            <w:r w:rsidRPr="00922F8B">
              <w:rPr>
                <w:rFonts w:eastAsia="Times New Roman"/>
                <w:color w:val="auto"/>
              </w:rPr>
              <w:t>The criteria for deferral were met in the prior year.</w:t>
            </w:r>
          </w:p>
          <w:p w:rsidR="00073D7B" w:rsidRPr="00922F8B" w:rsidRDefault="00073D7B" w:rsidP="003A096D">
            <w:pPr>
              <w:pStyle w:val="ListParagraph"/>
              <w:ind w:left="0"/>
              <w:contextualSpacing w:val="0"/>
              <w:rPr>
                <w:rFonts w:eastAsia="Times New Roman"/>
                <w:color w:val="auto"/>
              </w:rPr>
            </w:pPr>
            <w:r w:rsidRPr="00922F8B">
              <w:rPr>
                <w:rFonts w:eastAsia="Times New Roman"/>
                <w:i/>
                <w:color w:val="auto"/>
              </w:rPr>
              <w:t>[Deferred Business PY=Pt 1 Deferred PY1 (Add) column]</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13"/>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5</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§158.130</w:t>
            </w:r>
            <w:r w:rsidRPr="00922F8B">
              <w:rPr>
                <w:rFonts w:eastAsia="Times New Roman"/>
                <w:color w:val="auto"/>
              </w:rPr>
              <w:br/>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accuracy of reporting of earned premiums</w:t>
            </w:r>
          </w:p>
        </w:tc>
        <w:tc>
          <w:tcPr>
            <w:tcW w:w="5930" w:type="dxa"/>
            <w:tcBorders>
              <w:top w:val="single" w:sz="8" w:space="0" w:color="4F81BD"/>
              <w:bottom w:val="single" w:sz="8" w:space="0" w:color="4F81BD"/>
            </w:tcBorders>
            <w:shd w:val="clear" w:color="auto" w:fill="auto"/>
          </w:tcPr>
          <w:p w:rsidR="002E5FD1" w:rsidRDefault="00F65B51" w:rsidP="003A096D">
            <w:pPr>
              <w:rPr>
                <w:rFonts w:eastAsia="Times New Roman"/>
                <w:color w:val="auto"/>
              </w:rPr>
            </w:pPr>
            <w:r w:rsidRPr="00F65B51">
              <w:rPr>
                <w:rFonts w:eastAsia="Times New Roman"/>
                <w:color w:val="auto"/>
              </w:rPr>
              <w:t xml:space="preserve">See Procedure </w:t>
            </w:r>
            <w:r>
              <w:rPr>
                <w:rFonts w:eastAsia="Times New Roman"/>
                <w:color w:val="auto"/>
              </w:rPr>
              <w:t>#</w:t>
            </w:r>
            <w:r w:rsidRPr="00F65B51">
              <w:rPr>
                <w:rFonts w:eastAsia="Times New Roman"/>
                <w:color w:val="auto"/>
              </w:rPr>
              <w:t>2 for detailed documentation of the premium testing performed at the policyholder level.</w:t>
            </w:r>
          </w:p>
          <w:p w:rsidR="00073D7B" w:rsidRPr="00243D57" w:rsidRDefault="00073D7B" w:rsidP="00243D57">
            <w:pPr>
              <w:pStyle w:val="ListParagraph"/>
              <w:numPr>
                <w:ilvl w:val="0"/>
                <w:numId w:val="42"/>
              </w:numPr>
              <w:contextualSpacing w:val="0"/>
              <w:rPr>
                <w:rFonts w:eastAsia="Times New Roman"/>
                <w:color w:val="auto"/>
              </w:rPr>
            </w:pPr>
            <w:r w:rsidRPr="00243D57">
              <w:rPr>
                <w:rFonts w:eastAsia="Times New Roman"/>
                <w:color w:val="auto"/>
              </w:rPr>
              <w:t>Verify that:</w:t>
            </w:r>
          </w:p>
          <w:p w:rsidR="002B6D95" w:rsidRPr="00922F8B" w:rsidRDefault="009A7106" w:rsidP="00BF5A46">
            <w:pPr>
              <w:pStyle w:val="ListParagraph"/>
              <w:numPr>
                <w:ilvl w:val="1"/>
                <w:numId w:val="32"/>
              </w:numPr>
              <w:ind w:left="772"/>
              <w:contextualSpacing w:val="0"/>
            </w:pPr>
            <w:r w:rsidRPr="00922F8B">
              <w:t>A</w:t>
            </w:r>
            <w:r w:rsidR="00130C99" w:rsidRPr="00922F8B">
              <w:t xml:space="preserve">ll </w:t>
            </w:r>
            <w:r w:rsidR="002B6D95" w:rsidRPr="00922F8B">
              <w:t xml:space="preserve">non-premium revenue, </w:t>
            </w:r>
            <w:r w:rsidR="00130C99" w:rsidRPr="00922F8B">
              <w:t xml:space="preserve">such as </w:t>
            </w:r>
            <w:r w:rsidR="002B6D95" w:rsidRPr="00922F8B">
              <w:t xml:space="preserve"> agent and broker </w:t>
            </w:r>
            <w:r w:rsidR="00130C99" w:rsidRPr="00922F8B">
              <w:t xml:space="preserve">fees and </w:t>
            </w:r>
            <w:r w:rsidR="002B6D95" w:rsidRPr="00922F8B">
              <w:t>commissions</w:t>
            </w:r>
            <w:r w:rsidR="00130C99" w:rsidRPr="00922F8B">
              <w:t>, have been included in premium and reported as a non-claims cost</w:t>
            </w:r>
            <w:r w:rsidR="002B6D95" w:rsidRPr="00922F8B">
              <w:t xml:space="preserve">. Determine whether any adjustments to premium revenue have been made as a result of this treatment and whether or not there is any resulting impact on the MLR calculation. </w:t>
            </w:r>
            <w:r w:rsidR="00846FFF" w:rsidRPr="00922F8B">
              <w:t>If agent/broker fees/commissions have not been reported, confirm use of and payment to the agent/broker were not a condition of purchasing the policy.</w:t>
            </w:r>
            <w:r w:rsidR="00D27CC2" w:rsidRPr="00922F8B">
              <w:rPr>
                <w:rStyle w:val="FootnoteReference"/>
              </w:rPr>
              <w:footnoteReference w:id="9"/>
            </w:r>
            <w:r w:rsidR="002B6D95" w:rsidRPr="00922F8B">
              <w:t xml:space="preserve">  </w:t>
            </w:r>
          </w:p>
          <w:p w:rsidR="00073D7B" w:rsidRPr="00BF5A46" w:rsidRDefault="00073D7B" w:rsidP="00BF5A46">
            <w:pPr>
              <w:pStyle w:val="ListParagraph"/>
              <w:numPr>
                <w:ilvl w:val="1"/>
                <w:numId w:val="32"/>
              </w:numPr>
              <w:ind w:left="772"/>
              <w:contextualSpacing w:val="0"/>
            </w:pPr>
            <w:r w:rsidRPr="00BF5A46">
              <w:rPr>
                <w:rFonts w:eastAsia="Times New Roman"/>
                <w:color w:val="auto"/>
              </w:rPr>
              <w:t xml:space="preserve">Earned premiums were reported on a direct basis. </w:t>
            </w:r>
          </w:p>
          <w:p w:rsidR="00073D7B" w:rsidRPr="00BF5A46" w:rsidRDefault="00073D7B" w:rsidP="00BF5A46">
            <w:pPr>
              <w:pStyle w:val="ListParagraph"/>
              <w:numPr>
                <w:ilvl w:val="1"/>
                <w:numId w:val="32"/>
              </w:numPr>
              <w:ind w:left="772"/>
              <w:contextualSpacing w:val="0"/>
            </w:pPr>
            <w:r w:rsidRPr="00BF5A46">
              <w:t>Earned premiums were adjusted to account for high risk pool assessments or subsidies, group conversion charges, and unearned premium.</w:t>
            </w:r>
          </w:p>
          <w:p w:rsidR="00073D7B" w:rsidRPr="00BF5A46" w:rsidRDefault="00073D7B" w:rsidP="00BF5A46">
            <w:pPr>
              <w:pStyle w:val="ListParagraph"/>
              <w:numPr>
                <w:ilvl w:val="1"/>
                <w:numId w:val="32"/>
              </w:numPr>
              <w:ind w:left="772"/>
              <w:contextualSpacing w:val="0"/>
            </w:pPr>
            <w:r w:rsidRPr="00BF5A46">
              <w:t>Experience rating refunds are reflected in claims rather than premiums.</w:t>
            </w:r>
          </w:p>
          <w:p w:rsidR="003A096D" w:rsidRPr="00BF5A46" w:rsidRDefault="003A096D" w:rsidP="00BF5A46">
            <w:pPr>
              <w:pStyle w:val="ListParagraph"/>
              <w:numPr>
                <w:ilvl w:val="1"/>
                <w:numId w:val="32"/>
              </w:numPr>
              <w:ind w:left="772"/>
              <w:contextualSpacing w:val="0"/>
            </w:pPr>
            <w:r w:rsidRPr="00BF5A46">
              <w:t>Written and unearned premium in the MLR and, if applicable, RC columns includes advance payments of the premium tax credit (APTC).</w:t>
            </w:r>
          </w:p>
          <w:p w:rsidR="003A096D" w:rsidRPr="00BF5A46" w:rsidRDefault="003A096D" w:rsidP="00BF5A46">
            <w:pPr>
              <w:pStyle w:val="ListParagraph"/>
              <w:numPr>
                <w:ilvl w:val="1"/>
                <w:numId w:val="32"/>
              </w:numPr>
              <w:ind w:left="772"/>
              <w:contextualSpacing w:val="0"/>
            </w:pPr>
            <w:r w:rsidRPr="00BF5A46">
              <w:t xml:space="preserve">Written and unearned premium in the MLR and, if applicable, RC columns does not reflect the impact of </w:t>
            </w:r>
            <w:r w:rsidRPr="00BF5A46">
              <w:lastRenderedPageBreak/>
              <w:t>the Federal Transitional Reinsurance, Risk Corridors, or Risk Adjustment (premium stabilization programs)</w:t>
            </w:r>
          </w:p>
          <w:p w:rsidR="003A096D" w:rsidRPr="00BF5A46" w:rsidRDefault="003A096D" w:rsidP="00BF5A46">
            <w:pPr>
              <w:pStyle w:val="ListParagraph"/>
              <w:numPr>
                <w:ilvl w:val="1"/>
                <w:numId w:val="32"/>
              </w:numPr>
              <w:ind w:left="772"/>
              <w:contextualSpacing w:val="0"/>
            </w:pPr>
            <w:r w:rsidRPr="00BF5A46">
              <w:t>Earned premium on Pt 1 L</w:t>
            </w:r>
            <w:r w:rsidR="00BF5A46">
              <w:t>n</w:t>
            </w:r>
            <w:r w:rsidRPr="00BF5A46">
              <w:t xml:space="preserve"> 1.1 and Pt 3 L</w:t>
            </w:r>
            <w:r w:rsidR="00BF5A46">
              <w:t>n</w:t>
            </w:r>
            <w:r w:rsidRPr="00BF5A46">
              <w:t xml:space="preserve"> 2.1 is calculated correctly according to the formulas in the MLR Form Instructions for the applicable year (for both MLR and, if applicable, RC columns).</w:t>
            </w:r>
          </w:p>
          <w:p w:rsidR="00BF5A46" w:rsidRDefault="00BF5A46" w:rsidP="00BF5A46">
            <w:pPr>
              <w:pStyle w:val="ListParagraph"/>
              <w:numPr>
                <w:ilvl w:val="0"/>
                <w:numId w:val="32"/>
              </w:numPr>
              <w:contextualSpacing w:val="0"/>
            </w:pPr>
            <w:r w:rsidRPr="00BF5A46">
              <w:t>Obtain the MLR Forms for the previous two years and verify that the following amounts are accurate:</w:t>
            </w:r>
          </w:p>
          <w:p w:rsidR="005227F2" w:rsidRPr="00035BB4" w:rsidRDefault="00BF5A46" w:rsidP="00035BB4">
            <w:pPr>
              <w:pStyle w:val="ListParagraph"/>
              <w:numPr>
                <w:ilvl w:val="1"/>
                <w:numId w:val="32"/>
              </w:numPr>
              <w:ind w:left="772"/>
              <w:contextualSpacing w:val="0"/>
              <w:rPr>
                <w:i/>
              </w:rPr>
            </w:pPr>
            <w:r>
              <w:t>Pt 3</w:t>
            </w:r>
            <w:r w:rsidRPr="00BF5A46">
              <w:t xml:space="preserve"> Ln 2.1</w:t>
            </w:r>
            <w:r>
              <w:t>,</w:t>
            </w:r>
            <w:r w:rsidRPr="00BF5A46">
              <w:t xml:space="preserve"> Col</w:t>
            </w:r>
            <w:r>
              <w:t xml:space="preserve"> PY2</w:t>
            </w:r>
            <w:r w:rsidRPr="00BF5A46">
              <w:t xml:space="preserve"> </w:t>
            </w:r>
            <w:r w:rsidR="00035BB4" w:rsidRPr="00035BB4">
              <w:rPr>
                <w:i/>
              </w:rPr>
              <w:t>[MLR Form from two years prior</w:t>
            </w:r>
            <w:r w:rsidR="00B71B45">
              <w:rPr>
                <w:i/>
              </w:rPr>
              <w:t>:</w:t>
            </w:r>
          </w:p>
          <w:p w:rsidR="005227F2" w:rsidRDefault="005227F2" w:rsidP="00035BB4">
            <w:pPr>
              <w:pStyle w:val="ListParagraph"/>
              <w:ind w:left="772"/>
              <w:contextualSpacing w:val="0"/>
              <w:rPr>
                <w:i/>
              </w:rPr>
            </w:pPr>
            <w:r>
              <w:rPr>
                <w:i/>
              </w:rPr>
              <w:t xml:space="preserve">2013 </w:t>
            </w:r>
            <w:r w:rsidR="00551C0C">
              <w:rPr>
                <w:i/>
              </w:rPr>
              <w:t xml:space="preserve">MLR </w:t>
            </w:r>
            <w:r>
              <w:rPr>
                <w:i/>
              </w:rPr>
              <w:t>Form</w:t>
            </w:r>
            <w:r w:rsidRPr="00035BB4">
              <w:rPr>
                <w:i/>
              </w:rPr>
              <w:t xml:space="preserve">: </w:t>
            </w:r>
            <w:r w:rsidRPr="00AB7924">
              <w:rPr>
                <w:i/>
              </w:rPr>
              <w:t>(</w:t>
            </w:r>
            <w:proofErr w:type="spellStart"/>
            <w:r w:rsidRPr="00AB7924">
              <w:rPr>
                <w:i/>
              </w:rPr>
              <w:t>Pt</w:t>
            </w:r>
            <w:proofErr w:type="spellEnd"/>
            <w:r w:rsidRPr="00AB7924">
              <w:rPr>
                <w:i/>
              </w:rPr>
              <w:t xml:space="preserve"> 1</w:t>
            </w:r>
            <w:r>
              <w:rPr>
                <w:i/>
              </w:rPr>
              <w:t>,</w:t>
            </w:r>
            <w:r w:rsidRPr="00AB7924">
              <w:rPr>
                <w:i/>
              </w:rPr>
              <w:t xml:space="preserve"> </w:t>
            </w:r>
            <w:proofErr w:type="spellStart"/>
            <w:r w:rsidRPr="00AB7924">
              <w:rPr>
                <w:i/>
              </w:rPr>
              <w:t>Ln</w:t>
            </w:r>
            <w:r>
              <w:rPr>
                <w:i/>
              </w:rPr>
              <w:t>s</w:t>
            </w:r>
            <w:proofErr w:type="spellEnd"/>
            <w:r w:rsidRPr="00AB7924">
              <w:rPr>
                <w:i/>
              </w:rPr>
              <w:t xml:space="preserve"> 1.1</w:t>
            </w:r>
            <w:r>
              <w:rPr>
                <w:i/>
              </w:rPr>
              <w:t xml:space="preserve"> + 1.2 + 1.3</w:t>
            </w:r>
            <w:r w:rsidRPr="00AB7924">
              <w:rPr>
                <w:i/>
              </w:rPr>
              <w:t>, Cols 3/31/YY + Deferred PY1 – Deferred CY)</w:t>
            </w:r>
            <w:r>
              <w:rPr>
                <w:i/>
              </w:rPr>
              <w:t xml:space="preserve"> </w:t>
            </w:r>
            <w:r w:rsidRPr="00AB7924">
              <w:rPr>
                <w:i/>
              </w:rPr>
              <w:t>–</w:t>
            </w:r>
            <w:r>
              <w:rPr>
                <w:i/>
              </w:rPr>
              <w:t xml:space="preserve"> (Pt 4 Ln 6.1a, Col CY); </w:t>
            </w:r>
          </w:p>
          <w:p w:rsidR="005227F2" w:rsidRDefault="005227F2" w:rsidP="00035BB4">
            <w:pPr>
              <w:pStyle w:val="ListParagraph"/>
              <w:ind w:left="772"/>
              <w:contextualSpacing w:val="0"/>
              <w:rPr>
                <w:i/>
              </w:rPr>
            </w:pPr>
            <w:r>
              <w:rPr>
                <w:i/>
              </w:rPr>
              <w:t xml:space="preserve">2014 </w:t>
            </w:r>
            <w:r w:rsidR="00551C0C">
              <w:rPr>
                <w:i/>
              </w:rPr>
              <w:t xml:space="preserve">MLR </w:t>
            </w:r>
            <w:r>
              <w:rPr>
                <w:i/>
              </w:rPr>
              <w:t>Form:</w:t>
            </w:r>
            <w:r w:rsidRPr="00035BB4">
              <w:rPr>
                <w:i/>
              </w:rPr>
              <w:t xml:space="preserve"> (</w:t>
            </w:r>
            <w:proofErr w:type="spellStart"/>
            <w:r w:rsidR="00BF5A46" w:rsidRPr="00035BB4">
              <w:rPr>
                <w:i/>
              </w:rPr>
              <w:t>Pt</w:t>
            </w:r>
            <w:proofErr w:type="spellEnd"/>
            <w:r w:rsidR="00BF5A46" w:rsidRPr="00035BB4">
              <w:rPr>
                <w:i/>
              </w:rPr>
              <w:t xml:space="preserve"> 1</w:t>
            </w:r>
            <w:r>
              <w:rPr>
                <w:i/>
              </w:rPr>
              <w:t>,</w:t>
            </w:r>
            <w:r w:rsidR="00BF5A46" w:rsidRPr="00035BB4">
              <w:rPr>
                <w:i/>
              </w:rPr>
              <w:t xml:space="preserve"> </w:t>
            </w:r>
            <w:proofErr w:type="spellStart"/>
            <w:r w:rsidR="00BF5A46" w:rsidRPr="00035BB4">
              <w:rPr>
                <w:i/>
              </w:rPr>
              <w:t>Ln</w:t>
            </w:r>
            <w:r>
              <w:rPr>
                <w:i/>
              </w:rPr>
              <w:t>s</w:t>
            </w:r>
            <w:proofErr w:type="spellEnd"/>
            <w:r w:rsidR="00BF5A46" w:rsidRPr="00035BB4">
              <w:rPr>
                <w:i/>
              </w:rPr>
              <w:t xml:space="preserve"> 1.1</w:t>
            </w:r>
            <w:r>
              <w:rPr>
                <w:i/>
              </w:rPr>
              <w:t xml:space="preserve"> + 1.2 + 1.3</w:t>
            </w:r>
            <w:r w:rsidR="00BF5A46" w:rsidRPr="00035BB4">
              <w:rPr>
                <w:i/>
              </w:rPr>
              <w:t xml:space="preserve">, Cols 3/31/YY + Deferred PY1 – Deferred CY) </w:t>
            </w:r>
            <w:r w:rsidRPr="00AB7924">
              <w:rPr>
                <w:i/>
              </w:rPr>
              <w:t>–</w:t>
            </w:r>
            <w:r w:rsidR="00BF5A46" w:rsidRPr="00035BB4">
              <w:rPr>
                <w:i/>
              </w:rPr>
              <w:t xml:space="preserve"> (</w:t>
            </w:r>
            <w:proofErr w:type="spellStart"/>
            <w:r w:rsidR="00BF5A46" w:rsidRPr="00035BB4">
              <w:rPr>
                <w:i/>
              </w:rPr>
              <w:t>Pt</w:t>
            </w:r>
            <w:proofErr w:type="spellEnd"/>
            <w:r w:rsidR="00BF5A46" w:rsidRPr="00035BB4">
              <w:rPr>
                <w:i/>
              </w:rPr>
              <w:t xml:space="preserve"> </w:t>
            </w:r>
            <w:r>
              <w:rPr>
                <w:i/>
              </w:rPr>
              <w:t>3,</w:t>
            </w:r>
            <w:r w:rsidR="00BF5A46" w:rsidRPr="00035BB4">
              <w:rPr>
                <w:i/>
              </w:rPr>
              <w:t xml:space="preserve"> </w:t>
            </w:r>
            <w:proofErr w:type="spellStart"/>
            <w:r w:rsidR="00BF5A46" w:rsidRPr="00035BB4">
              <w:rPr>
                <w:i/>
              </w:rPr>
              <w:t>Ln</w:t>
            </w:r>
            <w:r>
              <w:rPr>
                <w:i/>
              </w:rPr>
              <w:t>s</w:t>
            </w:r>
            <w:proofErr w:type="spellEnd"/>
            <w:r w:rsidR="00BF5A46" w:rsidRPr="00035BB4">
              <w:rPr>
                <w:i/>
              </w:rPr>
              <w:t xml:space="preserve"> </w:t>
            </w:r>
            <w:r>
              <w:rPr>
                <w:i/>
              </w:rPr>
              <w:t>1.5 + 1.6 + 1.7</w:t>
            </w:r>
            <w:r w:rsidR="00BF5A46" w:rsidRPr="00035BB4">
              <w:rPr>
                <w:i/>
              </w:rPr>
              <w:t>, Col CY)</w:t>
            </w:r>
            <w:r>
              <w:rPr>
                <w:i/>
              </w:rPr>
              <w:t xml:space="preserve"> + (Pt 3 Ln 7.1a, Col PY1);</w:t>
            </w:r>
          </w:p>
          <w:p w:rsidR="00BF5A46" w:rsidRDefault="005227F2" w:rsidP="00035BB4">
            <w:pPr>
              <w:pStyle w:val="ListParagraph"/>
              <w:ind w:left="772"/>
              <w:contextualSpacing w:val="0"/>
            </w:pPr>
            <w:r>
              <w:rPr>
                <w:i/>
              </w:rPr>
              <w:t xml:space="preserve">2015-2016 </w:t>
            </w:r>
            <w:r w:rsidR="00551C0C">
              <w:rPr>
                <w:i/>
              </w:rPr>
              <w:t xml:space="preserve">MLR </w:t>
            </w:r>
            <w:r>
              <w:rPr>
                <w:i/>
              </w:rPr>
              <w:t>Forms:</w:t>
            </w:r>
            <w:r w:rsidRPr="00AB7924">
              <w:rPr>
                <w:i/>
              </w:rPr>
              <w:t xml:space="preserve"> (</w:t>
            </w:r>
            <w:proofErr w:type="spellStart"/>
            <w:r w:rsidRPr="00AB7924">
              <w:rPr>
                <w:i/>
              </w:rPr>
              <w:t>Pt</w:t>
            </w:r>
            <w:proofErr w:type="spellEnd"/>
            <w:r w:rsidRPr="00AB7924">
              <w:rPr>
                <w:i/>
              </w:rPr>
              <w:t xml:space="preserve"> 1</w:t>
            </w:r>
            <w:r>
              <w:rPr>
                <w:i/>
              </w:rPr>
              <w:t>,</w:t>
            </w:r>
            <w:r w:rsidRPr="00AB7924">
              <w:rPr>
                <w:i/>
              </w:rPr>
              <w:t xml:space="preserve"> </w:t>
            </w:r>
            <w:proofErr w:type="spellStart"/>
            <w:r w:rsidRPr="00AB7924">
              <w:rPr>
                <w:i/>
              </w:rPr>
              <w:t>Ln</w:t>
            </w:r>
            <w:r>
              <w:rPr>
                <w:i/>
              </w:rPr>
              <w:t>s</w:t>
            </w:r>
            <w:proofErr w:type="spellEnd"/>
            <w:r w:rsidRPr="00AB7924">
              <w:rPr>
                <w:i/>
              </w:rPr>
              <w:t xml:space="preserve"> 1.1</w:t>
            </w:r>
            <w:r>
              <w:rPr>
                <w:i/>
              </w:rPr>
              <w:t xml:space="preserve"> + 1.2 + 1.3</w:t>
            </w:r>
            <w:r w:rsidRPr="00AB7924">
              <w:rPr>
                <w:i/>
              </w:rPr>
              <w:t>, Cols 3/31/YY + Deferred PY1 – Deferred CY) – (</w:t>
            </w:r>
            <w:proofErr w:type="spellStart"/>
            <w:r w:rsidRPr="00AB7924">
              <w:rPr>
                <w:i/>
              </w:rPr>
              <w:t>Pt</w:t>
            </w:r>
            <w:proofErr w:type="spellEnd"/>
            <w:r w:rsidRPr="00AB7924">
              <w:rPr>
                <w:i/>
              </w:rPr>
              <w:t xml:space="preserve"> </w:t>
            </w:r>
            <w:r>
              <w:rPr>
                <w:i/>
              </w:rPr>
              <w:t>3,</w:t>
            </w:r>
            <w:r w:rsidRPr="00AB7924">
              <w:rPr>
                <w:i/>
              </w:rPr>
              <w:t xml:space="preserve"> </w:t>
            </w:r>
            <w:proofErr w:type="spellStart"/>
            <w:r w:rsidRPr="00AB7924">
              <w:rPr>
                <w:i/>
              </w:rPr>
              <w:t>Ln</w:t>
            </w:r>
            <w:r>
              <w:rPr>
                <w:i/>
              </w:rPr>
              <w:t>s</w:t>
            </w:r>
            <w:proofErr w:type="spellEnd"/>
            <w:r w:rsidRPr="00AB7924">
              <w:rPr>
                <w:i/>
              </w:rPr>
              <w:t xml:space="preserve"> </w:t>
            </w:r>
            <w:r>
              <w:rPr>
                <w:i/>
              </w:rPr>
              <w:t>1.5 + 1.6 + 1.7</w:t>
            </w:r>
            <w:r w:rsidRPr="00AB7924">
              <w:rPr>
                <w:i/>
              </w:rPr>
              <w:t>, Col CY)]</w:t>
            </w:r>
          </w:p>
          <w:p w:rsidR="005227F2" w:rsidRPr="00551C0C" w:rsidRDefault="00A308C7" w:rsidP="00551C0C">
            <w:pPr>
              <w:pStyle w:val="ListParagraph"/>
              <w:numPr>
                <w:ilvl w:val="1"/>
                <w:numId w:val="32"/>
              </w:numPr>
              <w:ind w:left="772"/>
              <w:contextualSpacing w:val="0"/>
              <w:rPr>
                <w:i/>
              </w:rPr>
            </w:pPr>
            <w:r>
              <w:t>Pt 3</w:t>
            </w:r>
            <w:r w:rsidRPr="00BF5A46">
              <w:t xml:space="preserve"> Ln 2.1</w:t>
            </w:r>
            <w:r>
              <w:t>,</w:t>
            </w:r>
            <w:r w:rsidRPr="00BF5A46">
              <w:t xml:space="preserve"> Col</w:t>
            </w:r>
            <w:r>
              <w:t xml:space="preserve"> PY1</w:t>
            </w:r>
            <w:r w:rsidRPr="00BF5A46">
              <w:t xml:space="preserve"> </w:t>
            </w:r>
            <w:r w:rsidR="00035BB4">
              <w:rPr>
                <w:i/>
              </w:rPr>
              <w:t>[MLR Form from one year</w:t>
            </w:r>
            <w:r w:rsidR="00035BB4" w:rsidRPr="00035BB4">
              <w:rPr>
                <w:i/>
              </w:rPr>
              <w:t xml:space="preserve"> prior</w:t>
            </w:r>
            <w:r w:rsidR="00B71B45">
              <w:rPr>
                <w:i/>
              </w:rPr>
              <w:t>:</w:t>
            </w:r>
            <w:r w:rsidR="00551C0C">
              <w:rPr>
                <w:i/>
              </w:rPr>
              <w:t xml:space="preserve"> see PY2 </w:t>
            </w:r>
            <w:r w:rsidR="000231C8">
              <w:rPr>
                <w:i/>
              </w:rPr>
              <w:t>formula for the applicable year</w:t>
            </w:r>
            <w:r w:rsidR="005227F2" w:rsidRPr="00551C0C">
              <w:rPr>
                <w:i/>
              </w:rPr>
              <w:t>]</w:t>
            </w:r>
          </w:p>
          <w:p w:rsidR="00035BB4" w:rsidRDefault="00035BB4" w:rsidP="00BF5A46">
            <w:pPr>
              <w:pStyle w:val="ListParagraph"/>
              <w:numPr>
                <w:ilvl w:val="1"/>
                <w:numId w:val="32"/>
              </w:numPr>
              <w:ind w:left="772"/>
              <w:contextualSpacing w:val="0"/>
            </w:pPr>
            <w:r>
              <w:t>Pt 3</w:t>
            </w:r>
            <w:r w:rsidRPr="00BF5A46">
              <w:t xml:space="preserve"> Ln 2.1</w:t>
            </w:r>
            <w:r>
              <w:t>,</w:t>
            </w:r>
            <w:r w:rsidRPr="00BF5A46">
              <w:t xml:space="preserve"> Col</w:t>
            </w:r>
            <w:r>
              <w:t xml:space="preserve"> CY</w:t>
            </w:r>
            <w:r w:rsidRPr="00BF5A46">
              <w:t xml:space="preserve"> </w:t>
            </w:r>
            <w:r w:rsidRPr="00AB7924">
              <w:rPr>
                <w:i/>
              </w:rPr>
              <w:t>[</w:t>
            </w:r>
            <w:r>
              <w:rPr>
                <w:i/>
              </w:rPr>
              <w:t xml:space="preserve">Current </w:t>
            </w:r>
            <w:r w:rsidRPr="00AB7924">
              <w:rPr>
                <w:i/>
              </w:rPr>
              <w:t>MLR Form</w:t>
            </w:r>
            <w:r w:rsidR="00F07394">
              <w:rPr>
                <w:i/>
              </w:rPr>
              <w:t>: see PY2 formula for the applicable year</w:t>
            </w:r>
            <w:r w:rsidRPr="00AB7924">
              <w:rPr>
                <w:i/>
              </w:rPr>
              <w:t>]</w:t>
            </w:r>
          </w:p>
          <w:p w:rsidR="00035BB4" w:rsidRPr="00BF5A46" w:rsidRDefault="00035BB4" w:rsidP="00BF5A46">
            <w:pPr>
              <w:pStyle w:val="ListParagraph"/>
              <w:numPr>
                <w:ilvl w:val="1"/>
                <w:numId w:val="32"/>
              </w:numPr>
              <w:ind w:left="772"/>
              <w:contextualSpacing w:val="0"/>
            </w:pPr>
            <w:r>
              <w:t>Pt 3</w:t>
            </w:r>
            <w:r w:rsidRPr="00BF5A46">
              <w:t xml:space="preserve"> Ln 2.1</w:t>
            </w:r>
            <w:r>
              <w:t>,</w:t>
            </w:r>
            <w:r w:rsidRPr="00BF5A46">
              <w:t xml:space="preserve"> Col</w:t>
            </w:r>
            <w:r>
              <w:t xml:space="preserve"> RC</w:t>
            </w:r>
            <w:r w:rsidRPr="00BF5A46">
              <w:t xml:space="preserve"> </w:t>
            </w:r>
            <w:r w:rsidRPr="00AB7924">
              <w:rPr>
                <w:i/>
              </w:rPr>
              <w:t>[</w:t>
            </w:r>
            <w:r>
              <w:rPr>
                <w:i/>
              </w:rPr>
              <w:t xml:space="preserve">Current </w:t>
            </w:r>
            <w:r w:rsidRPr="00AB7924">
              <w:rPr>
                <w:i/>
              </w:rPr>
              <w:t>MLR Form</w:t>
            </w:r>
            <w:r>
              <w:rPr>
                <w:i/>
              </w:rPr>
              <w:t xml:space="preserve">, </w:t>
            </w:r>
            <w:r w:rsidRPr="00AB7924">
              <w:rPr>
                <w:i/>
              </w:rPr>
              <w:t>(</w:t>
            </w:r>
            <w:proofErr w:type="spellStart"/>
            <w:r w:rsidRPr="00AB7924">
              <w:rPr>
                <w:i/>
              </w:rPr>
              <w:t>Pt</w:t>
            </w:r>
            <w:proofErr w:type="spellEnd"/>
            <w:r w:rsidRPr="00AB7924">
              <w:rPr>
                <w:i/>
              </w:rPr>
              <w:t xml:space="preserve"> 1</w:t>
            </w:r>
            <w:r>
              <w:rPr>
                <w:i/>
              </w:rPr>
              <w:t>,</w:t>
            </w:r>
            <w:r w:rsidRPr="00AB7924">
              <w:rPr>
                <w:i/>
              </w:rPr>
              <w:t xml:space="preserve"> </w:t>
            </w:r>
            <w:proofErr w:type="spellStart"/>
            <w:r w:rsidRPr="00AB7924">
              <w:rPr>
                <w:i/>
              </w:rPr>
              <w:t>Ln</w:t>
            </w:r>
            <w:r>
              <w:rPr>
                <w:i/>
              </w:rPr>
              <w:t>s</w:t>
            </w:r>
            <w:proofErr w:type="spellEnd"/>
            <w:r w:rsidRPr="00AB7924">
              <w:rPr>
                <w:i/>
              </w:rPr>
              <w:t xml:space="preserve"> 1.1</w:t>
            </w:r>
            <w:r>
              <w:rPr>
                <w:i/>
              </w:rPr>
              <w:t xml:space="preserve"> + 1.2 + 1.3, Col</w:t>
            </w:r>
            <w:r w:rsidRPr="00AB7924">
              <w:rPr>
                <w:i/>
              </w:rPr>
              <w:t xml:space="preserve"> </w:t>
            </w:r>
            <w:r>
              <w:rPr>
                <w:i/>
              </w:rPr>
              <w:t xml:space="preserve">[RC] </w:t>
            </w:r>
            <w:r w:rsidRPr="00AB7924">
              <w:rPr>
                <w:i/>
              </w:rPr>
              <w:t>3/31/YY) – (</w:t>
            </w:r>
            <w:proofErr w:type="spellStart"/>
            <w:r w:rsidRPr="00AB7924">
              <w:rPr>
                <w:i/>
              </w:rPr>
              <w:t>Pt</w:t>
            </w:r>
            <w:proofErr w:type="spellEnd"/>
            <w:r w:rsidRPr="00AB7924">
              <w:rPr>
                <w:i/>
              </w:rPr>
              <w:t xml:space="preserve"> </w:t>
            </w:r>
            <w:r>
              <w:rPr>
                <w:i/>
              </w:rPr>
              <w:t>3,</w:t>
            </w:r>
            <w:r w:rsidRPr="00AB7924">
              <w:rPr>
                <w:i/>
              </w:rPr>
              <w:t xml:space="preserve"> </w:t>
            </w:r>
            <w:proofErr w:type="spellStart"/>
            <w:r w:rsidRPr="00AB7924">
              <w:rPr>
                <w:i/>
              </w:rPr>
              <w:t>Ln</w:t>
            </w:r>
            <w:r>
              <w:rPr>
                <w:i/>
              </w:rPr>
              <w:t>s</w:t>
            </w:r>
            <w:proofErr w:type="spellEnd"/>
            <w:r w:rsidRPr="00AB7924">
              <w:rPr>
                <w:i/>
              </w:rPr>
              <w:t xml:space="preserve"> </w:t>
            </w:r>
            <w:r>
              <w:rPr>
                <w:i/>
              </w:rPr>
              <w:t>1.5 + 1.6</w:t>
            </w:r>
            <w:r w:rsidRPr="00AB7924">
              <w:rPr>
                <w:i/>
              </w:rPr>
              <w:t xml:space="preserve">, Col </w:t>
            </w:r>
            <w:r>
              <w:rPr>
                <w:i/>
              </w:rPr>
              <w:t>RC</w:t>
            </w:r>
            <w:r w:rsidRPr="00AB7924">
              <w:rPr>
                <w:i/>
              </w:rPr>
              <w:t>)]</w:t>
            </w:r>
          </w:p>
          <w:p w:rsidR="00073D7B" w:rsidRPr="00922F8B" w:rsidRDefault="00073D7B" w:rsidP="003A096D">
            <w:r w:rsidRPr="00922F8B" w:rsidDel="00707372">
              <w:rPr>
                <w:rFonts w:eastAsia="Times New Roman"/>
                <w:color w:val="auto"/>
              </w:rPr>
              <w:t xml:space="preserve"> </w:t>
            </w:r>
            <w:r w:rsidRPr="00922F8B">
              <w:rPr>
                <w:rFonts w:eastAsia="Times New Roman"/>
                <w:i/>
                <w:color w:val="auto"/>
              </w:rPr>
              <w:t xml:space="preserve">[Premiums=Pts 1 and 2, Sec 1; </w:t>
            </w:r>
            <w:proofErr w:type="spellStart"/>
            <w:r w:rsidRPr="00922F8B">
              <w:rPr>
                <w:rFonts w:eastAsia="Times New Roman"/>
                <w:i/>
                <w:color w:val="auto"/>
              </w:rPr>
              <w:t>Pt</w:t>
            </w:r>
            <w:proofErr w:type="spellEnd"/>
            <w:r w:rsidRPr="00922F8B">
              <w:rPr>
                <w:rFonts w:eastAsia="Times New Roman"/>
                <w:i/>
                <w:color w:val="auto"/>
              </w:rPr>
              <w:t xml:space="preserve"> </w:t>
            </w:r>
            <w:r w:rsidR="003A096D">
              <w:rPr>
                <w:rFonts w:eastAsia="Times New Roman"/>
                <w:i/>
                <w:color w:val="auto"/>
              </w:rPr>
              <w:t>3</w:t>
            </w:r>
            <w:r w:rsidRPr="00922F8B">
              <w:rPr>
                <w:rFonts w:eastAsia="Times New Roman"/>
                <w:i/>
                <w:color w:val="auto"/>
              </w:rPr>
              <w:t xml:space="preserve"> Sec 2]</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538"/>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6</w:t>
            </w:r>
          </w:p>
        </w:tc>
        <w:tc>
          <w:tcPr>
            <w:tcW w:w="0" w:type="auto"/>
            <w:shd w:val="clear" w:color="auto" w:fill="auto"/>
          </w:tcPr>
          <w:p w:rsidR="00073D7B" w:rsidRPr="00922F8B" w:rsidRDefault="00073D7B" w:rsidP="002D41DB">
            <w:pPr>
              <w:pStyle w:val="NoSpacing"/>
            </w:pPr>
            <w:r w:rsidRPr="00922F8B">
              <w:rPr>
                <w:rFonts w:eastAsia="Times New Roman"/>
                <w:color w:val="auto"/>
              </w:rPr>
              <w:t>§158.130</w:t>
            </w: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accuracy of reporting of reinsurance</w:t>
            </w:r>
          </w:p>
        </w:tc>
        <w:tc>
          <w:tcPr>
            <w:tcW w:w="5930" w:type="dxa"/>
            <w:shd w:val="clear" w:color="auto" w:fill="auto"/>
          </w:tcPr>
          <w:p w:rsidR="00073D7B" w:rsidRPr="00922F8B" w:rsidRDefault="00073D7B" w:rsidP="003A096D">
            <w:pPr>
              <w:rPr>
                <w:i/>
              </w:rPr>
            </w:pPr>
            <w:r w:rsidRPr="00922F8B">
              <w:rPr>
                <w:rFonts w:eastAsia="Times New Roman"/>
                <w:iCs/>
                <w:color w:val="auto"/>
              </w:rPr>
              <w:t>If an issuer purchased/sold a block of business during the year, or had 100% indemnity reinsurance with an administrative agreement effective prior to March 23, 2010,</w:t>
            </w:r>
            <w:r w:rsidRPr="00922F8B">
              <w:rPr>
                <w:rFonts w:eastAsia="Times New Roman"/>
                <w:color w:val="auto"/>
              </w:rPr>
              <w:t xml:space="preserve"> obtain a list of all such reinsurance agreements that became effective during the MLR reporting year. Verify that:</w:t>
            </w:r>
          </w:p>
          <w:p w:rsidR="00073D7B" w:rsidRPr="00922F8B" w:rsidRDefault="00073D7B" w:rsidP="003A096D">
            <w:pPr>
              <w:pStyle w:val="ListParagraph"/>
              <w:numPr>
                <w:ilvl w:val="0"/>
                <w:numId w:val="13"/>
              </w:numPr>
              <w:contextualSpacing w:val="0"/>
              <w:rPr>
                <w:rFonts w:eastAsia="Times New Roman"/>
                <w:color w:val="auto"/>
              </w:rPr>
            </w:pPr>
            <w:r w:rsidRPr="00922F8B">
              <w:rPr>
                <w:rFonts w:eastAsia="Times New Roman"/>
                <w:color w:val="auto"/>
              </w:rPr>
              <w:t xml:space="preserve">The list of reinsurance agreements is consistent with </w:t>
            </w:r>
            <w:r w:rsidRPr="00922F8B">
              <w:rPr>
                <w:rFonts w:eastAsia="Times New Roman"/>
                <w:color w:val="auto"/>
              </w:rPr>
              <w:lastRenderedPageBreak/>
              <w:t xml:space="preserve">Schedule S/F of the issuer’s Annual Statement for that year. </w:t>
            </w:r>
          </w:p>
          <w:p w:rsidR="00073D7B" w:rsidRPr="00922F8B" w:rsidRDefault="00073D7B" w:rsidP="003A096D">
            <w:pPr>
              <w:pStyle w:val="ListParagraph"/>
              <w:numPr>
                <w:ilvl w:val="0"/>
                <w:numId w:val="13"/>
              </w:numPr>
              <w:contextualSpacing w:val="0"/>
              <w:rPr>
                <w:rFonts w:eastAsia="Times New Roman"/>
                <w:color w:val="auto"/>
              </w:rPr>
            </w:pPr>
            <w:r w:rsidRPr="00922F8B">
              <w:rPr>
                <w:rFonts w:eastAsia="Times New Roman"/>
                <w:color w:val="auto"/>
              </w:rPr>
              <w:t xml:space="preserve">The substance of the transaction was the purchase or sale of a line or block of business. </w:t>
            </w:r>
          </w:p>
          <w:p w:rsidR="00073D7B" w:rsidRPr="00922F8B" w:rsidRDefault="00073D7B" w:rsidP="003A096D">
            <w:pPr>
              <w:pStyle w:val="ListParagraph"/>
              <w:numPr>
                <w:ilvl w:val="0"/>
                <w:numId w:val="13"/>
              </w:numPr>
              <w:contextualSpacing w:val="0"/>
              <w:rPr>
                <w:rFonts w:eastAsia="Times New Roman"/>
                <w:color w:val="auto"/>
              </w:rPr>
            </w:pPr>
            <w:r w:rsidRPr="00922F8B">
              <w:rPr>
                <w:rFonts w:eastAsia="Times New Roman"/>
                <w:color w:val="auto"/>
              </w:rPr>
              <w:t>The issuer properly included/excluded premium, incurred claims, and unpaid claim reserve amounts for that business in the MLR Form in accordance with 45 CFR 158.130(a)(2) &amp; (3), including for the portion of the MLR reporting year that preceded the purchase/sale.</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538"/>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7</w:t>
            </w:r>
          </w:p>
        </w:tc>
        <w:tc>
          <w:tcPr>
            <w:tcW w:w="0" w:type="auto"/>
            <w:tcBorders>
              <w:top w:val="single" w:sz="8" w:space="0" w:color="4F81BD"/>
              <w:bottom w:val="single" w:sz="8" w:space="0" w:color="4F81BD"/>
            </w:tcBorders>
            <w:shd w:val="clear" w:color="auto" w:fill="auto"/>
            <w:hideMark/>
          </w:tcPr>
          <w:p w:rsidR="00073D7B" w:rsidRPr="00922F8B" w:rsidRDefault="00073D7B" w:rsidP="002D41DB">
            <w:pPr>
              <w:pStyle w:val="NoSpacing"/>
            </w:pPr>
            <w:r w:rsidRPr="00922F8B">
              <w:t>§158.140</w:t>
            </w:r>
          </w:p>
          <w:p w:rsidR="00073D7B" w:rsidRPr="00922F8B" w:rsidRDefault="00073D7B" w:rsidP="002D41DB">
            <w:pPr>
              <w:pStyle w:val="NoSpacing"/>
            </w:pPr>
            <w:r w:rsidRPr="00922F8B">
              <w:t>§158.160</w:t>
            </w:r>
          </w:p>
        </w:tc>
        <w:tc>
          <w:tcPr>
            <w:tcW w:w="0" w:type="auto"/>
            <w:tcBorders>
              <w:top w:val="single" w:sz="8" w:space="0" w:color="4F81BD"/>
              <w:bottom w:val="single" w:sz="8" w:space="0" w:color="4F81BD"/>
            </w:tcBorders>
            <w:shd w:val="clear" w:color="auto" w:fill="auto"/>
            <w:hideMark/>
          </w:tcPr>
          <w:p w:rsidR="00073D7B" w:rsidRPr="00922F8B" w:rsidRDefault="00073D7B" w:rsidP="00F8104F">
            <w:pPr>
              <w:spacing w:after="0"/>
              <w:rPr>
                <w:rFonts w:eastAsia="Times New Roman"/>
                <w:color w:val="auto"/>
              </w:rPr>
            </w:pPr>
            <w:r w:rsidRPr="00922F8B">
              <w:rPr>
                <w:rFonts w:eastAsia="Times New Roman"/>
                <w:color w:val="auto"/>
              </w:rPr>
              <w:t xml:space="preserve">Test accuracy of reporting of claims </w:t>
            </w:r>
          </w:p>
        </w:tc>
        <w:tc>
          <w:tcPr>
            <w:tcW w:w="5930" w:type="dxa"/>
            <w:tcBorders>
              <w:top w:val="single" w:sz="8" w:space="0" w:color="4F81BD"/>
              <w:bottom w:val="single" w:sz="8" w:space="0" w:color="4F81BD"/>
            </w:tcBorders>
            <w:shd w:val="clear" w:color="auto" w:fill="auto"/>
          </w:tcPr>
          <w:p w:rsidR="002E5FD1" w:rsidRDefault="002E5FD1" w:rsidP="003A096D">
            <w:pPr>
              <w:pStyle w:val="ListParagraph"/>
              <w:numPr>
                <w:ilvl w:val="0"/>
                <w:numId w:val="28"/>
              </w:numPr>
              <w:contextualSpacing w:val="0"/>
              <w:rPr>
                <w:rFonts w:eastAsia="Times New Roman"/>
                <w:color w:val="auto"/>
              </w:rPr>
            </w:pPr>
            <w:r>
              <w:rPr>
                <w:rFonts w:eastAsia="Times New Roman"/>
                <w:color w:val="auto"/>
              </w:rPr>
              <w:t>Reconcile claim level dataset with the relevant MLR Form amounts.</w:t>
            </w:r>
          </w:p>
          <w:p w:rsidR="00073D7B" w:rsidRPr="00922F8B" w:rsidRDefault="00073D7B" w:rsidP="003A096D">
            <w:pPr>
              <w:pStyle w:val="ListParagraph"/>
              <w:numPr>
                <w:ilvl w:val="0"/>
                <w:numId w:val="28"/>
              </w:numPr>
              <w:contextualSpacing w:val="0"/>
              <w:rPr>
                <w:rFonts w:eastAsia="Times New Roman"/>
                <w:color w:val="auto"/>
              </w:rPr>
            </w:pPr>
            <w:r w:rsidRPr="00922F8B">
              <w:rPr>
                <w:rFonts w:eastAsia="Times New Roman"/>
                <w:color w:val="auto"/>
              </w:rPr>
              <w:t xml:space="preserve">Select a </w:t>
            </w:r>
            <w:r w:rsidR="002E5FD1">
              <w:rPr>
                <w:rFonts w:eastAsia="Times New Roman"/>
                <w:color w:val="auto"/>
              </w:rPr>
              <w:t xml:space="preserve">representative </w:t>
            </w:r>
            <w:r w:rsidRPr="00922F8B">
              <w:rPr>
                <w:rFonts w:eastAsia="Times New Roman"/>
                <w:color w:val="auto"/>
              </w:rPr>
              <w:t xml:space="preserve">sample of claims from </w:t>
            </w:r>
            <w:r w:rsidR="002E5FD1">
              <w:rPr>
                <w:rFonts w:eastAsia="Times New Roman"/>
                <w:color w:val="auto"/>
              </w:rPr>
              <w:t>all market segments entity-wide</w:t>
            </w:r>
            <w:r w:rsidRPr="00922F8B">
              <w:rPr>
                <w:rFonts w:eastAsia="Times New Roman"/>
                <w:color w:val="auto"/>
              </w:rPr>
              <w:t xml:space="preserve"> and verify that:</w:t>
            </w:r>
          </w:p>
          <w:p w:rsidR="00073D7B" w:rsidRPr="00922F8B" w:rsidRDefault="00073D7B" w:rsidP="003A096D">
            <w:pPr>
              <w:pStyle w:val="ListParagraph"/>
              <w:numPr>
                <w:ilvl w:val="0"/>
                <w:numId w:val="8"/>
              </w:numPr>
              <w:contextualSpacing w:val="0"/>
              <w:rPr>
                <w:rFonts w:eastAsia="Times New Roman"/>
                <w:color w:val="auto"/>
              </w:rPr>
            </w:pPr>
            <w:r w:rsidRPr="00922F8B">
              <w:rPr>
                <w:rFonts w:eastAsia="Times New Roman"/>
                <w:color w:val="auto"/>
              </w:rPr>
              <w:t>The incurred date is between January 1</w:t>
            </w:r>
            <w:r w:rsidRPr="00922F8B">
              <w:rPr>
                <w:rFonts w:eastAsia="Times New Roman"/>
                <w:color w:val="auto"/>
                <w:vertAlign w:val="superscript"/>
              </w:rPr>
              <w:t>st</w:t>
            </w:r>
            <w:r w:rsidRPr="00922F8B">
              <w:rPr>
                <w:rFonts w:eastAsia="Times New Roman"/>
                <w:color w:val="auto"/>
              </w:rPr>
              <w:t xml:space="preserve"> and December 31</w:t>
            </w:r>
            <w:r w:rsidRPr="00922F8B">
              <w:rPr>
                <w:rFonts w:eastAsia="Times New Roman"/>
                <w:color w:val="auto"/>
                <w:vertAlign w:val="superscript"/>
              </w:rPr>
              <w:t>st</w:t>
            </w:r>
            <w:r w:rsidRPr="00922F8B">
              <w:rPr>
                <w:rFonts w:eastAsia="Times New Roman"/>
                <w:color w:val="auto"/>
              </w:rPr>
              <w:t xml:space="preserve"> of the reporting year </w:t>
            </w:r>
            <w:r w:rsidR="00802B7B" w:rsidRPr="00922F8B">
              <w:rPr>
                <w:rFonts w:eastAsia="Times New Roman"/>
                <w:color w:val="auto"/>
              </w:rPr>
              <w:t>for</w:t>
            </w:r>
            <w:r w:rsidR="009A7106" w:rsidRPr="00922F8B">
              <w:rPr>
                <w:rFonts w:eastAsia="Times New Roman"/>
                <w:color w:val="auto"/>
              </w:rPr>
              <w:t xml:space="preserve"> </w:t>
            </w:r>
            <w:r w:rsidRPr="00922F8B">
              <w:rPr>
                <w:rFonts w:eastAsia="Times New Roman"/>
                <w:color w:val="auto"/>
              </w:rPr>
              <w:t xml:space="preserve">which the claim was </w:t>
            </w:r>
            <w:r w:rsidR="00802B7B" w:rsidRPr="00922F8B">
              <w:rPr>
                <w:rFonts w:eastAsia="Times New Roman"/>
                <w:color w:val="auto"/>
              </w:rPr>
              <w:t>reported</w:t>
            </w:r>
            <w:r w:rsidRPr="00922F8B">
              <w:rPr>
                <w:rFonts w:eastAsia="Times New Roman"/>
                <w:color w:val="auto"/>
              </w:rPr>
              <w:t xml:space="preserve"> on the MLR Form. Review supporting documents, such as the Explanation of Benefits</w:t>
            </w:r>
            <w:r w:rsidR="00802B7B" w:rsidRPr="00922F8B">
              <w:rPr>
                <w:rFonts w:eastAsia="Times New Roman"/>
                <w:color w:val="auto"/>
              </w:rPr>
              <w:t xml:space="preserve"> (EOB)</w:t>
            </w:r>
            <w:r w:rsidRPr="00922F8B">
              <w:rPr>
                <w:rFonts w:eastAsia="Times New Roman"/>
                <w:color w:val="auto"/>
              </w:rPr>
              <w:t xml:space="preserve">, to verify the accuracy of the incurred date. </w:t>
            </w:r>
          </w:p>
          <w:p w:rsidR="00073D7B" w:rsidRPr="00922F8B" w:rsidRDefault="00073D7B" w:rsidP="003A096D">
            <w:pPr>
              <w:pStyle w:val="ListParagraph"/>
              <w:numPr>
                <w:ilvl w:val="0"/>
                <w:numId w:val="8"/>
              </w:numPr>
              <w:contextualSpacing w:val="0"/>
              <w:rPr>
                <w:rFonts w:eastAsia="Times New Roman"/>
                <w:color w:val="auto"/>
              </w:rPr>
            </w:pPr>
            <w:r w:rsidRPr="00922F8B">
              <w:rPr>
                <w:rFonts w:eastAsia="Times New Roman"/>
                <w:color w:val="auto"/>
              </w:rPr>
              <w:t>The claim was paid between January 1</w:t>
            </w:r>
            <w:r w:rsidRPr="00922F8B">
              <w:rPr>
                <w:rFonts w:eastAsia="Times New Roman"/>
                <w:color w:val="auto"/>
                <w:vertAlign w:val="superscript"/>
              </w:rPr>
              <w:t>st</w:t>
            </w:r>
            <w:r w:rsidRPr="00922F8B">
              <w:rPr>
                <w:rFonts w:eastAsia="Times New Roman"/>
                <w:color w:val="auto"/>
              </w:rPr>
              <w:t xml:space="preserve"> of the </w:t>
            </w:r>
            <w:r w:rsidR="00802B7B" w:rsidRPr="00922F8B">
              <w:rPr>
                <w:rFonts w:eastAsia="Times New Roman"/>
                <w:color w:val="auto"/>
              </w:rPr>
              <w:t xml:space="preserve">MLR </w:t>
            </w:r>
            <w:r w:rsidRPr="00922F8B">
              <w:rPr>
                <w:rFonts w:eastAsia="Times New Roman"/>
                <w:color w:val="auto"/>
              </w:rPr>
              <w:t>reporting year and March 31</w:t>
            </w:r>
            <w:r w:rsidRPr="00922F8B">
              <w:rPr>
                <w:rFonts w:eastAsia="Times New Roman"/>
                <w:color w:val="auto"/>
                <w:vertAlign w:val="superscript"/>
              </w:rPr>
              <w:t>st</w:t>
            </w:r>
            <w:r w:rsidRPr="00922F8B">
              <w:rPr>
                <w:rFonts w:eastAsia="Times New Roman"/>
                <w:color w:val="auto"/>
              </w:rPr>
              <w:t xml:space="preserve"> of the year following the </w:t>
            </w:r>
            <w:r w:rsidR="00802B7B" w:rsidRPr="00922F8B">
              <w:rPr>
                <w:rFonts w:eastAsia="Times New Roman"/>
                <w:color w:val="auto"/>
              </w:rPr>
              <w:t xml:space="preserve">MLR </w:t>
            </w:r>
            <w:r w:rsidRPr="00922F8B">
              <w:rPr>
                <w:rFonts w:eastAsia="Times New Roman"/>
                <w:color w:val="auto"/>
              </w:rPr>
              <w:t xml:space="preserve">reporting year </w:t>
            </w:r>
            <w:r w:rsidR="00802B7B" w:rsidRPr="00922F8B">
              <w:rPr>
                <w:rFonts w:eastAsia="Times New Roman"/>
                <w:color w:val="auto"/>
              </w:rPr>
              <w:t>for</w:t>
            </w:r>
            <w:r w:rsidRPr="00922F8B">
              <w:rPr>
                <w:rFonts w:eastAsia="Times New Roman"/>
                <w:color w:val="auto"/>
              </w:rPr>
              <w:t xml:space="preserve"> which the claim was </w:t>
            </w:r>
            <w:r w:rsidR="00802B7B" w:rsidRPr="00922F8B">
              <w:rPr>
                <w:rFonts w:eastAsia="Times New Roman"/>
                <w:color w:val="auto"/>
              </w:rPr>
              <w:t>reported</w:t>
            </w:r>
            <w:r w:rsidRPr="00922F8B">
              <w:rPr>
                <w:rFonts w:eastAsia="Times New Roman"/>
                <w:color w:val="auto"/>
              </w:rPr>
              <w:t xml:space="preserve"> on the MLR Form. </w:t>
            </w:r>
          </w:p>
          <w:p w:rsidR="00FF2218" w:rsidRPr="00922F8B" w:rsidRDefault="00FF2218" w:rsidP="003A096D">
            <w:pPr>
              <w:pStyle w:val="ListParagraph"/>
              <w:numPr>
                <w:ilvl w:val="0"/>
                <w:numId w:val="38"/>
              </w:numPr>
              <w:contextualSpacing w:val="0"/>
              <w:rPr>
                <w:bCs/>
                <w:color w:val="auto"/>
              </w:rPr>
            </w:pPr>
            <w:r w:rsidRPr="00922F8B">
              <w:rPr>
                <w:bCs/>
                <w:color w:val="auto"/>
              </w:rPr>
              <w:t xml:space="preserve">The claim </w:t>
            </w:r>
            <w:r w:rsidR="00802B7B" w:rsidRPr="00922F8B">
              <w:rPr>
                <w:bCs/>
                <w:color w:val="auto"/>
              </w:rPr>
              <w:t xml:space="preserve">was </w:t>
            </w:r>
            <w:r w:rsidR="002571D4" w:rsidRPr="00922F8B">
              <w:rPr>
                <w:bCs/>
                <w:color w:val="auto"/>
              </w:rPr>
              <w:t xml:space="preserve">reported </w:t>
            </w:r>
            <w:r w:rsidR="00802B7B" w:rsidRPr="00922F8B">
              <w:rPr>
                <w:bCs/>
                <w:color w:val="auto"/>
              </w:rPr>
              <w:t xml:space="preserve">in </w:t>
            </w:r>
            <w:r w:rsidR="002571D4" w:rsidRPr="00922F8B">
              <w:rPr>
                <w:bCs/>
                <w:color w:val="auto"/>
              </w:rPr>
              <w:t xml:space="preserve">the correct state based on the </w:t>
            </w:r>
            <w:proofErr w:type="spellStart"/>
            <w:r w:rsidR="002571D4" w:rsidRPr="00922F8B">
              <w:rPr>
                <w:bCs/>
                <w:color w:val="auto"/>
              </w:rPr>
              <w:t>situs</w:t>
            </w:r>
            <w:proofErr w:type="spellEnd"/>
            <w:r w:rsidR="002571D4" w:rsidRPr="00922F8B">
              <w:rPr>
                <w:bCs/>
                <w:color w:val="auto"/>
              </w:rPr>
              <w:t xml:space="preserve"> of the </w:t>
            </w:r>
            <w:r w:rsidRPr="00922F8B">
              <w:rPr>
                <w:bCs/>
                <w:color w:val="auto"/>
              </w:rPr>
              <w:t>policy</w:t>
            </w:r>
            <w:r w:rsidR="002571D4" w:rsidRPr="00922F8B">
              <w:rPr>
                <w:bCs/>
                <w:color w:val="auto"/>
              </w:rPr>
              <w:t>.</w:t>
            </w:r>
          </w:p>
          <w:p w:rsidR="00FF2218" w:rsidRPr="00922F8B" w:rsidRDefault="00FF2218" w:rsidP="003A096D">
            <w:pPr>
              <w:pStyle w:val="ListParagraph"/>
              <w:numPr>
                <w:ilvl w:val="0"/>
                <w:numId w:val="38"/>
              </w:numPr>
              <w:contextualSpacing w:val="0"/>
              <w:rPr>
                <w:bCs/>
                <w:color w:val="auto"/>
              </w:rPr>
            </w:pPr>
            <w:r w:rsidRPr="00922F8B">
              <w:rPr>
                <w:bCs/>
                <w:color w:val="auto"/>
              </w:rPr>
              <w:t xml:space="preserve">The </w:t>
            </w:r>
            <w:r w:rsidR="00802B7B" w:rsidRPr="00922F8B">
              <w:rPr>
                <w:bCs/>
                <w:color w:val="auto"/>
              </w:rPr>
              <w:t xml:space="preserve">amount </w:t>
            </w:r>
            <w:r w:rsidRPr="00922F8B">
              <w:rPr>
                <w:bCs/>
                <w:color w:val="auto"/>
              </w:rPr>
              <w:t xml:space="preserve">paid is </w:t>
            </w:r>
            <w:r w:rsidR="00802B7B" w:rsidRPr="00922F8B">
              <w:rPr>
                <w:bCs/>
                <w:color w:val="auto"/>
              </w:rPr>
              <w:t>the amount reflected on</w:t>
            </w:r>
            <w:r w:rsidRPr="00922F8B">
              <w:rPr>
                <w:bCs/>
                <w:color w:val="auto"/>
              </w:rPr>
              <w:t xml:space="preserve"> the EOB</w:t>
            </w:r>
            <w:r w:rsidR="002B6D95" w:rsidRPr="00922F8B">
              <w:rPr>
                <w:bCs/>
                <w:color w:val="auto"/>
              </w:rPr>
              <w:t xml:space="preserve"> </w:t>
            </w:r>
            <w:r w:rsidR="00802B7B" w:rsidRPr="00922F8B">
              <w:rPr>
                <w:bCs/>
                <w:color w:val="auto"/>
              </w:rPr>
              <w:t>and/</w:t>
            </w:r>
            <w:r w:rsidR="002B6D95" w:rsidRPr="00922F8B">
              <w:rPr>
                <w:bCs/>
                <w:color w:val="auto"/>
              </w:rPr>
              <w:t>or</w:t>
            </w:r>
            <w:r w:rsidRPr="00922F8B">
              <w:rPr>
                <w:bCs/>
                <w:color w:val="auto"/>
              </w:rPr>
              <w:t xml:space="preserve"> </w:t>
            </w:r>
            <w:r w:rsidR="000875B2" w:rsidRPr="00922F8B">
              <w:rPr>
                <w:bCs/>
                <w:color w:val="auto"/>
              </w:rPr>
              <w:t xml:space="preserve">the provider’s </w:t>
            </w:r>
            <w:r w:rsidR="009B17F9" w:rsidRPr="00922F8B">
              <w:rPr>
                <w:bCs/>
                <w:color w:val="auto"/>
              </w:rPr>
              <w:t>remittance documents and payment support,</w:t>
            </w:r>
            <w:r w:rsidRPr="00922F8B">
              <w:rPr>
                <w:bCs/>
                <w:color w:val="auto"/>
              </w:rPr>
              <w:t xml:space="preserve"> </w:t>
            </w:r>
            <w:r w:rsidR="00802B7B" w:rsidRPr="00922F8B">
              <w:rPr>
                <w:bCs/>
                <w:color w:val="auto"/>
              </w:rPr>
              <w:t>and any member cost-sharing is not included in incurred claims.</w:t>
            </w:r>
          </w:p>
          <w:p w:rsidR="00FF2218" w:rsidRPr="00922F8B" w:rsidRDefault="00846FFF" w:rsidP="003A096D">
            <w:pPr>
              <w:pStyle w:val="ListParagraph"/>
              <w:numPr>
                <w:ilvl w:val="0"/>
                <w:numId w:val="38"/>
              </w:numPr>
              <w:contextualSpacing w:val="0"/>
              <w:rPr>
                <w:bCs/>
                <w:color w:val="auto"/>
              </w:rPr>
            </w:pPr>
            <w:r w:rsidRPr="00922F8B">
              <w:rPr>
                <w:bCs/>
                <w:color w:val="auto"/>
              </w:rPr>
              <w:t>The amount paid on the claim is reported on the MLR Form in the correct</w:t>
            </w:r>
            <w:r w:rsidR="00FF2218" w:rsidRPr="00922F8B">
              <w:rPr>
                <w:bCs/>
                <w:color w:val="auto"/>
              </w:rPr>
              <w:t xml:space="preserve"> market classification </w:t>
            </w:r>
            <w:r w:rsidRPr="00922F8B">
              <w:rPr>
                <w:bCs/>
                <w:color w:val="auto"/>
              </w:rPr>
              <w:t xml:space="preserve">as the </w:t>
            </w:r>
            <w:r w:rsidR="00FF2218" w:rsidRPr="00922F8B">
              <w:rPr>
                <w:bCs/>
                <w:color w:val="auto"/>
              </w:rPr>
              <w:t xml:space="preserve">policy </w:t>
            </w:r>
            <w:r w:rsidRPr="00922F8B">
              <w:rPr>
                <w:bCs/>
                <w:color w:val="auto"/>
              </w:rPr>
              <w:t>under which it was processed.</w:t>
            </w:r>
          </w:p>
          <w:p w:rsidR="00073D7B" w:rsidRPr="00922F8B" w:rsidRDefault="00073D7B" w:rsidP="003A096D">
            <w:pPr>
              <w:pStyle w:val="ListParagraph"/>
              <w:numPr>
                <w:ilvl w:val="0"/>
                <w:numId w:val="28"/>
              </w:numPr>
              <w:contextualSpacing w:val="0"/>
              <w:rPr>
                <w:rFonts w:eastAsia="Times New Roman"/>
                <w:i/>
                <w:color w:val="auto"/>
              </w:rPr>
            </w:pPr>
            <w:r w:rsidRPr="00922F8B">
              <w:rPr>
                <w:rFonts w:eastAsia="Times New Roman"/>
                <w:color w:val="auto"/>
              </w:rPr>
              <w:t xml:space="preserve">Select a sample of issuer’s capitation payments and compare them to the provider’s capitation agreement. Verify that the issuer did not include amounts for issuer functions </w:t>
            </w:r>
            <w:r w:rsidRPr="00922F8B">
              <w:rPr>
                <w:rFonts w:eastAsia="Times New Roman"/>
                <w:color w:val="auto"/>
              </w:rPr>
              <w:lastRenderedPageBreak/>
              <w:t>outsourced to the provider.</w:t>
            </w:r>
          </w:p>
          <w:p w:rsidR="00073D7B" w:rsidRPr="00922F8B" w:rsidRDefault="00073D7B" w:rsidP="003A096D">
            <w:pPr>
              <w:pStyle w:val="ListParagraph"/>
              <w:numPr>
                <w:ilvl w:val="0"/>
                <w:numId w:val="28"/>
              </w:numPr>
              <w:contextualSpacing w:val="0"/>
              <w:rPr>
                <w:rFonts w:eastAsia="Times New Roman"/>
                <w:color w:val="auto"/>
              </w:rPr>
            </w:pPr>
            <w:r w:rsidRPr="00922F8B">
              <w:rPr>
                <w:rFonts w:eastAsia="Times New Roman"/>
                <w:color w:val="auto"/>
              </w:rPr>
              <w:t>Select a sample of the issuer’s third-party vendor payment records (such as payments to PBMs and behavioral health companies). Compare issuer payments with the third party vendors’ provider reimbursement records to verify that vendor administrative costs were not reported as incurred claims in the MLR Form.</w:t>
            </w:r>
          </w:p>
          <w:p w:rsidR="00073D7B" w:rsidRPr="00922F8B" w:rsidRDefault="00073D7B" w:rsidP="003A096D">
            <w:pPr>
              <w:pStyle w:val="ListParagraph"/>
              <w:numPr>
                <w:ilvl w:val="0"/>
                <w:numId w:val="28"/>
              </w:numPr>
              <w:contextualSpacing w:val="0"/>
              <w:rPr>
                <w:rFonts w:eastAsia="Times New Roman"/>
                <w:color w:val="auto"/>
              </w:rPr>
            </w:pPr>
            <w:r w:rsidRPr="00922F8B">
              <w:rPr>
                <w:rFonts w:eastAsia="Times New Roman"/>
                <w:color w:val="auto"/>
              </w:rPr>
              <w:t>Review the following for indications that claims liabilities and reserves are incomplete, unreasonable, or recorded incorrectly:</w:t>
            </w:r>
          </w:p>
          <w:p w:rsidR="00073D7B" w:rsidRPr="00922F8B" w:rsidRDefault="00073D7B" w:rsidP="003A096D">
            <w:pPr>
              <w:pStyle w:val="ListParagraph"/>
              <w:numPr>
                <w:ilvl w:val="0"/>
                <w:numId w:val="9"/>
              </w:numPr>
              <w:contextualSpacing w:val="0"/>
              <w:rPr>
                <w:rFonts w:eastAsia="Times New Roman"/>
                <w:color w:val="auto"/>
              </w:rPr>
            </w:pPr>
            <w:r w:rsidRPr="00922F8B">
              <w:rPr>
                <w:rFonts w:eastAsia="Times New Roman"/>
                <w:color w:val="auto"/>
              </w:rPr>
              <w:t xml:space="preserve">Number and amount of due and unpaid claims. </w:t>
            </w:r>
          </w:p>
          <w:p w:rsidR="00073D7B" w:rsidRPr="00922F8B" w:rsidRDefault="00073D7B" w:rsidP="003A096D">
            <w:pPr>
              <w:pStyle w:val="ListParagraph"/>
              <w:numPr>
                <w:ilvl w:val="0"/>
                <w:numId w:val="9"/>
              </w:numPr>
              <w:contextualSpacing w:val="0"/>
              <w:rPr>
                <w:rFonts w:eastAsia="Times New Roman"/>
                <w:color w:val="auto"/>
              </w:rPr>
            </w:pPr>
            <w:r w:rsidRPr="00922F8B">
              <w:rPr>
                <w:rFonts w:eastAsia="Times New Roman"/>
                <w:color w:val="auto"/>
              </w:rPr>
              <w:t xml:space="preserve">Number and amount of claims in course of settlement. </w:t>
            </w:r>
          </w:p>
          <w:p w:rsidR="00073D7B" w:rsidRPr="00922F8B" w:rsidRDefault="00073D7B" w:rsidP="003A096D">
            <w:pPr>
              <w:pStyle w:val="ListParagraph"/>
              <w:numPr>
                <w:ilvl w:val="0"/>
                <w:numId w:val="9"/>
              </w:numPr>
              <w:contextualSpacing w:val="0"/>
              <w:rPr>
                <w:rFonts w:eastAsia="Times New Roman"/>
                <w:color w:val="auto"/>
              </w:rPr>
            </w:pPr>
            <w:r w:rsidRPr="00922F8B">
              <w:rPr>
                <w:rFonts w:eastAsia="Times New Roman"/>
                <w:color w:val="auto"/>
              </w:rPr>
              <w:t xml:space="preserve">Number and amount of incurred but not reported claims. </w:t>
            </w:r>
          </w:p>
          <w:p w:rsidR="00073D7B" w:rsidRPr="00922F8B" w:rsidRDefault="00073D7B" w:rsidP="003A096D">
            <w:pPr>
              <w:pStyle w:val="ListParagraph"/>
              <w:numPr>
                <w:ilvl w:val="0"/>
                <w:numId w:val="9"/>
              </w:numPr>
              <w:contextualSpacing w:val="0"/>
              <w:rPr>
                <w:rFonts w:eastAsia="Times New Roman"/>
                <w:color w:val="auto"/>
              </w:rPr>
            </w:pPr>
            <w:r w:rsidRPr="00922F8B">
              <w:rPr>
                <w:rFonts w:eastAsia="Times New Roman"/>
                <w:color w:val="auto"/>
              </w:rPr>
              <w:t>The relationships between claims liabilities, claims reserves, and claims payments.</w:t>
            </w:r>
          </w:p>
          <w:p w:rsidR="00073D7B" w:rsidRPr="00922F8B" w:rsidRDefault="00073D7B" w:rsidP="003A096D">
            <w:pPr>
              <w:pStyle w:val="NoSpacing"/>
              <w:numPr>
                <w:ilvl w:val="0"/>
                <w:numId w:val="28"/>
              </w:numPr>
              <w:spacing w:after="120"/>
            </w:pPr>
            <w:r w:rsidRPr="00922F8B">
              <w:t>Verify that:</w:t>
            </w:r>
          </w:p>
          <w:p w:rsidR="00073D7B" w:rsidRPr="00922F8B" w:rsidRDefault="00073D7B" w:rsidP="003A096D">
            <w:pPr>
              <w:pStyle w:val="NoSpacing"/>
              <w:numPr>
                <w:ilvl w:val="0"/>
                <w:numId w:val="10"/>
              </w:numPr>
              <w:spacing w:after="120"/>
            </w:pPr>
            <w:r w:rsidRPr="00922F8B">
              <w:t>Direct claims do not include non-claims costs.</w:t>
            </w:r>
          </w:p>
          <w:p w:rsidR="00073D7B" w:rsidRPr="00922F8B" w:rsidRDefault="00073D7B" w:rsidP="003A096D">
            <w:pPr>
              <w:pStyle w:val="NoSpacing"/>
              <w:numPr>
                <w:ilvl w:val="0"/>
                <w:numId w:val="10"/>
              </w:numPr>
              <w:spacing w:after="120"/>
            </w:pPr>
            <w:r w:rsidRPr="00922F8B">
              <w:t>Experience rating refunds and related reserves exclude federal and state MLR rebates.</w:t>
            </w:r>
          </w:p>
          <w:p w:rsidR="00073D7B" w:rsidRPr="00922F8B" w:rsidRDefault="00073D7B" w:rsidP="003A096D">
            <w:pPr>
              <w:pStyle w:val="NoSpacing"/>
              <w:numPr>
                <w:ilvl w:val="0"/>
                <w:numId w:val="10"/>
              </w:numPr>
              <w:spacing w:after="120"/>
            </w:pPr>
            <w:r w:rsidRPr="00922F8B">
              <w:rPr>
                <w:rFonts w:eastAsia="Times New Roman"/>
                <w:color w:val="auto"/>
              </w:rPr>
              <w:t>Pharmacy rebates and incentives were deducted from incurred claims.</w:t>
            </w:r>
          </w:p>
          <w:p w:rsidR="00073D7B" w:rsidRPr="00922F8B" w:rsidRDefault="00073D7B" w:rsidP="003A096D">
            <w:pPr>
              <w:pStyle w:val="NoSpacing"/>
              <w:numPr>
                <w:ilvl w:val="0"/>
                <w:numId w:val="10"/>
              </w:numPr>
              <w:spacing w:after="120"/>
            </w:pPr>
            <w:r w:rsidRPr="00922F8B">
              <w:rPr>
                <w:rFonts w:eastAsia="Times New Roman"/>
                <w:color w:val="auto"/>
              </w:rPr>
              <w:t xml:space="preserve">The claims-related portion of contingent benefit and lawsuit reserves was reported separately on Pt 2 Ln 2.13, and was not included in </w:t>
            </w:r>
            <w:proofErr w:type="spellStart"/>
            <w:r w:rsidRPr="00922F8B">
              <w:rPr>
                <w:rFonts w:eastAsia="Times New Roman"/>
                <w:color w:val="auto"/>
              </w:rPr>
              <w:t>Pt</w:t>
            </w:r>
            <w:proofErr w:type="spellEnd"/>
            <w:r w:rsidRPr="00922F8B">
              <w:rPr>
                <w:rFonts w:eastAsia="Times New Roman"/>
                <w:color w:val="auto"/>
              </w:rPr>
              <w:t xml:space="preserve"> 2 </w:t>
            </w:r>
            <w:proofErr w:type="spellStart"/>
            <w:r w:rsidRPr="00922F8B">
              <w:rPr>
                <w:rFonts w:eastAsia="Times New Roman"/>
                <w:color w:val="auto"/>
              </w:rPr>
              <w:t>Lns</w:t>
            </w:r>
            <w:proofErr w:type="spellEnd"/>
            <w:r w:rsidRPr="00922F8B">
              <w:rPr>
                <w:rFonts w:eastAsia="Times New Roman"/>
                <w:color w:val="auto"/>
              </w:rPr>
              <w:t xml:space="preserve"> 2.2 or 2.4.</w:t>
            </w:r>
          </w:p>
          <w:p w:rsidR="00073D7B" w:rsidRPr="00922F8B" w:rsidRDefault="00073D7B" w:rsidP="003A096D">
            <w:pPr>
              <w:pStyle w:val="NoSpacing"/>
              <w:numPr>
                <w:ilvl w:val="0"/>
                <w:numId w:val="10"/>
              </w:numPr>
              <w:spacing w:after="120"/>
            </w:pPr>
            <w:r w:rsidRPr="00922F8B">
              <w:t>Changes in contract reserves were properly reported and that contract reserves were calculated in accordance with MLR Form instructions.</w:t>
            </w:r>
          </w:p>
          <w:p w:rsidR="00073D7B" w:rsidRPr="00922F8B" w:rsidRDefault="00073D7B" w:rsidP="003A096D">
            <w:pPr>
              <w:pStyle w:val="ListParagraph"/>
              <w:numPr>
                <w:ilvl w:val="0"/>
                <w:numId w:val="28"/>
              </w:numPr>
              <w:contextualSpacing w:val="0"/>
              <w:rPr>
                <w:rFonts w:eastAsia="Times New Roman"/>
                <w:color w:val="auto"/>
              </w:rPr>
            </w:pPr>
            <w:r w:rsidRPr="00922F8B">
              <w:rPr>
                <w:rFonts w:eastAsia="Times New Roman"/>
                <w:color w:val="auto"/>
              </w:rPr>
              <w:t>Access the issuer’s MLR report for the previous two years. Verify that the following amounts are accurate:</w:t>
            </w:r>
          </w:p>
          <w:p w:rsidR="00073D7B" w:rsidRPr="00922F8B" w:rsidRDefault="00073D7B" w:rsidP="003A096D">
            <w:pPr>
              <w:pStyle w:val="ListParagraph"/>
              <w:numPr>
                <w:ilvl w:val="0"/>
                <w:numId w:val="11"/>
              </w:numPr>
              <w:contextualSpacing w:val="0"/>
              <w:rPr>
                <w:rFonts w:eastAsia="Times New Roman"/>
                <w:color w:val="auto"/>
              </w:rPr>
            </w:pPr>
            <w:proofErr w:type="spellStart"/>
            <w:r w:rsidRPr="00922F8B">
              <w:rPr>
                <w:rFonts w:eastAsia="Times New Roman"/>
                <w:color w:val="auto"/>
              </w:rPr>
              <w:t>Pt</w:t>
            </w:r>
            <w:proofErr w:type="spellEnd"/>
            <w:r w:rsidRPr="00922F8B">
              <w:rPr>
                <w:rFonts w:eastAsia="Times New Roman"/>
                <w:color w:val="auto"/>
              </w:rPr>
              <w:t xml:space="preserve"> </w:t>
            </w:r>
            <w:r w:rsidR="000231C8">
              <w:rPr>
                <w:rFonts w:eastAsia="Times New Roman"/>
                <w:color w:val="auto"/>
              </w:rPr>
              <w:t>3</w:t>
            </w:r>
            <w:r w:rsidRPr="00922F8B">
              <w:rPr>
                <w:rFonts w:eastAsia="Times New Roman"/>
                <w:color w:val="auto"/>
              </w:rPr>
              <w:t xml:space="preserve"> Ln 1.1, </w:t>
            </w:r>
            <w:r w:rsidR="003A096D">
              <w:rPr>
                <w:rFonts w:eastAsia="Times New Roman"/>
                <w:color w:val="auto"/>
              </w:rPr>
              <w:t>Col</w:t>
            </w:r>
            <w:r w:rsidR="00F65B51">
              <w:rPr>
                <w:rFonts w:eastAsia="Times New Roman"/>
                <w:color w:val="auto"/>
              </w:rPr>
              <w:t xml:space="preserve"> </w:t>
            </w:r>
            <w:r w:rsidRPr="00922F8B">
              <w:rPr>
                <w:rFonts w:eastAsia="Times New Roman"/>
                <w:color w:val="auto"/>
              </w:rPr>
              <w:t xml:space="preserve">PY2 </w:t>
            </w:r>
            <w:r w:rsidRPr="00922F8B">
              <w:rPr>
                <w:rFonts w:eastAsia="Times New Roman"/>
                <w:i/>
                <w:color w:val="auto"/>
              </w:rPr>
              <w:t>[MLR Form</w:t>
            </w:r>
            <w:r w:rsidR="003A096D">
              <w:rPr>
                <w:rFonts w:eastAsia="Times New Roman"/>
                <w:i/>
                <w:color w:val="auto"/>
              </w:rPr>
              <w:t xml:space="preserve"> from two years prior</w:t>
            </w:r>
            <w:r w:rsidRPr="00922F8B">
              <w:rPr>
                <w:rFonts w:eastAsia="Times New Roman"/>
                <w:i/>
                <w:color w:val="auto"/>
              </w:rPr>
              <w:t xml:space="preserve">, </w:t>
            </w:r>
            <w:proofErr w:type="spellStart"/>
            <w:r w:rsidR="00F528DF">
              <w:rPr>
                <w:rFonts w:eastAsia="Times New Roman"/>
                <w:i/>
                <w:color w:val="auto"/>
              </w:rPr>
              <w:t>Pt</w:t>
            </w:r>
            <w:proofErr w:type="spellEnd"/>
            <w:r w:rsidR="00F528DF">
              <w:rPr>
                <w:rFonts w:eastAsia="Times New Roman"/>
                <w:i/>
                <w:color w:val="auto"/>
              </w:rPr>
              <w:t xml:space="preserve"> 1 </w:t>
            </w:r>
            <w:proofErr w:type="spellStart"/>
            <w:r w:rsidR="00F528DF">
              <w:rPr>
                <w:rFonts w:eastAsia="Times New Roman"/>
                <w:i/>
                <w:color w:val="auto"/>
              </w:rPr>
              <w:t>Lns</w:t>
            </w:r>
            <w:proofErr w:type="spellEnd"/>
            <w:r w:rsidR="00F528DF">
              <w:rPr>
                <w:rFonts w:eastAsia="Times New Roman"/>
                <w:i/>
                <w:color w:val="auto"/>
              </w:rPr>
              <w:t xml:space="preserve"> 2.1 + 2.11 (prior to 2014, </w:t>
            </w:r>
            <w:r w:rsidRPr="00922F8B">
              <w:rPr>
                <w:rFonts w:eastAsia="Times New Roman"/>
                <w:i/>
                <w:color w:val="auto"/>
              </w:rPr>
              <w:t xml:space="preserve">Pt 1 Ln </w:t>
            </w:r>
            <w:r w:rsidR="00474B0B" w:rsidRPr="00922F8B">
              <w:rPr>
                <w:rFonts w:eastAsia="Times New Roman"/>
                <w:i/>
                <w:color w:val="auto"/>
              </w:rPr>
              <w:t>2.1</w:t>
            </w:r>
            <w:r w:rsidR="003A096D">
              <w:rPr>
                <w:rFonts w:eastAsia="Times New Roman"/>
                <w:i/>
                <w:color w:val="auto"/>
              </w:rPr>
              <w:t xml:space="preserve"> + Pt 2 </w:t>
            </w:r>
            <w:r w:rsidR="003A096D">
              <w:rPr>
                <w:rFonts w:eastAsia="Times New Roman"/>
                <w:i/>
                <w:color w:val="auto"/>
              </w:rPr>
              <w:lastRenderedPageBreak/>
              <w:t>Ln 2.1</w:t>
            </w:r>
            <w:r w:rsidR="00F528DF">
              <w:rPr>
                <w:rFonts w:eastAsia="Times New Roman"/>
                <w:i/>
                <w:color w:val="auto"/>
              </w:rPr>
              <w:t>7)</w:t>
            </w:r>
            <w:r w:rsidRPr="00922F8B">
              <w:rPr>
                <w:rFonts w:eastAsia="Times New Roman"/>
                <w:i/>
                <w:color w:val="auto"/>
              </w:rPr>
              <w:t>, Cols 3/31 + Deferred PY – Deferred CY]</w:t>
            </w:r>
            <w:r w:rsidRPr="00922F8B">
              <w:rPr>
                <w:rFonts w:eastAsia="Times New Roman"/>
                <w:color w:val="auto"/>
              </w:rPr>
              <w:t xml:space="preserve"> </w:t>
            </w:r>
          </w:p>
          <w:p w:rsidR="00073D7B" w:rsidRPr="00922F8B" w:rsidRDefault="00073D7B" w:rsidP="003A096D">
            <w:pPr>
              <w:pStyle w:val="ListParagraph"/>
              <w:numPr>
                <w:ilvl w:val="0"/>
                <w:numId w:val="11"/>
              </w:numPr>
              <w:contextualSpacing w:val="0"/>
              <w:rPr>
                <w:rFonts w:eastAsia="Times New Roman"/>
                <w:i/>
                <w:color w:val="auto"/>
              </w:rPr>
            </w:pPr>
            <w:proofErr w:type="spellStart"/>
            <w:r w:rsidRPr="00922F8B">
              <w:rPr>
                <w:rFonts w:eastAsia="Times New Roman"/>
                <w:color w:val="auto"/>
              </w:rPr>
              <w:t>Pt</w:t>
            </w:r>
            <w:proofErr w:type="spellEnd"/>
            <w:r w:rsidRPr="00922F8B">
              <w:rPr>
                <w:rFonts w:eastAsia="Times New Roman"/>
                <w:color w:val="auto"/>
              </w:rPr>
              <w:t xml:space="preserve"> </w:t>
            </w:r>
            <w:r w:rsidR="000231C8">
              <w:rPr>
                <w:rFonts w:eastAsia="Times New Roman"/>
                <w:color w:val="auto"/>
              </w:rPr>
              <w:t>3</w:t>
            </w:r>
            <w:r w:rsidRPr="00922F8B">
              <w:rPr>
                <w:rFonts w:eastAsia="Times New Roman"/>
                <w:color w:val="auto"/>
              </w:rPr>
              <w:t xml:space="preserve"> Ln 1.1, </w:t>
            </w:r>
            <w:r w:rsidR="003A096D">
              <w:rPr>
                <w:rFonts w:eastAsia="Times New Roman"/>
                <w:color w:val="auto"/>
              </w:rPr>
              <w:t xml:space="preserve">Col </w:t>
            </w:r>
            <w:r w:rsidRPr="00922F8B">
              <w:rPr>
                <w:rFonts w:eastAsia="Times New Roman"/>
                <w:color w:val="auto"/>
              </w:rPr>
              <w:t xml:space="preserve">PY1 </w:t>
            </w:r>
            <w:r w:rsidRPr="00922F8B">
              <w:rPr>
                <w:rFonts w:eastAsia="Times New Roman"/>
                <w:i/>
                <w:color w:val="auto"/>
              </w:rPr>
              <w:t>[MLR Form</w:t>
            </w:r>
            <w:r w:rsidR="003A096D">
              <w:rPr>
                <w:rFonts w:eastAsia="Times New Roman"/>
                <w:i/>
                <w:color w:val="auto"/>
              </w:rPr>
              <w:t xml:space="preserve"> from one year prior</w:t>
            </w:r>
            <w:r w:rsidRPr="00922F8B">
              <w:rPr>
                <w:rFonts w:eastAsia="Times New Roman"/>
                <w:i/>
                <w:color w:val="auto"/>
              </w:rPr>
              <w:t xml:space="preserve">, </w:t>
            </w:r>
            <w:proofErr w:type="spellStart"/>
            <w:r w:rsidR="000231C8">
              <w:rPr>
                <w:rFonts w:eastAsia="Times New Roman"/>
                <w:i/>
                <w:color w:val="auto"/>
              </w:rPr>
              <w:t>Pt</w:t>
            </w:r>
            <w:proofErr w:type="spellEnd"/>
            <w:r w:rsidR="000231C8">
              <w:rPr>
                <w:rFonts w:eastAsia="Times New Roman"/>
                <w:i/>
                <w:color w:val="auto"/>
              </w:rPr>
              <w:t xml:space="preserve"> 1 </w:t>
            </w:r>
            <w:proofErr w:type="spellStart"/>
            <w:r w:rsidR="000231C8">
              <w:rPr>
                <w:rFonts w:eastAsia="Times New Roman"/>
                <w:i/>
                <w:color w:val="auto"/>
              </w:rPr>
              <w:t>Lns</w:t>
            </w:r>
            <w:proofErr w:type="spellEnd"/>
            <w:r w:rsidR="000231C8">
              <w:rPr>
                <w:rFonts w:eastAsia="Times New Roman"/>
                <w:i/>
                <w:color w:val="auto"/>
              </w:rPr>
              <w:t xml:space="preserve"> 2.1 + 2.11 (prior to 2014, </w:t>
            </w:r>
            <w:proofErr w:type="spellStart"/>
            <w:r w:rsidRPr="00922F8B">
              <w:rPr>
                <w:rFonts w:eastAsia="Times New Roman"/>
                <w:i/>
                <w:color w:val="auto"/>
              </w:rPr>
              <w:t>Pt</w:t>
            </w:r>
            <w:proofErr w:type="spellEnd"/>
            <w:r w:rsidRPr="00922F8B">
              <w:rPr>
                <w:rFonts w:eastAsia="Times New Roman"/>
                <w:i/>
                <w:color w:val="auto"/>
              </w:rPr>
              <w:t xml:space="preserve"> 1 </w:t>
            </w:r>
            <w:proofErr w:type="spellStart"/>
            <w:r w:rsidRPr="00922F8B">
              <w:rPr>
                <w:rFonts w:eastAsia="Times New Roman"/>
                <w:i/>
                <w:color w:val="auto"/>
              </w:rPr>
              <w:t>Ln</w:t>
            </w:r>
            <w:r w:rsidR="00F528DF">
              <w:rPr>
                <w:rFonts w:eastAsia="Times New Roman"/>
                <w:i/>
                <w:color w:val="auto"/>
              </w:rPr>
              <w:t>s</w:t>
            </w:r>
            <w:proofErr w:type="spellEnd"/>
            <w:r w:rsidRPr="00922F8B">
              <w:rPr>
                <w:rFonts w:eastAsia="Times New Roman"/>
                <w:i/>
                <w:color w:val="auto"/>
              </w:rPr>
              <w:t xml:space="preserve"> </w:t>
            </w:r>
            <w:r w:rsidR="00731AB1" w:rsidRPr="00922F8B">
              <w:rPr>
                <w:rFonts w:eastAsia="Times New Roman"/>
                <w:i/>
                <w:color w:val="auto"/>
              </w:rPr>
              <w:t xml:space="preserve">2.1 + </w:t>
            </w:r>
            <w:proofErr w:type="spellStart"/>
            <w:r w:rsidR="00731AB1" w:rsidRPr="00922F8B">
              <w:rPr>
                <w:rFonts w:eastAsia="Times New Roman"/>
                <w:i/>
                <w:color w:val="auto"/>
              </w:rPr>
              <w:t>P</w:t>
            </w:r>
            <w:r w:rsidR="00FF2218" w:rsidRPr="00922F8B">
              <w:rPr>
                <w:rFonts w:eastAsia="Times New Roman"/>
                <w:i/>
                <w:color w:val="auto"/>
              </w:rPr>
              <w:t>t</w:t>
            </w:r>
            <w:proofErr w:type="spellEnd"/>
            <w:r w:rsidR="00731AB1" w:rsidRPr="00922F8B">
              <w:rPr>
                <w:rFonts w:eastAsia="Times New Roman"/>
                <w:i/>
                <w:color w:val="auto"/>
              </w:rPr>
              <w:t xml:space="preserve"> 2 Ln 2.17</w:t>
            </w:r>
            <w:r w:rsidR="000231C8">
              <w:rPr>
                <w:rFonts w:eastAsia="Times New Roman"/>
                <w:i/>
                <w:color w:val="auto"/>
              </w:rPr>
              <w:t>)</w:t>
            </w:r>
            <w:r w:rsidRPr="00922F8B">
              <w:rPr>
                <w:rFonts w:eastAsia="Times New Roman"/>
                <w:i/>
                <w:color w:val="auto"/>
              </w:rPr>
              <w:t xml:space="preserve">, Cols 3/31 + Deferred PY1 – Deferred CY] </w:t>
            </w:r>
          </w:p>
          <w:p w:rsidR="00073D7B" w:rsidRPr="00922F8B" w:rsidRDefault="00073D7B" w:rsidP="003A096D">
            <w:pPr>
              <w:pStyle w:val="ListParagraph"/>
              <w:numPr>
                <w:ilvl w:val="0"/>
                <w:numId w:val="11"/>
              </w:numPr>
              <w:contextualSpacing w:val="0"/>
              <w:rPr>
                <w:rFonts w:eastAsia="Times New Roman"/>
                <w:i/>
                <w:color w:val="auto"/>
              </w:rPr>
            </w:pPr>
            <w:proofErr w:type="spellStart"/>
            <w:r w:rsidRPr="00922F8B">
              <w:rPr>
                <w:rFonts w:eastAsia="Times New Roman"/>
                <w:color w:val="auto"/>
              </w:rPr>
              <w:t>Pt</w:t>
            </w:r>
            <w:proofErr w:type="spellEnd"/>
            <w:r w:rsidRPr="00922F8B">
              <w:rPr>
                <w:rFonts w:eastAsia="Times New Roman"/>
                <w:color w:val="auto"/>
              </w:rPr>
              <w:t xml:space="preserve"> </w:t>
            </w:r>
            <w:r w:rsidR="00F528DF">
              <w:rPr>
                <w:rFonts w:eastAsia="Times New Roman"/>
                <w:color w:val="auto"/>
              </w:rPr>
              <w:t>3</w:t>
            </w:r>
            <w:r w:rsidRPr="00922F8B">
              <w:rPr>
                <w:rFonts w:eastAsia="Times New Roman"/>
                <w:color w:val="auto"/>
              </w:rPr>
              <w:t xml:space="preserve"> Ln 1.</w:t>
            </w:r>
            <w:r w:rsidR="00FF2218" w:rsidRPr="00922F8B">
              <w:rPr>
                <w:rFonts w:eastAsia="Times New Roman"/>
                <w:color w:val="auto"/>
              </w:rPr>
              <w:t>2</w:t>
            </w:r>
            <w:r w:rsidR="00F528DF">
              <w:rPr>
                <w:rFonts w:eastAsia="Times New Roman"/>
                <w:color w:val="auto"/>
              </w:rPr>
              <w:t>, Col</w:t>
            </w:r>
            <w:r w:rsidRPr="00922F8B">
              <w:rPr>
                <w:rFonts w:eastAsia="Times New Roman"/>
                <w:color w:val="auto"/>
              </w:rPr>
              <w:t xml:space="preserve"> CY</w:t>
            </w:r>
            <w:r w:rsidRPr="00922F8B">
              <w:rPr>
                <w:rFonts w:eastAsia="Times New Roman"/>
                <w:i/>
                <w:color w:val="auto"/>
              </w:rPr>
              <w:t xml:space="preserve"> [</w:t>
            </w:r>
            <w:r w:rsidR="00F528DF">
              <w:rPr>
                <w:rFonts w:eastAsia="Times New Roman"/>
                <w:i/>
                <w:color w:val="auto"/>
              </w:rPr>
              <w:t>Current</w:t>
            </w:r>
            <w:r w:rsidR="000E74DF" w:rsidRPr="00922F8B">
              <w:rPr>
                <w:rFonts w:eastAsia="Times New Roman"/>
                <w:i/>
                <w:color w:val="auto"/>
              </w:rPr>
              <w:t xml:space="preserve"> MLR Form, </w:t>
            </w:r>
            <w:proofErr w:type="spellStart"/>
            <w:r w:rsidRPr="00922F8B">
              <w:rPr>
                <w:rFonts w:eastAsia="Times New Roman"/>
                <w:i/>
                <w:color w:val="auto"/>
              </w:rPr>
              <w:t>Pt</w:t>
            </w:r>
            <w:proofErr w:type="spellEnd"/>
            <w:r w:rsidRPr="00922F8B">
              <w:rPr>
                <w:rFonts w:eastAsia="Times New Roman"/>
                <w:i/>
                <w:color w:val="auto"/>
              </w:rPr>
              <w:t xml:space="preserve"> 1 </w:t>
            </w:r>
            <w:proofErr w:type="spellStart"/>
            <w:r w:rsidRPr="00922F8B">
              <w:rPr>
                <w:rFonts w:eastAsia="Times New Roman"/>
                <w:i/>
                <w:color w:val="auto"/>
              </w:rPr>
              <w:t>Lns</w:t>
            </w:r>
            <w:proofErr w:type="spellEnd"/>
            <w:r w:rsidRPr="00922F8B">
              <w:rPr>
                <w:rFonts w:eastAsia="Times New Roman"/>
                <w:i/>
                <w:color w:val="auto"/>
              </w:rPr>
              <w:t xml:space="preserve"> </w:t>
            </w:r>
            <w:r w:rsidR="00FF2218" w:rsidRPr="00922F8B">
              <w:rPr>
                <w:rFonts w:eastAsia="Times New Roman"/>
                <w:i/>
                <w:color w:val="auto"/>
              </w:rPr>
              <w:t>2</w:t>
            </w:r>
            <w:r w:rsidRPr="00922F8B">
              <w:rPr>
                <w:rFonts w:eastAsia="Times New Roman"/>
                <w:i/>
                <w:color w:val="auto"/>
              </w:rPr>
              <w:t xml:space="preserve">.1 + </w:t>
            </w:r>
            <w:r w:rsidR="00FF2218" w:rsidRPr="00922F8B">
              <w:rPr>
                <w:rFonts w:eastAsia="Times New Roman"/>
                <w:i/>
                <w:color w:val="auto"/>
              </w:rPr>
              <w:t>2.11</w:t>
            </w:r>
            <w:r w:rsidRPr="00922F8B">
              <w:rPr>
                <w:rFonts w:eastAsia="Times New Roman"/>
                <w:i/>
                <w:color w:val="auto"/>
              </w:rPr>
              <w:t>, Cols 3/31 + Deferred PY1 – Deferred CY]</w:t>
            </w:r>
          </w:p>
          <w:p w:rsidR="00073D7B" w:rsidRPr="00F528DF" w:rsidRDefault="00073D7B" w:rsidP="003A096D">
            <w:pPr>
              <w:pStyle w:val="ListParagraph"/>
              <w:numPr>
                <w:ilvl w:val="0"/>
                <w:numId w:val="11"/>
              </w:numPr>
              <w:contextualSpacing w:val="0"/>
            </w:pPr>
            <w:proofErr w:type="spellStart"/>
            <w:r w:rsidRPr="00922F8B">
              <w:rPr>
                <w:rFonts w:eastAsia="Times New Roman"/>
                <w:color w:val="auto"/>
              </w:rPr>
              <w:t>Pt</w:t>
            </w:r>
            <w:proofErr w:type="spellEnd"/>
            <w:r w:rsidRPr="00922F8B">
              <w:rPr>
                <w:rFonts w:eastAsia="Times New Roman"/>
                <w:color w:val="auto"/>
              </w:rPr>
              <w:t xml:space="preserve"> </w:t>
            </w:r>
            <w:r w:rsidR="00F528DF">
              <w:rPr>
                <w:rFonts w:eastAsia="Times New Roman"/>
                <w:color w:val="auto"/>
              </w:rPr>
              <w:t>3</w:t>
            </w:r>
            <w:r w:rsidRPr="00922F8B">
              <w:rPr>
                <w:rFonts w:eastAsia="Times New Roman"/>
                <w:color w:val="auto"/>
              </w:rPr>
              <w:t xml:space="preserve"> Ln 1.2, </w:t>
            </w:r>
            <w:r w:rsidR="00F528DF">
              <w:rPr>
                <w:rFonts w:eastAsia="Times New Roman"/>
                <w:color w:val="auto"/>
              </w:rPr>
              <w:t xml:space="preserve">Col </w:t>
            </w:r>
            <w:r w:rsidRPr="00922F8B">
              <w:rPr>
                <w:rFonts w:eastAsia="Times New Roman"/>
                <w:color w:val="auto"/>
              </w:rPr>
              <w:t xml:space="preserve">Total </w:t>
            </w:r>
            <w:r w:rsidRPr="00922F8B">
              <w:rPr>
                <w:rFonts w:eastAsia="Times New Roman"/>
                <w:i/>
                <w:color w:val="auto"/>
              </w:rPr>
              <w:t>[</w:t>
            </w:r>
            <w:proofErr w:type="spellStart"/>
            <w:r w:rsidRPr="00922F8B">
              <w:rPr>
                <w:rFonts w:eastAsia="Times New Roman"/>
                <w:i/>
                <w:color w:val="auto"/>
              </w:rPr>
              <w:t>Pt</w:t>
            </w:r>
            <w:proofErr w:type="spellEnd"/>
            <w:r w:rsidRPr="00922F8B">
              <w:rPr>
                <w:rFonts w:eastAsia="Times New Roman"/>
                <w:i/>
                <w:color w:val="auto"/>
              </w:rPr>
              <w:t xml:space="preserve"> </w:t>
            </w:r>
            <w:r w:rsidR="00F528DF">
              <w:rPr>
                <w:rFonts w:eastAsia="Times New Roman"/>
                <w:i/>
                <w:color w:val="auto"/>
              </w:rPr>
              <w:t>3</w:t>
            </w:r>
            <w:r w:rsidRPr="00922F8B">
              <w:rPr>
                <w:rFonts w:eastAsia="Times New Roman"/>
                <w:i/>
                <w:color w:val="auto"/>
              </w:rPr>
              <w:t xml:space="preserve"> Ln 1.2, </w:t>
            </w:r>
            <w:r w:rsidR="00F528DF">
              <w:rPr>
                <w:rFonts w:eastAsia="Times New Roman"/>
                <w:i/>
                <w:color w:val="auto"/>
              </w:rPr>
              <w:t xml:space="preserve">Cols </w:t>
            </w:r>
            <w:r w:rsidRPr="00922F8B">
              <w:rPr>
                <w:rFonts w:eastAsia="Times New Roman"/>
                <w:i/>
                <w:color w:val="auto"/>
              </w:rPr>
              <w:t>PY2 + PY1 + CY]</w:t>
            </w:r>
          </w:p>
          <w:p w:rsidR="00F528DF" w:rsidRPr="00F528DF" w:rsidRDefault="00F528DF" w:rsidP="003A096D">
            <w:pPr>
              <w:pStyle w:val="ListParagraph"/>
              <w:numPr>
                <w:ilvl w:val="0"/>
                <w:numId w:val="11"/>
              </w:numPr>
              <w:contextualSpacing w:val="0"/>
            </w:pPr>
            <w:r>
              <w:rPr>
                <w:rFonts w:eastAsia="Times New Roman"/>
                <w:color w:val="auto"/>
              </w:rPr>
              <w:t xml:space="preserve">Pt 3 Ln 1.2, Col Total for 2014 Student Health Plans only </w:t>
            </w:r>
            <w:r>
              <w:rPr>
                <w:rFonts w:eastAsia="Times New Roman"/>
                <w:i/>
                <w:color w:val="auto"/>
              </w:rPr>
              <w:t>[</w:t>
            </w:r>
            <w:r w:rsidR="00F07394">
              <w:rPr>
                <w:rFonts w:eastAsia="Times New Roman"/>
                <w:i/>
                <w:color w:val="auto"/>
              </w:rPr>
              <w:t>I</w:t>
            </w:r>
            <w:r w:rsidRPr="00F528DF">
              <w:rPr>
                <w:rFonts w:eastAsia="Times New Roman"/>
                <w:i/>
                <w:color w:val="auto"/>
              </w:rPr>
              <w:t>f Pt 3 Ln 4.1, Col</w:t>
            </w:r>
            <w:r w:rsidR="00F07394">
              <w:rPr>
                <w:rFonts w:eastAsia="Times New Roman"/>
                <w:i/>
                <w:color w:val="auto"/>
              </w:rPr>
              <w:t xml:space="preserve"> CY ≥ 75,000: </w:t>
            </w:r>
            <w:r w:rsidRPr="00F528DF">
              <w:rPr>
                <w:rFonts w:eastAsia="Times New Roman"/>
                <w:i/>
                <w:color w:val="auto"/>
              </w:rPr>
              <w:t>Pt 3 Ln 1.2, Col CY; If</w:t>
            </w:r>
            <w:r w:rsidR="00F07394">
              <w:rPr>
                <w:rFonts w:eastAsia="Times New Roman"/>
                <w:i/>
                <w:color w:val="auto"/>
              </w:rPr>
              <w:t xml:space="preserve"> Pt 3 Ln 4.1, Col CY &lt; 75,000: </w:t>
            </w:r>
            <w:r w:rsidRPr="00F528DF">
              <w:rPr>
                <w:rFonts w:eastAsia="Times New Roman"/>
                <w:i/>
                <w:color w:val="auto"/>
              </w:rPr>
              <w:t>Pt 3 Ln 1.2, Cols PY1 + CY]</w:t>
            </w:r>
          </w:p>
          <w:p w:rsidR="00F528DF" w:rsidRPr="00922F8B" w:rsidRDefault="00F528DF" w:rsidP="003A096D">
            <w:pPr>
              <w:pStyle w:val="ListParagraph"/>
              <w:numPr>
                <w:ilvl w:val="0"/>
                <w:numId w:val="11"/>
              </w:numPr>
              <w:contextualSpacing w:val="0"/>
            </w:pPr>
            <w:r>
              <w:rPr>
                <w:rFonts w:eastAsia="Times New Roman"/>
                <w:color w:val="auto"/>
              </w:rPr>
              <w:t xml:space="preserve">Pt 3 Ln 1.2, Col RC </w:t>
            </w:r>
            <w:r>
              <w:rPr>
                <w:rFonts w:eastAsia="Times New Roman"/>
                <w:i/>
                <w:color w:val="auto"/>
              </w:rPr>
              <w:t xml:space="preserve">[Current MLR Form, </w:t>
            </w:r>
            <w:proofErr w:type="spellStart"/>
            <w:r>
              <w:rPr>
                <w:rFonts w:eastAsia="Times New Roman"/>
                <w:i/>
                <w:color w:val="auto"/>
              </w:rPr>
              <w:t>Pt</w:t>
            </w:r>
            <w:proofErr w:type="spellEnd"/>
            <w:r>
              <w:rPr>
                <w:rFonts w:eastAsia="Times New Roman"/>
                <w:i/>
                <w:color w:val="auto"/>
              </w:rPr>
              <w:t xml:space="preserve"> </w:t>
            </w:r>
            <w:r w:rsidR="00F07394">
              <w:rPr>
                <w:rFonts w:eastAsia="Times New Roman"/>
                <w:i/>
                <w:color w:val="auto"/>
              </w:rPr>
              <w:t>1</w:t>
            </w:r>
            <w:r>
              <w:rPr>
                <w:rFonts w:eastAsia="Times New Roman"/>
                <w:i/>
                <w:color w:val="auto"/>
              </w:rPr>
              <w:t xml:space="preserve"> </w:t>
            </w:r>
            <w:proofErr w:type="spellStart"/>
            <w:r>
              <w:rPr>
                <w:rFonts w:eastAsia="Times New Roman"/>
                <w:i/>
                <w:color w:val="auto"/>
              </w:rPr>
              <w:t>Lns</w:t>
            </w:r>
            <w:proofErr w:type="spellEnd"/>
            <w:r>
              <w:rPr>
                <w:rFonts w:eastAsia="Times New Roman"/>
                <w:i/>
                <w:color w:val="auto"/>
              </w:rPr>
              <w:t xml:space="preserve"> 2.1 + 2.11, Col RC]</w:t>
            </w:r>
          </w:p>
          <w:p w:rsidR="00F528DF" w:rsidRPr="00F528DF" w:rsidRDefault="00F528DF" w:rsidP="00F528DF">
            <w:pPr>
              <w:numPr>
                <w:ilvl w:val="0"/>
                <w:numId w:val="28"/>
              </w:numPr>
              <w:rPr>
                <w:rFonts w:eastAsia="Times New Roman"/>
                <w:color w:val="auto"/>
              </w:rPr>
            </w:pPr>
            <w:r>
              <w:rPr>
                <w:rFonts w:eastAsia="Times New Roman"/>
                <w:color w:val="auto"/>
              </w:rPr>
              <w:t>Verify th</w:t>
            </w:r>
            <w:r w:rsidRPr="00DA7E3B">
              <w:rPr>
                <w:rFonts w:eastAsia="Times New Roman"/>
                <w:color w:val="auto"/>
              </w:rPr>
              <w:t xml:space="preserve">at </w:t>
            </w:r>
            <w:r>
              <w:rPr>
                <w:rFonts w:eastAsia="Times New Roman"/>
                <w:color w:val="auto"/>
              </w:rPr>
              <w:t xml:space="preserve">Pt </w:t>
            </w:r>
            <w:r w:rsidR="00E52A4E">
              <w:rPr>
                <w:rFonts w:eastAsia="Times New Roman"/>
                <w:color w:val="auto"/>
              </w:rPr>
              <w:t>1</w:t>
            </w:r>
            <w:r>
              <w:rPr>
                <w:rFonts w:eastAsia="Times New Roman"/>
                <w:color w:val="auto"/>
              </w:rPr>
              <w:t xml:space="preserve"> Ln 2.1 and </w:t>
            </w:r>
            <w:proofErr w:type="spellStart"/>
            <w:r>
              <w:rPr>
                <w:rFonts w:eastAsia="Times New Roman"/>
                <w:color w:val="auto"/>
              </w:rPr>
              <w:t>Pt</w:t>
            </w:r>
            <w:proofErr w:type="spellEnd"/>
            <w:r>
              <w:rPr>
                <w:rFonts w:eastAsia="Times New Roman"/>
                <w:color w:val="auto"/>
              </w:rPr>
              <w:t xml:space="preserve"> 2 </w:t>
            </w:r>
            <w:proofErr w:type="spellStart"/>
            <w:r>
              <w:rPr>
                <w:rFonts w:eastAsia="Times New Roman"/>
                <w:color w:val="auto"/>
              </w:rPr>
              <w:t>Ln</w:t>
            </w:r>
            <w:r w:rsidR="00F65B51">
              <w:rPr>
                <w:rFonts w:eastAsia="Times New Roman"/>
                <w:color w:val="auto"/>
              </w:rPr>
              <w:t>s</w:t>
            </w:r>
            <w:proofErr w:type="spellEnd"/>
            <w:r>
              <w:rPr>
                <w:rFonts w:eastAsia="Times New Roman"/>
                <w:color w:val="auto"/>
              </w:rPr>
              <w:t xml:space="preserve"> </w:t>
            </w:r>
            <w:r w:rsidR="00E52A4E">
              <w:rPr>
                <w:rFonts w:eastAsia="Times New Roman"/>
                <w:color w:val="auto"/>
              </w:rPr>
              <w:t xml:space="preserve">2.16 and </w:t>
            </w:r>
            <w:r>
              <w:rPr>
                <w:rFonts w:eastAsia="Times New Roman"/>
                <w:color w:val="auto"/>
              </w:rPr>
              <w:t>2.1</w:t>
            </w:r>
            <w:r w:rsidR="00E52A4E">
              <w:rPr>
                <w:rFonts w:eastAsia="Times New Roman"/>
                <w:color w:val="auto"/>
              </w:rPr>
              <w:t>7</w:t>
            </w:r>
            <w:r>
              <w:rPr>
                <w:rFonts w:eastAsia="Times New Roman"/>
                <w:color w:val="auto"/>
              </w:rPr>
              <w:t xml:space="preserve"> are calculated correctly according to the formula in the</w:t>
            </w:r>
            <w:r w:rsidRPr="00DA7E3B">
              <w:rPr>
                <w:rFonts w:eastAsia="Times New Roman"/>
                <w:color w:val="auto"/>
              </w:rPr>
              <w:t xml:space="preserve"> MLR Form Instructions for the applicable year</w:t>
            </w:r>
            <w:r>
              <w:rPr>
                <w:rFonts w:eastAsia="Times New Roman"/>
                <w:color w:val="auto"/>
              </w:rPr>
              <w:t xml:space="preserve"> (for both MLR and, if applicable, RC columns).</w:t>
            </w:r>
          </w:p>
          <w:p w:rsidR="000E74DF" w:rsidRDefault="000E74DF" w:rsidP="003A096D">
            <w:pPr>
              <w:numPr>
                <w:ilvl w:val="0"/>
                <w:numId w:val="28"/>
              </w:numPr>
            </w:pPr>
            <w:r w:rsidRPr="00922F8B">
              <w:t xml:space="preserve">Review PY2 and PY1 claims run-out: </w:t>
            </w:r>
            <w:proofErr w:type="spellStart"/>
            <w:r w:rsidRPr="00922F8B">
              <w:t>Pt</w:t>
            </w:r>
            <w:proofErr w:type="spellEnd"/>
            <w:r w:rsidRPr="00922F8B">
              <w:t xml:space="preserve"> </w:t>
            </w:r>
            <w:r w:rsidR="00E52A4E">
              <w:t>3</w:t>
            </w:r>
            <w:r w:rsidRPr="00922F8B">
              <w:t>, Ln 1.1 vs. 1.2.  Verify that claims liabilities</w:t>
            </w:r>
            <w:r w:rsidR="00193982" w:rsidRPr="00922F8B">
              <w:t xml:space="preserve"> and </w:t>
            </w:r>
            <w:r w:rsidRPr="00922F8B">
              <w:t>reserves are not consistently overstated.  Conversely, if incurred claims have increased</w:t>
            </w:r>
            <w:r w:rsidR="00193982" w:rsidRPr="00922F8B">
              <w:t xml:space="preserve"> after run-out, verify that payments in fact exceeded liabilities and reserves.</w:t>
            </w:r>
          </w:p>
          <w:p w:rsidR="00F528DF" w:rsidRPr="00E73E75" w:rsidRDefault="00F528DF" w:rsidP="00F528DF">
            <w:pPr>
              <w:numPr>
                <w:ilvl w:val="0"/>
                <w:numId w:val="28"/>
              </w:numPr>
              <w:rPr>
                <w:i/>
              </w:rPr>
            </w:pPr>
            <w:r>
              <w:t>Verify accuracy of Advance Payments of Cost-Sharing Reductions (CSRs):</w:t>
            </w:r>
          </w:p>
          <w:p w:rsidR="00F528DF" w:rsidRDefault="00F65B51" w:rsidP="00F528DF">
            <w:pPr>
              <w:numPr>
                <w:ilvl w:val="1"/>
                <w:numId w:val="28"/>
              </w:numPr>
              <w:ind w:left="774"/>
            </w:pPr>
            <w:r>
              <w:t>Reconcile</w:t>
            </w:r>
            <w:r w:rsidR="00F528DF">
              <w:t xml:space="preserve"> amounts reported on MLR Form Pt 2 Ln 2.18 to statements issuer received from HHS.  For 2014, if the issuer opted to use estimates, verify that the estimates comply with CCIIO June 19, 2015 guidance.</w:t>
            </w:r>
            <w:r w:rsidR="00F528DF">
              <w:rPr>
                <w:rStyle w:val="FootnoteReference"/>
              </w:rPr>
              <w:footnoteReference w:id="10"/>
            </w:r>
            <w:r w:rsidR="00F528DF">
              <w:t xml:space="preserve"> </w:t>
            </w:r>
          </w:p>
          <w:p w:rsidR="00F528DF" w:rsidRDefault="00F528DF" w:rsidP="00F528DF">
            <w:pPr>
              <w:numPr>
                <w:ilvl w:val="1"/>
                <w:numId w:val="28"/>
              </w:numPr>
              <w:ind w:left="774"/>
            </w:pPr>
            <w:r>
              <w:t xml:space="preserve">Verify that CSR payments to providers were included </w:t>
            </w:r>
            <w:r>
              <w:lastRenderedPageBreak/>
              <w:t>in paid claims on Pt 2 Ln 2.1b; and that CSR receipt/receivable amounts were reported on both Pt 2 Ln 2.18 and Pt 3 Ln 1.4 of the MLR Form. Verify that CSR amounts were reported in all columns (both MLR and, if applicable, RC columns).</w:t>
            </w:r>
          </w:p>
          <w:p w:rsidR="00F528DF" w:rsidRDefault="00F528DF" w:rsidP="00F528DF">
            <w:pPr>
              <w:numPr>
                <w:ilvl w:val="0"/>
                <w:numId w:val="28"/>
              </w:numPr>
            </w:pPr>
            <w:r>
              <w:t>For issuers subject to the commercial RC rule, verify that:</w:t>
            </w:r>
          </w:p>
          <w:p w:rsidR="00F65B51" w:rsidRDefault="00F65B51" w:rsidP="00F72240">
            <w:pPr>
              <w:pStyle w:val="ListParagraph"/>
              <w:numPr>
                <w:ilvl w:val="1"/>
                <w:numId w:val="28"/>
              </w:numPr>
              <w:ind w:left="772"/>
              <w:contextualSpacing w:val="0"/>
            </w:pPr>
            <w:r w:rsidRPr="00F65B51">
              <w:t>Claims amounts reported in the RC columns of the MLR Form reconcile t</w:t>
            </w:r>
            <w:r>
              <w:t>o the summary level claims data</w:t>
            </w:r>
            <w:r w:rsidRPr="00F65B51">
              <w:t>set provided by the</w:t>
            </w:r>
            <w:r>
              <w:t xml:space="preserve"> issuer.</w:t>
            </w:r>
          </w:p>
          <w:p w:rsidR="00F528DF" w:rsidRPr="00F528DF" w:rsidRDefault="00F528DF" w:rsidP="00F72240">
            <w:pPr>
              <w:pStyle w:val="ListParagraph"/>
              <w:numPr>
                <w:ilvl w:val="1"/>
                <w:numId w:val="28"/>
              </w:numPr>
              <w:ind w:left="772"/>
              <w:contextualSpacing w:val="0"/>
            </w:pPr>
            <w:r>
              <w:t xml:space="preserve">Claims were assigned to the correct classification as being associated with either ACA-compliant (non-grandfathered or transitional), or non ACA-compliant policies (see </w:t>
            </w:r>
            <w:r w:rsidR="00F65B51">
              <w:t>Procedure</w:t>
            </w:r>
            <w:r>
              <w:t xml:space="preserve"> #2 for additional details).</w:t>
            </w:r>
          </w:p>
          <w:p w:rsidR="00474B0B" w:rsidRPr="003A096D" w:rsidRDefault="00073D7B" w:rsidP="00474C30">
            <w:pPr>
              <w:rPr>
                <w:i/>
              </w:rPr>
            </w:pPr>
            <w:r w:rsidRPr="00922F8B">
              <w:rPr>
                <w:i/>
              </w:rPr>
              <w:t>[Claims =</w:t>
            </w:r>
            <w:proofErr w:type="spellStart"/>
            <w:r w:rsidRPr="00922F8B">
              <w:rPr>
                <w:i/>
              </w:rPr>
              <w:t>Pts</w:t>
            </w:r>
            <w:proofErr w:type="spellEnd"/>
            <w:r w:rsidRPr="00922F8B">
              <w:rPr>
                <w:i/>
              </w:rPr>
              <w:t xml:space="preserve"> 1 and 2, Sec 2; </w:t>
            </w:r>
            <w:proofErr w:type="spellStart"/>
            <w:r w:rsidRPr="00922F8B">
              <w:rPr>
                <w:i/>
              </w:rPr>
              <w:t>Pt</w:t>
            </w:r>
            <w:proofErr w:type="spellEnd"/>
            <w:r w:rsidRPr="00922F8B">
              <w:rPr>
                <w:i/>
              </w:rPr>
              <w:t xml:space="preserve"> </w:t>
            </w:r>
            <w:r w:rsidR="00474C30">
              <w:rPr>
                <w:i/>
              </w:rPr>
              <w:t>3</w:t>
            </w:r>
            <w:r w:rsidRPr="00922F8B">
              <w:rPr>
                <w:i/>
              </w:rPr>
              <w:t xml:space="preserve"> Sec1]</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58"/>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8</w:t>
            </w: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§158.150</w:t>
            </w:r>
            <w:r w:rsidRPr="00922F8B">
              <w:rPr>
                <w:rFonts w:eastAsia="Times New Roman"/>
                <w:color w:val="auto"/>
              </w:rPr>
              <w:br/>
              <w:t>§158.151</w:t>
            </w:r>
          </w:p>
          <w:p w:rsidR="00073D7B" w:rsidRPr="00922F8B" w:rsidRDefault="00073D7B" w:rsidP="005060C3">
            <w:pPr>
              <w:pStyle w:val="Heading2"/>
              <w:rPr>
                <w:rFonts w:ascii="Times New Roman" w:hAnsi="Times New Roman"/>
                <w:lang w:val="en-US" w:eastAsia="en-US"/>
              </w:rPr>
            </w:pP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classification of activities that improve health care quality</w:t>
            </w:r>
          </w:p>
        </w:tc>
        <w:tc>
          <w:tcPr>
            <w:tcW w:w="5930" w:type="dxa"/>
            <w:shd w:val="clear" w:color="auto" w:fill="auto"/>
          </w:tcPr>
          <w:p w:rsidR="00243D57" w:rsidRPr="00922F8B" w:rsidRDefault="00073D7B" w:rsidP="00243D57">
            <w:pPr>
              <w:pStyle w:val="ListParagraph"/>
              <w:numPr>
                <w:ilvl w:val="0"/>
                <w:numId w:val="21"/>
              </w:numPr>
              <w:contextualSpacing w:val="0"/>
            </w:pPr>
            <w:r w:rsidRPr="00922F8B">
              <w:t>Verify that:</w:t>
            </w:r>
          </w:p>
          <w:p w:rsidR="00073D7B" w:rsidRPr="00922F8B" w:rsidRDefault="00073D7B" w:rsidP="00F65B51">
            <w:pPr>
              <w:pStyle w:val="ListParagraph"/>
              <w:numPr>
                <w:ilvl w:val="1"/>
                <w:numId w:val="21"/>
              </w:numPr>
              <w:ind w:left="772"/>
              <w:contextualSpacing w:val="0"/>
              <w:rPr>
                <w:rFonts w:eastAsia="Times New Roman"/>
                <w:color w:val="auto"/>
              </w:rPr>
            </w:pPr>
            <w:r w:rsidRPr="00922F8B">
              <w:t>Health care quality improv</w:t>
            </w:r>
            <w:r w:rsidR="00AC3CC9" w:rsidRPr="00922F8B">
              <w:t>ing</w:t>
            </w:r>
            <w:r w:rsidRPr="00922F8B">
              <w:t xml:space="preserve"> activities </w:t>
            </w:r>
            <w:r w:rsidR="00F11A8D" w:rsidRPr="00922F8B">
              <w:t xml:space="preserve">(QIA) </w:t>
            </w:r>
            <w:r w:rsidRPr="00922F8B">
              <w:t xml:space="preserve">reported on the MLR Form conform to the definition of </w:t>
            </w:r>
            <w:r w:rsidR="00C16925" w:rsidRPr="00922F8B">
              <w:t>same</w:t>
            </w:r>
            <w:r w:rsidRPr="00922F8B">
              <w:t xml:space="preserve"> in 45 CFR 158.150-151.</w:t>
            </w:r>
          </w:p>
          <w:p w:rsidR="00073D7B" w:rsidRPr="00922F8B" w:rsidRDefault="00C16925" w:rsidP="00F65B51">
            <w:pPr>
              <w:pStyle w:val="ListParagraph"/>
              <w:numPr>
                <w:ilvl w:val="1"/>
                <w:numId w:val="21"/>
              </w:numPr>
              <w:ind w:left="772"/>
              <w:contextualSpacing w:val="0"/>
              <w:rPr>
                <w:rFonts w:eastAsia="Times New Roman"/>
                <w:color w:val="auto"/>
              </w:rPr>
            </w:pPr>
            <w:r w:rsidRPr="00922F8B">
              <w:t xml:space="preserve">QIA expenses </w:t>
            </w:r>
            <w:r w:rsidR="00073D7B" w:rsidRPr="00922F8B">
              <w:t xml:space="preserve">reported in </w:t>
            </w:r>
            <w:proofErr w:type="spellStart"/>
            <w:r w:rsidR="00073D7B" w:rsidRPr="00922F8B">
              <w:t>Pt</w:t>
            </w:r>
            <w:proofErr w:type="spellEnd"/>
            <w:r w:rsidR="00073D7B" w:rsidRPr="00922F8B">
              <w:t xml:space="preserve"> 1 and 2 of the MLR Form are consistent with the </w:t>
            </w:r>
            <w:r w:rsidR="00F65B51">
              <w:t>allocation method(s) reported</w:t>
            </w:r>
            <w:r w:rsidR="00073D7B" w:rsidRPr="00922F8B">
              <w:t xml:space="preserve"> in </w:t>
            </w:r>
            <w:proofErr w:type="spellStart"/>
            <w:r w:rsidR="00073D7B" w:rsidRPr="00922F8B">
              <w:t>Pt</w:t>
            </w:r>
            <w:proofErr w:type="spellEnd"/>
            <w:r w:rsidR="00073D7B" w:rsidRPr="00922F8B">
              <w:t xml:space="preserve"> </w:t>
            </w:r>
            <w:r w:rsidR="00474C30">
              <w:t>6</w:t>
            </w:r>
            <w:r w:rsidR="00073D7B" w:rsidRPr="00922F8B">
              <w:t xml:space="preserve"> of the MLR Form.</w:t>
            </w:r>
          </w:p>
          <w:p w:rsidR="00474C30" w:rsidRPr="00474C30" w:rsidRDefault="00474C30" w:rsidP="00F65B51">
            <w:pPr>
              <w:pStyle w:val="ListParagraph"/>
              <w:numPr>
                <w:ilvl w:val="1"/>
                <w:numId w:val="21"/>
              </w:numPr>
              <w:ind w:left="772"/>
              <w:contextualSpacing w:val="0"/>
              <w:rPr>
                <w:rFonts w:eastAsia="Times New Roman"/>
                <w:color w:val="auto"/>
              </w:rPr>
            </w:pPr>
            <w:r>
              <w:rPr>
                <w:rFonts w:eastAsia="Times New Roman"/>
                <w:color w:val="auto"/>
              </w:rPr>
              <w:t>ICD-10 implementation expenses reported on Pt 1, Ln 4.6 of the MLR Form comply with the definition in 45 CFR 158.150(b)(2)(i)(A)(6) and (c)(5)</w:t>
            </w:r>
            <w:r w:rsidR="008E1F26">
              <w:rPr>
                <w:rFonts w:eastAsia="Times New Roman"/>
                <w:color w:val="auto"/>
              </w:rPr>
              <w:t>, including that they do not exceed the cap</w:t>
            </w:r>
            <w:r>
              <w:rPr>
                <w:rFonts w:eastAsia="Times New Roman"/>
                <w:color w:val="auto"/>
              </w:rPr>
              <w:t>. Beginning with the 2016 MLR reporting year, confirm that ICD-10 implementation expenses were not included in QIA.</w:t>
            </w:r>
          </w:p>
          <w:p w:rsidR="00193982" w:rsidRPr="00243D57" w:rsidRDefault="00193982" w:rsidP="00F65B51">
            <w:pPr>
              <w:pStyle w:val="ListParagraph"/>
              <w:numPr>
                <w:ilvl w:val="1"/>
                <w:numId w:val="21"/>
              </w:numPr>
              <w:ind w:left="772"/>
              <w:contextualSpacing w:val="0"/>
              <w:rPr>
                <w:rFonts w:eastAsia="Times New Roman"/>
                <w:color w:val="auto"/>
              </w:rPr>
            </w:pPr>
            <w:r w:rsidRPr="00922F8B">
              <w:t>QIA expenses have adequate support, including job descriptions and time studies to support salary expenses.</w:t>
            </w:r>
          </w:p>
          <w:p w:rsidR="00243D57" w:rsidRDefault="00243D57" w:rsidP="00243D57">
            <w:pPr>
              <w:pStyle w:val="ListParagraph"/>
              <w:numPr>
                <w:ilvl w:val="0"/>
                <w:numId w:val="21"/>
              </w:numPr>
              <w:contextualSpacing w:val="0"/>
              <w:rPr>
                <w:rFonts w:eastAsia="Times New Roman"/>
                <w:color w:val="auto"/>
              </w:rPr>
            </w:pPr>
            <w:r w:rsidRPr="00243D57">
              <w:rPr>
                <w:rFonts w:eastAsia="Times New Roman"/>
                <w:color w:val="auto"/>
              </w:rPr>
              <w:t xml:space="preserve">Verify reasonableness and accuracy of the allocation </w:t>
            </w:r>
            <w:r>
              <w:rPr>
                <w:rFonts w:eastAsia="Times New Roman"/>
                <w:color w:val="auto"/>
              </w:rPr>
              <w:t xml:space="preserve">of </w:t>
            </w:r>
            <w:r w:rsidRPr="00243D57">
              <w:rPr>
                <w:rFonts w:eastAsia="Times New Roman"/>
                <w:color w:val="auto"/>
              </w:rPr>
              <w:t xml:space="preserve">QIA expenses among states, lines of business and markets, and among affiliated issuers within a holding company. Include </w:t>
            </w:r>
            <w:r w:rsidRPr="00243D57">
              <w:rPr>
                <w:rFonts w:eastAsia="Times New Roman"/>
                <w:color w:val="auto"/>
              </w:rPr>
              <w:lastRenderedPageBreak/>
              <w:t>states and markets where the entity has business that is not subject to the commercial MLR rule (i.e., government program plans, other health business, self-funded (uninsured) plans).</w:t>
            </w:r>
          </w:p>
          <w:p w:rsidR="00243D57" w:rsidRPr="00243D57" w:rsidRDefault="00243D57" w:rsidP="00243D57">
            <w:pPr>
              <w:pStyle w:val="ListParagraph"/>
              <w:numPr>
                <w:ilvl w:val="0"/>
                <w:numId w:val="21"/>
              </w:numPr>
              <w:rPr>
                <w:rFonts w:eastAsia="Times New Roman"/>
                <w:color w:val="auto"/>
              </w:rPr>
            </w:pPr>
            <w:r w:rsidRPr="00243D57">
              <w:rPr>
                <w:rFonts w:eastAsia="Times New Roman"/>
                <w:color w:val="auto"/>
              </w:rPr>
              <w:t xml:space="preserve">Verify </w:t>
            </w:r>
            <w:r w:rsidR="00106748">
              <w:rPr>
                <w:rFonts w:eastAsia="Times New Roman"/>
                <w:color w:val="auto"/>
              </w:rPr>
              <w:t xml:space="preserve">the </w:t>
            </w:r>
            <w:r w:rsidRPr="00243D57">
              <w:rPr>
                <w:rFonts w:eastAsia="Times New Roman"/>
                <w:color w:val="auto"/>
              </w:rPr>
              <w:t>reasonableness and accuracy of allocations to the ACA-compliant segment in the RC columns, if applicable.</w:t>
            </w:r>
          </w:p>
          <w:p w:rsidR="00073D7B" w:rsidRPr="00922F8B" w:rsidRDefault="00073D7B" w:rsidP="00474C30">
            <w:pPr>
              <w:rPr>
                <w:rFonts w:eastAsia="Times New Roman"/>
                <w:color w:val="auto"/>
              </w:rPr>
            </w:pPr>
            <w:r w:rsidRPr="00922F8B">
              <w:rPr>
                <w:bCs/>
                <w:i/>
              </w:rPr>
              <w:t>[</w:t>
            </w:r>
            <w:r w:rsidR="00C16925" w:rsidRPr="00922F8B">
              <w:rPr>
                <w:bCs/>
                <w:i/>
              </w:rPr>
              <w:t>QIA</w:t>
            </w:r>
            <w:r w:rsidRPr="00922F8B">
              <w:rPr>
                <w:bCs/>
                <w:i/>
              </w:rPr>
              <w:t xml:space="preserve"> expenses=Pt 1 Sec 4; </w:t>
            </w:r>
            <w:proofErr w:type="spellStart"/>
            <w:r w:rsidRPr="00922F8B">
              <w:rPr>
                <w:bCs/>
                <w:i/>
              </w:rPr>
              <w:t>Pt</w:t>
            </w:r>
            <w:proofErr w:type="spellEnd"/>
            <w:r w:rsidRPr="00922F8B">
              <w:rPr>
                <w:bCs/>
                <w:i/>
              </w:rPr>
              <w:t xml:space="preserve"> </w:t>
            </w:r>
            <w:r w:rsidR="00474C30">
              <w:rPr>
                <w:bCs/>
                <w:i/>
              </w:rPr>
              <w:t>3</w:t>
            </w:r>
            <w:r w:rsidRPr="00922F8B">
              <w:rPr>
                <w:bCs/>
                <w:i/>
              </w:rPr>
              <w:t xml:space="preserve"> Ln 1.3</w:t>
            </w:r>
            <w:r w:rsidR="00474C30">
              <w:rPr>
                <w:bCs/>
                <w:i/>
              </w:rPr>
              <w:t xml:space="preserve">; </w:t>
            </w:r>
            <w:proofErr w:type="spellStart"/>
            <w:r w:rsidR="00474C30">
              <w:rPr>
                <w:bCs/>
                <w:i/>
              </w:rPr>
              <w:t>Pt</w:t>
            </w:r>
            <w:proofErr w:type="spellEnd"/>
            <w:r w:rsidR="00474C30">
              <w:rPr>
                <w:bCs/>
                <w:i/>
              </w:rPr>
              <w:t xml:space="preserve"> 6 Sec 3</w:t>
            </w:r>
            <w:r w:rsidRPr="00922F8B">
              <w:rPr>
                <w:bCs/>
                <w:i/>
              </w:rPr>
              <w:t>]</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58"/>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9</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§158.161</w:t>
            </w:r>
          </w:p>
          <w:p w:rsidR="00073D7B" w:rsidRPr="00922F8B" w:rsidRDefault="00073D7B" w:rsidP="005060C3">
            <w:pPr>
              <w:spacing w:after="0"/>
              <w:rPr>
                <w:rFonts w:eastAsia="Times New Roman"/>
                <w:color w:val="auto"/>
              </w:rPr>
            </w:pPr>
            <w:r w:rsidRPr="00922F8B">
              <w:rPr>
                <w:rFonts w:eastAsia="Times New Roman"/>
                <w:color w:val="auto"/>
              </w:rPr>
              <w:t>§158.162</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accuracy of reporting of taxes and regulatory fees</w:t>
            </w:r>
          </w:p>
        </w:tc>
        <w:tc>
          <w:tcPr>
            <w:tcW w:w="5930" w:type="dxa"/>
            <w:tcBorders>
              <w:top w:val="single" w:sz="8" w:space="0" w:color="4F81BD"/>
              <w:bottom w:val="single" w:sz="8" w:space="0" w:color="4F81BD"/>
            </w:tcBorders>
            <w:shd w:val="clear" w:color="auto" w:fill="auto"/>
          </w:tcPr>
          <w:p w:rsidR="00073D7B" w:rsidRPr="00922F8B" w:rsidRDefault="00073D7B" w:rsidP="003A096D">
            <w:pPr>
              <w:rPr>
                <w:rFonts w:eastAsia="Times New Roman"/>
                <w:color w:val="auto"/>
              </w:rPr>
            </w:pPr>
            <w:r w:rsidRPr="00922F8B">
              <w:rPr>
                <w:rFonts w:eastAsia="Times New Roman"/>
                <w:color w:val="auto"/>
              </w:rPr>
              <w:t>Obtain documentation for assessments, fees, and taxes (including inter-company tax allocation agreements) and verify that:</w:t>
            </w:r>
          </w:p>
          <w:p w:rsidR="00073D7B" w:rsidRDefault="00073D7B" w:rsidP="003A096D">
            <w:pPr>
              <w:pStyle w:val="ListParagraph"/>
              <w:numPr>
                <w:ilvl w:val="0"/>
                <w:numId w:val="22"/>
              </w:numPr>
              <w:contextualSpacing w:val="0"/>
              <w:rPr>
                <w:rFonts w:eastAsia="Times New Roman"/>
                <w:color w:val="auto"/>
              </w:rPr>
            </w:pPr>
            <w:r w:rsidRPr="00922F8B">
              <w:rPr>
                <w:rFonts w:eastAsia="Times New Roman"/>
                <w:color w:val="auto"/>
              </w:rPr>
              <w:t xml:space="preserve">Taxes and fees were </w:t>
            </w:r>
            <w:r w:rsidR="00106748">
              <w:rPr>
                <w:rFonts w:eastAsia="Times New Roman"/>
                <w:color w:val="auto"/>
              </w:rPr>
              <w:t xml:space="preserve">accurate and </w:t>
            </w:r>
            <w:r w:rsidRPr="00922F8B">
              <w:rPr>
                <w:rFonts w:eastAsia="Times New Roman"/>
                <w:color w:val="auto"/>
              </w:rPr>
              <w:t>reported in accordance with the regulation.</w:t>
            </w:r>
            <w:r w:rsidR="00846FFF" w:rsidRPr="00922F8B">
              <w:rPr>
                <w:rFonts w:eastAsia="Times New Roman"/>
                <w:color w:val="auto"/>
              </w:rPr>
              <w:t xml:space="preserve"> </w:t>
            </w:r>
            <w:r w:rsidR="00336FF5" w:rsidRPr="00922F8B">
              <w:rPr>
                <w:rFonts w:eastAsia="Times New Roman"/>
                <w:color w:val="auto"/>
              </w:rPr>
              <w:t xml:space="preserve">Beginning with </w:t>
            </w:r>
            <w:r w:rsidR="009764E6" w:rsidRPr="00922F8B">
              <w:rPr>
                <w:rFonts w:eastAsia="Times New Roman"/>
                <w:color w:val="auto"/>
              </w:rPr>
              <w:t xml:space="preserve">the </w:t>
            </w:r>
            <w:r w:rsidR="00336FF5" w:rsidRPr="00922F8B">
              <w:rPr>
                <w:rFonts w:eastAsia="Times New Roman"/>
                <w:color w:val="auto"/>
              </w:rPr>
              <w:t>201</w:t>
            </w:r>
            <w:r w:rsidR="009764E6" w:rsidRPr="00922F8B">
              <w:rPr>
                <w:rFonts w:eastAsia="Times New Roman"/>
                <w:color w:val="auto"/>
              </w:rPr>
              <w:t>6</w:t>
            </w:r>
            <w:r w:rsidR="00336FF5" w:rsidRPr="00922F8B">
              <w:rPr>
                <w:rFonts w:eastAsia="Times New Roman"/>
                <w:color w:val="auto"/>
              </w:rPr>
              <w:t xml:space="preserve"> </w:t>
            </w:r>
            <w:r w:rsidR="009764E6" w:rsidRPr="00922F8B">
              <w:rPr>
                <w:rFonts w:eastAsia="Times New Roman"/>
                <w:color w:val="auto"/>
              </w:rPr>
              <w:t xml:space="preserve">MLR </w:t>
            </w:r>
            <w:r w:rsidR="00336FF5" w:rsidRPr="00922F8B">
              <w:rPr>
                <w:rFonts w:eastAsia="Times New Roman"/>
                <w:color w:val="auto"/>
              </w:rPr>
              <w:t>report</w:t>
            </w:r>
            <w:r w:rsidR="009764E6" w:rsidRPr="00922F8B">
              <w:rPr>
                <w:rFonts w:eastAsia="Times New Roman"/>
                <w:color w:val="auto"/>
              </w:rPr>
              <w:t>ing year</w:t>
            </w:r>
            <w:r w:rsidR="00336FF5" w:rsidRPr="00922F8B">
              <w:rPr>
                <w:rFonts w:eastAsia="Times New Roman"/>
                <w:color w:val="auto"/>
              </w:rPr>
              <w:t>, c</w:t>
            </w:r>
            <w:r w:rsidR="00846FFF" w:rsidRPr="00922F8B">
              <w:rPr>
                <w:rFonts w:eastAsia="Times New Roman"/>
                <w:color w:val="auto"/>
              </w:rPr>
              <w:t>onfirm that employment taxes were not deducted from premium.</w:t>
            </w:r>
          </w:p>
          <w:p w:rsidR="00474C30" w:rsidRDefault="00106748" w:rsidP="00F72240">
            <w:pPr>
              <w:pStyle w:val="ListParagraph"/>
              <w:numPr>
                <w:ilvl w:val="1"/>
                <w:numId w:val="22"/>
              </w:numPr>
              <w:ind w:left="772"/>
              <w:contextualSpacing w:val="0"/>
              <w:rPr>
                <w:rFonts w:eastAsia="Times New Roman"/>
                <w:color w:val="auto"/>
              </w:rPr>
            </w:pPr>
            <w:r>
              <w:rPr>
                <w:rFonts w:eastAsia="Times New Roman"/>
                <w:color w:val="auto"/>
              </w:rPr>
              <w:t>Confirm that issuers reporting community benefit expenditures (CBE) report only amounts permitted for their FIT-exempt status; as well as report their FIT-exempt status correctly on the Company Information tab.</w:t>
            </w:r>
          </w:p>
          <w:p w:rsidR="00106748" w:rsidRDefault="00106748" w:rsidP="00F72240">
            <w:pPr>
              <w:pStyle w:val="ListParagraph"/>
              <w:numPr>
                <w:ilvl w:val="1"/>
                <w:numId w:val="22"/>
              </w:numPr>
              <w:ind w:left="772"/>
              <w:contextualSpacing w:val="0"/>
              <w:rPr>
                <w:rFonts w:eastAsia="Times New Roman"/>
                <w:color w:val="auto"/>
              </w:rPr>
            </w:pPr>
            <w:r>
              <w:rPr>
                <w:rFonts w:eastAsia="Times New Roman"/>
                <w:color w:val="auto"/>
              </w:rPr>
              <w:t>Additionally, f</w:t>
            </w:r>
            <w:r w:rsidRPr="00106748">
              <w:rPr>
                <w:rFonts w:eastAsia="Times New Roman"/>
                <w:color w:val="auto"/>
              </w:rPr>
              <w:t>or issuers subject to the commercial RC rule:</w:t>
            </w:r>
          </w:p>
          <w:p w:rsidR="00106748" w:rsidRDefault="00106748" w:rsidP="00F72240">
            <w:pPr>
              <w:pStyle w:val="ListParagraph"/>
              <w:numPr>
                <w:ilvl w:val="2"/>
                <w:numId w:val="22"/>
              </w:numPr>
              <w:ind w:left="1042"/>
              <w:contextualSpacing w:val="0"/>
              <w:rPr>
                <w:rFonts w:eastAsia="Times New Roman"/>
                <w:color w:val="auto"/>
              </w:rPr>
            </w:pPr>
            <w:r w:rsidRPr="00106748">
              <w:rPr>
                <w:rFonts w:eastAsia="Times New Roman"/>
                <w:color w:val="auto"/>
              </w:rPr>
              <w:t>Confirm that income taxes reported in the RC columns (2A and 7A) exclude the impact of RC payments or charges on taxable income.</w:t>
            </w:r>
          </w:p>
          <w:p w:rsidR="00474C30" w:rsidRPr="00106748" w:rsidRDefault="00106748" w:rsidP="00F72240">
            <w:pPr>
              <w:pStyle w:val="ListParagraph"/>
              <w:numPr>
                <w:ilvl w:val="2"/>
                <w:numId w:val="22"/>
              </w:numPr>
              <w:ind w:left="1042"/>
              <w:contextualSpacing w:val="0"/>
              <w:rPr>
                <w:rFonts w:eastAsia="Times New Roman"/>
                <w:color w:val="auto"/>
              </w:rPr>
            </w:pPr>
            <w:r w:rsidRPr="00106748">
              <w:rPr>
                <w:rFonts w:eastAsia="Times New Roman"/>
                <w:color w:val="auto"/>
              </w:rPr>
              <w:t>Verify the reasonableness of the allocation methodology for taxes reported in the RC columns</w:t>
            </w:r>
            <w:r>
              <w:rPr>
                <w:rFonts w:eastAsia="Times New Roman"/>
                <w:color w:val="auto"/>
              </w:rPr>
              <w:t>.</w:t>
            </w:r>
          </w:p>
          <w:p w:rsidR="00474C30" w:rsidRPr="00075646" w:rsidRDefault="00073D7B" w:rsidP="003A096D">
            <w:pPr>
              <w:pStyle w:val="ListParagraph"/>
              <w:numPr>
                <w:ilvl w:val="0"/>
                <w:numId w:val="22"/>
              </w:numPr>
              <w:contextualSpacing w:val="0"/>
              <w:rPr>
                <w:rFonts w:eastAsia="Times New Roman"/>
                <w:color w:val="auto"/>
              </w:rPr>
            </w:pPr>
            <w:r w:rsidRPr="00922F8B">
              <w:t xml:space="preserve">Taxes and fees reported in </w:t>
            </w:r>
            <w:proofErr w:type="spellStart"/>
            <w:r w:rsidRPr="00922F8B">
              <w:t>Pt</w:t>
            </w:r>
            <w:proofErr w:type="spellEnd"/>
            <w:r w:rsidRPr="00922F8B">
              <w:t xml:space="preserve"> 1 and 2 of the MLR Form are consistent with the taxes and fees described in </w:t>
            </w:r>
            <w:proofErr w:type="spellStart"/>
            <w:r w:rsidRPr="00922F8B">
              <w:t>Pt</w:t>
            </w:r>
            <w:proofErr w:type="spellEnd"/>
            <w:r w:rsidRPr="00922F8B">
              <w:t xml:space="preserve"> </w:t>
            </w:r>
            <w:r w:rsidR="00474C30">
              <w:t>6</w:t>
            </w:r>
            <w:r w:rsidRPr="00922F8B">
              <w:t xml:space="preserve"> of the MLR Form.</w:t>
            </w:r>
          </w:p>
          <w:p w:rsidR="00075646" w:rsidRDefault="00075646" w:rsidP="00075646">
            <w:pPr>
              <w:pStyle w:val="ListParagraph"/>
              <w:numPr>
                <w:ilvl w:val="0"/>
                <w:numId w:val="22"/>
              </w:numPr>
              <w:contextualSpacing w:val="0"/>
              <w:rPr>
                <w:rFonts w:eastAsia="Times New Roman"/>
                <w:color w:val="auto"/>
              </w:rPr>
            </w:pPr>
            <w:r w:rsidRPr="00075646">
              <w:rPr>
                <w:rFonts w:eastAsia="Times New Roman"/>
                <w:color w:val="auto"/>
              </w:rPr>
              <w:t>Obtain the MLR Forms for the previous two years and verify that the following amounts are accurate:</w:t>
            </w:r>
          </w:p>
          <w:p w:rsidR="00B71B45" w:rsidRPr="00B71B45" w:rsidRDefault="00075646" w:rsidP="00F72240">
            <w:pPr>
              <w:pStyle w:val="ListParagraph"/>
              <w:numPr>
                <w:ilvl w:val="1"/>
                <w:numId w:val="22"/>
              </w:numPr>
              <w:ind w:left="772"/>
              <w:contextualSpacing w:val="0"/>
              <w:rPr>
                <w:rFonts w:eastAsia="Times New Roman"/>
                <w:color w:val="auto"/>
              </w:rPr>
            </w:pPr>
            <w:r>
              <w:rPr>
                <w:rFonts w:eastAsia="Times New Roman"/>
                <w:color w:val="auto"/>
              </w:rPr>
              <w:t>Pt 3</w:t>
            </w:r>
            <w:r w:rsidRPr="00922F8B">
              <w:rPr>
                <w:rFonts w:eastAsia="Times New Roman"/>
                <w:color w:val="auto"/>
              </w:rPr>
              <w:t xml:space="preserve"> Ln </w:t>
            </w:r>
            <w:r>
              <w:rPr>
                <w:rFonts w:eastAsia="Times New Roman"/>
                <w:color w:val="auto"/>
              </w:rPr>
              <w:t>2.2</w:t>
            </w:r>
            <w:r w:rsidRPr="00922F8B">
              <w:rPr>
                <w:rFonts w:eastAsia="Times New Roman"/>
                <w:color w:val="auto"/>
              </w:rPr>
              <w:t xml:space="preserve">, </w:t>
            </w:r>
            <w:r>
              <w:rPr>
                <w:rFonts w:eastAsia="Times New Roman"/>
                <w:color w:val="auto"/>
              </w:rPr>
              <w:t xml:space="preserve">Col </w:t>
            </w:r>
            <w:r w:rsidRPr="00922F8B">
              <w:rPr>
                <w:rFonts w:eastAsia="Times New Roman"/>
                <w:color w:val="auto"/>
              </w:rPr>
              <w:t xml:space="preserve">PY2 </w:t>
            </w:r>
            <w:r w:rsidRPr="00922F8B">
              <w:rPr>
                <w:rFonts w:eastAsia="Times New Roman"/>
                <w:i/>
                <w:color w:val="auto"/>
              </w:rPr>
              <w:t>[MLR Form</w:t>
            </w:r>
            <w:r>
              <w:rPr>
                <w:rFonts w:eastAsia="Times New Roman"/>
                <w:i/>
                <w:color w:val="auto"/>
              </w:rPr>
              <w:t xml:space="preserve"> from two years prior</w:t>
            </w:r>
            <w:r w:rsidR="00551C0C">
              <w:rPr>
                <w:rFonts w:eastAsia="Times New Roman"/>
                <w:i/>
                <w:color w:val="auto"/>
              </w:rPr>
              <w:t>:</w:t>
            </w:r>
            <w:r w:rsidRPr="00922F8B">
              <w:rPr>
                <w:rFonts w:eastAsia="Times New Roman"/>
                <w:i/>
                <w:color w:val="auto"/>
              </w:rPr>
              <w:t xml:space="preserve"> </w:t>
            </w:r>
          </w:p>
          <w:p w:rsidR="00B71B45" w:rsidRDefault="00B71B45" w:rsidP="00F72240">
            <w:pPr>
              <w:pStyle w:val="ListParagraph"/>
              <w:spacing w:after="0"/>
              <w:ind w:left="772"/>
              <w:contextualSpacing w:val="0"/>
              <w:rPr>
                <w:rFonts w:eastAsia="Times New Roman"/>
                <w:i/>
                <w:color w:val="auto"/>
              </w:rPr>
            </w:pPr>
            <w:r>
              <w:rPr>
                <w:rFonts w:eastAsia="Times New Roman"/>
                <w:i/>
                <w:color w:val="auto"/>
              </w:rPr>
              <w:lastRenderedPageBreak/>
              <w:t xml:space="preserve">2013 MLR Form: </w:t>
            </w:r>
          </w:p>
          <w:p w:rsidR="00075646" w:rsidRDefault="00B71B45" w:rsidP="00F72240">
            <w:pPr>
              <w:pStyle w:val="ListParagraph"/>
              <w:spacing w:after="0"/>
              <w:ind w:left="772"/>
              <w:contextualSpacing w:val="0"/>
              <w:rPr>
                <w:rFonts w:eastAsia="Times New Roman"/>
                <w:i/>
                <w:color w:val="auto"/>
              </w:rPr>
            </w:pPr>
            <w:r>
              <w:rPr>
                <w:rFonts w:eastAsia="Times New Roman"/>
                <w:i/>
                <w:color w:val="auto"/>
              </w:rPr>
              <w:t>FIT-exempt issuers: (</w:t>
            </w:r>
            <w:proofErr w:type="spellStart"/>
            <w:r w:rsidR="00075646">
              <w:rPr>
                <w:rFonts w:eastAsia="Times New Roman"/>
                <w:i/>
                <w:color w:val="auto"/>
              </w:rPr>
              <w:t>Pt</w:t>
            </w:r>
            <w:proofErr w:type="spellEnd"/>
            <w:r w:rsidR="00075646">
              <w:rPr>
                <w:rFonts w:eastAsia="Times New Roman"/>
                <w:i/>
                <w:color w:val="auto"/>
              </w:rPr>
              <w:t xml:space="preserve"> 1</w:t>
            </w:r>
            <w:r>
              <w:rPr>
                <w:rFonts w:eastAsia="Times New Roman"/>
                <w:i/>
                <w:color w:val="auto"/>
              </w:rPr>
              <w:t>,</w:t>
            </w:r>
            <w:r w:rsidR="00075646">
              <w:rPr>
                <w:rFonts w:eastAsia="Times New Roman"/>
                <w:i/>
                <w:color w:val="auto"/>
              </w:rPr>
              <w:t xml:space="preserve"> </w:t>
            </w:r>
            <w:proofErr w:type="spellStart"/>
            <w:r w:rsidR="00075646">
              <w:rPr>
                <w:rFonts w:eastAsia="Times New Roman"/>
                <w:i/>
                <w:color w:val="auto"/>
              </w:rPr>
              <w:t>Lns</w:t>
            </w:r>
            <w:proofErr w:type="spellEnd"/>
            <w:r w:rsidR="00075646">
              <w:rPr>
                <w:rFonts w:eastAsia="Times New Roman"/>
                <w:i/>
                <w:color w:val="auto"/>
              </w:rPr>
              <w:t xml:space="preserve"> </w:t>
            </w:r>
            <w:r>
              <w:rPr>
                <w:rFonts w:eastAsia="Times New Roman"/>
                <w:i/>
                <w:color w:val="auto"/>
              </w:rPr>
              <w:t>3.1a-c + 3.2a-c + 3.3</w:t>
            </w:r>
            <w:r w:rsidR="00075646" w:rsidRPr="00922F8B">
              <w:rPr>
                <w:rFonts w:eastAsia="Times New Roman"/>
                <w:i/>
                <w:color w:val="auto"/>
              </w:rPr>
              <w:t>, Cols 3</w:t>
            </w:r>
            <w:r>
              <w:rPr>
                <w:rFonts w:eastAsia="Times New Roman"/>
                <w:i/>
                <w:color w:val="auto"/>
              </w:rPr>
              <w:t xml:space="preserve">/31 + Deferred PY – Deferred CY) </w:t>
            </w:r>
            <w:r w:rsidRPr="00AB7924">
              <w:rPr>
                <w:i/>
              </w:rPr>
              <w:t>–</w:t>
            </w:r>
            <w:r>
              <w:rPr>
                <w:i/>
              </w:rPr>
              <w:t xml:space="preserve"> (Pt 4 Ln 6.1b, Col CY)</w:t>
            </w:r>
            <w:r>
              <w:rPr>
                <w:rFonts w:eastAsia="Times New Roman"/>
                <w:i/>
                <w:color w:val="auto"/>
              </w:rPr>
              <w:t>;</w:t>
            </w:r>
          </w:p>
          <w:p w:rsidR="00B71B45" w:rsidRDefault="00B71B45" w:rsidP="00F72240">
            <w:pPr>
              <w:pStyle w:val="ListParagraph"/>
              <w:ind w:left="772"/>
              <w:contextualSpacing w:val="0"/>
              <w:rPr>
                <w:rFonts w:eastAsia="Times New Roman"/>
                <w:i/>
                <w:color w:val="auto"/>
              </w:rPr>
            </w:pPr>
            <w:r>
              <w:rPr>
                <w:rFonts w:eastAsia="Times New Roman"/>
                <w:i/>
                <w:color w:val="auto"/>
              </w:rPr>
              <w:t>Non FIT-exempt issuers: (</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3.1a-c + 3.2a + </w:t>
            </w:r>
            <w:r w:rsidRPr="00B71B45">
              <w:rPr>
                <w:rFonts w:eastAsia="Times New Roman"/>
                <w:i/>
                <w:color w:val="auto"/>
              </w:rPr>
              <w:t>(the higher of 3.2b or 3.2c)</w:t>
            </w:r>
            <w:r>
              <w:rPr>
                <w:rFonts w:eastAsia="Times New Roman"/>
                <w:i/>
                <w:color w:val="auto"/>
              </w:rPr>
              <w:t xml:space="preserve"> + 3.3</w:t>
            </w:r>
            <w:r w:rsidRPr="00922F8B">
              <w:rPr>
                <w:rFonts w:eastAsia="Times New Roman"/>
                <w:i/>
                <w:color w:val="auto"/>
              </w:rPr>
              <w:t>, Cols 3</w:t>
            </w:r>
            <w:r>
              <w:rPr>
                <w:rFonts w:eastAsia="Times New Roman"/>
                <w:i/>
                <w:color w:val="auto"/>
              </w:rPr>
              <w:t xml:space="preserve">/31 + Deferred PY – Deferred CY) </w:t>
            </w:r>
            <w:r w:rsidRPr="00AB7924">
              <w:rPr>
                <w:i/>
              </w:rPr>
              <w:t>–</w:t>
            </w:r>
            <w:r>
              <w:rPr>
                <w:i/>
              </w:rPr>
              <w:t xml:space="preserve"> (Pt 4 Ln 6.1b, Col CY)</w:t>
            </w:r>
            <w:r>
              <w:rPr>
                <w:rFonts w:eastAsia="Times New Roman"/>
                <w:i/>
                <w:color w:val="auto"/>
              </w:rPr>
              <w:t>;</w:t>
            </w:r>
          </w:p>
          <w:p w:rsidR="00B71B45" w:rsidRDefault="00B71B45" w:rsidP="00F72240">
            <w:pPr>
              <w:pStyle w:val="ListParagraph"/>
              <w:spacing w:after="0"/>
              <w:ind w:left="772"/>
              <w:contextualSpacing w:val="0"/>
              <w:rPr>
                <w:rFonts w:eastAsia="Times New Roman"/>
                <w:i/>
                <w:color w:val="auto"/>
              </w:rPr>
            </w:pPr>
            <w:r>
              <w:rPr>
                <w:rFonts w:eastAsia="Times New Roman"/>
                <w:i/>
                <w:color w:val="auto"/>
              </w:rPr>
              <w:t xml:space="preserve">2014 MLR Form: </w:t>
            </w:r>
          </w:p>
          <w:p w:rsidR="00B71B45" w:rsidRDefault="00B71B45" w:rsidP="00F72240">
            <w:pPr>
              <w:pStyle w:val="ListParagraph"/>
              <w:spacing w:after="0"/>
              <w:ind w:left="772"/>
              <w:contextualSpacing w:val="0"/>
              <w:rPr>
                <w:rFonts w:eastAsia="Times New Roman"/>
                <w:i/>
                <w:color w:val="auto"/>
              </w:rPr>
            </w:pPr>
            <w:r>
              <w:rPr>
                <w:rFonts w:eastAsia="Times New Roman"/>
                <w:i/>
                <w:color w:val="auto"/>
              </w:rPr>
              <w:t xml:space="preserve">FIT-exempt issuers: </w:t>
            </w:r>
            <w:r w:rsidR="00551C0C">
              <w:rPr>
                <w:rFonts w:eastAsia="Times New Roman"/>
                <w:i/>
                <w:color w:val="auto"/>
              </w:rPr>
              <w:t>(</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+ 3.2a-c + 3.3a-b</w:t>
            </w:r>
            <w:r w:rsidRPr="00922F8B">
              <w:rPr>
                <w:rFonts w:eastAsia="Times New Roman"/>
                <w:i/>
                <w:color w:val="auto"/>
              </w:rPr>
              <w:t>, Cols 3</w:t>
            </w:r>
            <w:r>
              <w:rPr>
                <w:rFonts w:eastAsia="Times New Roman"/>
                <w:i/>
                <w:color w:val="auto"/>
              </w:rPr>
              <w:t>/31 + Deferred PY – Deferred CY</w:t>
            </w:r>
            <w:r w:rsidR="00551C0C">
              <w:rPr>
                <w:rFonts w:eastAsia="Times New Roman"/>
                <w:i/>
                <w:color w:val="auto"/>
              </w:rPr>
              <w:t xml:space="preserve">) </w:t>
            </w:r>
            <w:r w:rsidR="00551C0C">
              <w:rPr>
                <w:i/>
              </w:rPr>
              <w:t>+ (Pt 3 Ln 7.1b, Col PY1)</w:t>
            </w:r>
            <w:r>
              <w:rPr>
                <w:rFonts w:eastAsia="Times New Roman"/>
                <w:i/>
                <w:color w:val="auto"/>
              </w:rPr>
              <w:t>;</w:t>
            </w:r>
          </w:p>
          <w:p w:rsidR="00B71B45" w:rsidRDefault="00B71B45" w:rsidP="00F72240">
            <w:pPr>
              <w:pStyle w:val="ListParagraph"/>
              <w:ind w:left="772"/>
              <w:contextualSpacing w:val="0"/>
              <w:rPr>
                <w:rFonts w:eastAsia="Times New Roman"/>
                <w:i/>
                <w:color w:val="auto"/>
              </w:rPr>
            </w:pPr>
            <w:r>
              <w:rPr>
                <w:rFonts w:eastAsia="Times New Roman"/>
                <w:i/>
                <w:color w:val="auto"/>
              </w:rPr>
              <w:t xml:space="preserve">Non FIT-exempt issuers: </w:t>
            </w:r>
            <w:r w:rsidR="00551C0C">
              <w:rPr>
                <w:rFonts w:eastAsia="Times New Roman"/>
                <w:i/>
                <w:color w:val="auto"/>
              </w:rPr>
              <w:t>(</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 + </w:t>
            </w:r>
            <w:r w:rsidRPr="00B71B45">
              <w:rPr>
                <w:rFonts w:eastAsia="Times New Roman"/>
                <w:i/>
                <w:color w:val="auto"/>
              </w:rPr>
              <w:t>(the higher of 3.2b or 3.2c)</w:t>
            </w:r>
            <w:r>
              <w:rPr>
                <w:rFonts w:eastAsia="Times New Roman"/>
                <w:i/>
                <w:color w:val="auto"/>
              </w:rPr>
              <w:t xml:space="preserve"> + 3.3a-b</w:t>
            </w:r>
            <w:r w:rsidRPr="00922F8B">
              <w:rPr>
                <w:rFonts w:eastAsia="Times New Roman"/>
                <w:i/>
                <w:color w:val="auto"/>
              </w:rPr>
              <w:t>, Cols 3</w:t>
            </w:r>
            <w:r>
              <w:rPr>
                <w:rFonts w:eastAsia="Times New Roman"/>
                <w:i/>
                <w:color w:val="auto"/>
              </w:rPr>
              <w:t>/31 + Deferred PY – Deferred CY</w:t>
            </w:r>
            <w:r w:rsidR="00551C0C">
              <w:rPr>
                <w:rFonts w:eastAsia="Times New Roman"/>
                <w:i/>
                <w:color w:val="auto"/>
              </w:rPr>
              <w:t xml:space="preserve">) </w:t>
            </w:r>
            <w:r w:rsidR="00551C0C">
              <w:rPr>
                <w:i/>
              </w:rPr>
              <w:t>+ (Pt 3 Ln 7.1b, Col PY1)</w:t>
            </w:r>
            <w:r>
              <w:rPr>
                <w:rFonts w:eastAsia="Times New Roman"/>
                <w:i/>
                <w:color w:val="auto"/>
              </w:rPr>
              <w:t>;</w:t>
            </w:r>
          </w:p>
          <w:p w:rsidR="00551C0C" w:rsidRDefault="00551C0C" w:rsidP="00F72240">
            <w:pPr>
              <w:pStyle w:val="ListParagraph"/>
              <w:spacing w:after="0"/>
              <w:ind w:left="772"/>
              <w:contextualSpacing w:val="0"/>
              <w:rPr>
                <w:rFonts w:eastAsia="Times New Roman"/>
                <w:i/>
                <w:color w:val="auto"/>
              </w:rPr>
            </w:pPr>
            <w:r>
              <w:rPr>
                <w:rFonts w:eastAsia="Times New Roman"/>
                <w:i/>
                <w:color w:val="auto"/>
              </w:rPr>
              <w:t xml:space="preserve">2015-2016 MLR Form: </w:t>
            </w:r>
          </w:p>
          <w:p w:rsidR="00551C0C" w:rsidRDefault="00551C0C" w:rsidP="00F72240">
            <w:pPr>
              <w:pStyle w:val="ListParagraph"/>
              <w:spacing w:after="0"/>
              <w:ind w:left="772"/>
              <w:contextualSpacing w:val="0"/>
              <w:rPr>
                <w:rFonts w:eastAsia="Times New Roman"/>
                <w:i/>
                <w:color w:val="auto"/>
              </w:rPr>
            </w:pPr>
            <w:r>
              <w:rPr>
                <w:rFonts w:eastAsia="Times New Roman"/>
                <w:i/>
                <w:color w:val="auto"/>
              </w:rPr>
              <w:t xml:space="preserve">FIT-exempt issuers: </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+ 3.2a-c + 3.3a-b</w:t>
            </w:r>
            <w:r w:rsidRPr="00922F8B">
              <w:rPr>
                <w:rFonts w:eastAsia="Times New Roman"/>
                <w:i/>
                <w:color w:val="auto"/>
              </w:rPr>
              <w:t>, Cols 3</w:t>
            </w:r>
            <w:r>
              <w:rPr>
                <w:rFonts w:eastAsia="Times New Roman"/>
                <w:i/>
                <w:color w:val="auto"/>
              </w:rPr>
              <w:t>/31 + Deferred PY – Deferred CY;</w:t>
            </w:r>
          </w:p>
          <w:p w:rsidR="00551C0C" w:rsidRDefault="00551C0C" w:rsidP="00F72240">
            <w:pPr>
              <w:pStyle w:val="ListParagraph"/>
              <w:ind w:left="772"/>
              <w:contextualSpacing w:val="0"/>
              <w:rPr>
                <w:rFonts w:eastAsia="Times New Roman"/>
                <w:color w:val="auto"/>
              </w:rPr>
            </w:pPr>
            <w:r>
              <w:rPr>
                <w:rFonts w:eastAsia="Times New Roman"/>
                <w:i/>
                <w:color w:val="auto"/>
              </w:rPr>
              <w:t xml:space="preserve">Non FIT-exempt issuers: </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 + </w:t>
            </w:r>
            <w:r w:rsidRPr="00B71B45">
              <w:rPr>
                <w:rFonts w:eastAsia="Times New Roman"/>
                <w:i/>
                <w:color w:val="auto"/>
              </w:rPr>
              <w:t>(the higher of 3.2b or 3.2c)</w:t>
            </w:r>
            <w:r>
              <w:rPr>
                <w:rFonts w:eastAsia="Times New Roman"/>
                <w:i/>
                <w:color w:val="auto"/>
              </w:rPr>
              <w:t xml:space="preserve"> + 3.3a-b</w:t>
            </w:r>
            <w:r w:rsidRPr="00922F8B">
              <w:rPr>
                <w:rFonts w:eastAsia="Times New Roman"/>
                <w:i/>
                <w:color w:val="auto"/>
              </w:rPr>
              <w:t>, Cols 3</w:t>
            </w:r>
            <w:r>
              <w:rPr>
                <w:rFonts w:eastAsia="Times New Roman"/>
                <w:i/>
                <w:color w:val="auto"/>
              </w:rPr>
              <w:t>/31 + Deferred PY – Deferred CY]</w:t>
            </w:r>
          </w:p>
          <w:p w:rsidR="00551C0C" w:rsidRPr="000231C8" w:rsidRDefault="00075646" w:rsidP="00F72240">
            <w:pPr>
              <w:pStyle w:val="ListParagraph"/>
              <w:numPr>
                <w:ilvl w:val="1"/>
                <w:numId w:val="22"/>
              </w:numPr>
              <w:ind w:left="772"/>
              <w:contextualSpacing w:val="0"/>
              <w:rPr>
                <w:rFonts w:eastAsia="Times New Roman"/>
                <w:color w:val="auto"/>
              </w:rPr>
            </w:pPr>
            <w:r>
              <w:rPr>
                <w:rFonts w:eastAsia="Times New Roman"/>
                <w:color w:val="auto"/>
              </w:rPr>
              <w:t>Pt 3</w:t>
            </w:r>
            <w:r w:rsidRPr="00922F8B">
              <w:rPr>
                <w:rFonts w:eastAsia="Times New Roman"/>
                <w:color w:val="auto"/>
              </w:rPr>
              <w:t xml:space="preserve"> Ln </w:t>
            </w:r>
            <w:r>
              <w:rPr>
                <w:rFonts w:eastAsia="Times New Roman"/>
                <w:color w:val="auto"/>
              </w:rPr>
              <w:t>2.2</w:t>
            </w:r>
            <w:r w:rsidRPr="00922F8B">
              <w:rPr>
                <w:rFonts w:eastAsia="Times New Roman"/>
                <w:color w:val="auto"/>
              </w:rPr>
              <w:t xml:space="preserve">, </w:t>
            </w:r>
            <w:r>
              <w:rPr>
                <w:rFonts w:eastAsia="Times New Roman"/>
                <w:color w:val="auto"/>
              </w:rPr>
              <w:t xml:space="preserve">Col </w:t>
            </w:r>
            <w:r w:rsidRPr="00922F8B">
              <w:rPr>
                <w:rFonts w:eastAsia="Times New Roman"/>
                <w:color w:val="auto"/>
              </w:rPr>
              <w:t>PY</w:t>
            </w:r>
            <w:r>
              <w:rPr>
                <w:rFonts w:eastAsia="Times New Roman"/>
                <w:color w:val="auto"/>
              </w:rPr>
              <w:t>1</w:t>
            </w:r>
            <w:r w:rsidRPr="00922F8B">
              <w:rPr>
                <w:rFonts w:eastAsia="Times New Roman"/>
                <w:color w:val="auto"/>
              </w:rPr>
              <w:t xml:space="preserve"> </w:t>
            </w:r>
            <w:r w:rsidRPr="00922F8B">
              <w:rPr>
                <w:rFonts w:eastAsia="Times New Roman"/>
                <w:i/>
                <w:color w:val="auto"/>
              </w:rPr>
              <w:t>[MLR Form</w:t>
            </w:r>
            <w:r>
              <w:rPr>
                <w:rFonts w:eastAsia="Times New Roman"/>
                <w:i/>
                <w:color w:val="auto"/>
              </w:rPr>
              <w:t xml:space="preserve"> from one year prior</w:t>
            </w:r>
            <w:r w:rsidR="00551C0C">
              <w:rPr>
                <w:rFonts w:eastAsia="Times New Roman"/>
                <w:i/>
                <w:color w:val="auto"/>
              </w:rPr>
              <w:t>:</w:t>
            </w:r>
            <w:r w:rsidR="000231C8">
              <w:rPr>
                <w:i/>
              </w:rPr>
              <w:t xml:space="preserve"> see PY2 formula for the applicable year</w:t>
            </w:r>
            <w:r w:rsidR="000231C8" w:rsidRPr="00551C0C">
              <w:rPr>
                <w:i/>
              </w:rPr>
              <w:t>]</w:t>
            </w:r>
          </w:p>
          <w:p w:rsidR="00075646" w:rsidRDefault="00075646" w:rsidP="00F72240">
            <w:pPr>
              <w:pStyle w:val="ListParagraph"/>
              <w:numPr>
                <w:ilvl w:val="1"/>
                <w:numId w:val="22"/>
              </w:numPr>
              <w:ind w:left="772"/>
              <w:contextualSpacing w:val="0"/>
              <w:rPr>
                <w:rFonts w:eastAsia="Times New Roman"/>
                <w:color w:val="auto"/>
              </w:rPr>
            </w:pPr>
            <w:r>
              <w:rPr>
                <w:rFonts w:eastAsia="Times New Roman"/>
                <w:color w:val="auto"/>
              </w:rPr>
              <w:t>Pt 3</w:t>
            </w:r>
            <w:r w:rsidRPr="00922F8B">
              <w:rPr>
                <w:rFonts w:eastAsia="Times New Roman"/>
                <w:color w:val="auto"/>
              </w:rPr>
              <w:t xml:space="preserve"> Ln </w:t>
            </w:r>
            <w:r>
              <w:rPr>
                <w:rFonts w:eastAsia="Times New Roman"/>
                <w:color w:val="auto"/>
              </w:rPr>
              <w:t>2.2</w:t>
            </w:r>
            <w:r w:rsidRPr="00922F8B">
              <w:rPr>
                <w:rFonts w:eastAsia="Times New Roman"/>
                <w:color w:val="auto"/>
              </w:rPr>
              <w:t xml:space="preserve">, </w:t>
            </w:r>
            <w:bookmarkStart w:id="0" w:name="_GoBack"/>
            <w:bookmarkEnd w:id="0"/>
            <w:r>
              <w:rPr>
                <w:rFonts w:eastAsia="Times New Roman"/>
                <w:color w:val="auto"/>
              </w:rPr>
              <w:t>Col CY</w:t>
            </w:r>
            <w:r w:rsidR="00B71B45">
              <w:rPr>
                <w:rFonts w:eastAsia="Times New Roman"/>
                <w:color w:val="auto"/>
              </w:rPr>
              <w:t xml:space="preserve"> </w:t>
            </w:r>
            <w:r w:rsidRPr="00922F8B">
              <w:rPr>
                <w:rFonts w:eastAsia="Times New Roman"/>
                <w:i/>
                <w:color w:val="auto"/>
              </w:rPr>
              <w:t>[</w:t>
            </w:r>
            <w:r>
              <w:rPr>
                <w:rFonts w:eastAsia="Times New Roman"/>
                <w:i/>
                <w:color w:val="auto"/>
              </w:rPr>
              <w:t xml:space="preserve">Current </w:t>
            </w:r>
            <w:r w:rsidRPr="00922F8B">
              <w:rPr>
                <w:rFonts w:eastAsia="Times New Roman"/>
                <w:i/>
                <w:color w:val="auto"/>
              </w:rPr>
              <w:t>MLR Form</w:t>
            </w:r>
            <w:r w:rsidR="000231C8">
              <w:rPr>
                <w:rFonts w:eastAsia="Times New Roman"/>
                <w:i/>
                <w:color w:val="auto"/>
              </w:rPr>
              <w:t xml:space="preserve">: </w:t>
            </w:r>
            <w:r w:rsidR="000231C8">
              <w:rPr>
                <w:i/>
              </w:rPr>
              <w:t>see PY2 formula for the applicable year</w:t>
            </w:r>
            <w:r w:rsidR="000231C8" w:rsidRPr="00551C0C">
              <w:rPr>
                <w:i/>
              </w:rPr>
              <w:t>]</w:t>
            </w:r>
          </w:p>
          <w:p w:rsidR="00F07394" w:rsidRDefault="00F07394" w:rsidP="00F72240">
            <w:pPr>
              <w:pStyle w:val="ListParagraph"/>
              <w:numPr>
                <w:ilvl w:val="1"/>
                <w:numId w:val="22"/>
              </w:numPr>
              <w:ind w:left="772"/>
              <w:contextualSpacing w:val="0"/>
              <w:rPr>
                <w:rFonts w:eastAsia="Times New Roman"/>
                <w:color w:val="auto"/>
              </w:rPr>
            </w:pPr>
            <w:r w:rsidRPr="00922F8B">
              <w:rPr>
                <w:rFonts w:eastAsia="Times New Roman"/>
                <w:color w:val="auto"/>
              </w:rPr>
              <w:t xml:space="preserve">Pt </w:t>
            </w:r>
            <w:r>
              <w:rPr>
                <w:rFonts w:eastAsia="Times New Roman"/>
                <w:color w:val="auto"/>
              </w:rPr>
              <w:t>3</w:t>
            </w:r>
            <w:r w:rsidRPr="00922F8B">
              <w:rPr>
                <w:rFonts w:eastAsia="Times New Roman"/>
                <w:color w:val="auto"/>
              </w:rPr>
              <w:t xml:space="preserve"> Ln </w:t>
            </w:r>
            <w:r>
              <w:rPr>
                <w:rFonts w:eastAsia="Times New Roman"/>
                <w:color w:val="auto"/>
              </w:rPr>
              <w:t>2</w:t>
            </w:r>
            <w:r w:rsidRPr="00922F8B">
              <w:rPr>
                <w:rFonts w:eastAsia="Times New Roman"/>
                <w:color w:val="auto"/>
              </w:rPr>
              <w:t xml:space="preserve">.2, </w:t>
            </w:r>
            <w:r>
              <w:rPr>
                <w:rFonts w:eastAsia="Times New Roman"/>
                <w:color w:val="auto"/>
              </w:rPr>
              <w:t xml:space="preserve">Col </w:t>
            </w:r>
            <w:r w:rsidRPr="00922F8B">
              <w:rPr>
                <w:rFonts w:eastAsia="Times New Roman"/>
                <w:color w:val="auto"/>
              </w:rPr>
              <w:t xml:space="preserve">Total </w:t>
            </w:r>
            <w:r w:rsidRPr="00922F8B">
              <w:rPr>
                <w:rFonts w:eastAsia="Times New Roman"/>
                <w:i/>
                <w:color w:val="auto"/>
              </w:rPr>
              <w:t xml:space="preserve">[Pt </w:t>
            </w:r>
            <w:r>
              <w:rPr>
                <w:rFonts w:eastAsia="Times New Roman"/>
                <w:i/>
                <w:color w:val="auto"/>
              </w:rPr>
              <w:t>3</w:t>
            </w:r>
            <w:r w:rsidRPr="00922F8B">
              <w:rPr>
                <w:rFonts w:eastAsia="Times New Roman"/>
                <w:i/>
                <w:color w:val="auto"/>
              </w:rPr>
              <w:t xml:space="preserve"> Ln </w:t>
            </w:r>
            <w:r>
              <w:rPr>
                <w:rFonts w:eastAsia="Times New Roman"/>
                <w:i/>
                <w:color w:val="auto"/>
              </w:rPr>
              <w:t>2</w:t>
            </w:r>
            <w:r w:rsidRPr="00922F8B">
              <w:rPr>
                <w:rFonts w:eastAsia="Times New Roman"/>
                <w:i/>
                <w:color w:val="auto"/>
              </w:rPr>
              <w:t xml:space="preserve">.2, </w:t>
            </w:r>
            <w:r>
              <w:rPr>
                <w:rFonts w:eastAsia="Times New Roman"/>
                <w:i/>
                <w:color w:val="auto"/>
              </w:rPr>
              <w:t xml:space="preserve">Cols </w:t>
            </w:r>
            <w:r w:rsidRPr="00922F8B">
              <w:rPr>
                <w:rFonts w:eastAsia="Times New Roman"/>
                <w:i/>
                <w:color w:val="auto"/>
              </w:rPr>
              <w:t>PY2 + PY1 + CY]</w:t>
            </w:r>
          </w:p>
          <w:p w:rsidR="00F07394" w:rsidRDefault="00F07394" w:rsidP="00F72240">
            <w:pPr>
              <w:pStyle w:val="ListParagraph"/>
              <w:numPr>
                <w:ilvl w:val="1"/>
                <w:numId w:val="22"/>
              </w:numPr>
              <w:ind w:left="772"/>
              <w:contextualSpacing w:val="0"/>
              <w:rPr>
                <w:rFonts w:eastAsia="Times New Roman"/>
                <w:color w:val="auto"/>
              </w:rPr>
            </w:pPr>
            <w:r>
              <w:rPr>
                <w:rFonts w:eastAsia="Times New Roman"/>
                <w:color w:val="auto"/>
              </w:rPr>
              <w:t xml:space="preserve">Pt 3 Ln 2.2, Col Total for 2014 Student Health Plans only </w:t>
            </w:r>
            <w:r>
              <w:rPr>
                <w:rFonts w:eastAsia="Times New Roman"/>
                <w:i/>
                <w:color w:val="auto"/>
              </w:rPr>
              <w:t>[I</w:t>
            </w:r>
            <w:r w:rsidRPr="00F528DF">
              <w:rPr>
                <w:rFonts w:eastAsia="Times New Roman"/>
                <w:i/>
                <w:color w:val="auto"/>
              </w:rPr>
              <w:t>f Pt 3 Ln 4.1, Col</w:t>
            </w:r>
            <w:r>
              <w:rPr>
                <w:rFonts w:eastAsia="Times New Roman"/>
                <w:i/>
                <w:color w:val="auto"/>
              </w:rPr>
              <w:t xml:space="preserve"> CY ≥ 75,000: </w:t>
            </w:r>
            <w:r w:rsidRPr="00F528DF">
              <w:rPr>
                <w:rFonts w:eastAsia="Times New Roman"/>
                <w:i/>
                <w:color w:val="auto"/>
              </w:rPr>
              <w:t>Pt 3 Ln 1.2, Col CY; If</w:t>
            </w:r>
            <w:r>
              <w:rPr>
                <w:rFonts w:eastAsia="Times New Roman"/>
                <w:i/>
                <w:color w:val="auto"/>
              </w:rPr>
              <w:t xml:space="preserve"> Pt 3 Ln 4.1, Col CY &lt; 75,000: </w:t>
            </w:r>
            <w:r w:rsidRPr="00F528DF">
              <w:rPr>
                <w:rFonts w:eastAsia="Times New Roman"/>
                <w:i/>
                <w:color w:val="auto"/>
              </w:rPr>
              <w:t>Pt 3 Ln 1.2, Cols PY1 + CY]</w:t>
            </w:r>
          </w:p>
          <w:p w:rsidR="000231C8" w:rsidRDefault="000231C8" w:rsidP="00F72240">
            <w:pPr>
              <w:pStyle w:val="ListParagraph"/>
              <w:numPr>
                <w:ilvl w:val="1"/>
                <w:numId w:val="22"/>
              </w:numPr>
              <w:ind w:left="772"/>
              <w:contextualSpacing w:val="0"/>
              <w:rPr>
                <w:rFonts w:eastAsia="Times New Roman"/>
                <w:color w:val="auto"/>
              </w:rPr>
            </w:pPr>
            <w:r>
              <w:rPr>
                <w:rFonts w:eastAsia="Times New Roman"/>
                <w:color w:val="auto"/>
              </w:rPr>
              <w:t>Pt 3</w:t>
            </w:r>
            <w:r w:rsidRPr="00922F8B">
              <w:rPr>
                <w:rFonts w:eastAsia="Times New Roman"/>
                <w:color w:val="auto"/>
              </w:rPr>
              <w:t xml:space="preserve"> Ln </w:t>
            </w:r>
            <w:r>
              <w:rPr>
                <w:rFonts w:eastAsia="Times New Roman"/>
                <w:color w:val="auto"/>
              </w:rPr>
              <w:t>2.2</w:t>
            </w:r>
            <w:r w:rsidRPr="00922F8B">
              <w:rPr>
                <w:rFonts w:eastAsia="Times New Roman"/>
                <w:color w:val="auto"/>
              </w:rPr>
              <w:t xml:space="preserve">, </w:t>
            </w:r>
            <w:r>
              <w:rPr>
                <w:rFonts w:eastAsia="Times New Roman"/>
                <w:color w:val="auto"/>
              </w:rPr>
              <w:t>Col RC</w:t>
            </w:r>
            <w:r w:rsidRPr="00922F8B">
              <w:rPr>
                <w:rFonts w:eastAsia="Times New Roman"/>
                <w:color w:val="auto"/>
              </w:rPr>
              <w:t xml:space="preserve"> </w:t>
            </w:r>
            <w:r w:rsidRPr="00922F8B">
              <w:rPr>
                <w:rFonts w:eastAsia="Times New Roman"/>
                <w:i/>
                <w:color w:val="auto"/>
              </w:rPr>
              <w:t>[</w:t>
            </w:r>
            <w:r>
              <w:rPr>
                <w:rFonts w:eastAsia="Times New Roman"/>
                <w:i/>
                <w:color w:val="auto"/>
              </w:rPr>
              <w:t xml:space="preserve">Current </w:t>
            </w:r>
            <w:r w:rsidRPr="00922F8B">
              <w:rPr>
                <w:rFonts w:eastAsia="Times New Roman"/>
                <w:i/>
                <w:color w:val="auto"/>
              </w:rPr>
              <w:t>MLR Form</w:t>
            </w:r>
            <w:r>
              <w:rPr>
                <w:rFonts w:eastAsia="Times New Roman"/>
                <w:i/>
                <w:color w:val="auto"/>
              </w:rPr>
              <w:t>:</w:t>
            </w:r>
          </w:p>
          <w:p w:rsidR="000231C8" w:rsidRDefault="000231C8" w:rsidP="00F72240">
            <w:pPr>
              <w:pStyle w:val="ListParagraph"/>
              <w:spacing w:after="0"/>
              <w:ind w:left="772"/>
              <w:contextualSpacing w:val="0"/>
              <w:rPr>
                <w:rFonts w:eastAsia="Times New Roman"/>
                <w:i/>
                <w:color w:val="auto"/>
              </w:rPr>
            </w:pPr>
            <w:r>
              <w:rPr>
                <w:rFonts w:eastAsia="Times New Roman"/>
                <w:i/>
                <w:color w:val="auto"/>
              </w:rPr>
              <w:t xml:space="preserve">FIT-exempt issuers: </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+ 3.2a-c + 3.3a-b</w:t>
            </w:r>
            <w:r w:rsidRPr="00922F8B">
              <w:rPr>
                <w:rFonts w:eastAsia="Times New Roman"/>
                <w:i/>
                <w:color w:val="auto"/>
              </w:rPr>
              <w:t xml:space="preserve">, Col </w:t>
            </w:r>
            <w:r w:rsidR="00F07394">
              <w:rPr>
                <w:rFonts w:eastAsia="Times New Roman"/>
                <w:i/>
                <w:color w:val="auto"/>
              </w:rPr>
              <w:t>[</w:t>
            </w:r>
            <w:r>
              <w:rPr>
                <w:rFonts w:eastAsia="Times New Roman"/>
                <w:i/>
                <w:color w:val="auto"/>
              </w:rPr>
              <w:t>RC</w:t>
            </w:r>
            <w:r w:rsidR="00F07394">
              <w:rPr>
                <w:rFonts w:eastAsia="Times New Roman"/>
                <w:i/>
                <w:color w:val="auto"/>
              </w:rPr>
              <w:t>] 3/31/YY</w:t>
            </w:r>
            <w:r>
              <w:rPr>
                <w:rFonts w:eastAsia="Times New Roman"/>
                <w:i/>
                <w:color w:val="auto"/>
              </w:rPr>
              <w:t>;</w:t>
            </w:r>
          </w:p>
          <w:p w:rsidR="000231C8" w:rsidRPr="00F07394" w:rsidRDefault="000231C8" w:rsidP="00F72240">
            <w:pPr>
              <w:pStyle w:val="ListParagraph"/>
              <w:ind w:left="772"/>
              <w:contextualSpacing w:val="0"/>
              <w:rPr>
                <w:rFonts w:eastAsia="Times New Roman"/>
                <w:i/>
                <w:color w:val="auto"/>
              </w:rPr>
            </w:pPr>
            <w:r>
              <w:rPr>
                <w:rFonts w:eastAsia="Times New Roman"/>
                <w:i/>
                <w:color w:val="auto"/>
              </w:rPr>
              <w:t xml:space="preserve">Non FIT-exempt issuers: </w:t>
            </w:r>
            <w:proofErr w:type="spellStart"/>
            <w:r>
              <w:rPr>
                <w:rFonts w:eastAsia="Times New Roman"/>
                <w:i/>
                <w:color w:val="auto"/>
              </w:rPr>
              <w:t>Pt</w:t>
            </w:r>
            <w:proofErr w:type="spellEnd"/>
            <w:r>
              <w:rPr>
                <w:rFonts w:eastAsia="Times New Roman"/>
                <w:i/>
                <w:color w:val="auto"/>
              </w:rPr>
              <w:t xml:space="preserve"> 1, </w:t>
            </w:r>
            <w:proofErr w:type="spellStart"/>
            <w:r>
              <w:rPr>
                <w:rFonts w:eastAsia="Times New Roman"/>
                <w:i/>
                <w:color w:val="auto"/>
              </w:rPr>
              <w:t>Lns</w:t>
            </w:r>
            <w:proofErr w:type="spellEnd"/>
            <w:r>
              <w:rPr>
                <w:rFonts w:eastAsia="Times New Roman"/>
                <w:i/>
                <w:color w:val="auto"/>
              </w:rPr>
              <w:t xml:space="preserve"> 3.1a-d + 3.2a + </w:t>
            </w:r>
            <w:r w:rsidRPr="00B71B45">
              <w:rPr>
                <w:rFonts w:eastAsia="Times New Roman"/>
                <w:i/>
                <w:color w:val="auto"/>
              </w:rPr>
              <w:t xml:space="preserve">(the </w:t>
            </w:r>
            <w:r w:rsidRPr="00B71B45">
              <w:rPr>
                <w:rFonts w:eastAsia="Times New Roman"/>
                <w:i/>
                <w:color w:val="auto"/>
              </w:rPr>
              <w:lastRenderedPageBreak/>
              <w:t>higher of 3.2b or 3.2c)</w:t>
            </w:r>
            <w:r>
              <w:rPr>
                <w:rFonts w:eastAsia="Times New Roman"/>
                <w:i/>
                <w:color w:val="auto"/>
              </w:rPr>
              <w:t xml:space="preserve"> + 3.3a-b</w:t>
            </w:r>
            <w:r w:rsidRPr="00922F8B">
              <w:rPr>
                <w:rFonts w:eastAsia="Times New Roman"/>
                <w:i/>
                <w:color w:val="auto"/>
              </w:rPr>
              <w:t>, Col</w:t>
            </w:r>
            <w:r>
              <w:rPr>
                <w:rFonts w:eastAsia="Times New Roman"/>
                <w:i/>
                <w:color w:val="auto"/>
              </w:rPr>
              <w:t xml:space="preserve"> </w:t>
            </w:r>
            <w:r w:rsidR="00F07394">
              <w:rPr>
                <w:rFonts w:eastAsia="Times New Roman"/>
                <w:i/>
                <w:color w:val="auto"/>
              </w:rPr>
              <w:t>[RC] 3/31/YY</w:t>
            </w:r>
            <w:r>
              <w:rPr>
                <w:rFonts w:eastAsia="Times New Roman"/>
                <w:i/>
                <w:color w:val="auto"/>
              </w:rPr>
              <w:t>]</w:t>
            </w:r>
          </w:p>
          <w:p w:rsidR="00073D7B" w:rsidRPr="00922F8B" w:rsidRDefault="00474C30" w:rsidP="003A096D">
            <w:pPr>
              <w:pStyle w:val="ListParagraph"/>
              <w:numPr>
                <w:ilvl w:val="0"/>
                <w:numId w:val="22"/>
              </w:numPr>
              <w:contextualSpacing w:val="0"/>
              <w:rPr>
                <w:rFonts w:eastAsia="Times New Roman"/>
                <w:color w:val="auto"/>
              </w:rPr>
            </w:pPr>
            <w:r w:rsidRPr="0067623B">
              <w:t xml:space="preserve">Verify that the Transitional Reinsurance Program </w:t>
            </w:r>
            <w:r>
              <w:t>contribution</w:t>
            </w:r>
            <w:r w:rsidRPr="0067623B">
              <w:t xml:space="preserve">s </w:t>
            </w:r>
            <w:r>
              <w:t xml:space="preserve">were </w:t>
            </w:r>
            <w:r w:rsidRPr="0067623B">
              <w:t xml:space="preserve">reported </w:t>
            </w:r>
            <w:r>
              <w:t xml:space="preserve">in Pt 1 </w:t>
            </w:r>
            <w:r w:rsidRPr="0067623B">
              <w:t xml:space="preserve">Ln </w:t>
            </w:r>
            <w:r w:rsidR="00412FD6">
              <w:t>3.3a</w:t>
            </w:r>
            <w:r w:rsidRPr="0067623B">
              <w:t xml:space="preserve"> of the MLR </w:t>
            </w:r>
            <w:r>
              <w:t>Form, and that these amounts were accurate.</w:t>
            </w:r>
            <w:r w:rsidR="00073D7B" w:rsidRPr="00922F8B">
              <w:rPr>
                <w:rFonts w:eastAsia="Times New Roman"/>
                <w:color w:val="auto"/>
              </w:rPr>
              <w:t xml:space="preserve"> </w:t>
            </w:r>
          </w:p>
          <w:p w:rsidR="00073D7B" w:rsidRPr="00922F8B" w:rsidRDefault="00073D7B" w:rsidP="00474C30">
            <w:r w:rsidRPr="00922F8B">
              <w:rPr>
                <w:i/>
              </w:rPr>
              <w:t xml:space="preserve">[Taxes and regulatory fees=Pt 1 Sec 3; </w:t>
            </w:r>
            <w:proofErr w:type="spellStart"/>
            <w:r w:rsidRPr="00922F8B">
              <w:rPr>
                <w:i/>
              </w:rPr>
              <w:t>Pt</w:t>
            </w:r>
            <w:proofErr w:type="spellEnd"/>
            <w:r w:rsidRPr="00922F8B">
              <w:rPr>
                <w:i/>
              </w:rPr>
              <w:t xml:space="preserve"> </w:t>
            </w:r>
            <w:r w:rsidR="00474C30">
              <w:rPr>
                <w:i/>
              </w:rPr>
              <w:t>3</w:t>
            </w:r>
            <w:r w:rsidRPr="00922F8B">
              <w:rPr>
                <w:i/>
              </w:rPr>
              <w:t xml:space="preserve"> Ln 2.2</w:t>
            </w:r>
            <w:r w:rsidR="00474C30">
              <w:rPr>
                <w:i/>
              </w:rPr>
              <w:t xml:space="preserve">; </w:t>
            </w:r>
            <w:proofErr w:type="spellStart"/>
            <w:r w:rsidR="00474C30">
              <w:rPr>
                <w:i/>
              </w:rPr>
              <w:t>Pt</w:t>
            </w:r>
            <w:proofErr w:type="spellEnd"/>
            <w:r w:rsidR="00474C30">
              <w:rPr>
                <w:i/>
              </w:rPr>
              <w:t xml:space="preserve"> 6 Sec 2</w:t>
            </w:r>
            <w:r w:rsidRPr="00922F8B">
              <w:rPr>
                <w:i/>
              </w:rPr>
              <w:t>]</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673"/>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10</w:t>
            </w: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w:t>
            </w:r>
            <w:r w:rsidRPr="00922F8B" w:rsidDel="00882A4C">
              <w:rPr>
                <w:rFonts w:eastAsia="Times New Roman"/>
                <w:color w:val="auto"/>
              </w:rPr>
              <w:t>158.170</w:t>
            </w:r>
            <w:r w:rsidRPr="00922F8B">
              <w:rPr>
                <w:rFonts w:eastAsia="Times New Roman"/>
                <w:color w:val="auto"/>
              </w:rPr>
              <w:br/>
            </w:r>
            <w:r w:rsidR="006342FA" w:rsidRPr="006342FA">
              <w:rPr>
                <w:rFonts w:eastAsia="Times New Roman"/>
                <w:color w:val="auto"/>
              </w:rPr>
              <w:t>§153.520</w:t>
            </w:r>
          </w:p>
        </w:tc>
        <w:tc>
          <w:tcPr>
            <w:tcW w:w="0" w:type="auto"/>
            <w:shd w:val="clear" w:color="auto" w:fill="auto"/>
          </w:tcPr>
          <w:p w:rsidR="00073D7B" w:rsidRPr="00922F8B" w:rsidDel="00882A4C" w:rsidRDefault="00073D7B" w:rsidP="005060C3">
            <w:pPr>
              <w:spacing w:after="0"/>
              <w:rPr>
                <w:rFonts w:eastAsia="Times New Roman"/>
                <w:color w:val="auto"/>
              </w:rPr>
            </w:pPr>
            <w:r w:rsidRPr="00922F8B" w:rsidDel="00882A4C">
              <w:rPr>
                <w:rFonts w:eastAsia="Times New Roman"/>
                <w:color w:val="auto"/>
              </w:rPr>
              <w:t xml:space="preserve">Test </w:t>
            </w:r>
            <w:r w:rsidRPr="00922F8B">
              <w:rPr>
                <w:rFonts w:eastAsia="Times New Roman"/>
                <w:color w:val="auto"/>
              </w:rPr>
              <w:t xml:space="preserve">reasonableness and </w:t>
            </w:r>
            <w:r w:rsidRPr="00922F8B" w:rsidDel="00882A4C">
              <w:rPr>
                <w:rFonts w:eastAsia="Times New Roman"/>
                <w:color w:val="auto"/>
              </w:rPr>
              <w:t xml:space="preserve">accuracy of </w:t>
            </w:r>
            <w:r w:rsidRPr="00922F8B">
              <w:rPr>
                <w:rFonts w:eastAsia="Times New Roman"/>
                <w:color w:val="auto"/>
              </w:rPr>
              <w:t>expense allocations</w:t>
            </w:r>
          </w:p>
        </w:tc>
        <w:tc>
          <w:tcPr>
            <w:tcW w:w="5930" w:type="dxa"/>
            <w:shd w:val="clear" w:color="auto" w:fill="auto"/>
          </w:tcPr>
          <w:p w:rsidR="00073D7B" w:rsidRPr="00922F8B" w:rsidRDefault="00073D7B" w:rsidP="003A096D">
            <w:pPr>
              <w:pStyle w:val="NoSpacing"/>
              <w:numPr>
                <w:ilvl w:val="0"/>
                <w:numId w:val="12"/>
              </w:numPr>
              <w:spacing w:after="120"/>
            </w:pPr>
            <w:r w:rsidRPr="00922F8B">
              <w:t>Verify reasonableness and accuracy of the allocation of taxes and expenses among</w:t>
            </w:r>
            <w:r w:rsidRPr="00922F8B" w:rsidDel="008637B8">
              <w:t xml:space="preserve"> </w:t>
            </w:r>
            <w:r w:rsidRPr="00922F8B">
              <w:t>states, lines of business and markets, and among affiliated issuers within a holding company. Include states and markets where the entity has business that is</w:t>
            </w:r>
            <w:r w:rsidR="00C16925" w:rsidRPr="00922F8B">
              <w:t xml:space="preserve"> </w:t>
            </w:r>
            <w:r w:rsidRPr="00922F8B">
              <w:t>n</w:t>
            </w:r>
            <w:r w:rsidR="00C16925" w:rsidRPr="00922F8B">
              <w:t>o</w:t>
            </w:r>
            <w:r w:rsidRPr="00922F8B">
              <w:t>t subject to the commercial MLR rule (</w:t>
            </w:r>
            <w:r w:rsidRPr="00922F8B">
              <w:rPr>
                <w:rFonts w:eastAsia="Times New Roman"/>
                <w:color w:val="auto"/>
              </w:rPr>
              <w:t xml:space="preserve">i.e., government program plans, other health business, </w:t>
            </w:r>
            <w:r w:rsidR="00C16925" w:rsidRPr="00922F8B">
              <w:rPr>
                <w:rFonts w:eastAsia="Times New Roman"/>
                <w:color w:val="auto"/>
              </w:rPr>
              <w:t>self-funded</w:t>
            </w:r>
            <w:r w:rsidR="00474C30">
              <w:rPr>
                <w:rFonts w:eastAsia="Times New Roman"/>
                <w:color w:val="auto"/>
              </w:rPr>
              <w:t xml:space="preserve"> (uninsured)</w:t>
            </w:r>
            <w:r w:rsidRPr="00922F8B">
              <w:rPr>
                <w:rFonts w:eastAsia="Times New Roman"/>
                <w:color w:val="auto"/>
              </w:rPr>
              <w:t xml:space="preserve"> plans).</w:t>
            </w:r>
          </w:p>
          <w:p w:rsidR="00FF2218" w:rsidRPr="00922F8B" w:rsidRDefault="00FF2218" w:rsidP="003A096D">
            <w:pPr>
              <w:pStyle w:val="ListParagraph"/>
              <w:numPr>
                <w:ilvl w:val="0"/>
                <w:numId w:val="12"/>
              </w:numPr>
              <w:contextualSpacing w:val="0"/>
            </w:pPr>
            <w:r w:rsidRPr="00922F8B">
              <w:t>Verify that allocations of fraud reduction expense</w:t>
            </w:r>
            <w:r w:rsidR="00846FFF" w:rsidRPr="00922F8B">
              <w:t>s</w:t>
            </w:r>
            <w:r w:rsidRPr="00922F8B">
              <w:t xml:space="preserve"> (if applicable) are based on fair and reasonable standards and that the total amount of the allowable fraud reduction expense reported in the MLR Form does not exceed total recoveries.  </w:t>
            </w:r>
          </w:p>
          <w:p w:rsidR="00073D7B" w:rsidRDefault="00073D7B" w:rsidP="003A096D">
            <w:pPr>
              <w:pStyle w:val="NoSpacing"/>
              <w:numPr>
                <w:ilvl w:val="0"/>
                <w:numId w:val="12"/>
              </w:numPr>
              <w:spacing w:after="120"/>
            </w:pPr>
            <w:r w:rsidRPr="00922F8B">
              <w:t>Verify that the issuer’s allocation method</w:t>
            </w:r>
            <w:r w:rsidRPr="00922F8B" w:rsidDel="008637B8">
              <w:t>s are</w:t>
            </w:r>
            <w:r w:rsidRPr="00922F8B">
              <w:t xml:space="preserve"> consistent with the narrative provided in </w:t>
            </w:r>
            <w:proofErr w:type="spellStart"/>
            <w:r w:rsidRPr="00922F8B">
              <w:t>Pt</w:t>
            </w:r>
            <w:proofErr w:type="spellEnd"/>
            <w:r w:rsidRPr="00922F8B">
              <w:t xml:space="preserve"> </w:t>
            </w:r>
            <w:r w:rsidR="00474C30">
              <w:t>6</w:t>
            </w:r>
            <w:r w:rsidRPr="00922F8B">
              <w:t xml:space="preserve"> of the MLR Form.</w:t>
            </w:r>
          </w:p>
          <w:p w:rsidR="00106748" w:rsidRDefault="00474C30" w:rsidP="003A096D">
            <w:pPr>
              <w:pStyle w:val="NoSpacing"/>
              <w:numPr>
                <w:ilvl w:val="0"/>
                <w:numId w:val="12"/>
              </w:numPr>
              <w:spacing w:after="120"/>
            </w:pPr>
            <w:r w:rsidRPr="00382387">
              <w:t>For issuers subject to the commercial RC rule, ve</w:t>
            </w:r>
            <w:r>
              <w:t xml:space="preserve">rify the </w:t>
            </w:r>
            <w:r w:rsidR="00106748">
              <w:t>following:</w:t>
            </w:r>
          </w:p>
          <w:p w:rsidR="00106748" w:rsidRDefault="00106748" w:rsidP="006342FA">
            <w:pPr>
              <w:pStyle w:val="NoSpacing"/>
              <w:numPr>
                <w:ilvl w:val="1"/>
                <w:numId w:val="12"/>
              </w:numPr>
              <w:spacing w:after="120"/>
              <w:ind w:left="772"/>
            </w:pPr>
            <w:r>
              <w:t xml:space="preserve">The </w:t>
            </w:r>
            <w:r w:rsidRPr="00106748">
              <w:t>reasonableness and accuracy of allocations to the ACA-compliant segment in the RC columns</w:t>
            </w:r>
            <w:r w:rsidR="006342FA">
              <w:t>, including the reasonableness of the non-claims cost allocation methodology</w:t>
            </w:r>
            <w:r>
              <w:t>.</w:t>
            </w:r>
            <w:r w:rsidRPr="00106748">
              <w:t xml:space="preserve"> </w:t>
            </w:r>
          </w:p>
          <w:p w:rsidR="00474C30" w:rsidRPr="00922F8B" w:rsidRDefault="006342FA" w:rsidP="006342FA">
            <w:pPr>
              <w:pStyle w:val="NoSpacing"/>
              <w:numPr>
                <w:ilvl w:val="1"/>
                <w:numId w:val="12"/>
              </w:numPr>
              <w:spacing w:after="120"/>
              <w:ind w:left="772"/>
            </w:pPr>
            <w:r>
              <w:t>That the non-claims costs reported in MLR Form Pt 1 Sec 5 are accurate and consistent with the methodology adopted by the issuer</w:t>
            </w:r>
            <w:r w:rsidR="00474C30">
              <w:t>.</w:t>
            </w:r>
          </w:p>
          <w:p w:rsidR="00073D7B" w:rsidRPr="00922F8B" w:rsidRDefault="00073D7B" w:rsidP="00474C30">
            <w:pPr>
              <w:pStyle w:val="NoSpacing"/>
              <w:spacing w:after="120"/>
              <w:rPr>
                <w:i/>
              </w:rPr>
            </w:pPr>
            <w:r w:rsidRPr="00922F8B">
              <w:rPr>
                <w:i/>
              </w:rPr>
              <w:t>[Expense allocation=</w:t>
            </w:r>
            <w:proofErr w:type="spellStart"/>
            <w:r w:rsidRPr="00922F8B">
              <w:rPr>
                <w:i/>
              </w:rPr>
              <w:t>Pt</w:t>
            </w:r>
            <w:proofErr w:type="spellEnd"/>
            <w:r w:rsidRPr="00922F8B">
              <w:rPr>
                <w:i/>
              </w:rPr>
              <w:t xml:space="preserve"> </w:t>
            </w:r>
            <w:r w:rsidR="00474C30">
              <w:rPr>
                <w:i/>
              </w:rPr>
              <w:t>6</w:t>
            </w:r>
            <w:r w:rsidRPr="00922F8B">
              <w:rPr>
                <w:i/>
              </w:rPr>
              <w:t>]</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13"/>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11</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§158.210</w:t>
            </w:r>
            <w:r w:rsidRPr="00922F8B">
              <w:rPr>
                <w:rFonts w:eastAsia="Times New Roman"/>
                <w:color w:val="auto"/>
              </w:rPr>
              <w:br/>
              <w:t>§158.211</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accuracy of the MLR standard</w:t>
            </w:r>
          </w:p>
        </w:tc>
        <w:tc>
          <w:tcPr>
            <w:tcW w:w="5930" w:type="dxa"/>
            <w:tcBorders>
              <w:top w:val="single" w:sz="8" w:space="0" w:color="4F81BD"/>
              <w:bottom w:val="single" w:sz="8" w:space="0" w:color="4F81BD"/>
            </w:tcBorders>
            <w:shd w:val="clear" w:color="auto" w:fill="auto"/>
          </w:tcPr>
          <w:p w:rsidR="006342FA" w:rsidRPr="006342FA" w:rsidRDefault="00073D7B" w:rsidP="006342FA">
            <w:pPr>
              <w:pStyle w:val="ListParagraph"/>
              <w:numPr>
                <w:ilvl w:val="0"/>
                <w:numId w:val="43"/>
              </w:numPr>
              <w:ind w:left="322"/>
              <w:contextualSpacing w:val="0"/>
              <w:rPr>
                <w:rFonts w:eastAsia="Times New Roman"/>
                <w:color w:val="auto"/>
              </w:rPr>
            </w:pPr>
            <w:r w:rsidRPr="006342FA">
              <w:rPr>
                <w:rFonts w:eastAsia="Times New Roman"/>
                <w:color w:val="auto"/>
              </w:rPr>
              <w:t>Verify that the issuer used the correct MLR standard for every state and market. The MLR standard should be one of the following:</w:t>
            </w:r>
          </w:p>
          <w:p w:rsidR="00073D7B" w:rsidRPr="00922F8B" w:rsidRDefault="00073D7B" w:rsidP="006342FA">
            <w:pPr>
              <w:pStyle w:val="ListParagraph"/>
              <w:numPr>
                <w:ilvl w:val="1"/>
                <w:numId w:val="43"/>
              </w:numPr>
              <w:ind w:left="772"/>
              <w:contextualSpacing w:val="0"/>
              <w:rPr>
                <w:rFonts w:eastAsia="Times New Roman"/>
                <w:color w:val="auto"/>
              </w:rPr>
            </w:pPr>
            <w:r w:rsidRPr="00922F8B">
              <w:rPr>
                <w:rFonts w:eastAsia="Times New Roman"/>
                <w:color w:val="auto"/>
              </w:rPr>
              <w:lastRenderedPageBreak/>
              <w:t>80% in the individual and small group markets, and 85% in the large group market;</w:t>
            </w:r>
          </w:p>
          <w:p w:rsidR="00073D7B" w:rsidRPr="00922F8B" w:rsidRDefault="00073D7B" w:rsidP="00075646">
            <w:pPr>
              <w:pStyle w:val="ListParagraph"/>
              <w:numPr>
                <w:ilvl w:val="1"/>
                <w:numId w:val="43"/>
              </w:numPr>
              <w:ind w:left="772"/>
              <w:contextualSpacing w:val="0"/>
              <w:rPr>
                <w:rFonts w:eastAsia="Times New Roman"/>
                <w:color w:val="auto"/>
              </w:rPr>
            </w:pPr>
            <w:r w:rsidRPr="00922F8B">
              <w:rPr>
                <w:rFonts w:eastAsia="Times New Roman"/>
                <w:color w:val="auto"/>
              </w:rPr>
              <w:t>A higher standard as prescribed by state law</w:t>
            </w:r>
            <w:r w:rsidRPr="00922F8B">
              <w:rPr>
                <w:rStyle w:val="FootnoteReference"/>
                <w:rFonts w:eastAsia="Times New Roman"/>
                <w:color w:val="auto"/>
              </w:rPr>
              <w:footnoteReference w:id="11"/>
            </w:r>
            <w:r w:rsidRPr="00922F8B">
              <w:rPr>
                <w:rFonts w:eastAsia="Times New Roman"/>
                <w:color w:val="auto"/>
              </w:rPr>
              <w:t>; or</w:t>
            </w:r>
          </w:p>
          <w:p w:rsidR="00073D7B" w:rsidRPr="00922F8B" w:rsidRDefault="00073D7B" w:rsidP="006342FA">
            <w:pPr>
              <w:pStyle w:val="ListParagraph"/>
              <w:numPr>
                <w:ilvl w:val="1"/>
                <w:numId w:val="43"/>
              </w:numPr>
              <w:ind w:left="772"/>
              <w:contextualSpacing w:val="0"/>
              <w:rPr>
                <w:rFonts w:eastAsia="Times New Roman"/>
                <w:color w:val="auto"/>
              </w:rPr>
            </w:pPr>
            <w:r w:rsidRPr="00922F8B">
              <w:rPr>
                <w:rFonts w:eastAsia="Times New Roman"/>
                <w:color w:val="auto"/>
              </w:rPr>
              <w:t>The adjusted state standard in the individual market approved by the Secretary under 45 CFR 158 Subpart C.</w:t>
            </w:r>
            <w:r w:rsidRPr="00922F8B">
              <w:rPr>
                <w:rStyle w:val="FootnoteReference"/>
                <w:rFonts w:eastAsia="Times New Roman"/>
                <w:color w:val="auto"/>
              </w:rPr>
              <w:footnoteReference w:id="12"/>
            </w:r>
            <w:r w:rsidRPr="00922F8B">
              <w:rPr>
                <w:rFonts w:eastAsia="Times New Roman"/>
                <w:color w:val="auto"/>
              </w:rPr>
              <w:t xml:space="preserve"> </w:t>
            </w:r>
          </w:p>
          <w:p w:rsidR="00073D7B" w:rsidRPr="00922F8B" w:rsidRDefault="00073D7B" w:rsidP="00075646">
            <w:pPr>
              <w:pStyle w:val="NoSpacing"/>
              <w:spacing w:after="120"/>
            </w:pPr>
            <w:r w:rsidRPr="00922F8B">
              <w:rPr>
                <w:rFonts w:eastAsia="Times New Roman"/>
                <w:i/>
                <w:color w:val="auto"/>
              </w:rPr>
              <w:t>[MLR standard=</w:t>
            </w:r>
            <w:proofErr w:type="spellStart"/>
            <w:r w:rsidRPr="00922F8B">
              <w:rPr>
                <w:rFonts w:eastAsia="Times New Roman"/>
                <w:i/>
                <w:color w:val="auto"/>
              </w:rPr>
              <w:t>Pt</w:t>
            </w:r>
            <w:proofErr w:type="spellEnd"/>
            <w:r w:rsidRPr="00922F8B">
              <w:rPr>
                <w:rFonts w:eastAsia="Times New Roman"/>
                <w:i/>
                <w:color w:val="auto"/>
              </w:rPr>
              <w:t xml:space="preserve"> </w:t>
            </w:r>
            <w:r w:rsidR="00474C30">
              <w:rPr>
                <w:rFonts w:eastAsia="Times New Roman"/>
                <w:i/>
                <w:color w:val="auto"/>
              </w:rPr>
              <w:t>3</w:t>
            </w:r>
            <w:r w:rsidRPr="00922F8B">
              <w:rPr>
                <w:rFonts w:eastAsia="Times New Roman"/>
                <w:i/>
                <w:color w:val="auto"/>
              </w:rPr>
              <w:t xml:space="preserve"> Ln </w:t>
            </w:r>
            <w:r w:rsidR="00474C30">
              <w:rPr>
                <w:rFonts w:eastAsia="Times New Roman"/>
                <w:i/>
                <w:color w:val="auto"/>
              </w:rPr>
              <w:t>6</w:t>
            </w:r>
            <w:r w:rsidRPr="00922F8B">
              <w:rPr>
                <w:rFonts w:eastAsia="Times New Roman"/>
                <w:i/>
                <w:color w:val="auto"/>
              </w:rPr>
              <w:t>.1]</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58"/>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12</w:t>
            </w: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§158.210</w:t>
            </w:r>
          </w:p>
          <w:p w:rsidR="00073D7B" w:rsidRPr="00922F8B" w:rsidRDefault="00073D7B" w:rsidP="005060C3">
            <w:pPr>
              <w:spacing w:after="0"/>
              <w:rPr>
                <w:rFonts w:eastAsia="Times New Roman"/>
                <w:color w:val="auto"/>
              </w:rPr>
            </w:pPr>
            <w:r w:rsidRPr="00922F8B">
              <w:rPr>
                <w:rFonts w:eastAsia="Times New Roman"/>
                <w:color w:val="auto"/>
              </w:rPr>
              <w:t>§158.211</w:t>
            </w:r>
          </w:p>
          <w:p w:rsidR="00073D7B" w:rsidRPr="00922F8B" w:rsidRDefault="00073D7B" w:rsidP="005060C3">
            <w:pPr>
              <w:spacing w:after="0"/>
              <w:rPr>
                <w:rFonts w:eastAsia="Times New Roman"/>
                <w:color w:val="auto"/>
              </w:rPr>
            </w:pPr>
            <w:r w:rsidRPr="00922F8B">
              <w:t>§158.220</w:t>
            </w:r>
          </w:p>
        </w:tc>
        <w:tc>
          <w:tcPr>
            <w:tcW w:w="0" w:type="auto"/>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Test aggregation of data in the MLR numerator</w:t>
            </w:r>
          </w:p>
        </w:tc>
        <w:tc>
          <w:tcPr>
            <w:tcW w:w="5930" w:type="dxa"/>
            <w:shd w:val="clear" w:color="auto" w:fill="auto"/>
          </w:tcPr>
          <w:p w:rsidR="00073D7B" w:rsidRPr="00922F8B" w:rsidRDefault="00073D7B" w:rsidP="003A096D">
            <w:pPr>
              <w:pStyle w:val="ListParagraph"/>
              <w:numPr>
                <w:ilvl w:val="0"/>
                <w:numId w:val="29"/>
              </w:numPr>
              <w:contextualSpacing w:val="0"/>
              <w:rPr>
                <w:rFonts w:eastAsia="Times New Roman"/>
                <w:color w:val="auto"/>
              </w:rPr>
            </w:pPr>
            <w:r w:rsidRPr="00922F8B">
              <w:rPr>
                <w:rFonts w:eastAsia="Times New Roman"/>
                <w:color w:val="auto"/>
              </w:rPr>
              <w:t xml:space="preserve">Verify </w:t>
            </w:r>
            <w:r w:rsidR="00474C30">
              <w:rPr>
                <w:rFonts w:eastAsia="Times New Roman"/>
                <w:color w:val="auto"/>
              </w:rPr>
              <w:t>that the MLR numerator is calculated correctly according to the formula in the MLR Form Instructions for the applicable year; and</w:t>
            </w:r>
            <w:r w:rsidR="00474C30" w:rsidRPr="00922F8B">
              <w:rPr>
                <w:rFonts w:eastAsia="Times New Roman"/>
                <w:color w:val="auto"/>
              </w:rPr>
              <w:t xml:space="preserve"> </w:t>
            </w:r>
            <w:r w:rsidRPr="00922F8B">
              <w:rPr>
                <w:rFonts w:eastAsia="Times New Roman"/>
                <w:color w:val="auto"/>
              </w:rPr>
              <w:t>that the Total column for the MLR numerator is the sum of the PY2, PY1, and CY columns, except that:</w:t>
            </w:r>
          </w:p>
          <w:p w:rsidR="00073D7B" w:rsidRPr="00922F8B" w:rsidRDefault="00073D7B" w:rsidP="003A096D">
            <w:pPr>
              <w:pStyle w:val="ListParagraph"/>
              <w:numPr>
                <w:ilvl w:val="1"/>
                <w:numId w:val="29"/>
              </w:numPr>
              <w:ind w:left="751"/>
              <w:contextualSpacing w:val="0"/>
              <w:rPr>
                <w:rFonts w:eastAsia="Times New Roman"/>
                <w:color w:val="auto"/>
              </w:rPr>
            </w:pPr>
            <w:r w:rsidRPr="00922F8B">
              <w:rPr>
                <w:rFonts w:eastAsia="Times New Roman"/>
                <w:color w:val="auto"/>
              </w:rPr>
              <w:t xml:space="preserve">For states in which different MLR standards applied to different reporting years, an issuer may add to the numerator the difference between the MLR standards for </w:t>
            </w:r>
            <w:r w:rsidR="00C81D28" w:rsidRPr="00922F8B">
              <w:rPr>
                <w:rFonts w:eastAsia="Times New Roman"/>
                <w:color w:val="auto"/>
              </w:rPr>
              <w:t xml:space="preserve">the current and each of the </w:t>
            </w:r>
            <w:r w:rsidR="00401BCF">
              <w:rPr>
                <w:rFonts w:eastAsia="Times New Roman"/>
                <w:color w:val="auto"/>
              </w:rPr>
              <w:t xml:space="preserve">two </w:t>
            </w:r>
            <w:r w:rsidR="00C81D28" w:rsidRPr="00922F8B">
              <w:rPr>
                <w:rFonts w:eastAsia="Times New Roman"/>
                <w:color w:val="auto"/>
              </w:rPr>
              <w:t xml:space="preserve">prior reporting </w:t>
            </w:r>
            <w:r w:rsidRPr="00922F8B">
              <w:rPr>
                <w:rFonts w:eastAsia="Times New Roman"/>
                <w:color w:val="auto"/>
              </w:rPr>
              <w:t xml:space="preserve">years, multiplied by the adjusted premium for the earlier year. </w:t>
            </w:r>
            <w:r w:rsidRPr="00922F8B">
              <w:rPr>
                <w:rFonts w:eastAsia="Times New Roman"/>
                <w:i/>
                <w:color w:val="auto"/>
              </w:rPr>
              <w:t>[FAQ #58 in CMS Technical Guidance published 4/5/2013.</w:t>
            </w:r>
            <w:r w:rsidRPr="00922F8B">
              <w:rPr>
                <w:rStyle w:val="FootnoteReference"/>
                <w:rFonts w:eastAsia="Times New Roman"/>
                <w:i/>
                <w:color w:val="auto"/>
              </w:rPr>
              <w:footnoteReference w:id="13"/>
            </w:r>
            <w:r w:rsidRPr="00922F8B">
              <w:rPr>
                <w:rFonts w:eastAsia="Times New Roman"/>
                <w:i/>
                <w:color w:val="auto"/>
              </w:rPr>
              <w:t>]</w:t>
            </w:r>
            <w:r w:rsidRPr="00922F8B">
              <w:rPr>
                <w:rFonts w:eastAsia="Times New Roman"/>
                <w:color w:val="auto"/>
              </w:rPr>
              <w:t xml:space="preserve"> </w:t>
            </w:r>
          </w:p>
          <w:p w:rsidR="00C16925" w:rsidRPr="00922F8B" w:rsidRDefault="00280253" w:rsidP="003A096D">
            <w:pPr>
              <w:pStyle w:val="ListParagraph"/>
              <w:numPr>
                <w:ilvl w:val="1"/>
                <w:numId w:val="29"/>
              </w:numPr>
              <w:ind w:left="773"/>
              <w:contextualSpacing w:val="0"/>
              <w:rPr>
                <w:rFonts w:eastAsia="Times New Roman"/>
                <w:color w:val="auto"/>
              </w:rPr>
            </w:pPr>
            <w:r w:rsidRPr="00922F8B">
              <w:rPr>
                <w:rFonts w:eastAsia="Times New Roman"/>
                <w:color w:val="auto"/>
              </w:rPr>
              <w:t>For Mini-Med and Student Health Plans, the multiplier for the respective year is applied to the MLR numerator in the respective column</w:t>
            </w:r>
            <w:r w:rsidR="00401BCF">
              <w:rPr>
                <w:rFonts w:eastAsia="Times New Roman"/>
                <w:color w:val="auto"/>
              </w:rPr>
              <w:t xml:space="preserve"> (PY2, PY1, or CY)</w:t>
            </w:r>
            <w:r w:rsidRPr="00922F8B">
              <w:rPr>
                <w:rFonts w:eastAsia="Times New Roman"/>
                <w:color w:val="auto"/>
              </w:rPr>
              <w:t xml:space="preserve">; </w:t>
            </w:r>
            <w:r w:rsidR="008A0467" w:rsidRPr="00922F8B">
              <w:rPr>
                <w:rFonts w:eastAsia="Times New Roman"/>
                <w:color w:val="auto"/>
              </w:rPr>
              <w:t>but</w:t>
            </w:r>
            <w:r w:rsidRPr="00922F8B">
              <w:rPr>
                <w:rFonts w:eastAsia="Times New Roman"/>
                <w:color w:val="auto"/>
              </w:rPr>
              <w:t xml:space="preserve"> the Total column</w:t>
            </w:r>
            <w:r w:rsidR="008A0467" w:rsidRPr="00922F8B">
              <w:rPr>
                <w:rFonts w:eastAsia="Times New Roman"/>
                <w:color w:val="auto"/>
              </w:rPr>
              <w:t xml:space="preserve"> only applies</w:t>
            </w:r>
            <w:r w:rsidRPr="00922F8B">
              <w:rPr>
                <w:rFonts w:eastAsia="Times New Roman"/>
                <w:color w:val="auto"/>
              </w:rPr>
              <w:t xml:space="preserve"> the multiplier for the current reporting year</w:t>
            </w:r>
            <w:r w:rsidR="008A0467" w:rsidRPr="00922F8B">
              <w:rPr>
                <w:rFonts w:eastAsia="Times New Roman"/>
                <w:color w:val="auto"/>
              </w:rPr>
              <w:t xml:space="preserve"> (e.</w:t>
            </w:r>
            <w:r w:rsidR="00401BCF">
              <w:rPr>
                <w:rFonts w:eastAsia="Times New Roman"/>
                <w:color w:val="auto"/>
              </w:rPr>
              <w:t>g.</w:t>
            </w:r>
            <w:r w:rsidR="008A0467" w:rsidRPr="00922F8B">
              <w:rPr>
                <w:rFonts w:eastAsia="Times New Roman"/>
                <w:color w:val="auto"/>
              </w:rPr>
              <w:t xml:space="preserve"> multiplies the sum of PY2+PY1+CY incurred claims and QIA by </w:t>
            </w:r>
            <w:r w:rsidR="00401BCF">
              <w:rPr>
                <w:rFonts w:eastAsia="Times New Roman"/>
                <w:color w:val="auto"/>
              </w:rPr>
              <w:t>the CY multiplier</w:t>
            </w:r>
            <w:r w:rsidR="008A0467" w:rsidRPr="00922F8B">
              <w:rPr>
                <w:rFonts w:eastAsia="Times New Roman"/>
                <w:color w:val="auto"/>
              </w:rPr>
              <w:t xml:space="preserve">). </w:t>
            </w:r>
          </w:p>
          <w:p w:rsidR="00073D7B" w:rsidRDefault="00073D7B" w:rsidP="003A096D">
            <w:pPr>
              <w:pStyle w:val="NoSpacing"/>
              <w:numPr>
                <w:ilvl w:val="1"/>
                <w:numId w:val="29"/>
              </w:numPr>
              <w:spacing w:after="120"/>
              <w:ind w:left="773"/>
            </w:pPr>
            <w:r w:rsidRPr="00922F8B">
              <w:t>In states that require the individual and small group markets to be merged for MLR purposes</w:t>
            </w:r>
            <w:r w:rsidR="00336FF5" w:rsidRPr="00922F8B">
              <w:t xml:space="preserve"> (e.g., MA and beginning in 2015 for the 2014 and later MLR </w:t>
            </w:r>
            <w:r w:rsidR="00336FF5" w:rsidRPr="00922F8B">
              <w:lastRenderedPageBreak/>
              <w:t>reporting years , DC and VT)</w:t>
            </w:r>
            <w:r w:rsidRPr="00922F8B">
              <w:t>, verify that the numerator for both the individual and small group markets is the sum of the individual and small group amounts.</w:t>
            </w:r>
            <w:r w:rsidRPr="00922F8B">
              <w:rPr>
                <w:rStyle w:val="FootnoteReference"/>
                <w:rFonts w:eastAsia="Times New Roman"/>
                <w:color w:val="auto"/>
              </w:rPr>
              <w:footnoteReference w:id="14"/>
            </w:r>
          </w:p>
          <w:p w:rsidR="00CB3626" w:rsidRDefault="00401BCF" w:rsidP="003A096D">
            <w:pPr>
              <w:pStyle w:val="NoSpacing"/>
              <w:numPr>
                <w:ilvl w:val="1"/>
                <w:numId w:val="29"/>
              </w:numPr>
              <w:spacing w:after="120"/>
              <w:ind w:left="773"/>
            </w:pPr>
            <w:r>
              <w:t>For</w:t>
            </w:r>
            <w:r w:rsidR="00F72240">
              <w:t xml:space="preserve"> 2014-2016</w:t>
            </w:r>
            <w:r w:rsidR="00EB0B35">
              <w:t xml:space="preserve">, for issuers that were eligible for and </w:t>
            </w:r>
            <w:r w:rsidR="00EB0B35" w:rsidRPr="00EB0B35">
              <w:t>chose</w:t>
            </w:r>
            <w:r w:rsidR="00EB0B35">
              <w:t xml:space="preserve"> to apply the optional multiplier(s)</w:t>
            </w:r>
            <w:r w:rsidR="00CB3626">
              <w:t>:</w:t>
            </w:r>
            <w:r>
              <w:t xml:space="preserve"> </w:t>
            </w:r>
          </w:p>
          <w:p w:rsidR="00F53FF6" w:rsidRDefault="00CB3626" w:rsidP="00CB3626">
            <w:pPr>
              <w:pStyle w:val="NoSpacing"/>
              <w:numPr>
                <w:ilvl w:val="2"/>
                <w:numId w:val="29"/>
              </w:numPr>
              <w:spacing w:after="120"/>
              <w:ind w:left="1042"/>
            </w:pPr>
            <w:r>
              <w:t xml:space="preserve">For issuers </w:t>
            </w:r>
            <w:r w:rsidR="00F53FF6">
              <w:t>that</w:t>
            </w:r>
            <w:r>
              <w:t xml:space="preserve"> provided transitional coverage</w:t>
            </w:r>
            <w:r w:rsidR="00F72240">
              <w:t xml:space="preserve"> in the individual and/or small group markets</w:t>
            </w:r>
            <w:r w:rsidR="00EB0B35">
              <w:t xml:space="preserve"> in 2014, verify that </w:t>
            </w:r>
            <w:r w:rsidR="00401BCF">
              <w:t xml:space="preserve">the sum of </w:t>
            </w:r>
            <w:r w:rsidR="00401BCF" w:rsidRPr="00F53FF6">
              <w:rPr>
                <w:u w:val="single"/>
              </w:rPr>
              <w:t>2014</w:t>
            </w:r>
            <w:r w:rsidR="00401BCF">
              <w:t xml:space="preserve"> incurred claims and QIA</w:t>
            </w:r>
            <w:r w:rsidR="00F53FF6">
              <w:t xml:space="preserve"> (not the entire numerator)</w:t>
            </w:r>
            <w:r w:rsidR="00401BCF">
              <w:t xml:space="preserve"> </w:t>
            </w:r>
            <w:r w:rsidR="00F53FF6">
              <w:t xml:space="preserve">was multiplied </w:t>
            </w:r>
            <w:r w:rsidR="00401BCF">
              <w:t>by 1.00</w:t>
            </w:r>
            <w:r w:rsidR="00F53FF6">
              <w:t>01, before adding this sum</w:t>
            </w:r>
            <w:r w:rsidR="00401BCF">
              <w:t xml:space="preserve"> to MLR numerator. </w:t>
            </w:r>
          </w:p>
          <w:p w:rsidR="00A0405B" w:rsidRDefault="00F53FF6" w:rsidP="00CB3626">
            <w:pPr>
              <w:pStyle w:val="NoSpacing"/>
              <w:numPr>
                <w:ilvl w:val="2"/>
                <w:numId w:val="29"/>
              </w:numPr>
              <w:spacing w:after="120"/>
              <w:ind w:left="1042"/>
            </w:pPr>
            <w:r>
              <w:t>For i</w:t>
            </w:r>
            <w:r w:rsidR="00401BCF">
              <w:t xml:space="preserve">ssuers </w:t>
            </w:r>
            <w:r w:rsidR="00A0405B">
              <w:t>that</w:t>
            </w:r>
            <w:r w:rsidR="00401BCF">
              <w:t xml:space="preserve"> participated </w:t>
            </w:r>
            <w:r w:rsidR="00EB0B35">
              <w:t xml:space="preserve">in the federal and state </w:t>
            </w:r>
            <w:r w:rsidR="00401BCF">
              <w:t>Marketplaces</w:t>
            </w:r>
            <w:r w:rsidR="00EB0B35">
              <w:t xml:space="preserve"> in 2014, verify that </w:t>
            </w:r>
            <w:r w:rsidR="00401BCF">
              <w:t>the sum of 2014 incurred claims and QIA</w:t>
            </w:r>
            <w:r w:rsidR="00A0405B">
              <w:t xml:space="preserve"> (not the entire numerator)</w:t>
            </w:r>
            <w:r w:rsidR="00CE10F4">
              <w:t xml:space="preserve"> by 1.0004</w:t>
            </w:r>
            <w:r w:rsidR="00EB0B35">
              <w:t>, before adding this sum to MLR numerator</w:t>
            </w:r>
            <w:r w:rsidR="00CE10F4">
              <w:t>.</w:t>
            </w:r>
          </w:p>
          <w:p w:rsidR="00CE10F4" w:rsidRDefault="00CE10F4" w:rsidP="00CB3626">
            <w:pPr>
              <w:pStyle w:val="NoSpacing"/>
              <w:numPr>
                <w:ilvl w:val="2"/>
                <w:numId w:val="29"/>
              </w:numPr>
              <w:spacing w:after="120"/>
              <w:ind w:left="1042"/>
            </w:pPr>
            <w:r>
              <w:t xml:space="preserve">For issuers who qualified for and chose to use both multipliers, </w:t>
            </w:r>
            <w:r w:rsidR="00EB0B35">
              <w:t xml:space="preserve">verify that </w:t>
            </w:r>
            <w:r>
              <w:t xml:space="preserve">the sum of 2014 incurred claims and QIA </w:t>
            </w:r>
            <w:r w:rsidR="00EB0B35">
              <w:t xml:space="preserve">(not the entire numerator) </w:t>
            </w:r>
            <w:r>
              <w:t>was multiplied by 1.0001 x 1.0004</w:t>
            </w:r>
            <w:r w:rsidR="00EB0B35">
              <w:t>, before adding this sum to MLR numerator</w:t>
            </w:r>
            <w:r>
              <w:t>.</w:t>
            </w:r>
          </w:p>
          <w:p w:rsidR="00401BCF" w:rsidRPr="00922F8B" w:rsidRDefault="00401BCF" w:rsidP="00A0405B">
            <w:pPr>
              <w:pStyle w:val="NoSpacing"/>
              <w:spacing w:after="120"/>
              <w:ind w:left="1042"/>
            </w:pPr>
            <w:r w:rsidRPr="00E83165">
              <w:rPr>
                <w:b/>
              </w:rPr>
              <w:t>Note:</w:t>
            </w:r>
            <w:r>
              <w:t xml:space="preserve"> Issuers may not use these multipliers in the RC columns.</w:t>
            </w:r>
          </w:p>
          <w:p w:rsidR="00073D7B" w:rsidRPr="00922F8B" w:rsidDel="001808CA" w:rsidRDefault="00073D7B" w:rsidP="00401BCF">
            <w:r w:rsidRPr="00922F8B">
              <w:rPr>
                <w:rFonts w:eastAsia="Times New Roman"/>
                <w:i/>
                <w:color w:val="auto"/>
              </w:rPr>
              <w:t>[MLR numerator=</w:t>
            </w:r>
            <w:proofErr w:type="spellStart"/>
            <w:r w:rsidRPr="00922F8B">
              <w:rPr>
                <w:rFonts w:eastAsia="Times New Roman"/>
                <w:i/>
                <w:color w:val="auto"/>
              </w:rPr>
              <w:t>Pt</w:t>
            </w:r>
            <w:proofErr w:type="spellEnd"/>
            <w:r w:rsidRPr="00922F8B">
              <w:rPr>
                <w:rFonts w:eastAsia="Times New Roman"/>
                <w:i/>
                <w:color w:val="auto"/>
              </w:rPr>
              <w:t xml:space="preserve"> </w:t>
            </w:r>
            <w:r w:rsidR="00401BCF">
              <w:rPr>
                <w:rFonts w:eastAsia="Times New Roman"/>
                <w:i/>
                <w:color w:val="auto"/>
              </w:rPr>
              <w:t>3</w:t>
            </w:r>
            <w:r w:rsidRPr="00922F8B">
              <w:rPr>
                <w:rFonts w:eastAsia="Times New Roman"/>
                <w:i/>
                <w:color w:val="auto"/>
              </w:rPr>
              <w:t xml:space="preserve"> </w:t>
            </w:r>
            <w:proofErr w:type="spellStart"/>
            <w:r w:rsidRPr="00922F8B">
              <w:rPr>
                <w:rFonts w:eastAsia="Times New Roman"/>
                <w:i/>
                <w:color w:val="auto"/>
              </w:rPr>
              <w:t>Lns</w:t>
            </w:r>
            <w:proofErr w:type="spellEnd"/>
            <w:r w:rsidRPr="00922F8B">
              <w:rPr>
                <w:rFonts w:eastAsia="Times New Roman"/>
                <w:i/>
                <w:color w:val="auto"/>
              </w:rPr>
              <w:t xml:space="preserve"> 1.</w:t>
            </w:r>
            <w:r w:rsidR="00401BCF">
              <w:rPr>
                <w:rFonts w:eastAsia="Times New Roman"/>
                <w:i/>
                <w:color w:val="auto"/>
              </w:rPr>
              <w:t>8</w:t>
            </w:r>
            <w:r w:rsidRPr="00922F8B">
              <w:rPr>
                <w:rFonts w:eastAsia="Times New Roman"/>
                <w:i/>
                <w:color w:val="auto"/>
              </w:rPr>
              <w:t>, 1.</w:t>
            </w:r>
            <w:r w:rsidR="00401BCF">
              <w:rPr>
                <w:rFonts w:eastAsia="Times New Roman"/>
                <w:i/>
                <w:color w:val="auto"/>
              </w:rPr>
              <w:t>9</w:t>
            </w:r>
            <w:r w:rsidRPr="00922F8B">
              <w:rPr>
                <w:rFonts w:eastAsia="Times New Roman"/>
                <w:i/>
                <w:color w:val="auto"/>
              </w:rPr>
              <w:t>]</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58"/>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13</w:t>
            </w:r>
          </w:p>
        </w:tc>
        <w:tc>
          <w:tcPr>
            <w:tcW w:w="0" w:type="auto"/>
            <w:tcBorders>
              <w:top w:val="single" w:sz="8" w:space="0" w:color="4F81BD"/>
              <w:bottom w:val="single" w:sz="8" w:space="0" w:color="4F81BD"/>
            </w:tcBorders>
            <w:shd w:val="clear" w:color="auto" w:fill="auto"/>
            <w:hideMark/>
          </w:tcPr>
          <w:p w:rsidR="00073D7B" w:rsidRPr="00922F8B" w:rsidRDefault="00073D7B" w:rsidP="002D41DB">
            <w:pPr>
              <w:pStyle w:val="NoSpacing"/>
            </w:pPr>
            <w:r w:rsidRPr="00922F8B">
              <w:rPr>
                <w:rFonts w:eastAsia="Times New Roman"/>
                <w:color w:val="auto"/>
              </w:rPr>
              <w:t xml:space="preserve">§158.220 </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aggregation of data in the MLR denominator</w:t>
            </w:r>
          </w:p>
        </w:tc>
        <w:tc>
          <w:tcPr>
            <w:tcW w:w="5930" w:type="dxa"/>
            <w:tcBorders>
              <w:top w:val="single" w:sz="8" w:space="0" w:color="4F81BD"/>
              <w:bottom w:val="single" w:sz="8" w:space="0" w:color="4F81BD"/>
            </w:tcBorders>
            <w:shd w:val="clear" w:color="auto" w:fill="auto"/>
            <w:hideMark/>
          </w:tcPr>
          <w:p w:rsidR="00454A0E" w:rsidRPr="00922F8B" w:rsidRDefault="00454A0E" w:rsidP="003A096D">
            <w:pPr>
              <w:pStyle w:val="ListParagraph"/>
              <w:numPr>
                <w:ilvl w:val="0"/>
                <w:numId w:val="14"/>
              </w:numPr>
              <w:contextualSpacing w:val="0"/>
              <w:rPr>
                <w:rFonts w:eastAsia="Times New Roman"/>
                <w:color w:val="auto"/>
              </w:rPr>
            </w:pPr>
            <w:r w:rsidRPr="00922F8B">
              <w:rPr>
                <w:rFonts w:eastAsia="Times New Roman"/>
                <w:color w:val="auto"/>
              </w:rPr>
              <w:t xml:space="preserve">Verify </w:t>
            </w:r>
            <w:r w:rsidR="0088501F">
              <w:rPr>
                <w:rFonts w:eastAsia="Times New Roman"/>
                <w:color w:val="auto"/>
              </w:rPr>
              <w:t>that the MLR denominator is calculated correctly according to the formula in the MLR Form Instructions for the applicable year; and</w:t>
            </w:r>
            <w:r w:rsidR="0088501F" w:rsidRPr="00922F8B">
              <w:rPr>
                <w:rFonts w:eastAsia="Times New Roman"/>
                <w:color w:val="auto"/>
              </w:rPr>
              <w:t xml:space="preserve"> </w:t>
            </w:r>
            <w:r w:rsidRPr="00922F8B">
              <w:rPr>
                <w:rFonts w:eastAsia="Times New Roman"/>
                <w:color w:val="auto"/>
              </w:rPr>
              <w:t>that the Total column for the MLR denominator is the sum of the PY2, PY1, and CY columns, except that:</w:t>
            </w:r>
          </w:p>
          <w:p w:rsidR="00073D7B" w:rsidRPr="00922F8B" w:rsidRDefault="00073D7B" w:rsidP="0088501F">
            <w:pPr>
              <w:pStyle w:val="ListParagraph"/>
              <w:numPr>
                <w:ilvl w:val="1"/>
                <w:numId w:val="14"/>
              </w:numPr>
              <w:ind w:left="772"/>
              <w:contextualSpacing w:val="0"/>
              <w:rPr>
                <w:rFonts w:eastAsia="Times New Roman"/>
                <w:color w:val="auto"/>
              </w:rPr>
            </w:pPr>
            <w:r w:rsidRPr="00922F8B">
              <w:rPr>
                <w:rFonts w:eastAsia="Times New Roman"/>
                <w:color w:val="auto"/>
              </w:rPr>
              <w:t>In states that require issuers to merge the individual and small group markets for MLR purposes, verify that the denominator for the individual and small group market</w:t>
            </w:r>
            <w:r w:rsidR="00401BCF">
              <w:rPr>
                <w:rFonts w:eastAsia="Times New Roman"/>
                <w:color w:val="auto"/>
              </w:rPr>
              <w:t>s</w:t>
            </w:r>
            <w:r w:rsidRPr="00922F8B">
              <w:rPr>
                <w:rFonts w:eastAsia="Times New Roman"/>
                <w:color w:val="auto"/>
              </w:rPr>
              <w:t xml:space="preserve"> </w:t>
            </w:r>
            <w:r w:rsidRPr="00922F8B">
              <w:rPr>
                <w:rFonts w:eastAsia="Times New Roman"/>
                <w:color w:val="auto"/>
              </w:rPr>
              <w:lastRenderedPageBreak/>
              <w:t>is the sum of the individual and small group amounts.</w:t>
            </w:r>
          </w:p>
          <w:p w:rsidR="00073D7B" w:rsidRPr="00922F8B" w:rsidRDefault="00401BCF" w:rsidP="0088501F">
            <w:pPr>
              <w:pStyle w:val="ListParagraph"/>
              <w:numPr>
                <w:ilvl w:val="1"/>
                <w:numId w:val="14"/>
              </w:numPr>
              <w:ind w:left="772"/>
              <w:contextualSpacing w:val="0"/>
              <w:rPr>
                <w:rFonts w:eastAsia="Times New Roman"/>
                <w:color w:val="auto"/>
              </w:rPr>
            </w:pPr>
            <w:r>
              <w:rPr>
                <w:rFonts w:eastAsia="Times New Roman"/>
                <w:color w:val="auto"/>
              </w:rPr>
              <w:t xml:space="preserve">For 2014-2016: </w:t>
            </w:r>
            <w:r w:rsidR="00073D7B" w:rsidRPr="00922F8B">
              <w:rPr>
                <w:rFonts w:eastAsia="Times New Roman"/>
                <w:color w:val="auto"/>
              </w:rPr>
              <w:t xml:space="preserve">If </w:t>
            </w:r>
            <w:r>
              <w:rPr>
                <w:rFonts w:eastAsia="Times New Roman"/>
                <w:color w:val="auto"/>
              </w:rPr>
              <w:t xml:space="preserve">on its 2013 MLR Form, </w:t>
            </w:r>
            <w:r w:rsidR="00073D7B" w:rsidRPr="00922F8B">
              <w:rPr>
                <w:rFonts w:eastAsia="Times New Roman"/>
                <w:color w:val="auto"/>
              </w:rPr>
              <w:t xml:space="preserve">the issuer excluded premium </w:t>
            </w:r>
            <w:r>
              <w:rPr>
                <w:rFonts w:eastAsia="Times New Roman"/>
                <w:color w:val="auto"/>
              </w:rPr>
              <w:t xml:space="preserve">collected in 2013 toward its ACA section 9010 fee liability payable in 2014 (reported </w:t>
            </w:r>
            <w:r w:rsidR="00073D7B" w:rsidRPr="00922F8B">
              <w:rPr>
                <w:rFonts w:eastAsia="Times New Roman"/>
                <w:color w:val="auto"/>
              </w:rPr>
              <w:t xml:space="preserve">in </w:t>
            </w:r>
            <w:proofErr w:type="spellStart"/>
            <w:r w:rsidR="00073D7B" w:rsidRPr="00922F8B">
              <w:rPr>
                <w:rFonts w:eastAsia="Times New Roman"/>
                <w:color w:val="auto"/>
              </w:rPr>
              <w:t>Pt</w:t>
            </w:r>
            <w:proofErr w:type="spellEnd"/>
            <w:r w:rsidR="00073D7B" w:rsidRPr="00922F8B">
              <w:rPr>
                <w:rFonts w:eastAsia="Times New Roman"/>
                <w:color w:val="auto"/>
              </w:rPr>
              <w:t xml:space="preserve"> 4 Ln 6.1a </w:t>
            </w:r>
            <w:r>
              <w:rPr>
                <w:rFonts w:eastAsia="Times New Roman"/>
                <w:color w:val="auto"/>
              </w:rPr>
              <w:t xml:space="preserve">and excluded </w:t>
            </w:r>
            <w:r w:rsidR="00073D7B" w:rsidRPr="00922F8B">
              <w:rPr>
                <w:rFonts w:eastAsia="Times New Roman"/>
                <w:color w:val="auto"/>
              </w:rPr>
              <w:t>from Ln 2.1, CY column</w:t>
            </w:r>
            <w:r>
              <w:rPr>
                <w:rFonts w:eastAsia="Times New Roman"/>
                <w:color w:val="auto"/>
              </w:rPr>
              <w:t>)</w:t>
            </w:r>
            <w:r w:rsidR="00073D7B" w:rsidRPr="00922F8B">
              <w:rPr>
                <w:rFonts w:eastAsia="Times New Roman"/>
                <w:color w:val="auto"/>
              </w:rPr>
              <w:t>, verify that</w:t>
            </w:r>
            <w:r>
              <w:rPr>
                <w:rFonts w:eastAsia="Times New Roman"/>
                <w:color w:val="auto"/>
              </w:rPr>
              <w:t xml:space="preserve"> on its 2013 MLR Form,</w:t>
            </w:r>
            <w:r w:rsidR="00073D7B" w:rsidRPr="00922F8B">
              <w:rPr>
                <w:rFonts w:eastAsia="Times New Roman"/>
                <w:color w:val="auto"/>
              </w:rPr>
              <w:t xml:space="preserve"> the issuer also excluded </w:t>
            </w:r>
            <w:r>
              <w:rPr>
                <w:rFonts w:eastAsia="Times New Roman"/>
                <w:color w:val="auto"/>
              </w:rPr>
              <w:t xml:space="preserve">from Ln 2.2, CY column </w:t>
            </w:r>
            <w:r w:rsidR="00073D7B" w:rsidRPr="00922F8B">
              <w:rPr>
                <w:rFonts w:eastAsia="Times New Roman"/>
                <w:color w:val="auto"/>
              </w:rPr>
              <w:t>the associated taxes and fees in Ln 6.2b.</w:t>
            </w:r>
            <w:r w:rsidR="00073D7B" w:rsidRPr="00922F8B">
              <w:rPr>
                <w:rFonts w:eastAsia="Times New Roman"/>
                <w:i/>
                <w:iCs/>
                <w:color w:val="auto"/>
              </w:rPr>
              <w:t xml:space="preserve"> </w:t>
            </w:r>
            <w:r>
              <w:rPr>
                <w:rFonts w:eastAsia="Times New Roman"/>
                <w:iCs/>
                <w:color w:val="auto"/>
              </w:rPr>
              <w:t xml:space="preserve">Further, verify that on its 2014-2016 MLR Forms, the issuer reported these amounts in </w:t>
            </w:r>
            <w:proofErr w:type="spellStart"/>
            <w:r>
              <w:rPr>
                <w:rFonts w:eastAsia="Times New Roman"/>
                <w:iCs/>
                <w:color w:val="auto"/>
              </w:rPr>
              <w:t>Pt</w:t>
            </w:r>
            <w:proofErr w:type="spellEnd"/>
            <w:r>
              <w:rPr>
                <w:rFonts w:eastAsia="Times New Roman"/>
                <w:iCs/>
                <w:color w:val="auto"/>
              </w:rPr>
              <w:t xml:space="preserve"> 3 </w:t>
            </w:r>
            <w:proofErr w:type="spellStart"/>
            <w:r>
              <w:rPr>
                <w:rFonts w:eastAsia="Times New Roman"/>
                <w:iCs/>
                <w:color w:val="auto"/>
              </w:rPr>
              <w:t>Lns</w:t>
            </w:r>
            <w:proofErr w:type="spellEnd"/>
            <w:r>
              <w:rPr>
                <w:rFonts w:eastAsia="Times New Roman"/>
                <w:iCs/>
                <w:color w:val="auto"/>
              </w:rPr>
              <w:t xml:space="preserve"> 7.1a-b and added them to 2014 premium and taxes in </w:t>
            </w:r>
            <w:proofErr w:type="spellStart"/>
            <w:r>
              <w:rPr>
                <w:rFonts w:eastAsia="Times New Roman"/>
                <w:iCs/>
                <w:color w:val="auto"/>
              </w:rPr>
              <w:t>Lns</w:t>
            </w:r>
            <w:proofErr w:type="spellEnd"/>
            <w:r>
              <w:rPr>
                <w:rFonts w:eastAsia="Times New Roman"/>
                <w:iCs/>
                <w:color w:val="auto"/>
              </w:rPr>
              <w:t xml:space="preserve"> 2.1 and 2.2.</w:t>
            </w:r>
          </w:p>
          <w:p w:rsidR="00073D7B" w:rsidRPr="00922F8B" w:rsidRDefault="00073D7B" w:rsidP="005A0D59">
            <w:r w:rsidRPr="00922F8B">
              <w:rPr>
                <w:rFonts w:eastAsia="Times New Roman"/>
                <w:i/>
                <w:color w:val="auto"/>
              </w:rPr>
              <w:t>[MLR denominator=</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3</w:t>
            </w:r>
            <w:r w:rsidRPr="00922F8B">
              <w:rPr>
                <w:rFonts w:eastAsia="Times New Roman"/>
                <w:i/>
                <w:color w:val="auto"/>
              </w:rPr>
              <w:t xml:space="preserve"> Ln 2.3]</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808"/>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14</w:t>
            </w:r>
          </w:p>
        </w:tc>
        <w:tc>
          <w:tcPr>
            <w:tcW w:w="0" w:type="auto"/>
            <w:shd w:val="clear" w:color="auto" w:fill="auto"/>
            <w:noWrap/>
            <w:hideMark/>
          </w:tcPr>
          <w:p w:rsidR="00073D7B" w:rsidRPr="00922F8B" w:rsidRDefault="00073D7B" w:rsidP="005060C3">
            <w:pPr>
              <w:spacing w:after="0"/>
              <w:rPr>
                <w:rFonts w:eastAsia="Times New Roman"/>
                <w:color w:val="auto"/>
              </w:rPr>
            </w:pPr>
            <w:r w:rsidRPr="00922F8B">
              <w:rPr>
                <w:rFonts w:eastAsia="Times New Roman"/>
                <w:color w:val="auto"/>
              </w:rPr>
              <w:t>§158.221</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 the MLR calculation</w:t>
            </w:r>
          </w:p>
        </w:tc>
        <w:tc>
          <w:tcPr>
            <w:tcW w:w="5930" w:type="dxa"/>
            <w:shd w:val="clear" w:color="auto" w:fill="auto"/>
            <w:hideMark/>
          </w:tcPr>
          <w:p w:rsidR="00073D7B" w:rsidRPr="00922F8B" w:rsidRDefault="005A0D59" w:rsidP="003A096D">
            <w:pPr>
              <w:pStyle w:val="ListParagraph"/>
              <w:numPr>
                <w:ilvl w:val="0"/>
                <w:numId w:val="30"/>
              </w:numPr>
              <w:contextualSpacing w:val="0"/>
              <w:rPr>
                <w:rFonts w:eastAsia="Times New Roman"/>
                <w:color w:val="auto"/>
              </w:rPr>
            </w:pPr>
            <w:r>
              <w:rPr>
                <w:rFonts w:eastAsia="Times New Roman"/>
                <w:color w:val="auto"/>
              </w:rPr>
              <w:t>V</w:t>
            </w:r>
            <w:r w:rsidR="00073D7B" w:rsidRPr="00922F8B">
              <w:rPr>
                <w:rFonts w:eastAsia="Times New Roman"/>
                <w:color w:val="auto"/>
              </w:rPr>
              <w:t>erify that:</w:t>
            </w:r>
          </w:p>
          <w:p w:rsidR="00073D7B" w:rsidRPr="00922F8B" w:rsidRDefault="00073D7B" w:rsidP="003A096D">
            <w:pPr>
              <w:pStyle w:val="ListParagraph"/>
              <w:numPr>
                <w:ilvl w:val="1"/>
                <w:numId w:val="30"/>
              </w:numPr>
              <w:ind w:left="751"/>
              <w:contextualSpacing w:val="0"/>
              <w:rPr>
                <w:rFonts w:eastAsia="Times New Roman"/>
                <w:color w:val="auto"/>
              </w:rPr>
            </w:pPr>
            <w:r w:rsidRPr="00922F8B">
              <w:rPr>
                <w:rFonts w:eastAsia="Times New Roman"/>
                <w:color w:val="auto"/>
              </w:rPr>
              <w:t>The preliminary MLR reported on the issuer’s MLR Form is accurate and unrounded.</w:t>
            </w:r>
            <w:r w:rsidRPr="00922F8B">
              <w:rPr>
                <w:rFonts w:eastAsia="Times New Roman"/>
                <w:i/>
                <w:color w:val="auto"/>
              </w:rPr>
              <w:t xml:space="preserve"> [Preliminary MLR=</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3</w:t>
            </w:r>
            <w:r w:rsidRPr="00922F8B">
              <w:rPr>
                <w:rFonts w:eastAsia="Times New Roman"/>
                <w:i/>
                <w:color w:val="auto"/>
              </w:rPr>
              <w:t xml:space="preserve"> </w:t>
            </w:r>
            <w:r w:rsidR="005A0D59">
              <w:rPr>
                <w:rFonts w:eastAsia="Times New Roman"/>
                <w:i/>
                <w:color w:val="auto"/>
              </w:rPr>
              <w:t>Ln</w:t>
            </w:r>
            <w:r w:rsidRPr="00922F8B">
              <w:rPr>
                <w:rFonts w:eastAsia="Times New Roman"/>
                <w:i/>
                <w:color w:val="auto"/>
              </w:rPr>
              <w:t xml:space="preserve"> </w:t>
            </w:r>
            <w:r w:rsidR="005A0D59">
              <w:rPr>
                <w:rFonts w:eastAsia="Times New Roman"/>
                <w:i/>
                <w:color w:val="auto"/>
              </w:rPr>
              <w:t>5</w:t>
            </w:r>
            <w:r w:rsidRPr="00922F8B">
              <w:rPr>
                <w:rFonts w:eastAsia="Times New Roman"/>
                <w:i/>
                <w:color w:val="auto"/>
              </w:rPr>
              <w:t>.1</w:t>
            </w:r>
            <w:r w:rsidR="005A0D59">
              <w:rPr>
                <w:rFonts w:eastAsia="Times New Roman"/>
                <w:i/>
                <w:color w:val="auto"/>
              </w:rPr>
              <w:t>a-b</w:t>
            </w:r>
            <w:r w:rsidRPr="00922F8B">
              <w:rPr>
                <w:rFonts w:eastAsia="Times New Roman"/>
                <w:i/>
                <w:color w:val="auto"/>
              </w:rPr>
              <w:t>]</w:t>
            </w:r>
          </w:p>
          <w:p w:rsidR="00073D7B" w:rsidRPr="00922F8B" w:rsidRDefault="00073D7B" w:rsidP="003A096D">
            <w:pPr>
              <w:pStyle w:val="ListParagraph"/>
              <w:numPr>
                <w:ilvl w:val="1"/>
                <w:numId w:val="30"/>
              </w:numPr>
              <w:ind w:left="751"/>
              <w:contextualSpacing w:val="0"/>
              <w:rPr>
                <w:rFonts w:eastAsia="Times New Roman"/>
                <w:color w:val="auto"/>
              </w:rPr>
            </w:pPr>
            <w:r w:rsidRPr="00922F8B">
              <w:rPr>
                <w:rFonts w:eastAsia="Times New Roman"/>
                <w:color w:val="auto"/>
              </w:rPr>
              <w:t xml:space="preserve">The credibility-adjusted MLR is accurate </w:t>
            </w:r>
            <w:r w:rsidRPr="00922F8B" w:rsidDel="00453CA5">
              <w:rPr>
                <w:rFonts w:eastAsia="Times New Roman"/>
                <w:color w:val="auto"/>
              </w:rPr>
              <w:t>and</w:t>
            </w:r>
            <w:r w:rsidRPr="00922F8B">
              <w:rPr>
                <w:rFonts w:eastAsia="Times New Roman"/>
                <w:color w:val="auto"/>
              </w:rPr>
              <w:t xml:space="preserve"> rounded to three decimal places. </w:t>
            </w:r>
            <w:r w:rsidRPr="00922F8B">
              <w:rPr>
                <w:rFonts w:eastAsia="Times New Roman"/>
                <w:i/>
                <w:color w:val="auto"/>
              </w:rPr>
              <w:t>[Credibility-adjusted MLR=</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3</w:t>
            </w:r>
            <w:r w:rsidRPr="00922F8B">
              <w:rPr>
                <w:rFonts w:eastAsia="Times New Roman"/>
                <w:i/>
                <w:color w:val="auto"/>
              </w:rPr>
              <w:t xml:space="preserve"> Ln </w:t>
            </w:r>
            <w:r w:rsidR="005A0D59">
              <w:rPr>
                <w:rFonts w:eastAsia="Times New Roman"/>
                <w:i/>
                <w:color w:val="auto"/>
              </w:rPr>
              <w:t>5</w:t>
            </w:r>
            <w:r w:rsidRPr="00922F8B">
              <w:rPr>
                <w:rFonts w:eastAsia="Times New Roman"/>
                <w:i/>
                <w:color w:val="auto"/>
              </w:rPr>
              <w:t>.3, Total column]</w:t>
            </w:r>
          </w:p>
          <w:p w:rsidR="00073D7B" w:rsidRPr="00922F8B" w:rsidRDefault="00073D7B" w:rsidP="003A096D">
            <w:r w:rsidRPr="00922F8B">
              <w:rPr>
                <w:rFonts w:eastAsia="Times New Roman"/>
                <w:i/>
                <w:color w:val="auto"/>
              </w:rPr>
              <w:t xml:space="preserve">If exceptions were noted for any element of the MLR, recalculate the federal MLR based on the accurate numbers obtained during the examination. </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41"/>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15</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§158.230 (b)</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 life-years</w:t>
            </w:r>
          </w:p>
        </w:tc>
        <w:tc>
          <w:tcPr>
            <w:tcW w:w="5930" w:type="dxa"/>
            <w:tcBorders>
              <w:top w:val="single" w:sz="8" w:space="0" w:color="4F81BD"/>
              <w:bottom w:val="single" w:sz="8" w:space="0" w:color="4F81BD"/>
            </w:tcBorders>
            <w:shd w:val="clear" w:color="auto" w:fill="auto"/>
            <w:hideMark/>
          </w:tcPr>
          <w:p w:rsidR="00073D7B" w:rsidRPr="00922F8B" w:rsidRDefault="00073D7B" w:rsidP="003A096D">
            <w:pPr>
              <w:pStyle w:val="ListParagraph"/>
              <w:numPr>
                <w:ilvl w:val="0"/>
                <w:numId w:val="23"/>
              </w:numPr>
              <w:contextualSpacing w:val="0"/>
            </w:pPr>
            <w:r w:rsidRPr="00922F8B">
              <w:t>Access the population of policy/contract records used to support the MLR Form and verify that the months of coverage were accurately reported for each state and market. This may require the use of ACL. </w:t>
            </w:r>
            <w:r w:rsidRPr="00922F8B">
              <w:rPr>
                <w:i/>
              </w:rPr>
              <w:t>[Member months=</w:t>
            </w:r>
            <w:proofErr w:type="spellStart"/>
            <w:r w:rsidRPr="00922F8B">
              <w:rPr>
                <w:i/>
              </w:rPr>
              <w:t>Pt</w:t>
            </w:r>
            <w:proofErr w:type="spellEnd"/>
            <w:r w:rsidRPr="00922F8B">
              <w:rPr>
                <w:i/>
              </w:rPr>
              <w:t xml:space="preserve"> 1 Ln 7.</w:t>
            </w:r>
            <w:r w:rsidR="005A0D59">
              <w:rPr>
                <w:i/>
              </w:rPr>
              <w:t>4</w:t>
            </w:r>
            <w:r w:rsidRPr="00922F8B">
              <w:rPr>
                <w:i/>
              </w:rPr>
              <w:t>]</w:t>
            </w:r>
          </w:p>
          <w:p w:rsidR="00073D7B" w:rsidRPr="00922F8B" w:rsidRDefault="00073D7B" w:rsidP="003A096D">
            <w:pPr>
              <w:pStyle w:val="ListParagraph"/>
              <w:numPr>
                <w:ilvl w:val="0"/>
                <w:numId w:val="23"/>
              </w:numPr>
              <w:contextualSpacing w:val="0"/>
            </w:pPr>
            <w:r w:rsidRPr="00922F8B">
              <w:t xml:space="preserve">Calculate the number of life-years by dividing the number of member months by 12. Verify the accuracy of the life-years reported for each state and market. </w:t>
            </w:r>
            <w:r w:rsidRPr="00922F8B">
              <w:rPr>
                <w:i/>
              </w:rPr>
              <w:t>[Number of life years=Pt 1 Ln 7.5]</w:t>
            </w:r>
          </w:p>
          <w:p w:rsidR="00073D7B" w:rsidRPr="00922F8B" w:rsidRDefault="00073D7B" w:rsidP="003A096D">
            <w:pPr>
              <w:pStyle w:val="ListParagraph"/>
              <w:ind w:left="0"/>
              <w:contextualSpacing w:val="0"/>
              <w:rPr>
                <w:rFonts w:eastAsia="Times New Roman"/>
                <w:color w:val="auto"/>
              </w:rPr>
            </w:pPr>
            <w:r w:rsidRPr="00922F8B">
              <w:rPr>
                <w:rFonts w:eastAsia="Times New Roman"/>
                <w:i/>
                <w:color w:val="auto"/>
              </w:rPr>
              <w:t xml:space="preserve">If exceptions were noted for the number of member months, recalculate life-years based on the accurate numbers obtained </w:t>
            </w:r>
            <w:r w:rsidRPr="00922F8B">
              <w:rPr>
                <w:rFonts w:eastAsia="Times New Roman"/>
                <w:i/>
                <w:color w:val="auto"/>
              </w:rPr>
              <w:lastRenderedPageBreak/>
              <w:t>during the examination.</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791"/>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16</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§158.231</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aggregation of life-years</w:t>
            </w:r>
          </w:p>
        </w:tc>
        <w:tc>
          <w:tcPr>
            <w:tcW w:w="5930" w:type="dxa"/>
            <w:shd w:val="clear" w:color="auto" w:fill="auto"/>
            <w:hideMark/>
          </w:tcPr>
          <w:p w:rsidR="00073D7B" w:rsidRPr="00922F8B" w:rsidRDefault="00073D7B" w:rsidP="003A096D">
            <w:pPr>
              <w:rPr>
                <w:rFonts w:eastAsia="Times New Roman"/>
                <w:color w:val="auto"/>
              </w:rPr>
            </w:pPr>
            <w:r w:rsidRPr="00922F8B">
              <w:rPr>
                <w:rFonts w:eastAsia="Times New Roman"/>
                <w:color w:val="auto"/>
              </w:rPr>
              <w:t xml:space="preserve">Verify </w:t>
            </w:r>
            <w:r w:rsidR="005A0D59">
              <w:rPr>
                <w:rFonts w:eastAsia="Times New Roman"/>
                <w:color w:val="auto"/>
              </w:rPr>
              <w:t>that</w:t>
            </w:r>
            <w:r w:rsidR="005A0D59" w:rsidRPr="005060C3">
              <w:rPr>
                <w:rFonts w:eastAsia="Times New Roman"/>
                <w:color w:val="auto"/>
              </w:rPr>
              <w:t xml:space="preserve"> the Total column for the</w:t>
            </w:r>
            <w:r w:rsidRPr="00922F8B">
              <w:rPr>
                <w:rFonts w:eastAsia="Times New Roman"/>
                <w:color w:val="auto"/>
              </w:rPr>
              <w:t xml:space="preserve"> life-years</w:t>
            </w:r>
            <w:r w:rsidR="005A0D59" w:rsidRPr="005060C3">
              <w:rPr>
                <w:rFonts w:eastAsia="Times New Roman"/>
                <w:color w:val="auto"/>
              </w:rPr>
              <w:t xml:space="preserve"> is the sum of the PY2, PY1, and CY columns, except that:</w:t>
            </w:r>
          </w:p>
          <w:p w:rsidR="00073D7B" w:rsidRPr="00922F8B" w:rsidRDefault="00073D7B" w:rsidP="003A096D">
            <w:pPr>
              <w:pStyle w:val="ListParagraph"/>
              <w:numPr>
                <w:ilvl w:val="0"/>
                <w:numId w:val="17"/>
              </w:numPr>
              <w:contextualSpacing w:val="0"/>
              <w:rPr>
                <w:rFonts w:eastAsia="Times New Roman"/>
                <w:i/>
                <w:color w:val="auto"/>
              </w:rPr>
            </w:pPr>
            <w:r w:rsidRPr="00922F8B">
              <w:rPr>
                <w:rFonts w:eastAsia="Times New Roman"/>
                <w:color w:val="auto"/>
              </w:rPr>
              <w:t>For the 201</w:t>
            </w:r>
            <w:r w:rsidR="005A0D59">
              <w:rPr>
                <w:rFonts w:eastAsia="Times New Roman"/>
                <w:color w:val="auto"/>
              </w:rPr>
              <w:t>4</w:t>
            </w:r>
            <w:r w:rsidRPr="00922F8B">
              <w:rPr>
                <w:rFonts w:eastAsia="Times New Roman"/>
                <w:color w:val="auto"/>
              </w:rPr>
              <w:t xml:space="preserve"> reporting year,</w:t>
            </w:r>
            <w:r w:rsidR="005A0D59">
              <w:rPr>
                <w:rFonts w:eastAsia="Times New Roman"/>
                <w:color w:val="auto"/>
              </w:rPr>
              <w:t xml:space="preserve"> Student Health Plans only,</w:t>
            </w:r>
            <w:r w:rsidRPr="00922F8B">
              <w:rPr>
                <w:rFonts w:eastAsia="Times New Roman"/>
                <w:color w:val="auto"/>
              </w:rPr>
              <w:t xml:space="preserve"> if the issuer’s 201</w:t>
            </w:r>
            <w:r w:rsidR="005A0D59">
              <w:rPr>
                <w:rFonts w:eastAsia="Times New Roman"/>
                <w:color w:val="auto"/>
              </w:rPr>
              <w:t>4</w:t>
            </w:r>
            <w:r w:rsidRPr="00922F8B">
              <w:rPr>
                <w:rFonts w:eastAsia="Times New Roman"/>
                <w:color w:val="auto"/>
              </w:rPr>
              <w:t xml:space="preserve"> life-years are &lt;75,000, the aggregate number </w:t>
            </w:r>
            <w:r w:rsidR="00B013C8" w:rsidRPr="00922F8B">
              <w:rPr>
                <w:rFonts w:eastAsia="Times New Roman"/>
                <w:color w:val="auto"/>
              </w:rPr>
              <w:t xml:space="preserve">of </w:t>
            </w:r>
            <w:r w:rsidRPr="00922F8B">
              <w:rPr>
                <w:rFonts w:eastAsia="Times New Roman"/>
                <w:color w:val="auto"/>
              </w:rPr>
              <w:t>life-years is the sum of life-years from the 201</w:t>
            </w:r>
            <w:r w:rsidR="005A0D59">
              <w:rPr>
                <w:rFonts w:eastAsia="Times New Roman"/>
                <w:color w:val="auto"/>
              </w:rPr>
              <w:t>3</w:t>
            </w:r>
            <w:r w:rsidRPr="00922F8B">
              <w:rPr>
                <w:rFonts w:eastAsia="Times New Roman"/>
                <w:color w:val="auto"/>
              </w:rPr>
              <w:t xml:space="preserve"> and the 201</w:t>
            </w:r>
            <w:r w:rsidR="005A0D59">
              <w:rPr>
                <w:rFonts w:eastAsia="Times New Roman"/>
                <w:color w:val="auto"/>
              </w:rPr>
              <w:t>4</w:t>
            </w:r>
            <w:r w:rsidRPr="00922F8B">
              <w:rPr>
                <w:rFonts w:eastAsia="Times New Roman"/>
                <w:color w:val="auto"/>
              </w:rPr>
              <w:t xml:space="preserve"> reporting year</w:t>
            </w:r>
            <w:r w:rsidR="005A0D59">
              <w:rPr>
                <w:rFonts w:eastAsia="Times New Roman"/>
                <w:color w:val="auto"/>
              </w:rPr>
              <w:t>s</w:t>
            </w:r>
            <w:r w:rsidRPr="00922F8B">
              <w:rPr>
                <w:rFonts w:eastAsia="Times New Roman"/>
                <w:color w:val="auto"/>
              </w:rPr>
              <w:t xml:space="preserve">. </w:t>
            </w:r>
          </w:p>
          <w:p w:rsidR="00073D7B" w:rsidRPr="00922F8B" w:rsidRDefault="005A0D59" w:rsidP="003A096D">
            <w:pPr>
              <w:pStyle w:val="ListParagraph"/>
              <w:numPr>
                <w:ilvl w:val="0"/>
                <w:numId w:val="17"/>
              </w:numPr>
              <w:contextualSpacing w:val="0"/>
              <w:rPr>
                <w:rFonts w:eastAsia="Times New Roman"/>
                <w:color w:val="auto"/>
              </w:rPr>
            </w:pPr>
            <w:r w:rsidRPr="005060C3">
              <w:rPr>
                <w:rFonts w:eastAsia="Times New Roman"/>
                <w:color w:val="auto"/>
              </w:rPr>
              <w:t xml:space="preserve">In states that require issuers to merge the individual and small group markets for MLR purposes, verify that the </w:t>
            </w:r>
            <w:r>
              <w:rPr>
                <w:rFonts w:eastAsia="Times New Roman"/>
                <w:color w:val="auto"/>
              </w:rPr>
              <w:t>life-years</w:t>
            </w:r>
            <w:r w:rsidRPr="005060C3">
              <w:rPr>
                <w:rFonts w:eastAsia="Times New Roman"/>
                <w:color w:val="auto"/>
              </w:rPr>
              <w:t xml:space="preserve"> for the individual </w:t>
            </w:r>
            <w:r>
              <w:rPr>
                <w:rFonts w:eastAsia="Times New Roman"/>
                <w:color w:val="auto"/>
              </w:rPr>
              <w:t>and</w:t>
            </w:r>
            <w:r w:rsidRPr="005060C3">
              <w:rPr>
                <w:rFonts w:eastAsia="Times New Roman"/>
                <w:color w:val="auto"/>
              </w:rPr>
              <w:t xml:space="preserve"> small group market</w:t>
            </w:r>
            <w:r>
              <w:rPr>
                <w:rFonts w:eastAsia="Times New Roman"/>
                <w:color w:val="auto"/>
              </w:rPr>
              <w:t>s</w:t>
            </w:r>
            <w:r w:rsidRPr="005060C3">
              <w:rPr>
                <w:rFonts w:eastAsia="Times New Roman"/>
                <w:color w:val="auto"/>
              </w:rPr>
              <w:t xml:space="preserve"> is the sum of the ind</w:t>
            </w:r>
            <w:r>
              <w:rPr>
                <w:rFonts w:eastAsia="Times New Roman"/>
                <w:color w:val="auto"/>
              </w:rPr>
              <w:t>ividual and small group amounts</w:t>
            </w:r>
            <w:r w:rsidR="00073D7B" w:rsidRPr="00922F8B">
              <w:rPr>
                <w:rFonts w:eastAsia="Times New Roman"/>
                <w:color w:val="auto"/>
              </w:rPr>
              <w:t xml:space="preserve">. </w:t>
            </w:r>
          </w:p>
          <w:p w:rsidR="00073D7B" w:rsidRPr="00922F8B" w:rsidRDefault="00073D7B" w:rsidP="005A0D59">
            <w:r w:rsidRPr="00922F8B">
              <w:rPr>
                <w:rFonts w:eastAsia="Times New Roman"/>
                <w:i/>
                <w:color w:val="auto"/>
              </w:rPr>
              <w:t>[Life-years=</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3</w:t>
            </w:r>
            <w:r w:rsidRPr="00922F8B">
              <w:rPr>
                <w:rFonts w:eastAsia="Times New Roman"/>
                <w:i/>
                <w:color w:val="auto"/>
              </w:rPr>
              <w:t xml:space="preserve"> Ln </w:t>
            </w:r>
            <w:r w:rsidR="005A0D59">
              <w:rPr>
                <w:rFonts w:eastAsia="Times New Roman"/>
                <w:i/>
                <w:color w:val="auto"/>
              </w:rPr>
              <w:t>4</w:t>
            </w:r>
            <w:r w:rsidRPr="00922F8B">
              <w:rPr>
                <w:rFonts w:eastAsia="Times New Roman"/>
                <w:i/>
                <w:color w:val="auto"/>
              </w:rPr>
              <w:t>.1]</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60"/>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17</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§158.230</w:t>
            </w:r>
          </w:p>
          <w:p w:rsidR="00073D7B" w:rsidRPr="00922F8B" w:rsidDel="00C809EB" w:rsidRDefault="00073D7B" w:rsidP="005060C3">
            <w:pPr>
              <w:spacing w:after="0"/>
              <w:rPr>
                <w:rFonts w:eastAsia="Times New Roman"/>
                <w:color w:val="auto"/>
              </w:rPr>
            </w:pPr>
            <w:r w:rsidRPr="00922F8B" w:rsidDel="00C809EB">
              <w:rPr>
                <w:rFonts w:eastAsia="Times New Roman"/>
                <w:color w:val="auto"/>
              </w:rPr>
              <w:t>§158.231</w:t>
            </w:r>
          </w:p>
          <w:p w:rsidR="00073D7B" w:rsidRPr="00922F8B" w:rsidRDefault="00073D7B" w:rsidP="005060C3">
            <w:pPr>
              <w:spacing w:after="0"/>
              <w:rPr>
                <w:rFonts w:eastAsia="Times New Roman"/>
                <w:color w:val="auto"/>
              </w:rPr>
            </w:pPr>
            <w:r w:rsidRPr="00922F8B">
              <w:rPr>
                <w:rFonts w:eastAsia="Times New Roman"/>
                <w:color w:val="auto"/>
              </w:rPr>
              <w:t>§158.232(b)</w:t>
            </w:r>
          </w:p>
        </w:tc>
        <w:tc>
          <w:tcPr>
            <w:tcW w:w="0" w:type="auto"/>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r w:rsidRPr="00922F8B">
              <w:rPr>
                <w:rFonts w:eastAsia="Times New Roman"/>
                <w:color w:val="auto"/>
              </w:rPr>
              <w:t xml:space="preserve">Test accuracy of the base credibility factor </w:t>
            </w:r>
          </w:p>
        </w:tc>
        <w:tc>
          <w:tcPr>
            <w:tcW w:w="5930" w:type="dxa"/>
            <w:tcBorders>
              <w:top w:val="single" w:sz="8" w:space="0" w:color="4F81BD"/>
              <w:bottom w:val="single" w:sz="8" w:space="0" w:color="4F81BD"/>
            </w:tcBorders>
            <w:shd w:val="clear" w:color="auto" w:fill="auto"/>
          </w:tcPr>
          <w:p w:rsidR="00073D7B" w:rsidRPr="00922F8B" w:rsidRDefault="00073D7B" w:rsidP="003A096D">
            <w:pPr>
              <w:pStyle w:val="ListParagraph"/>
              <w:numPr>
                <w:ilvl w:val="0"/>
                <w:numId w:val="16"/>
              </w:numPr>
              <w:contextualSpacing w:val="0"/>
              <w:rPr>
                <w:rFonts w:eastAsia="Times New Roman"/>
                <w:color w:val="auto"/>
              </w:rPr>
            </w:pPr>
            <w:r w:rsidRPr="00922F8B">
              <w:rPr>
                <w:rFonts w:eastAsia="Times New Roman"/>
                <w:color w:val="auto"/>
              </w:rPr>
              <w:t>Verify that the issuer used the correct aggregate number of life-years to calculate the base credibility factor.</w:t>
            </w:r>
          </w:p>
          <w:p w:rsidR="00073D7B" w:rsidRPr="00922F8B" w:rsidRDefault="00073D7B" w:rsidP="003A096D">
            <w:pPr>
              <w:pStyle w:val="NoSpacing"/>
              <w:numPr>
                <w:ilvl w:val="0"/>
                <w:numId w:val="16"/>
              </w:numPr>
              <w:spacing w:after="120"/>
            </w:pPr>
            <w:r w:rsidRPr="00922F8B">
              <w:rPr>
                <w:rFonts w:eastAsia="Times New Roman"/>
                <w:color w:val="auto"/>
              </w:rPr>
              <w:t xml:space="preserve">If aggregated life-years are ≥ 1,000 and &lt; 75,000, use the </w:t>
            </w:r>
            <w:r w:rsidR="005A0D59">
              <w:rPr>
                <w:rFonts w:eastAsia="Times New Roman"/>
                <w:color w:val="auto"/>
              </w:rPr>
              <w:t>MLR</w:t>
            </w:r>
            <w:r w:rsidRPr="00922F8B">
              <w:rPr>
                <w:rFonts w:eastAsia="Times New Roman"/>
                <w:color w:val="auto"/>
              </w:rPr>
              <w:t xml:space="preserve"> Calculator </w:t>
            </w:r>
            <w:r w:rsidR="005A0D59">
              <w:rPr>
                <w:rFonts w:eastAsia="Times New Roman"/>
                <w:color w:val="auto"/>
              </w:rPr>
              <w:t>for the applicable year</w:t>
            </w:r>
            <w:r w:rsidRPr="00922F8B">
              <w:rPr>
                <w:rFonts w:eastAsia="Times New Roman"/>
                <w:color w:val="auto"/>
              </w:rPr>
              <w:t xml:space="preserve"> on the CMS website or similar tool to verify that the base credibility factor is accurate and unrounded. </w:t>
            </w:r>
          </w:p>
          <w:p w:rsidR="00073D7B" w:rsidRPr="00922F8B" w:rsidRDefault="00073D7B" w:rsidP="003A096D">
            <w:pPr>
              <w:pStyle w:val="ListParagraph"/>
              <w:numPr>
                <w:ilvl w:val="0"/>
                <w:numId w:val="16"/>
              </w:numPr>
              <w:contextualSpacing w:val="0"/>
              <w:rPr>
                <w:rFonts w:eastAsia="Times New Roman"/>
                <w:color w:val="auto"/>
              </w:rPr>
            </w:pPr>
            <w:r w:rsidRPr="00922F8B">
              <w:rPr>
                <w:rFonts w:eastAsia="Times New Roman"/>
                <w:color w:val="auto"/>
              </w:rPr>
              <w:t>If aggregated life-years are &lt; 1,000 or ≥ 75,000, verify that the base credibility factor is 0.</w:t>
            </w:r>
          </w:p>
          <w:p w:rsidR="00073D7B" w:rsidRPr="00922F8B" w:rsidRDefault="00073D7B" w:rsidP="003A096D">
            <w:pPr>
              <w:pStyle w:val="ListParagraph"/>
              <w:numPr>
                <w:ilvl w:val="0"/>
                <w:numId w:val="16"/>
              </w:numPr>
              <w:contextualSpacing w:val="0"/>
              <w:rPr>
                <w:rFonts w:eastAsia="Times New Roman"/>
                <w:color w:val="auto"/>
              </w:rPr>
            </w:pPr>
            <w:r w:rsidRPr="00922F8B">
              <w:t>Beginning with the 2013 reporting year</w:t>
            </w:r>
            <w:r w:rsidR="005A0D59">
              <w:t xml:space="preserve"> (2015 for Student Health Plans)</w:t>
            </w:r>
            <w:r w:rsidRPr="00922F8B">
              <w:t>, verify that the base credibility factor is 0 when both of the following conditions are met:</w:t>
            </w:r>
          </w:p>
          <w:p w:rsidR="00073D7B" w:rsidRPr="00922F8B" w:rsidRDefault="00073D7B" w:rsidP="003A096D">
            <w:pPr>
              <w:pStyle w:val="NoSpacing"/>
              <w:numPr>
                <w:ilvl w:val="0"/>
                <w:numId w:val="20"/>
              </w:numPr>
              <w:spacing w:after="120"/>
            </w:pPr>
            <w:r w:rsidRPr="00922F8B">
              <w:t xml:space="preserve">The current MLR reporting year and each of the two previous MLR reporting years included experience of at least 1,000 life-years; and </w:t>
            </w:r>
          </w:p>
          <w:p w:rsidR="00073D7B" w:rsidRPr="00922F8B" w:rsidRDefault="00073D7B" w:rsidP="003A096D">
            <w:pPr>
              <w:pStyle w:val="NoSpacing"/>
              <w:numPr>
                <w:ilvl w:val="0"/>
                <w:numId w:val="20"/>
              </w:numPr>
              <w:spacing w:after="120"/>
            </w:pPr>
            <w:r w:rsidRPr="00922F8B">
              <w:t>Without applying any credibility adjustment, the issuer’s MLR for the current MLR reporting year and each of the two previous MLR reporting years were below the applicable MLR standard for each year as established under §158.210.</w:t>
            </w:r>
          </w:p>
          <w:p w:rsidR="00073D7B" w:rsidRPr="00922F8B" w:rsidRDefault="00073D7B" w:rsidP="003A096D">
            <w:pPr>
              <w:pStyle w:val="NoSpacing"/>
              <w:spacing w:after="120"/>
              <w:rPr>
                <w:i/>
              </w:rPr>
            </w:pPr>
            <w:r w:rsidRPr="00922F8B">
              <w:rPr>
                <w:i/>
              </w:rPr>
              <w:t>[Base credibility factor=</w:t>
            </w:r>
            <w:proofErr w:type="spellStart"/>
            <w:r w:rsidRPr="00922F8B">
              <w:rPr>
                <w:i/>
              </w:rPr>
              <w:t>Pt</w:t>
            </w:r>
            <w:proofErr w:type="spellEnd"/>
            <w:r w:rsidRPr="00922F8B">
              <w:rPr>
                <w:i/>
              </w:rPr>
              <w:t xml:space="preserve"> </w:t>
            </w:r>
            <w:r w:rsidR="005A0D59">
              <w:rPr>
                <w:i/>
              </w:rPr>
              <w:t>3</w:t>
            </w:r>
            <w:r w:rsidRPr="00922F8B">
              <w:rPr>
                <w:i/>
              </w:rPr>
              <w:t xml:space="preserve"> Ln </w:t>
            </w:r>
            <w:r w:rsidR="005A0D59">
              <w:rPr>
                <w:i/>
              </w:rPr>
              <w:t>4</w:t>
            </w:r>
            <w:r w:rsidRPr="00922F8B">
              <w:rPr>
                <w:i/>
              </w:rPr>
              <w:t>.2]</w:t>
            </w:r>
          </w:p>
          <w:p w:rsidR="00073D7B" w:rsidRPr="00922F8B" w:rsidRDefault="00073D7B" w:rsidP="003A096D">
            <w:pPr>
              <w:pStyle w:val="NoSpacing"/>
              <w:spacing w:after="120"/>
            </w:pPr>
            <w:r w:rsidRPr="00922F8B">
              <w:rPr>
                <w:i/>
              </w:rPr>
              <w:lastRenderedPageBreak/>
              <w:t>If exceptions were noted in the issuer’s aggregate number of life-years, recalculate the base credibility factor using the accurate numbers obtained during examination</w:t>
            </w:r>
            <w:r w:rsidRPr="00922F8B">
              <w:t>.</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41"/>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18</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§158.232</w:t>
            </w:r>
            <w:r w:rsidRPr="00922F8B" w:rsidDel="00C809EB">
              <w:rPr>
                <w:rFonts w:eastAsia="Times New Roman"/>
                <w:color w:val="auto"/>
              </w:rPr>
              <w:t xml:space="preserve"> </w:t>
            </w:r>
            <w:r w:rsidRPr="00922F8B">
              <w:rPr>
                <w:rFonts w:eastAsia="Times New Roman"/>
                <w:color w:val="auto"/>
              </w:rPr>
              <w:t>(c)</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 the deductible factor</w:t>
            </w:r>
          </w:p>
        </w:tc>
        <w:tc>
          <w:tcPr>
            <w:tcW w:w="5930" w:type="dxa"/>
            <w:shd w:val="clear" w:color="auto" w:fill="auto"/>
            <w:hideMark/>
          </w:tcPr>
          <w:p w:rsidR="00073D7B" w:rsidRPr="00922F8B" w:rsidRDefault="00073D7B" w:rsidP="003A096D">
            <w:pPr>
              <w:pStyle w:val="ListParagraph"/>
              <w:numPr>
                <w:ilvl w:val="0"/>
                <w:numId w:val="24"/>
              </w:numPr>
              <w:contextualSpacing w:val="0"/>
              <w:rPr>
                <w:rFonts w:eastAsia="Times New Roman"/>
                <w:color w:val="auto"/>
              </w:rPr>
            </w:pPr>
            <w:r w:rsidRPr="00922F8B">
              <w:rPr>
                <w:rFonts w:eastAsia="Times New Roman"/>
                <w:color w:val="auto"/>
              </w:rPr>
              <w:t>Select a sample of states and markets with a base credibility factor &gt; 0.</w:t>
            </w:r>
            <w:r w:rsidRPr="00922F8B" w:rsidDel="00C809EB">
              <w:rPr>
                <w:rFonts w:eastAsia="Times New Roman"/>
                <w:color w:val="auto"/>
              </w:rPr>
              <w:t xml:space="preserve"> </w:t>
            </w:r>
            <w:r w:rsidRPr="00922F8B">
              <w:rPr>
                <w:rFonts w:eastAsia="Times New Roman"/>
                <w:color w:val="auto"/>
              </w:rPr>
              <w:t xml:space="preserve">Use the issuer’s data </w:t>
            </w:r>
            <w:proofErr w:type="gramStart"/>
            <w:r w:rsidRPr="00922F8B">
              <w:rPr>
                <w:rFonts w:eastAsia="Times New Roman"/>
                <w:color w:val="auto"/>
              </w:rPr>
              <w:t>records,</w:t>
            </w:r>
            <w:proofErr w:type="gramEnd"/>
            <w:r w:rsidRPr="00922F8B">
              <w:rPr>
                <w:rFonts w:eastAsia="Times New Roman"/>
                <w:color w:val="auto"/>
              </w:rPr>
              <w:t xml:space="preserve"> including policy forms, group contracts, and enrollment</w:t>
            </w:r>
            <w:r w:rsidRPr="00922F8B" w:rsidDel="00C809EB">
              <w:rPr>
                <w:rFonts w:eastAsia="Times New Roman"/>
                <w:color w:val="auto"/>
              </w:rPr>
              <w:t xml:space="preserve"> data</w:t>
            </w:r>
            <w:r w:rsidRPr="00922F8B">
              <w:rPr>
                <w:rFonts w:eastAsia="Times New Roman"/>
                <w:color w:val="auto"/>
              </w:rPr>
              <w:t xml:space="preserve"> from </w:t>
            </w:r>
            <w:r w:rsidR="005A0D59">
              <w:rPr>
                <w:rFonts w:eastAsia="Times New Roman"/>
                <w:color w:val="auto"/>
              </w:rPr>
              <w:t>the current and two previous MLR reporting years</w:t>
            </w:r>
            <w:r w:rsidRPr="00922F8B">
              <w:rPr>
                <w:rFonts w:eastAsia="Times New Roman"/>
                <w:color w:val="auto"/>
              </w:rPr>
              <w:t xml:space="preserve"> to calculate the average health plan deductible.</w:t>
            </w:r>
            <w:r w:rsidRPr="00922F8B">
              <w:rPr>
                <w:rStyle w:val="FootnoteReference"/>
                <w:rFonts w:eastAsia="Times New Roman"/>
                <w:color w:val="auto"/>
              </w:rPr>
              <w:footnoteReference w:id="15"/>
            </w:r>
            <w:r w:rsidRPr="00922F8B">
              <w:rPr>
                <w:rFonts w:eastAsia="Times New Roman"/>
                <w:color w:val="auto"/>
              </w:rPr>
              <w:t xml:space="preserve"> </w:t>
            </w:r>
          </w:p>
          <w:p w:rsidR="00073D7B" w:rsidRPr="00922F8B" w:rsidRDefault="00073D7B" w:rsidP="003A096D">
            <w:pPr>
              <w:pStyle w:val="ListParagraph"/>
              <w:numPr>
                <w:ilvl w:val="0"/>
                <w:numId w:val="24"/>
              </w:numPr>
              <w:contextualSpacing w:val="0"/>
              <w:rPr>
                <w:rFonts w:eastAsia="Times New Roman"/>
                <w:color w:val="auto"/>
              </w:rPr>
            </w:pPr>
            <w:r w:rsidRPr="00922F8B">
              <w:rPr>
                <w:rFonts w:eastAsia="Times New Roman"/>
                <w:color w:val="auto"/>
              </w:rPr>
              <w:t xml:space="preserve">Verify that the average deductible calculated above matches the amount reported on the issuer’s MLR Form. </w:t>
            </w:r>
            <w:r w:rsidRPr="00922F8B">
              <w:rPr>
                <w:rFonts w:eastAsia="Times New Roman"/>
                <w:i/>
                <w:color w:val="auto"/>
              </w:rPr>
              <w:t>[Average Deductible =</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3</w:t>
            </w:r>
            <w:r w:rsidRPr="00922F8B">
              <w:rPr>
                <w:rFonts w:eastAsia="Times New Roman"/>
                <w:i/>
                <w:color w:val="auto"/>
              </w:rPr>
              <w:t xml:space="preserve"> Ln </w:t>
            </w:r>
            <w:r w:rsidR="005A0D59">
              <w:rPr>
                <w:rFonts w:eastAsia="Times New Roman"/>
                <w:i/>
                <w:color w:val="auto"/>
              </w:rPr>
              <w:t>4</w:t>
            </w:r>
            <w:r w:rsidRPr="00922F8B">
              <w:rPr>
                <w:rFonts w:eastAsia="Times New Roman"/>
                <w:i/>
                <w:color w:val="auto"/>
              </w:rPr>
              <w:t>.3]</w:t>
            </w:r>
            <w:r w:rsidRPr="00922F8B">
              <w:rPr>
                <w:rFonts w:eastAsia="Times New Roman"/>
                <w:color w:val="auto"/>
              </w:rPr>
              <w:t xml:space="preserve"> </w:t>
            </w:r>
          </w:p>
          <w:p w:rsidR="00073D7B" w:rsidRPr="00922F8B" w:rsidRDefault="00073D7B" w:rsidP="003A096D">
            <w:pPr>
              <w:pStyle w:val="ListParagraph"/>
              <w:numPr>
                <w:ilvl w:val="0"/>
                <w:numId w:val="24"/>
              </w:numPr>
              <w:contextualSpacing w:val="0"/>
              <w:rPr>
                <w:rFonts w:eastAsia="Times New Roman"/>
                <w:color w:val="auto"/>
              </w:rPr>
            </w:pPr>
            <w:r w:rsidRPr="00922F8B">
              <w:t xml:space="preserve">Use the </w:t>
            </w:r>
            <w:r w:rsidR="005A0D59">
              <w:t>MLR</w:t>
            </w:r>
            <w:r w:rsidRPr="00922F8B">
              <w:t xml:space="preserve"> Calculator </w:t>
            </w:r>
            <w:r w:rsidR="005A0D59">
              <w:t>for the applicable year</w:t>
            </w:r>
            <w:r w:rsidRPr="00922F8B">
              <w:t xml:space="preserve"> on the CMS website or similar tool to verify that the deductible factor is accurate and unrounded. </w:t>
            </w:r>
            <w:r w:rsidRPr="00922F8B">
              <w:rPr>
                <w:i/>
              </w:rPr>
              <w:t>[Deductible factor=</w:t>
            </w:r>
            <w:proofErr w:type="spellStart"/>
            <w:r w:rsidRPr="00922F8B">
              <w:rPr>
                <w:i/>
              </w:rPr>
              <w:t>Pt</w:t>
            </w:r>
            <w:proofErr w:type="spellEnd"/>
            <w:r w:rsidRPr="00922F8B">
              <w:rPr>
                <w:i/>
              </w:rPr>
              <w:t xml:space="preserve"> </w:t>
            </w:r>
            <w:r w:rsidR="005A0D59">
              <w:rPr>
                <w:i/>
              </w:rPr>
              <w:t>3</w:t>
            </w:r>
            <w:r w:rsidRPr="00922F8B">
              <w:rPr>
                <w:i/>
              </w:rPr>
              <w:t xml:space="preserve"> Ln </w:t>
            </w:r>
            <w:r w:rsidR="005A0D59">
              <w:rPr>
                <w:i/>
              </w:rPr>
              <w:t>4</w:t>
            </w:r>
            <w:r w:rsidRPr="00922F8B">
              <w:rPr>
                <w:i/>
              </w:rPr>
              <w:t>.4]</w:t>
            </w:r>
          </w:p>
          <w:p w:rsidR="00073D7B" w:rsidRPr="00922F8B" w:rsidRDefault="00073D7B" w:rsidP="003A096D">
            <w:r w:rsidRPr="00922F8B">
              <w:rPr>
                <w:i/>
              </w:rPr>
              <w:t xml:space="preserve">If exceptions were noted in the issuer’s average deductible, recalculate the deductible factor using the accurate numbers obtained during examination. </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493"/>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19</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§158.232(a)</w:t>
            </w:r>
          </w:p>
          <w:p w:rsidR="00073D7B" w:rsidRPr="00922F8B" w:rsidRDefault="00073D7B" w:rsidP="005A0D59">
            <w:pPr>
              <w:spacing w:after="0"/>
              <w:rPr>
                <w:rFonts w:eastAsia="Times New Roman"/>
                <w:color w:val="auto"/>
              </w:rPr>
            </w:pP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 xml:space="preserve">Test accuracy of the credibility adjustment </w:t>
            </w:r>
          </w:p>
        </w:tc>
        <w:tc>
          <w:tcPr>
            <w:tcW w:w="5930" w:type="dxa"/>
            <w:tcBorders>
              <w:top w:val="single" w:sz="8" w:space="0" w:color="4F81BD"/>
              <w:bottom w:val="single" w:sz="8" w:space="0" w:color="4F81BD"/>
            </w:tcBorders>
            <w:shd w:val="clear" w:color="auto" w:fill="auto"/>
            <w:hideMark/>
          </w:tcPr>
          <w:p w:rsidR="00073D7B" w:rsidRPr="00922F8B" w:rsidRDefault="00073D7B" w:rsidP="003A096D">
            <w:pPr>
              <w:pStyle w:val="NoSpacing"/>
              <w:spacing w:after="120"/>
              <w:rPr>
                <w:i/>
              </w:rPr>
            </w:pPr>
            <w:r w:rsidRPr="00922F8B">
              <w:t xml:space="preserve">Multiply the base credibility factor by the deductible factor and verify that the credibility adjustment reported on the MLR Form is accurate and unrounded. </w:t>
            </w:r>
            <w:r w:rsidRPr="00922F8B">
              <w:rPr>
                <w:i/>
              </w:rPr>
              <w:t>[Credibility Adjustment=</w:t>
            </w:r>
            <w:proofErr w:type="spellStart"/>
            <w:r w:rsidRPr="00922F8B">
              <w:rPr>
                <w:i/>
              </w:rPr>
              <w:t>Pt</w:t>
            </w:r>
            <w:proofErr w:type="spellEnd"/>
            <w:r w:rsidRPr="00922F8B">
              <w:rPr>
                <w:i/>
              </w:rPr>
              <w:t xml:space="preserve"> </w:t>
            </w:r>
            <w:r w:rsidR="005A0D59">
              <w:rPr>
                <w:i/>
              </w:rPr>
              <w:t>3</w:t>
            </w:r>
            <w:r w:rsidRPr="00922F8B">
              <w:rPr>
                <w:i/>
              </w:rPr>
              <w:t xml:space="preserve"> Ln </w:t>
            </w:r>
            <w:r w:rsidR="005A0D59">
              <w:rPr>
                <w:i/>
              </w:rPr>
              <w:t>5</w:t>
            </w:r>
            <w:r w:rsidRPr="00922F8B">
              <w:rPr>
                <w:i/>
              </w:rPr>
              <w:t>.2].</w:t>
            </w:r>
          </w:p>
          <w:p w:rsidR="00073D7B" w:rsidRPr="00922F8B" w:rsidRDefault="00073D7B" w:rsidP="003A096D">
            <w:pPr>
              <w:pStyle w:val="NoSpacing"/>
              <w:spacing w:after="120"/>
              <w:rPr>
                <w:i/>
              </w:rPr>
            </w:pPr>
            <w:r w:rsidRPr="00922F8B">
              <w:rPr>
                <w:i/>
              </w:rPr>
              <w:t xml:space="preserve">If exceptions were noted in the issuer’s base credibility factor or deductible factor, recalculate the credibility adjustment using the accurate numbers obtained during examination. </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403"/>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20</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§158.240</w:t>
            </w:r>
            <w:r w:rsidRPr="00922F8B">
              <w:rPr>
                <w:rFonts w:eastAsia="Times New Roman"/>
                <w:color w:val="auto"/>
              </w:rPr>
              <w:br/>
              <w:t>§158.241</w:t>
            </w:r>
            <w:r w:rsidRPr="00922F8B">
              <w:rPr>
                <w:rFonts w:eastAsia="Times New Roman"/>
                <w:color w:val="auto"/>
              </w:rPr>
              <w:br/>
              <w:t>§158.242</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accuracy of rebate payments</w:t>
            </w:r>
          </w:p>
        </w:tc>
        <w:tc>
          <w:tcPr>
            <w:tcW w:w="5930" w:type="dxa"/>
            <w:shd w:val="clear" w:color="auto" w:fill="auto"/>
            <w:hideMark/>
          </w:tcPr>
          <w:p w:rsidR="00073D7B" w:rsidRPr="00922F8B" w:rsidRDefault="00073D7B" w:rsidP="003A096D">
            <w:pPr>
              <w:pStyle w:val="ListParagraph"/>
              <w:numPr>
                <w:ilvl w:val="0"/>
                <w:numId w:val="19"/>
              </w:numPr>
              <w:contextualSpacing w:val="0"/>
              <w:rPr>
                <w:rFonts w:eastAsia="Times New Roman"/>
                <w:color w:val="auto"/>
              </w:rPr>
            </w:pPr>
            <w:r w:rsidRPr="00922F8B">
              <w:rPr>
                <w:rFonts w:eastAsia="Times New Roman"/>
                <w:color w:val="auto"/>
              </w:rPr>
              <w:t xml:space="preserve">Verify that the issuer paid rebates in every state/ market in which a rebate was owed. </w:t>
            </w:r>
          </w:p>
          <w:p w:rsidR="00073D7B" w:rsidRPr="00922F8B" w:rsidRDefault="00073D7B" w:rsidP="003A096D">
            <w:pPr>
              <w:pStyle w:val="ListParagraph"/>
              <w:numPr>
                <w:ilvl w:val="0"/>
                <w:numId w:val="19"/>
              </w:numPr>
              <w:contextualSpacing w:val="0"/>
              <w:rPr>
                <w:rFonts w:eastAsia="Times New Roman"/>
                <w:color w:val="auto"/>
              </w:rPr>
            </w:pPr>
            <w:r w:rsidRPr="00922F8B">
              <w:rPr>
                <w:rFonts w:eastAsia="Times New Roman"/>
                <w:color w:val="auto"/>
              </w:rPr>
              <w:t>Select a sample of rebate payments</w:t>
            </w:r>
            <w:r w:rsidRPr="00922F8B" w:rsidDel="002B4A94">
              <w:rPr>
                <w:rFonts w:eastAsia="Times New Roman"/>
                <w:color w:val="auto"/>
              </w:rPr>
              <w:t xml:space="preserve"> and verify that:</w:t>
            </w:r>
            <w:r w:rsidRPr="00922F8B">
              <w:rPr>
                <w:rFonts w:eastAsia="Times New Roman"/>
                <w:color w:val="auto"/>
              </w:rPr>
              <w:t xml:space="preserve"> </w:t>
            </w:r>
          </w:p>
          <w:p w:rsidR="005A0D59" w:rsidRDefault="005A0D59" w:rsidP="003A096D">
            <w:pPr>
              <w:pStyle w:val="ListParagraph"/>
              <w:numPr>
                <w:ilvl w:val="0"/>
                <w:numId w:val="4"/>
              </w:numPr>
              <w:contextualSpacing w:val="0"/>
              <w:rPr>
                <w:rFonts w:eastAsia="Times New Roman"/>
                <w:color w:val="auto"/>
              </w:rPr>
            </w:pPr>
            <w:r>
              <w:rPr>
                <w:rFonts w:eastAsia="Times New Roman"/>
                <w:color w:val="auto"/>
              </w:rPr>
              <w:t xml:space="preserve">The total rebate amount for the state/market is correct. </w:t>
            </w:r>
            <w:r>
              <w:rPr>
                <w:rFonts w:eastAsia="Times New Roman"/>
                <w:i/>
                <w:color w:val="auto"/>
              </w:rPr>
              <w:lastRenderedPageBreak/>
              <w:t>[Total rebate amount=</w:t>
            </w:r>
            <w:proofErr w:type="spellStart"/>
            <w:r>
              <w:rPr>
                <w:rFonts w:eastAsia="Times New Roman"/>
                <w:i/>
                <w:color w:val="auto"/>
              </w:rPr>
              <w:t>Pt</w:t>
            </w:r>
            <w:proofErr w:type="spellEnd"/>
            <w:r>
              <w:rPr>
                <w:rFonts w:eastAsia="Times New Roman"/>
                <w:i/>
                <w:color w:val="auto"/>
              </w:rPr>
              <w:t xml:space="preserve"> 3 </w:t>
            </w:r>
            <w:proofErr w:type="spellStart"/>
            <w:r>
              <w:rPr>
                <w:rFonts w:eastAsia="Times New Roman"/>
                <w:i/>
                <w:color w:val="auto"/>
              </w:rPr>
              <w:t>Lns</w:t>
            </w:r>
            <w:proofErr w:type="spellEnd"/>
            <w:r>
              <w:rPr>
                <w:rFonts w:eastAsia="Times New Roman"/>
                <w:i/>
                <w:color w:val="auto"/>
              </w:rPr>
              <w:t xml:space="preserve"> (6.1 - 6.2) x 6.3]</w:t>
            </w:r>
          </w:p>
          <w:p w:rsidR="00073D7B" w:rsidRPr="00922F8B" w:rsidRDefault="00073D7B" w:rsidP="003A096D">
            <w:pPr>
              <w:pStyle w:val="ListParagraph"/>
              <w:numPr>
                <w:ilvl w:val="0"/>
                <w:numId w:val="4"/>
              </w:numPr>
              <w:contextualSpacing w:val="0"/>
              <w:rPr>
                <w:rFonts w:eastAsia="Times New Roman"/>
                <w:color w:val="auto"/>
              </w:rPr>
            </w:pPr>
            <w:r w:rsidRPr="00922F8B">
              <w:rPr>
                <w:rFonts w:eastAsia="Times New Roman"/>
                <w:color w:val="auto"/>
              </w:rPr>
              <w:t xml:space="preserve">The amount of the rebate </w:t>
            </w:r>
            <w:r w:rsidR="005A0D59">
              <w:rPr>
                <w:rFonts w:eastAsia="Times New Roman"/>
                <w:color w:val="auto"/>
              </w:rPr>
              <w:t xml:space="preserve">to the subscriber/policyholder </w:t>
            </w:r>
            <w:r w:rsidRPr="00922F8B">
              <w:rPr>
                <w:rFonts w:eastAsia="Times New Roman"/>
                <w:color w:val="auto"/>
              </w:rPr>
              <w:t xml:space="preserve">is equal to the difference between the issuer’s </w:t>
            </w:r>
            <w:r w:rsidR="005A0D59">
              <w:rPr>
                <w:rFonts w:eastAsia="Times New Roman"/>
                <w:color w:val="auto"/>
              </w:rPr>
              <w:t xml:space="preserve">total rebate </w:t>
            </w:r>
            <w:proofErr w:type="gramStart"/>
            <w:r w:rsidR="005A0D59">
              <w:rPr>
                <w:rFonts w:eastAsia="Times New Roman"/>
                <w:color w:val="auto"/>
              </w:rPr>
              <w:t>amount</w:t>
            </w:r>
            <w:proofErr w:type="gramEnd"/>
            <w:r w:rsidRPr="00922F8B">
              <w:rPr>
                <w:rFonts w:eastAsia="Times New Roman"/>
                <w:color w:val="auto"/>
              </w:rPr>
              <w:t xml:space="preserve"> in the state/market, multiplied by the </w:t>
            </w:r>
            <w:r w:rsidR="005A0D59">
              <w:rPr>
                <w:rFonts w:eastAsia="Times New Roman"/>
                <w:color w:val="auto"/>
              </w:rPr>
              <w:t xml:space="preserve">ratio of </w:t>
            </w:r>
            <w:r w:rsidRPr="00922F8B">
              <w:rPr>
                <w:rFonts w:eastAsia="Times New Roman"/>
                <w:color w:val="auto"/>
              </w:rPr>
              <w:t xml:space="preserve">subscriber/policyholder’s premium </w:t>
            </w:r>
            <w:r w:rsidR="005A0D59">
              <w:rPr>
                <w:rFonts w:eastAsia="Times New Roman"/>
                <w:color w:val="auto"/>
              </w:rPr>
              <w:t>to issuer’s total premium in the state/market</w:t>
            </w:r>
            <w:r w:rsidRPr="00922F8B">
              <w:rPr>
                <w:rFonts w:eastAsia="Times New Roman"/>
                <w:color w:val="auto"/>
              </w:rPr>
              <w:t>.</w:t>
            </w:r>
          </w:p>
          <w:p w:rsidR="00073D7B" w:rsidRPr="00922F8B" w:rsidRDefault="00073D7B" w:rsidP="003A096D">
            <w:pPr>
              <w:pStyle w:val="ListParagraph"/>
              <w:numPr>
                <w:ilvl w:val="0"/>
                <w:numId w:val="4"/>
              </w:numPr>
              <w:contextualSpacing w:val="0"/>
              <w:rPr>
                <w:rFonts w:eastAsia="Times New Roman"/>
                <w:color w:val="auto"/>
              </w:rPr>
            </w:pPr>
            <w:r w:rsidRPr="00922F8B">
              <w:rPr>
                <w:rFonts w:eastAsia="Times New Roman"/>
                <w:color w:val="auto"/>
              </w:rPr>
              <w:t xml:space="preserve">For rebates distributed via premium credit, the rebate was fully applied before any new cash was paid by the enrollee. </w:t>
            </w:r>
            <w:r w:rsidRPr="00922F8B">
              <w:rPr>
                <w:rFonts w:eastAsia="Times New Roman"/>
                <w:i/>
                <w:color w:val="auto"/>
              </w:rPr>
              <w:t>[Premium credit=</w:t>
            </w:r>
            <w:proofErr w:type="spellStart"/>
            <w:r w:rsidRPr="00922F8B">
              <w:rPr>
                <w:rFonts w:eastAsia="Times New Roman"/>
                <w:i/>
                <w:color w:val="auto"/>
              </w:rPr>
              <w:t>Pt</w:t>
            </w:r>
            <w:proofErr w:type="spellEnd"/>
            <w:r w:rsidRPr="00922F8B">
              <w:rPr>
                <w:rFonts w:eastAsia="Times New Roman"/>
                <w:i/>
                <w:color w:val="auto"/>
              </w:rPr>
              <w:t xml:space="preserve"> </w:t>
            </w:r>
            <w:r w:rsidR="005A0D59">
              <w:rPr>
                <w:rFonts w:eastAsia="Times New Roman"/>
                <w:i/>
                <w:color w:val="auto"/>
              </w:rPr>
              <w:t>4</w:t>
            </w:r>
            <w:r w:rsidRPr="00922F8B">
              <w:rPr>
                <w:rFonts w:eastAsia="Times New Roman"/>
                <w:i/>
                <w:color w:val="auto"/>
              </w:rPr>
              <w:t xml:space="preserve"> Ln 3.c] </w:t>
            </w:r>
          </w:p>
          <w:p w:rsidR="00073D7B" w:rsidRPr="00922F8B" w:rsidRDefault="00073D7B" w:rsidP="003A096D">
            <w:pPr>
              <w:pStyle w:val="NoSpacing"/>
              <w:numPr>
                <w:ilvl w:val="0"/>
                <w:numId w:val="23"/>
              </w:numPr>
              <w:spacing w:after="120"/>
              <w:rPr>
                <w:rFonts w:eastAsia="Times New Roman"/>
                <w:color w:val="auto"/>
              </w:rPr>
            </w:pPr>
            <w:r w:rsidRPr="00922F8B">
              <w:rPr>
                <w:rFonts w:eastAsia="Times New Roman"/>
                <w:color w:val="auto"/>
              </w:rPr>
              <w:t>Verify that payment was made on or before</w:t>
            </w:r>
            <w:r w:rsidR="005A0D59">
              <w:rPr>
                <w:rFonts w:eastAsia="Times New Roman"/>
                <w:color w:val="auto"/>
              </w:rPr>
              <w:t xml:space="preserve"> September 30</w:t>
            </w:r>
            <w:r w:rsidRPr="00922F8B">
              <w:rPr>
                <w:rFonts w:eastAsia="Times New Roman"/>
                <w:color w:val="auto"/>
              </w:rPr>
              <w:t xml:space="preserve"> subsequent to the end of the MLR reporting year. For rebate payments disbursed after </w:t>
            </w:r>
            <w:r w:rsidR="005A0D59">
              <w:rPr>
                <w:rFonts w:eastAsia="Times New Roman"/>
                <w:color w:val="auto"/>
              </w:rPr>
              <w:t xml:space="preserve"> September 30</w:t>
            </w:r>
            <w:r w:rsidR="00CB6061" w:rsidRPr="00922F8B">
              <w:rPr>
                <w:rFonts w:eastAsia="Times New Roman"/>
                <w:color w:val="auto"/>
              </w:rPr>
              <w:t xml:space="preserve"> (except rebates distributed by premium credit)</w:t>
            </w:r>
            <w:r w:rsidRPr="00922F8B">
              <w:rPr>
                <w:rFonts w:eastAsia="Times New Roman"/>
                <w:color w:val="auto"/>
              </w:rPr>
              <w:t>, verify that the payment included interest at the Federal Reserve Board lending rate or 10% annually, whichever is higher.</w:t>
            </w:r>
          </w:p>
          <w:p w:rsidR="00073D7B" w:rsidRPr="00922F8B" w:rsidRDefault="00073D7B" w:rsidP="003A096D">
            <w:pPr>
              <w:pStyle w:val="NoSpacing"/>
              <w:spacing w:after="120"/>
              <w:rPr>
                <w:rFonts w:eastAsia="Times New Roman"/>
                <w:color w:val="auto"/>
              </w:rPr>
            </w:pPr>
            <w:r w:rsidRPr="00922F8B">
              <w:rPr>
                <w:rFonts w:eastAsia="Times New Roman"/>
                <w:i/>
                <w:color w:val="auto"/>
              </w:rPr>
              <w:t>If exceptions were noted in the issuer’s MLR</w:t>
            </w:r>
            <w:r w:rsidR="005A0D59">
              <w:rPr>
                <w:rFonts w:eastAsia="Times New Roman"/>
                <w:i/>
                <w:color w:val="auto"/>
              </w:rPr>
              <w:t xml:space="preserve"> numerator, denominator,</w:t>
            </w:r>
            <w:r w:rsidRPr="00922F8B">
              <w:rPr>
                <w:rFonts w:eastAsia="Times New Roman"/>
                <w:i/>
                <w:color w:val="auto"/>
              </w:rPr>
              <w:t xml:space="preserve"> or MLR standard, recalculate the rebate amount using the accurate numbers obtained during examination. </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304"/>
        </w:trPr>
        <w:tc>
          <w:tcPr>
            <w:tcW w:w="0" w:type="auto"/>
            <w:tcBorders>
              <w:top w:val="single" w:sz="8" w:space="0" w:color="4F81BD"/>
              <w:left w:val="single" w:sz="8" w:space="0" w:color="4F81BD"/>
              <w:bottom w:val="single" w:sz="8" w:space="0" w:color="4F81BD"/>
            </w:tcBorders>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lastRenderedPageBreak/>
              <w:t>21</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§158.243</w:t>
            </w:r>
          </w:p>
        </w:tc>
        <w:tc>
          <w:tcPr>
            <w:tcW w:w="0" w:type="auto"/>
            <w:tcBorders>
              <w:top w:val="single" w:sz="8" w:space="0" w:color="4F81BD"/>
              <w:bottom w:val="single" w:sz="8" w:space="0" w:color="4F81BD"/>
            </w:tcBorders>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 xml:space="preserve">Test accuracy of the distribution of </w:t>
            </w:r>
            <w:r w:rsidRPr="0088501F">
              <w:rPr>
                <w:rFonts w:eastAsia="Times New Roman"/>
                <w:i/>
                <w:color w:val="auto"/>
              </w:rPr>
              <w:t>de minimis</w:t>
            </w:r>
            <w:r w:rsidRPr="00922F8B">
              <w:rPr>
                <w:rFonts w:eastAsia="Times New Roman"/>
                <w:color w:val="auto"/>
              </w:rPr>
              <w:t xml:space="preserve"> rebates</w:t>
            </w:r>
          </w:p>
        </w:tc>
        <w:tc>
          <w:tcPr>
            <w:tcW w:w="5930" w:type="dxa"/>
            <w:tcBorders>
              <w:top w:val="single" w:sz="8" w:space="0" w:color="4F81BD"/>
              <w:bottom w:val="single" w:sz="8" w:space="0" w:color="4F81BD"/>
            </w:tcBorders>
            <w:shd w:val="clear" w:color="auto" w:fill="auto"/>
            <w:hideMark/>
          </w:tcPr>
          <w:p w:rsidR="00073D7B" w:rsidRPr="00922F8B" w:rsidRDefault="00073D7B" w:rsidP="003A096D">
            <w:pPr>
              <w:pStyle w:val="ListParagraph"/>
              <w:numPr>
                <w:ilvl w:val="0"/>
                <w:numId w:val="18"/>
              </w:numPr>
              <w:contextualSpacing w:val="0"/>
              <w:rPr>
                <w:rFonts w:eastAsia="Times New Roman"/>
                <w:color w:val="auto"/>
              </w:rPr>
            </w:pPr>
            <w:r w:rsidRPr="00922F8B">
              <w:rPr>
                <w:rFonts w:eastAsia="Times New Roman"/>
                <w:color w:val="auto"/>
              </w:rPr>
              <w:t>If an issuer did not provide rebates to subscribers/</w:t>
            </w:r>
            <w:r w:rsidR="00846FFF" w:rsidRPr="00922F8B">
              <w:rPr>
                <w:rFonts w:eastAsia="Times New Roman"/>
                <w:color w:val="auto"/>
              </w:rPr>
              <w:t xml:space="preserve"> </w:t>
            </w:r>
            <w:r w:rsidRPr="00922F8B">
              <w:rPr>
                <w:rFonts w:eastAsia="Times New Roman"/>
                <w:color w:val="auto"/>
              </w:rPr>
              <w:t xml:space="preserve">policyholders whose rebate were </w:t>
            </w:r>
            <w:r w:rsidRPr="0088501F">
              <w:rPr>
                <w:rFonts w:eastAsia="Times New Roman"/>
                <w:i/>
                <w:color w:val="auto"/>
              </w:rPr>
              <w:t>de minimis</w:t>
            </w:r>
            <w:r w:rsidRPr="00922F8B">
              <w:rPr>
                <w:rFonts w:eastAsia="Times New Roman"/>
                <w:color w:val="auto"/>
              </w:rPr>
              <w:t xml:space="preserve">, verify that the issuer accurately classified </w:t>
            </w:r>
            <w:r w:rsidRPr="0088501F">
              <w:rPr>
                <w:rFonts w:eastAsia="Times New Roman"/>
                <w:i/>
                <w:color w:val="auto"/>
              </w:rPr>
              <w:t>de minimis</w:t>
            </w:r>
            <w:r w:rsidRPr="00922F8B">
              <w:rPr>
                <w:rFonts w:eastAsia="Times New Roman"/>
                <w:color w:val="auto"/>
              </w:rPr>
              <w:t xml:space="preserve"> rebates as rebate payments &lt;$5 in the individual market and &lt;$20 in the small and large group markets.</w:t>
            </w:r>
          </w:p>
          <w:p w:rsidR="00073D7B" w:rsidRPr="00922F8B" w:rsidRDefault="00073D7B" w:rsidP="003A096D">
            <w:pPr>
              <w:pStyle w:val="ListParagraph"/>
              <w:numPr>
                <w:ilvl w:val="0"/>
                <w:numId w:val="18"/>
              </w:numPr>
              <w:contextualSpacing w:val="0"/>
              <w:rPr>
                <w:rFonts w:eastAsia="Times New Roman"/>
                <w:color w:val="auto"/>
              </w:rPr>
            </w:pPr>
            <w:r w:rsidRPr="00922F8B">
              <w:rPr>
                <w:rFonts w:eastAsia="Times New Roman"/>
                <w:color w:val="auto"/>
              </w:rPr>
              <w:t>Select a sample of the issuer’s non-</w:t>
            </w:r>
            <w:r w:rsidRPr="0088501F">
              <w:rPr>
                <w:rFonts w:eastAsia="Times New Roman"/>
                <w:i/>
                <w:color w:val="auto"/>
              </w:rPr>
              <w:t>de minimis</w:t>
            </w:r>
            <w:r w:rsidRPr="00922F8B">
              <w:rPr>
                <w:rFonts w:eastAsia="Times New Roman"/>
                <w:color w:val="auto"/>
              </w:rPr>
              <w:t xml:space="preserve"> rebate payments and verify that they include a pro-rata portion of the aggregated </w:t>
            </w:r>
            <w:r w:rsidRPr="0088501F">
              <w:rPr>
                <w:rFonts w:eastAsia="Times New Roman"/>
                <w:i/>
                <w:color w:val="auto"/>
              </w:rPr>
              <w:t>de minimis</w:t>
            </w:r>
            <w:r w:rsidRPr="00922F8B">
              <w:rPr>
                <w:rFonts w:eastAsia="Times New Roman"/>
                <w:color w:val="auto"/>
              </w:rPr>
              <w:t xml:space="preserve"> rebates.</w:t>
            </w:r>
          </w:p>
          <w:p w:rsidR="00073D7B" w:rsidRPr="00922F8B" w:rsidRDefault="00073D7B" w:rsidP="00FF031C">
            <w:r w:rsidRPr="00922F8B">
              <w:rPr>
                <w:rFonts w:eastAsia="Times New Roman"/>
                <w:i/>
                <w:color w:val="auto"/>
              </w:rPr>
              <w:t xml:space="preserve">[De </w:t>
            </w:r>
            <w:proofErr w:type="spellStart"/>
            <w:r w:rsidRPr="00922F8B">
              <w:rPr>
                <w:rFonts w:eastAsia="Times New Roman"/>
                <w:i/>
                <w:color w:val="auto"/>
              </w:rPr>
              <w:t>minimis</w:t>
            </w:r>
            <w:proofErr w:type="spellEnd"/>
            <w:r w:rsidRPr="00922F8B">
              <w:rPr>
                <w:rFonts w:eastAsia="Times New Roman"/>
                <w:i/>
                <w:color w:val="auto"/>
              </w:rPr>
              <w:t xml:space="preserve"> rebates=</w:t>
            </w:r>
            <w:proofErr w:type="spellStart"/>
            <w:r w:rsidRPr="00922F8B">
              <w:rPr>
                <w:rFonts w:eastAsia="Times New Roman"/>
                <w:i/>
                <w:color w:val="auto"/>
              </w:rPr>
              <w:t>Pt</w:t>
            </w:r>
            <w:proofErr w:type="spellEnd"/>
            <w:r w:rsidRPr="00922F8B">
              <w:rPr>
                <w:rFonts w:eastAsia="Times New Roman"/>
                <w:i/>
                <w:color w:val="auto"/>
              </w:rPr>
              <w:t xml:space="preserve"> </w:t>
            </w:r>
            <w:r w:rsidR="00FF031C">
              <w:rPr>
                <w:rFonts w:eastAsia="Times New Roman"/>
                <w:i/>
                <w:color w:val="auto"/>
              </w:rPr>
              <w:t>4</w:t>
            </w:r>
            <w:r w:rsidRPr="00922F8B">
              <w:rPr>
                <w:rFonts w:eastAsia="Times New Roman"/>
                <w:i/>
                <w:color w:val="auto"/>
              </w:rPr>
              <w:t xml:space="preserve"> Ln 3.b]</w:t>
            </w:r>
          </w:p>
        </w:tc>
        <w:tc>
          <w:tcPr>
            <w:tcW w:w="2858" w:type="dxa"/>
            <w:tcBorders>
              <w:top w:val="single" w:sz="8" w:space="0" w:color="4F81BD"/>
              <w:bottom w:val="single" w:sz="8" w:space="0" w:color="4F81BD"/>
            </w:tcBorders>
            <w:shd w:val="clear" w:color="auto" w:fill="auto"/>
          </w:tcPr>
          <w:p w:rsidR="00073D7B" w:rsidRPr="00922F8B" w:rsidRDefault="00073D7B" w:rsidP="005060C3">
            <w:pPr>
              <w:spacing w:after="0"/>
              <w:rPr>
                <w:rFonts w:eastAsia="Times New Roman"/>
                <w:color w:val="auto"/>
              </w:rPr>
            </w:pPr>
          </w:p>
        </w:tc>
        <w:tc>
          <w:tcPr>
            <w:tcW w:w="0" w:type="auto"/>
            <w:tcBorders>
              <w:top w:val="single" w:sz="8" w:space="0" w:color="4F81BD"/>
              <w:bottom w:val="single" w:sz="8" w:space="0" w:color="4F81BD"/>
              <w:right w:val="single" w:sz="8" w:space="0" w:color="4F81BD"/>
            </w:tcBorders>
            <w:shd w:val="clear" w:color="auto" w:fill="auto"/>
          </w:tcPr>
          <w:p w:rsidR="00073D7B" w:rsidRPr="00922F8B" w:rsidRDefault="00073D7B" w:rsidP="005060C3">
            <w:pPr>
              <w:spacing w:after="0"/>
              <w:rPr>
                <w:rFonts w:eastAsia="Times New Roman"/>
                <w:color w:val="auto"/>
              </w:rPr>
            </w:pPr>
          </w:p>
        </w:tc>
      </w:tr>
      <w:tr w:rsidR="00073D7B" w:rsidRPr="00922F8B" w:rsidTr="00073D7B">
        <w:trPr>
          <w:trHeight w:val="1024"/>
        </w:trPr>
        <w:tc>
          <w:tcPr>
            <w:tcW w:w="0" w:type="auto"/>
            <w:shd w:val="clear" w:color="auto" w:fill="auto"/>
          </w:tcPr>
          <w:p w:rsidR="00073D7B" w:rsidRPr="00922F8B" w:rsidRDefault="00073D7B" w:rsidP="005060C3">
            <w:pPr>
              <w:spacing w:after="0"/>
              <w:rPr>
                <w:rFonts w:eastAsia="Times New Roman"/>
                <w:b/>
                <w:bCs/>
                <w:color w:val="auto"/>
              </w:rPr>
            </w:pPr>
            <w:r w:rsidRPr="00922F8B">
              <w:rPr>
                <w:rFonts w:eastAsia="Times New Roman"/>
                <w:b/>
                <w:bCs/>
                <w:color w:val="auto"/>
              </w:rPr>
              <w:t>22</w:t>
            </w:r>
          </w:p>
        </w:tc>
        <w:tc>
          <w:tcPr>
            <w:tcW w:w="0" w:type="auto"/>
            <w:shd w:val="clear" w:color="auto" w:fill="auto"/>
            <w:hideMark/>
          </w:tcPr>
          <w:p w:rsidR="00073D7B" w:rsidRPr="00922F8B" w:rsidRDefault="00073D7B" w:rsidP="002D41DB">
            <w:pPr>
              <w:pStyle w:val="NoSpacing"/>
            </w:pPr>
            <w:r w:rsidRPr="00922F8B">
              <w:t>§158.240</w:t>
            </w:r>
          </w:p>
          <w:p w:rsidR="00073D7B" w:rsidRPr="00922F8B" w:rsidRDefault="00073D7B" w:rsidP="002D41DB">
            <w:pPr>
              <w:pStyle w:val="NoSpacing"/>
            </w:pPr>
            <w:r w:rsidRPr="00922F8B">
              <w:t>§158.244</w:t>
            </w:r>
          </w:p>
          <w:p w:rsidR="00073D7B" w:rsidRPr="00922F8B" w:rsidRDefault="00073D7B" w:rsidP="005060C3">
            <w:pPr>
              <w:spacing w:after="0"/>
              <w:rPr>
                <w:rFonts w:eastAsia="Times New Roman"/>
                <w:color w:val="auto"/>
              </w:rPr>
            </w:pPr>
            <w:r w:rsidRPr="00922F8B">
              <w:t>§158.250</w:t>
            </w:r>
          </w:p>
        </w:tc>
        <w:tc>
          <w:tcPr>
            <w:tcW w:w="0" w:type="auto"/>
            <w:shd w:val="clear" w:color="auto" w:fill="auto"/>
            <w:hideMark/>
          </w:tcPr>
          <w:p w:rsidR="00073D7B" w:rsidRPr="00922F8B" w:rsidRDefault="00073D7B" w:rsidP="005060C3">
            <w:pPr>
              <w:spacing w:after="0"/>
              <w:rPr>
                <w:rFonts w:eastAsia="Times New Roman"/>
                <w:color w:val="auto"/>
              </w:rPr>
            </w:pPr>
            <w:r w:rsidRPr="00922F8B">
              <w:rPr>
                <w:rFonts w:eastAsia="Times New Roman"/>
                <w:color w:val="auto"/>
              </w:rPr>
              <w:t>Test compliance with rebate disbursement requirements</w:t>
            </w:r>
          </w:p>
        </w:tc>
        <w:tc>
          <w:tcPr>
            <w:tcW w:w="5930" w:type="dxa"/>
            <w:shd w:val="clear" w:color="auto" w:fill="auto"/>
            <w:hideMark/>
          </w:tcPr>
          <w:p w:rsidR="00073D7B" w:rsidRPr="00922F8B" w:rsidRDefault="00073D7B" w:rsidP="003A096D">
            <w:pPr>
              <w:rPr>
                <w:rFonts w:eastAsia="Times New Roman"/>
                <w:color w:val="auto"/>
              </w:rPr>
            </w:pPr>
            <w:r w:rsidRPr="00922F8B">
              <w:rPr>
                <w:rFonts w:eastAsia="Times New Roman"/>
                <w:color w:val="auto"/>
              </w:rPr>
              <w:t xml:space="preserve">Select a sample of all subscribers/policyholders </w:t>
            </w:r>
            <w:r w:rsidR="00FF031C">
              <w:rPr>
                <w:rFonts w:eastAsia="Times New Roman"/>
                <w:color w:val="auto"/>
              </w:rPr>
              <w:t>to</w:t>
            </w:r>
            <w:r w:rsidRPr="00922F8B">
              <w:rPr>
                <w:rFonts w:eastAsia="Times New Roman"/>
                <w:color w:val="auto"/>
              </w:rPr>
              <w:t xml:space="preserve"> whom a rebate is due and verify that: </w:t>
            </w:r>
          </w:p>
          <w:p w:rsidR="00073D7B" w:rsidRPr="00922F8B" w:rsidRDefault="00073D7B" w:rsidP="003A096D">
            <w:pPr>
              <w:pStyle w:val="ListParagraph"/>
              <w:numPr>
                <w:ilvl w:val="0"/>
                <w:numId w:val="5"/>
              </w:numPr>
              <w:contextualSpacing w:val="0"/>
              <w:rPr>
                <w:rFonts w:eastAsia="Times New Roman"/>
                <w:color w:val="auto"/>
              </w:rPr>
            </w:pPr>
            <w:r w:rsidRPr="00922F8B">
              <w:rPr>
                <w:rFonts w:eastAsia="Times New Roman"/>
                <w:color w:val="auto"/>
              </w:rPr>
              <w:t>The rebate was paid.</w:t>
            </w:r>
          </w:p>
          <w:p w:rsidR="00073D7B" w:rsidRPr="00922F8B" w:rsidRDefault="00073D7B" w:rsidP="003A096D">
            <w:pPr>
              <w:pStyle w:val="ListParagraph"/>
              <w:numPr>
                <w:ilvl w:val="0"/>
                <w:numId w:val="5"/>
              </w:numPr>
              <w:contextualSpacing w:val="0"/>
              <w:rPr>
                <w:rFonts w:eastAsia="Times New Roman"/>
                <w:color w:val="auto"/>
              </w:rPr>
            </w:pPr>
            <w:r w:rsidRPr="00922F8B">
              <w:rPr>
                <w:rFonts w:eastAsia="Times New Roman"/>
                <w:color w:val="auto"/>
              </w:rPr>
              <w:t>The rebate notice was issued in the prescribed form and contained all required disclosures to the policyholder (and also to the subscribers in the group markets).</w:t>
            </w:r>
          </w:p>
          <w:p w:rsidR="00073D7B" w:rsidRPr="00922F8B" w:rsidRDefault="00073D7B" w:rsidP="003A096D">
            <w:pPr>
              <w:pStyle w:val="ListParagraph"/>
              <w:numPr>
                <w:ilvl w:val="0"/>
                <w:numId w:val="5"/>
              </w:numPr>
              <w:contextualSpacing w:val="0"/>
              <w:rPr>
                <w:rFonts w:eastAsia="Times New Roman"/>
                <w:color w:val="auto"/>
              </w:rPr>
            </w:pPr>
            <w:r w:rsidRPr="00922F8B">
              <w:rPr>
                <w:rFonts w:eastAsia="Times New Roman"/>
                <w:color w:val="auto"/>
              </w:rPr>
              <w:lastRenderedPageBreak/>
              <w:t>The issuer made all reasonable efforts to locate subscribers/policyholders with unclaimed rebates; tracked the amount of unclaimed rebates for subscribers/policyholders that could not be located; and escheated unclaimed rebates in accordance with state law.</w:t>
            </w:r>
          </w:p>
          <w:p w:rsidR="00073D7B" w:rsidRPr="00922F8B" w:rsidRDefault="00073D7B" w:rsidP="00FF031C">
            <w:pPr>
              <w:rPr>
                <w:rFonts w:eastAsia="Times New Roman"/>
                <w:i/>
                <w:color w:val="auto"/>
              </w:rPr>
            </w:pPr>
            <w:r w:rsidRPr="00922F8B">
              <w:rPr>
                <w:rFonts w:eastAsia="Times New Roman"/>
                <w:i/>
                <w:color w:val="auto"/>
              </w:rPr>
              <w:t>[Rebate Disbursement=</w:t>
            </w:r>
            <w:proofErr w:type="spellStart"/>
            <w:r w:rsidRPr="00922F8B">
              <w:rPr>
                <w:rFonts w:eastAsia="Times New Roman"/>
                <w:i/>
                <w:color w:val="auto"/>
              </w:rPr>
              <w:t>Pt</w:t>
            </w:r>
            <w:proofErr w:type="spellEnd"/>
            <w:r w:rsidRPr="00922F8B">
              <w:rPr>
                <w:rFonts w:eastAsia="Times New Roman"/>
                <w:i/>
                <w:color w:val="auto"/>
              </w:rPr>
              <w:t xml:space="preserve"> </w:t>
            </w:r>
            <w:r w:rsidR="00FF031C">
              <w:rPr>
                <w:rFonts w:eastAsia="Times New Roman"/>
                <w:i/>
                <w:color w:val="auto"/>
              </w:rPr>
              <w:t>4</w:t>
            </w:r>
            <w:r w:rsidRPr="00922F8B">
              <w:rPr>
                <w:rFonts w:eastAsia="Times New Roman"/>
                <w:i/>
                <w:color w:val="auto"/>
              </w:rPr>
              <w:t>]</w:t>
            </w:r>
          </w:p>
        </w:tc>
        <w:tc>
          <w:tcPr>
            <w:tcW w:w="2858" w:type="dxa"/>
            <w:shd w:val="clear" w:color="auto" w:fill="auto"/>
          </w:tcPr>
          <w:p w:rsidR="00073D7B" w:rsidRPr="00922F8B" w:rsidRDefault="00073D7B" w:rsidP="005060C3">
            <w:pPr>
              <w:spacing w:after="0"/>
              <w:rPr>
                <w:rFonts w:eastAsia="Times New Roman"/>
                <w:color w:val="auto"/>
              </w:rPr>
            </w:pPr>
          </w:p>
        </w:tc>
        <w:tc>
          <w:tcPr>
            <w:tcW w:w="0" w:type="auto"/>
            <w:shd w:val="clear" w:color="auto" w:fill="auto"/>
          </w:tcPr>
          <w:p w:rsidR="00073D7B" w:rsidRPr="00922F8B" w:rsidRDefault="00073D7B" w:rsidP="005060C3">
            <w:pPr>
              <w:spacing w:after="0"/>
              <w:rPr>
                <w:rFonts w:eastAsia="Times New Roman"/>
                <w:color w:val="auto"/>
              </w:rPr>
            </w:pPr>
          </w:p>
        </w:tc>
      </w:tr>
      <w:tr w:rsidR="00C3375E" w:rsidRPr="00922F8B" w:rsidTr="00073D7B">
        <w:trPr>
          <w:trHeight w:val="1024"/>
        </w:trPr>
        <w:tc>
          <w:tcPr>
            <w:tcW w:w="0" w:type="auto"/>
            <w:shd w:val="clear" w:color="auto" w:fill="auto"/>
          </w:tcPr>
          <w:p w:rsidR="00C3375E" w:rsidRPr="00922F8B" w:rsidRDefault="00C3375E" w:rsidP="00C3375E">
            <w:pPr>
              <w:spacing w:after="0"/>
              <w:rPr>
                <w:rFonts w:eastAsia="Times New Roman"/>
                <w:b/>
                <w:bCs/>
                <w:color w:val="auto"/>
              </w:rPr>
            </w:pPr>
            <w:r>
              <w:rPr>
                <w:rFonts w:eastAsia="Times New Roman"/>
                <w:b/>
                <w:bCs/>
                <w:color w:val="auto"/>
              </w:rPr>
              <w:lastRenderedPageBreak/>
              <w:t>23</w:t>
            </w:r>
          </w:p>
        </w:tc>
        <w:tc>
          <w:tcPr>
            <w:tcW w:w="0" w:type="auto"/>
            <w:shd w:val="clear" w:color="auto" w:fill="auto"/>
          </w:tcPr>
          <w:p w:rsidR="00C3375E" w:rsidRDefault="00C3375E" w:rsidP="00C3375E">
            <w:pPr>
              <w:pStyle w:val="NoSpacing"/>
            </w:pPr>
            <w:r w:rsidRPr="005060C3">
              <w:t>§158.</w:t>
            </w:r>
            <w:r>
              <w:t>13</w:t>
            </w:r>
            <w:r w:rsidRPr="005060C3">
              <w:t>0</w:t>
            </w:r>
          </w:p>
          <w:p w:rsidR="00C3375E" w:rsidRPr="00922F8B" w:rsidRDefault="00C3375E" w:rsidP="00C3375E">
            <w:pPr>
              <w:pStyle w:val="NoSpacing"/>
            </w:pPr>
            <w:r w:rsidRPr="005060C3">
              <w:t>§158.</w:t>
            </w:r>
            <w:r>
              <w:t>14</w:t>
            </w:r>
            <w:r w:rsidRPr="005060C3">
              <w:t>0</w:t>
            </w:r>
          </w:p>
        </w:tc>
        <w:tc>
          <w:tcPr>
            <w:tcW w:w="0" w:type="auto"/>
            <w:shd w:val="clear" w:color="auto" w:fill="auto"/>
          </w:tcPr>
          <w:p w:rsidR="00C3375E" w:rsidRPr="00922F8B" w:rsidRDefault="00C3375E" w:rsidP="00C3375E">
            <w:pPr>
              <w:spacing w:after="0"/>
              <w:rPr>
                <w:rFonts w:eastAsia="Times New Roman"/>
                <w:color w:val="auto"/>
              </w:rPr>
            </w:pPr>
            <w:r>
              <w:rPr>
                <w:rFonts w:eastAsia="Times New Roman"/>
                <w:color w:val="auto"/>
              </w:rPr>
              <w:t>Verify accuracy of premium stabilization program amounts</w:t>
            </w:r>
          </w:p>
        </w:tc>
        <w:tc>
          <w:tcPr>
            <w:tcW w:w="5930" w:type="dxa"/>
            <w:shd w:val="clear" w:color="auto" w:fill="auto"/>
          </w:tcPr>
          <w:p w:rsidR="00C3375E" w:rsidRPr="00E73E75" w:rsidRDefault="00C3375E" w:rsidP="00C3375E">
            <w:pPr>
              <w:numPr>
                <w:ilvl w:val="0"/>
                <w:numId w:val="39"/>
              </w:numPr>
              <w:rPr>
                <w:i/>
              </w:rPr>
            </w:pPr>
            <w:r>
              <w:t>Verify accuracy of Transitional Reinsurance payments used in MLR and, if applicable, RC calculations:</w:t>
            </w:r>
          </w:p>
          <w:p w:rsidR="00C3375E" w:rsidRDefault="00C3375E" w:rsidP="00762976">
            <w:pPr>
              <w:numPr>
                <w:ilvl w:val="1"/>
                <w:numId w:val="39"/>
              </w:numPr>
              <w:ind w:left="772"/>
            </w:pPr>
            <w:r>
              <w:t>Validate amounts reported on MLR Form, Pt 2 Ln 1.9 to CMS Summary Report on Transitional Reinsurance Payments and Permanent Risk Adjustment Transfers for the applicable benefit year,</w:t>
            </w:r>
            <w:r>
              <w:rPr>
                <w:rStyle w:val="FootnoteReference"/>
              </w:rPr>
              <w:footnoteReference w:id="16"/>
            </w:r>
            <w:r>
              <w:t xml:space="preserve"> or to updated amounts communicated by CMS to issuer (obtain supporting documentation).</w:t>
            </w:r>
          </w:p>
          <w:p w:rsidR="00C3375E" w:rsidRDefault="00C3375E" w:rsidP="00762976">
            <w:pPr>
              <w:numPr>
                <w:ilvl w:val="1"/>
                <w:numId w:val="39"/>
              </w:numPr>
              <w:ind w:left="772"/>
            </w:pPr>
            <w:r>
              <w:t>Verify that Transitional Reinsurance payments were reported on both Pt 2 Ln 1.9 and Pt 3 Ln 1.5 (for both MLR and, if applicable, RC columns).</w:t>
            </w:r>
          </w:p>
          <w:p w:rsidR="00C3375E" w:rsidRPr="00E73E75" w:rsidRDefault="00C3375E" w:rsidP="00C3375E">
            <w:pPr>
              <w:numPr>
                <w:ilvl w:val="0"/>
                <w:numId w:val="39"/>
              </w:numPr>
              <w:rPr>
                <w:i/>
              </w:rPr>
            </w:pPr>
            <w:r>
              <w:t>Verify accuracy of Risk Adjustment payments / (charges) used in MLR and, if applicable, RC calculations:</w:t>
            </w:r>
          </w:p>
          <w:p w:rsidR="00C3375E" w:rsidRDefault="00C3375E" w:rsidP="00762976">
            <w:pPr>
              <w:numPr>
                <w:ilvl w:val="1"/>
                <w:numId w:val="39"/>
              </w:numPr>
              <w:ind w:left="772"/>
            </w:pPr>
            <w:r>
              <w:t>Validate amounts reported on MLR Form, Pt 2 Ln 1.10 to CMS Summary Report on Transitional Reinsurance Payments and Permanent Risk Adjustment Transfers for the applicable benefit year, or to updated amounts communicated by CMS to issuer (obtain supporting documentation). Verify that amounts reported on MLR Form include both regular payments / (charges) as well as any Risk Adjustment Default charges and Risk Adjustment Default Charge Allocation amounts.</w:t>
            </w:r>
          </w:p>
          <w:p w:rsidR="00C3375E" w:rsidRDefault="00C3375E" w:rsidP="00762976">
            <w:pPr>
              <w:numPr>
                <w:ilvl w:val="1"/>
                <w:numId w:val="39"/>
              </w:numPr>
              <w:ind w:left="772"/>
            </w:pPr>
            <w:r>
              <w:t>Verify that Risk Adjustment payments / (charges) were reported on both Pt 2 Ln 1.10 and Pt 3 Ln 1.6 (for both MLR and, if applicable, RC columns).</w:t>
            </w:r>
          </w:p>
          <w:p w:rsidR="00C3375E" w:rsidRPr="00E73E75" w:rsidRDefault="00C3375E" w:rsidP="00C3375E">
            <w:pPr>
              <w:numPr>
                <w:ilvl w:val="0"/>
                <w:numId w:val="39"/>
              </w:numPr>
              <w:rPr>
                <w:i/>
              </w:rPr>
            </w:pPr>
            <w:r>
              <w:lastRenderedPageBreak/>
              <w:t>Verify accuracy of Risk Corridors payments / (charges) used in MLR calculations:</w:t>
            </w:r>
          </w:p>
          <w:p w:rsidR="00C3375E" w:rsidRDefault="00B25712" w:rsidP="00762976">
            <w:pPr>
              <w:numPr>
                <w:ilvl w:val="1"/>
                <w:numId w:val="39"/>
              </w:numPr>
              <w:ind w:left="772"/>
            </w:pPr>
            <w:r>
              <w:t xml:space="preserve">Verify that </w:t>
            </w:r>
            <w:r w:rsidRPr="00B25712">
              <w:t>if Pt 3, Ln 3.8</w:t>
            </w:r>
            <w:r w:rsidR="00687BDA">
              <w:t xml:space="preserve"> (for 2014, Ln 3.10)</w:t>
            </w:r>
            <w:r w:rsidRPr="00B25712">
              <w:t xml:space="preserve"> is &lt;97% or &gt;103% </w:t>
            </w:r>
            <w:r>
              <w:t>then</w:t>
            </w:r>
            <w:r w:rsidRPr="00B25712">
              <w:t xml:space="preserve"> Pt 3, Ln 3.10</w:t>
            </w:r>
            <w:r w:rsidR="00687BDA">
              <w:t xml:space="preserve"> (for 2014, Ln 3.12)</w:t>
            </w:r>
            <w:r w:rsidRPr="00B25712">
              <w:t xml:space="preserve"> is </w:t>
            </w:r>
            <w:r>
              <w:t>not zero</w:t>
            </w:r>
            <w:r w:rsidRPr="00B25712">
              <w:t xml:space="preserve"> or blank</w:t>
            </w:r>
            <w:r w:rsidR="00C3375E">
              <w:t>.</w:t>
            </w:r>
          </w:p>
          <w:p w:rsidR="00C3375E" w:rsidRPr="00C3375E" w:rsidRDefault="00C3375E" w:rsidP="00F72240">
            <w:pPr>
              <w:pStyle w:val="ListParagraph"/>
              <w:numPr>
                <w:ilvl w:val="1"/>
                <w:numId w:val="39"/>
              </w:numPr>
              <w:ind w:left="772"/>
              <w:rPr>
                <w:rFonts w:eastAsia="Times New Roman"/>
                <w:color w:val="auto"/>
              </w:rPr>
            </w:pPr>
            <w:r>
              <w:t>Verify that Risk Corridors payments / (charges) were reported on both Pt 2 Ln 1.11 and Pt 3 Ln 1.7, MLR columns</w:t>
            </w:r>
            <w:r w:rsidR="00762976">
              <w:t>, consistently with MLR Form Instructions for the applicable year</w:t>
            </w:r>
            <w:r>
              <w:t>.</w:t>
            </w:r>
          </w:p>
        </w:tc>
        <w:tc>
          <w:tcPr>
            <w:tcW w:w="2858" w:type="dxa"/>
            <w:shd w:val="clear" w:color="auto" w:fill="auto"/>
          </w:tcPr>
          <w:p w:rsidR="00C3375E" w:rsidRPr="00922F8B" w:rsidRDefault="00C3375E" w:rsidP="00C3375E">
            <w:pPr>
              <w:spacing w:after="0"/>
              <w:rPr>
                <w:rFonts w:eastAsia="Times New Roman"/>
                <w:color w:val="auto"/>
              </w:rPr>
            </w:pPr>
          </w:p>
        </w:tc>
        <w:tc>
          <w:tcPr>
            <w:tcW w:w="0" w:type="auto"/>
            <w:shd w:val="clear" w:color="auto" w:fill="auto"/>
          </w:tcPr>
          <w:p w:rsidR="00C3375E" w:rsidRPr="00922F8B" w:rsidRDefault="00C3375E" w:rsidP="00C3375E">
            <w:pPr>
              <w:spacing w:after="0"/>
              <w:rPr>
                <w:rFonts w:eastAsia="Times New Roman"/>
                <w:color w:val="auto"/>
              </w:rPr>
            </w:pPr>
          </w:p>
        </w:tc>
      </w:tr>
      <w:tr w:rsidR="00762976" w:rsidRPr="00922F8B" w:rsidTr="00073D7B">
        <w:trPr>
          <w:trHeight w:val="1024"/>
        </w:trPr>
        <w:tc>
          <w:tcPr>
            <w:tcW w:w="0" w:type="auto"/>
            <w:shd w:val="clear" w:color="auto" w:fill="auto"/>
          </w:tcPr>
          <w:p w:rsidR="00762976" w:rsidRPr="00922F8B" w:rsidRDefault="00762976" w:rsidP="00762976">
            <w:pPr>
              <w:spacing w:after="0"/>
              <w:rPr>
                <w:rFonts w:eastAsia="Times New Roman"/>
                <w:b/>
                <w:bCs/>
                <w:color w:val="auto"/>
              </w:rPr>
            </w:pPr>
            <w:r>
              <w:rPr>
                <w:rFonts w:eastAsia="Times New Roman"/>
                <w:b/>
                <w:bCs/>
                <w:color w:val="auto"/>
              </w:rPr>
              <w:lastRenderedPageBreak/>
              <w:t>24</w:t>
            </w:r>
          </w:p>
        </w:tc>
        <w:tc>
          <w:tcPr>
            <w:tcW w:w="0" w:type="auto"/>
            <w:shd w:val="clear" w:color="auto" w:fill="auto"/>
          </w:tcPr>
          <w:p w:rsidR="00762976" w:rsidRPr="00922F8B" w:rsidRDefault="00762976" w:rsidP="00762976">
            <w:pPr>
              <w:pStyle w:val="NoSpacing"/>
            </w:pPr>
            <w:r w:rsidRPr="005060C3">
              <w:t>§15</w:t>
            </w:r>
            <w:r>
              <w:t>3</w:t>
            </w:r>
            <w:r w:rsidRPr="005060C3">
              <w:t>.</w:t>
            </w:r>
            <w:r>
              <w:t>50</w:t>
            </w:r>
            <w:r w:rsidRPr="005060C3">
              <w:t>0</w:t>
            </w:r>
          </w:p>
        </w:tc>
        <w:tc>
          <w:tcPr>
            <w:tcW w:w="0" w:type="auto"/>
            <w:shd w:val="clear" w:color="auto" w:fill="auto"/>
          </w:tcPr>
          <w:p w:rsidR="00762976" w:rsidRPr="00922F8B" w:rsidRDefault="00762976" w:rsidP="00762976">
            <w:pPr>
              <w:spacing w:after="0"/>
              <w:rPr>
                <w:rFonts w:eastAsia="Times New Roman"/>
                <w:color w:val="auto"/>
              </w:rPr>
            </w:pPr>
            <w:r>
              <w:rPr>
                <w:rFonts w:eastAsia="Times New Roman"/>
                <w:color w:val="auto"/>
              </w:rPr>
              <w:t>Verify accuracy of risk corridors allowable costs and target amount calculations</w:t>
            </w:r>
          </w:p>
        </w:tc>
        <w:tc>
          <w:tcPr>
            <w:tcW w:w="5930" w:type="dxa"/>
            <w:shd w:val="clear" w:color="auto" w:fill="auto"/>
          </w:tcPr>
          <w:p w:rsidR="00762976" w:rsidRDefault="00762976" w:rsidP="00762976">
            <w:pPr>
              <w:rPr>
                <w:rFonts w:eastAsia="Times New Roman"/>
                <w:color w:val="auto"/>
              </w:rPr>
            </w:pPr>
            <w:r>
              <w:rPr>
                <w:rFonts w:eastAsia="Times New Roman"/>
                <w:color w:val="auto"/>
              </w:rPr>
              <w:t>For issuers subject to the commercial RC rule, verify that:</w:t>
            </w:r>
          </w:p>
          <w:p w:rsidR="00762976" w:rsidRPr="00762976" w:rsidRDefault="00762976" w:rsidP="00762976">
            <w:pPr>
              <w:numPr>
                <w:ilvl w:val="0"/>
                <w:numId w:val="40"/>
              </w:numPr>
              <w:rPr>
                <w:rFonts w:eastAsia="Times New Roman"/>
                <w:color w:val="auto"/>
              </w:rPr>
            </w:pPr>
            <w:r>
              <w:rPr>
                <w:rFonts w:eastAsia="Times New Roman"/>
                <w:color w:val="auto"/>
              </w:rPr>
              <w:t xml:space="preserve">Allowable costs are </w:t>
            </w:r>
            <w:r w:rsidRPr="00762976">
              <w:rPr>
                <w:rFonts w:eastAsia="Times New Roman"/>
                <w:color w:val="auto"/>
              </w:rPr>
              <w:t xml:space="preserve">calculated correctly. </w:t>
            </w:r>
            <w:r w:rsidRPr="00762976">
              <w:rPr>
                <w:rFonts w:eastAsia="Times New Roman"/>
                <w:i/>
                <w:color w:val="auto"/>
              </w:rPr>
              <w:t>[Allowable costs=MLR Form, Pt 3 Ln 3.1</w:t>
            </w:r>
            <w:r w:rsidR="00687BDA">
              <w:rPr>
                <w:rFonts w:eastAsia="Times New Roman"/>
                <w:i/>
                <w:color w:val="auto"/>
              </w:rPr>
              <w:t>, Col [RC] 3/31/YY</w:t>
            </w:r>
            <w:r w:rsidRPr="00762976">
              <w:rPr>
                <w:rFonts w:eastAsia="Times New Roman"/>
                <w:i/>
                <w:color w:val="auto"/>
              </w:rPr>
              <w:t>]</w:t>
            </w:r>
          </w:p>
          <w:p w:rsidR="00762976" w:rsidRDefault="00762976" w:rsidP="00762976">
            <w:pPr>
              <w:numPr>
                <w:ilvl w:val="0"/>
                <w:numId w:val="40"/>
              </w:numPr>
              <w:rPr>
                <w:rFonts w:eastAsia="Times New Roman"/>
                <w:color w:val="auto"/>
              </w:rPr>
            </w:pPr>
            <w:r w:rsidRPr="00B04723">
              <w:rPr>
                <w:rFonts w:eastAsia="Times New Roman"/>
                <w:color w:val="auto"/>
              </w:rPr>
              <w:t xml:space="preserve">Administrative costs reported in MLR Form Part 3 Line 3.2 are calculated correctly. </w:t>
            </w:r>
            <w:r w:rsidRPr="00762976">
              <w:rPr>
                <w:i/>
                <w:color w:val="auto"/>
              </w:rPr>
              <w:t>[</w:t>
            </w:r>
            <w:proofErr w:type="spellStart"/>
            <w:r w:rsidRPr="00762976">
              <w:rPr>
                <w:i/>
                <w:color w:val="auto"/>
              </w:rPr>
              <w:t>Pt</w:t>
            </w:r>
            <w:proofErr w:type="spellEnd"/>
            <w:r w:rsidRPr="00762976">
              <w:rPr>
                <w:i/>
                <w:color w:val="auto"/>
              </w:rPr>
              <w:t xml:space="preserve"> 1 </w:t>
            </w:r>
            <w:proofErr w:type="spellStart"/>
            <w:r w:rsidRPr="00762976">
              <w:rPr>
                <w:i/>
                <w:color w:val="auto"/>
              </w:rPr>
              <w:t>Lns</w:t>
            </w:r>
            <w:proofErr w:type="spellEnd"/>
            <w:r w:rsidRPr="00762976">
              <w:rPr>
                <w:i/>
                <w:color w:val="auto"/>
              </w:rPr>
              <w:t xml:space="preserve"> 5.1 + 5.2 + 5.3 + 5.4 + 5.5a + 5.5b + 5.6</w:t>
            </w:r>
            <w:r w:rsidR="00687BDA">
              <w:rPr>
                <w:rFonts w:eastAsia="Times New Roman"/>
                <w:i/>
                <w:color w:val="auto"/>
              </w:rPr>
              <w:t>, Col [RC] 3/31/YY</w:t>
            </w:r>
            <w:r w:rsidRPr="00762976">
              <w:rPr>
                <w:i/>
                <w:color w:val="auto"/>
              </w:rPr>
              <w:t>]</w:t>
            </w:r>
          </w:p>
          <w:p w:rsidR="00762976" w:rsidRDefault="00762976" w:rsidP="00762976">
            <w:pPr>
              <w:numPr>
                <w:ilvl w:val="0"/>
                <w:numId w:val="40"/>
              </w:numPr>
              <w:rPr>
                <w:rFonts w:eastAsia="Times New Roman"/>
                <w:color w:val="auto"/>
              </w:rPr>
            </w:pPr>
            <w:r>
              <w:rPr>
                <w:rFonts w:eastAsia="Times New Roman"/>
                <w:color w:val="auto"/>
              </w:rPr>
              <w:t xml:space="preserve">The transitional adjustment percentage was applied correctly: </w:t>
            </w:r>
          </w:p>
          <w:p w:rsidR="00762976" w:rsidRDefault="00762976" w:rsidP="00762976">
            <w:pPr>
              <w:numPr>
                <w:ilvl w:val="1"/>
                <w:numId w:val="40"/>
              </w:numPr>
              <w:ind w:left="772"/>
              <w:rPr>
                <w:rFonts w:eastAsia="Times New Roman"/>
                <w:color w:val="auto"/>
              </w:rPr>
            </w:pPr>
            <w:r>
              <w:rPr>
                <w:rFonts w:eastAsia="Times New Roman"/>
                <w:color w:val="auto"/>
              </w:rPr>
              <w:t>For 2014: if the issuer used a transitional adjustment percentage on Pt 3 L</w:t>
            </w:r>
            <w:r w:rsidR="0088501F">
              <w:rPr>
                <w:rFonts w:eastAsia="Times New Roman"/>
                <w:color w:val="auto"/>
              </w:rPr>
              <w:t xml:space="preserve">n </w:t>
            </w:r>
            <w:r>
              <w:rPr>
                <w:rFonts w:eastAsia="Times New Roman"/>
                <w:color w:val="auto"/>
              </w:rPr>
              <w:t xml:space="preserve">3.4, verify that: </w:t>
            </w:r>
          </w:p>
          <w:p w:rsidR="00762976" w:rsidRDefault="00762976" w:rsidP="00762976">
            <w:pPr>
              <w:numPr>
                <w:ilvl w:val="2"/>
                <w:numId w:val="40"/>
              </w:numPr>
              <w:ind w:left="1132" w:hanging="360"/>
              <w:rPr>
                <w:rFonts w:eastAsia="Times New Roman"/>
                <w:color w:val="auto"/>
              </w:rPr>
            </w:pPr>
            <w:r>
              <w:rPr>
                <w:rFonts w:eastAsia="Times New Roman"/>
                <w:color w:val="auto"/>
              </w:rPr>
              <w:t>the issuer operated in a transitional state;</w:t>
            </w:r>
            <w:r>
              <w:rPr>
                <w:rStyle w:val="FootnoteReference"/>
                <w:rFonts w:eastAsia="Times New Roman"/>
                <w:color w:val="auto"/>
              </w:rPr>
              <w:footnoteReference w:id="17"/>
            </w:r>
          </w:p>
          <w:p w:rsidR="00762976" w:rsidRDefault="00762976" w:rsidP="00762976">
            <w:pPr>
              <w:numPr>
                <w:ilvl w:val="2"/>
                <w:numId w:val="40"/>
              </w:numPr>
              <w:ind w:left="1132" w:hanging="360"/>
              <w:rPr>
                <w:rFonts w:eastAsia="Times New Roman"/>
                <w:color w:val="auto"/>
              </w:rPr>
            </w:pPr>
            <w:r>
              <w:rPr>
                <w:rFonts w:eastAsia="Times New Roman"/>
                <w:color w:val="auto"/>
              </w:rPr>
              <w:t>Ln 3.3 equals at least 80%; and</w:t>
            </w:r>
          </w:p>
          <w:p w:rsidR="00762976" w:rsidRDefault="00762976" w:rsidP="00762976">
            <w:pPr>
              <w:numPr>
                <w:ilvl w:val="2"/>
                <w:numId w:val="40"/>
              </w:numPr>
              <w:ind w:left="1132" w:hanging="360"/>
              <w:rPr>
                <w:rFonts w:eastAsia="Times New Roman"/>
                <w:color w:val="auto"/>
              </w:rPr>
            </w:pPr>
            <w:r>
              <w:rPr>
                <w:rFonts w:eastAsia="Times New Roman"/>
                <w:color w:val="auto"/>
              </w:rPr>
              <w:t>Ln 3.4 equals the percentage specified by CMS.</w:t>
            </w:r>
            <w:r>
              <w:rPr>
                <w:rStyle w:val="FootnoteReference"/>
                <w:rFonts w:eastAsia="Times New Roman"/>
                <w:color w:val="auto"/>
              </w:rPr>
              <w:footnoteReference w:id="18"/>
            </w:r>
          </w:p>
          <w:p w:rsidR="00762976" w:rsidRPr="00830219" w:rsidRDefault="00830219" w:rsidP="00830219">
            <w:pPr>
              <w:numPr>
                <w:ilvl w:val="1"/>
                <w:numId w:val="40"/>
              </w:numPr>
              <w:ind w:left="772"/>
              <w:rPr>
                <w:rFonts w:eastAsia="Times New Roman"/>
                <w:color w:val="auto"/>
              </w:rPr>
            </w:pPr>
            <w:r>
              <w:rPr>
                <w:rFonts w:eastAsia="Times New Roman"/>
                <w:color w:val="auto"/>
              </w:rPr>
              <w:t>For 2015: verify that the issuer used 2%.</w:t>
            </w:r>
          </w:p>
          <w:p w:rsidR="00687BDA" w:rsidRDefault="00762976" w:rsidP="00762976">
            <w:pPr>
              <w:numPr>
                <w:ilvl w:val="0"/>
                <w:numId w:val="40"/>
              </w:numPr>
              <w:rPr>
                <w:rFonts w:eastAsia="Times New Roman"/>
                <w:color w:val="auto"/>
              </w:rPr>
            </w:pPr>
            <w:r>
              <w:rPr>
                <w:rFonts w:eastAsia="Times New Roman"/>
                <w:color w:val="auto"/>
              </w:rPr>
              <w:t xml:space="preserve">Profit for risk corridors calculation and its component lines are calculated correctly. </w:t>
            </w:r>
          </w:p>
          <w:p w:rsidR="00687BDA" w:rsidRDefault="00687BDA" w:rsidP="00687BDA">
            <w:pPr>
              <w:ind w:left="360"/>
              <w:rPr>
                <w:rFonts w:eastAsia="Times New Roman"/>
                <w:i/>
                <w:color w:val="auto"/>
              </w:rPr>
            </w:pPr>
            <w:r>
              <w:rPr>
                <w:rFonts w:eastAsia="Times New Roman"/>
                <w:i/>
                <w:color w:val="auto"/>
              </w:rPr>
              <w:t xml:space="preserve">[For 2014: Profit=Pt 3 Ln 3.5; Earned profit=Pt 3 Ln 3.5a; </w:t>
            </w:r>
            <w:r>
              <w:rPr>
                <w:rFonts w:eastAsia="Times New Roman"/>
                <w:i/>
                <w:color w:val="auto"/>
              </w:rPr>
              <w:lastRenderedPageBreak/>
              <w:t>Capped profit=Pt 3 Ln 3.5b (w/ adjustment);</w:t>
            </w:r>
          </w:p>
          <w:p w:rsidR="00762976" w:rsidRDefault="00687BDA" w:rsidP="00687BDA">
            <w:pPr>
              <w:ind w:left="360"/>
              <w:rPr>
                <w:rFonts w:eastAsia="Times New Roman"/>
                <w:color w:val="auto"/>
              </w:rPr>
            </w:pPr>
            <w:r>
              <w:rPr>
                <w:rFonts w:eastAsia="Times New Roman"/>
                <w:i/>
                <w:color w:val="auto"/>
              </w:rPr>
              <w:t xml:space="preserve">For 2015: </w:t>
            </w:r>
            <w:r w:rsidR="00762976">
              <w:rPr>
                <w:rFonts w:eastAsia="Times New Roman"/>
                <w:i/>
                <w:color w:val="auto"/>
              </w:rPr>
              <w:t>Profit=Pt 3 Ln 3.</w:t>
            </w:r>
            <w:r>
              <w:rPr>
                <w:rFonts w:eastAsia="Times New Roman"/>
                <w:i/>
                <w:color w:val="auto"/>
              </w:rPr>
              <w:t>3</w:t>
            </w:r>
            <w:r w:rsidR="00926593">
              <w:rPr>
                <w:rFonts w:eastAsia="Times New Roman"/>
                <w:i/>
                <w:color w:val="auto"/>
              </w:rPr>
              <w:t xml:space="preserve"> (w/ adjustment) and Ln 3.6a (w/o adjustment)</w:t>
            </w:r>
            <w:r w:rsidR="00762976">
              <w:rPr>
                <w:rFonts w:eastAsia="Times New Roman"/>
                <w:i/>
                <w:color w:val="auto"/>
              </w:rPr>
              <w:t xml:space="preserve">; Earned </w:t>
            </w:r>
            <w:r>
              <w:rPr>
                <w:rFonts w:eastAsia="Times New Roman"/>
                <w:i/>
                <w:color w:val="auto"/>
              </w:rPr>
              <w:t>p</w:t>
            </w:r>
            <w:r w:rsidR="00762976">
              <w:rPr>
                <w:rFonts w:eastAsia="Times New Roman"/>
                <w:i/>
                <w:color w:val="auto"/>
              </w:rPr>
              <w:t>rofit=Pt 3 Ln 3.</w:t>
            </w:r>
            <w:r>
              <w:rPr>
                <w:rFonts w:eastAsia="Times New Roman"/>
                <w:i/>
                <w:color w:val="auto"/>
              </w:rPr>
              <w:t>3</w:t>
            </w:r>
            <w:r w:rsidR="00762976">
              <w:rPr>
                <w:rFonts w:eastAsia="Times New Roman"/>
                <w:i/>
                <w:color w:val="auto"/>
              </w:rPr>
              <w:t xml:space="preserve">a; Capped </w:t>
            </w:r>
            <w:r>
              <w:rPr>
                <w:rFonts w:eastAsia="Times New Roman"/>
                <w:i/>
                <w:color w:val="auto"/>
              </w:rPr>
              <w:t>p</w:t>
            </w:r>
            <w:r w:rsidR="00762976">
              <w:rPr>
                <w:rFonts w:eastAsia="Times New Roman"/>
                <w:i/>
                <w:color w:val="auto"/>
              </w:rPr>
              <w:t>rofit=Pt 3 Ln 3.5b</w:t>
            </w:r>
            <w:r>
              <w:rPr>
                <w:rFonts w:eastAsia="Times New Roman"/>
                <w:i/>
                <w:color w:val="auto"/>
              </w:rPr>
              <w:t xml:space="preserve"> (w/ adjustment) and Ln 3.5c (w/o adjustment)</w:t>
            </w:r>
            <w:r w:rsidR="00762976">
              <w:rPr>
                <w:rFonts w:eastAsia="Times New Roman"/>
                <w:i/>
                <w:color w:val="auto"/>
              </w:rPr>
              <w:t>]</w:t>
            </w:r>
          </w:p>
          <w:p w:rsidR="00687BDA" w:rsidRDefault="00762976" w:rsidP="00762976">
            <w:pPr>
              <w:numPr>
                <w:ilvl w:val="0"/>
                <w:numId w:val="40"/>
              </w:numPr>
              <w:rPr>
                <w:rFonts w:eastAsia="Times New Roman"/>
                <w:color w:val="auto"/>
              </w:rPr>
            </w:pPr>
            <w:r>
              <w:rPr>
                <w:rFonts w:eastAsia="Times New Roman"/>
                <w:color w:val="auto"/>
              </w:rPr>
              <w:t xml:space="preserve">Allowable administrative costs and their component lines are calculated correctly. </w:t>
            </w:r>
          </w:p>
          <w:p w:rsidR="00687BDA" w:rsidRDefault="00762976" w:rsidP="00687BDA">
            <w:pPr>
              <w:ind w:left="360"/>
              <w:rPr>
                <w:rFonts w:eastAsia="Times New Roman"/>
                <w:i/>
                <w:color w:val="auto"/>
              </w:rPr>
            </w:pPr>
            <w:r>
              <w:rPr>
                <w:rFonts w:eastAsia="Times New Roman"/>
                <w:i/>
                <w:color w:val="auto"/>
              </w:rPr>
              <w:t>[</w:t>
            </w:r>
            <w:r w:rsidR="00687BDA">
              <w:rPr>
                <w:rFonts w:eastAsia="Times New Roman"/>
                <w:i/>
                <w:color w:val="auto"/>
              </w:rPr>
              <w:t xml:space="preserve">For 2014: </w:t>
            </w:r>
            <w:r>
              <w:rPr>
                <w:rFonts w:eastAsia="Times New Roman"/>
                <w:i/>
                <w:color w:val="auto"/>
              </w:rPr>
              <w:t>Allowable admin costs=Pt 3 Ln 3.6 (w/ adjustment) and Ln 3.8 (w/o adjustment); Profit and admin costs=Pt 3 Ln 3.6a; Capped admin costs=Pt 3 Ln 3.6b (w/ adjustmen</w:t>
            </w:r>
            <w:r w:rsidR="00687BDA">
              <w:rPr>
                <w:rFonts w:eastAsia="Times New Roman"/>
                <w:i/>
                <w:color w:val="auto"/>
              </w:rPr>
              <w:t>t) and Ln 3.6c (w/o adjustment);</w:t>
            </w:r>
          </w:p>
          <w:p w:rsidR="00762976" w:rsidRPr="00510D95" w:rsidRDefault="00687BDA" w:rsidP="00687BDA">
            <w:pPr>
              <w:ind w:left="360"/>
              <w:rPr>
                <w:rFonts w:eastAsia="Times New Roman"/>
                <w:color w:val="auto"/>
              </w:rPr>
            </w:pPr>
            <w:r>
              <w:rPr>
                <w:rFonts w:eastAsia="Times New Roman"/>
                <w:i/>
                <w:color w:val="auto"/>
              </w:rPr>
              <w:t>For 2015: Allowable admin costs=Pt 3 Ln 3.4 (w/ adjustment) and Ln 3.6 (w/o adjustment); Profit and admin costs=Pt 3 Ln 3.</w:t>
            </w:r>
            <w:r w:rsidR="00926593">
              <w:rPr>
                <w:rFonts w:eastAsia="Times New Roman"/>
                <w:i/>
                <w:color w:val="auto"/>
              </w:rPr>
              <w:t>4</w:t>
            </w:r>
            <w:r>
              <w:rPr>
                <w:rFonts w:eastAsia="Times New Roman"/>
                <w:i/>
                <w:color w:val="auto"/>
              </w:rPr>
              <w:t>a</w:t>
            </w:r>
            <w:r w:rsidR="00926593">
              <w:rPr>
                <w:rFonts w:eastAsia="Times New Roman"/>
                <w:i/>
                <w:color w:val="auto"/>
              </w:rPr>
              <w:t xml:space="preserve"> (w/ adjustment) and Ln 3.6b (w/o adjustment)</w:t>
            </w:r>
            <w:r>
              <w:rPr>
                <w:rFonts w:eastAsia="Times New Roman"/>
                <w:i/>
                <w:color w:val="auto"/>
              </w:rPr>
              <w:t>; Capped admin costs=Pt 3 Ln 3.</w:t>
            </w:r>
            <w:r w:rsidR="00926593">
              <w:rPr>
                <w:rFonts w:eastAsia="Times New Roman"/>
                <w:i/>
                <w:color w:val="auto"/>
              </w:rPr>
              <w:t>4</w:t>
            </w:r>
            <w:r>
              <w:rPr>
                <w:rFonts w:eastAsia="Times New Roman"/>
                <w:i/>
                <w:color w:val="auto"/>
              </w:rPr>
              <w:t>b (w/ adjustment) and Ln 3.6c (w/o adjustment)</w:t>
            </w:r>
            <w:r w:rsidR="00762976">
              <w:rPr>
                <w:rFonts w:eastAsia="Times New Roman"/>
                <w:i/>
                <w:color w:val="auto"/>
              </w:rPr>
              <w:t>]</w:t>
            </w:r>
          </w:p>
          <w:p w:rsidR="00687BDA" w:rsidRDefault="00762976" w:rsidP="00762976">
            <w:pPr>
              <w:numPr>
                <w:ilvl w:val="0"/>
                <w:numId w:val="40"/>
              </w:numPr>
              <w:rPr>
                <w:rFonts w:eastAsia="Times New Roman"/>
                <w:color w:val="auto"/>
              </w:rPr>
            </w:pPr>
            <w:r>
              <w:rPr>
                <w:rFonts w:eastAsia="Times New Roman"/>
                <w:color w:val="auto"/>
              </w:rPr>
              <w:t>Risk corridors target amounts are</w:t>
            </w:r>
            <w:r w:rsidR="00830219">
              <w:rPr>
                <w:rFonts w:eastAsia="Times New Roman"/>
                <w:color w:val="auto"/>
              </w:rPr>
              <w:t xml:space="preserve"> </w:t>
            </w:r>
            <w:r w:rsidRPr="00830219">
              <w:rPr>
                <w:rFonts w:eastAsia="Times New Roman"/>
                <w:color w:val="auto"/>
              </w:rPr>
              <w:t xml:space="preserve">calculated correctly. </w:t>
            </w:r>
          </w:p>
          <w:p w:rsidR="00926593" w:rsidRDefault="00762976" w:rsidP="00926593">
            <w:pPr>
              <w:ind w:left="360"/>
              <w:rPr>
                <w:rFonts w:eastAsia="Times New Roman"/>
                <w:i/>
                <w:color w:val="auto"/>
              </w:rPr>
            </w:pPr>
            <w:r w:rsidRPr="00830219">
              <w:rPr>
                <w:rFonts w:eastAsia="Times New Roman"/>
                <w:i/>
                <w:color w:val="auto"/>
              </w:rPr>
              <w:t>[</w:t>
            </w:r>
            <w:r w:rsidR="00926593">
              <w:rPr>
                <w:rFonts w:eastAsia="Times New Roman"/>
                <w:i/>
                <w:color w:val="auto"/>
              </w:rPr>
              <w:t xml:space="preserve">For 2014: </w:t>
            </w:r>
            <w:r w:rsidRPr="00830219">
              <w:rPr>
                <w:rFonts w:eastAsia="Times New Roman"/>
                <w:i/>
                <w:color w:val="auto"/>
              </w:rPr>
              <w:t>Target amount=Pt 3 Ln 3.7 (w/ adjustment) and Ln 3.9 (w/o adjustment)</w:t>
            </w:r>
            <w:r w:rsidR="00926593">
              <w:rPr>
                <w:rFonts w:eastAsia="Times New Roman"/>
                <w:i/>
                <w:color w:val="auto"/>
              </w:rPr>
              <w:t>;</w:t>
            </w:r>
          </w:p>
          <w:p w:rsidR="00762976" w:rsidRPr="00830219" w:rsidRDefault="00926593" w:rsidP="00926593">
            <w:pPr>
              <w:ind w:left="360"/>
              <w:rPr>
                <w:rFonts w:eastAsia="Times New Roman"/>
                <w:color w:val="auto"/>
              </w:rPr>
            </w:pPr>
            <w:r>
              <w:rPr>
                <w:rFonts w:eastAsia="Times New Roman"/>
                <w:i/>
                <w:color w:val="auto"/>
              </w:rPr>
              <w:t xml:space="preserve">For 2015: </w:t>
            </w:r>
            <w:r w:rsidRPr="00830219">
              <w:rPr>
                <w:rFonts w:eastAsia="Times New Roman"/>
                <w:i/>
                <w:color w:val="auto"/>
              </w:rPr>
              <w:t>Target amount=Pt 3 Ln 3.</w:t>
            </w:r>
            <w:r>
              <w:rPr>
                <w:rFonts w:eastAsia="Times New Roman"/>
                <w:i/>
                <w:color w:val="auto"/>
              </w:rPr>
              <w:t>5</w:t>
            </w:r>
            <w:r w:rsidRPr="00830219">
              <w:rPr>
                <w:rFonts w:eastAsia="Times New Roman"/>
                <w:i/>
                <w:color w:val="auto"/>
              </w:rPr>
              <w:t xml:space="preserve"> (w/ adjustment) and Ln 3.</w:t>
            </w:r>
            <w:r>
              <w:rPr>
                <w:rFonts w:eastAsia="Times New Roman"/>
                <w:i/>
                <w:color w:val="auto"/>
              </w:rPr>
              <w:t>7</w:t>
            </w:r>
            <w:r w:rsidRPr="00830219">
              <w:rPr>
                <w:rFonts w:eastAsia="Times New Roman"/>
                <w:i/>
                <w:color w:val="auto"/>
              </w:rPr>
              <w:t xml:space="preserve"> (w/o adjustment)</w:t>
            </w:r>
            <w:r w:rsidR="00762976" w:rsidRPr="00830219">
              <w:rPr>
                <w:rFonts w:eastAsia="Times New Roman"/>
                <w:i/>
                <w:color w:val="auto"/>
              </w:rPr>
              <w:t>]</w:t>
            </w:r>
          </w:p>
        </w:tc>
        <w:tc>
          <w:tcPr>
            <w:tcW w:w="2858" w:type="dxa"/>
            <w:shd w:val="clear" w:color="auto" w:fill="auto"/>
          </w:tcPr>
          <w:p w:rsidR="00762976" w:rsidRPr="00922F8B" w:rsidRDefault="00762976" w:rsidP="00762976">
            <w:pPr>
              <w:spacing w:after="0"/>
              <w:rPr>
                <w:rFonts w:eastAsia="Times New Roman"/>
                <w:color w:val="auto"/>
              </w:rPr>
            </w:pPr>
          </w:p>
        </w:tc>
        <w:tc>
          <w:tcPr>
            <w:tcW w:w="0" w:type="auto"/>
            <w:shd w:val="clear" w:color="auto" w:fill="auto"/>
          </w:tcPr>
          <w:p w:rsidR="00762976" w:rsidRPr="00922F8B" w:rsidRDefault="00762976" w:rsidP="00762976">
            <w:pPr>
              <w:spacing w:after="0"/>
              <w:rPr>
                <w:rFonts w:eastAsia="Times New Roman"/>
                <w:color w:val="auto"/>
              </w:rPr>
            </w:pPr>
          </w:p>
        </w:tc>
      </w:tr>
    </w:tbl>
    <w:p w:rsidR="0021313D" w:rsidRPr="00922F8B" w:rsidRDefault="0021313D" w:rsidP="002C1C26"/>
    <w:sectPr w:rsidR="0021313D" w:rsidRPr="00922F8B" w:rsidSect="0021313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6C" w:rsidRDefault="00DA576C" w:rsidP="008144B1">
      <w:pPr>
        <w:spacing w:after="0"/>
      </w:pPr>
      <w:r>
        <w:separator/>
      </w:r>
    </w:p>
  </w:endnote>
  <w:endnote w:type="continuationSeparator" w:id="0">
    <w:p w:rsidR="00DA576C" w:rsidRDefault="00DA576C" w:rsidP="00814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F2" w:rsidRPr="00B70A5E" w:rsidRDefault="005227F2">
    <w:pPr>
      <w:pStyle w:val="Footer"/>
      <w:jc w:val="right"/>
    </w:pPr>
    <w:r w:rsidRPr="00B70A5E">
      <w:fldChar w:fldCharType="begin"/>
    </w:r>
    <w:r w:rsidRPr="00B70A5E">
      <w:instrText xml:space="preserve"> PAGE   \* MERGEFORMAT </w:instrText>
    </w:r>
    <w:r w:rsidRPr="00B70A5E">
      <w:fldChar w:fldCharType="separate"/>
    </w:r>
    <w:r w:rsidR="00412FD6">
      <w:rPr>
        <w:noProof/>
      </w:rPr>
      <w:t>21</w:t>
    </w:r>
    <w:r w:rsidRPr="00B70A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6C" w:rsidRDefault="00DA576C" w:rsidP="008144B1">
      <w:pPr>
        <w:spacing w:after="0"/>
      </w:pPr>
      <w:r>
        <w:separator/>
      </w:r>
    </w:p>
  </w:footnote>
  <w:footnote w:type="continuationSeparator" w:id="0">
    <w:p w:rsidR="00DA576C" w:rsidRDefault="00DA576C" w:rsidP="008144B1">
      <w:pPr>
        <w:spacing w:after="0"/>
      </w:pPr>
      <w:r>
        <w:continuationSeparator/>
      </w:r>
    </w:p>
  </w:footnote>
  <w:footnote w:id="1">
    <w:p w:rsidR="005227F2" w:rsidRPr="00E52A4E" w:rsidRDefault="005227F2" w:rsidP="00E52A4E">
      <w:pPr>
        <w:pStyle w:val="Footer"/>
        <w:spacing w:after="120"/>
        <w:rPr>
          <w:sz w:val="20"/>
          <w:szCs w:val="20"/>
        </w:rPr>
      </w:pPr>
      <w:r w:rsidRPr="00E56F45">
        <w:rPr>
          <w:rStyle w:val="FootnoteReference"/>
          <w:szCs w:val="20"/>
        </w:rPr>
        <w:footnoteRef/>
      </w:r>
      <w:r w:rsidRPr="00E56F45">
        <w:rPr>
          <w:sz w:val="20"/>
          <w:szCs w:val="20"/>
        </w:rPr>
        <w:t xml:space="preserve"> Access the Federal MLR Regulation at </w:t>
      </w:r>
      <w:hyperlink r:id="rId1" w:history="1">
        <w:r w:rsidRPr="00E56F45">
          <w:rPr>
            <w:rStyle w:val="Hyperlink"/>
            <w:sz w:val="20"/>
            <w:szCs w:val="20"/>
          </w:rPr>
          <w:t>http://www.ecfr.gov/</w:t>
        </w:r>
      </w:hyperlink>
      <w:r>
        <w:rPr>
          <w:sz w:val="20"/>
          <w:szCs w:val="20"/>
        </w:rPr>
        <w:t>.</w:t>
      </w:r>
    </w:p>
  </w:footnote>
  <w:footnote w:id="2">
    <w:p w:rsidR="00F72240" w:rsidRPr="00827456" w:rsidRDefault="00F72240" w:rsidP="00F72240">
      <w:pPr>
        <w:pStyle w:val="Default"/>
        <w:spacing w:after="120"/>
        <w:rPr>
          <w:sz w:val="20"/>
          <w:szCs w:val="20"/>
        </w:rPr>
      </w:pPr>
      <w:r w:rsidRPr="00827456">
        <w:rPr>
          <w:rStyle w:val="FootnoteReference"/>
          <w:szCs w:val="20"/>
        </w:rPr>
        <w:footnoteRef/>
      </w:r>
      <w:r w:rsidRPr="00827456">
        <w:rPr>
          <w:sz w:val="20"/>
          <w:szCs w:val="20"/>
        </w:rPr>
        <w:t xml:space="preserve"> See</w:t>
      </w:r>
      <w:r>
        <w:rPr>
          <w:sz w:val="20"/>
          <w:szCs w:val="20"/>
        </w:rPr>
        <w:t xml:space="preserve"> CMS Nov. 14, 2013 Letter to State Insurance Commissioners, available at</w:t>
      </w:r>
      <w:r w:rsidRPr="00827456">
        <w:rPr>
          <w:sz w:val="20"/>
          <w:szCs w:val="20"/>
        </w:rPr>
        <w:t xml:space="preserve"> </w:t>
      </w:r>
      <w:hyperlink r:id="rId2" w:history="1">
        <w:r w:rsidRPr="00827456">
          <w:rPr>
            <w:rStyle w:val="Hyperlink"/>
            <w:sz w:val="20"/>
            <w:szCs w:val="20"/>
          </w:rPr>
          <w:t>http://www.cms.gov/CCIIO/Resources/Letters/Downloads/commissioner-letter-11-14-2013.pdf</w:t>
        </w:r>
      </w:hyperlink>
      <w:r>
        <w:rPr>
          <w:sz w:val="20"/>
          <w:szCs w:val="20"/>
        </w:rPr>
        <w:t>,</w:t>
      </w:r>
      <w:r w:rsidRPr="00827456">
        <w:rPr>
          <w:sz w:val="20"/>
          <w:szCs w:val="20"/>
        </w:rPr>
        <w:t xml:space="preserve"> </w:t>
      </w:r>
      <w:r>
        <w:rPr>
          <w:sz w:val="20"/>
          <w:szCs w:val="20"/>
        </w:rPr>
        <w:t xml:space="preserve">and CMS March 5, 2014 Bulletin extending the transitional policy, available at </w:t>
      </w:r>
      <w:hyperlink r:id="rId3" w:history="1">
        <w:r w:rsidRPr="00E27E75">
          <w:rPr>
            <w:rStyle w:val="Hyperlink"/>
            <w:sz w:val="20"/>
            <w:szCs w:val="20"/>
          </w:rPr>
          <w:t>https://www.cms.gov/cciio/resources/regulations-and-guidance/downloads/transition-to-compliant-policies-03-06-2015.pdf</w:t>
        </w:r>
      </w:hyperlink>
      <w:r>
        <w:rPr>
          <w:sz w:val="20"/>
          <w:szCs w:val="20"/>
        </w:rPr>
        <w:t>.</w:t>
      </w:r>
    </w:p>
  </w:footnote>
  <w:footnote w:id="3">
    <w:p w:rsidR="005227F2" w:rsidRPr="00D27CC2" w:rsidRDefault="005227F2" w:rsidP="00D27CC2">
      <w:pPr>
        <w:pStyle w:val="ListParagraph"/>
        <w:spacing w:after="0"/>
        <w:ind w:left="0"/>
      </w:pPr>
      <w:r w:rsidRPr="00D27CC2">
        <w:rPr>
          <w:rStyle w:val="FootnoteReference"/>
          <w:szCs w:val="20"/>
        </w:rPr>
        <w:footnoteRef/>
      </w:r>
      <w:r w:rsidRPr="00D27CC2">
        <w:rPr>
          <w:sz w:val="20"/>
          <w:szCs w:val="20"/>
        </w:rPr>
        <w:t xml:space="preserve"> </w:t>
      </w:r>
      <w:r w:rsidRPr="00D27CC2">
        <w:rPr>
          <w:rFonts w:eastAsia="Times New Roman"/>
          <w:color w:val="auto"/>
          <w:sz w:val="20"/>
          <w:szCs w:val="20"/>
        </w:rPr>
        <w:t xml:space="preserve">See CCIIO’s April 20, 2012 Guidance, Q&amp;A #28, addressing employers with employees in multiple states and/or multiple policies and which can be found at </w:t>
      </w:r>
      <w:hyperlink r:id="rId4" w:history="1">
        <w:r w:rsidRPr="0070299E">
          <w:rPr>
            <w:rStyle w:val="Hyperlink"/>
            <w:rFonts w:eastAsia="Times New Roman"/>
            <w:sz w:val="20"/>
            <w:szCs w:val="20"/>
          </w:rPr>
          <w:t>https://www.cms.gov/CCIIO/Resources/Files/Downloads/dwnlds/mlr-qna-04202012.pdf</w:t>
        </w:r>
      </w:hyperlink>
      <w:r>
        <w:rPr>
          <w:rFonts w:eastAsia="Times New Roman"/>
          <w:color w:val="auto"/>
          <w:sz w:val="20"/>
          <w:szCs w:val="20"/>
        </w:rPr>
        <w:t>.</w:t>
      </w:r>
    </w:p>
  </w:footnote>
  <w:footnote w:id="4">
    <w:p w:rsidR="005227F2" w:rsidRPr="002C1C26" w:rsidRDefault="005227F2" w:rsidP="002C1C26">
      <w:pPr>
        <w:pStyle w:val="FootnoteText"/>
      </w:pPr>
      <w:r w:rsidRPr="002C1C26">
        <w:rPr>
          <w:rStyle w:val="FootnoteReference"/>
        </w:rPr>
        <w:footnoteRef/>
      </w:r>
      <w:r w:rsidRPr="002C1C26">
        <w:t xml:space="preserve"> </w:t>
      </w:r>
      <w:r>
        <w:rPr>
          <w:lang w:val="en-US"/>
        </w:rPr>
        <w:t>S</w:t>
      </w:r>
      <w:proofErr w:type="spellStart"/>
      <w:r w:rsidRPr="002C1C26">
        <w:t>tates</w:t>
      </w:r>
      <w:proofErr w:type="spellEnd"/>
      <w:r w:rsidRPr="002C1C26">
        <w:t xml:space="preserve"> may substitute “</w:t>
      </w:r>
      <w:r>
        <w:rPr>
          <w:lang w:val="en-US"/>
        </w:rPr>
        <w:t>100</w:t>
      </w:r>
      <w:r w:rsidRPr="002C1C26">
        <w:t>” employees for “</w:t>
      </w:r>
      <w:r>
        <w:rPr>
          <w:lang w:val="en-US"/>
        </w:rPr>
        <w:t>50</w:t>
      </w:r>
      <w:r w:rsidRPr="002C1C26">
        <w:t>” employees to differentiate the small and large group markets</w:t>
      </w:r>
      <w:r w:rsidRPr="00922F8B">
        <w:t>, if they do so for all purposes and not just MLR</w:t>
      </w:r>
      <w:r w:rsidRPr="002C1C26">
        <w:t>.</w:t>
      </w:r>
    </w:p>
  </w:footnote>
  <w:footnote w:id="5">
    <w:p w:rsidR="005227F2" w:rsidRPr="00922F8B" w:rsidRDefault="005227F2">
      <w:pPr>
        <w:pStyle w:val="FootnoteText"/>
        <w:rPr>
          <w:lang w:val="en-US"/>
        </w:rPr>
      </w:pPr>
      <w:r w:rsidRPr="00922F8B">
        <w:rPr>
          <w:rStyle w:val="FootnoteReference"/>
        </w:rPr>
        <w:footnoteRef/>
      </w:r>
      <w:r w:rsidRPr="00922F8B">
        <w:t xml:space="preserve"> </w:t>
      </w:r>
      <w:r w:rsidRPr="00922F8B">
        <w:rPr>
          <w:b/>
        </w:rPr>
        <w:t>Note:</w:t>
      </w:r>
      <w:r w:rsidRPr="00922F8B">
        <w:t xml:space="preserve"> For the purposes of the Risk Corridors program, the definition of employer size and the employee counting method applicable under State law will determine whether a plan is considered to be offered in the small group market.</w:t>
      </w:r>
    </w:p>
  </w:footnote>
  <w:footnote w:id="6">
    <w:p w:rsidR="005227F2" w:rsidRPr="00922F8B" w:rsidRDefault="005227F2" w:rsidP="00922F8B">
      <w:pPr>
        <w:pStyle w:val="FootnoteText"/>
        <w:rPr>
          <w:lang w:val="en-US"/>
        </w:rPr>
      </w:pPr>
      <w:r w:rsidRPr="00922F8B">
        <w:rPr>
          <w:rStyle w:val="FootnoteReference"/>
        </w:rPr>
        <w:footnoteRef/>
      </w:r>
      <w:r w:rsidRPr="00922F8B">
        <w:t xml:space="preserve"> </w:t>
      </w:r>
      <w:r w:rsidRPr="00922F8B">
        <w:rPr>
          <w:lang w:val="en-US"/>
        </w:rPr>
        <w:t>Issuers that offered QHPs on the Marketplace are subject to Risk Corridors and must include all ACA-compliant business in the Risk Corridors columns.  Issuers that did not offer QHPs on the Marketplace are not subject to Risk Corridors and do not need to complete the Risk Corridors columns.</w:t>
      </w:r>
    </w:p>
  </w:footnote>
  <w:footnote w:id="7">
    <w:p w:rsidR="005227F2" w:rsidRPr="00922F8B" w:rsidRDefault="005227F2" w:rsidP="00922F8B">
      <w:pPr>
        <w:pStyle w:val="FootnoteText"/>
        <w:rPr>
          <w:lang w:val="en-US"/>
        </w:rPr>
      </w:pPr>
      <w:r w:rsidRPr="00922F8B">
        <w:rPr>
          <w:rStyle w:val="FootnoteReference"/>
        </w:rPr>
        <w:footnoteRef/>
      </w:r>
      <w:r w:rsidRPr="00922F8B">
        <w:t xml:space="preserve"> </w:t>
      </w:r>
      <w:r w:rsidRPr="00922F8B">
        <w:rPr>
          <w:lang w:val="en-US"/>
        </w:rPr>
        <w:t>ACA-compliant business includes both QHPs and non-QHPs, whether sold on- or off-Marketplace; and excludes grandfathered and transitional plans.  Grandfathered plans are plans that were in effect on March 23, 2010, and that have not been changed in ways that substantially reduce benefits or increase cost-sharing for consumers, pursuant to the regulations at 45 CFR Part 147.140.  Transitional plans are non-grandfathered, non ACA-compliant plans that issuers were allowed to continue in 2014 and, in certain states, renew through policy years beginning up to Oct. 1, 2016.</w:t>
      </w:r>
    </w:p>
  </w:footnote>
  <w:footnote w:id="8">
    <w:p w:rsidR="005227F2" w:rsidRPr="00474C30" w:rsidRDefault="005227F2">
      <w:pPr>
        <w:pStyle w:val="FootnoteText"/>
        <w:rPr>
          <w:lang w:val="en-US"/>
        </w:rPr>
      </w:pPr>
      <w:r>
        <w:rPr>
          <w:rStyle w:val="FootnoteReference"/>
        </w:rPr>
        <w:footnoteRef/>
      </w:r>
      <w:r>
        <w:t xml:space="preserve"> </w:t>
      </w:r>
      <w:r w:rsidRPr="00FF32B5">
        <w:rPr>
          <w:b/>
        </w:rPr>
        <w:t>Note:</w:t>
      </w:r>
      <w:r>
        <w:t xml:space="preserve"> issuers may not defer new business reporting for Risk Corridors purposes.</w:t>
      </w:r>
    </w:p>
  </w:footnote>
  <w:footnote w:id="9">
    <w:p w:rsidR="005227F2" w:rsidRPr="00D27CC2" w:rsidRDefault="005227F2">
      <w:pPr>
        <w:pStyle w:val="FootnoteText"/>
        <w:rPr>
          <w:lang w:val="en-US"/>
        </w:rPr>
      </w:pPr>
      <w:r>
        <w:rPr>
          <w:rStyle w:val="FootnoteReference"/>
        </w:rPr>
        <w:footnoteRef/>
      </w:r>
      <w:r>
        <w:t xml:space="preserve"> See CCIIO’s May 27, 2015 Guidance, Q&amp;A #64, addressing such fees/commissions at: </w:t>
      </w:r>
      <w:hyperlink r:id="rId5" w:history="1">
        <w:r w:rsidRPr="0070299E">
          <w:rPr>
            <w:rStyle w:val="Hyperlink"/>
          </w:rPr>
          <w:t>https://www.cms.gov/CCIIO/Resources/Regulations-and-Guidance/Downloads/MLR-Guidance-Earned-Premium-and-APTC-Rebates-20150527.pdf</w:t>
        </w:r>
      </w:hyperlink>
      <w:r>
        <w:rPr>
          <w:lang w:val="en-US"/>
        </w:rPr>
        <w:t>.</w:t>
      </w:r>
      <w:r w:rsidRPr="002B6D95">
        <w:t xml:space="preserve">  </w:t>
      </w:r>
    </w:p>
  </w:footnote>
  <w:footnote w:id="10">
    <w:p w:rsidR="005227F2" w:rsidRPr="0022702C" w:rsidRDefault="005227F2" w:rsidP="00F528DF">
      <w:pPr>
        <w:pStyle w:val="FootnoteText"/>
        <w:rPr>
          <w:lang w:val="en-US"/>
        </w:rPr>
      </w:pPr>
      <w:r>
        <w:rPr>
          <w:rStyle w:val="FootnoteReference"/>
        </w:rPr>
        <w:footnoteRef/>
      </w:r>
      <w:r>
        <w:t xml:space="preserve"> </w:t>
      </w:r>
      <w:hyperlink r:id="rId6" w:history="1">
        <w:r w:rsidRPr="0070299E">
          <w:rPr>
            <w:rStyle w:val="Hyperlink"/>
          </w:rPr>
          <w:t>https://www.cms.gov/CCIIO/Resources/Regulations-and-Guidance/Downloads/Advance-CSR-Payment-and-RC-MLR-submission_6192015.pdf</w:t>
        </w:r>
      </w:hyperlink>
      <w:r>
        <w:rPr>
          <w:lang w:val="en-US"/>
        </w:rPr>
        <w:t>.</w:t>
      </w:r>
    </w:p>
  </w:footnote>
  <w:footnote w:id="11">
    <w:p w:rsidR="005227F2" w:rsidRPr="00445AB0" w:rsidRDefault="005227F2" w:rsidP="0021313D">
      <w:pPr>
        <w:pStyle w:val="FootnoteText"/>
        <w:rPr>
          <w:lang w:val="en-US"/>
        </w:rPr>
      </w:pPr>
      <w:r w:rsidRPr="00841A23">
        <w:rPr>
          <w:rStyle w:val="FootnoteReference"/>
        </w:rPr>
        <w:footnoteRef/>
      </w:r>
      <w:r w:rsidRPr="00841A23">
        <w:t xml:space="preserve"> Massachusetts has a </w:t>
      </w:r>
      <w:r>
        <w:t xml:space="preserve">higher </w:t>
      </w:r>
      <w:r w:rsidRPr="00841A23">
        <w:t>state MLR standard of</w:t>
      </w:r>
      <w:r>
        <w:t xml:space="preserve"> 88% - 90</w:t>
      </w:r>
      <w:r w:rsidRPr="00841A23">
        <w:t>% in the individual and small group markets</w:t>
      </w:r>
      <w:r>
        <w:t>, depending on the reporting year.</w:t>
      </w:r>
      <w:r w:rsidRPr="00841A23">
        <w:t xml:space="preserve"> New York ha</w:t>
      </w:r>
      <w:r>
        <w:t>s</w:t>
      </w:r>
      <w:r w:rsidRPr="00841A23">
        <w:t xml:space="preserve"> a </w:t>
      </w:r>
      <w:r>
        <w:t xml:space="preserve">higher </w:t>
      </w:r>
      <w:r w:rsidRPr="00841A23">
        <w:t>state MLR standard of 82% in the individual and small group markets</w:t>
      </w:r>
      <w:r>
        <w:t>.</w:t>
      </w:r>
      <w:r>
        <w:rPr>
          <w:lang w:val="en-US"/>
        </w:rPr>
        <w:t xml:space="preserve"> New Mexico has a higher state MLR standard of 85% in the small group market.</w:t>
      </w:r>
    </w:p>
  </w:footnote>
  <w:footnote w:id="12">
    <w:p w:rsidR="005227F2" w:rsidRDefault="005227F2" w:rsidP="0021313D">
      <w:pPr>
        <w:pStyle w:val="FootnoteText"/>
      </w:pPr>
      <w:r>
        <w:rPr>
          <w:rStyle w:val="FootnoteReference"/>
        </w:rPr>
        <w:footnoteRef/>
      </w:r>
      <w:r>
        <w:t xml:space="preserve"> </w:t>
      </w:r>
      <w:r w:rsidRPr="00607E0B">
        <w:t xml:space="preserve">The </w:t>
      </w:r>
      <w:r>
        <w:t>S</w:t>
      </w:r>
      <w:r w:rsidRPr="00607E0B">
        <w:t xml:space="preserve">ecretary granted adjustments to the MLR standard in the individual market in </w:t>
      </w:r>
      <w:r w:rsidRPr="00F31E21">
        <w:t>Georgia, Iowa, Kentucky, North Carolina, Nevada, Massachusetts, Ma</w:t>
      </w:r>
      <w:r>
        <w:t xml:space="preserve">ine, and New Hampshire for 2011 and/or 2012. </w:t>
      </w:r>
    </w:p>
  </w:footnote>
  <w:footnote w:id="13">
    <w:p w:rsidR="005227F2" w:rsidRDefault="005227F2">
      <w:pPr>
        <w:pStyle w:val="FootnoteText"/>
      </w:pPr>
      <w:r>
        <w:rPr>
          <w:rStyle w:val="FootnoteReference"/>
        </w:rPr>
        <w:footnoteRef/>
      </w:r>
      <w:r>
        <w:t xml:space="preserve"> MLR r</w:t>
      </w:r>
      <w:r w:rsidRPr="001365EA">
        <w:t xml:space="preserve">egulatory guidance is available at </w:t>
      </w:r>
      <w:hyperlink r:id="rId7" w:history="1">
        <w:r w:rsidRPr="001365EA">
          <w:rPr>
            <w:rStyle w:val="Hyperlink"/>
          </w:rPr>
          <w:t>http://www.cms.gov/cciio/resources/regulations-and-guidance/index.html#Medical Loss Ratio</w:t>
        </w:r>
      </w:hyperlink>
      <w:r>
        <w:rPr>
          <w:color w:val="auto"/>
        </w:rPr>
        <w:t xml:space="preserve">. </w:t>
      </w:r>
    </w:p>
  </w:footnote>
  <w:footnote w:id="14">
    <w:p w:rsidR="005227F2" w:rsidRPr="00453CA5" w:rsidRDefault="005227F2" w:rsidP="0021313D">
      <w:pPr>
        <w:pStyle w:val="FootnoteText"/>
      </w:pPr>
      <w:r w:rsidRPr="00453CA5">
        <w:rPr>
          <w:rStyle w:val="FootnoteReference"/>
        </w:rPr>
        <w:footnoteRef/>
      </w:r>
      <w:r w:rsidRPr="00453CA5">
        <w:t xml:space="preserve"> Massachusetts</w:t>
      </w:r>
      <w:r>
        <w:rPr>
          <w:lang w:val="en-US"/>
        </w:rPr>
        <w:t xml:space="preserve"> and, beginning with the 2014 reporting year, District of Columbia and Vermont,</w:t>
      </w:r>
      <w:r w:rsidRPr="00453CA5">
        <w:t xml:space="preserve"> require that issuers merge experience of the individual and small group markets for the purposes of calculating the MLR.</w:t>
      </w:r>
    </w:p>
  </w:footnote>
  <w:footnote w:id="15">
    <w:p w:rsidR="005227F2" w:rsidRDefault="005227F2">
      <w:pPr>
        <w:pStyle w:val="FootnoteText"/>
      </w:pPr>
      <w:r>
        <w:rPr>
          <w:rStyle w:val="FootnoteReference"/>
        </w:rPr>
        <w:footnoteRef/>
      </w:r>
      <w:r>
        <w:t xml:space="preserve"> </w:t>
      </w:r>
      <w:r w:rsidRPr="00DD6350">
        <w:rPr>
          <w:rFonts w:eastAsia="Times New Roman"/>
          <w:color w:val="auto"/>
        </w:rPr>
        <w:t>To calculate</w:t>
      </w:r>
      <w:r>
        <w:rPr>
          <w:rFonts w:eastAsia="Times New Roman"/>
          <w:color w:val="auto"/>
        </w:rPr>
        <w:t xml:space="preserve"> the average deductible</w:t>
      </w:r>
      <w:r w:rsidRPr="00DD6350">
        <w:rPr>
          <w:rFonts w:eastAsia="Times New Roman"/>
          <w:color w:val="auto"/>
        </w:rPr>
        <w:t xml:space="preserve">, multiply the per-person deductibles by the applicable number of life-years, aggregate the results, and then divide by the total number of life-years in the state and market for all of </w:t>
      </w:r>
      <w:r>
        <w:rPr>
          <w:rFonts w:eastAsia="Times New Roman"/>
          <w:color w:val="auto"/>
        </w:rPr>
        <w:t xml:space="preserve">the </w:t>
      </w:r>
      <w:r w:rsidRPr="00DD6350">
        <w:rPr>
          <w:rFonts w:eastAsia="Times New Roman"/>
          <w:color w:val="auto"/>
        </w:rPr>
        <w:t>issuer’s policies with the same per-person deductible level. The per-person deductible for a family policy is the lesser of the individual deductibles or one</w:t>
      </w:r>
      <w:r>
        <w:rPr>
          <w:rFonts w:eastAsia="Times New Roman"/>
          <w:color w:val="auto"/>
          <w:lang w:val="en-US"/>
        </w:rPr>
        <w:t>-</w:t>
      </w:r>
      <w:r w:rsidRPr="00DD6350">
        <w:rPr>
          <w:rFonts w:eastAsia="Times New Roman"/>
          <w:color w:val="auto"/>
        </w:rPr>
        <w:t>half of the family deductible. If the issuer has products with differing deductibles, use a similar process to calculate the average deductible across all deductible levels weighted by life-years.</w:t>
      </w:r>
    </w:p>
  </w:footnote>
  <w:footnote w:id="16">
    <w:p w:rsidR="005227F2" w:rsidRPr="00B55446" w:rsidRDefault="005227F2">
      <w:pPr>
        <w:pStyle w:val="FootnoteText"/>
        <w:rPr>
          <w:lang w:val="en-US"/>
        </w:rPr>
      </w:pPr>
      <w:r>
        <w:rPr>
          <w:rStyle w:val="FootnoteReference"/>
        </w:rPr>
        <w:footnoteRef/>
      </w:r>
      <w:r>
        <w:t xml:space="preserve"> </w:t>
      </w:r>
      <w:r w:rsidRPr="00B55446">
        <w:t>CMS Summary Report on Transitional Reinsurance Payments and Permanent Risk Adjustment Transfer</w:t>
      </w:r>
      <w:r>
        <w:t xml:space="preserve">s is available annually from </w:t>
      </w:r>
      <w:r>
        <w:rPr>
          <w:lang w:val="en-US"/>
        </w:rPr>
        <w:t xml:space="preserve">the Announcements section of the CCIIO website, </w:t>
      </w:r>
      <w:hyperlink r:id="rId8" w:history="1">
        <w:r w:rsidRPr="00415660">
          <w:rPr>
            <w:rStyle w:val="Hyperlink"/>
            <w:lang w:val="en-US"/>
          </w:rPr>
          <w:t>https://www.cms.gov/CCIIO/Programs-and-Initiatives/Premium-Stabilization-Programs/index.html</w:t>
        </w:r>
      </w:hyperlink>
      <w:r>
        <w:rPr>
          <w:lang w:val="en-US"/>
        </w:rPr>
        <w:t>.</w:t>
      </w:r>
    </w:p>
  </w:footnote>
  <w:footnote w:id="17">
    <w:p w:rsidR="005227F2" w:rsidRPr="001E2451" w:rsidRDefault="005227F2" w:rsidP="005227F2">
      <w:pPr>
        <w:pStyle w:val="FootnoteText"/>
        <w:rPr>
          <w:lang w:val="en-US"/>
        </w:rPr>
      </w:pPr>
      <w:r>
        <w:rPr>
          <w:rStyle w:val="FootnoteReference"/>
        </w:rPr>
        <w:footnoteRef/>
      </w:r>
      <w:r>
        <w:t xml:space="preserve"> </w:t>
      </w:r>
      <w:r>
        <w:rPr>
          <w:lang w:val="en-US"/>
        </w:rPr>
        <w:t xml:space="preserve">For 2014, the transitional states were: </w:t>
      </w:r>
      <w:r w:rsidRPr="001E2451">
        <w:rPr>
          <w:lang w:val="en-US"/>
        </w:rPr>
        <w:t>Alabama, Alaska, Arizona, Arkansas, California (small group only),</w:t>
      </w:r>
      <w:r>
        <w:rPr>
          <w:lang w:val="en-US"/>
        </w:rPr>
        <w:t xml:space="preserve"> </w:t>
      </w:r>
      <w:r w:rsidRPr="001E2451">
        <w:rPr>
          <w:lang w:val="en-US"/>
        </w:rPr>
        <w:t>Colorado, Florida, Georgia, Hawaii, Idaho, Illinois, Indiana, Iowa, Kansas, Kentucky, Louisiana, Maine, Michigan,</w:t>
      </w:r>
      <w:r>
        <w:rPr>
          <w:lang w:val="en-US"/>
        </w:rPr>
        <w:t xml:space="preserve"> </w:t>
      </w:r>
      <w:r w:rsidRPr="001E2451">
        <w:rPr>
          <w:lang w:val="en-US"/>
        </w:rPr>
        <w:t>Mississippi, Missouri, Montana, Nebraska, New Hampshire, New Jersey, New Mexico, North Carolina, North</w:t>
      </w:r>
      <w:r>
        <w:rPr>
          <w:lang w:val="en-US"/>
        </w:rPr>
        <w:t xml:space="preserve"> </w:t>
      </w:r>
      <w:r w:rsidRPr="001E2451">
        <w:rPr>
          <w:lang w:val="en-US"/>
        </w:rPr>
        <w:t>Dakota, Ohio, Oklahoma, Oregon, Pennsylvania, South Carolina, South Dakota, Tennessee, Texas, Utah, West</w:t>
      </w:r>
      <w:r>
        <w:rPr>
          <w:lang w:val="en-US"/>
        </w:rPr>
        <w:t xml:space="preserve"> </w:t>
      </w:r>
      <w:r w:rsidRPr="001E2451">
        <w:rPr>
          <w:lang w:val="en-US"/>
        </w:rPr>
        <w:t>Virginia, Wisconsin, and Wyoming</w:t>
      </w:r>
      <w:r>
        <w:rPr>
          <w:lang w:val="en-US"/>
        </w:rPr>
        <w:t>.</w:t>
      </w:r>
    </w:p>
  </w:footnote>
  <w:footnote w:id="18">
    <w:p w:rsidR="005227F2" w:rsidRPr="001E2451" w:rsidRDefault="005227F2" w:rsidP="00762976">
      <w:pPr>
        <w:pStyle w:val="FootnoteText"/>
        <w:rPr>
          <w:lang w:val="en-US"/>
        </w:rPr>
      </w:pPr>
      <w:r>
        <w:rPr>
          <w:rStyle w:val="FootnoteReference"/>
        </w:rPr>
        <w:footnoteRef/>
      </w:r>
      <w:r>
        <w:t xml:space="preserve"> </w:t>
      </w:r>
      <w:r>
        <w:rPr>
          <w:lang w:val="en-US"/>
        </w:rPr>
        <w:t xml:space="preserve">For 2014, see CCIIO Apr. 17, 2015 technical guidance on Transitional Adjustment for 2014 Risk Corridors Program, </w:t>
      </w:r>
      <w:hyperlink r:id="rId9" w:history="1">
        <w:r w:rsidRPr="00415660">
          <w:rPr>
            <w:rStyle w:val="Hyperlink"/>
            <w:lang w:val="en-US"/>
          </w:rPr>
          <w:t>https://www.cms.gov/CCIIO/Resources/Regulations-and-Guidance/Downloads/RC_TransitionalAdjGuidance_5CR_041715.pdf</w:t>
        </w:r>
      </w:hyperlink>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F2" w:rsidRPr="005263EC" w:rsidRDefault="00B54940">
    <w:pPr>
      <w:pStyle w:val="Header"/>
      <w:rPr>
        <w:b/>
      </w:rPr>
    </w:pPr>
    <w:r w:rsidRPr="00B54940">
      <w:rPr>
        <w:b/>
      </w:rPr>
      <w:ptab w:relativeTo="margin" w:alignment="center" w:leader="none"/>
    </w:r>
    <w:r w:rsidRPr="00B54940">
      <w:rPr>
        <w:b/>
        <w:i/>
      </w:rPr>
      <w:ptab w:relativeTo="margin" w:alignment="right" w:leader="none"/>
    </w:r>
    <w:r w:rsidR="00412FD6">
      <w:rPr>
        <w:b/>
        <w:i/>
      </w:rPr>
      <w:t>Updated May</w:t>
    </w:r>
    <w:r w:rsidRPr="00B54940">
      <w:rPr>
        <w:b/>
        <w:i/>
      </w:rPr>
      <w:t xml:space="preserve"> 201</w:t>
    </w:r>
    <w:r>
      <w:rPr>
        <w: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13152"/>
    <w:multiLevelType w:val="hybridMultilevel"/>
    <w:tmpl w:val="A45C0C92"/>
    <w:lvl w:ilvl="0" w:tplc="FE14012E">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00F4A"/>
    <w:multiLevelType w:val="multilevel"/>
    <w:tmpl w:val="91D07D4C"/>
    <w:lvl w:ilvl="0">
      <w:start w:val="3"/>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29B209A"/>
    <w:multiLevelType w:val="hybridMultilevel"/>
    <w:tmpl w:val="2200E1C6"/>
    <w:lvl w:ilvl="0" w:tplc="3A76354A">
      <w:start w:val="1"/>
      <w:numFmt w:val="decimal"/>
      <w:lvlText w:val="%1)"/>
      <w:lvlJc w:val="left"/>
      <w:pPr>
        <w:ind w:left="360" w:hanging="360"/>
      </w:pPr>
      <w:rPr>
        <w:rFonts w:ascii="Times New Roman" w:eastAsia="Times New Roman" w:hAnsi="Times New Roman" w:cs="Times New Roman"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E6090C"/>
    <w:multiLevelType w:val="hybridMultilevel"/>
    <w:tmpl w:val="6964C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916C0"/>
    <w:multiLevelType w:val="hybridMultilevel"/>
    <w:tmpl w:val="D14E2BA2"/>
    <w:lvl w:ilvl="0" w:tplc="04090019">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02185"/>
    <w:multiLevelType w:val="hybridMultilevel"/>
    <w:tmpl w:val="8250A55A"/>
    <w:lvl w:ilvl="0" w:tplc="A048988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A375BC"/>
    <w:multiLevelType w:val="hybridMultilevel"/>
    <w:tmpl w:val="FD88EFCA"/>
    <w:lvl w:ilvl="0" w:tplc="04090011">
      <w:start w:val="1"/>
      <w:numFmt w:val="decimal"/>
      <w:lvlText w:val="%1)"/>
      <w:lvlJc w:val="left"/>
      <w:pPr>
        <w:ind w:left="360" w:hanging="360"/>
      </w:pPr>
      <w:rPr>
        <w:rFonts w:hint="default"/>
        <w:i w:val="0"/>
      </w:rPr>
    </w:lvl>
    <w:lvl w:ilvl="1" w:tplc="BAE2FDD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7A2246"/>
    <w:multiLevelType w:val="hybridMultilevel"/>
    <w:tmpl w:val="0A1E96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0D12A4"/>
    <w:multiLevelType w:val="hybridMultilevel"/>
    <w:tmpl w:val="A634905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267E8F"/>
    <w:multiLevelType w:val="hybridMultilevel"/>
    <w:tmpl w:val="6BF62E80"/>
    <w:lvl w:ilvl="0" w:tplc="68BC7B8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946CE8"/>
    <w:multiLevelType w:val="hybridMultilevel"/>
    <w:tmpl w:val="E3A24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D0ECC"/>
    <w:multiLevelType w:val="hybridMultilevel"/>
    <w:tmpl w:val="CC60F52E"/>
    <w:lvl w:ilvl="0" w:tplc="04090019">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64812"/>
    <w:multiLevelType w:val="hybridMultilevel"/>
    <w:tmpl w:val="4C5CCC3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3B1C2E"/>
    <w:multiLevelType w:val="hybridMultilevel"/>
    <w:tmpl w:val="8BCA55EA"/>
    <w:lvl w:ilvl="0" w:tplc="885E1DA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E0C9B"/>
    <w:multiLevelType w:val="hybridMultilevel"/>
    <w:tmpl w:val="7A0EE734"/>
    <w:lvl w:ilvl="0" w:tplc="3A76354A">
      <w:start w:val="1"/>
      <w:numFmt w:val="decimal"/>
      <w:lvlText w:val="%1)"/>
      <w:lvlJc w:val="left"/>
      <w:pPr>
        <w:ind w:left="360" w:hanging="360"/>
      </w:pPr>
      <w:rPr>
        <w:rFonts w:ascii="Times New Roman" w:eastAsia="Times New Roman" w:hAnsi="Times New Roman" w:cs="Times New Roman"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D5B32"/>
    <w:multiLevelType w:val="hybridMultilevel"/>
    <w:tmpl w:val="2D941536"/>
    <w:lvl w:ilvl="0" w:tplc="2018ADE2">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D3D2F"/>
    <w:multiLevelType w:val="hybridMultilevel"/>
    <w:tmpl w:val="31CA9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1931D4"/>
    <w:multiLevelType w:val="hybridMultilevel"/>
    <w:tmpl w:val="5AF49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580CF6"/>
    <w:multiLevelType w:val="hybridMultilevel"/>
    <w:tmpl w:val="E66EB7A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2E1F33"/>
    <w:multiLevelType w:val="hybridMultilevel"/>
    <w:tmpl w:val="449A22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815AEF"/>
    <w:multiLevelType w:val="hybridMultilevel"/>
    <w:tmpl w:val="7EA4CF64"/>
    <w:lvl w:ilvl="0" w:tplc="D8DE5480">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704DB0"/>
    <w:multiLevelType w:val="hybridMultilevel"/>
    <w:tmpl w:val="4E768CBC"/>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7409B"/>
    <w:multiLevelType w:val="hybridMultilevel"/>
    <w:tmpl w:val="FB103F2E"/>
    <w:lvl w:ilvl="0" w:tplc="4300EA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0066422">
      <w:start w:val="1"/>
      <w:numFmt w:val="lowerRoman"/>
      <w:lvlText w:val="%3)"/>
      <w:lvlJc w:val="left"/>
      <w:pPr>
        <w:ind w:left="1800" w:hanging="180"/>
      </w:pPr>
      <w:rPr>
        <w:rFonts w:hint="default"/>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8D4116"/>
    <w:multiLevelType w:val="hybridMultilevel"/>
    <w:tmpl w:val="45D203C2"/>
    <w:lvl w:ilvl="0" w:tplc="04090011">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2E64DA"/>
    <w:multiLevelType w:val="hybridMultilevel"/>
    <w:tmpl w:val="1F9630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574CBA"/>
    <w:multiLevelType w:val="hybridMultilevel"/>
    <w:tmpl w:val="0DAA7C9E"/>
    <w:lvl w:ilvl="0" w:tplc="04090019">
      <w:start w:val="1"/>
      <w:numFmt w:val="lowerLetter"/>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7">
    <w:nsid w:val="4E6A057A"/>
    <w:multiLevelType w:val="hybridMultilevel"/>
    <w:tmpl w:val="A2263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80AFD"/>
    <w:multiLevelType w:val="hybridMultilevel"/>
    <w:tmpl w:val="746A7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D974CC"/>
    <w:multiLevelType w:val="hybridMultilevel"/>
    <w:tmpl w:val="7EA4CF64"/>
    <w:lvl w:ilvl="0" w:tplc="D8DE5480">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0C1940"/>
    <w:multiLevelType w:val="hybridMultilevel"/>
    <w:tmpl w:val="BBC889D4"/>
    <w:lvl w:ilvl="0" w:tplc="04090019">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036C49"/>
    <w:multiLevelType w:val="hybridMultilevel"/>
    <w:tmpl w:val="D23868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C3164"/>
    <w:multiLevelType w:val="hybridMultilevel"/>
    <w:tmpl w:val="132A9D9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903E51"/>
    <w:multiLevelType w:val="hybridMultilevel"/>
    <w:tmpl w:val="15FCE6BA"/>
    <w:lvl w:ilvl="0" w:tplc="3172698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C35859"/>
    <w:multiLevelType w:val="hybridMultilevel"/>
    <w:tmpl w:val="99A4D598"/>
    <w:lvl w:ilvl="0" w:tplc="AC7A6BF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10666E"/>
    <w:multiLevelType w:val="hybridMultilevel"/>
    <w:tmpl w:val="0A1E96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6A7245"/>
    <w:multiLevelType w:val="multilevel"/>
    <w:tmpl w:val="2D94F2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633C38A3"/>
    <w:multiLevelType w:val="hybridMultilevel"/>
    <w:tmpl w:val="0F02394A"/>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916244"/>
    <w:multiLevelType w:val="hybridMultilevel"/>
    <w:tmpl w:val="A45C0C92"/>
    <w:lvl w:ilvl="0" w:tplc="FE14012E">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D21D4"/>
    <w:multiLevelType w:val="hybridMultilevel"/>
    <w:tmpl w:val="E62C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3C09FA"/>
    <w:multiLevelType w:val="hybridMultilevel"/>
    <w:tmpl w:val="FC18AE4E"/>
    <w:lvl w:ilvl="0" w:tplc="8C66893E">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82EDF"/>
    <w:multiLevelType w:val="hybridMultilevel"/>
    <w:tmpl w:val="1C9CD6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120C88"/>
    <w:multiLevelType w:val="hybridMultilevel"/>
    <w:tmpl w:val="02805296"/>
    <w:lvl w:ilvl="0" w:tplc="2018ADE2">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0066422">
      <w:start w:val="1"/>
      <w:numFmt w:val="lowerRoman"/>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B00F5"/>
    <w:multiLevelType w:val="hybridMultilevel"/>
    <w:tmpl w:val="9364E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97CFF"/>
    <w:multiLevelType w:val="hybridMultilevel"/>
    <w:tmpl w:val="33BAB246"/>
    <w:lvl w:ilvl="0" w:tplc="8C66893E">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E31B7"/>
    <w:multiLevelType w:val="hybridMultilevel"/>
    <w:tmpl w:val="F16EB24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232617"/>
    <w:multiLevelType w:val="hybridMultilevel"/>
    <w:tmpl w:val="DAA8F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39"/>
  </w:num>
  <w:num w:numId="4">
    <w:abstractNumId w:val="11"/>
  </w:num>
  <w:num w:numId="5">
    <w:abstractNumId w:val="28"/>
  </w:num>
  <w:num w:numId="6">
    <w:abstractNumId w:val="1"/>
  </w:num>
  <w:num w:numId="7">
    <w:abstractNumId w:val="25"/>
  </w:num>
  <w:num w:numId="8">
    <w:abstractNumId w:val="36"/>
  </w:num>
  <w:num w:numId="9">
    <w:abstractNumId w:val="27"/>
  </w:num>
  <w:num w:numId="10">
    <w:abstractNumId w:val="4"/>
  </w:num>
  <w:num w:numId="11">
    <w:abstractNumId w:val="5"/>
  </w:num>
  <w:num w:numId="12">
    <w:abstractNumId w:val="6"/>
  </w:num>
  <w:num w:numId="13">
    <w:abstractNumId w:val="17"/>
  </w:num>
  <w:num w:numId="14">
    <w:abstractNumId w:val="34"/>
  </w:num>
  <w:num w:numId="15">
    <w:abstractNumId w:val="26"/>
  </w:num>
  <w:num w:numId="16">
    <w:abstractNumId w:val="14"/>
  </w:num>
  <w:num w:numId="17">
    <w:abstractNumId w:val="10"/>
  </w:num>
  <w:num w:numId="18">
    <w:abstractNumId w:val="31"/>
  </w:num>
  <w:num w:numId="19">
    <w:abstractNumId w:val="41"/>
  </w:num>
  <w:num w:numId="20">
    <w:abstractNumId w:val="37"/>
  </w:num>
  <w:num w:numId="21">
    <w:abstractNumId w:val="19"/>
  </w:num>
  <w:num w:numId="22">
    <w:abstractNumId w:val="15"/>
  </w:num>
  <w:num w:numId="23">
    <w:abstractNumId w:val="3"/>
  </w:num>
  <w:num w:numId="24">
    <w:abstractNumId w:val="33"/>
  </w:num>
  <w:num w:numId="25">
    <w:abstractNumId w:val="22"/>
  </w:num>
  <w:num w:numId="26">
    <w:abstractNumId w:val="16"/>
  </w:num>
  <w:num w:numId="27">
    <w:abstractNumId w:val="38"/>
  </w:num>
  <w:num w:numId="28">
    <w:abstractNumId w:val="29"/>
  </w:num>
  <w:num w:numId="29">
    <w:abstractNumId w:val="20"/>
  </w:num>
  <w:num w:numId="30">
    <w:abstractNumId w:val="18"/>
  </w:num>
  <w:num w:numId="31">
    <w:abstractNumId w:val="46"/>
  </w:num>
  <w:num w:numId="32">
    <w:abstractNumId w:val="7"/>
  </w:num>
  <w:num w:numId="33">
    <w:abstractNumId w:val="35"/>
  </w:num>
  <w:num w:numId="34">
    <w:abstractNumId w:val="30"/>
  </w:num>
  <w:num w:numId="35">
    <w:abstractNumId w:val="12"/>
  </w:num>
  <w:num w:numId="36">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abstractNumId w:val="24"/>
  </w:num>
  <w:num w:numId="38">
    <w:abstractNumId w:val="2"/>
  </w:num>
  <w:num w:numId="39">
    <w:abstractNumId w:val="21"/>
  </w:num>
  <w:num w:numId="40">
    <w:abstractNumId w:val="23"/>
  </w:num>
  <w:num w:numId="41">
    <w:abstractNumId w:val="42"/>
  </w:num>
  <w:num w:numId="42">
    <w:abstractNumId w:val="8"/>
  </w:num>
  <w:num w:numId="43">
    <w:abstractNumId w:val="43"/>
  </w:num>
  <w:num w:numId="44">
    <w:abstractNumId w:val="45"/>
  </w:num>
  <w:num w:numId="45">
    <w:abstractNumId w:val="13"/>
  </w:num>
  <w:num w:numId="46">
    <w:abstractNumId w:val="9"/>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A. Whitefield">
    <w15:presenceInfo w15:providerId="None" w15:userId="Christina A. White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3D"/>
    <w:rsid w:val="000102FF"/>
    <w:rsid w:val="000231C8"/>
    <w:rsid w:val="000304A7"/>
    <w:rsid w:val="00035BB4"/>
    <w:rsid w:val="00073D7B"/>
    <w:rsid w:val="00075646"/>
    <w:rsid w:val="000875B2"/>
    <w:rsid w:val="000D19EF"/>
    <w:rsid w:val="000E0D08"/>
    <w:rsid w:val="000E74DF"/>
    <w:rsid w:val="00106748"/>
    <w:rsid w:val="001261DF"/>
    <w:rsid w:val="00130C99"/>
    <w:rsid w:val="001365EA"/>
    <w:rsid w:val="001478D3"/>
    <w:rsid w:val="001545CB"/>
    <w:rsid w:val="0016125D"/>
    <w:rsid w:val="00193982"/>
    <w:rsid w:val="001C3379"/>
    <w:rsid w:val="001C3811"/>
    <w:rsid w:val="0021313D"/>
    <w:rsid w:val="00243D57"/>
    <w:rsid w:val="002571D4"/>
    <w:rsid w:val="00261951"/>
    <w:rsid w:val="00273E45"/>
    <w:rsid w:val="00280253"/>
    <w:rsid w:val="002A625C"/>
    <w:rsid w:val="002B6D95"/>
    <w:rsid w:val="002C1C26"/>
    <w:rsid w:val="002D41DB"/>
    <w:rsid w:val="002E5FD1"/>
    <w:rsid w:val="00300BE5"/>
    <w:rsid w:val="00336FF5"/>
    <w:rsid w:val="003A096D"/>
    <w:rsid w:val="00401BCF"/>
    <w:rsid w:val="00412FD6"/>
    <w:rsid w:val="00417238"/>
    <w:rsid w:val="00445AB0"/>
    <w:rsid w:val="00452685"/>
    <w:rsid w:val="004546E8"/>
    <w:rsid w:val="00454A0E"/>
    <w:rsid w:val="00461174"/>
    <w:rsid w:val="0046551F"/>
    <w:rsid w:val="00474B0B"/>
    <w:rsid w:val="00474C30"/>
    <w:rsid w:val="00482EFC"/>
    <w:rsid w:val="00483C74"/>
    <w:rsid w:val="004957AB"/>
    <w:rsid w:val="004C61F2"/>
    <w:rsid w:val="005060C3"/>
    <w:rsid w:val="005227F2"/>
    <w:rsid w:val="005263EC"/>
    <w:rsid w:val="005267F6"/>
    <w:rsid w:val="00544590"/>
    <w:rsid w:val="005458A8"/>
    <w:rsid w:val="0054609C"/>
    <w:rsid w:val="00551C0C"/>
    <w:rsid w:val="005765ED"/>
    <w:rsid w:val="00593160"/>
    <w:rsid w:val="005A0D59"/>
    <w:rsid w:val="00606AE8"/>
    <w:rsid w:val="006071B7"/>
    <w:rsid w:val="006342FA"/>
    <w:rsid w:val="00647052"/>
    <w:rsid w:val="00673FF8"/>
    <w:rsid w:val="00687BDA"/>
    <w:rsid w:val="00693CF0"/>
    <w:rsid w:val="006A4716"/>
    <w:rsid w:val="006C0B2E"/>
    <w:rsid w:val="006C6A6A"/>
    <w:rsid w:val="007058A1"/>
    <w:rsid w:val="0073045A"/>
    <w:rsid w:val="00731AB1"/>
    <w:rsid w:val="00761DE7"/>
    <w:rsid w:val="00762976"/>
    <w:rsid w:val="00776B0A"/>
    <w:rsid w:val="00782735"/>
    <w:rsid w:val="00797FF8"/>
    <w:rsid w:val="007A1D46"/>
    <w:rsid w:val="007F2EDA"/>
    <w:rsid w:val="00802B7B"/>
    <w:rsid w:val="008144B1"/>
    <w:rsid w:val="00830219"/>
    <w:rsid w:val="00846FFF"/>
    <w:rsid w:val="0088501F"/>
    <w:rsid w:val="008A0467"/>
    <w:rsid w:val="008A72E0"/>
    <w:rsid w:val="008E1F26"/>
    <w:rsid w:val="009037D7"/>
    <w:rsid w:val="00912ABA"/>
    <w:rsid w:val="00922F8B"/>
    <w:rsid w:val="00926593"/>
    <w:rsid w:val="00946EFC"/>
    <w:rsid w:val="00955AE9"/>
    <w:rsid w:val="00974030"/>
    <w:rsid w:val="009764E6"/>
    <w:rsid w:val="00992CAA"/>
    <w:rsid w:val="009A7106"/>
    <w:rsid w:val="009B17F9"/>
    <w:rsid w:val="009E28FE"/>
    <w:rsid w:val="009F0F27"/>
    <w:rsid w:val="009F54E8"/>
    <w:rsid w:val="00A02244"/>
    <w:rsid w:val="00A0405B"/>
    <w:rsid w:val="00A308C7"/>
    <w:rsid w:val="00A32811"/>
    <w:rsid w:val="00A4559D"/>
    <w:rsid w:val="00A5508C"/>
    <w:rsid w:val="00A71799"/>
    <w:rsid w:val="00A75D2B"/>
    <w:rsid w:val="00A81872"/>
    <w:rsid w:val="00AA5795"/>
    <w:rsid w:val="00AC3CC9"/>
    <w:rsid w:val="00AD02E3"/>
    <w:rsid w:val="00B013C8"/>
    <w:rsid w:val="00B01B89"/>
    <w:rsid w:val="00B131A6"/>
    <w:rsid w:val="00B25712"/>
    <w:rsid w:val="00B54940"/>
    <w:rsid w:val="00B70A5E"/>
    <w:rsid w:val="00B71B45"/>
    <w:rsid w:val="00BB38AA"/>
    <w:rsid w:val="00BF1016"/>
    <w:rsid w:val="00BF220D"/>
    <w:rsid w:val="00BF5A46"/>
    <w:rsid w:val="00C16925"/>
    <w:rsid w:val="00C3375E"/>
    <w:rsid w:val="00C566CD"/>
    <w:rsid w:val="00C81D28"/>
    <w:rsid w:val="00CB3626"/>
    <w:rsid w:val="00CB6061"/>
    <w:rsid w:val="00CD7243"/>
    <w:rsid w:val="00CE10F4"/>
    <w:rsid w:val="00D23395"/>
    <w:rsid w:val="00D27CC2"/>
    <w:rsid w:val="00D353EE"/>
    <w:rsid w:val="00DA576C"/>
    <w:rsid w:val="00DB0A96"/>
    <w:rsid w:val="00DB15A6"/>
    <w:rsid w:val="00DB7F45"/>
    <w:rsid w:val="00DD3373"/>
    <w:rsid w:val="00DD5477"/>
    <w:rsid w:val="00DD6350"/>
    <w:rsid w:val="00E23BFE"/>
    <w:rsid w:val="00E52A4E"/>
    <w:rsid w:val="00E5503B"/>
    <w:rsid w:val="00E56F45"/>
    <w:rsid w:val="00E77602"/>
    <w:rsid w:val="00E81A48"/>
    <w:rsid w:val="00E949C1"/>
    <w:rsid w:val="00EB0B35"/>
    <w:rsid w:val="00EC7CD8"/>
    <w:rsid w:val="00ED5088"/>
    <w:rsid w:val="00ED5AA1"/>
    <w:rsid w:val="00EE3669"/>
    <w:rsid w:val="00F07394"/>
    <w:rsid w:val="00F11273"/>
    <w:rsid w:val="00F11A8D"/>
    <w:rsid w:val="00F41E4B"/>
    <w:rsid w:val="00F528DF"/>
    <w:rsid w:val="00F53FF6"/>
    <w:rsid w:val="00F57F10"/>
    <w:rsid w:val="00F65B51"/>
    <w:rsid w:val="00F67ADD"/>
    <w:rsid w:val="00F72240"/>
    <w:rsid w:val="00F8104F"/>
    <w:rsid w:val="00F85853"/>
    <w:rsid w:val="00F904CA"/>
    <w:rsid w:val="00FA1CFE"/>
    <w:rsid w:val="00FF031C"/>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DF"/>
    <w:pPr>
      <w:spacing w:after="120"/>
    </w:pPr>
    <w:rPr>
      <w:rFonts w:ascii="Times New Roman" w:hAnsi="Times New Roman"/>
      <w:color w:val="000000"/>
      <w:sz w:val="22"/>
      <w:szCs w:val="22"/>
    </w:rPr>
  </w:style>
  <w:style w:type="paragraph" w:styleId="Heading2">
    <w:name w:val="heading 2"/>
    <w:basedOn w:val="Normal"/>
    <w:next w:val="Normal"/>
    <w:link w:val="Heading2Char"/>
    <w:uiPriority w:val="9"/>
    <w:unhideWhenUsed/>
    <w:qFormat/>
    <w:rsid w:val="0021313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B1"/>
    <w:pPr>
      <w:tabs>
        <w:tab w:val="center" w:pos="4680"/>
        <w:tab w:val="right" w:pos="9360"/>
      </w:tabs>
      <w:spacing w:after="0"/>
    </w:pPr>
  </w:style>
  <w:style w:type="character" w:customStyle="1" w:styleId="HeaderChar">
    <w:name w:val="Header Char"/>
    <w:basedOn w:val="DefaultParagraphFont"/>
    <w:link w:val="Header"/>
    <w:uiPriority w:val="99"/>
    <w:rsid w:val="008144B1"/>
  </w:style>
  <w:style w:type="paragraph" w:styleId="Footer">
    <w:name w:val="footer"/>
    <w:basedOn w:val="Normal"/>
    <w:link w:val="FooterChar"/>
    <w:uiPriority w:val="99"/>
    <w:unhideWhenUsed/>
    <w:rsid w:val="008144B1"/>
    <w:pPr>
      <w:tabs>
        <w:tab w:val="center" w:pos="4680"/>
        <w:tab w:val="right" w:pos="9360"/>
      </w:tabs>
      <w:spacing w:after="0"/>
    </w:pPr>
  </w:style>
  <w:style w:type="character" w:customStyle="1" w:styleId="FooterChar">
    <w:name w:val="Footer Char"/>
    <w:basedOn w:val="DefaultParagraphFont"/>
    <w:link w:val="Footer"/>
    <w:uiPriority w:val="99"/>
    <w:rsid w:val="008144B1"/>
  </w:style>
  <w:style w:type="paragraph" w:styleId="BalloonText">
    <w:name w:val="Balloon Text"/>
    <w:basedOn w:val="Normal"/>
    <w:link w:val="BalloonTextChar"/>
    <w:uiPriority w:val="99"/>
    <w:semiHidden/>
    <w:unhideWhenUsed/>
    <w:rsid w:val="008144B1"/>
    <w:pPr>
      <w:spacing w:after="0"/>
    </w:pPr>
    <w:rPr>
      <w:rFonts w:ascii="Tahoma" w:hAnsi="Tahoma"/>
      <w:color w:val="auto"/>
      <w:sz w:val="16"/>
      <w:szCs w:val="16"/>
      <w:lang w:val="x-none" w:eastAsia="x-none"/>
    </w:rPr>
  </w:style>
  <w:style w:type="character" w:customStyle="1" w:styleId="BalloonTextChar">
    <w:name w:val="Balloon Text Char"/>
    <w:link w:val="BalloonText"/>
    <w:uiPriority w:val="99"/>
    <w:semiHidden/>
    <w:rsid w:val="008144B1"/>
    <w:rPr>
      <w:rFonts w:ascii="Tahoma" w:hAnsi="Tahoma" w:cs="Tahoma"/>
      <w:sz w:val="16"/>
      <w:szCs w:val="16"/>
    </w:rPr>
  </w:style>
  <w:style w:type="paragraph" w:customStyle="1" w:styleId="FooterOdd">
    <w:name w:val="Footer Odd"/>
    <w:basedOn w:val="Normal"/>
    <w:qFormat/>
    <w:rsid w:val="008144B1"/>
    <w:pPr>
      <w:pBdr>
        <w:top w:val="single" w:sz="4" w:space="1" w:color="4F81BD"/>
      </w:pBdr>
      <w:spacing w:after="180" w:line="264" w:lineRule="auto"/>
      <w:jc w:val="right"/>
    </w:pPr>
    <w:rPr>
      <w:color w:val="1F497D"/>
      <w:sz w:val="20"/>
      <w:szCs w:val="20"/>
      <w:lang w:eastAsia="ja-JP"/>
    </w:rPr>
  </w:style>
  <w:style w:type="paragraph" w:customStyle="1" w:styleId="FooterRight">
    <w:name w:val="Footer Right"/>
    <w:basedOn w:val="Footer"/>
    <w:uiPriority w:val="35"/>
    <w:qFormat/>
    <w:rsid w:val="00955AE9"/>
    <w:pPr>
      <w:pBdr>
        <w:top w:val="dashed" w:sz="4" w:space="18" w:color="7F7F7F"/>
      </w:pBdr>
      <w:tabs>
        <w:tab w:val="clear" w:pos="4680"/>
        <w:tab w:val="clear" w:pos="9360"/>
        <w:tab w:val="center" w:pos="4320"/>
        <w:tab w:val="right" w:pos="8640"/>
      </w:tabs>
      <w:spacing w:after="200"/>
      <w:contextualSpacing/>
      <w:jc w:val="right"/>
    </w:pPr>
    <w:rPr>
      <w:color w:val="7F7F7F"/>
      <w:sz w:val="20"/>
      <w:szCs w:val="18"/>
      <w:lang w:eastAsia="ja-JP"/>
    </w:rPr>
  </w:style>
  <w:style w:type="character" w:customStyle="1" w:styleId="Heading2Char">
    <w:name w:val="Heading 2 Char"/>
    <w:link w:val="Heading2"/>
    <w:uiPriority w:val="9"/>
    <w:rsid w:val="0021313D"/>
    <w:rPr>
      <w:rFonts w:ascii="Cambria" w:eastAsia="Times New Roman" w:hAnsi="Cambria" w:cs="Times New Roman"/>
      <w:b/>
      <w:bCs/>
      <w:color w:val="4F81BD"/>
      <w:sz w:val="26"/>
      <w:szCs w:val="26"/>
    </w:rPr>
  </w:style>
  <w:style w:type="table" w:styleId="LightList-Accent1">
    <w:name w:val="Light List Accent 1"/>
    <w:basedOn w:val="TableNormal"/>
    <w:uiPriority w:val="61"/>
    <w:rsid w:val="002131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21313D"/>
    <w:pPr>
      <w:ind w:left="720"/>
      <w:contextualSpacing/>
    </w:pPr>
  </w:style>
  <w:style w:type="paragraph" w:styleId="NoSpacing">
    <w:name w:val="No Spacing"/>
    <w:uiPriority w:val="1"/>
    <w:qFormat/>
    <w:rsid w:val="00F528DF"/>
    <w:rPr>
      <w:rFonts w:ascii="Times New Roman" w:hAnsi="Times New Roman"/>
      <w:color w:val="000000"/>
      <w:sz w:val="22"/>
      <w:szCs w:val="22"/>
    </w:rPr>
  </w:style>
  <w:style w:type="paragraph" w:styleId="FootnoteText">
    <w:name w:val="footnote text"/>
    <w:basedOn w:val="Normal"/>
    <w:link w:val="FootnoteTextChar"/>
    <w:uiPriority w:val="99"/>
    <w:semiHidden/>
    <w:unhideWhenUsed/>
    <w:rsid w:val="0021313D"/>
    <w:pPr>
      <w:spacing w:after="0"/>
    </w:pPr>
    <w:rPr>
      <w:sz w:val="20"/>
      <w:szCs w:val="20"/>
      <w:lang w:val="x-none" w:eastAsia="x-none"/>
    </w:rPr>
  </w:style>
  <w:style w:type="character" w:customStyle="1" w:styleId="FootnoteTextChar">
    <w:name w:val="Footnote Text Char"/>
    <w:link w:val="FootnoteText"/>
    <w:uiPriority w:val="99"/>
    <w:semiHidden/>
    <w:rsid w:val="0021313D"/>
    <w:rPr>
      <w:color w:val="000000"/>
      <w:sz w:val="20"/>
      <w:szCs w:val="20"/>
    </w:rPr>
  </w:style>
  <w:style w:type="character" w:styleId="FootnoteReference">
    <w:name w:val="footnote reference"/>
    <w:uiPriority w:val="99"/>
    <w:semiHidden/>
    <w:unhideWhenUsed/>
    <w:rsid w:val="00F528DF"/>
    <w:rPr>
      <w:rFonts w:ascii="Times New Roman" w:hAnsi="Times New Roman"/>
      <w:sz w:val="20"/>
      <w:vertAlign w:val="superscript"/>
    </w:rPr>
  </w:style>
  <w:style w:type="character" w:styleId="Hyperlink">
    <w:name w:val="Hyperlink"/>
    <w:uiPriority w:val="99"/>
    <w:unhideWhenUsed/>
    <w:rsid w:val="00E56F45"/>
    <w:rPr>
      <w:color w:val="0000FF"/>
      <w:u w:val="single"/>
    </w:rPr>
  </w:style>
  <w:style w:type="character" w:styleId="CommentReference">
    <w:name w:val="annotation reference"/>
    <w:uiPriority w:val="99"/>
    <w:semiHidden/>
    <w:unhideWhenUsed/>
    <w:rsid w:val="00B01B89"/>
    <w:rPr>
      <w:sz w:val="16"/>
      <w:szCs w:val="16"/>
    </w:rPr>
  </w:style>
  <w:style w:type="paragraph" w:styleId="CommentText">
    <w:name w:val="annotation text"/>
    <w:basedOn w:val="Normal"/>
    <w:link w:val="CommentTextChar"/>
    <w:uiPriority w:val="99"/>
    <w:semiHidden/>
    <w:unhideWhenUsed/>
    <w:rsid w:val="00B01B89"/>
    <w:rPr>
      <w:sz w:val="20"/>
      <w:szCs w:val="20"/>
      <w:lang w:val="x-none" w:eastAsia="x-none"/>
    </w:rPr>
  </w:style>
  <w:style w:type="character" w:customStyle="1" w:styleId="CommentTextChar">
    <w:name w:val="Comment Text Char"/>
    <w:link w:val="CommentText"/>
    <w:uiPriority w:val="99"/>
    <w:semiHidden/>
    <w:rsid w:val="00B01B89"/>
    <w:rPr>
      <w:color w:val="000000"/>
      <w:sz w:val="20"/>
      <w:szCs w:val="20"/>
    </w:rPr>
  </w:style>
  <w:style w:type="paragraph" w:styleId="CommentSubject">
    <w:name w:val="annotation subject"/>
    <w:basedOn w:val="CommentText"/>
    <w:next w:val="CommentText"/>
    <w:link w:val="CommentSubjectChar"/>
    <w:uiPriority w:val="99"/>
    <w:semiHidden/>
    <w:unhideWhenUsed/>
    <w:rsid w:val="00B01B89"/>
    <w:rPr>
      <w:b/>
      <w:bCs/>
    </w:rPr>
  </w:style>
  <w:style w:type="character" w:customStyle="1" w:styleId="CommentSubjectChar">
    <w:name w:val="Comment Subject Char"/>
    <w:link w:val="CommentSubject"/>
    <w:uiPriority w:val="99"/>
    <w:semiHidden/>
    <w:rsid w:val="00B01B89"/>
    <w:rPr>
      <w:b/>
      <w:bCs/>
      <w:color w:val="000000"/>
      <w:sz w:val="20"/>
      <w:szCs w:val="20"/>
    </w:rPr>
  </w:style>
  <w:style w:type="paragraph" w:customStyle="1" w:styleId="Default">
    <w:name w:val="Default"/>
    <w:rsid w:val="00922F8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DF"/>
    <w:pPr>
      <w:spacing w:after="120"/>
    </w:pPr>
    <w:rPr>
      <w:rFonts w:ascii="Times New Roman" w:hAnsi="Times New Roman"/>
      <w:color w:val="000000"/>
      <w:sz w:val="22"/>
      <w:szCs w:val="22"/>
    </w:rPr>
  </w:style>
  <w:style w:type="paragraph" w:styleId="Heading2">
    <w:name w:val="heading 2"/>
    <w:basedOn w:val="Normal"/>
    <w:next w:val="Normal"/>
    <w:link w:val="Heading2Char"/>
    <w:uiPriority w:val="9"/>
    <w:unhideWhenUsed/>
    <w:qFormat/>
    <w:rsid w:val="0021313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B1"/>
    <w:pPr>
      <w:tabs>
        <w:tab w:val="center" w:pos="4680"/>
        <w:tab w:val="right" w:pos="9360"/>
      </w:tabs>
      <w:spacing w:after="0"/>
    </w:pPr>
  </w:style>
  <w:style w:type="character" w:customStyle="1" w:styleId="HeaderChar">
    <w:name w:val="Header Char"/>
    <w:basedOn w:val="DefaultParagraphFont"/>
    <w:link w:val="Header"/>
    <w:uiPriority w:val="99"/>
    <w:rsid w:val="008144B1"/>
  </w:style>
  <w:style w:type="paragraph" w:styleId="Footer">
    <w:name w:val="footer"/>
    <w:basedOn w:val="Normal"/>
    <w:link w:val="FooterChar"/>
    <w:uiPriority w:val="99"/>
    <w:unhideWhenUsed/>
    <w:rsid w:val="008144B1"/>
    <w:pPr>
      <w:tabs>
        <w:tab w:val="center" w:pos="4680"/>
        <w:tab w:val="right" w:pos="9360"/>
      </w:tabs>
      <w:spacing w:after="0"/>
    </w:pPr>
  </w:style>
  <w:style w:type="character" w:customStyle="1" w:styleId="FooterChar">
    <w:name w:val="Footer Char"/>
    <w:basedOn w:val="DefaultParagraphFont"/>
    <w:link w:val="Footer"/>
    <w:uiPriority w:val="99"/>
    <w:rsid w:val="008144B1"/>
  </w:style>
  <w:style w:type="paragraph" w:styleId="BalloonText">
    <w:name w:val="Balloon Text"/>
    <w:basedOn w:val="Normal"/>
    <w:link w:val="BalloonTextChar"/>
    <w:uiPriority w:val="99"/>
    <w:semiHidden/>
    <w:unhideWhenUsed/>
    <w:rsid w:val="008144B1"/>
    <w:pPr>
      <w:spacing w:after="0"/>
    </w:pPr>
    <w:rPr>
      <w:rFonts w:ascii="Tahoma" w:hAnsi="Tahoma"/>
      <w:color w:val="auto"/>
      <w:sz w:val="16"/>
      <w:szCs w:val="16"/>
      <w:lang w:val="x-none" w:eastAsia="x-none"/>
    </w:rPr>
  </w:style>
  <w:style w:type="character" w:customStyle="1" w:styleId="BalloonTextChar">
    <w:name w:val="Balloon Text Char"/>
    <w:link w:val="BalloonText"/>
    <w:uiPriority w:val="99"/>
    <w:semiHidden/>
    <w:rsid w:val="008144B1"/>
    <w:rPr>
      <w:rFonts w:ascii="Tahoma" w:hAnsi="Tahoma" w:cs="Tahoma"/>
      <w:sz w:val="16"/>
      <w:szCs w:val="16"/>
    </w:rPr>
  </w:style>
  <w:style w:type="paragraph" w:customStyle="1" w:styleId="FooterOdd">
    <w:name w:val="Footer Odd"/>
    <w:basedOn w:val="Normal"/>
    <w:qFormat/>
    <w:rsid w:val="008144B1"/>
    <w:pPr>
      <w:pBdr>
        <w:top w:val="single" w:sz="4" w:space="1" w:color="4F81BD"/>
      </w:pBdr>
      <w:spacing w:after="180" w:line="264" w:lineRule="auto"/>
      <w:jc w:val="right"/>
    </w:pPr>
    <w:rPr>
      <w:color w:val="1F497D"/>
      <w:sz w:val="20"/>
      <w:szCs w:val="20"/>
      <w:lang w:eastAsia="ja-JP"/>
    </w:rPr>
  </w:style>
  <w:style w:type="paragraph" w:customStyle="1" w:styleId="FooterRight">
    <w:name w:val="Footer Right"/>
    <w:basedOn w:val="Footer"/>
    <w:uiPriority w:val="35"/>
    <w:qFormat/>
    <w:rsid w:val="00955AE9"/>
    <w:pPr>
      <w:pBdr>
        <w:top w:val="dashed" w:sz="4" w:space="18" w:color="7F7F7F"/>
      </w:pBdr>
      <w:tabs>
        <w:tab w:val="clear" w:pos="4680"/>
        <w:tab w:val="clear" w:pos="9360"/>
        <w:tab w:val="center" w:pos="4320"/>
        <w:tab w:val="right" w:pos="8640"/>
      </w:tabs>
      <w:spacing w:after="200"/>
      <w:contextualSpacing/>
      <w:jc w:val="right"/>
    </w:pPr>
    <w:rPr>
      <w:color w:val="7F7F7F"/>
      <w:sz w:val="20"/>
      <w:szCs w:val="18"/>
      <w:lang w:eastAsia="ja-JP"/>
    </w:rPr>
  </w:style>
  <w:style w:type="character" w:customStyle="1" w:styleId="Heading2Char">
    <w:name w:val="Heading 2 Char"/>
    <w:link w:val="Heading2"/>
    <w:uiPriority w:val="9"/>
    <w:rsid w:val="0021313D"/>
    <w:rPr>
      <w:rFonts w:ascii="Cambria" w:eastAsia="Times New Roman" w:hAnsi="Cambria" w:cs="Times New Roman"/>
      <w:b/>
      <w:bCs/>
      <w:color w:val="4F81BD"/>
      <w:sz w:val="26"/>
      <w:szCs w:val="26"/>
    </w:rPr>
  </w:style>
  <w:style w:type="table" w:styleId="LightList-Accent1">
    <w:name w:val="Light List Accent 1"/>
    <w:basedOn w:val="TableNormal"/>
    <w:uiPriority w:val="61"/>
    <w:rsid w:val="002131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21313D"/>
    <w:pPr>
      <w:ind w:left="720"/>
      <w:contextualSpacing/>
    </w:pPr>
  </w:style>
  <w:style w:type="paragraph" w:styleId="NoSpacing">
    <w:name w:val="No Spacing"/>
    <w:uiPriority w:val="1"/>
    <w:qFormat/>
    <w:rsid w:val="00F528DF"/>
    <w:rPr>
      <w:rFonts w:ascii="Times New Roman" w:hAnsi="Times New Roman"/>
      <w:color w:val="000000"/>
      <w:sz w:val="22"/>
      <w:szCs w:val="22"/>
    </w:rPr>
  </w:style>
  <w:style w:type="paragraph" w:styleId="FootnoteText">
    <w:name w:val="footnote text"/>
    <w:basedOn w:val="Normal"/>
    <w:link w:val="FootnoteTextChar"/>
    <w:uiPriority w:val="99"/>
    <w:semiHidden/>
    <w:unhideWhenUsed/>
    <w:rsid w:val="0021313D"/>
    <w:pPr>
      <w:spacing w:after="0"/>
    </w:pPr>
    <w:rPr>
      <w:sz w:val="20"/>
      <w:szCs w:val="20"/>
      <w:lang w:val="x-none" w:eastAsia="x-none"/>
    </w:rPr>
  </w:style>
  <w:style w:type="character" w:customStyle="1" w:styleId="FootnoteTextChar">
    <w:name w:val="Footnote Text Char"/>
    <w:link w:val="FootnoteText"/>
    <w:uiPriority w:val="99"/>
    <w:semiHidden/>
    <w:rsid w:val="0021313D"/>
    <w:rPr>
      <w:color w:val="000000"/>
      <w:sz w:val="20"/>
      <w:szCs w:val="20"/>
    </w:rPr>
  </w:style>
  <w:style w:type="character" w:styleId="FootnoteReference">
    <w:name w:val="footnote reference"/>
    <w:uiPriority w:val="99"/>
    <w:semiHidden/>
    <w:unhideWhenUsed/>
    <w:rsid w:val="00F528DF"/>
    <w:rPr>
      <w:rFonts w:ascii="Times New Roman" w:hAnsi="Times New Roman"/>
      <w:sz w:val="20"/>
      <w:vertAlign w:val="superscript"/>
    </w:rPr>
  </w:style>
  <w:style w:type="character" w:styleId="Hyperlink">
    <w:name w:val="Hyperlink"/>
    <w:uiPriority w:val="99"/>
    <w:unhideWhenUsed/>
    <w:rsid w:val="00E56F45"/>
    <w:rPr>
      <w:color w:val="0000FF"/>
      <w:u w:val="single"/>
    </w:rPr>
  </w:style>
  <w:style w:type="character" w:styleId="CommentReference">
    <w:name w:val="annotation reference"/>
    <w:uiPriority w:val="99"/>
    <w:semiHidden/>
    <w:unhideWhenUsed/>
    <w:rsid w:val="00B01B89"/>
    <w:rPr>
      <w:sz w:val="16"/>
      <w:szCs w:val="16"/>
    </w:rPr>
  </w:style>
  <w:style w:type="paragraph" w:styleId="CommentText">
    <w:name w:val="annotation text"/>
    <w:basedOn w:val="Normal"/>
    <w:link w:val="CommentTextChar"/>
    <w:uiPriority w:val="99"/>
    <w:semiHidden/>
    <w:unhideWhenUsed/>
    <w:rsid w:val="00B01B89"/>
    <w:rPr>
      <w:sz w:val="20"/>
      <w:szCs w:val="20"/>
      <w:lang w:val="x-none" w:eastAsia="x-none"/>
    </w:rPr>
  </w:style>
  <w:style w:type="character" w:customStyle="1" w:styleId="CommentTextChar">
    <w:name w:val="Comment Text Char"/>
    <w:link w:val="CommentText"/>
    <w:uiPriority w:val="99"/>
    <w:semiHidden/>
    <w:rsid w:val="00B01B89"/>
    <w:rPr>
      <w:color w:val="000000"/>
      <w:sz w:val="20"/>
      <w:szCs w:val="20"/>
    </w:rPr>
  </w:style>
  <w:style w:type="paragraph" w:styleId="CommentSubject">
    <w:name w:val="annotation subject"/>
    <w:basedOn w:val="CommentText"/>
    <w:next w:val="CommentText"/>
    <w:link w:val="CommentSubjectChar"/>
    <w:uiPriority w:val="99"/>
    <w:semiHidden/>
    <w:unhideWhenUsed/>
    <w:rsid w:val="00B01B89"/>
    <w:rPr>
      <w:b/>
      <w:bCs/>
    </w:rPr>
  </w:style>
  <w:style w:type="character" w:customStyle="1" w:styleId="CommentSubjectChar">
    <w:name w:val="Comment Subject Char"/>
    <w:link w:val="CommentSubject"/>
    <w:uiPriority w:val="99"/>
    <w:semiHidden/>
    <w:rsid w:val="00B01B89"/>
    <w:rPr>
      <w:b/>
      <w:bCs/>
      <w:color w:val="000000"/>
      <w:sz w:val="20"/>
      <w:szCs w:val="20"/>
    </w:rPr>
  </w:style>
  <w:style w:type="paragraph" w:customStyle="1" w:styleId="Default">
    <w:name w:val="Default"/>
    <w:rsid w:val="00922F8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00">
      <w:bodyDiv w:val="1"/>
      <w:marLeft w:val="0"/>
      <w:marRight w:val="0"/>
      <w:marTop w:val="0"/>
      <w:marBottom w:val="0"/>
      <w:divBdr>
        <w:top w:val="none" w:sz="0" w:space="0" w:color="auto"/>
        <w:left w:val="none" w:sz="0" w:space="0" w:color="auto"/>
        <w:bottom w:val="none" w:sz="0" w:space="0" w:color="auto"/>
        <w:right w:val="none" w:sz="0" w:space="0" w:color="auto"/>
      </w:divBdr>
    </w:div>
    <w:div w:id="12447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Programs-and-Initiatives/Premium-Stabilization-Programs/index.html" TargetMode="External"/><Relationship Id="rId3" Type="http://schemas.openxmlformats.org/officeDocument/2006/relationships/hyperlink" Target="https://www.cms.gov/cciio/resources/regulations-and-guidance/downloads/transition-to-compliant-policies-03-06-2015.pdf" TargetMode="External"/><Relationship Id="rId7" Type="http://schemas.openxmlformats.org/officeDocument/2006/relationships/hyperlink" Target="http://www.cms.gov/cciio/resources/regulations-and-guidance/index.html%23Medical%20Loss%20Ratio" TargetMode="External"/><Relationship Id="rId2" Type="http://schemas.openxmlformats.org/officeDocument/2006/relationships/hyperlink" Target="http://www.cms.gov/CCIIO/Resources/Letters/Downloads/commissioner-letter-11-14-2013.pdf" TargetMode="External"/><Relationship Id="rId1" Type="http://schemas.openxmlformats.org/officeDocument/2006/relationships/hyperlink" Target="http://www.ecfr.gov/cgi-bin/retrieveECFR?gp=1&amp;SID=acfbd058866841eaf71c3d8800255450&amp;ty=HTML&amp;h=L&amp;n=45y1.0.1.2.73&amp;r=PART" TargetMode="External"/><Relationship Id="rId6" Type="http://schemas.openxmlformats.org/officeDocument/2006/relationships/hyperlink" Target="https://www.cms.gov/CCIIO/Resources/Regulations-and-Guidance/Downloads/Advance-CSR-Payment-and-RC-MLR-submission_6192015.pdf" TargetMode="External"/><Relationship Id="rId5" Type="http://schemas.openxmlformats.org/officeDocument/2006/relationships/hyperlink" Target="https://www.cms.gov/CCIIO/Resources/Regulations-and-Guidance/Downloads/MLR-Guidance-Earned-Premium-and-APTC-Rebates-20150527.pdf" TargetMode="External"/><Relationship Id="rId4" Type="http://schemas.openxmlformats.org/officeDocument/2006/relationships/hyperlink" Target="https://www.cms.gov/CCIIO/Resources/Files/Downloads/dwnlds/mlr-qna-04202012.pdf" TargetMode="External"/><Relationship Id="rId9" Type="http://schemas.openxmlformats.org/officeDocument/2006/relationships/hyperlink" Target="https://www.cms.gov/CCIIO/Resources/Regulations-and-Guidance/Downloads/RC_TransitionalAdjGuidance_5CR_0417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4F\Desktop\CCIIO%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37ED-4BEA-497B-BCC9-305B2F9B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CCIIO Word Template.dotx</Template>
  <TotalTime>1311</TotalTime>
  <Pages>21</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31471</CharactersWithSpaces>
  <SharedDoc>false</SharedDoc>
  <HLinks>
    <vt:vector size="18" baseType="variant">
      <vt:variant>
        <vt:i4>2228343</vt:i4>
      </vt:variant>
      <vt:variant>
        <vt:i4>6</vt:i4>
      </vt:variant>
      <vt:variant>
        <vt:i4>0</vt:i4>
      </vt:variant>
      <vt:variant>
        <vt:i4>5</vt:i4>
      </vt:variant>
      <vt:variant>
        <vt:lpwstr>http://www.cms.gov/cciio/resources/regulations-and-guidance/index.html%23Medical Loss Ratio</vt:lpwstr>
      </vt:variant>
      <vt:variant>
        <vt:lpwstr/>
      </vt:variant>
      <vt:variant>
        <vt:i4>6029376</vt:i4>
      </vt:variant>
      <vt:variant>
        <vt:i4>3</vt:i4>
      </vt:variant>
      <vt:variant>
        <vt:i4>0</vt:i4>
      </vt:variant>
      <vt:variant>
        <vt:i4>5</vt:i4>
      </vt:variant>
      <vt:variant>
        <vt:lpwstr>https://www.cms.gov/CCIIO/Resources/</vt:lpwstr>
      </vt:variant>
      <vt:variant>
        <vt:lpwstr/>
      </vt:variant>
      <vt:variant>
        <vt:i4>983122</vt:i4>
      </vt:variant>
      <vt:variant>
        <vt:i4>0</vt:i4>
      </vt:variant>
      <vt:variant>
        <vt:i4>0</vt:i4>
      </vt:variant>
      <vt:variant>
        <vt:i4>5</vt:i4>
      </vt:variant>
      <vt:variant>
        <vt:lpwstr>http://www.ecfr.gov/cgi-bin/retrieveECFR?gp=1&amp;SID=acfbd058866841eaf71c3d8800255450&amp;ty=HTML&amp;h=L&amp;n=45y1.0.1.2.73&amp;r=PART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MCCUNE</dc:creator>
  <cp:keywords/>
  <cp:lastModifiedBy>Rebecca</cp:lastModifiedBy>
  <cp:revision>17</cp:revision>
  <cp:lastPrinted>2014-03-18T19:40:00Z</cp:lastPrinted>
  <dcterms:created xsi:type="dcterms:W3CDTF">2016-02-24T17:25:00Z</dcterms:created>
  <dcterms:modified xsi:type="dcterms:W3CDTF">2016-05-25T13:58:00Z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1479385717</vt:i4>
  </property>
  <property fmtid="{D5CDD505-2E9C-101B-9397-08002B2CF9AE}" pid="4" name="_EmailSubject">
    <vt:lpwstr>MLR Procedures for States</vt:lpwstr>
  </property>
  <property fmtid="{D5CDD505-2E9C-101B-9397-08002B2CF9AE}" pid="5" name="_AuthorEmail">
    <vt:lpwstr>barbra.varnhagen@cms.hhs.gov</vt:lpwstr>
  </property>
  <property fmtid="{D5CDD505-2E9C-101B-9397-08002B2CF9AE}" pid="6" name="_AuthorEmailDisplayName">
    <vt:lpwstr>Varnhagen, Barbra H. (CMS/CCIIO)</vt:lpwstr>
  </property>
  <property fmtid="{D5CDD505-2E9C-101B-9397-08002B2CF9AE}" pid="7" name="_PreviousAdHocReviewCycleID">
    <vt:i4>-877149964</vt:i4>
  </property>
  <property fmtid="{D5CDD505-2E9C-101B-9397-08002B2CF9AE}" pid="8" name="_ReviewingToolsShownOnce">
    <vt:lpwstr/>
  </property>
</Properties>
</file>