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428"/>
        <w:gridCol w:w="4428"/>
      </w:tblGrid>
      <w:tr w:rsidR="002A1394" w14:paraId="54142A7B" w14:textId="77777777" w:rsidTr="004B59CD">
        <w:trPr>
          <w:cantSplit/>
        </w:trPr>
        <w:tc>
          <w:tcPr>
            <w:tcW w:w="4428" w:type="dxa"/>
            <w:hideMark/>
          </w:tcPr>
          <w:p w14:paraId="27AB8166" w14:textId="77777777" w:rsidR="002A1394" w:rsidRDefault="002A1394" w:rsidP="004B59CD">
            <w:pPr>
              <w:pStyle w:val="Header"/>
            </w:pPr>
            <w:r>
              <w:rPr>
                <w:b/>
              </w:rPr>
              <w:t>D. Keith Bell, CPA</w:t>
            </w:r>
          </w:p>
          <w:p w14:paraId="798FE657" w14:textId="77777777" w:rsidR="002A1394" w:rsidRDefault="002A1394" w:rsidP="004B59CD">
            <w:pPr>
              <w:pStyle w:val="Header"/>
            </w:pPr>
            <w:r>
              <w:t>Senior Vice President</w:t>
            </w:r>
          </w:p>
          <w:p w14:paraId="208491F7" w14:textId="77777777" w:rsidR="002A1394" w:rsidRDefault="002A1394" w:rsidP="004B59CD">
            <w:pPr>
              <w:pStyle w:val="Header"/>
            </w:pPr>
            <w:r>
              <w:t>Accounting Policy</w:t>
            </w:r>
          </w:p>
          <w:p w14:paraId="18E07C09" w14:textId="77777777" w:rsidR="002A1394" w:rsidRDefault="002A1394" w:rsidP="004B59CD">
            <w:pPr>
              <w:pStyle w:val="Header"/>
            </w:pPr>
            <w:r>
              <w:t>Corporate Finance</w:t>
            </w:r>
          </w:p>
          <w:p w14:paraId="77032DCC" w14:textId="77777777" w:rsidR="002A1394" w:rsidRDefault="002A1394" w:rsidP="004B59CD">
            <w:pPr>
              <w:pStyle w:val="Header"/>
            </w:pPr>
            <w:r>
              <w:t>The Travelers Companies, Inc.</w:t>
            </w:r>
          </w:p>
          <w:p w14:paraId="5000E4B8" w14:textId="77777777" w:rsidR="002A1394" w:rsidRPr="00AD222F" w:rsidRDefault="002A1394" w:rsidP="004B59CD">
            <w:pPr>
              <w:pStyle w:val="Header"/>
              <w:rPr>
                <w:lang w:val="fr-FR"/>
              </w:rPr>
            </w:pPr>
            <w:r w:rsidRPr="00AD222F">
              <w:rPr>
                <w:lang w:val="fr-FR"/>
              </w:rPr>
              <w:t>860-277-</w:t>
            </w:r>
            <w:proofErr w:type="gramStart"/>
            <w:r w:rsidRPr="00AD222F">
              <w:rPr>
                <w:lang w:val="fr-FR"/>
              </w:rPr>
              <w:t>0537;</w:t>
            </w:r>
            <w:proofErr w:type="gramEnd"/>
            <w:r w:rsidRPr="00AD222F">
              <w:rPr>
                <w:lang w:val="fr-FR"/>
              </w:rPr>
              <w:t xml:space="preserve"> FAX 860-954-3708</w:t>
            </w:r>
          </w:p>
          <w:p w14:paraId="4D533931" w14:textId="77777777" w:rsidR="002A1394" w:rsidRPr="00AD222F" w:rsidRDefault="002A1394" w:rsidP="004B59CD">
            <w:pPr>
              <w:pStyle w:val="Header"/>
              <w:rPr>
                <w:b/>
                <w:lang w:val="fr-FR"/>
              </w:rPr>
            </w:pPr>
            <w:proofErr w:type="gramStart"/>
            <w:r w:rsidRPr="00AD222F">
              <w:rPr>
                <w:lang w:val="fr-FR"/>
              </w:rPr>
              <w:t>Email:</w:t>
            </w:r>
            <w:proofErr w:type="gramEnd"/>
            <w:r w:rsidRPr="00AD222F">
              <w:rPr>
                <w:lang w:val="fr-FR"/>
              </w:rPr>
              <w:t xml:space="preserve">  </w:t>
            </w:r>
            <w:hyperlink r:id="rId11" w:history="1">
              <w:r w:rsidRPr="00AD222F">
                <w:rPr>
                  <w:rStyle w:val="Hyperlink"/>
                  <w:lang w:val="fr-FR"/>
                </w:rPr>
                <w:t>d.keith.bell@travelers.com</w:t>
              </w:r>
            </w:hyperlink>
          </w:p>
        </w:tc>
        <w:tc>
          <w:tcPr>
            <w:tcW w:w="4428" w:type="dxa"/>
          </w:tcPr>
          <w:p w14:paraId="0CC5D82F" w14:textId="77777777" w:rsidR="002A1394" w:rsidRDefault="002A1394" w:rsidP="004B59CD">
            <w:pPr>
              <w:pStyle w:val="Header"/>
            </w:pPr>
            <w:r>
              <w:rPr>
                <w:b/>
              </w:rPr>
              <w:t>Rose Albrizio, CPA</w:t>
            </w:r>
          </w:p>
          <w:p w14:paraId="1D032C36" w14:textId="77777777" w:rsidR="002A1394" w:rsidRDefault="002A1394" w:rsidP="004B59CD">
            <w:pPr>
              <w:pStyle w:val="Header"/>
            </w:pPr>
            <w:r>
              <w:t>Vice President</w:t>
            </w:r>
          </w:p>
          <w:p w14:paraId="1DC3E2BE" w14:textId="77777777" w:rsidR="002A1394" w:rsidRDefault="002A1394" w:rsidP="004B59CD">
            <w:pPr>
              <w:pStyle w:val="Header"/>
            </w:pPr>
            <w:r>
              <w:t>Accounting Practices</w:t>
            </w:r>
          </w:p>
          <w:p w14:paraId="7EDE65AA" w14:textId="77777777" w:rsidR="002A1394" w:rsidRDefault="002A1394" w:rsidP="004B59CD">
            <w:pPr>
              <w:pStyle w:val="Header"/>
            </w:pPr>
            <w:r>
              <w:t>AXA Equitable.</w:t>
            </w:r>
          </w:p>
          <w:p w14:paraId="34EF3860" w14:textId="77777777" w:rsidR="002A1394" w:rsidRDefault="002A1394" w:rsidP="004B59CD">
            <w:pPr>
              <w:pStyle w:val="Header"/>
            </w:pPr>
            <w:r>
              <w:t>201-743-7221</w:t>
            </w:r>
          </w:p>
          <w:p w14:paraId="58527A0A" w14:textId="77777777" w:rsidR="002A1394" w:rsidRDefault="002A1394" w:rsidP="004B59CD">
            <w:pPr>
              <w:pStyle w:val="Header"/>
            </w:pPr>
            <w:r>
              <w:t xml:space="preserve">Email: </w:t>
            </w:r>
            <w:hyperlink r:id="rId12" w:history="1">
              <w:r>
                <w:rPr>
                  <w:rStyle w:val="Hyperlink"/>
                </w:rPr>
                <w:t>rosemarie.albrizio@axa-equitable.com</w:t>
              </w:r>
            </w:hyperlink>
          </w:p>
          <w:p w14:paraId="6F20B031" w14:textId="77777777" w:rsidR="002A1394" w:rsidRDefault="002A1394" w:rsidP="004B59CD">
            <w:pPr>
              <w:pStyle w:val="Header"/>
            </w:pPr>
          </w:p>
        </w:tc>
      </w:tr>
    </w:tbl>
    <w:p w14:paraId="74D15A51" w14:textId="77777777" w:rsidR="00F42E8F" w:rsidRDefault="00F42E8F" w:rsidP="00A3430E">
      <w:pPr>
        <w:rPr>
          <w:rFonts w:asciiTheme="minorHAnsi" w:hAnsiTheme="minorHAnsi" w:cstheme="minorHAnsi"/>
          <w:sz w:val="22"/>
          <w:szCs w:val="22"/>
        </w:rPr>
      </w:pPr>
    </w:p>
    <w:p w14:paraId="3325D829" w14:textId="3C58D6C6" w:rsidR="00A3430E" w:rsidRPr="00AF6F8B" w:rsidRDefault="00AA00F0" w:rsidP="00A3430E">
      <w:r>
        <w:t>June 19</w:t>
      </w:r>
      <w:r w:rsidR="00582C64">
        <w:t>, 2020</w:t>
      </w:r>
      <w:r w:rsidR="00A3430E" w:rsidRPr="00AF6F8B">
        <w:tab/>
      </w:r>
      <w:r w:rsidR="005E0146">
        <w:tab/>
      </w:r>
      <w:r w:rsidR="005E0146">
        <w:tab/>
      </w:r>
      <w:r w:rsidR="005E0146">
        <w:tab/>
      </w:r>
      <w:r w:rsidR="005E0146">
        <w:tab/>
      </w:r>
      <w:r w:rsidR="00930EBC">
        <w:tab/>
      </w:r>
      <w:r w:rsidR="00BE78A6">
        <w:tab/>
      </w:r>
      <w:r w:rsidR="00BE78A6">
        <w:tab/>
      </w:r>
      <w:r w:rsidR="00BE78A6">
        <w:tab/>
      </w:r>
      <w:r w:rsidR="00930EBC">
        <w:tab/>
      </w:r>
      <w:r w:rsidR="00930EBC">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r w:rsidR="00A3430E" w:rsidRPr="00AF6F8B">
        <w:tab/>
      </w:r>
    </w:p>
    <w:p w14:paraId="4DE258E9" w14:textId="320CD652" w:rsidR="00A3430E" w:rsidRPr="00236450" w:rsidRDefault="002C7833" w:rsidP="00236450">
      <w:r>
        <w:t>M</w:t>
      </w:r>
      <w:r w:rsidR="00A3430E" w:rsidRPr="00236450">
        <w:t>r. Dale Bruggeman, Chairman</w:t>
      </w:r>
    </w:p>
    <w:p w14:paraId="7F79CF70" w14:textId="77777777" w:rsidR="00A3430E" w:rsidRPr="00236450" w:rsidRDefault="00A3430E" w:rsidP="00236450">
      <w:r w:rsidRPr="00236450">
        <w:t>Statutory Accounting Principles Working Group</w:t>
      </w:r>
    </w:p>
    <w:p w14:paraId="7F17F1FF" w14:textId="77777777" w:rsidR="00A3430E" w:rsidRPr="00236450" w:rsidRDefault="00A3430E" w:rsidP="00236450">
      <w:r w:rsidRPr="00236450">
        <w:t>National Association of Insurance Commissioners</w:t>
      </w:r>
    </w:p>
    <w:p w14:paraId="54ABBCA5" w14:textId="77777777" w:rsidR="00A3430E" w:rsidRPr="00236450" w:rsidRDefault="00A3430E" w:rsidP="00236450">
      <w:r w:rsidRPr="00236450">
        <w:t>1100 Walnut Street, Suite 1500</w:t>
      </w:r>
      <w:r w:rsidRPr="00236450">
        <w:br/>
        <w:t>Kansas City, MO 64106-2197</w:t>
      </w:r>
    </w:p>
    <w:p w14:paraId="5B70ED44" w14:textId="18926B36" w:rsidR="00A3430E" w:rsidRPr="00236450" w:rsidRDefault="00A3430E" w:rsidP="00236450">
      <w:pPr>
        <w:tabs>
          <w:tab w:val="left" w:pos="2813"/>
        </w:tabs>
      </w:pPr>
    </w:p>
    <w:p w14:paraId="5E655D39" w14:textId="70020FD8" w:rsidR="00A3430E" w:rsidRPr="00AA00F0" w:rsidRDefault="00A3430E" w:rsidP="00236450">
      <w:pPr>
        <w:autoSpaceDE w:val="0"/>
        <w:autoSpaceDN w:val="0"/>
        <w:rPr>
          <w:i/>
          <w:iCs/>
        </w:rPr>
      </w:pPr>
      <w:r w:rsidRPr="00236450">
        <w:t xml:space="preserve">RE:  </w:t>
      </w:r>
      <w:r w:rsidR="00AA00F0">
        <w:t xml:space="preserve">Ref #2019-14, </w:t>
      </w:r>
      <w:r w:rsidR="00AA00F0">
        <w:rPr>
          <w:i/>
          <w:iCs/>
        </w:rPr>
        <w:t>Attribution of Goodwill</w:t>
      </w:r>
    </w:p>
    <w:p w14:paraId="71B63F00" w14:textId="77777777" w:rsidR="00A3430E" w:rsidRPr="00236450" w:rsidRDefault="00A3430E" w:rsidP="00236450">
      <w:pPr>
        <w:ind w:left="720" w:hanging="720"/>
      </w:pPr>
    </w:p>
    <w:p w14:paraId="779BE765" w14:textId="77777777" w:rsidR="00A3430E" w:rsidRPr="00236450" w:rsidRDefault="00A3430E" w:rsidP="00236450">
      <w:pPr>
        <w:ind w:left="720" w:hanging="720"/>
      </w:pPr>
      <w:r w:rsidRPr="00236450">
        <w:t>Dear Mr. Bruggeman:</w:t>
      </w:r>
    </w:p>
    <w:p w14:paraId="33090C65" w14:textId="77777777" w:rsidR="00A3430E" w:rsidRPr="00236450" w:rsidRDefault="00A3430E" w:rsidP="00236450">
      <w:pPr>
        <w:widowControl/>
        <w:tabs>
          <w:tab w:val="left" w:pos="3233"/>
        </w:tabs>
        <w:rPr>
          <w:rFonts w:eastAsia="Calibri"/>
          <w:color w:val="auto"/>
          <w:lang w:bidi="ar-SA"/>
        </w:rPr>
      </w:pPr>
    </w:p>
    <w:p w14:paraId="00367E3F" w14:textId="77777777" w:rsidR="00AA00F0" w:rsidRPr="00AA00F0" w:rsidRDefault="00AA00F0" w:rsidP="00AA00F0">
      <w:pPr>
        <w:widowControl/>
        <w:rPr>
          <w:rFonts w:eastAsiaTheme="minorHAnsi"/>
          <w:color w:val="auto"/>
          <w:lang w:bidi="ar-SA"/>
        </w:rPr>
      </w:pPr>
      <w:r w:rsidRPr="00AA00F0">
        <w:rPr>
          <w:rFonts w:eastAsiaTheme="minorHAnsi"/>
          <w:color w:val="auto"/>
          <w:lang w:bidi="ar-SA"/>
        </w:rPr>
        <w:t xml:space="preserve">Thank you for the opportunity to comment and provide suggested edits to Ref 2019-14, </w:t>
      </w:r>
      <w:r w:rsidRPr="00AA00F0">
        <w:rPr>
          <w:rFonts w:eastAsiaTheme="minorHAnsi"/>
          <w:i/>
          <w:iCs/>
          <w:color w:val="auto"/>
          <w:lang w:bidi="ar-SA"/>
        </w:rPr>
        <w:t>Attribution of Goodwill</w:t>
      </w:r>
      <w:r w:rsidRPr="00AA00F0">
        <w:rPr>
          <w:rFonts w:eastAsiaTheme="minorHAnsi"/>
          <w:color w:val="auto"/>
          <w:lang w:bidi="ar-SA"/>
        </w:rPr>
        <w:t>.  In discussing the guidance with both NAIC staff and with members of industry, we believe the proposed guidance would be made clearer by incorporating the attached decision tree and expanded examples.  We also believe that the disclosure contained in paragraph 42 of SSAP No. 97 should be amended for the reasons discussed below.</w:t>
      </w:r>
    </w:p>
    <w:p w14:paraId="4595DCBA" w14:textId="77777777" w:rsidR="00AA00F0" w:rsidRPr="00AA00F0" w:rsidRDefault="00AA00F0" w:rsidP="00AA00F0">
      <w:pPr>
        <w:widowControl/>
        <w:rPr>
          <w:rFonts w:eastAsiaTheme="minorHAnsi"/>
          <w:color w:val="auto"/>
          <w:lang w:bidi="ar-SA"/>
        </w:rPr>
      </w:pPr>
    </w:p>
    <w:p w14:paraId="21419AFF" w14:textId="77777777" w:rsidR="00AA00F0" w:rsidRPr="00AA00F0" w:rsidRDefault="00AA00F0" w:rsidP="00AA00F0">
      <w:pPr>
        <w:widowControl/>
        <w:rPr>
          <w:rFonts w:eastAsiaTheme="minorHAnsi"/>
          <w:color w:val="auto"/>
          <w:lang w:bidi="ar-SA"/>
        </w:rPr>
      </w:pPr>
      <w:r w:rsidRPr="00AA00F0">
        <w:rPr>
          <w:rFonts w:eastAsiaTheme="minorHAnsi"/>
          <w:color w:val="auto"/>
          <w:lang w:bidi="ar-SA"/>
        </w:rPr>
        <w:t xml:space="preserve">The guidance in SSAP No. 68, </w:t>
      </w:r>
      <w:r w:rsidRPr="00AA00F0">
        <w:rPr>
          <w:rFonts w:eastAsiaTheme="minorHAnsi"/>
          <w:i/>
          <w:color w:val="auto"/>
          <w:lang w:bidi="ar-SA"/>
        </w:rPr>
        <w:t>Business Combinations and Goodwill</w:t>
      </w:r>
      <w:r w:rsidRPr="00AA00F0">
        <w:rPr>
          <w:rFonts w:eastAsiaTheme="minorHAnsi"/>
          <w:color w:val="auto"/>
          <w:lang w:bidi="ar-SA"/>
        </w:rPr>
        <w:t xml:space="preserve"> (SSAP No. 68) and SSAP No. 97, </w:t>
      </w:r>
      <w:r w:rsidRPr="00AA00F0">
        <w:rPr>
          <w:rFonts w:eastAsiaTheme="minorHAnsi"/>
          <w:i/>
          <w:color w:val="auto"/>
          <w:lang w:bidi="ar-SA"/>
        </w:rPr>
        <w:t>Investments in Subsidiary, Controlled and Affiliated Entities</w:t>
      </w:r>
      <w:r w:rsidRPr="00AA00F0">
        <w:rPr>
          <w:rFonts w:eastAsiaTheme="minorHAnsi"/>
          <w:color w:val="auto"/>
          <w:lang w:bidi="ar-SA"/>
        </w:rPr>
        <w:t xml:space="preserve"> (SSAP No. 97), provides that statutory goodwill is an asset held by a parent insurance entity, which is distinguished as a separate component of the carrying value of the investment, regardless of look-through accounting. The statutory goodwill would be audited within the initial acquisition transaction and within the annual audit of the investments in subsidiaries balance of the insurance entity. Further, the investment (including related statutory goodwill) would be subject to impairment testing under SSAP No. 68 upon triggering events, including paragraph 9f, when there is “a current expectation, that more likely than not, a long-lived asset will be sold or otherwise disposed.” Importantly, if a look-through approach is not employed, a GAAP audit of a non-insurance holding company or any of its subsidiaries would not provide any assurance over the statutory goodwill that is associated with the investment. </w:t>
      </w:r>
    </w:p>
    <w:p w14:paraId="6CE3FF2D" w14:textId="77777777" w:rsidR="00AA00F0" w:rsidRPr="00AA00F0" w:rsidRDefault="00AA00F0" w:rsidP="00AA00F0">
      <w:pPr>
        <w:widowControl/>
        <w:rPr>
          <w:rFonts w:eastAsiaTheme="minorHAnsi"/>
          <w:color w:val="auto"/>
          <w:lang w:bidi="ar-SA"/>
        </w:rPr>
      </w:pPr>
    </w:p>
    <w:p w14:paraId="01C159B0" w14:textId="51A5B313" w:rsidR="00AA00F0" w:rsidRPr="00AA00F0" w:rsidRDefault="00AA00F0" w:rsidP="00AA00F0">
      <w:pPr>
        <w:widowControl/>
        <w:rPr>
          <w:rFonts w:eastAsiaTheme="minorHAnsi"/>
          <w:color w:val="auto"/>
          <w:lang w:bidi="ar-SA"/>
        </w:rPr>
      </w:pPr>
      <w:r w:rsidRPr="00AA00F0">
        <w:rPr>
          <w:rFonts w:eastAsiaTheme="minorHAnsi"/>
          <w:color w:val="auto"/>
          <w:lang w:bidi="ar-SA"/>
        </w:rPr>
        <w:t xml:space="preserve">Likewise, if a look-through of a non-insurance holding company is performed, and goodwill was required to be “allocated” to the underlying subsidiaries of the non-insurance holding company, the audits of such underlying entities would not provide any assurance as to the value of the associated goodwill. This is because the attributed goodwill would not be in the assets, liabilities, or </w:t>
      </w:r>
      <w:r w:rsidR="00E01EB6">
        <w:rPr>
          <w:rFonts w:eastAsiaTheme="minorHAnsi"/>
          <w:color w:val="auto"/>
          <w:lang w:bidi="ar-SA"/>
        </w:rPr>
        <w:t>equity</w:t>
      </w:r>
      <w:r w:rsidR="00E01EB6" w:rsidRPr="00AA00F0">
        <w:rPr>
          <w:rFonts w:eastAsiaTheme="minorHAnsi"/>
          <w:color w:val="auto"/>
          <w:lang w:bidi="ar-SA"/>
        </w:rPr>
        <w:t xml:space="preserve"> </w:t>
      </w:r>
      <w:r w:rsidRPr="00AA00F0">
        <w:rPr>
          <w:rFonts w:eastAsiaTheme="minorHAnsi"/>
          <w:color w:val="auto"/>
          <w:lang w:bidi="ar-SA"/>
        </w:rPr>
        <w:t xml:space="preserve">of the audited balance sheet of the underlying subsidiaries. As a result, interested </w:t>
      </w:r>
      <w:proofErr w:type="gramStart"/>
      <w:r w:rsidRPr="00AA00F0">
        <w:rPr>
          <w:rFonts w:eastAsiaTheme="minorHAnsi"/>
          <w:color w:val="auto"/>
          <w:lang w:bidi="ar-SA"/>
        </w:rPr>
        <w:t>parties</w:t>
      </w:r>
      <w:proofErr w:type="gramEnd"/>
      <w:r w:rsidRPr="00AA00F0">
        <w:rPr>
          <w:rFonts w:eastAsiaTheme="minorHAnsi"/>
          <w:color w:val="auto"/>
          <w:lang w:bidi="ar-SA"/>
        </w:rPr>
        <w:t xml:space="preserve"> question whether the exposure will have its intended effect of providing additional </w:t>
      </w:r>
      <w:r w:rsidRPr="00AA00F0">
        <w:rPr>
          <w:rFonts w:eastAsiaTheme="minorHAnsi"/>
          <w:color w:val="auto"/>
          <w:lang w:bidi="ar-SA"/>
        </w:rPr>
        <w:lastRenderedPageBreak/>
        <w:t xml:space="preserve">assurance on the value of goodwill admitted by insurers. </w:t>
      </w:r>
      <w:r w:rsidR="003A1B64">
        <w:rPr>
          <w:rFonts w:eastAsiaTheme="minorHAnsi"/>
          <w:color w:val="auto"/>
          <w:lang w:bidi="ar-SA"/>
        </w:rPr>
        <w:t xml:space="preserve"> </w:t>
      </w:r>
      <w:r w:rsidR="00E01EB6">
        <w:t xml:space="preserve">Therefore, interested parties believe that all of the statutory goodwill </w:t>
      </w:r>
      <w:r w:rsidR="003A1B64">
        <w:t>resulting from</w:t>
      </w:r>
      <w:r w:rsidR="00E01EB6">
        <w:t xml:space="preserve"> the acquisition of a noninsurance holding company </w:t>
      </w:r>
      <w:r w:rsidR="00D66D5A">
        <w:t xml:space="preserve">should </w:t>
      </w:r>
      <w:r w:rsidR="00E01EB6">
        <w:t>be admitted, subject to the 10% limitation of SSAP No. 68.</w:t>
      </w:r>
    </w:p>
    <w:p w14:paraId="719A5D9F" w14:textId="77777777" w:rsidR="00AA00F0" w:rsidRPr="00AA00F0" w:rsidRDefault="00AA00F0" w:rsidP="00AA00F0">
      <w:pPr>
        <w:widowControl/>
        <w:rPr>
          <w:rFonts w:eastAsiaTheme="minorHAnsi"/>
          <w:color w:val="auto"/>
          <w:lang w:bidi="ar-SA"/>
        </w:rPr>
      </w:pPr>
    </w:p>
    <w:p w14:paraId="4A068ECE" w14:textId="77777777" w:rsidR="00AA00F0" w:rsidRPr="00AA00F0" w:rsidRDefault="00AA00F0" w:rsidP="00AA00F0">
      <w:pPr>
        <w:widowControl/>
        <w:rPr>
          <w:rFonts w:eastAsiaTheme="minorHAnsi"/>
          <w:color w:val="auto"/>
          <w:lang w:bidi="ar-SA"/>
        </w:rPr>
      </w:pPr>
      <w:r w:rsidRPr="00AA00F0">
        <w:rPr>
          <w:rFonts w:eastAsiaTheme="minorHAnsi"/>
          <w:color w:val="auto"/>
          <w:lang w:bidi="ar-SA"/>
        </w:rPr>
        <w:t>Notwithstanding our comments above, interested parties believe that the proposed disclosure requirements in paragraph 42 of SSAP No. 97 are not meaningful if there is no statutory goodwill associated with an insurance company’s acquisition of a noninsurance holding company, or if the statutory goodwill has been fully amortized.  To address this, we propose the following changes to paragraph 42:</w:t>
      </w:r>
    </w:p>
    <w:p w14:paraId="78A150EB" w14:textId="77777777" w:rsidR="00AA00F0" w:rsidRPr="00AA00F0" w:rsidRDefault="00AA00F0" w:rsidP="00AA00F0">
      <w:pPr>
        <w:widowControl/>
        <w:rPr>
          <w:rFonts w:eastAsiaTheme="minorHAnsi"/>
          <w:color w:val="auto"/>
          <w:lang w:bidi="ar-SA"/>
        </w:rPr>
      </w:pPr>
    </w:p>
    <w:p w14:paraId="5FAA50A3" w14:textId="77777777" w:rsidR="00AA00F0" w:rsidRPr="00AA00F0" w:rsidRDefault="00AA00F0" w:rsidP="00AA00F0">
      <w:pPr>
        <w:widowControl/>
        <w:ind w:left="360"/>
        <w:rPr>
          <w:rFonts w:eastAsiaTheme="minorHAnsi"/>
          <w:color w:val="auto"/>
          <w:lang w:bidi="ar-SA"/>
        </w:rPr>
      </w:pPr>
      <w:r w:rsidRPr="00AA00F0">
        <w:rPr>
          <w:rFonts w:eastAsiaTheme="minorHAnsi"/>
          <w:color w:val="auto"/>
          <w:lang w:bidi="ar-SA"/>
        </w:rPr>
        <w:t>42. If a reporting entity utilizes the look-through approach for the valuation of the downstream noninsurance holding company instead of obtaining audited financial statements of the downstream noninsurance holding company, the financial statements of the reporting entity shall include the following disclosures:</w:t>
      </w:r>
    </w:p>
    <w:p w14:paraId="23E4746E" w14:textId="77777777" w:rsidR="00AA00F0" w:rsidRPr="00AA00F0" w:rsidRDefault="00AA00F0" w:rsidP="00AA00F0">
      <w:pPr>
        <w:widowControl/>
        <w:ind w:left="360"/>
        <w:rPr>
          <w:rFonts w:eastAsiaTheme="minorHAnsi"/>
          <w:color w:val="auto"/>
          <w:lang w:bidi="ar-SA"/>
        </w:rPr>
      </w:pPr>
    </w:p>
    <w:p w14:paraId="0E535311" w14:textId="2BCD1688" w:rsidR="00AA00F0" w:rsidRPr="00AA00F0" w:rsidRDefault="00AA00F0" w:rsidP="00AA00F0">
      <w:pPr>
        <w:widowControl/>
        <w:numPr>
          <w:ilvl w:val="0"/>
          <w:numId w:val="12"/>
        </w:numPr>
        <w:spacing w:after="160" w:line="259" w:lineRule="auto"/>
        <w:contextualSpacing/>
        <w:rPr>
          <w:rFonts w:eastAsiaTheme="minorHAnsi"/>
          <w:color w:val="auto"/>
          <w:lang w:bidi="ar-SA"/>
        </w:rPr>
      </w:pPr>
      <w:r w:rsidRPr="00AA00F0">
        <w:rPr>
          <w:rFonts w:eastAsiaTheme="minorHAnsi"/>
          <w:color w:val="auto"/>
          <w:lang w:bidi="ar-SA"/>
        </w:rPr>
        <w:t>The name of the downstream noninsurance holding company</w:t>
      </w:r>
    </w:p>
    <w:p w14:paraId="2DA66202" w14:textId="77777777" w:rsidR="00AA00F0" w:rsidRPr="00AA00F0" w:rsidRDefault="00AA00F0" w:rsidP="00AA00F0">
      <w:pPr>
        <w:widowControl/>
        <w:rPr>
          <w:rFonts w:eastAsiaTheme="minorHAnsi"/>
          <w:color w:val="auto"/>
          <w:lang w:bidi="ar-SA"/>
        </w:rPr>
      </w:pPr>
    </w:p>
    <w:p w14:paraId="630AAE5B" w14:textId="77777777" w:rsidR="00AA00F0" w:rsidRPr="00AA00F0" w:rsidRDefault="00AA00F0" w:rsidP="00AA00F0">
      <w:pPr>
        <w:widowControl/>
        <w:numPr>
          <w:ilvl w:val="0"/>
          <w:numId w:val="12"/>
        </w:numPr>
        <w:spacing w:after="160" w:line="259" w:lineRule="auto"/>
        <w:contextualSpacing/>
        <w:rPr>
          <w:rFonts w:eastAsiaTheme="minorHAnsi"/>
          <w:color w:val="auto"/>
          <w:u w:val="single"/>
          <w:lang w:bidi="ar-SA"/>
        </w:rPr>
      </w:pPr>
      <w:r w:rsidRPr="00AA00F0">
        <w:rPr>
          <w:rFonts w:eastAsiaTheme="minorHAnsi"/>
          <w:color w:val="auto"/>
          <w:u w:val="single"/>
          <w:lang w:bidi="ar-SA"/>
        </w:rPr>
        <w:t>If statutory goodwill was recorded as part of the acquisition of a noninsurance holding company, the following disclosures shall be provided for each noninsurance holding company in which the look-through approach is utilized (this disclosure shall only be provided as long as unamortized statutory goodwill is included as part of the value of the investment in the noninsurance holding company):</w:t>
      </w:r>
    </w:p>
    <w:p w14:paraId="2BCFCBC6" w14:textId="77777777" w:rsidR="00AA00F0" w:rsidRPr="00AA00F0" w:rsidRDefault="00AA00F0" w:rsidP="00AA00F0">
      <w:pPr>
        <w:widowControl/>
        <w:ind w:left="720"/>
        <w:rPr>
          <w:rFonts w:eastAsiaTheme="minorHAnsi"/>
          <w:color w:val="auto"/>
          <w:u w:val="single"/>
          <w:lang w:bidi="ar-SA"/>
        </w:rPr>
      </w:pPr>
    </w:p>
    <w:p w14:paraId="5DC9484A" w14:textId="5CD3B70B" w:rsidR="00AA00F0" w:rsidRPr="00AA00F0" w:rsidRDefault="00AA00F0" w:rsidP="00AA00F0">
      <w:pPr>
        <w:widowControl/>
        <w:numPr>
          <w:ilvl w:val="1"/>
          <w:numId w:val="12"/>
        </w:numPr>
        <w:spacing w:after="160" w:line="259" w:lineRule="auto"/>
        <w:contextualSpacing/>
        <w:rPr>
          <w:rFonts w:eastAsiaTheme="minorHAnsi"/>
          <w:color w:val="auto"/>
          <w:u w:val="single"/>
          <w:lang w:bidi="ar-SA"/>
        </w:rPr>
      </w:pPr>
      <w:r w:rsidRPr="00AA00F0">
        <w:rPr>
          <w:rFonts w:eastAsiaTheme="minorHAnsi"/>
          <w:color w:val="auto"/>
          <w:u w:val="single"/>
          <w:lang w:bidi="ar-SA"/>
        </w:rPr>
        <w:t>Information that details whether the reporting entity has looked-through more-than-one holding compan</w:t>
      </w:r>
      <w:r w:rsidR="00E01EB6">
        <w:rPr>
          <w:rFonts w:eastAsiaTheme="minorHAnsi"/>
          <w:color w:val="auto"/>
          <w:u w:val="single"/>
          <w:lang w:bidi="ar-SA"/>
        </w:rPr>
        <w:t>y</w:t>
      </w:r>
      <w:r w:rsidRPr="00AA00F0">
        <w:rPr>
          <w:rFonts w:eastAsiaTheme="minorHAnsi"/>
          <w:color w:val="auto"/>
          <w:u w:val="single"/>
          <w:lang w:bidi="ar-SA"/>
        </w:rPr>
        <w:t>, along with details on the carrying value, goodwill and admitted value of the holding company</w:t>
      </w:r>
    </w:p>
    <w:p w14:paraId="0DE7252A" w14:textId="77777777" w:rsidR="00AA00F0" w:rsidRPr="00AA00F0" w:rsidRDefault="00AA00F0" w:rsidP="00AA00F0">
      <w:pPr>
        <w:widowControl/>
        <w:ind w:left="1440"/>
        <w:rPr>
          <w:rFonts w:eastAsiaTheme="minorHAnsi"/>
          <w:color w:val="auto"/>
          <w:u w:val="single"/>
          <w:lang w:bidi="ar-SA"/>
        </w:rPr>
      </w:pPr>
    </w:p>
    <w:p w14:paraId="77896D68" w14:textId="77777777" w:rsidR="00AA00F0" w:rsidRPr="00AA00F0" w:rsidRDefault="00AA00F0" w:rsidP="00AA00F0">
      <w:pPr>
        <w:widowControl/>
        <w:numPr>
          <w:ilvl w:val="1"/>
          <w:numId w:val="12"/>
        </w:numPr>
        <w:spacing w:after="160" w:line="259" w:lineRule="auto"/>
        <w:contextualSpacing/>
        <w:rPr>
          <w:rFonts w:eastAsiaTheme="minorHAnsi"/>
          <w:color w:val="auto"/>
          <w:u w:val="single"/>
          <w:lang w:bidi="ar-SA"/>
        </w:rPr>
      </w:pPr>
      <w:r w:rsidRPr="00AA00F0">
        <w:rPr>
          <w:rFonts w:eastAsiaTheme="minorHAnsi"/>
          <w:color w:val="auto"/>
          <w:u w:val="single"/>
          <w:lang w:bidi="ar-SA"/>
        </w:rPr>
        <w:t>Information on the entities held by the noninsurance holding company that includes their carrying value, assignment of goodwill (and how this assignment was determined), whether audited financial statements were obtained, and the ultimate admitted value</w:t>
      </w:r>
    </w:p>
    <w:p w14:paraId="6E3734FA" w14:textId="77777777" w:rsidR="00AA00F0" w:rsidRPr="00AA00F0" w:rsidRDefault="00AA00F0" w:rsidP="00AA00F0">
      <w:pPr>
        <w:widowControl/>
        <w:ind w:left="1440"/>
        <w:rPr>
          <w:rFonts w:eastAsiaTheme="minorHAnsi"/>
          <w:color w:val="auto"/>
          <w:lang w:bidi="ar-SA"/>
        </w:rPr>
      </w:pPr>
    </w:p>
    <w:p w14:paraId="56F840F2" w14:textId="77777777" w:rsidR="00AA00F0" w:rsidRPr="00AA00F0" w:rsidRDefault="00AA00F0" w:rsidP="00AA00F0">
      <w:pPr>
        <w:widowControl/>
        <w:numPr>
          <w:ilvl w:val="0"/>
          <w:numId w:val="12"/>
        </w:numPr>
        <w:spacing w:after="160" w:line="259" w:lineRule="auto"/>
        <w:contextualSpacing/>
        <w:rPr>
          <w:rFonts w:eastAsiaTheme="minorHAnsi"/>
          <w:color w:val="auto"/>
          <w:lang w:bidi="ar-SA"/>
        </w:rPr>
      </w:pPr>
      <w:r w:rsidRPr="00AA00F0">
        <w:rPr>
          <w:rFonts w:eastAsiaTheme="minorHAnsi"/>
          <w:color w:val="auto"/>
          <w:lang w:bidi="ar-SA"/>
        </w:rPr>
        <w:t>The carrying value of the investment in the downstream noninsurance holding company</w:t>
      </w:r>
    </w:p>
    <w:p w14:paraId="641FB813" w14:textId="77777777" w:rsidR="009F2ED7" w:rsidRPr="00720FB7" w:rsidRDefault="009F2ED7" w:rsidP="009F2ED7">
      <w:pPr>
        <w:widowControl/>
        <w:contextualSpacing/>
        <w:rPr>
          <w:color w:val="auto"/>
          <w:lang w:bidi="ar-SA"/>
        </w:rPr>
      </w:pPr>
      <w:bookmarkStart w:id="0" w:name="_Hlk36101050"/>
      <w:bookmarkStart w:id="1" w:name="_Hlk35943694"/>
      <w:bookmarkEnd w:id="0"/>
      <w:bookmarkEnd w:id="1"/>
    </w:p>
    <w:p w14:paraId="75369A93" w14:textId="67C36142" w:rsidR="002A1394" w:rsidRPr="00720FB7" w:rsidRDefault="002A1394" w:rsidP="00303923">
      <w:pPr>
        <w:widowControl/>
        <w:spacing w:line="259" w:lineRule="auto"/>
        <w:jc w:val="center"/>
        <w:rPr>
          <w:rFonts w:eastAsiaTheme="minorHAnsi"/>
          <w:color w:val="auto"/>
          <w:lang w:bidi="ar-SA"/>
        </w:rPr>
      </w:pPr>
      <w:r w:rsidRPr="00720FB7">
        <w:rPr>
          <w:rFonts w:eastAsiaTheme="minorHAnsi"/>
          <w:color w:val="auto"/>
          <w:lang w:bidi="ar-SA"/>
        </w:rPr>
        <w:t>*</w:t>
      </w:r>
      <w:r w:rsidRPr="00720FB7">
        <w:rPr>
          <w:rFonts w:eastAsiaTheme="minorHAnsi"/>
          <w:color w:val="auto"/>
          <w:lang w:bidi="ar-SA"/>
        </w:rPr>
        <w:tab/>
        <w:t>*</w:t>
      </w:r>
      <w:r w:rsidRPr="00720FB7">
        <w:rPr>
          <w:rFonts w:eastAsiaTheme="minorHAnsi"/>
          <w:color w:val="auto"/>
          <w:lang w:bidi="ar-SA"/>
        </w:rPr>
        <w:tab/>
        <w:t>*</w:t>
      </w:r>
    </w:p>
    <w:p w14:paraId="52C4169D" w14:textId="77777777" w:rsidR="002A1394" w:rsidRPr="00720FB7" w:rsidRDefault="002A1394" w:rsidP="00303923">
      <w:pPr>
        <w:widowControl/>
        <w:spacing w:line="259" w:lineRule="auto"/>
        <w:rPr>
          <w:rFonts w:eastAsiaTheme="minorHAnsi"/>
          <w:color w:val="auto"/>
          <w:lang w:bidi="ar-SA"/>
        </w:rPr>
      </w:pPr>
    </w:p>
    <w:p w14:paraId="4AD4FFAC" w14:textId="77777777" w:rsidR="002A1394" w:rsidRPr="00720FB7" w:rsidRDefault="002A1394" w:rsidP="00303923">
      <w:pPr>
        <w:pStyle w:val="NoSpacing"/>
        <w:rPr>
          <w:rFonts w:ascii="Times New Roman" w:hAnsi="Times New Roman" w:cs="Times New Roman"/>
          <w:sz w:val="24"/>
          <w:szCs w:val="24"/>
        </w:rPr>
      </w:pPr>
      <w:r w:rsidRPr="00720FB7">
        <w:rPr>
          <w:rFonts w:ascii="Times New Roman" w:hAnsi="Times New Roman" w:cs="Times New Roman"/>
          <w:sz w:val="24"/>
          <w:szCs w:val="24"/>
        </w:rPr>
        <w:t>Thank you for considering interested parties’ comments.  If you have any questions in the interim, please do not hesitate to contact us.</w:t>
      </w:r>
    </w:p>
    <w:p w14:paraId="68615681" w14:textId="325801B6" w:rsidR="002A1394" w:rsidRDefault="002A1394" w:rsidP="00303923">
      <w:pPr>
        <w:pStyle w:val="NoSpacing"/>
        <w:rPr>
          <w:rFonts w:ascii="Times New Roman" w:hAnsi="Times New Roman" w:cs="Times New Roman"/>
          <w:sz w:val="24"/>
          <w:szCs w:val="24"/>
        </w:rPr>
      </w:pPr>
    </w:p>
    <w:p w14:paraId="0CE8EEFE" w14:textId="77777777" w:rsidR="00B436BE" w:rsidRDefault="00B436BE" w:rsidP="00687F48">
      <w:pPr>
        <w:pStyle w:val="NoSpacing"/>
        <w:rPr>
          <w:rFonts w:ascii="Times New Roman" w:hAnsi="Times New Roman" w:cs="Times New Roman"/>
          <w:sz w:val="24"/>
          <w:szCs w:val="24"/>
        </w:rPr>
      </w:pPr>
    </w:p>
    <w:p w14:paraId="32FA0E5B" w14:textId="77777777" w:rsidR="00B436BE" w:rsidRDefault="00B436BE" w:rsidP="00687F48">
      <w:pPr>
        <w:pStyle w:val="NoSpacing"/>
        <w:rPr>
          <w:rFonts w:ascii="Times New Roman" w:hAnsi="Times New Roman" w:cs="Times New Roman"/>
          <w:sz w:val="24"/>
          <w:szCs w:val="24"/>
        </w:rPr>
      </w:pPr>
    </w:p>
    <w:p w14:paraId="738B99A2" w14:textId="77777777" w:rsidR="00B436BE" w:rsidRDefault="00B436BE" w:rsidP="00687F48">
      <w:pPr>
        <w:pStyle w:val="NoSpacing"/>
        <w:rPr>
          <w:rFonts w:ascii="Times New Roman" w:hAnsi="Times New Roman" w:cs="Times New Roman"/>
          <w:sz w:val="24"/>
          <w:szCs w:val="24"/>
        </w:rPr>
      </w:pPr>
    </w:p>
    <w:p w14:paraId="794077B7" w14:textId="3E057CA5" w:rsidR="002A1394" w:rsidRPr="00B33C29" w:rsidRDefault="002A1394" w:rsidP="00687F48">
      <w:pPr>
        <w:pStyle w:val="NoSpacing"/>
        <w:rPr>
          <w:rFonts w:ascii="Times New Roman" w:hAnsi="Times New Roman" w:cs="Times New Roman"/>
          <w:sz w:val="24"/>
          <w:szCs w:val="24"/>
        </w:rPr>
      </w:pPr>
      <w:r w:rsidRPr="00B33C29">
        <w:rPr>
          <w:rFonts w:ascii="Times New Roman" w:hAnsi="Times New Roman" w:cs="Times New Roman"/>
          <w:sz w:val="24"/>
          <w:szCs w:val="24"/>
        </w:rPr>
        <w:lastRenderedPageBreak/>
        <w:t>Sincerely,</w:t>
      </w:r>
    </w:p>
    <w:p w14:paraId="393D940D" w14:textId="77777777" w:rsidR="002A1394" w:rsidRPr="00B33C29" w:rsidRDefault="002A1394" w:rsidP="00687F48">
      <w:pPr>
        <w:pStyle w:val="NoSpacing"/>
        <w:rPr>
          <w:rFonts w:ascii="Times New Roman" w:hAnsi="Times New Roman" w:cs="Times New Roman"/>
          <w:sz w:val="24"/>
          <w:szCs w:val="24"/>
        </w:rPr>
      </w:pPr>
    </w:p>
    <w:p w14:paraId="1A31832C" w14:textId="631B108C" w:rsidR="002A1394" w:rsidRDefault="002A1394" w:rsidP="00687F48">
      <w:pPr>
        <w:pStyle w:val="NoSpacing"/>
        <w:rPr>
          <w:rFonts w:ascii="Times New Roman" w:hAnsi="Times New Roman" w:cs="Times New Roman"/>
          <w:sz w:val="24"/>
          <w:szCs w:val="24"/>
        </w:rPr>
      </w:pPr>
      <w:bookmarkStart w:id="2" w:name="_GoBack"/>
      <w:bookmarkEnd w:id="2"/>
      <w:r w:rsidRPr="00B33C29">
        <w:rPr>
          <w:rFonts w:ascii="Times New Roman" w:hAnsi="Times New Roman" w:cs="Times New Roman"/>
          <w:sz w:val="24"/>
          <w:szCs w:val="24"/>
        </w:rPr>
        <w:t>D. Keith Bell</w:t>
      </w:r>
      <w:r w:rsidRPr="00B33C29">
        <w:rPr>
          <w:rFonts w:ascii="Times New Roman" w:hAnsi="Times New Roman" w:cs="Times New Roman"/>
          <w:sz w:val="24"/>
          <w:szCs w:val="24"/>
        </w:rPr>
        <w:tab/>
      </w:r>
      <w:r w:rsidRPr="00B33C29">
        <w:rPr>
          <w:rFonts w:ascii="Times New Roman" w:hAnsi="Times New Roman" w:cs="Times New Roman"/>
          <w:sz w:val="24"/>
          <w:szCs w:val="24"/>
        </w:rPr>
        <w:tab/>
      </w:r>
      <w:r w:rsidRPr="00B33C29">
        <w:rPr>
          <w:rFonts w:ascii="Times New Roman" w:hAnsi="Times New Roman" w:cs="Times New Roman"/>
          <w:sz w:val="24"/>
          <w:szCs w:val="24"/>
        </w:rPr>
        <w:tab/>
      </w:r>
      <w:r w:rsidRPr="00B33C29">
        <w:rPr>
          <w:rFonts w:ascii="Times New Roman" w:hAnsi="Times New Roman" w:cs="Times New Roman"/>
          <w:sz w:val="24"/>
          <w:szCs w:val="24"/>
        </w:rPr>
        <w:tab/>
      </w:r>
      <w:r w:rsidRPr="00B33C29">
        <w:rPr>
          <w:rFonts w:ascii="Times New Roman" w:hAnsi="Times New Roman" w:cs="Times New Roman"/>
          <w:sz w:val="24"/>
          <w:szCs w:val="24"/>
        </w:rPr>
        <w:tab/>
        <w:t>Rose Albrizio</w:t>
      </w:r>
    </w:p>
    <w:p w14:paraId="2056C884" w14:textId="3C573AE2" w:rsidR="00AA00F0" w:rsidRDefault="00AA00F0" w:rsidP="00687F48">
      <w:pPr>
        <w:pStyle w:val="NoSpacing"/>
        <w:rPr>
          <w:rFonts w:ascii="Times New Roman" w:hAnsi="Times New Roman" w:cs="Times New Roman"/>
          <w:sz w:val="24"/>
          <w:szCs w:val="24"/>
        </w:rPr>
      </w:pPr>
    </w:p>
    <w:p w14:paraId="797ABC27" w14:textId="5764FD97" w:rsidR="00AA00F0" w:rsidRPr="00B33C29" w:rsidRDefault="00AA00F0" w:rsidP="00687F48">
      <w:pPr>
        <w:pStyle w:val="NoSpacing"/>
        <w:rPr>
          <w:rFonts w:ascii="Times New Roman" w:hAnsi="Times New Roman" w:cs="Times New Roman"/>
          <w:sz w:val="24"/>
          <w:szCs w:val="24"/>
        </w:rPr>
      </w:pPr>
      <w:r>
        <w:rPr>
          <w:rFonts w:ascii="Times New Roman" w:hAnsi="Times New Roman" w:cs="Times New Roman"/>
          <w:sz w:val="24"/>
          <w:szCs w:val="24"/>
        </w:rPr>
        <w:t>cc: Interested Parties</w:t>
      </w:r>
    </w:p>
    <w:p w14:paraId="0608D315" w14:textId="77777777" w:rsidR="002A1394" w:rsidRPr="00B33C29" w:rsidRDefault="002A1394" w:rsidP="00687F48">
      <w:pPr>
        <w:widowControl/>
        <w:spacing w:after="160" w:line="259" w:lineRule="auto"/>
        <w:rPr>
          <w:rFonts w:eastAsiaTheme="minorHAnsi"/>
          <w:color w:val="auto"/>
          <w:lang w:bidi="ar-SA"/>
        </w:rPr>
      </w:pPr>
    </w:p>
    <w:sectPr w:rsidR="002A1394" w:rsidRPr="00B33C29" w:rsidSect="00F42E8F">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ECAA" w14:textId="77777777" w:rsidR="00B25026" w:rsidRDefault="00B25026" w:rsidP="00B9442D">
      <w:r>
        <w:separator/>
      </w:r>
    </w:p>
  </w:endnote>
  <w:endnote w:type="continuationSeparator" w:id="0">
    <w:p w14:paraId="38B3AFAB" w14:textId="77777777" w:rsidR="00B25026" w:rsidRDefault="00B25026" w:rsidP="00B9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D70E" w14:textId="43B277F8" w:rsidR="00F23376" w:rsidRDefault="00F23376">
    <w:pPr>
      <w:pStyle w:val="Footer"/>
      <w:jc w:val="center"/>
    </w:pPr>
    <w:r>
      <w:rPr>
        <w:noProof/>
        <w:lang w:bidi="ar-SA"/>
      </w:rPr>
      <mc:AlternateContent>
        <mc:Choice Requires="wps">
          <w:drawing>
            <wp:anchor distT="0" distB="0" distL="114300" distR="114300" simplePos="0" relativeHeight="251659264" behindDoc="0" locked="0" layoutInCell="0" allowOverlap="1" wp14:anchorId="6EE452AC" wp14:editId="5875920A">
              <wp:simplePos x="0" y="0"/>
              <wp:positionH relativeFrom="page">
                <wp:posOffset>0</wp:posOffset>
              </wp:positionH>
              <wp:positionV relativeFrom="page">
                <wp:posOffset>9601200</wp:posOffset>
              </wp:positionV>
              <wp:extent cx="7772400" cy="266700"/>
              <wp:effectExtent l="0" t="0" r="0" b="0"/>
              <wp:wrapNone/>
              <wp:docPr id="1" name="MSIPCM1b464af5ab2e6d05c24922be" descr="{&quot;HashCode&quot;:-2157280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553D1" w14:textId="30B149F3" w:rsidR="00F23376" w:rsidRPr="00283DD0" w:rsidRDefault="00F23376" w:rsidP="000D3349">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EE452AC" id="_x0000_t202" coordsize="21600,21600" o:spt="202" path="m,l,21600r21600,l21600,xe">
              <v:stroke joinstyle="miter"/>
              <v:path gradientshapeok="t" o:connecttype="rect"/>
            </v:shapetype>
            <v:shape id="MSIPCM1b464af5ab2e6d05c24922be" o:spid="_x0000_s1026" type="#_x0000_t202" alt="{&quot;HashCode&quot;:-21572800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" o:allowincell="f" filled="f" stroked="f" strokeweight=".5pt">
              <v:textbox inset=",0,20pt,0">
                <w:txbxContent>
                  <w:p w14:paraId="0A0553D1" w14:textId="30B149F3" w:rsidR="00F23376" w:rsidRPr="00283DD0" w:rsidRDefault="00F23376" w:rsidP="000D3349">
                    <w:pPr>
                      <w:jc w:val="right"/>
                      <w:rPr>
                        <w:rFonts w:ascii="Calibri" w:hAnsi="Calibri" w:cs="Calibri"/>
                        <w:color w:val="0078D7"/>
                        <w:sz w:val="20"/>
                      </w:rPr>
                    </w:pPr>
                  </w:p>
                </w:txbxContent>
              </v:textbox>
              <w10:wrap anchorx="page" anchory="page"/>
            </v:shape>
          </w:pict>
        </mc:Fallback>
      </mc:AlternateContent>
    </w:r>
  </w:p>
  <w:p w14:paraId="52F0A220" w14:textId="77777777" w:rsidR="00F23376" w:rsidRDefault="00F23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C8C1" w14:textId="0011152F" w:rsidR="00F23376" w:rsidRDefault="00F23376">
    <w:pPr>
      <w:pStyle w:val="Footer"/>
    </w:pPr>
    <w:r>
      <w:rPr>
        <w:noProof/>
        <w:lang w:bidi="ar-SA"/>
      </w:rPr>
      <mc:AlternateContent>
        <mc:Choice Requires="wps">
          <w:drawing>
            <wp:anchor distT="0" distB="0" distL="114300" distR="114300" simplePos="0" relativeHeight="251660288" behindDoc="0" locked="0" layoutInCell="0" allowOverlap="1" wp14:anchorId="2A664B52" wp14:editId="62CAAC13">
              <wp:simplePos x="0" y="0"/>
              <wp:positionH relativeFrom="page">
                <wp:posOffset>0</wp:posOffset>
              </wp:positionH>
              <wp:positionV relativeFrom="page">
                <wp:posOffset>9601200</wp:posOffset>
              </wp:positionV>
              <wp:extent cx="7772400" cy="266700"/>
              <wp:effectExtent l="0" t="0" r="0" b="0"/>
              <wp:wrapNone/>
              <wp:docPr id="2" name="MSIPCMe5344e82b425c5472947cac5" descr="{&quot;HashCode&quot;:-21572800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8D313" w14:textId="41BAA92C" w:rsidR="00F23376" w:rsidRPr="000D3349" w:rsidRDefault="00F23376" w:rsidP="000D3349">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A664B52" id="_x0000_t202" coordsize="21600,21600" o:spt="202" path="m,l,21600r21600,l21600,xe">
              <v:stroke joinstyle="miter"/>
              <v:path gradientshapeok="t" o:connecttype="rect"/>
            </v:shapetype>
            <v:shape id="MSIPCMe5344e82b425c5472947cac5" o:spid="_x0000_s1027" type="#_x0000_t202" alt="{&quot;HashCode&quot;:-215728007,&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" o:allowincell="f" filled="f" stroked="f" strokeweight=".5pt">
              <v:textbox inset=",0,20pt,0">
                <w:txbxContent>
                  <w:p w14:paraId="0998D313" w14:textId="41BAA92C" w:rsidR="00F23376" w:rsidRPr="000D3349" w:rsidRDefault="00F23376" w:rsidP="000D3349">
                    <w:pPr>
                      <w:jc w:val="right"/>
                      <w:rPr>
                        <w:rFonts w:ascii="Calibri" w:hAnsi="Calibri" w:cs="Calibri"/>
                        <w:color w:val="0078D7"/>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A9D4" w14:textId="77777777" w:rsidR="00B25026" w:rsidRDefault="00B25026" w:rsidP="00B9442D">
      <w:r>
        <w:separator/>
      </w:r>
    </w:p>
  </w:footnote>
  <w:footnote w:type="continuationSeparator" w:id="0">
    <w:p w14:paraId="1A8C324E" w14:textId="77777777" w:rsidR="00B25026" w:rsidRDefault="00B25026" w:rsidP="00B9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656A" w14:textId="77777777" w:rsidR="00F23376" w:rsidRPr="00F42E8F" w:rsidRDefault="00F23376" w:rsidP="00F42E8F">
    <w:pPr>
      <w:tabs>
        <w:tab w:val="center" w:pos="4680"/>
        <w:tab w:val="right" w:pos="9360"/>
      </w:tabs>
    </w:pPr>
    <w:r w:rsidRPr="00F42E8F">
      <w:t>Statutory Accounting Principles Working Group</w:t>
    </w:r>
  </w:p>
  <w:p w14:paraId="3BEF70CB" w14:textId="5861614C" w:rsidR="00F23376" w:rsidRPr="00F42E8F" w:rsidRDefault="00AA00F0" w:rsidP="00F42E8F">
    <w:pPr>
      <w:tabs>
        <w:tab w:val="center" w:pos="4680"/>
        <w:tab w:val="right" w:pos="9360"/>
      </w:tabs>
    </w:pPr>
    <w:r>
      <w:t>June 19</w:t>
    </w:r>
    <w:r w:rsidR="00F23376">
      <w:t>, 2020</w:t>
    </w:r>
  </w:p>
  <w:p w14:paraId="6BC6FB0D" w14:textId="331C56A2" w:rsidR="00F23376" w:rsidRPr="00F42E8F" w:rsidRDefault="00F23376" w:rsidP="00F42E8F">
    <w:pPr>
      <w:tabs>
        <w:tab w:val="center" w:pos="4680"/>
        <w:tab w:val="right" w:pos="9360"/>
      </w:tabs>
    </w:pPr>
    <w:r w:rsidRPr="00F42E8F">
      <w:t xml:space="preserve">Page </w:t>
    </w:r>
    <w:r w:rsidRPr="00F42E8F">
      <w:fldChar w:fldCharType="begin"/>
    </w:r>
    <w:r w:rsidRPr="00F42E8F">
      <w:instrText xml:space="preserve"> PAGE   \* MERGEFORMAT </w:instrText>
    </w:r>
    <w:r w:rsidRPr="00F42E8F">
      <w:fldChar w:fldCharType="separate"/>
    </w:r>
    <w:r w:rsidR="00E95348">
      <w:rPr>
        <w:noProof/>
      </w:rPr>
      <w:t>6</w:t>
    </w:r>
    <w:r w:rsidRPr="00F42E8F">
      <w:rPr>
        <w:noProof/>
      </w:rPr>
      <w:fldChar w:fldCharType="end"/>
    </w:r>
  </w:p>
  <w:p w14:paraId="5674F2E1" w14:textId="77777777" w:rsidR="00F23376" w:rsidRDefault="00F23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ADE27D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378004E"/>
    <w:lvl w:ilvl="0">
      <w:start w:val="1"/>
      <w:numFmt w:val="decimal"/>
      <w:pStyle w:val="ListNumber"/>
      <w:lvlText w:val="%1."/>
      <w:lvlJc w:val="left"/>
      <w:pPr>
        <w:tabs>
          <w:tab w:val="num" w:pos="360"/>
        </w:tabs>
        <w:ind w:left="360" w:hanging="360"/>
      </w:pPr>
    </w:lvl>
  </w:abstractNum>
  <w:abstractNum w:abstractNumId="2" w15:restartNumberingAfterBreak="0">
    <w:nsid w:val="03A9098F"/>
    <w:multiLevelType w:val="hybridMultilevel"/>
    <w:tmpl w:val="AF10A012"/>
    <w:lvl w:ilvl="0" w:tplc="A2A4E54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8414B2"/>
    <w:multiLevelType w:val="multilevel"/>
    <w:tmpl w:val="4C689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9727912"/>
    <w:multiLevelType w:val="hybridMultilevel"/>
    <w:tmpl w:val="E998193E"/>
    <w:lvl w:ilvl="0" w:tplc="14AE9A0E">
      <w:start w:val="4"/>
      <w:numFmt w:val="lowerLetter"/>
      <w:lvlText w:val="%1."/>
      <w:lvlJc w:val="left"/>
      <w:pPr>
        <w:ind w:left="1440" w:hanging="360"/>
      </w:pPr>
      <w:rPr>
        <w:rFonts w:hint="default"/>
        <w:sz w:val="20"/>
        <w:szCs w:val="2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2F6C1D"/>
    <w:multiLevelType w:val="hybridMultilevel"/>
    <w:tmpl w:val="DA126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1709C4"/>
    <w:multiLevelType w:val="multilevel"/>
    <w:tmpl w:val="56D005A8"/>
    <w:lvl w:ilvl="0">
      <w:start w:val="3"/>
      <w:numFmt w:val="decimal"/>
      <w:pStyle w:val="Default"/>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570B7BB7"/>
    <w:multiLevelType w:val="hybridMultilevel"/>
    <w:tmpl w:val="B93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10496"/>
    <w:multiLevelType w:val="hybridMultilevel"/>
    <w:tmpl w:val="500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lvlOverride w:ilvl="0">
      <w:startOverride w:val="1"/>
    </w:lvlOverride>
  </w:num>
  <w:num w:numId="4">
    <w:abstractNumId w:val="7"/>
  </w:num>
  <w:num w:numId="5">
    <w:abstractNumId w:val="2"/>
  </w:num>
  <w:num w:numId="6">
    <w:abstractNumId w:val="1"/>
  </w:num>
  <w:num w:numId="7">
    <w:abstractNumId w:val="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00D25"/>
    <w:rsid w:val="00007857"/>
    <w:rsid w:val="00013B28"/>
    <w:rsid w:val="000175AB"/>
    <w:rsid w:val="00025BBC"/>
    <w:rsid w:val="00026BC7"/>
    <w:rsid w:val="000323D6"/>
    <w:rsid w:val="00032931"/>
    <w:rsid w:val="00033F0A"/>
    <w:rsid w:val="00035CCA"/>
    <w:rsid w:val="00035E94"/>
    <w:rsid w:val="00040958"/>
    <w:rsid w:val="00044D63"/>
    <w:rsid w:val="0004652D"/>
    <w:rsid w:val="00047F67"/>
    <w:rsid w:val="00063571"/>
    <w:rsid w:val="00075977"/>
    <w:rsid w:val="00083B56"/>
    <w:rsid w:val="000951D0"/>
    <w:rsid w:val="000A35DB"/>
    <w:rsid w:val="000A5065"/>
    <w:rsid w:val="000A5312"/>
    <w:rsid w:val="000A64EA"/>
    <w:rsid w:val="000A6EBA"/>
    <w:rsid w:val="000A7E5B"/>
    <w:rsid w:val="000B2F45"/>
    <w:rsid w:val="000B7C5D"/>
    <w:rsid w:val="000C732B"/>
    <w:rsid w:val="000C7B42"/>
    <w:rsid w:val="000D3349"/>
    <w:rsid w:val="000F2169"/>
    <w:rsid w:val="000F2ED2"/>
    <w:rsid w:val="000F5F04"/>
    <w:rsid w:val="000F683D"/>
    <w:rsid w:val="00103993"/>
    <w:rsid w:val="00105B4B"/>
    <w:rsid w:val="001174EF"/>
    <w:rsid w:val="0012312B"/>
    <w:rsid w:val="00123209"/>
    <w:rsid w:val="00132349"/>
    <w:rsid w:val="00136E2C"/>
    <w:rsid w:val="00145770"/>
    <w:rsid w:val="00147B06"/>
    <w:rsid w:val="00150357"/>
    <w:rsid w:val="0017178A"/>
    <w:rsid w:val="00173603"/>
    <w:rsid w:val="001948C7"/>
    <w:rsid w:val="00197A5A"/>
    <w:rsid w:val="001A51F4"/>
    <w:rsid w:val="001B2842"/>
    <w:rsid w:val="001C2353"/>
    <w:rsid w:val="001C3FCD"/>
    <w:rsid w:val="001C5824"/>
    <w:rsid w:val="001E1CC9"/>
    <w:rsid w:val="001E561C"/>
    <w:rsid w:val="001E586F"/>
    <w:rsid w:val="001F10BF"/>
    <w:rsid w:val="001F7087"/>
    <w:rsid w:val="001F7C60"/>
    <w:rsid w:val="00200D2C"/>
    <w:rsid w:val="0020277B"/>
    <w:rsid w:val="00217591"/>
    <w:rsid w:val="002219BE"/>
    <w:rsid w:val="00222032"/>
    <w:rsid w:val="0022566C"/>
    <w:rsid w:val="00226B33"/>
    <w:rsid w:val="00236450"/>
    <w:rsid w:val="0024007E"/>
    <w:rsid w:val="002412D9"/>
    <w:rsid w:val="002418A1"/>
    <w:rsid w:val="002424A4"/>
    <w:rsid w:val="00244503"/>
    <w:rsid w:val="002512A8"/>
    <w:rsid w:val="00252020"/>
    <w:rsid w:val="00257A47"/>
    <w:rsid w:val="00264AF8"/>
    <w:rsid w:val="00274D90"/>
    <w:rsid w:val="00276843"/>
    <w:rsid w:val="00283DD0"/>
    <w:rsid w:val="00283F13"/>
    <w:rsid w:val="00292C5E"/>
    <w:rsid w:val="002A1353"/>
    <w:rsid w:val="002A1394"/>
    <w:rsid w:val="002A2A4F"/>
    <w:rsid w:val="002A5448"/>
    <w:rsid w:val="002A6501"/>
    <w:rsid w:val="002B11B5"/>
    <w:rsid w:val="002B2FC4"/>
    <w:rsid w:val="002B6FD5"/>
    <w:rsid w:val="002C28ED"/>
    <w:rsid w:val="002C3E2C"/>
    <w:rsid w:val="002C524D"/>
    <w:rsid w:val="002C607C"/>
    <w:rsid w:val="002C7833"/>
    <w:rsid w:val="002D11FF"/>
    <w:rsid w:val="002D1670"/>
    <w:rsid w:val="002F1472"/>
    <w:rsid w:val="002F33D2"/>
    <w:rsid w:val="002F5FCE"/>
    <w:rsid w:val="00303923"/>
    <w:rsid w:val="003101FA"/>
    <w:rsid w:val="00312967"/>
    <w:rsid w:val="003151CF"/>
    <w:rsid w:val="00316F86"/>
    <w:rsid w:val="00324452"/>
    <w:rsid w:val="00324B5D"/>
    <w:rsid w:val="00341278"/>
    <w:rsid w:val="00341D3E"/>
    <w:rsid w:val="00342F50"/>
    <w:rsid w:val="003504C8"/>
    <w:rsid w:val="003521C5"/>
    <w:rsid w:val="00357E43"/>
    <w:rsid w:val="0036135C"/>
    <w:rsid w:val="0036258E"/>
    <w:rsid w:val="00362E42"/>
    <w:rsid w:val="00365954"/>
    <w:rsid w:val="003705EA"/>
    <w:rsid w:val="003717CA"/>
    <w:rsid w:val="00372274"/>
    <w:rsid w:val="00373908"/>
    <w:rsid w:val="00374E20"/>
    <w:rsid w:val="003752B1"/>
    <w:rsid w:val="00377CC1"/>
    <w:rsid w:val="00386263"/>
    <w:rsid w:val="00392219"/>
    <w:rsid w:val="0039519A"/>
    <w:rsid w:val="00396C95"/>
    <w:rsid w:val="003A17F8"/>
    <w:rsid w:val="003A1B64"/>
    <w:rsid w:val="003A7DF3"/>
    <w:rsid w:val="003B0B7F"/>
    <w:rsid w:val="003B4123"/>
    <w:rsid w:val="003B49A2"/>
    <w:rsid w:val="003B611D"/>
    <w:rsid w:val="003B7768"/>
    <w:rsid w:val="003C223F"/>
    <w:rsid w:val="003C3913"/>
    <w:rsid w:val="003C3A58"/>
    <w:rsid w:val="003C44C8"/>
    <w:rsid w:val="003F12A2"/>
    <w:rsid w:val="004027F9"/>
    <w:rsid w:val="00404180"/>
    <w:rsid w:val="00412DE1"/>
    <w:rsid w:val="00416A39"/>
    <w:rsid w:val="0042098B"/>
    <w:rsid w:val="00423C03"/>
    <w:rsid w:val="00424496"/>
    <w:rsid w:val="00437985"/>
    <w:rsid w:val="00442E4D"/>
    <w:rsid w:val="00444B51"/>
    <w:rsid w:val="00446755"/>
    <w:rsid w:val="00453763"/>
    <w:rsid w:val="00455211"/>
    <w:rsid w:val="004623D2"/>
    <w:rsid w:val="00470EE4"/>
    <w:rsid w:val="004729D7"/>
    <w:rsid w:val="00474487"/>
    <w:rsid w:val="0047589A"/>
    <w:rsid w:val="00476C5F"/>
    <w:rsid w:val="004777A6"/>
    <w:rsid w:val="00491C8A"/>
    <w:rsid w:val="00494C52"/>
    <w:rsid w:val="004A23D5"/>
    <w:rsid w:val="004A4C5F"/>
    <w:rsid w:val="004A6DEE"/>
    <w:rsid w:val="004B0004"/>
    <w:rsid w:val="004B35AF"/>
    <w:rsid w:val="004B3A05"/>
    <w:rsid w:val="004B59CD"/>
    <w:rsid w:val="004B775E"/>
    <w:rsid w:val="004C7F92"/>
    <w:rsid w:val="004D0424"/>
    <w:rsid w:val="004D5C58"/>
    <w:rsid w:val="004D74D3"/>
    <w:rsid w:val="004E1B81"/>
    <w:rsid w:val="004E282B"/>
    <w:rsid w:val="004E29FF"/>
    <w:rsid w:val="004E42C6"/>
    <w:rsid w:val="004F2913"/>
    <w:rsid w:val="004F2AFA"/>
    <w:rsid w:val="004F558A"/>
    <w:rsid w:val="0050003C"/>
    <w:rsid w:val="00500D25"/>
    <w:rsid w:val="00501D93"/>
    <w:rsid w:val="00504D23"/>
    <w:rsid w:val="0051115B"/>
    <w:rsid w:val="00511474"/>
    <w:rsid w:val="00511BCF"/>
    <w:rsid w:val="00512FDB"/>
    <w:rsid w:val="0051497D"/>
    <w:rsid w:val="0051676D"/>
    <w:rsid w:val="00517D50"/>
    <w:rsid w:val="00521370"/>
    <w:rsid w:val="00524388"/>
    <w:rsid w:val="00527A95"/>
    <w:rsid w:val="0053433B"/>
    <w:rsid w:val="00534DC0"/>
    <w:rsid w:val="0054000F"/>
    <w:rsid w:val="00542778"/>
    <w:rsid w:val="0055058A"/>
    <w:rsid w:val="00555653"/>
    <w:rsid w:val="00561FD5"/>
    <w:rsid w:val="0056574E"/>
    <w:rsid w:val="00573F74"/>
    <w:rsid w:val="00581324"/>
    <w:rsid w:val="00582C64"/>
    <w:rsid w:val="005833E1"/>
    <w:rsid w:val="00584A32"/>
    <w:rsid w:val="00586B74"/>
    <w:rsid w:val="0059101B"/>
    <w:rsid w:val="005B0CE1"/>
    <w:rsid w:val="005B603F"/>
    <w:rsid w:val="005B7F95"/>
    <w:rsid w:val="005C12FA"/>
    <w:rsid w:val="005C1C7D"/>
    <w:rsid w:val="005C5D65"/>
    <w:rsid w:val="005D0CC6"/>
    <w:rsid w:val="005D1D9B"/>
    <w:rsid w:val="005D3004"/>
    <w:rsid w:val="005D37B8"/>
    <w:rsid w:val="005D76DE"/>
    <w:rsid w:val="005E0146"/>
    <w:rsid w:val="005E74EB"/>
    <w:rsid w:val="005F370F"/>
    <w:rsid w:val="005F6DB5"/>
    <w:rsid w:val="0060407C"/>
    <w:rsid w:val="0060626C"/>
    <w:rsid w:val="00620B9C"/>
    <w:rsid w:val="00622877"/>
    <w:rsid w:val="00624CFC"/>
    <w:rsid w:val="006266F9"/>
    <w:rsid w:val="0063623B"/>
    <w:rsid w:val="006465F2"/>
    <w:rsid w:val="00646744"/>
    <w:rsid w:val="0065381E"/>
    <w:rsid w:val="00673B55"/>
    <w:rsid w:val="006806E2"/>
    <w:rsid w:val="00682D32"/>
    <w:rsid w:val="0068711B"/>
    <w:rsid w:val="00687F48"/>
    <w:rsid w:val="006900F5"/>
    <w:rsid w:val="00694DEA"/>
    <w:rsid w:val="006A3E56"/>
    <w:rsid w:val="006B24CB"/>
    <w:rsid w:val="006B4A1C"/>
    <w:rsid w:val="006B6FE9"/>
    <w:rsid w:val="006C278B"/>
    <w:rsid w:val="006C3431"/>
    <w:rsid w:val="006C61BF"/>
    <w:rsid w:val="006C71A6"/>
    <w:rsid w:val="006C71B2"/>
    <w:rsid w:val="006E6601"/>
    <w:rsid w:val="006F10B0"/>
    <w:rsid w:val="006F3AEB"/>
    <w:rsid w:val="00713ABD"/>
    <w:rsid w:val="00717D30"/>
    <w:rsid w:val="00720D71"/>
    <w:rsid w:val="00720FB7"/>
    <w:rsid w:val="00722753"/>
    <w:rsid w:val="00722A90"/>
    <w:rsid w:val="00723432"/>
    <w:rsid w:val="00726D13"/>
    <w:rsid w:val="00734461"/>
    <w:rsid w:val="00740B08"/>
    <w:rsid w:val="0074479C"/>
    <w:rsid w:val="0074795B"/>
    <w:rsid w:val="0075284D"/>
    <w:rsid w:val="0076013A"/>
    <w:rsid w:val="0076188B"/>
    <w:rsid w:val="007633A5"/>
    <w:rsid w:val="00771B73"/>
    <w:rsid w:val="00774F68"/>
    <w:rsid w:val="00776A63"/>
    <w:rsid w:val="00785227"/>
    <w:rsid w:val="0078526A"/>
    <w:rsid w:val="007A3AA0"/>
    <w:rsid w:val="007A6895"/>
    <w:rsid w:val="007B0A6D"/>
    <w:rsid w:val="007B5E71"/>
    <w:rsid w:val="007D5EE4"/>
    <w:rsid w:val="007E254E"/>
    <w:rsid w:val="007E48E0"/>
    <w:rsid w:val="007F0762"/>
    <w:rsid w:val="007F23A6"/>
    <w:rsid w:val="007F53A2"/>
    <w:rsid w:val="00805219"/>
    <w:rsid w:val="0080697C"/>
    <w:rsid w:val="00810B6D"/>
    <w:rsid w:val="00811A79"/>
    <w:rsid w:val="008156E2"/>
    <w:rsid w:val="0082160A"/>
    <w:rsid w:val="0082274F"/>
    <w:rsid w:val="00831299"/>
    <w:rsid w:val="00835053"/>
    <w:rsid w:val="00845992"/>
    <w:rsid w:val="00857316"/>
    <w:rsid w:val="00863607"/>
    <w:rsid w:val="00872B7E"/>
    <w:rsid w:val="0087300B"/>
    <w:rsid w:val="00873C71"/>
    <w:rsid w:val="00880E68"/>
    <w:rsid w:val="00881BFD"/>
    <w:rsid w:val="00885C34"/>
    <w:rsid w:val="008875EC"/>
    <w:rsid w:val="00894A9D"/>
    <w:rsid w:val="00894BE7"/>
    <w:rsid w:val="008A50ED"/>
    <w:rsid w:val="008B23BD"/>
    <w:rsid w:val="008B40BD"/>
    <w:rsid w:val="008C0506"/>
    <w:rsid w:val="008C3FFD"/>
    <w:rsid w:val="008C424C"/>
    <w:rsid w:val="008D1A0C"/>
    <w:rsid w:val="008D2ECE"/>
    <w:rsid w:val="008F7BBC"/>
    <w:rsid w:val="008F7DBD"/>
    <w:rsid w:val="0090752A"/>
    <w:rsid w:val="00912774"/>
    <w:rsid w:val="00912EFA"/>
    <w:rsid w:val="009137A6"/>
    <w:rsid w:val="0092136D"/>
    <w:rsid w:val="00926585"/>
    <w:rsid w:val="009274CF"/>
    <w:rsid w:val="009277FB"/>
    <w:rsid w:val="00930B47"/>
    <w:rsid w:val="00930B8B"/>
    <w:rsid w:val="00930EBC"/>
    <w:rsid w:val="00940F2F"/>
    <w:rsid w:val="00942AC9"/>
    <w:rsid w:val="009471EF"/>
    <w:rsid w:val="009514AF"/>
    <w:rsid w:val="009579FD"/>
    <w:rsid w:val="00963BFC"/>
    <w:rsid w:val="00965291"/>
    <w:rsid w:val="009670AC"/>
    <w:rsid w:val="00967C2C"/>
    <w:rsid w:val="00972BDC"/>
    <w:rsid w:val="009824BC"/>
    <w:rsid w:val="0098360D"/>
    <w:rsid w:val="00991A5A"/>
    <w:rsid w:val="0099552C"/>
    <w:rsid w:val="009A16A2"/>
    <w:rsid w:val="009A39C6"/>
    <w:rsid w:val="009A7377"/>
    <w:rsid w:val="009B11FE"/>
    <w:rsid w:val="009B41A8"/>
    <w:rsid w:val="009B6C31"/>
    <w:rsid w:val="009C453F"/>
    <w:rsid w:val="009C7978"/>
    <w:rsid w:val="009D49D2"/>
    <w:rsid w:val="009D5C4C"/>
    <w:rsid w:val="009F1AAE"/>
    <w:rsid w:val="009F29EF"/>
    <w:rsid w:val="009F2ED7"/>
    <w:rsid w:val="009F4BCF"/>
    <w:rsid w:val="00A00E8F"/>
    <w:rsid w:val="00A02AA9"/>
    <w:rsid w:val="00A03D13"/>
    <w:rsid w:val="00A041A3"/>
    <w:rsid w:val="00A10522"/>
    <w:rsid w:val="00A1723F"/>
    <w:rsid w:val="00A2348D"/>
    <w:rsid w:val="00A32A50"/>
    <w:rsid w:val="00A3430E"/>
    <w:rsid w:val="00A36393"/>
    <w:rsid w:val="00A408A5"/>
    <w:rsid w:val="00A50676"/>
    <w:rsid w:val="00A54B89"/>
    <w:rsid w:val="00A55AB8"/>
    <w:rsid w:val="00A6039C"/>
    <w:rsid w:val="00A62034"/>
    <w:rsid w:val="00A646F1"/>
    <w:rsid w:val="00A66178"/>
    <w:rsid w:val="00A706F8"/>
    <w:rsid w:val="00A70A51"/>
    <w:rsid w:val="00A72B79"/>
    <w:rsid w:val="00A7315E"/>
    <w:rsid w:val="00A751C1"/>
    <w:rsid w:val="00A80B5A"/>
    <w:rsid w:val="00A82FF8"/>
    <w:rsid w:val="00A83F09"/>
    <w:rsid w:val="00A92198"/>
    <w:rsid w:val="00A959DA"/>
    <w:rsid w:val="00AA00F0"/>
    <w:rsid w:val="00AA0EF9"/>
    <w:rsid w:val="00AA11ED"/>
    <w:rsid w:val="00AA7CA7"/>
    <w:rsid w:val="00AB4008"/>
    <w:rsid w:val="00AC06A6"/>
    <w:rsid w:val="00AC4A88"/>
    <w:rsid w:val="00AC7099"/>
    <w:rsid w:val="00AD0853"/>
    <w:rsid w:val="00AD0CF8"/>
    <w:rsid w:val="00AF232C"/>
    <w:rsid w:val="00AF46E7"/>
    <w:rsid w:val="00AF6F8B"/>
    <w:rsid w:val="00B017AB"/>
    <w:rsid w:val="00B03CB4"/>
    <w:rsid w:val="00B0590D"/>
    <w:rsid w:val="00B07ADC"/>
    <w:rsid w:val="00B16B9F"/>
    <w:rsid w:val="00B218CF"/>
    <w:rsid w:val="00B23D02"/>
    <w:rsid w:val="00B25026"/>
    <w:rsid w:val="00B3032C"/>
    <w:rsid w:val="00B33C29"/>
    <w:rsid w:val="00B35649"/>
    <w:rsid w:val="00B418CA"/>
    <w:rsid w:val="00B436BE"/>
    <w:rsid w:val="00B60E31"/>
    <w:rsid w:val="00B66061"/>
    <w:rsid w:val="00B6611B"/>
    <w:rsid w:val="00B73F6E"/>
    <w:rsid w:val="00B768C1"/>
    <w:rsid w:val="00B93814"/>
    <w:rsid w:val="00B93F25"/>
    <w:rsid w:val="00B9442D"/>
    <w:rsid w:val="00B94A26"/>
    <w:rsid w:val="00B9734B"/>
    <w:rsid w:val="00B978C9"/>
    <w:rsid w:val="00BA637D"/>
    <w:rsid w:val="00BA7BF9"/>
    <w:rsid w:val="00BB261D"/>
    <w:rsid w:val="00BB6D19"/>
    <w:rsid w:val="00BC3127"/>
    <w:rsid w:val="00BC532E"/>
    <w:rsid w:val="00BC6947"/>
    <w:rsid w:val="00BD74D9"/>
    <w:rsid w:val="00BE5E64"/>
    <w:rsid w:val="00BE78A6"/>
    <w:rsid w:val="00BE7901"/>
    <w:rsid w:val="00BF281A"/>
    <w:rsid w:val="00BF4759"/>
    <w:rsid w:val="00BF72EC"/>
    <w:rsid w:val="00C10EAD"/>
    <w:rsid w:val="00C117C4"/>
    <w:rsid w:val="00C17697"/>
    <w:rsid w:val="00C222B9"/>
    <w:rsid w:val="00C22D8C"/>
    <w:rsid w:val="00C2331A"/>
    <w:rsid w:val="00C30F29"/>
    <w:rsid w:val="00C3404A"/>
    <w:rsid w:val="00C366E9"/>
    <w:rsid w:val="00C41C2B"/>
    <w:rsid w:val="00C526E4"/>
    <w:rsid w:val="00C53DA1"/>
    <w:rsid w:val="00C60CDB"/>
    <w:rsid w:val="00C62FC1"/>
    <w:rsid w:val="00C649DE"/>
    <w:rsid w:val="00C65E7D"/>
    <w:rsid w:val="00C67408"/>
    <w:rsid w:val="00C67B93"/>
    <w:rsid w:val="00C74121"/>
    <w:rsid w:val="00C80D9A"/>
    <w:rsid w:val="00C81FC3"/>
    <w:rsid w:val="00C850C8"/>
    <w:rsid w:val="00C86249"/>
    <w:rsid w:val="00C870BA"/>
    <w:rsid w:val="00C87757"/>
    <w:rsid w:val="00C87895"/>
    <w:rsid w:val="00C87A80"/>
    <w:rsid w:val="00C97B04"/>
    <w:rsid w:val="00CA0C34"/>
    <w:rsid w:val="00CA3308"/>
    <w:rsid w:val="00CA3AF0"/>
    <w:rsid w:val="00CA41E5"/>
    <w:rsid w:val="00CB0A78"/>
    <w:rsid w:val="00CC6DAA"/>
    <w:rsid w:val="00CC7BA4"/>
    <w:rsid w:val="00CD62A3"/>
    <w:rsid w:val="00CE1A6A"/>
    <w:rsid w:val="00CE43FE"/>
    <w:rsid w:val="00CE4C85"/>
    <w:rsid w:val="00CF42F2"/>
    <w:rsid w:val="00CF4B20"/>
    <w:rsid w:val="00CF5458"/>
    <w:rsid w:val="00D03460"/>
    <w:rsid w:val="00D03EAE"/>
    <w:rsid w:val="00D062E5"/>
    <w:rsid w:val="00D106A2"/>
    <w:rsid w:val="00D13CA9"/>
    <w:rsid w:val="00D2014A"/>
    <w:rsid w:val="00D23AEB"/>
    <w:rsid w:val="00D26B3B"/>
    <w:rsid w:val="00D27D94"/>
    <w:rsid w:val="00D31022"/>
    <w:rsid w:val="00D37EE4"/>
    <w:rsid w:val="00D4046E"/>
    <w:rsid w:val="00D41ABE"/>
    <w:rsid w:val="00D478D9"/>
    <w:rsid w:val="00D47A60"/>
    <w:rsid w:val="00D512E8"/>
    <w:rsid w:val="00D55906"/>
    <w:rsid w:val="00D608EB"/>
    <w:rsid w:val="00D63A1C"/>
    <w:rsid w:val="00D66D5A"/>
    <w:rsid w:val="00D67411"/>
    <w:rsid w:val="00D738F0"/>
    <w:rsid w:val="00D8089D"/>
    <w:rsid w:val="00D954A1"/>
    <w:rsid w:val="00D9644C"/>
    <w:rsid w:val="00DA0766"/>
    <w:rsid w:val="00DA0C8C"/>
    <w:rsid w:val="00DA4F45"/>
    <w:rsid w:val="00DA78C4"/>
    <w:rsid w:val="00DB497F"/>
    <w:rsid w:val="00DC5DC5"/>
    <w:rsid w:val="00DC6B12"/>
    <w:rsid w:val="00DD366D"/>
    <w:rsid w:val="00DD4F78"/>
    <w:rsid w:val="00DD76B4"/>
    <w:rsid w:val="00DE26D4"/>
    <w:rsid w:val="00DE4202"/>
    <w:rsid w:val="00DE43AA"/>
    <w:rsid w:val="00DF09CD"/>
    <w:rsid w:val="00DF5E12"/>
    <w:rsid w:val="00DF6546"/>
    <w:rsid w:val="00DF7A18"/>
    <w:rsid w:val="00E01EB6"/>
    <w:rsid w:val="00E034D0"/>
    <w:rsid w:val="00E06B08"/>
    <w:rsid w:val="00E12A7A"/>
    <w:rsid w:val="00E21FB0"/>
    <w:rsid w:val="00E2247A"/>
    <w:rsid w:val="00E25FF5"/>
    <w:rsid w:val="00E311AE"/>
    <w:rsid w:val="00E31701"/>
    <w:rsid w:val="00E34556"/>
    <w:rsid w:val="00E34F2E"/>
    <w:rsid w:val="00E47046"/>
    <w:rsid w:val="00E50C16"/>
    <w:rsid w:val="00E53B46"/>
    <w:rsid w:val="00E53F18"/>
    <w:rsid w:val="00E551F6"/>
    <w:rsid w:val="00E5601E"/>
    <w:rsid w:val="00E568AD"/>
    <w:rsid w:val="00E57326"/>
    <w:rsid w:val="00E636D0"/>
    <w:rsid w:val="00E70A67"/>
    <w:rsid w:val="00E71491"/>
    <w:rsid w:val="00E76D18"/>
    <w:rsid w:val="00E901C7"/>
    <w:rsid w:val="00E90AF1"/>
    <w:rsid w:val="00E94681"/>
    <w:rsid w:val="00E95348"/>
    <w:rsid w:val="00E974BB"/>
    <w:rsid w:val="00E97945"/>
    <w:rsid w:val="00EA0C41"/>
    <w:rsid w:val="00EB37D6"/>
    <w:rsid w:val="00EC268F"/>
    <w:rsid w:val="00EC2963"/>
    <w:rsid w:val="00EC7254"/>
    <w:rsid w:val="00ED08A6"/>
    <w:rsid w:val="00ED4022"/>
    <w:rsid w:val="00ED6DF9"/>
    <w:rsid w:val="00ED7230"/>
    <w:rsid w:val="00EE0375"/>
    <w:rsid w:val="00EE466D"/>
    <w:rsid w:val="00EE54CE"/>
    <w:rsid w:val="00EE7699"/>
    <w:rsid w:val="00EF03EE"/>
    <w:rsid w:val="00F078A9"/>
    <w:rsid w:val="00F23376"/>
    <w:rsid w:val="00F241F2"/>
    <w:rsid w:val="00F27A72"/>
    <w:rsid w:val="00F428C6"/>
    <w:rsid w:val="00F42D01"/>
    <w:rsid w:val="00F42E8F"/>
    <w:rsid w:val="00F44DE5"/>
    <w:rsid w:val="00F454DC"/>
    <w:rsid w:val="00F63997"/>
    <w:rsid w:val="00F65959"/>
    <w:rsid w:val="00F673DA"/>
    <w:rsid w:val="00F770A8"/>
    <w:rsid w:val="00F805DD"/>
    <w:rsid w:val="00F8286E"/>
    <w:rsid w:val="00F82E70"/>
    <w:rsid w:val="00F86DFE"/>
    <w:rsid w:val="00F96F40"/>
    <w:rsid w:val="00FB7B23"/>
    <w:rsid w:val="00FC2DDF"/>
    <w:rsid w:val="00FD264E"/>
    <w:rsid w:val="00FE5AEA"/>
    <w:rsid w:val="00FE5CDC"/>
    <w:rsid w:val="00FF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2AB08"/>
  <w15:chartTrackingRefBased/>
  <w15:docId w15:val="{BF3B3263-D5C3-416E-92C3-0DA574CA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0D25"/>
    <w:pPr>
      <w:widowControl w:val="0"/>
      <w:spacing w:after="0" w:line="240" w:lineRule="auto"/>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qFormat/>
    <w:rsid w:val="002B2FC4"/>
    <w:pPr>
      <w:keepNext/>
      <w:widowControl/>
      <w:spacing w:before="240" w:after="60"/>
      <w:outlineLvl w:val="0"/>
    </w:pPr>
    <w:rPr>
      <w:rFonts w:asciiTheme="majorHAnsi" w:eastAsiaTheme="majorEastAsia" w:hAnsiTheme="majorHAnsi" w:cstheme="majorBidi"/>
      <w:b/>
      <w:bCs/>
      <w:color w:val="auto"/>
      <w:kern w:val="32"/>
      <w:sz w:val="32"/>
      <w:szCs w:val="32"/>
      <w:lang w:bidi="ar-SA"/>
    </w:rPr>
  </w:style>
  <w:style w:type="paragraph" w:styleId="Heading2">
    <w:name w:val="heading 2"/>
    <w:basedOn w:val="Normal"/>
    <w:next w:val="Normal"/>
    <w:link w:val="Heading2Char"/>
    <w:qFormat/>
    <w:rsid w:val="00D512E8"/>
    <w:pPr>
      <w:keepNext/>
      <w:widowControl/>
      <w:jc w:val="both"/>
      <w:outlineLvl w:val="1"/>
    </w:pPr>
    <w:rPr>
      <w:color w:val="auto"/>
      <w:szCs w:val="20"/>
      <w:lang w:bidi="ar-SA"/>
    </w:rPr>
  </w:style>
  <w:style w:type="paragraph" w:styleId="Heading3">
    <w:name w:val="heading 3"/>
    <w:basedOn w:val="Normal"/>
    <w:next w:val="Normal"/>
    <w:link w:val="Heading3Char"/>
    <w:uiPriority w:val="9"/>
    <w:semiHidden/>
    <w:unhideWhenUsed/>
    <w:qFormat/>
    <w:rsid w:val="00F673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rsid w:val="00500D25"/>
    <w:pPr>
      <w:widowControl/>
      <w:jc w:val="both"/>
    </w:pPr>
    <w:rPr>
      <w:b/>
      <w:bCs/>
      <w:color w:val="auto"/>
      <w:sz w:val="22"/>
      <w:szCs w:val="20"/>
      <w:lang w:bidi="ar-SA"/>
    </w:rPr>
  </w:style>
  <w:style w:type="character" w:customStyle="1" w:styleId="BodyText2Char">
    <w:name w:val="Body Text 2 Char"/>
    <w:basedOn w:val="DefaultParagraphFont"/>
    <w:link w:val="BodyText2"/>
    <w:rsid w:val="00500D25"/>
    <w:rPr>
      <w:rFonts w:ascii="Times New Roman" w:eastAsia="Times New Roman" w:hAnsi="Times New Roman" w:cs="Times New Roman"/>
      <w:b/>
      <w:bCs/>
      <w:szCs w:val="20"/>
    </w:rPr>
  </w:style>
  <w:style w:type="paragraph" w:styleId="ListParagraph">
    <w:name w:val="List Paragraph"/>
    <w:basedOn w:val="Normal"/>
    <w:uiPriority w:val="34"/>
    <w:qFormat/>
    <w:rsid w:val="00F428C6"/>
    <w:pPr>
      <w:ind w:left="720"/>
      <w:contextualSpacing/>
    </w:pPr>
  </w:style>
  <w:style w:type="paragraph" w:styleId="BalloonText">
    <w:name w:val="Balloon Text"/>
    <w:basedOn w:val="Normal"/>
    <w:link w:val="BalloonTextChar"/>
    <w:uiPriority w:val="99"/>
    <w:semiHidden/>
    <w:unhideWhenUsed/>
    <w:rsid w:val="00D13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A9"/>
    <w:rPr>
      <w:rFonts w:ascii="Segoe UI" w:eastAsia="Times New Roman" w:hAnsi="Segoe UI" w:cs="Segoe UI"/>
      <w:color w:val="000000"/>
      <w:sz w:val="18"/>
      <w:szCs w:val="18"/>
      <w:lang w:bidi="en-US"/>
    </w:rPr>
  </w:style>
  <w:style w:type="character" w:styleId="CommentReference">
    <w:name w:val="annotation reference"/>
    <w:basedOn w:val="DefaultParagraphFont"/>
    <w:uiPriority w:val="99"/>
    <w:semiHidden/>
    <w:unhideWhenUsed/>
    <w:rsid w:val="00BF72EC"/>
    <w:rPr>
      <w:sz w:val="16"/>
      <w:szCs w:val="16"/>
    </w:rPr>
  </w:style>
  <w:style w:type="paragraph" w:styleId="CommentText">
    <w:name w:val="annotation text"/>
    <w:basedOn w:val="Normal"/>
    <w:link w:val="CommentTextChar"/>
    <w:uiPriority w:val="99"/>
    <w:semiHidden/>
    <w:unhideWhenUsed/>
    <w:rsid w:val="00BF72EC"/>
    <w:rPr>
      <w:sz w:val="20"/>
      <w:szCs w:val="20"/>
    </w:rPr>
  </w:style>
  <w:style w:type="character" w:customStyle="1" w:styleId="CommentTextChar">
    <w:name w:val="Comment Text Char"/>
    <w:basedOn w:val="DefaultParagraphFont"/>
    <w:link w:val="CommentText"/>
    <w:uiPriority w:val="99"/>
    <w:semiHidden/>
    <w:rsid w:val="00BF72EC"/>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BF72EC"/>
    <w:rPr>
      <w:b/>
      <w:bCs/>
    </w:rPr>
  </w:style>
  <w:style w:type="character" w:customStyle="1" w:styleId="CommentSubjectChar">
    <w:name w:val="Comment Subject Char"/>
    <w:basedOn w:val="CommentTextChar"/>
    <w:link w:val="CommentSubject"/>
    <w:uiPriority w:val="99"/>
    <w:semiHidden/>
    <w:rsid w:val="00BF72EC"/>
    <w:rPr>
      <w:rFonts w:ascii="Times New Roman" w:eastAsia="Times New Roman" w:hAnsi="Times New Roman" w:cs="Times New Roman"/>
      <w:b/>
      <w:bCs/>
      <w:color w:val="000000"/>
      <w:sz w:val="20"/>
      <w:szCs w:val="20"/>
      <w:lang w:bidi="en-US"/>
    </w:rPr>
  </w:style>
  <w:style w:type="paragraph" w:styleId="Header">
    <w:name w:val="header"/>
    <w:basedOn w:val="Normal"/>
    <w:link w:val="HeaderChar"/>
    <w:unhideWhenUsed/>
    <w:rsid w:val="00B9442D"/>
    <w:pPr>
      <w:tabs>
        <w:tab w:val="center" w:pos="4680"/>
        <w:tab w:val="right" w:pos="9360"/>
      </w:tabs>
    </w:pPr>
  </w:style>
  <w:style w:type="character" w:customStyle="1" w:styleId="HeaderChar">
    <w:name w:val="Header Char"/>
    <w:basedOn w:val="DefaultParagraphFont"/>
    <w:link w:val="Header"/>
    <w:rsid w:val="00B9442D"/>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B9442D"/>
    <w:pPr>
      <w:tabs>
        <w:tab w:val="center" w:pos="4680"/>
        <w:tab w:val="right" w:pos="9360"/>
      </w:tabs>
    </w:pPr>
  </w:style>
  <w:style w:type="character" w:customStyle="1" w:styleId="FooterChar">
    <w:name w:val="Footer Char"/>
    <w:basedOn w:val="DefaultParagraphFont"/>
    <w:link w:val="Footer"/>
    <w:uiPriority w:val="99"/>
    <w:rsid w:val="00B9442D"/>
    <w:rPr>
      <w:rFonts w:ascii="Times New Roman" w:eastAsia="Times New Roman" w:hAnsi="Times New Roman" w:cs="Times New Roman"/>
      <w:color w:val="000000"/>
      <w:sz w:val="24"/>
      <w:szCs w:val="24"/>
      <w:lang w:bidi="en-US"/>
    </w:rPr>
  </w:style>
  <w:style w:type="paragraph" w:styleId="FootnoteText">
    <w:name w:val="footnote text"/>
    <w:aliases w:val="Car"/>
    <w:basedOn w:val="Normal"/>
    <w:link w:val="FootnoteTextChar"/>
    <w:unhideWhenUsed/>
    <w:rsid w:val="009579FD"/>
    <w:pPr>
      <w:widowControl/>
    </w:pPr>
    <w:rPr>
      <w:rFonts w:asciiTheme="minorHAnsi" w:eastAsiaTheme="minorHAnsi" w:hAnsiTheme="minorHAnsi" w:cstheme="minorBidi"/>
      <w:color w:val="auto"/>
      <w:sz w:val="20"/>
      <w:szCs w:val="20"/>
      <w:lang w:bidi="ar-SA"/>
    </w:rPr>
  </w:style>
  <w:style w:type="character" w:customStyle="1" w:styleId="FootnoteTextChar">
    <w:name w:val="Footnote Text Char"/>
    <w:aliases w:val="Car Char"/>
    <w:basedOn w:val="DefaultParagraphFont"/>
    <w:link w:val="FootnoteText"/>
    <w:rsid w:val="009579FD"/>
    <w:rPr>
      <w:sz w:val="20"/>
      <w:szCs w:val="20"/>
    </w:rPr>
  </w:style>
  <w:style w:type="character" w:styleId="FootnoteReference">
    <w:name w:val="footnote reference"/>
    <w:basedOn w:val="DefaultParagraphFont"/>
    <w:unhideWhenUsed/>
    <w:qFormat/>
    <w:rsid w:val="009579FD"/>
    <w:rPr>
      <w:vertAlign w:val="superscript"/>
    </w:rPr>
  </w:style>
  <w:style w:type="character" w:styleId="Strong">
    <w:name w:val="Strong"/>
    <w:basedOn w:val="DefaultParagraphFont"/>
    <w:uiPriority w:val="22"/>
    <w:qFormat/>
    <w:rsid w:val="000C732B"/>
    <w:rPr>
      <w:b/>
      <w:bCs/>
    </w:rPr>
  </w:style>
  <w:style w:type="paragraph" w:styleId="Revision">
    <w:name w:val="Revision"/>
    <w:hidden/>
    <w:uiPriority w:val="99"/>
    <w:semiHidden/>
    <w:rsid w:val="005D3004"/>
    <w:pPr>
      <w:spacing w:after="0" w:line="240" w:lineRule="auto"/>
    </w:pPr>
    <w:rPr>
      <w:rFonts w:ascii="Times New Roman" w:eastAsia="Times New Roman" w:hAnsi="Times New Roman" w:cs="Times New Roman"/>
      <w:color w:val="000000"/>
      <w:sz w:val="24"/>
      <w:szCs w:val="24"/>
      <w:lang w:bidi="en-US"/>
    </w:rPr>
  </w:style>
  <w:style w:type="paragraph" w:styleId="NoSpacing">
    <w:name w:val="No Spacing"/>
    <w:uiPriority w:val="1"/>
    <w:qFormat/>
    <w:rsid w:val="002A1394"/>
    <w:pPr>
      <w:spacing w:after="0" w:line="240" w:lineRule="auto"/>
    </w:pPr>
  </w:style>
  <w:style w:type="character" w:styleId="Hyperlink">
    <w:name w:val="Hyperlink"/>
    <w:uiPriority w:val="99"/>
    <w:semiHidden/>
    <w:unhideWhenUsed/>
    <w:rsid w:val="002A1394"/>
    <w:rPr>
      <w:color w:val="0000FF"/>
      <w:u w:val="single"/>
    </w:rPr>
  </w:style>
  <w:style w:type="character" w:customStyle="1" w:styleId="Heading2Char">
    <w:name w:val="Heading 2 Char"/>
    <w:basedOn w:val="DefaultParagraphFont"/>
    <w:link w:val="Heading2"/>
    <w:rsid w:val="00D512E8"/>
    <w:rPr>
      <w:rFonts w:ascii="Times New Roman" w:eastAsia="Times New Roman" w:hAnsi="Times New Roman" w:cs="Times New Roman"/>
      <w:sz w:val="24"/>
      <w:szCs w:val="20"/>
    </w:rPr>
  </w:style>
  <w:style w:type="paragraph" w:customStyle="1" w:styleId="Default">
    <w:name w:val="Default"/>
    <w:rsid w:val="00E97945"/>
    <w:pPr>
      <w:numPr>
        <w:numId w:val="1"/>
      </w:num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2B2FC4"/>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F673DA"/>
    <w:rPr>
      <w:rFonts w:asciiTheme="majorHAnsi" w:eastAsiaTheme="majorEastAsia" w:hAnsiTheme="majorHAnsi" w:cstheme="majorBidi"/>
      <w:color w:val="1F3763" w:themeColor="accent1" w:themeShade="7F"/>
      <w:sz w:val="24"/>
      <w:szCs w:val="24"/>
      <w:lang w:bidi="en-US"/>
    </w:rPr>
  </w:style>
  <w:style w:type="paragraph" w:styleId="ListNumber2">
    <w:name w:val="List Number 2"/>
    <w:basedOn w:val="Normal"/>
    <w:uiPriority w:val="99"/>
    <w:semiHidden/>
    <w:unhideWhenUsed/>
    <w:rsid w:val="00F673DA"/>
    <w:pPr>
      <w:widowControl/>
      <w:numPr>
        <w:numId w:val="3"/>
      </w:numPr>
      <w:spacing w:after="160" w:line="252" w:lineRule="auto"/>
      <w:contextualSpacing/>
    </w:pPr>
    <w:rPr>
      <w:rFonts w:ascii="Calibri" w:eastAsiaTheme="minorHAnsi" w:hAnsi="Calibri" w:cs="Calibri"/>
      <w:color w:val="auto"/>
      <w:sz w:val="22"/>
      <w:szCs w:val="22"/>
      <w:lang w:bidi="ar-SA"/>
    </w:rPr>
  </w:style>
  <w:style w:type="paragraph" w:styleId="ListContinue">
    <w:name w:val="List Continue"/>
    <w:basedOn w:val="Normal"/>
    <w:uiPriority w:val="99"/>
    <w:semiHidden/>
    <w:unhideWhenUsed/>
    <w:rsid w:val="00F673DA"/>
    <w:pPr>
      <w:widowControl/>
      <w:spacing w:after="220"/>
      <w:jc w:val="both"/>
    </w:pPr>
    <w:rPr>
      <w:rFonts w:eastAsiaTheme="minorHAnsi"/>
      <w:color w:val="auto"/>
      <w:sz w:val="22"/>
      <w:szCs w:val="22"/>
      <w:lang w:bidi="ar-SA"/>
    </w:rPr>
  </w:style>
  <w:style w:type="character" w:styleId="Emphasis">
    <w:name w:val="Emphasis"/>
    <w:basedOn w:val="DefaultParagraphFont"/>
    <w:uiPriority w:val="20"/>
    <w:qFormat/>
    <w:rsid w:val="00C86249"/>
    <w:rPr>
      <w:i/>
      <w:iCs/>
    </w:rPr>
  </w:style>
  <w:style w:type="paragraph" w:styleId="PlainText">
    <w:name w:val="Plain Text"/>
    <w:basedOn w:val="Normal"/>
    <w:link w:val="PlainTextChar"/>
    <w:uiPriority w:val="99"/>
    <w:semiHidden/>
    <w:unhideWhenUsed/>
    <w:rsid w:val="00682D32"/>
    <w:pPr>
      <w:widowControl/>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682D32"/>
    <w:rPr>
      <w:rFonts w:ascii="Calibri" w:hAnsi="Calibri"/>
      <w:szCs w:val="21"/>
    </w:rPr>
  </w:style>
  <w:style w:type="character" w:customStyle="1" w:styleId="fontstyle01">
    <w:name w:val="fontstyle01"/>
    <w:basedOn w:val="DefaultParagraphFont"/>
    <w:rsid w:val="001174EF"/>
    <w:rPr>
      <w:rFonts w:ascii="TimesNewRomanPSMT" w:hAnsi="TimesNewRomanPSMT" w:hint="default"/>
      <w:b w:val="0"/>
      <w:bCs w:val="0"/>
      <w:i w:val="0"/>
      <w:iCs w:val="0"/>
      <w:color w:val="000000"/>
      <w:sz w:val="22"/>
      <w:szCs w:val="22"/>
    </w:rPr>
  </w:style>
  <w:style w:type="paragraph" w:styleId="NormalWeb">
    <w:name w:val="Normal (Web)"/>
    <w:basedOn w:val="Normal"/>
    <w:uiPriority w:val="99"/>
    <w:semiHidden/>
    <w:unhideWhenUsed/>
    <w:rsid w:val="00CC7BA4"/>
    <w:pPr>
      <w:widowControl/>
      <w:spacing w:before="100" w:beforeAutospacing="1" w:after="100" w:afterAutospacing="1"/>
    </w:pPr>
    <w:rPr>
      <w:rFonts w:eastAsiaTheme="minorHAnsi"/>
      <w:color w:val="auto"/>
      <w:lang w:bidi="ar-SA"/>
    </w:rPr>
  </w:style>
  <w:style w:type="paragraph" w:customStyle="1" w:styleId="gmail-msolistparagraph">
    <w:name w:val="gmail-msolistparagraph"/>
    <w:basedOn w:val="Normal"/>
    <w:rsid w:val="0080697C"/>
    <w:pPr>
      <w:widowControl/>
      <w:spacing w:before="100" w:beforeAutospacing="1" w:after="100" w:afterAutospacing="1"/>
    </w:pPr>
    <w:rPr>
      <w:rFonts w:eastAsiaTheme="minorHAnsi"/>
      <w:color w:val="auto"/>
      <w:lang w:bidi="ar-SA"/>
    </w:rPr>
  </w:style>
  <w:style w:type="paragraph" w:styleId="ListNumber">
    <w:name w:val="List Number"/>
    <w:basedOn w:val="Normal"/>
    <w:uiPriority w:val="99"/>
    <w:semiHidden/>
    <w:unhideWhenUsed/>
    <w:rsid w:val="002B11B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4850">
      <w:bodyDiv w:val="1"/>
      <w:marLeft w:val="0"/>
      <w:marRight w:val="0"/>
      <w:marTop w:val="0"/>
      <w:marBottom w:val="0"/>
      <w:divBdr>
        <w:top w:val="none" w:sz="0" w:space="0" w:color="auto"/>
        <w:left w:val="none" w:sz="0" w:space="0" w:color="auto"/>
        <w:bottom w:val="none" w:sz="0" w:space="0" w:color="auto"/>
        <w:right w:val="none" w:sz="0" w:space="0" w:color="auto"/>
      </w:divBdr>
    </w:div>
    <w:div w:id="144931335">
      <w:bodyDiv w:val="1"/>
      <w:marLeft w:val="0"/>
      <w:marRight w:val="0"/>
      <w:marTop w:val="0"/>
      <w:marBottom w:val="0"/>
      <w:divBdr>
        <w:top w:val="none" w:sz="0" w:space="0" w:color="auto"/>
        <w:left w:val="none" w:sz="0" w:space="0" w:color="auto"/>
        <w:bottom w:val="none" w:sz="0" w:space="0" w:color="auto"/>
        <w:right w:val="none" w:sz="0" w:space="0" w:color="auto"/>
      </w:divBdr>
    </w:div>
    <w:div w:id="225993384">
      <w:bodyDiv w:val="1"/>
      <w:marLeft w:val="0"/>
      <w:marRight w:val="0"/>
      <w:marTop w:val="0"/>
      <w:marBottom w:val="0"/>
      <w:divBdr>
        <w:top w:val="none" w:sz="0" w:space="0" w:color="auto"/>
        <w:left w:val="none" w:sz="0" w:space="0" w:color="auto"/>
        <w:bottom w:val="none" w:sz="0" w:space="0" w:color="auto"/>
        <w:right w:val="none" w:sz="0" w:space="0" w:color="auto"/>
      </w:divBdr>
    </w:div>
    <w:div w:id="303629781">
      <w:bodyDiv w:val="1"/>
      <w:marLeft w:val="0"/>
      <w:marRight w:val="0"/>
      <w:marTop w:val="0"/>
      <w:marBottom w:val="0"/>
      <w:divBdr>
        <w:top w:val="none" w:sz="0" w:space="0" w:color="auto"/>
        <w:left w:val="none" w:sz="0" w:space="0" w:color="auto"/>
        <w:bottom w:val="none" w:sz="0" w:space="0" w:color="auto"/>
        <w:right w:val="none" w:sz="0" w:space="0" w:color="auto"/>
      </w:divBdr>
    </w:div>
    <w:div w:id="354120127">
      <w:bodyDiv w:val="1"/>
      <w:marLeft w:val="0"/>
      <w:marRight w:val="0"/>
      <w:marTop w:val="0"/>
      <w:marBottom w:val="0"/>
      <w:divBdr>
        <w:top w:val="none" w:sz="0" w:space="0" w:color="auto"/>
        <w:left w:val="none" w:sz="0" w:space="0" w:color="auto"/>
        <w:bottom w:val="none" w:sz="0" w:space="0" w:color="auto"/>
        <w:right w:val="none" w:sz="0" w:space="0" w:color="auto"/>
      </w:divBdr>
    </w:div>
    <w:div w:id="412163282">
      <w:bodyDiv w:val="1"/>
      <w:marLeft w:val="0"/>
      <w:marRight w:val="0"/>
      <w:marTop w:val="0"/>
      <w:marBottom w:val="0"/>
      <w:divBdr>
        <w:top w:val="none" w:sz="0" w:space="0" w:color="auto"/>
        <w:left w:val="none" w:sz="0" w:space="0" w:color="auto"/>
        <w:bottom w:val="none" w:sz="0" w:space="0" w:color="auto"/>
        <w:right w:val="none" w:sz="0" w:space="0" w:color="auto"/>
      </w:divBdr>
    </w:div>
    <w:div w:id="543642189">
      <w:bodyDiv w:val="1"/>
      <w:marLeft w:val="0"/>
      <w:marRight w:val="0"/>
      <w:marTop w:val="0"/>
      <w:marBottom w:val="0"/>
      <w:divBdr>
        <w:top w:val="none" w:sz="0" w:space="0" w:color="auto"/>
        <w:left w:val="none" w:sz="0" w:space="0" w:color="auto"/>
        <w:bottom w:val="none" w:sz="0" w:space="0" w:color="auto"/>
        <w:right w:val="none" w:sz="0" w:space="0" w:color="auto"/>
      </w:divBdr>
    </w:div>
    <w:div w:id="653802899">
      <w:bodyDiv w:val="1"/>
      <w:marLeft w:val="0"/>
      <w:marRight w:val="0"/>
      <w:marTop w:val="0"/>
      <w:marBottom w:val="0"/>
      <w:divBdr>
        <w:top w:val="none" w:sz="0" w:space="0" w:color="auto"/>
        <w:left w:val="none" w:sz="0" w:space="0" w:color="auto"/>
        <w:bottom w:val="none" w:sz="0" w:space="0" w:color="auto"/>
        <w:right w:val="none" w:sz="0" w:space="0" w:color="auto"/>
      </w:divBdr>
    </w:div>
    <w:div w:id="725955737">
      <w:bodyDiv w:val="1"/>
      <w:marLeft w:val="0"/>
      <w:marRight w:val="0"/>
      <w:marTop w:val="0"/>
      <w:marBottom w:val="0"/>
      <w:divBdr>
        <w:top w:val="none" w:sz="0" w:space="0" w:color="auto"/>
        <w:left w:val="none" w:sz="0" w:space="0" w:color="auto"/>
        <w:bottom w:val="none" w:sz="0" w:space="0" w:color="auto"/>
        <w:right w:val="none" w:sz="0" w:space="0" w:color="auto"/>
      </w:divBdr>
    </w:div>
    <w:div w:id="871844190">
      <w:bodyDiv w:val="1"/>
      <w:marLeft w:val="0"/>
      <w:marRight w:val="0"/>
      <w:marTop w:val="0"/>
      <w:marBottom w:val="0"/>
      <w:divBdr>
        <w:top w:val="none" w:sz="0" w:space="0" w:color="auto"/>
        <w:left w:val="none" w:sz="0" w:space="0" w:color="auto"/>
        <w:bottom w:val="none" w:sz="0" w:space="0" w:color="auto"/>
        <w:right w:val="none" w:sz="0" w:space="0" w:color="auto"/>
      </w:divBdr>
    </w:div>
    <w:div w:id="934439999">
      <w:bodyDiv w:val="1"/>
      <w:marLeft w:val="0"/>
      <w:marRight w:val="0"/>
      <w:marTop w:val="0"/>
      <w:marBottom w:val="0"/>
      <w:divBdr>
        <w:top w:val="none" w:sz="0" w:space="0" w:color="auto"/>
        <w:left w:val="none" w:sz="0" w:space="0" w:color="auto"/>
        <w:bottom w:val="none" w:sz="0" w:space="0" w:color="auto"/>
        <w:right w:val="none" w:sz="0" w:space="0" w:color="auto"/>
      </w:divBdr>
    </w:div>
    <w:div w:id="1013650296">
      <w:bodyDiv w:val="1"/>
      <w:marLeft w:val="0"/>
      <w:marRight w:val="0"/>
      <w:marTop w:val="0"/>
      <w:marBottom w:val="0"/>
      <w:divBdr>
        <w:top w:val="none" w:sz="0" w:space="0" w:color="auto"/>
        <w:left w:val="none" w:sz="0" w:space="0" w:color="auto"/>
        <w:bottom w:val="none" w:sz="0" w:space="0" w:color="auto"/>
        <w:right w:val="none" w:sz="0" w:space="0" w:color="auto"/>
      </w:divBdr>
    </w:div>
    <w:div w:id="1089810548">
      <w:bodyDiv w:val="1"/>
      <w:marLeft w:val="0"/>
      <w:marRight w:val="0"/>
      <w:marTop w:val="0"/>
      <w:marBottom w:val="0"/>
      <w:divBdr>
        <w:top w:val="none" w:sz="0" w:space="0" w:color="auto"/>
        <w:left w:val="none" w:sz="0" w:space="0" w:color="auto"/>
        <w:bottom w:val="none" w:sz="0" w:space="0" w:color="auto"/>
        <w:right w:val="none" w:sz="0" w:space="0" w:color="auto"/>
      </w:divBdr>
    </w:div>
    <w:div w:id="1096904202">
      <w:bodyDiv w:val="1"/>
      <w:marLeft w:val="0"/>
      <w:marRight w:val="0"/>
      <w:marTop w:val="0"/>
      <w:marBottom w:val="0"/>
      <w:divBdr>
        <w:top w:val="none" w:sz="0" w:space="0" w:color="auto"/>
        <w:left w:val="none" w:sz="0" w:space="0" w:color="auto"/>
        <w:bottom w:val="none" w:sz="0" w:space="0" w:color="auto"/>
        <w:right w:val="none" w:sz="0" w:space="0" w:color="auto"/>
      </w:divBdr>
    </w:div>
    <w:div w:id="1118373933">
      <w:bodyDiv w:val="1"/>
      <w:marLeft w:val="0"/>
      <w:marRight w:val="0"/>
      <w:marTop w:val="0"/>
      <w:marBottom w:val="0"/>
      <w:divBdr>
        <w:top w:val="none" w:sz="0" w:space="0" w:color="auto"/>
        <w:left w:val="none" w:sz="0" w:space="0" w:color="auto"/>
        <w:bottom w:val="none" w:sz="0" w:space="0" w:color="auto"/>
        <w:right w:val="none" w:sz="0" w:space="0" w:color="auto"/>
      </w:divBdr>
    </w:div>
    <w:div w:id="1220286220">
      <w:bodyDiv w:val="1"/>
      <w:marLeft w:val="0"/>
      <w:marRight w:val="0"/>
      <w:marTop w:val="0"/>
      <w:marBottom w:val="0"/>
      <w:divBdr>
        <w:top w:val="none" w:sz="0" w:space="0" w:color="auto"/>
        <w:left w:val="none" w:sz="0" w:space="0" w:color="auto"/>
        <w:bottom w:val="none" w:sz="0" w:space="0" w:color="auto"/>
        <w:right w:val="none" w:sz="0" w:space="0" w:color="auto"/>
      </w:divBdr>
    </w:div>
    <w:div w:id="1223567498">
      <w:bodyDiv w:val="1"/>
      <w:marLeft w:val="0"/>
      <w:marRight w:val="0"/>
      <w:marTop w:val="0"/>
      <w:marBottom w:val="0"/>
      <w:divBdr>
        <w:top w:val="none" w:sz="0" w:space="0" w:color="auto"/>
        <w:left w:val="none" w:sz="0" w:space="0" w:color="auto"/>
        <w:bottom w:val="none" w:sz="0" w:space="0" w:color="auto"/>
        <w:right w:val="none" w:sz="0" w:space="0" w:color="auto"/>
      </w:divBdr>
    </w:div>
    <w:div w:id="1268386832">
      <w:bodyDiv w:val="1"/>
      <w:marLeft w:val="0"/>
      <w:marRight w:val="0"/>
      <w:marTop w:val="0"/>
      <w:marBottom w:val="0"/>
      <w:divBdr>
        <w:top w:val="none" w:sz="0" w:space="0" w:color="auto"/>
        <w:left w:val="none" w:sz="0" w:space="0" w:color="auto"/>
        <w:bottom w:val="none" w:sz="0" w:space="0" w:color="auto"/>
        <w:right w:val="none" w:sz="0" w:space="0" w:color="auto"/>
      </w:divBdr>
    </w:div>
    <w:div w:id="1442217909">
      <w:bodyDiv w:val="1"/>
      <w:marLeft w:val="0"/>
      <w:marRight w:val="0"/>
      <w:marTop w:val="0"/>
      <w:marBottom w:val="0"/>
      <w:divBdr>
        <w:top w:val="none" w:sz="0" w:space="0" w:color="auto"/>
        <w:left w:val="none" w:sz="0" w:space="0" w:color="auto"/>
        <w:bottom w:val="none" w:sz="0" w:space="0" w:color="auto"/>
        <w:right w:val="none" w:sz="0" w:space="0" w:color="auto"/>
      </w:divBdr>
    </w:div>
    <w:div w:id="1489900478">
      <w:bodyDiv w:val="1"/>
      <w:marLeft w:val="0"/>
      <w:marRight w:val="0"/>
      <w:marTop w:val="0"/>
      <w:marBottom w:val="0"/>
      <w:divBdr>
        <w:top w:val="none" w:sz="0" w:space="0" w:color="auto"/>
        <w:left w:val="none" w:sz="0" w:space="0" w:color="auto"/>
        <w:bottom w:val="none" w:sz="0" w:space="0" w:color="auto"/>
        <w:right w:val="none" w:sz="0" w:space="0" w:color="auto"/>
      </w:divBdr>
    </w:div>
    <w:div w:id="1530101457">
      <w:bodyDiv w:val="1"/>
      <w:marLeft w:val="0"/>
      <w:marRight w:val="0"/>
      <w:marTop w:val="0"/>
      <w:marBottom w:val="0"/>
      <w:divBdr>
        <w:top w:val="none" w:sz="0" w:space="0" w:color="auto"/>
        <w:left w:val="none" w:sz="0" w:space="0" w:color="auto"/>
        <w:bottom w:val="none" w:sz="0" w:space="0" w:color="auto"/>
        <w:right w:val="none" w:sz="0" w:space="0" w:color="auto"/>
      </w:divBdr>
    </w:div>
    <w:div w:id="1612131747">
      <w:bodyDiv w:val="1"/>
      <w:marLeft w:val="0"/>
      <w:marRight w:val="0"/>
      <w:marTop w:val="0"/>
      <w:marBottom w:val="0"/>
      <w:divBdr>
        <w:top w:val="none" w:sz="0" w:space="0" w:color="auto"/>
        <w:left w:val="none" w:sz="0" w:space="0" w:color="auto"/>
        <w:bottom w:val="none" w:sz="0" w:space="0" w:color="auto"/>
        <w:right w:val="none" w:sz="0" w:space="0" w:color="auto"/>
      </w:divBdr>
    </w:div>
    <w:div w:id="1996294133">
      <w:bodyDiv w:val="1"/>
      <w:marLeft w:val="0"/>
      <w:marRight w:val="0"/>
      <w:marTop w:val="0"/>
      <w:marBottom w:val="0"/>
      <w:divBdr>
        <w:top w:val="none" w:sz="0" w:space="0" w:color="auto"/>
        <w:left w:val="none" w:sz="0" w:space="0" w:color="auto"/>
        <w:bottom w:val="none" w:sz="0" w:space="0" w:color="auto"/>
        <w:right w:val="none" w:sz="0" w:space="0" w:color="auto"/>
      </w:divBdr>
    </w:div>
    <w:div w:id="20458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emarie.albrizio@axa-equitab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eith.bell@traveler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547EA44208E048A8DF8E5515EB46E8" ma:contentTypeVersion="10" ma:contentTypeDescription="Create a new document." ma:contentTypeScope="" ma:versionID="dd399e2efe26b91a9bb899408c3c9b50">
  <xsd:schema xmlns:xsd="http://www.w3.org/2001/XMLSchema" xmlns:xs="http://www.w3.org/2001/XMLSchema" xmlns:p="http://schemas.microsoft.com/office/2006/metadata/properties" xmlns:ns3="f8fd4e6c-7504-4268-84de-1a5c713e0b16" targetNamespace="http://schemas.microsoft.com/office/2006/metadata/properties" ma:root="true" ma:fieldsID="48c35c8e39640dd6db9a363401e2da29" ns3:_="">
    <xsd:import namespace="f8fd4e6c-7504-4268-84de-1a5c713e0b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d4e6c-7504-4268-84de-1a5c713e0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4F51-EEA6-4D78-BCF9-C4496B7C3C96}">
  <ds:schemaRefs>
    <ds:schemaRef ds:uri="http://schemas.microsoft.com/sharepoint/v3/contenttype/forms"/>
  </ds:schemaRefs>
</ds:datastoreItem>
</file>

<file path=customXml/itemProps2.xml><?xml version="1.0" encoding="utf-8"?>
<ds:datastoreItem xmlns:ds="http://schemas.openxmlformats.org/officeDocument/2006/customXml" ds:itemID="{C74A45AD-4DD1-4F20-BD5A-77A9B84BF8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17117-0AE9-4FCD-B996-DCEFED86C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d4e6c-7504-4268-84de-1a5c713e0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A9318-E8CE-4AB0-9CCF-526C7865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dkb2313.docx</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dkb2313.docx</dc:title>
  <dc:subject>IP Comments on Ref #2019-14</dc:subject>
  <dc:creator>Interested parties</dc:creator>
  <cp:keywords/>
  <dc:description/>
  <cp:lastModifiedBy>Bell, Keith</cp:lastModifiedBy>
  <cp:revision>8</cp:revision>
  <cp:lastPrinted>2020-02-14T20:29:00Z</cp:lastPrinted>
  <dcterms:created xsi:type="dcterms:W3CDTF">2020-06-19T12:26:00Z</dcterms:created>
  <dcterms:modified xsi:type="dcterms:W3CDTF">2020-06-19T21:27:00Z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a8a813-53e7-4f1d-90f2-cda32b87eb03_Enabled">
    <vt:lpwstr>True</vt:lpwstr>
  </property>
  <property fmtid="{D5CDD505-2E9C-101B-9397-08002B2CF9AE}" pid="3" name="MSIP_Label_eea8a813-53e7-4f1d-90f2-cda32b87eb03_SiteId">
    <vt:lpwstr>88b431e7-cf2a-43a9-bd00-81441f5c2d3c</vt:lpwstr>
  </property>
  <property fmtid="{D5CDD505-2E9C-101B-9397-08002B2CF9AE}" pid="4" name="MSIP_Label_eea8a813-53e7-4f1d-90f2-cda32b87eb03_Owner">
    <vt:lpwstr>DBELLAS@allstate.com</vt:lpwstr>
  </property>
  <property fmtid="{D5CDD505-2E9C-101B-9397-08002B2CF9AE}" pid="5" name="MSIP_Label_eea8a813-53e7-4f1d-90f2-cda32b87eb03_SetDate">
    <vt:lpwstr>2019-09-27T19:08:02.2426649Z</vt:lpwstr>
  </property>
  <property fmtid="{D5CDD505-2E9C-101B-9397-08002B2CF9AE}" pid="6" name="MSIP_Label_eea8a813-53e7-4f1d-90f2-cda32b87eb03_Name">
    <vt:lpwstr>Internal</vt:lpwstr>
  </property>
  <property fmtid="{D5CDD505-2E9C-101B-9397-08002B2CF9AE}" pid="7" name="MSIP_Label_eea8a813-53e7-4f1d-90f2-cda32b87eb03_Application">
    <vt:lpwstr>Microsoft Azure Information Protection</vt:lpwstr>
  </property>
  <property fmtid="{D5CDD505-2E9C-101B-9397-08002B2CF9AE}" pid="8" name="MSIP_Label_eea8a813-53e7-4f1d-90f2-cda32b87eb03_Extended_MSFT_Method">
    <vt:lpwstr>Manual</vt:lpwstr>
  </property>
  <property fmtid="{D5CDD505-2E9C-101B-9397-08002B2CF9AE}" pid="9" name="MSIP_Label_42db8a26-2b46-4c76-916d-d46abcb4bdb2_Enabled">
    <vt:lpwstr>True</vt:lpwstr>
  </property>
  <property fmtid="{D5CDD505-2E9C-101B-9397-08002B2CF9AE}" pid="10" name="MSIP_Label_42db8a26-2b46-4c76-916d-d46abcb4bdb2_SiteId">
    <vt:lpwstr>88b431e7-cf2a-43a9-bd00-81441f5c2d3c</vt:lpwstr>
  </property>
  <property fmtid="{D5CDD505-2E9C-101B-9397-08002B2CF9AE}" pid="11" name="MSIP_Label_42db8a26-2b46-4c76-916d-d46abcb4bdb2_Owner">
    <vt:lpwstr>DBELLAS@allstate.com</vt:lpwstr>
  </property>
  <property fmtid="{D5CDD505-2E9C-101B-9397-08002B2CF9AE}" pid="12" name="MSIP_Label_42db8a26-2b46-4c76-916d-d46abcb4bdb2_SetDate">
    <vt:lpwstr>2019-09-27T19:08:02.2426649Z</vt:lpwstr>
  </property>
  <property fmtid="{D5CDD505-2E9C-101B-9397-08002B2CF9AE}" pid="13" name="MSIP_Label_42db8a26-2b46-4c76-916d-d46abcb4bdb2_Name">
    <vt:lpwstr>Watermark</vt:lpwstr>
  </property>
  <property fmtid="{D5CDD505-2E9C-101B-9397-08002B2CF9AE}" pid="14" name="MSIP_Label_42db8a26-2b46-4c76-916d-d46abcb4bdb2_Application">
    <vt:lpwstr>Microsoft Azure Information Protection</vt:lpwstr>
  </property>
  <property fmtid="{D5CDD505-2E9C-101B-9397-08002B2CF9AE}" pid="15" name="MSIP_Label_42db8a26-2b46-4c76-916d-d46abcb4bdb2_Parent">
    <vt:lpwstr>eea8a813-53e7-4f1d-90f2-cda32b87eb03</vt:lpwstr>
  </property>
  <property fmtid="{D5CDD505-2E9C-101B-9397-08002B2CF9AE}" pid="16" name="MSIP_Label_42db8a26-2b46-4c76-916d-d46abcb4bdb2_Extended_MSFT_Method">
    <vt:lpwstr>Manual</vt:lpwstr>
  </property>
  <property fmtid="{D5CDD505-2E9C-101B-9397-08002B2CF9AE}" pid="17" name="Sensitivity">
    <vt:lpwstr>Internal Watermark</vt:lpwstr>
  </property>
  <property fmtid="{D5CDD505-2E9C-101B-9397-08002B2CF9AE}" pid="18" name="ContentTypeId">
    <vt:lpwstr>0x010100CA547EA44208E048A8DF8E5515EB46E8</vt:lpwstr>
  </property>
</Properties>
</file>