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4428"/>
        <w:gridCol w:w="4428"/>
      </w:tblGrid>
      <w:tr w:rsidR="00AE5757" w14:paraId="69A4D497" w14:textId="77777777" w:rsidTr="00C37D63">
        <w:trPr>
          <w:cantSplit/>
        </w:trPr>
        <w:tc>
          <w:tcPr>
            <w:tcW w:w="4428" w:type="dxa"/>
            <w:hideMark/>
          </w:tcPr>
          <w:p w14:paraId="01E15DE6" w14:textId="77777777" w:rsidR="00AE5757" w:rsidRDefault="00AE5757" w:rsidP="00C37D63">
            <w:pPr>
              <w:pStyle w:val="Header"/>
            </w:pPr>
            <w:r>
              <w:rPr>
                <w:b/>
              </w:rPr>
              <w:t>D. Keith Bell, CPA</w:t>
            </w:r>
          </w:p>
          <w:p w14:paraId="3DDBF3E2" w14:textId="77777777" w:rsidR="00AE5757" w:rsidRDefault="00AE5757" w:rsidP="00C37D63">
            <w:pPr>
              <w:pStyle w:val="Header"/>
            </w:pPr>
            <w:r>
              <w:t>Senior Vice President</w:t>
            </w:r>
          </w:p>
          <w:p w14:paraId="3A27E8D7" w14:textId="77777777" w:rsidR="00AE5757" w:rsidRDefault="00AE5757" w:rsidP="00C37D63">
            <w:pPr>
              <w:pStyle w:val="Header"/>
            </w:pPr>
            <w:r>
              <w:t>Accounting Policy</w:t>
            </w:r>
          </w:p>
          <w:p w14:paraId="281C5261" w14:textId="77777777" w:rsidR="00AE5757" w:rsidRDefault="00AE5757" w:rsidP="00C37D63">
            <w:pPr>
              <w:pStyle w:val="Header"/>
            </w:pPr>
            <w:r>
              <w:t>Corporate Finance</w:t>
            </w:r>
          </w:p>
          <w:p w14:paraId="619117A5" w14:textId="77777777" w:rsidR="00AE5757" w:rsidRDefault="00AE5757" w:rsidP="00C37D63">
            <w:pPr>
              <w:pStyle w:val="Header"/>
            </w:pPr>
            <w:r>
              <w:t>The Travelers Companies, Inc.</w:t>
            </w:r>
          </w:p>
          <w:p w14:paraId="16450EED" w14:textId="77777777" w:rsidR="00AE5757" w:rsidRPr="00AD222F" w:rsidRDefault="00AE5757" w:rsidP="00C37D63">
            <w:pPr>
              <w:pStyle w:val="Header"/>
              <w:rPr>
                <w:lang w:val="fr-FR"/>
              </w:rPr>
            </w:pPr>
            <w:r w:rsidRPr="00AD222F">
              <w:rPr>
                <w:lang w:val="fr-FR"/>
              </w:rPr>
              <w:t>860-277-0537; FAX 860-954-3708</w:t>
            </w:r>
          </w:p>
          <w:p w14:paraId="725A68D8" w14:textId="77777777" w:rsidR="00AE5757" w:rsidRPr="00AD222F" w:rsidRDefault="00AE5757" w:rsidP="00C37D63">
            <w:pPr>
              <w:pStyle w:val="Header"/>
              <w:rPr>
                <w:b/>
                <w:lang w:val="fr-FR"/>
              </w:rPr>
            </w:pPr>
            <w:r w:rsidRPr="00AD222F">
              <w:rPr>
                <w:lang w:val="fr-FR"/>
              </w:rPr>
              <w:t xml:space="preserve">Email:  </w:t>
            </w:r>
            <w:hyperlink r:id="rId8" w:history="1">
              <w:r w:rsidRPr="00AD222F">
                <w:rPr>
                  <w:rStyle w:val="Hyperlink"/>
                  <w:lang w:val="fr-FR"/>
                </w:rPr>
                <w:t>d.keith.bell@travelers.com</w:t>
              </w:r>
            </w:hyperlink>
          </w:p>
        </w:tc>
        <w:tc>
          <w:tcPr>
            <w:tcW w:w="4428" w:type="dxa"/>
          </w:tcPr>
          <w:p w14:paraId="11752301" w14:textId="77777777" w:rsidR="00AE5757" w:rsidRDefault="00AE5757" w:rsidP="00C37D63">
            <w:pPr>
              <w:pStyle w:val="Header"/>
            </w:pPr>
            <w:r>
              <w:rPr>
                <w:b/>
              </w:rPr>
              <w:t>Rose Albrizio, CPA</w:t>
            </w:r>
          </w:p>
          <w:p w14:paraId="55CC8CA4" w14:textId="0598B164" w:rsidR="00AE5757" w:rsidRDefault="00D66BD9" w:rsidP="00C37D63">
            <w:pPr>
              <w:pStyle w:val="Header"/>
            </w:pPr>
            <w:r>
              <w:t>Lead Director</w:t>
            </w:r>
          </w:p>
          <w:p w14:paraId="233C6106" w14:textId="77777777" w:rsidR="00AE5757" w:rsidRDefault="00AE5757" w:rsidP="00C37D63">
            <w:pPr>
              <w:pStyle w:val="Header"/>
            </w:pPr>
            <w:r>
              <w:t>Accounting Practices</w:t>
            </w:r>
          </w:p>
          <w:p w14:paraId="5E62D6CE" w14:textId="6027E43B" w:rsidR="00AE5757" w:rsidRDefault="00AE5757" w:rsidP="00C37D63">
            <w:pPr>
              <w:pStyle w:val="Header"/>
            </w:pPr>
            <w:r>
              <w:t>Equitable</w:t>
            </w:r>
          </w:p>
          <w:p w14:paraId="10D77C73" w14:textId="77777777" w:rsidR="00AE5757" w:rsidRDefault="00AE5757" w:rsidP="00C37D63">
            <w:pPr>
              <w:pStyle w:val="Header"/>
            </w:pPr>
            <w:r>
              <w:t>201-743-7221</w:t>
            </w:r>
          </w:p>
          <w:p w14:paraId="35CDF290" w14:textId="245BCE88" w:rsidR="00AE5757" w:rsidRDefault="00AE5757" w:rsidP="00C37D63">
            <w:pPr>
              <w:pStyle w:val="Header"/>
            </w:pPr>
            <w:r>
              <w:t xml:space="preserve">Email: </w:t>
            </w:r>
            <w:hyperlink r:id="rId9" w:history="1">
              <w:r w:rsidR="00D66BD9" w:rsidRPr="00B2148C">
                <w:rPr>
                  <w:rStyle w:val="Hyperlink"/>
                </w:rPr>
                <w:t>rosemarie.albrizio@equitable.com</w:t>
              </w:r>
            </w:hyperlink>
          </w:p>
          <w:p w14:paraId="38DF4D4A" w14:textId="77777777" w:rsidR="00AE5757" w:rsidRDefault="00AE5757" w:rsidP="00C37D63">
            <w:pPr>
              <w:pStyle w:val="Header"/>
            </w:pPr>
          </w:p>
        </w:tc>
      </w:tr>
    </w:tbl>
    <w:p w14:paraId="737C9459" w14:textId="77777777" w:rsidR="00AE5757" w:rsidRDefault="00AE5757" w:rsidP="00AE5757">
      <w:pPr>
        <w:rPr>
          <w:rFonts w:asciiTheme="minorHAnsi" w:hAnsiTheme="minorHAnsi" w:cstheme="minorHAnsi"/>
          <w:szCs w:val="22"/>
        </w:rPr>
      </w:pPr>
    </w:p>
    <w:p w14:paraId="0D53FEF7" w14:textId="07E8D1B3" w:rsidR="00AE5757" w:rsidRPr="00D924F4" w:rsidRDefault="00AE5757" w:rsidP="00AE5757">
      <w:pPr>
        <w:rPr>
          <w:szCs w:val="22"/>
        </w:rPr>
      </w:pPr>
      <w:r w:rsidRPr="00D924F4">
        <w:rPr>
          <w:szCs w:val="22"/>
        </w:rPr>
        <w:t>Ju</w:t>
      </w:r>
      <w:r w:rsidR="005A2508" w:rsidRPr="00D924F4">
        <w:rPr>
          <w:szCs w:val="22"/>
        </w:rPr>
        <w:t>ly 31</w:t>
      </w:r>
      <w:r w:rsidRPr="00D924F4">
        <w:rPr>
          <w:szCs w:val="22"/>
        </w:rPr>
        <w:t>, 2020</w:t>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r w:rsidRPr="00D924F4">
        <w:rPr>
          <w:szCs w:val="22"/>
        </w:rPr>
        <w:tab/>
      </w:r>
    </w:p>
    <w:p w14:paraId="6A68FB1B" w14:textId="77777777" w:rsidR="00AE5757" w:rsidRPr="00D924F4" w:rsidRDefault="00AE5757" w:rsidP="00AE5757">
      <w:pPr>
        <w:rPr>
          <w:szCs w:val="22"/>
        </w:rPr>
      </w:pPr>
      <w:r w:rsidRPr="00D924F4">
        <w:rPr>
          <w:szCs w:val="22"/>
        </w:rPr>
        <w:t>Mr. Dale Bruggeman, Chairman</w:t>
      </w:r>
    </w:p>
    <w:p w14:paraId="58762F8C" w14:textId="77777777" w:rsidR="00AE5757" w:rsidRPr="00D924F4" w:rsidRDefault="00AE5757" w:rsidP="00AE5757">
      <w:pPr>
        <w:rPr>
          <w:szCs w:val="22"/>
        </w:rPr>
      </w:pPr>
      <w:r w:rsidRPr="00D924F4">
        <w:rPr>
          <w:szCs w:val="22"/>
        </w:rPr>
        <w:t>Statutory Accounting Principles Working Group</w:t>
      </w:r>
    </w:p>
    <w:p w14:paraId="490AE78C" w14:textId="77777777" w:rsidR="00AE5757" w:rsidRPr="00D924F4" w:rsidRDefault="00AE5757" w:rsidP="00AE5757">
      <w:pPr>
        <w:rPr>
          <w:szCs w:val="22"/>
        </w:rPr>
      </w:pPr>
      <w:r w:rsidRPr="00D924F4">
        <w:rPr>
          <w:szCs w:val="22"/>
        </w:rPr>
        <w:t>National Association of Insurance Commissioners</w:t>
      </w:r>
    </w:p>
    <w:p w14:paraId="4261CFF5" w14:textId="77777777" w:rsidR="00AE5757" w:rsidRPr="00D924F4" w:rsidRDefault="00AE5757" w:rsidP="00AE5757">
      <w:pPr>
        <w:rPr>
          <w:szCs w:val="22"/>
        </w:rPr>
      </w:pPr>
      <w:r w:rsidRPr="00D924F4">
        <w:rPr>
          <w:szCs w:val="22"/>
        </w:rPr>
        <w:t>1100 Walnut Street, Suite 1500</w:t>
      </w:r>
      <w:r w:rsidRPr="00D924F4">
        <w:rPr>
          <w:szCs w:val="22"/>
        </w:rPr>
        <w:br/>
        <w:t>Kansas City, MO 64106-2197</w:t>
      </w:r>
    </w:p>
    <w:p w14:paraId="3D73CBA3" w14:textId="77777777" w:rsidR="00AE5757" w:rsidRPr="00D924F4" w:rsidRDefault="00AE5757" w:rsidP="00AE5757">
      <w:pPr>
        <w:tabs>
          <w:tab w:val="left" w:pos="2813"/>
        </w:tabs>
        <w:rPr>
          <w:szCs w:val="22"/>
        </w:rPr>
      </w:pPr>
    </w:p>
    <w:p w14:paraId="1E57F9B1" w14:textId="61131CAB" w:rsidR="00AE5757" w:rsidRPr="00D924F4" w:rsidRDefault="00AE5757" w:rsidP="00AE5757">
      <w:pPr>
        <w:autoSpaceDE w:val="0"/>
        <w:autoSpaceDN w:val="0"/>
        <w:rPr>
          <w:i/>
          <w:iCs/>
          <w:szCs w:val="22"/>
        </w:rPr>
      </w:pPr>
      <w:r w:rsidRPr="00D924F4">
        <w:rPr>
          <w:szCs w:val="22"/>
        </w:rPr>
        <w:t xml:space="preserve">RE:  </w:t>
      </w:r>
      <w:bookmarkStart w:id="0" w:name="_GoBack"/>
      <w:r w:rsidRPr="00D924F4">
        <w:rPr>
          <w:szCs w:val="22"/>
        </w:rPr>
        <w:t>Ref #201</w:t>
      </w:r>
      <w:r w:rsidR="00C37D63" w:rsidRPr="00D924F4">
        <w:rPr>
          <w:szCs w:val="22"/>
        </w:rPr>
        <w:t xml:space="preserve">9-21, SSAP No. 43R </w:t>
      </w:r>
      <w:bookmarkEnd w:id="0"/>
    </w:p>
    <w:p w14:paraId="3012CE19" w14:textId="77777777" w:rsidR="00AE5757" w:rsidRPr="00D924F4" w:rsidRDefault="00AE5757" w:rsidP="00AE5757">
      <w:pPr>
        <w:ind w:left="720" w:hanging="720"/>
        <w:rPr>
          <w:szCs w:val="22"/>
        </w:rPr>
      </w:pPr>
    </w:p>
    <w:p w14:paraId="5C7963E8" w14:textId="77777777" w:rsidR="00AE5757" w:rsidRPr="00D924F4" w:rsidRDefault="00AE5757" w:rsidP="00AE5757">
      <w:pPr>
        <w:ind w:left="720" w:hanging="720"/>
        <w:rPr>
          <w:szCs w:val="22"/>
        </w:rPr>
      </w:pPr>
      <w:r w:rsidRPr="00D924F4">
        <w:rPr>
          <w:szCs w:val="22"/>
        </w:rPr>
        <w:t>Dear Mr. Bruggeman:</w:t>
      </w:r>
    </w:p>
    <w:p w14:paraId="2C382B49" w14:textId="77777777" w:rsidR="00AE5757" w:rsidRPr="00D924F4" w:rsidRDefault="00AE5757">
      <w:pPr>
        <w:rPr>
          <w:b/>
          <w:szCs w:val="22"/>
        </w:rPr>
      </w:pPr>
    </w:p>
    <w:p w14:paraId="46C71665" w14:textId="6E2420B7" w:rsidR="00B17020" w:rsidRPr="00D924F4" w:rsidRDefault="003636AB" w:rsidP="002B1EAD">
      <w:pPr>
        <w:pStyle w:val="Default"/>
        <w:jc w:val="both"/>
        <w:rPr>
          <w:sz w:val="22"/>
          <w:szCs w:val="22"/>
        </w:rPr>
      </w:pPr>
      <w:r w:rsidRPr="00D924F4">
        <w:rPr>
          <w:sz w:val="22"/>
          <w:szCs w:val="22"/>
        </w:rPr>
        <w:t xml:space="preserve">Interested </w:t>
      </w:r>
      <w:r w:rsidR="00A7432E">
        <w:rPr>
          <w:sz w:val="22"/>
          <w:szCs w:val="22"/>
        </w:rPr>
        <w:t>p</w:t>
      </w:r>
      <w:r w:rsidRPr="00D924F4">
        <w:rPr>
          <w:sz w:val="22"/>
          <w:szCs w:val="22"/>
        </w:rPr>
        <w:t>arties would like to thank</w:t>
      </w:r>
      <w:r w:rsidR="00555489" w:rsidRPr="00D924F4">
        <w:rPr>
          <w:sz w:val="22"/>
          <w:szCs w:val="22"/>
        </w:rPr>
        <w:t xml:space="preserve"> the</w:t>
      </w:r>
      <w:r w:rsidRPr="00D924F4">
        <w:rPr>
          <w:sz w:val="22"/>
          <w:szCs w:val="22"/>
        </w:rPr>
        <w:t xml:space="preserve"> </w:t>
      </w:r>
      <w:r w:rsidR="00916E0A" w:rsidRPr="00D924F4">
        <w:rPr>
          <w:sz w:val="22"/>
          <w:szCs w:val="22"/>
        </w:rPr>
        <w:t>Statutory Accounting Principles Working Group (SAPWG)</w:t>
      </w:r>
      <w:r w:rsidRPr="00D924F4">
        <w:rPr>
          <w:sz w:val="22"/>
          <w:szCs w:val="22"/>
        </w:rPr>
        <w:t xml:space="preserve"> for the opportunity to comment on the exposed issue paper in Reference #2019-21 – SSAP No. 43R, Loan-Backed and Structured Securities (the </w:t>
      </w:r>
      <w:r w:rsidR="001C1083" w:rsidRPr="00D924F4">
        <w:rPr>
          <w:sz w:val="22"/>
          <w:szCs w:val="22"/>
        </w:rPr>
        <w:t>“</w:t>
      </w:r>
      <w:r w:rsidRPr="00D924F4">
        <w:rPr>
          <w:sz w:val="22"/>
          <w:szCs w:val="22"/>
        </w:rPr>
        <w:t>Issue Paper</w:t>
      </w:r>
      <w:r w:rsidR="001C1083" w:rsidRPr="00D924F4">
        <w:rPr>
          <w:sz w:val="22"/>
          <w:szCs w:val="22"/>
        </w:rPr>
        <w:t>”</w:t>
      </w:r>
      <w:r w:rsidRPr="00D924F4">
        <w:rPr>
          <w:sz w:val="22"/>
          <w:szCs w:val="22"/>
        </w:rPr>
        <w:t xml:space="preserve"> or </w:t>
      </w:r>
      <w:r w:rsidR="001C1083" w:rsidRPr="00D924F4">
        <w:rPr>
          <w:sz w:val="22"/>
          <w:szCs w:val="22"/>
        </w:rPr>
        <w:t>“</w:t>
      </w:r>
      <w:r w:rsidRPr="00D924F4">
        <w:rPr>
          <w:sz w:val="22"/>
          <w:szCs w:val="22"/>
        </w:rPr>
        <w:t>Exposure</w:t>
      </w:r>
      <w:r w:rsidR="001C1083" w:rsidRPr="00D924F4">
        <w:rPr>
          <w:sz w:val="22"/>
          <w:szCs w:val="22"/>
        </w:rPr>
        <w:t>”</w:t>
      </w:r>
      <w:r w:rsidRPr="00D924F4">
        <w:rPr>
          <w:sz w:val="22"/>
          <w:szCs w:val="22"/>
        </w:rPr>
        <w:t xml:space="preserve">). </w:t>
      </w:r>
      <w:r w:rsidR="008507BF" w:rsidRPr="00D924F4">
        <w:rPr>
          <w:sz w:val="22"/>
          <w:szCs w:val="22"/>
        </w:rPr>
        <w:t xml:space="preserve">Interested </w:t>
      </w:r>
      <w:r w:rsidR="00A7432E">
        <w:rPr>
          <w:sz w:val="22"/>
          <w:szCs w:val="22"/>
        </w:rPr>
        <w:t>p</w:t>
      </w:r>
      <w:r w:rsidR="008507BF" w:rsidRPr="00D924F4">
        <w:rPr>
          <w:sz w:val="22"/>
          <w:szCs w:val="22"/>
        </w:rPr>
        <w:t>arties have been challenged by the complexity and difficulty of the issues involved.  Investment professionals who are accustomed to thinking of asset-backed securities as a discret</w:t>
      </w:r>
      <w:r w:rsidR="00C11DD7" w:rsidRPr="00D924F4">
        <w:rPr>
          <w:sz w:val="22"/>
          <w:szCs w:val="22"/>
        </w:rPr>
        <w:t>e</w:t>
      </w:r>
      <w:r w:rsidR="008507BF" w:rsidRPr="00D924F4">
        <w:rPr>
          <w:sz w:val="22"/>
          <w:szCs w:val="22"/>
        </w:rPr>
        <w:t xml:space="preserve"> set of investments, </w:t>
      </w:r>
      <w:r w:rsidR="00EE4114" w:rsidRPr="00D924F4">
        <w:rPr>
          <w:sz w:val="22"/>
          <w:szCs w:val="22"/>
        </w:rPr>
        <w:t>were also</w:t>
      </w:r>
      <w:r w:rsidR="007933D7" w:rsidRPr="00D924F4">
        <w:rPr>
          <w:sz w:val="22"/>
          <w:szCs w:val="22"/>
        </w:rPr>
        <w:t xml:space="preserve"> </w:t>
      </w:r>
      <w:r w:rsidR="00F94746" w:rsidRPr="00D924F4">
        <w:rPr>
          <w:sz w:val="22"/>
          <w:szCs w:val="22"/>
        </w:rPr>
        <w:t>concerned</w:t>
      </w:r>
      <w:r w:rsidR="008507BF" w:rsidRPr="00D924F4">
        <w:rPr>
          <w:sz w:val="22"/>
          <w:szCs w:val="22"/>
        </w:rPr>
        <w:t xml:space="preserve"> to find proposed changes to underlying accounting definitions that have the potential for wide-ranging consequences affecting fixed income </w:t>
      </w:r>
      <w:r w:rsidR="00C6350A" w:rsidRPr="00D924F4">
        <w:rPr>
          <w:sz w:val="22"/>
          <w:szCs w:val="22"/>
        </w:rPr>
        <w:t>securities</w:t>
      </w:r>
      <w:r w:rsidR="00EE4114" w:rsidRPr="00D924F4">
        <w:rPr>
          <w:sz w:val="22"/>
          <w:szCs w:val="22"/>
        </w:rPr>
        <w:t xml:space="preserve"> more</w:t>
      </w:r>
      <w:r w:rsidR="008507BF" w:rsidRPr="00D924F4">
        <w:rPr>
          <w:sz w:val="22"/>
          <w:szCs w:val="22"/>
        </w:rPr>
        <w:t xml:space="preserve"> generally.</w:t>
      </w:r>
    </w:p>
    <w:p w14:paraId="15E8668F" w14:textId="77777777" w:rsidR="00B17020" w:rsidRPr="00D924F4" w:rsidRDefault="00B17020" w:rsidP="002B1EAD">
      <w:pPr>
        <w:pStyle w:val="Default"/>
        <w:jc w:val="both"/>
        <w:rPr>
          <w:sz w:val="22"/>
          <w:szCs w:val="22"/>
        </w:rPr>
      </w:pPr>
    </w:p>
    <w:p w14:paraId="25AB9273" w14:textId="7C99A163" w:rsidR="002018A5" w:rsidRPr="00D924F4" w:rsidRDefault="008507BF" w:rsidP="009B6022">
      <w:pPr>
        <w:pStyle w:val="Default"/>
        <w:tabs>
          <w:tab w:val="left" w:pos="4590"/>
        </w:tabs>
        <w:jc w:val="both"/>
        <w:rPr>
          <w:sz w:val="22"/>
          <w:szCs w:val="22"/>
        </w:rPr>
      </w:pPr>
      <w:r w:rsidRPr="00D924F4">
        <w:rPr>
          <w:sz w:val="22"/>
          <w:szCs w:val="22"/>
        </w:rPr>
        <w:t>I</w:t>
      </w:r>
      <w:r w:rsidR="00D9573F" w:rsidRPr="00D924F4">
        <w:rPr>
          <w:sz w:val="22"/>
          <w:szCs w:val="22"/>
        </w:rPr>
        <w:t xml:space="preserve">nterested </w:t>
      </w:r>
      <w:r w:rsidR="00A7432E">
        <w:rPr>
          <w:sz w:val="22"/>
          <w:szCs w:val="22"/>
        </w:rPr>
        <w:t>p</w:t>
      </w:r>
      <w:r w:rsidR="00D9573F" w:rsidRPr="00D924F4">
        <w:rPr>
          <w:sz w:val="22"/>
          <w:szCs w:val="22"/>
        </w:rPr>
        <w:t>arties have provided comments directly on each question included wi</w:t>
      </w:r>
      <w:r w:rsidR="00951CD0" w:rsidRPr="00D924F4">
        <w:rPr>
          <w:sz w:val="22"/>
          <w:szCs w:val="22"/>
        </w:rPr>
        <w:t>thin the various</w:t>
      </w:r>
      <w:r w:rsidR="00D9573F" w:rsidRPr="00D924F4">
        <w:rPr>
          <w:sz w:val="22"/>
          <w:szCs w:val="22"/>
        </w:rPr>
        <w:t xml:space="preserve"> section</w:t>
      </w:r>
      <w:r w:rsidR="00951CD0" w:rsidRPr="00D924F4">
        <w:rPr>
          <w:sz w:val="22"/>
          <w:szCs w:val="22"/>
        </w:rPr>
        <w:t>s</w:t>
      </w:r>
      <w:r w:rsidR="00D9573F" w:rsidRPr="00D924F4">
        <w:rPr>
          <w:sz w:val="22"/>
          <w:szCs w:val="22"/>
        </w:rPr>
        <w:t xml:space="preserve"> of the Issue Paper.  However, because </w:t>
      </w:r>
      <w:r w:rsidR="00E34A1C" w:rsidRPr="00D924F4">
        <w:rPr>
          <w:sz w:val="22"/>
          <w:szCs w:val="22"/>
        </w:rPr>
        <w:t xml:space="preserve">Interested </w:t>
      </w:r>
      <w:r w:rsidR="00A7432E">
        <w:rPr>
          <w:sz w:val="22"/>
          <w:szCs w:val="22"/>
        </w:rPr>
        <w:t>p</w:t>
      </w:r>
      <w:r w:rsidR="00E34A1C" w:rsidRPr="00D924F4">
        <w:rPr>
          <w:sz w:val="22"/>
          <w:szCs w:val="22"/>
        </w:rPr>
        <w:t>arties were challenged by much of what was proposed in sections 5a through 5e</w:t>
      </w:r>
      <w:r w:rsidRPr="00D924F4">
        <w:rPr>
          <w:sz w:val="22"/>
          <w:szCs w:val="22"/>
        </w:rPr>
        <w:t xml:space="preserve"> and have struggled to unravel all of the disparate threads woven throughout the Issue Paper,</w:t>
      </w:r>
      <w:r w:rsidR="00D9573F" w:rsidRPr="00D924F4">
        <w:rPr>
          <w:sz w:val="22"/>
          <w:szCs w:val="22"/>
        </w:rPr>
        <w:t xml:space="preserve"> </w:t>
      </w:r>
      <w:r w:rsidR="00E34A1C" w:rsidRPr="00D924F4">
        <w:rPr>
          <w:sz w:val="22"/>
          <w:szCs w:val="22"/>
        </w:rPr>
        <w:t xml:space="preserve">we </w:t>
      </w:r>
      <w:r w:rsidR="00D9573F" w:rsidRPr="00D924F4">
        <w:rPr>
          <w:sz w:val="22"/>
          <w:szCs w:val="22"/>
        </w:rPr>
        <w:t>have also summarized</w:t>
      </w:r>
      <w:r w:rsidR="00F94746" w:rsidRPr="00D924F4">
        <w:rPr>
          <w:sz w:val="22"/>
          <w:szCs w:val="22"/>
        </w:rPr>
        <w:t xml:space="preserve"> many of</w:t>
      </w:r>
      <w:r w:rsidR="00D9573F" w:rsidRPr="00D924F4">
        <w:rPr>
          <w:sz w:val="22"/>
          <w:szCs w:val="22"/>
        </w:rPr>
        <w:t xml:space="preserve"> those comments</w:t>
      </w:r>
      <w:r w:rsidR="00E34A1C" w:rsidRPr="00D924F4">
        <w:rPr>
          <w:sz w:val="22"/>
          <w:szCs w:val="22"/>
        </w:rPr>
        <w:t xml:space="preserve"> immediately following</w:t>
      </w:r>
      <w:r w:rsidR="007B752D" w:rsidRPr="00D924F4">
        <w:rPr>
          <w:sz w:val="22"/>
          <w:szCs w:val="22"/>
        </w:rPr>
        <w:t xml:space="preserve"> the below table of contents</w:t>
      </w:r>
      <w:r w:rsidR="00EC4743" w:rsidRPr="00D924F4">
        <w:rPr>
          <w:sz w:val="22"/>
          <w:szCs w:val="22"/>
        </w:rPr>
        <w:t>.  The table of contents</w:t>
      </w:r>
      <w:r w:rsidR="00B43408" w:rsidRPr="00D924F4">
        <w:rPr>
          <w:sz w:val="22"/>
          <w:szCs w:val="22"/>
        </w:rPr>
        <w:t xml:space="preserve"> coincide</w:t>
      </w:r>
      <w:r w:rsidR="00EC4743" w:rsidRPr="00D924F4">
        <w:rPr>
          <w:sz w:val="22"/>
          <w:szCs w:val="22"/>
        </w:rPr>
        <w:t>s</w:t>
      </w:r>
      <w:r w:rsidR="00B43408" w:rsidRPr="00D924F4">
        <w:rPr>
          <w:sz w:val="22"/>
          <w:szCs w:val="22"/>
        </w:rPr>
        <w:t xml:space="preserve"> with the various sections of the Exposure and</w:t>
      </w:r>
      <w:r w:rsidR="002E4FF8" w:rsidRPr="00D924F4">
        <w:rPr>
          <w:sz w:val="22"/>
          <w:szCs w:val="22"/>
        </w:rPr>
        <w:t xml:space="preserve"> </w:t>
      </w:r>
      <w:r w:rsidR="00EC4743" w:rsidRPr="00D924F4">
        <w:rPr>
          <w:sz w:val="22"/>
          <w:szCs w:val="22"/>
        </w:rPr>
        <w:t xml:space="preserve">helps </w:t>
      </w:r>
      <w:r w:rsidR="007B752D" w:rsidRPr="00D924F4">
        <w:rPr>
          <w:sz w:val="22"/>
          <w:szCs w:val="22"/>
        </w:rPr>
        <w:t>facilitate navigation for the reader.</w:t>
      </w:r>
    </w:p>
    <w:p w14:paraId="29D72119" w14:textId="3D1D861D" w:rsidR="007B752D" w:rsidRPr="00D924F4" w:rsidRDefault="007B752D" w:rsidP="002B1EAD">
      <w:pPr>
        <w:pStyle w:val="Default"/>
        <w:jc w:val="both"/>
        <w:rPr>
          <w:sz w:val="22"/>
          <w:szCs w:val="22"/>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455"/>
        <w:gridCol w:w="895"/>
      </w:tblGrid>
      <w:tr w:rsidR="002E4FF8" w:rsidRPr="00D924F4" w14:paraId="6B3317B1" w14:textId="77777777" w:rsidTr="007933D7">
        <w:tc>
          <w:tcPr>
            <w:tcW w:w="8455" w:type="dxa"/>
            <w:shd w:val="clear" w:color="auto" w:fill="FFFFFF" w:themeFill="background1"/>
          </w:tcPr>
          <w:p w14:paraId="5C6ED659" w14:textId="33A61005" w:rsidR="002E4FF8" w:rsidRPr="00D924F4" w:rsidRDefault="00F94746" w:rsidP="002B1EAD">
            <w:pPr>
              <w:pStyle w:val="Default"/>
              <w:jc w:val="both"/>
              <w:rPr>
                <w:sz w:val="22"/>
                <w:szCs w:val="22"/>
              </w:rPr>
            </w:pPr>
            <w:r w:rsidRPr="00D924F4">
              <w:rPr>
                <w:sz w:val="22"/>
                <w:szCs w:val="22"/>
              </w:rPr>
              <w:t xml:space="preserve">Preamble – </w:t>
            </w:r>
            <w:r w:rsidR="002E4FF8" w:rsidRPr="00D924F4">
              <w:rPr>
                <w:sz w:val="22"/>
                <w:szCs w:val="22"/>
              </w:rPr>
              <w:t>Interested Party Summary Comments</w:t>
            </w:r>
          </w:p>
        </w:tc>
        <w:tc>
          <w:tcPr>
            <w:tcW w:w="895" w:type="dxa"/>
            <w:shd w:val="clear" w:color="auto" w:fill="FFFFFF" w:themeFill="background1"/>
          </w:tcPr>
          <w:p w14:paraId="23220553" w14:textId="6A05ABC3" w:rsidR="002E4FF8" w:rsidRPr="00D924F4" w:rsidRDefault="00FC7256" w:rsidP="0074033C">
            <w:pPr>
              <w:pStyle w:val="Default"/>
              <w:jc w:val="center"/>
              <w:rPr>
                <w:sz w:val="22"/>
                <w:szCs w:val="22"/>
              </w:rPr>
            </w:pPr>
            <w:r w:rsidRPr="00D924F4">
              <w:rPr>
                <w:sz w:val="22"/>
                <w:szCs w:val="22"/>
              </w:rPr>
              <w:t>2</w:t>
            </w:r>
            <w:r w:rsidR="008A5D39" w:rsidRPr="00D924F4">
              <w:rPr>
                <w:sz w:val="22"/>
                <w:szCs w:val="22"/>
              </w:rPr>
              <w:t xml:space="preserve"> </w:t>
            </w:r>
            <w:r w:rsidR="0074033C" w:rsidRPr="00D924F4">
              <w:rPr>
                <w:sz w:val="22"/>
                <w:szCs w:val="22"/>
              </w:rPr>
              <w:t>–</w:t>
            </w:r>
            <w:r w:rsidR="008A5D39" w:rsidRPr="00D924F4">
              <w:rPr>
                <w:sz w:val="22"/>
                <w:szCs w:val="22"/>
              </w:rPr>
              <w:t xml:space="preserve"> 9</w:t>
            </w:r>
          </w:p>
        </w:tc>
      </w:tr>
      <w:tr w:rsidR="002E4FF8" w:rsidRPr="00D924F4" w14:paraId="71852961" w14:textId="77777777" w:rsidTr="007933D7">
        <w:tc>
          <w:tcPr>
            <w:tcW w:w="8455" w:type="dxa"/>
            <w:shd w:val="clear" w:color="auto" w:fill="FFFFFF" w:themeFill="background1"/>
          </w:tcPr>
          <w:p w14:paraId="2220D9A3" w14:textId="7DD408C1" w:rsidR="002E4FF8" w:rsidRPr="00D924F4" w:rsidRDefault="00B43408" w:rsidP="002B1EAD">
            <w:pPr>
              <w:pStyle w:val="Default"/>
              <w:jc w:val="both"/>
              <w:rPr>
                <w:sz w:val="22"/>
                <w:szCs w:val="22"/>
              </w:rPr>
            </w:pPr>
            <w:r w:rsidRPr="00D924F4">
              <w:rPr>
                <w:sz w:val="22"/>
                <w:szCs w:val="22"/>
              </w:rPr>
              <w:t>Section 1 – Summary of Issue (Includes History / Benefits / Concepts / Key Issues)</w:t>
            </w:r>
          </w:p>
        </w:tc>
        <w:tc>
          <w:tcPr>
            <w:tcW w:w="895" w:type="dxa"/>
            <w:shd w:val="clear" w:color="auto" w:fill="FFFFFF" w:themeFill="background1"/>
          </w:tcPr>
          <w:p w14:paraId="614A1143" w14:textId="4254CF81" w:rsidR="002E4FF8" w:rsidRPr="00D924F4" w:rsidRDefault="008A5D39" w:rsidP="0074033C">
            <w:pPr>
              <w:pStyle w:val="Default"/>
              <w:jc w:val="center"/>
              <w:rPr>
                <w:sz w:val="22"/>
                <w:szCs w:val="22"/>
              </w:rPr>
            </w:pPr>
            <w:r w:rsidRPr="00D924F4">
              <w:rPr>
                <w:sz w:val="22"/>
                <w:szCs w:val="22"/>
              </w:rPr>
              <w:t xml:space="preserve">10 </w:t>
            </w:r>
            <w:r w:rsidR="0074033C" w:rsidRPr="00D924F4">
              <w:rPr>
                <w:sz w:val="22"/>
                <w:szCs w:val="22"/>
              </w:rPr>
              <w:t>–</w:t>
            </w:r>
            <w:r w:rsidRPr="00D924F4">
              <w:rPr>
                <w:sz w:val="22"/>
                <w:szCs w:val="22"/>
              </w:rPr>
              <w:t xml:space="preserve"> 12</w:t>
            </w:r>
          </w:p>
        </w:tc>
      </w:tr>
      <w:tr w:rsidR="002E4FF8" w:rsidRPr="00D924F4" w14:paraId="7D6892DC" w14:textId="77777777" w:rsidTr="007933D7">
        <w:tc>
          <w:tcPr>
            <w:tcW w:w="8455" w:type="dxa"/>
            <w:shd w:val="clear" w:color="auto" w:fill="FFFFFF" w:themeFill="background1"/>
          </w:tcPr>
          <w:p w14:paraId="1C91599D" w14:textId="02060A50" w:rsidR="002E4FF8" w:rsidRPr="00D924F4" w:rsidRDefault="00B43408" w:rsidP="002B1EAD">
            <w:pPr>
              <w:pStyle w:val="Default"/>
              <w:jc w:val="both"/>
              <w:rPr>
                <w:sz w:val="22"/>
                <w:szCs w:val="22"/>
              </w:rPr>
            </w:pPr>
            <w:r w:rsidRPr="00D924F4">
              <w:rPr>
                <w:sz w:val="22"/>
                <w:szCs w:val="22"/>
              </w:rPr>
              <w:t>Section 2 – Defining Asset Backed Security</w:t>
            </w:r>
          </w:p>
        </w:tc>
        <w:tc>
          <w:tcPr>
            <w:tcW w:w="895" w:type="dxa"/>
            <w:shd w:val="clear" w:color="auto" w:fill="FFFFFF" w:themeFill="background1"/>
          </w:tcPr>
          <w:p w14:paraId="0F279AC1" w14:textId="0019A4A8" w:rsidR="002E4FF8" w:rsidRPr="00D924F4" w:rsidRDefault="0074033C" w:rsidP="0074033C">
            <w:pPr>
              <w:pStyle w:val="Default"/>
              <w:jc w:val="center"/>
              <w:rPr>
                <w:sz w:val="22"/>
                <w:szCs w:val="22"/>
              </w:rPr>
            </w:pPr>
            <w:r w:rsidRPr="00D924F4">
              <w:rPr>
                <w:sz w:val="22"/>
                <w:szCs w:val="22"/>
              </w:rPr>
              <w:t>13 – 17</w:t>
            </w:r>
          </w:p>
        </w:tc>
      </w:tr>
      <w:tr w:rsidR="002E4FF8" w:rsidRPr="00D924F4" w14:paraId="467F3EDE" w14:textId="77777777" w:rsidTr="007933D7">
        <w:tc>
          <w:tcPr>
            <w:tcW w:w="8455" w:type="dxa"/>
            <w:shd w:val="clear" w:color="auto" w:fill="FFFFFF" w:themeFill="background1"/>
          </w:tcPr>
          <w:p w14:paraId="2FD6FD55" w14:textId="2ACFF8EE" w:rsidR="002E4FF8" w:rsidRPr="00D924F4" w:rsidRDefault="00B43408" w:rsidP="002B1EAD">
            <w:pPr>
              <w:pStyle w:val="Default"/>
              <w:jc w:val="both"/>
              <w:rPr>
                <w:sz w:val="22"/>
                <w:szCs w:val="22"/>
              </w:rPr>
            </w:pPr>
            <w:r w:rsidRPr="00D924F4">
              <w:rPr>
                <w:sz w:val="22"/>
                <w:szCs w:val="22"/>
              </w:rPr>
              <w:t>Section 3 – Accounting and Reporting for Asset Backed Securities</w:t>
            </w:r>
          </w:p>
        </w:tc>
        <w:tc>
          <w:tcPr>
            <w:tcW w:w="895" w:type="dxa"/>
            <w:shd w:val="clear" w:color="auto" w:fill="FFFFFF" w:themeFill="background1"/>
          </w:tcPr>
          <w:p w14:paraId="65C15FA6" w14:textId="4289B991" w:rsidR="002E4FF8" w:rsidRPr="00D924F4" w:rsidRDefault="0074033C" w:rsidP="0074033C">
            <w:pPr>
              <w:pStyle w:val="Default"/>
              <w:jc w:val="center"/>
              <w:rPr>
                <w:sz w:val="22"/>
                <w:szCs w:val="22"/>
              </w:rPr>
            </w:pPr>
            <w:r w:rsidRPr="00D924F4">
              <w:rPr>
                <w:sz w:val="22"/>
                <w:szCs w:val="22"/>
              </w:rPr>
              <w:t>18 – 20</w:t>
            </w:r>
          </w:p>
        </w:tc>
      </w:tr>
      <w:tr w:rsidR="002E4FF8" w:rsidRPr="00D924F4" w14:paraId="0BC889FD" w14:textId="77777777" w:rsidTr="007933D7">
        <w:tc>
          <w:tcPr>
            <w:tcW w:w="8455" w:type="dxa"/>
            <w:shd w:val="clear" w:color="auto" w:fill="FFFFFF" w:themeFill="background1"/>
          </w:tcPr>
          <w:p w14:paraId="1A9BA324" w14:textId="5EA124CB" w:rsidR="00B43408" w:rsidRPr="00D924F4" w:rsidRDefault="00B43408" w:rsidP="002B1EAD">
            <w:pPr>
              <w:pStyle w:val="Default"/>
              <w:jc w:val="both"/>
              <w:rPr>
                <w:sz w:val="22"/>
                <w:szCs w:val="22"/>
              </w:rPr>
            </w:pPr>
            <w:r w:rsidRPr="00D924F4">
              <w:rPr>
                <w:sz w:val="22"/>
                <w:szCs w:val="22"/>
              </w:rPr>
              <w:t>Section 4 – Accounting and Reporting for Non-CFR ABS (Traditional Securitization)</w:t>
            </w:r>
          </w:p>
        </w:tc>
        <w:tc>
          <w:tcPr>
            <w:tcW w:w="895" w:type="dxa"/>
            <w:shd w:val="clear" w:color="auto" w:fill="FFFFFF" w:themeFill="background1"/>
          </w:tcPr>
          <w:p w14:paraId="5FCE6369" w14:textId="61BDC438" w:rsidR="002E4FF8" w:rsidRPr="00D924F4" w:rsidRDefault="0074033C" w:rsidP="0074033C">
            <w:pPr>
              <w:pStyle w:val="Default"/>
              <w:jc w:val="center"/>
              <w:rPr>
                <w:sz w:val="22"/>
                <w:szCs w:val="22"/>
              </w:rPr>
            </w:pPr>
            <w:r w:rsidRPr="00D924F4">
              <w:rPr>
                <w:sz w:val="22"/>
                <w:szCs w:val="22"/>
              </w:rPr>
              <w:t>21 – 23</w:t>
            </w:r>
          </w:p>
        </w:tc>
      </w:tr>
      <w:tr w:rsidR="002E4FF8" w:rsidRPr="00D924F4" w14:paraId="3F045469" w14:textId="77777777" w:rsidTr="007933D7">
        <w:tc>
          <w:tcPr>
            <w:tcW w:w="8455" w:type="dxa"/>
            <w:shd w:val="clear" w:color="auto" w:fill="FFFFFF" w:themeFill="background1"/>
          </w:tcPr>
          <w:p w14:paraId="27627665" w14:textId="1F34663F" w:rsidR="00B43408" w:rsidRPr="00D924F4" w:rsidRDefault="00B43408" w:rsidP="002B1EAD">
            <w:pPr>
              <w:pStyle w:val="Default"/>
              <w:jc w:val="both"/>
              <w:rPr>
                <w:sz w:val="22"/>
                <w:szCs w:val="22"/>
              </w:rPr>
            </w:pPr>
            <w:r w:rsidRPr="00D924F4">
              <w:rPr>
                <w:sz w:val="22"/>
                <w:szCs w:val="22"/>
              </w:rPr>
              <w:t>Section 5 – Accounting and Reporting for Non-CFR ABS and Non-Traditional Securitizations</w:t>
            </w:r>
          </w:p>
        </w:tc>
        <w:tc>
          <w:tcPr>
            <w:tcW w:w="895" w:type="dxa"/>
            <w:shd w:val="clear" w:color="auto" w:fill="FFFFFF" w:themeFill="background1"/>
          </w:tcPr>
          <w:p w14:paraId="0764BF1C" w14:textId="1983F31F" w:rsidR="0074033C" w:rsidRPr="00D924F4" w:rsidRDefault="0074033C" w:rsidP="0074033C">
            <w:pPr>
              <w:pStyle w:val="Default"/>
              <w:jc w:val="center"/>
              <w:rPr>
                <w:sz w:val="22"/>
                <w:szCs w:val="22"/>
              </w:rPr>
            </w:pPr>
            <w:r w:rsidRPr="00D924F4">
              <w:rPr>
                <w:sz w:val="22"/>
                <w:szCs w:val="22"/>
              </w:rPr>
              <w:t>24 – 25</w:t>
            </w:r>
          </w:p>
        </w:tc>
      </w:tr>
      <w:tr w:rsidR="002E4FF8" w:rsidRPr="00D924F4" w14:paraId="18A386AE" w14:textId="77777777" w:rsidTr="007933D7">
        <w:tc>
          <w:tcPr>
            <w:tcW w:w="8455" w:type="dxa"/>
            <w:shd w:val="clear" w:color="auto" w:fill="FFFFFF" w:themeFill="background1"/>
          </w:tcPr>
          <w:p w14:paraId="242725AD" w14:textId="133C03E2" w:rsidR="002E4FF8" w:rsidRPr="00D924F4" w:rsidRDefault="0074033C" w:rsidP="0074033C">
            <w:pPr>
              <w:pStyle w:val="Default"/>
              <w:numPr>
                <w:ilvl w:val="0"/>
                <w:numId w:val="40"/>
              </w:numPr>
              <w:jc w:val="both"/>
              <w:rPr>
                <w:sz w:val="22"/>
                <w:szCs w:val="22"/>
              </w:rPr>
            </w:pPr>
            <w:r w:rsidRPr="00D924F4">
              <w:rPr>
                <w:sz w:val="22"/>
                <w:szCs w:val="22"/>
              </w:rPr>
              <w:t xml:space="preserve">– </w:t>
            </w:r>
            <w:r w:rsidR="00B43408" w:rsidRPr="00D924F4">
              <w:rPr>
                <w:sz w:val="22"/>
                <w:szCs w:val="22"/>
              </w:rPr>
              <w:t>One Underlying Obligor</w:t>
            </w:r>
          </w:p>
        </w:tc>
        <w:tc>
          <w:tcPr>
            <w:tcW w:w="895" w:type="dxa"/>
            <w:shd w:val="clear" w:color="auto" w:fill="FFFFFF" w:themeFill="background1"/>
          </w:tcPr>
          <w:p w14:paraId="0CDD160C" w14:textId="43757CF7" w:rsidR="002E4FF8" w:rsidRPr="00D924F4" w:rsidRDefault="0074033C" w:rsidP="0074033C">
            <w:pPr>
              <w:pStyle w:val="Default"/>
              <w:jc w:val="center"/>
              <w:rPr>
                <w:sz w:val="22"/>
                <w:szCs w:val="22"/>
              </w:rPr>
            </w:pPr>
            <w:r w:rsidRPr="00D924F4">
              <w:rPr>
                <w:sz w:val="22"/>
                <w:szCs w:val="22"/>
              </w:rPr>
              <w:t>26 – 29</w:t>
            </w:r>
          </w:p>
        </w:tc>
      </w:tr>
      <w:tr w:rsidR="002E4FF8" w:rsidRPr="00D924F4" w14:paraId="503CD8B5" w14:textId="77777777" w:rsidTr="007933D7">
        <w:tc>
          <w:tcPr>
            <w:tcW w:w="8455" w:type="dxa"/>
            <w:shd w:val="clear" w:color="auto" w:fill="FFFFFF" w:themeFill="background1"/>
          </w:tcPr>
          <w:p w14:paraId="54727D27" w14:textId="6A12C0D4" w:rsidR="00B43408" w:rsidRPr="00D924F4" w:rsidRDefault="0074033C" w:rsidP="0074033C">
            <w:pPr>
              <w:pStyle w:val="Default"/>
              <w:numPr>
                <w:ilvl w:val="0"/>
                <w:numId w:val="40"/>
              </w:numPr>
              <w:jc w:val="both"/>
              <w:rPr>
                <w:sz w:val="22"/>
                <w:szCs w:val="22"/>
              </w:rPr>
            </w:pPr>
            <w:r w:rsidRPr="00D924F4">
              <w:rPr>
                <w:sz w:val="22"/>
                <w:szCs w:val="22"/>
              </w:rPr>
              <w:t xml:space="preserve">– </w:t>
            </w:r>
            <w:r w:rsidR="00B43408" w:rsidRPr="00D924F4">
              <w:rPr>
                <w:sz w:val="22"/>
                <w:szCs w:val="22"/>
              </w:rPr>
              <w:t>Collateral Not Owed by Many Payers</w:t>
            </w:r>
          </w:p>
        </w:tc>
        <w:tc>
          <w:tcPr>
            <w:tcW w:w="895" w:type="dxa"/>
            <w:shd w:val="clear" w:color="auto" w:fill="FFFFFF" w:themeFill="background1"/>
          </w:tcPr>
          <w:p w14:paraId="473826FF" w14:textId="56BA5B59" w:rsidR="002E4FF8" w:rsidRPr="00D924F4" w:rsidRDefault="0074033C" w:rsidP="0074033C">
            <w:pPr>
              <w:pStyle w:val="Default"/>
              <w:jc w:val="center"/>
              <w:rPr>
                <w:sz w:val="22"/>
                <w:szCs w:val="22"/>
              </w:rPr>
            </w:pPr>
            <w:r w:rsidRPr="00D924F4">
              <w:rPr>
                <w:sz w:val="22"/>
                <w:szCs w:val="22"/>
              </w:rPr>
              <w:t>30 – 32</w:t>
            </w:r>
          </w:p>
        </w:tc>
      </w:tr>
      <w:tr w:rsidR="002E4FF8" w:rsidRPr="00D924F4" w14:paraId="0DC6C460" w14:textId="77777777" w:rsidTr="007933D7">
        <w:tc>
          <w:tcPr>
            <w:tcW w:w="8455" w:type="dxa"/>
            <w:shd w:val="clear" w:color="auto" w:fill="FFFFFF" w:themeFill="background1"/>
          </w:tcPr>
          <w:p w14:paraId="495269F3" w14:textId="71719260" w:rsidR="002E4FF8" w:rsidRPr="00D924F4" w:rsidRDefault="0074033C" w:rsidP="0074033C">
            <w:pPr>
              <w:pStyle w:val="Default"/>
              <w:numPr>
                <w:ilvl w:val="0"/>
                <w:numId w:val="40"/>
              </w:numPr>
              <w:jc w:val="both"/>
              <w:rPr>
                <w:sz w:val="22"/>
                <w:szCs w:val="22"/>
              </w:rPr>
            </w:pPr>
            <w:r w:rsidRPr="00D924F4">
              <w:rPr>
                <w:sz w:val="22"/>
                <w:szCs w:val="22"/>
              </w:rPr>
              <w:t xml:space="preserve">– </w:t>
            </w:r>
            <w:r w:rsidR="00B43408" w:rsidRPr="00D924F4">
              <w:rPr>
                <w:sz w:val="22"/>
                <w:szCs w:val="22"/>
              </w:rPr>
              <w:t>Security Partially Impacted by Equity Collateral</w:t>
            </w:r>
          </w:p>
        </w:tc>
        <w:tc>
          <w:tcPr>
            <w:tcW w:w="895" w:type="dxa"/>
            <w:shd w:val="clear" w:color="auto" w:fill="FFFFFF" w:themeFill="background1"/>
          </w:tcPr>
          <w:p w14:paraId="79B77314" w14:textId="6E7C6B5A" w:rsidR="002E4FF8" w:rsidRPr="00D924F4" w:rsidRDefault="0074033C" w:rsidP="0074033C">
            <w:pPr>
              <w:pStyle w:val="Default"/>
              <w:jc w:val="center"/>
              <w:rPr>
                <w:sz w:val="22"/>
                <w:szCs w:val="22"/>
              </w:rPr>
            </w:pPr>
            <w:r w:rsidRPr="00D924F4">
              <w:rPr>
                <w:sz w:val="22"/>
                <w:szCs w:val="22"/>
              </w:rPr>
              <w:t>33 – 37</w:t>
            </w:r>
          </w:p>
        </w:tc>
      </w:tr>
      <w:tr w:rsidR="002E4FF8" w:rsidRPr="00D924F4" w14:paraId="2CF28029" w14:textId="77777777" w:rsidTr="007933D7">
        <w:tc>
          <w:tcPr>
            <w:tcW w:w="8455" w:type="dxa"/>
            <w:shd w:val="clear" w:color="auto" w:fill="FFFFFF" w:themeFill="background1"/>
          </w:tcPr>
          <w:p w14:paraId="1D683EF7" w14:textId="3FF83C41" w:rsidR="002E4FF8" w:rsidRPr="00D924F4" w:rsidRDefault="0074033C" w:rsidP="0074033C">
            <w:pPr>
              <w:pStyle w:val="Default"/>
              <w:numPr>
                <w:ilvl w:val="0"/>
                <w:numId w:val="40"/>
              </w:numPr>
              <w:jc w:val="both"/>
              <w:rPr>
                <w:sz w:val="22"/>
                <w:szCs w:val="22"/>
              </w:rPr>
            </w:pPr>
            <w:r w:rsidRPr="00D924F4">
              <w:rPr>
                <w:sz w:val="22"/>
                <w:szCs w:val="22"/>
              </w:rPr>
              <w:t xml:space="preserve">– </w:t>
            </w:r>
            <w:r w:rsidR="00B43408" w:rsidRPr="00D924F4">
              <w:rPr>
                <w:sz w:val="22"/>
                <w:szCs w:val="22"/>
              </w:rPr>
              <w:t>Security is Solely Impacted by Equity Collateral / Equity Index</w:t>
            </w:r>
          </w:p>
        </w:tc>
        <w:tc>
          <w:tcPr>
            <w:tcW w:w="895" w:type="dxa"/>
            <w:shd w:val="clear" w:color="auto" w:fill="FFFFFF" w:themeFill="background1"/>
          </w:tcPr>
          <w:p w14:paraId="43444406" w14:textId="0206E8DA" w:rsidR="002E4FF8" w:rsidRPr="00D924F4" w:rsidRDefault="0074033C" w:rsidP="0074033C">
            <w:pPr>
              <w:pStyle w:val="Default"/>
              <w:jc w:val="center"/>
              <w:rPr>
                <w:sz w:val="22"/>
                <w:szCs w:val="22"/>
              </w:rPr>
            </w:pPr>
            <w:r w:rsidRPr="00D924F4">
              <w:rPr>
                <w:sz w:val="22"/>
                <w:szCs w:val="22"/>
              </w:rPr>
              <w:t>38 – 40</w:t>
            </w:r>
          </w:p>
        </w:tc>
      </w:tr>
      <w:tr w:rsidR="002E4FF8" w:rsidRPr="00D924F4" w14:paraId="13F728A0" w14:textId="77777777" w:rsidTr="007933D7">
        <w:tc>
          <w:tcPr>
            <w:tcW w:w="8455" w:type="dxa"/>
            <w:shd w:val="clear" w:color="auto" w:fill="FFFFFF" w:themeFill="background1"/>
          </w:tcPr>
          <w:p w14:paraId="6E2B6089" w14:textId="3A8199B8" w:rsidR="002E4FF8" w:rsidRPr="00D924F4" w:rsidRDefault="0074033C" w:rsidP="0074033C">
            <w:pPr>
              <w:pStyle w:val="Default"/>
              <w:numPr>
                <w:ilvl w:val="0"/>
                <w:numId w:val="40"/>
              </w:numPr>
              <w:jc w:val="both"/>
              <w:rPr>
                <w:sz w:val="22"/>
                <w:szCs w:val="22"/>
              </w:rPr>
            </w:pPr>
            <w:r w:rsidRPr="00D924F4">
              <w:rPr>
                <w:sz w:val="22"/>
                <w:szCs w:val="22"/>
              </w:rPr>
              <w:t xml:space="preserve">– </w:t>
            </w:r>
            <w:r w:rsidR="00B43408" w:rsidRPr="00D924F4">
              <w:rPr>
                <w:sz w:val="22"/>
                <w:szCs w:val="22"/>
              </w:rPr>
              <w:t>Principal Protected Notes</w:t>
            </w:r>
          </w:p>
        </w:tc>
        <w:tc>
          <w:tcPr>
            <w:tcW w:w="895" w:type="dxa"/>
            <w:shd w:val="clear" w:color="auto" w:fill="FFFFFF" w:themeFill="background1"/>
          </w:tcPr>
          <w:p w14:paraId="11235817" w14:textId="16C4729B" w:rsidR="002E4FF8" w:rsidRPr="00D924F4" w:rsidRDefault="0074033C" w:rsidP="0074033C">
            <w:pPr>
              <w:pStyle w:val="Default"/>
              <w:jc w:val="center"/>
              <w:rPr>
                <w:sz w:val="22"/>
                <w:szCs w:val="22"/>
              </w:rPr>
            </w:pPr>
            <w:r w:rsidRPr="00D924F4">
              <w:rPr>
                <w:sz w:val="22"/>
                <w:szCs w:val="22"/>
              </w:rPr>
              <w:t>41 – 42</w:t>
            </w:r>
          </w:p>
        </w:tc>
      </w:tr>
      <w:tr w:rsidR="002E4FF8" w:rsidRPr="00D924F4" w14:paraId="36CB55F6" w14:textId="77777777" w:rsidTr="007933D7">
        <w:tc>
          <w:tcPr>
            <w:tcW w:w="8455" w:type="dxa"/>
            <w:shd w:val="clear" w:color="auto" w:fill="FFFFFF" w:themeFill="background1"/>
          </w:tcPr>
          <w:p w14:paraId="0BDE336E" w14:textId="79F4CBD0" w:rsidR="002E4FF8" w:rsidRPr="00D924F4" w:rsidRDefault="0074033C" w:rsidP="0074033C">
            <w:pPr>
              <w:pStyle w:val="Default"/>
              <w:numPr>
                <w:ilvl w:val="0"/>
                <w:numId w:val="40"/>
              </w:numPr>
              <w:jc w:val="both"/>
              <w:rPr>
                <w:sz w:val="22"/>
                <w:szCs w:val="22"/>
              </w:rPr>
            </w:pPr>
            <w:r w:rsidRPr="00D924F4">
              <w:rPr>
                <w:sz w:val="22"/>
                <w:szCs w:val="22"/>
              </w:rPr>
              <w:t xml:space="preserve">– </w:t>
            </w:r>
            <w:r w:rsidR="00B43408" w:rsidRPr="00D924F4">
              <w:rPr>
                <w:sz w:val="22"/>
                <w:szCs w:val="22"/>
              </w:rPr>
              <w:t>Collateral is Not Cash Generating and Not Equity (e.g., artwork held in trust)</w:t>
            </w:r>
          </w:p>
        </w:tc>
        <w:tc>
          <w:tcPr>
            <w:tcW w:w="895" w:type="dxa"/>
            <w:shd w:val="clear" w:color="auto" w:fill="FFFFFF" w:themeFill="background1"/>
          </w:tcPr>
          <w:p w14:paraId="6667CA5E" w14:textId="2A3C63A3" w:rsidR="002E4FF8" w:rsidRPr="00D924F4" w:rsidRDefault="0074033C" w:rsidP="0074033C">
            <w:pPr>
              <w:pStyle w:val="Default"/>
              <w:jc w:val="center"/>
              <w:rPr>
                <w:sz w:val="22"/>
                <w:szCs w:val="22"/>
              </w:rPr>
            </w:pPr>
            <w:r w:rsidRPr="00D924F4">
              <w:rPr>
                <w:sz w:val="22"/>
                <w:szCs w:val="22"/>
              </w:rPr>
              <w:t>43 – 45</w:t>
            </w:r>
          </w:p>
        </w:tc>
      </w:tr>
      <w:tr w:rsidR="002E4FF8" w:rsidRPr="00D924F4" w14:paraId="5E871849" w14:textId="77777777" w:rsidTr="007933D7">
        <w:tc>
          <w:tcPr>
            <w:tcW w:w="8455" w:type="dxa"/>
            <w:shd w:val="clear" w:color="auto" w:fill="FFFFFF" w:themeFill="background1"/>
          </w:tcPr>
          <w:p w14:paraId="31AD81BB" w14:textId="3BC8F301" w:rsidR="00B43408" w:rsidRPr="00D924F4" w:rsidRDefault="00B43408" w:rsidP="002B1EAD">
            <w:pPr>
              <w:pStyle w:val="Default"/>
              <w:jc w:val="both"/>
              <w:rPr>
                <w:sz w:val="22"/>
                <w:szCs w:val="22"/>
              </w:rPr>
            </w:pPr>
            <w:r w:rsidRPr="00D924F4">
              <w:rPr>
                <w:sz w:val="22"/>
                <w:szCs w:val="22"/>
              </w:rPr>
              <w:t>Appendix I – History of SEC and Congressional Definitions of Asset-Backed Securities</w:t>
            </w:r>
          </w:p>
        </w:tc>
        <w:tc>
          <w:tcPr>
            <w:tcW w:w="895" w:type="dxa"/>
            <w:shd w:val="clear" w:color="auto" w:fill="FFFFFF" w:themeFill="background1"/>
          </w:tcPr>
          <w:p w14:paraId="6856A1B9" w14:textId="515E02B7" w:rsidR="002E4FF8" w:rsidRPr="00D924F4" w:rsidRDefault="0074033C" w:rsidP="0074033C">
            <w:pPr>
              <w:pStyle w:val="Default"/>
              <w:jc w:val="center"/>
              <w:rPr>
                <w:sz w:val="22"/>
                <w:szCs w:val="22"/>
              </w:rPr>
            </w:pPr>
            <w:r w:rsidRPr="00D924F4">
              <w:rPr>
                <w:sz w:val="22"/>
                <w:szCs w:val="22"/>
              </w:rPr>
              <w:t>46 – 47</w:t>
            </w:r>
          </w:p>
        </w:tc>
      </w:tr>
      <w:tr w:rsidR="002E4FF8" w:rsidRPr="00D924F4" w14:paraId="68086236" w14:textId="77777777" w:rsidTr="007933D7">
        <w:tc>
          <w:tcPr>
            <w:tcW w:w="8455" w:type="dxa"/>
            <w:shd w:val="clear" w:color="auto" w:fill="FFFFFF" w:themeFill="background1"/>
          </w:tcPr>
          <w:p w14:paraId="7FBB9FCD" w14:textId="1127BEFB" w:rsidR="005E1CDC" w:rsidRPr="00D924F4" w:rsidRDefault="005E1CDC" w:rsidP="002B1EAD">
            <w:pPr>
              <w:pStyle w:val="Default"/>
              <w:jc w:val="both"/>
              <w:rPr>
                <w:sz w:val="22"/>
                <w:szCs w:val="22"/>
              </w:rPr>
            </w:pPr>
            <w:r w:rsidRPr="00D924F4">
              <w:rPr>
                <w:sz w:val="22"/>
                <w:szCs w:val="22"/>
              </w:rPr>
              <w:t>Appendix II – Asset Backed Security Definitional Review</w:t>
            </w:r>
          </w:p>
        </w:tc>
        <w:tc>
          <w:tcPr>
            <w:tcW w:w="895" w:type="dxa"/>
            <w:shd w:val="clear" w:color="auto" w:fill="FFFFFF" w:themeFill="background1"/>
          </w:tcPr>
          <w:p w14:paraId="5BEE8244" w14:textId="22F7433D" w:rsidR="002E4FF8" w:rsidRPr="00D924F4" w:rsidRDefault="0074033C" w:rsidP="0074033C">
            <w:pPr>
              <w:pStyle w:val="Default"/>
              <w:jc w:val="center"/>
              <w:rPr>
                <w:sz w:val="22"/>
                <w:szCs w:val="22"/>
              </w:rPr>
            </w:pPr>
            <w:r w:rsidRPr="00D924F4">
              <w:rPr>
                <w:sz w:val="22"/>
                <w:szCs w:val="22"/>
              </w:rPr>
              <w:t>48 – 6</w:t>
            </w:r>
            <w:r w:rsidR="00F35F03">
              <w:rPr>
                <w:sz w:val="22"/>
                <w:szCs w:val="22"/>
              </w:rPr>
              <w:t>5</w:t>
            </w:r>
          </w:p>
        </w:tc>
      </w:tr>
      <w:tr w:rsidR="002E4FF8" w:rsidRPr="00D924F4" w14:paraId="70803A9C" w14:textId="77777777" w:rsidTr="007933D7">
        <w:tc>
          <w:tcPr>
            <w:tcW w:w="8455" w:type="dxa"/>
            <w:shd w:val="clear" w:color="auto" w:fill="FFFFFF" w:themeFill="background1"/>
          </w:tcPr>
          <w:p w14:paraId="24ACA6F5" w14:textId="173E05C7" w:rsidR="005E1CDC" w:rsidRPr="00D924F4" w:rsidRDefault="005E1CDC" w:rsidP="002B1EAD">
            <w:pPr>
              <w:pStyle w:val="Default"/>
              <w:jc w:val="both"/>
              <w:rPr>
                <w:sz w:val="22"/>
                <w:szCs w:val="22"/>
              </w:rPr>
            </w:pPr>
            <w:r w:rsidRPr="00D924F4">
              <w:rPr>
                <w:sz w:val="22"/>
                <w:szCs w:val="22"/>
              </w:rPr>
              <w:t xml:space="preserve">Appendix III – </w:t>
            </w:r>
            <w:r w:rsidR="00EC4743" w:rsidRPr="00D924F4">
              <w:rPr>
                <w:sz w:val="22"/>
                <w:szCs w:val="22"/>
              </w:rPr>
              <w:t>Collateralized Fund Obligations (“CFOs”) Defined</w:t>
            </w:r>
          </w:p>
        </w:tc>
        <w:tc>
          <w:tcPr>
            <w:tcW w:w="895" w:type="dxa"/>
            <w:shd w:val="clear" w:color="auto" w:fill="FFFFFF" w:themeFill="background1"/>
          </w:tcPr>
          <w:p w14:paraId="0E8DC9B7" w14:textId="4A47E4D2" w:rsidR="002E4FF8" w:rsidRPr="00D924F4" w:rsidRDefault="0074033C" w:rsidP="0074033C">
            <w:pPr>
              <w:pStyle w:val="Default"/>
              <w:jc w:val="center"/>
              <w:rPr>
                <w:sz w:val="22"/>
                <w:szCs w:val="22"/>
              </w:rPr>
            </w:pPr>
            <w:r w:rsidRPr="00D924F4">
              <w:rPr>
                <w:sz w:val="22"/>
                <w:szCs w:val="22"/>
              </w:rPr>
              <w:t>6</w:t>
            </w:r>
            <w:r w:rsidR="00F35F03">
              <w:rPr>
                <w:sz w:val="22"/>
                <w:szCs w:val="22"/>
              </w:rPr>
              <w:t>6</w:t>
            </w:r>
            <w:r w:rsidRPr="00D924F4">
              <w:rPr>
                <w:sz w:val="22"/>
                <w:szCs w:val="22"/>
              </w:rPr>
              <w:t xml:space="preserve"> – 6</w:t>
            </w:r>
            <w:r w:rsidR="00F35F03">
              <w:rPr>
                <w:sz w:val="22"/>
                <w:szCs w:val="22"/>
              </w:rPr>
              <w:t>7</w:t>
            </w:r>
          </w:p>
        </w:tc>
      </w:tr>
    </w:tbl>
    <w:p w14:paraId="641EEA24" w14:textId="77777777" w:rsidR="002E4FF8" w:rsidRPr="00D924F4" w:rsidRDefault="002E4FF8" w:rsidP="002B1EAD">
      <w:pPr>
        <w:pStyle w:val="Default"/>
        <w:jc w:val="both"/>
        <w:rPr>
          <w:sz w:val="22"/>
          <w:szCs w:val="22"/>
        </w:rPr>
      </w:pPr>
    </w:p>
    <w:p w14:paraId="23AF28D7" w14:textId="41FEB8A4" w:rsidR="002E4FF8" w:rsidRPr="00D924F4" w:rsidRDefault="00730724" w:rsidP="002B1EAD">
      <w:pPr>
        <w:pStyle w:val="Default"/>
        <w:jc w:val="both"/>
        <w:rPr>
          <w:b/>
          <w:sz w:val="22"/>
          <w:szCs w:val="22"/>
        </w:rPr>
      </w:pPr>
      <w:r w:rsidRPr="00D924F4">
        <w:rPr>
          <w:b/>
          <w:sz w:val="22"/>
          <w:szCs w:val="22"/>
        </w:rPr>
        <w:lastRenderedPageBreak/>
        <w:t xml:space="preserve">Preamble – </w:t>
      </w:r>
      <w:r w:rsidR="00EC4743" w:rsidRPr="00D924F4">
        <w:rPr>
          <w:b/>
          <w:sz w:val="22"/>
          <w:szCs w:val="22"/>
        </w:rPr>
        <w:t>Interested Party Summary Comments</w:t>
      </w:r>
    </w:p>
    <w:p w14:paraId="3A1285DC" w14:textId="77777777" w:rsidR="00793A5F" w:rsidRPr="008B04C7" w:rsidRDefault="00793A5F" w:rsidP="002B1EAD">
      <w:pPr>
        <w:pStyle w:val="Default"/>
        <w:jc w:val="both"/>
        <w:rPr>
          <w:sz w:val="20"/>
          <w:szCs w:val="20"/>
        </w:rPr>
      </w:pPr>
    </w:p>
    <w:p w14:paraId="6F028B86" w14:textId="7545579C" w:rsidR="0033371A" w:rsidRPr="00D924F4" w:rsidRDefault="00B03726" w:rsidP="002B1EAD">
      <w:pPr>
        <w:pStyle w:val="Default"/>
        <w:numPr>
          <w:ilvl w:val="0"/>
          <w:numId w:val="12"/>
        </w:numPr>
        <w:jc w:val="both"/>
        <w:rPr>
          <w:sz w:val="22"/>
          <w:szCs w:val="22"/>
        </w:rPr>
      </w:pPr>
      <w:r w:rsidRPr="00D924F4">
        <w:rPr>
          <w:sz w:val="22"/>
          <w:szCs w:val="22"/>
        </w:rPr>
        <w:t>First and foremost, the proposed re-write of SSAP No. 43R with a new anchoring definition, is a very technical</w:t>
      </w:r>
      <w:r w:rsidR="002018A5" w:rsidRPr="00D924F4">
        <w:rPr>
          <w:sz w:val="22"/>
          <w:szCs w:val="22"/>
        </w:rPr>
        <w:t xml:space="preserve"> </w:t>
      </w:r>
      <w:r w:rsidRPr="00D924F4">
        <w:rPr>
          <w:sz w:val="22"/>
          <w:szCs w:val="22"/>
        </w:rPr>
        <w:t xml:space="preserve">and nuanced process with the potential to drastically change the </w:t>
      </w:r>
      <w:r w:rsidR="000623AB" w:rsidRPr="00D924F4">
        <w:rPr>
          <w:sz w:val="22"/>
          <w:szCs w:val="22"/>
        </w:rPr>
        <w:t>type</w:t>
      </w:r>
      <w:r w:rsidRPr="00D924F4">
        <w:rPr>
          <w:sz w:val="22"/>
          <w:szCs w:val="22"/>
        </w:rPr>
        <w:t xml:space="preserve"> of securities</w:t>
      </w:r>
      <w:r w:rsidR="00555489" w:rsidRPr="00D924F4">
        <w:rPr>
          <w:sz w:val="22"/>
          <w:szCs w:val="22"/>
        </w:rPr>
        <w:t xml:space="preserve"> within the scope of both SSAP No. 26R and SSAP No. 43R </w:t>
      </w:r>
      <w:r w:rsidR="0033371A" w:rsidRPr="00D924F4">
        <w:rPr>
          <w:sz w:val="22"/>
          <w:szCs w:val="22"/>
        </w:rPr>
        <w:t>that are</w:t>
      </w:r>
      <w:r w:rsidRPr="00D924F4">
        <w:rPr>
          <w:sz w:val="22"/>
          <w:szCs w:val="22"/>
        </w:rPr>
        <w:t xml:space="preserve"> currently afforded</w:t>
      </w:r>
      <w:r w:rsidR="0085751E" w:rsidRPr="00D924F4">
        <w:rPr>
          <w:sz w:val="22"/>
          <w:szCs w:val="22"/>
        </w:rPr>
        <w:t xml:space="preserve"> bond accounting treatment and reporting on</w:t>
      </w:r>
      <w:r w:rsidRPr="00D924F4">
        <w:rPr>
          <w:sz w:val="22"/>
          <w:szCs w:val="22"/>
        </w:rPr>
        <w:t xml:space="preserve"> Schedule D.</w:t>
      </w:r>
      <w:r w:rsidR="00C45DF1" w:rsidRPr="00D924F4">
        <w:rPr>
          <w:sz w:val="22"/>
          <w:szCs w:val="22"/>
        </w:rPr>
        <w:t xml:space="preserve"> </w:t>
      </w:r>
    </w:p>
    <w:p w14:paraId="1B08ED8A" w14:textId="408D8446" w:rsidR="0033371A" w:rsidRPr="008B04C7" w:rsidRDefault="0033371A" w:rsidP="002B1EAD">
      <w:pPr>
        <w:pStyle w:val="Default"/>
        <w:ind w:left="360"/>
        <w:jc w:val="both"/>
        <w:rPr>
          <w:sz w:val="16"/>
          <w:szCs w:val="16"/>
        </w:rPr>
      </w:pPr>
    </w:p>
    <w:p w14:paraId="75252E15" w14:textId="3FAA9C5A" w:rsidR="00C45DF1" w:rsidRPr="00D924F4" w:rsidRDefault="002018A5" w:rsidP="002B1EAD">
      <w:pPr>
        <w:pStyle w:val="Default"/>
        <w:ind w:left="360"/>
        <w:jc w:val="both"/>
        <w:rPr>
          <w:sz w:val="22"/>
          <w:szCs w:val="22"/>
        </w:rPr>
      </w:pPr>
      <w:r w:rsidRPr="00D924F4">
        <w:rPr>
          <w:sz w:val="22"/>
          <w:szCs w:val="22"/>
        </w:rPr>
        <w:t>Since t</w:t>
      </w:r>
      <w:r w:rsidR="0033371A" w:rsidRPr="00D924F4">
        <w:rPr>
          <w:sz w:val="22"/>
          <w:szCs w:val="22"/>
        </w:rPr>
        <w:t>he</w:t>
      </w:r>
      <w:r w:rsidR="00D262A4" w:rsidRPr="00D924F4">
        <w:rPr>
          <w:sz w:val="22"/>
          <w:szCs w:val="22"/>
        </w:rPr>
        <w:t xml:space="preserve"> </w:t>
      </w:r>
      <w:r w:rsidR="0033371A" w:rsidRPr="00D924F4">
        <w:rPr>
          <w:sz w:val="22"/>
          <w:szCs w:val="22"/>
        </w:rPr>
        <w:t>proposed anchoring definition</w:t>
      </w:r>
      <w:r w:rsidRPr="00D924F4">
        <w:rPr>
          <w:sz w:val="22"/>
          <w:szCs w:val="22"/>
        </w:rPr>
        <w:t xml:space="preserve"> </w:t>
      </w:r>
      <w:r w:rsidR="0033371A" w:rsidRPr="00D924F4">
        <w:rPr>
          <w:sz w:val="22"/>
          <w:szCs w:val="22"/>
        </w:rPr>
        <w:t>is generally only used from the perspective of an issuing entity</w:t>
      </w:r>
      <w:r w:rsidRPr="00D924F4">
        <w:rPr>
          <w:sz w:val="22"/>
          <w:szCs w:val="22"/>
        </w:rPr>
        <w:t>,</w:t>
      </w:r>
      <w:r w:rsidR="0033371A" w:rsidRPr="00D924F4">
        <w:rPr>
          <w:sz w:val="22"/>
          <w:szCs w:val="22"/>
        </w:rPr>
        <w:t xml:space="preserve"> </w:t>
      </w:r>
      <w:r w:rsidRPr="00D924F4">
        <w:rPr>
          <w:sz w:val="22"/>
          <w:szCs w:val="22"/>
        </w:rPr>
        <w:t xml:space="preserve">most </w:t>
      </w:r>
      <w:r w:rsidR="0033371A" w:rsidRPr="00D924F4">
        <w:rPr>
          <w:sz w:val="22"/>
          <w:szCs w:val="22"/>
        </w:rPr>
        <w:t>insurance companies’ accountants, attorneys or front office investment personnel</w:t>
      </w:r>
      <w:r w:rsidRPr="00D924F4">
        <w:rPr>
          <w:sz w:val="22"/>
          <w:szCs w:val="22"/>
        </w:rPr>
        <w:t xml:space="preserve"> are not familiar with the definition and supporting body of work</w:t>
      </w:r>
      <w:r w:rsidR="0033371A" w:rsidRPr="00D924F4">
        <w:rPr>
          <w:sz w:val="22"/>
          <w:szCs w:val="22"/>
        </w:rPr>
        <w:t xml:space="preserve">.  </w:t>
      </w:r>
      <w:r w:rsidR="00D262A4" w:rsidRPr="00D924F4">
        <w:rPr>
          <w:sz w:val="22"/>
          <w:szCs w:val="22"/>
        </w:rPr>
        <w:t>W</w:t>
      </w:r>
      <w:r w:rsidR="0033371A" w:rsidRPr="00D924F4">
        <w:rPr>
          <w:sz w:val="22"/>
          <w:szCs w:val="22"/>
        </w:rPr>
        <w:t xml:space="preserve">hen insurance companies do utilize the definition, for example when sponsoring </w:t>
      </w:r>
      <w:r w:rsidR="0085751E" w:rsidRPr="00D924F4">
        <w:rPr>
          <w:sz w:val="22"/>
          <w:szCs w:val="22"/>
        </w:rPr>
        <w:t>asset-backed securities (</w:t>
      </w:r>
      <w:r w:rsidR="0033371A" w:rsidRPr="00D924F4">
        <w:rPr>
          <w:sz w:val="22"/>
          <w:szCs w:val="22"/>
        </w:rPr>
        <w:t>ABS</w:t>
      </w:r>
      <w:r w:rsidR="0085751E" w:rsidRPr="00D924F4">
        <w:rPr>
          <w:sz w:val="22"/>
          <w:szCs w:val="22"/>
        </w:rPr>
        <w:t>)</w:t>
      </w:r>
      <w:r w:rsidR="0033371A" w:rsidRPr="00D924F4">
        <w:rPr>
          <w:sz w:val="22"/>
          <w:szCs w:val="22"/>
        </w:rPr>
        <w:t>, the</w:t>
      </w:r>
      <w:r w:rsidR="00D262A4" w:rsidRPr="00D924F4">
        <w:rPr>
          <w:sz w:val="22"/>
          <w:szCs w:val="22"/>
        </w:rPr>
        <w:t>ir</w:t>
      </w:r>
      <w:r w:rsidR="0033371A" w:rsidRPr="00D924F4">
        <w:rPr>
          <w:sz w:val="22"/>
          <w:szCs w:val="22"/>
        </w:rPr>
        <w:t xml:space="preserve"> interaction with the definition is very narrow and with assistance of outside legal counsel.  This</w:t>
      </w:r>
      <w:r w:rsidR="00D262A4" w:rsidRPr="00D924F4">
        <w:rPr>
          <w:sz w:val="22"/>
          <w:szCs w:val="22"/>
        </w:rPr>
        <w:t xml:space="preserve"> fact</w:t>
      </w:r>
      <w:r w:rsidR="0033371A" w:rsidRPr="00D924F4">
        <w:rPr>
          <w:sz w:val="22"/>
          <w:szCs w:val="22"/>
        </w:rPr>
        <w:t xml:space="preserve"> raised many questions</w:t>
      </w:r>
      <w:r w:rsidR="00911F4C" w:rsidRPr="00D924F4">
        <w:rPr>
          <w:sz w:val="22"/>
          <w:szCs w:val="22"/>
        </w:rPr>
        <w:t>;</w:t>
      </w:r>
      <w:r w:rsidR="00885CD2" w:rsidRPr="00D924F4">
        <w:rPr>
          <w:sz w:val="22"/>
          <w:szCs w:val="22"/>
        </w:rPr>
        <w:t xml:space="preserve"> as a result,</w:t>
      </w:r>
      <w:r w:rsidR="002937E7" w:rsidRPr="00D924F4">
        <w:rPr>
          <w:sz w:val="22"/>
          <w:szCs w:val="22"/>
        </w:rPr>
        <w:t xml:space="preserve"> </w:t>
      </w:r>
      <w:r w:rsidR="0033371A" w:rsidRPr="00D924F4">
        <w:rPr>
          <w:sz w:val="22"/>
          <w:szCs w:val="22"/>
        </w:rPr>
        <w:t>industry needed</w:t>
      </w:r>
      <w:r w:rsidRPr="00D924F4">
        <w:rPr>
          <w:sz w:val="22"/>
          <w:szCs w:val="22"/>
        </w:rPr>
        <w:t xml:space="preserve"> and sought</w:t>
      </w:r>
      <w:r w:rsidR="0033371A" w:rsidRPr="00D924F4">
        <w:rPr>
          <w:sz w:val="22"/>
          <w:szCs w:val="22"/>
        </w:rPr>
        <w:t xml:space="preserve"> assistance </w:t>
      </w:r>
      <w:r w:rsidRPr="00D924F4">
        <w:rPr>
          <w:sz w:val="22"/>
          <w:szCs w:val="22"/>
        </w:rPr>
        <w:t>from</w:t>
      </w:r>
      <w:r w:rsidR="0033371A" w:rsidRPr="00D924F4">
        <w:rPr>
          <w:sz w:val="22"/>
          <w:szCs w:val="22"/>
        </w:rPr>
        <w:t xml:space="preserve"> outside legal counsel to </w:t>
      </w:r>
      <w:r w:rsidR="000041D6" w:rsidRPr="00D924F4">
        <w:rPr>
          <w:sz w:val="22"/>
          <w:szCs w:val="22"/>
        </w:rPr>
        <w:t xml:space="preserve">inform </w:t>
      </w:r>
      <w:r w:rsidR="0033371A" w:rsidRPr="00D924F4">
        <w:rPr>
          <w:sz w:val="22"/>
          <w:szCs w:val="22"/>
        </w:rPr>
        <w:t xml:space="preserve">our response to the </w:t>
      </w:r>
      <w:r w:rsidR="000041D6" w:rsidRPr="00D924F4">
        <w:rPr>
          <w:sz w:val="22"/>
          <w:szCs w:val="22"/>
        </w:rPr>
        <w:t>E</w:t>
      </w:r>
      <w:r w:rsidR="0033371A" w:rsidRPr="00D924F4">
        <w:rPr>
          <w:sz w:val="22"/>
          <w:szCs w:val="22"/>
        </w:rPr>
        <w:t>xposure.</w:t>
      </w:r>
      <w:r w:rsidR="00C45DF1" w:rsidRPr="00D924F4">
        <w:rPr>
          <w:sz w:val="22"/>
          <w:szCs w:val="22"/>
        </w:rPr>
        <w:t xml:space="preserve"> </w:t>
      </w:r>
    </w:p>
    <w:p w14:paraId="037D8F32" w14:textId="02EB2A7E" w:rsidR="00951CD0" w:rsidRPr="008B04C7" w:rsidRDefault="00951CD0" w:rsidP="002B1EAD">
      <w:pPr>
        <w:pStyle w:val="Default"/>
        <w:ind w:left="360"/>
        <w:jc w:val="both"/>
        <w:rPr>
          <w:sz w:val="16"/>
          <w:szCs w:val="16"/>
        </w:rPr>
      </w:pPr>
    </w:p>
    <w:p w14:paraId="12C9C629" w14:textId="6AE5C9FA" w:rsidR="00951CD0" w:rsidRPr="00D924F4" w:rsidRDefault="00951CD0" w:rsidP="002B1EAD">
      <w:pPr>
        <w:pStyle w:val="Default"/>
        <w:ind w:left="360"/>
        <w:jc w:val="both"/>
        <w:rPr>
          <w:sz w:val="22"/>
          <w:szCs w:val="22"/>
        </w:rPr>
      </w:pPr>
      <w:r w:rsidRPr="00D924F4">
        <w:rPr>
          <w:sz w:val="22"/>
          <w:szCs w:val="22"/>
        </w:rPr>
        <w:t xml:space="preserve">After </w:t>
      </w:r>
      <w:r w:rsidR="007F462A" w:rsidRPr="00D924F4">
        <w:rPr>
          <w:sz w:val="22"/>
          <w:szCs w:val="22"/>
        </w:rPr>
        <w:t xml:space="preserve">several </w:t>
      </w:r>
      <w:r w:rsidRPr="00D924F4">
        <w:rPr>
          <w:sz w:val="22"/>
          <w:szCs w:val="22"/>
        </w:rPr>
        <w:t xml:space="preserve">Interested Party discussions with outside counsel, </w:t>
      </w:r>
      <w:r w:rsidR="003E1ACB" w:rsidRPr="00D924F4">
        <w:rPr>
          <w:sz w:val="22"/>
          <w:szCs w:val="22"/>
        </w:rPr>
        <w:t xml:space="preserve">and analysis of both </w:t>
      </w:r>
      <w:r w:rsidR="00A7432E">
        <w:rPr>
          <w:sz w:val="22"/>
          <w:szCs w:val="22"/>
        </w:rPr>
        <w:t>i</w:t>
      </w:r>
      <w:r w:rsidR="003E1ACB" w:rsidRPr="00D924F4">
        <w:rPr>
          <w:sz w:val="22"/>
          <w:szCs w:val="22"/>
        </w:rPr>
        <w:t xml:space="preserve">nterested </w:t>
      </w:r>
      <w:r w:rsidR="00A7432E">
        <w:rPr>
          <w:sz w:val="22"/>
          <w:szCs w:val="22"/>
        </w:rPr>
        <w:t>p</w:t>
      </w:r>
      <w:r w:rsidR="003E1ACB" w:rsidRPr="00D924F4">
        <w:rPr>
          <w:sz w:val="22"/>
          <w:szCs w:val="22"/>
        </w:rPr>
        <w:t xml:space="preserve">arties’ investment portfolios and many areas of the Issue Paper, </w:t>
      </w:r>
      <w:r w:rsidRPr="00D924F4">
        <w:rPr>
          <w:sz w:val="22"/>
          <w:szCs w:val="22"/>
        </w:rPr>
        <w:t>we became aware of</w:t>
      </w:r>
      <w:r w:rsidR="001A0919" w:rsidRPr="00D924F4">
        <w:rPr>
          <w:sz w:val="22"/>
          <w:szCs w:val="22"/>
        </w:rPr>
        <w:t xml:space="preserve"> some sign</w:t>
      </w:r>
      <w:r w:rsidR="00487D4D" w:rsidRPr="00D924F4">
        <w:rPr>
          <w:sz w:val="22"/>
          <w:szCs w:val="22"/>
        </w:rPr>
        <w:t>i</w:t>
      </w:r>
      <w:r w:rsidR="001A0919" w:rsidRPr="00D924F4">
        <w:rPr>
          <w:sz w:val="22"/>
          <w:szCs w:val="22"/>
        </w:rPr>
        <w:t>ficant</w:t>
      </w:r>
      <w:r w:rsidRPr="00D924F4">
        <w:rPr>
          <w:sz w:val="22"/>
          <w:szCs w:val="22"/>
        </w:rPr>
        <w:t xml:space="preserve"> potential </w:t>
      </w:r>
      <w:r w:rsidR="003E1ACB" w:rsidRPr="00D924F4">
        <w:rPr>
          <w:sz w:val="22"/>
          <w:szCs w:val="22"/>
        </w:rPr>
        <w:t>challenges</w:t>
      </w:r>
      <w:r w:rsidRPr="00D924F4">
        <w:rPr>
          <w:sz w:val="22"/>
          <w:szCs w:val="22"/>
        </w:rPr>
        <w:t xml:space="preserve"> </w:t>
      </w:r>
      <w:r w:rsidR="003E1ACB" w:rsidRPr="00D924F4">
        <w:rPr>
          <w:sz w:val="22"/>
          <w:szCs w:val="22"/>
        </w:rPr>
        <w:t>associated with</w:t>
      </w:r>
      <w:r w:rsidRPr="00D924F4">
        <w:rPr>
          <w:sz w:val="22"/>
          <w:szCs w:val="22"/>
        </w:rPr>
        <w:t xml:space="preserve"> </w:t>
      </w:r>
      <w:r w:rsidR="003E1ACB" w:rsidRPr="00D924F4">
        <w:rPr>
          <w:sz w:val="22"/>
          <w:szCs w:val="22"/>
        </w:rPr>
        <w:t>using</w:t>
      </w:r>
      <w:r w:rsidRPr="00D924F4">
        <w:rPr>
          <w:sz w:val="22"/>
          <w:szCs w:val="22"/>
        </w:rPr>
        <w:t xml:space="preserve"> </w:t>
      </w:r>
      <w:r w:rsidR="003E1ACB" w:rsidRPr="00D924F4">
        <w:rPr>
          <w:sz w:val="22"/>
          <w:szCs w:val="22"/>
        </w:rPr>
        <w:t xml:space="preserve">the </w:t>
      </w:r>
      <w:r w:rsidRPr="00D924F4">
        <w:rPr>
          <w:sz w:val="22"/>
          <w:szCs w:val="22"/>
        </w:rPr>
        <w:t>proposed anchoring definition</w:t>
      </w:r>
      <w:r w:rsidR="00487D4D" w:rsidRPr="00D924F4">
        <w:rPr>
          <w:sz w:val="22"/>
          <w:szCs w:val="22"/>
        </w:rPr>
        <w:t>. We</w:t>
      </w:r>
      <w:r w:rsidRPr="00D924F4">
        <w:rPr>
          <w:sz w:val="22"/>
          <w:szCs w:val="22"/>
        </w:rPr>
        <w:t xml:space="preserve"> question whether </w:t>
      </w:r>
      <w:r w:rsidR="003E1ACB" w:rsidRPr="00D924F4">
        <w:rPr>
          <w:sz w:val="22"/>
          <w:szCs w:val="22"/>
        </w:rPr>
        <w:t>a</w:t>
      </w:r>
      <w:r w:rsidR="00487D4D" w:rsidRPr="00D924F4">
        <w:rPr>
          <w:sz w:val="22"/>
          <w:szCs w:val="22"/>
        </w:rPr>
        <w:t xml:space="preserve">ny benefits of using the proposed </w:t>
      </w:r>
      <w:r w:rsidR="003E1ACB" w:rsidRPr="00D924F4">
        <w:rPr>
          <w:sz w:val="22"/>
          <w:szCs w:val="22"/>
        </w:rPr>
        <w:t>anchoring definition</w:t>
      </w:r>
      <w:r w:rsidR="00487D4D" w:rsidRPr="00D924F4">
        <w:rPr>
          <w:sz w:val="22"/>
          <w:szCs w:val="22"/>
        </w:rPr>
        <w:t>,</w:t>
      </w:r>
      <w:r w:rsidR="003E1ACB" w:rsidRPr="00D924F4">
        <w:rPr>
          <w:sz w:val="22"/>
          <w:szCs w:val="22"/>
        </w:rPr>
        <w:t xml:space="preserve"> </w:t>
      </w:r>
      <w:r w:rsidRPr="00D924F4">
        <w:rPr>
          <w:sz w:val="22"/>
          <w:szCs w:val="22"/>
        </w:rPr>
        <w:t>outweigh th</w:t>
      </w:r>
      <w:r w:rsidR="00487D4D" w:rsidRPr="00D924F4">
        <w:rPr>
          <w:sz w:val="22"/>
          <w:szCs w:val="22"/>
        </w:rPr>
        <w:t>e</w:t>
      </w:r>
      <w:r w:rsidRPr="00D924F4">
        <w:rPr>
          <w:sz w:val="22"/>
          <w:szCs w:val="22"/>
        </w:rPr>
        <w:t xml:space="preserve"> potential</w:t>
      </w:r>
      <w:r w:rsidR="003E1ACB" w:rsidRPr="00D924F4">
        <w:rPr>
          <w:sz w:val="22"/>
          <w:szCs w:val="22"/>
        </w:rPr>
        <w:t xml:space="preserve"> challenges</w:t>
      </w:r>
      <w:r w:rsidR="00487D4D" w:rsidRPr="00D924F4">
        <w:rPr>
          <w:sz w:val="22"/>
          <w:szCs w:val="22"/>
        </w:rPr>
        <w:t>, and expand upon those potential challenges below</w:t>
      </w:r>
      <w:r w:rsidR="003E1ACB" w:rsidRPr="00D924F4">
        <w:rPr>
          <w:sz w:val="22"/>
          <w:szCs w:val="22"/>
        </w:rPr>
        <w:t xml:space="preserve">.  Interested </w:t>
      </w:r>
      <w:r w:rsidR="00A7432E">
        <w:rPr>
          <w:sz w:val="22"/>
          <w:szCs w:val="22"/>
        </w:rPr>
        <w:t>p</w:t>
      </w:r>
      <w:r w:rsidR="003E1ACB" w:rsidRPr="00D924F4">
        <w:rPr>
          <w:sz w:val="22"/>
          <w:szCs w:val="22"/>
        </w:rPr>
        <w:t xml:space="preserve">arties </w:t>
      </w:r>
      <w:r w:rsidR="00487D4D" w:rsidRPr="00D924F4">
        <w:rPr>
          <w:sz w:val="22"/>
          <w:szCs w:val="22"/>
        </w:rPr>
        <w:t>also</w:t>
      </w:r>
      <w:r w:rsidR="009B78BC" w:rsidRPr="00D924F4">
        <w:rPr>
          <w:sz w:val="22"/>
          <w:szCs w:val="22"/>
        </w:rPr>
        <w:t xml:space="preserve"> </w:t>
      </w:r>
      <w:r w:rsidR="00487D4D" w:rsidRPr="00D924F4">
        <w:rPr>
          <w:sz w:val="22"/>
          <w:szCs w:val="22"/>
        </w:rPr>
        <w:t>believe</w:t>
      </w:r>
      <w:r w:rsidR="003E1ACB" w:rsidRPr="00D924F4">
        <w:rPr>
          <w:sz w:val="22"/>
          <w:szCs w:val="22"/>
        </w:rPr>
        <w:t xml:space="preserve"> developing independent principles beyond those included within the Issue Paper</w:t>
      </w:r>
      <w:r w:rsidR="00487D4D" w:rsidRPr="00D924F4">
        <w:rPr>
          <w:sz w:val="22"/>
          <w:szCs w:val="22"/>
        </w:rPr>
        <w:t>, and in lieu of the proposed anchoring definition</w:t>
      </w:r>
      <w:r w:rsidR="007F462A" w:rsidRPr="00D924F4">
        <w:rPr>
          <w:sz w:val="22"/>
          <w:szCs w:val="22"/>
        </w:rPr>
        <w:t>,</w:t>
      </w:r>
      <w:r w:rsidR="003E1ACB" w:rsidRPr="00D924F4">
        <w:rPr>
          <w:sz w:val="22"/>
          <w:szCs w:val="22"/>
        </w:rPr>
        <w:t xml:space="preserve"> should strongly be considered.</w:t>
      </w:r>
      <w:r w:rsidR="00972939" w:rsidRPr="00D924F4">
        <w:rPr>
          <w:sz w:val="22"/>
          <w:szCs w:val="22"/>
        </w:rPr>
        <w:t xml:space="preserve">  </w:t>
      </w:r>
    </w:p>
    <w:p w14:paraId="12109D56" w14:textId="77777777" w:rsidR="00D262A4" w:rsidRPr="008B04C7" w:rsidRDefault="00D262A4" w:rsidP="002B1EAD">
      <w:pPr>
        <w:pStyle w:val="Default"/>
        <w:ind w:left="360"/>
        <w:jc w:val="both"/>
        <w:rPr>
          <w:sz w:val="16"/>
          <w:szCs w:val="16"/>
        </w:rPr>
      </w:pPr>
    </w:p>
    <w:p w14:paraId="294A918D" w14:textId="04DF5362" w:rsidR="000C2E3F" w:rsidRPr="00D924F4" w:rsidRDefault="006600A5" w:rsidP="002B1EAD">
      <w:pPr>
        <w:pStyle w:val="Default"/>
        <w:ind w:left="360"/>
        <w:jc w:val="both"/>
        <w:rPr>
          <w:sz w:val="22"/>
          <w:szCs w:val="22"/>
        </w:rPr>
      </w:pPr>
      <w:r w:rsidRPr="00D924F4">
        <w:rPr>
          <w:sz w:val="22"/>
          <w:szCs w:val="22"/>
        </w:rPr>
        <w:t xml:space="preserve">In light of this, </w:t>
      </w:r>
      <w:r w:rsidR="00A7432E">
        <w:rPr>
          <w:sz w:val="22"/>
          <w:szCs w:val="22"/>
        </w:rPr>
        <w:t>i</w:t>
      </w:r>
      <w:r w:rsidRPr="00D924F4">
        <w:rPr>
          <w:sz w:val="22"/>
          <w:szCs w:val="22"/>
        </w:rPr>
        <w:t xml:space="preserve">nterested </w:t>
      </w:r>
      <w:r w:rsidR="00A7432E">
        <w:rPr>
          <w:sz w:val="22"/>
          <w:szCs w:val="22"/>
        </w:rPr>
        <w:t>p</w:t>
      </w:r>
      <w:r w:rsidRPr="00D924F4">
        <w:rPr>
          <w:sz w:val="22"/>
          <w:szCs w:val="22"/>
        </w:rPr>
        <w:t>arties ask</w:t>
      </w:r>
      <w:r w:rsidR="00D262A4" w:rsidRPr="00D924F4">
        <w:rPr>
          <w:sz w:val="22"/>
          <w:szCs w:val="22"/>
        </w:rPr>
        <w:t xml:space="preserve"> </w:t>
      </w:r>
      <w:r w:rsidRPr="00D924F4">
        <w:rPr>
          <w:sz w:val="22"/>
          <w:szCs w:val="22"/>
        </w:rPr>
        <w:t xml:space="preserve">the </w:t>
      </w:r>
      <w:r w:rsidR="00D262A4" w:rsidRPr="00D924F4">
        <w:rPr>
          <w:sz w:val="22"/>
          <w:szCs w:val="22"/>
        </w:rPr>
        <w:t xml:space="preserve">SAPWG </w:t>
      </w:r>
      <w:r w:rsidRPr="00D924F4">
        <w:rPr>
          <w:sz w:val="22"/>
          <w:szCs w:val="22"/>
        </w:rPr>
        <w:t xml:space="preserve">to </w:t>
      </w:r>
      <w:r w:rsidR="00D262A4" w:rsidRPr="00D924F4">
        <w:rPr>
          <w:sz w:val="22"/>
          <w:szCs w:val="22"/>
        </w:rPr>
        <w:t xml:space="preserve">take time to </w:t>
      </w:r>
      <w:r w:rsidRPr="00D924F4">
        <w:rPr>
          <w:sz w:val="22"/>
          <w:szCs w:val="22"/>
        </w:rPr>
        <w:t xml:space="preserve">carefully and </w:t>
      </w:r>
      <w:r w:rsidR="00D262A4" w:rsidRPr="00D924F4">
        <w:rPr>
          <w:sz w:val="22"/>
          <w:szCs w:val="22"/>
        </w:rPr>
        <w:t xml:space="preserve">thoroughly </w:t>
      </w:r>
      <w:r w:rsidRPr="00D924F4">
        <w:rPr>
          <w:sz w:val="22"/>
          <w:szCs w:val="22"/>
        </w:rPr>
        <w:t xml:space="preserve">consider the recommendations included in </w:t>
      </w:r>
      <w:r w:rsidR="0085751E" w:rsidRPr="00D924F4">
        <w:rPr>
          <w:sz w:val="22"/>
          <w:szCs w:val="22"/>
        </w:rPr>
        <w:t>this</w:t>
      </w:r>
      <w:r w:rsidRPr="00D924F4">
        <w:rPr>
          <w:sz w:val="22"/>
          <w:szCs w:val="22"/>
        </w:rPr>
        <w:t xml:space="preserve"> letter.   Our objective is to</w:t>
      </w:r>
      <w:r w:rsidR="00D262A4" w:rsidRPr="00D924F4">
        <w:rPr>
          <w:sz w:val="22"/>
          <w:szCs w:val="22"/>
        </w:rPr>
        <w:t xml:space="preserve"> ensure both proper clarity and proper accounting for each security type currently or newly proposed as a bond under SSAP No. 43R.  Arriving at the appropriate revisions takes precedence over timeliness of completion.  </w:t>
      </w:r>
      <w:r w:rsidR="00F64877" w:rsidRPr="00D924F4">
        <w:rPr>
          <w:sz w:val="22"/>
          <w:szCs w:val="22"/>
        </w:rPr>
        <w:t>It is in the best interest of both</w:t>
      </w:r>
      <w:r w:rsidR="001D0CA8" w:rsidRPr="00D924F4">
        <w:rPr>
          <w:sz w:val="22"/>
          <w:szCs w:val="22"/>
        </w:rPr>
        <w:t xml:space="preserve"> insurers and</w:t>
      </w:r>
      <w:r w:rsidR="00F64877" w:rsidRPr="00D924F4">
        <w:rPr>
          <w:sz w:val="22"/>
          <w:szCs w:val="22"/>
        </w:rPr>
        <w:t xml:space="preserve"> regulators, and ultimately policyholders, to not emplace statutory accounting principles that are detrimental to insurers engaging in sound investment principles.</w:t>
      </w:r>
    </w:p>
    <w:p w14:paraId="49111EE2" w14:textId="77777777" w:rsidR="00E120C0" w:rsidRPr="00D924F4" w:rsidRDefault="00E120C0" w:rsidP="002B1EAD">
      <w:pPr>
        <w:pStyle w:val="Default"/>
        <w:ind w:left="360"/>
        <w:jc w:val="both"/>
        <w:rPr>
          <w:sz w:val="22"/>
          <w:szCs w:val="22"/>
        </w:rPr>
      </w:pPr>
    </w:p>
    <w:p w14:paraId="036B7541" w14:textId="16D8AE42" w:rsidR="00FC6F0C" w:rsidRPr="00D924F4" w:rsidRDefault="00757201" w:rsidP="002B1EAD">
      <w:pPr>
        <w:pStyle w:val="Default"/>
        <w:numPr>
          <w:ilvl w:val="0"/>
          <w:numId w:val="12"/>
        </w:numPr>
        <w:jc w:val="both"/>
        <w:rPr>
          <w:sz w:val="22"/>
          <w:szCs w:val="22"/>
        </w:rPr>
      </w:pPr>
      <w:r w:rsidRPr="00D924F4">
        <w:rPr>
          <w:sz w:val="22"/>
          <w:szCs w:val="22"/>
        </w:rPr>
        <w:t>I</w:t>
      </w:r>
      <w:r w:rsidR="00E120C0" w:rsidRPr="00D924F4">
        <w:rPr>
          <w:sz w:val="22"/>
          <w:szCs w:val="22"/>
        </w:rPr>
        <w:t xml:space="preserve">mportantly, the </w:t>
      </w:r>
      <w:r w:rsidR="0085751E" w:rsidRPr="00D924F4">
        <w:rPr>
          <w:sz w:val="22"/>
          <w:szCs w:val="22"/>
        </w:rPr>
        <w:t>E</w:t>
      </w:r>
      <w:r w:rsidR="00E120C0" w:rsidRPr="00D924F4">
        <w:rPr>
          <w:sz w:val="22"/>
          <w:szCs w:val="22"/>
        </w:rPr>
        <w:t>xposure includes two</w:t>
      </w:r>
      <w:r w:rsidR="00E120C0" w:rsidRPr="00D924F4">
        <w:rPr>
          <w:color w:val="FF0000"/>
          <w:sz w:val="22"/>
          <w:szCs w:val="22"/>
        </w:rPr>
        <w:t xml:space="preserve"> </w:t>
      </w:r>
      <w:r w:rsidR="00E120C0" w:rsidRPr="00D924F4">
        <w:rPr>
          <w:sz w:val="22"/>
          <w:szCs w:val="22"/>
        </w:rPr>
        <w:t xml:space="preserve">definitions of </w:t>
      </w:r>
      <w:r w:rsidR="00916E0A" w:rsidRPr="00D924F4">
        <w:rPr>
          <w:sz w:val="22"/>
          <w:szCs w:val="22"/>
        </w:rPr>
        <w:t>ABS</w:t>
      </w:r>
      <w:r w:rsidR="00E120C0" w:rsidRPr="00D924F4">
        <w:rPr>
          <w:sz w:val="22"/>
          <w:szCs w:val="22"/>
        </w:rPr>
        <w:t xml:space="preserve"> – 1) </w:t>
      </w:r>
      <w:r w:rsidR="00CB6BAB" w:rsidRPr="00D924F4">
        <w:rPr>
          <w:sz w:val="22"/>
          <w:szCs w:val="22"/>
        </w:rPr>
        <w:t xml:space="preserve">the </w:t>
      </w:r>
      <w:r w:rsidR="00C40A46" w:rsidRPr="00D924F4">
        <w:rPr>
          <w:sz w:val="22"/>
          <w:szCs w:val="22"/>
        </w:rPr>
        <w:t xml:space="preserve">Securities Exchange Act of 1934 </w:t>
      </w:r>
      <w:r w:rsidR="00B33A6F" w:rsidRPr="00D924F4">
        <w:rPr>
          <w:sz w:val="22"/>
          <w:szCs w:val="22"/>
        </w:rPr>
        <w:t xml:space="preserve">definition (paragraph 19 – hereafter referred to as the </w:t>
      </w:r>
      <w:r w:rsidR="00885CD2" w:rsidRPr="00D924F4">
        <w:rPr>
          <w:sz w:val="22"/>
          <w:szCs w:val="22"/>
        </w:rPr>
        <w:t>“</w:t>
      </w:r>
      <w:r w:rsidR="00B33A6F" w:rsidRPr="00D924F4">
        <w:rPr>
          <w:sz w:val="22"/>
          <w:szCs w:val="22"/>
        </w:rPr>
        <w:t>1934 Act Definition</w:t>
      </w:r>
      <w:r w:rsidR="00885CD2" w:rsidRPr="00D924F4">
        <w:rPr>
          <w:sz w:val="22"/>
          <w:szCs w:val="22"/>
        </w:rPr>
        <w:t>”</w:t>
      </w:r>
      <w:r w:rsidR="00B33A6F" w:rsidRPr="00D924F4">
        <w:rPr>
          <w:sz w:val="22"/>
          <w:szCs w:val="22"/>
        </w:rPr>
        <w:t>) and the</w:t>
      </w:r>
      <w:r w:rsidR="00C40A46" w:rsidRPr="00D924F4">
        <w:rPr>
          <w:sz w:val="22"/>
          <w:szCs w:val="22"/>
        </w:rPr>
        <w:t xml:space="preserve"> definition set forth in 17 CF</w:t>
      </w:r>
      <w:r w:rsidR="00152EAF" w:rsidRPr="00D924F4">
        <w:rPr>
          <w:sz w:val="22"/>
          <w:szCs w:val="22"/>
        </w:rPr>
        <w:t>R</w:t>
      </w:r>
      <w:r w:rsidR="00C40A46" w:rsidRPr="00D924F4">
        <w:rPr>
          <w:sz w:val="22"/>
          <w:szCs w:val="22"/>
        </w:rPr>
        <w:t xml:space="preserve"> Section 229.1191(c)</w:t>
      </w:r>
      <w:r w:rsidR="00B33A6F" w:rsidRPr="00D924F4">
        <w:rPr>
          <w:sz w:val="22"/>
          <w:szCs w:val="22"/>
        </w:rPr>
        <w:t xml:space="preserve"> (paragraph 20 – hereafter referred to as the </w:t>
      </w:r>
      <w:r w:rsidR="00885CD2" w:rsidRPr="00D924F4">
        <w:rPr>
          <w:sz w:val="22"/>
          <w:szCs w:val="22"/>
        </w:rPr>
        <w:t>“</w:t>
      </w:r>
      <w:r w:rsidR="00B33A6F" w:rsidRPr="00D924F4">
        <w:rPr>
          <w:sz w:val="22"/>
          <w:szCs w:val="22"/>
        </w:rPr>
        <w:t xml:space="preserve">1933 Act </w:t>
      </w:r>
      <w:r w:rsidR="00CB6BAB" w:rsidRPr="00D924F4">
        <w:rPr>
          <w:sz w:val="22"/>
          <w:szCs w:val="22"/>
        </w:rPr>
        <w:t>D</w:t>
      </w:r>
      <w:r w:rsidR="00B33A6F" w:rsidRPr="00D924F4">
        <w:rPr>
          <w:sz w:val="22"/>
          <w:szCs w:val="22"/>
        </w:rPr>
        <w:t>efinition</w:t>
      </w:r>
      <w:r w:rsidR="00885CD2" w:rsidRPr="00D924F4">
        <w:rPr>
          <w:sz w:val="22"/>
          <w:szCs w:val="22"/>
        </w:rPr>
        <w:t>”</w:t>
      </w:r>
      <w:r w:rsidR="00B33A6F" w:rsidRPr="00D924F4">
        <w:rPr>
          <w:sz w:val="22"/>
          <w:szCs w:val="22"/>
        </w:rPr>
        <w:t xml:space="preserve">).  </w:t>
      </w:r>
      <w:r w:rsidR="00C40A46" w:rsidRPr="00D924F4">
        <w:rPr>
          <w:sz w:val="22"/>
          <w:szCs w:val="22"/>
        </w:rPr>
        <w:t>Each</w:t>
      </w:r>
      <w:r w:rsidR="00B33A6F" w:rsidRPr="00D924F4">
        <w:rPr>
          <w:sz w:val="22"/>
          <w:szCs w:val="22"/>
        </w:rPr>
        <w:t xml:space="preserve"> definition ha</w:t>
      </w:r>
      <w:r w:rsidR="00C40A46" w:rsidRPr="00D924F4">
        <w:rPr>
          <w:sz w:val="22"/>
          <w:szCs w:val="22"/>
        </w:rPr>
        <w:t>s</w:t>
      </w:r>
      <w:r w:rsidR="00CB6BAB" w:rsidRPr="00D924F4">
        <w:rPr>
          <w:sz w:val="22"/>
          <w:szCs w:val="22"/>
        </w:rPr>
        <w:t xml:space="preserve"> been subject to regulatory and judicial interpretations</w:t>
      </w:r>
      <w:r w:rsidR="00B33A6F" w:rsidRPr="00D924F4">
        <w:rPr>
          <w:sz w:val="22"/>
          <w:szCs w:val="22"/>
        </w:rPr>
        <w:t xml:space="preserve">, </w:t>
      </w:r>
      <w:r w:rsidR="00C40A46" w:rsidRPr="00D924F4">
        <w:rPr>
          <w:sz w:val="22"/>
          <w:szCs w:val="22"/>
        </w:rPr>
        <w:t>each</w:t>
      </w:r>
      <w:r w:rsidR="00B33A6F" w:rsidRPr="00D924F4">
        <w:rPr>
          <w:sz w:val="22"/>
          <w:szCs w:val="22"/>
        </w:rPr>
        <w:t xml:space="preserve"> include</w:t>
      </w:r>
      <w:r w:rsidR="00C40A46" w:rsidRPr="00D924F4">
        <w:rPr>
          <w:sz w:val="22"/>
          <w:szCs w:val="22"/>
        </w:rPr>
        <w:t>s</w:t>
      </w:r>
      <w:r w:rsidR="00B33A6F" w:rsidRPr="00D924F4">
        <w:rPr>
          <w:sz w:val="22"/>
          <w:szCs w:val="22"/>
        </w:rPr>
        <w:t xml:space="preserve"> single obligor </w:t>
      </w:r>
      <w:r w:rsidR="0085751E" w:rsidRPr="00D924F4">
        <w:rPr>
          <w:sz w:val="22"/>
          <w:szCs w:val="22"/>
        </w:rPr>
        <w:t>ABS</w:t>
      </w:r>
      <w:r w:rsidR="00B33A6F" w:rsidRPr="00D924F4">
        <w:rPr>
          <w:sz w:val="22"/>
          <w:szCs w:val="22"/>
        </w:rPr>
        <w:t xml:space="preserve">, and </w:t>
      </w:r>
      <w:r w:rsidR="00C40A46" w:rsidRPr="00D924F4">
        <w:rPr>
          <w:sz w:val="22"/>
          <w:szCs w:val="22"/>
        </w:rPr>
        <w:t>each exists for a different purpose.</w:t>
      </w:r>
      <w:r w:rsidR="00FC6F0C" w:rsidRPr="00D924F4">
        <w:rPr>
          <w:sz w:val="22"/>
          <w:szCs w:val="22"/>
        </w:rPr>
        <w:t xml:space="preserve">  </w:t>
      </w:r>
    </w:p>
    <w:p w14:paraId="4C230F04" w14:textId="41D144AE" w:rsidR="00564112" w:rsidRPr="008B04C7" w:rsidRDefault="00564112" w:rsidP="002B1EAD">
      <w:pPr>
        <w:pStyle w:val="Default"/>
        <w:jc w:val="both"/>
        <w:rPr>
          <w:sz w:val="16"/>
          <w:szCs w:val="16"/>
        </w:rPr>
      </w:pPr>
    </w:p>
    <w:p w14:paraId="77ED8BC6" w14:textId="7CADA765" w:rsidR="0076471B" w:rsidRPr="00D924F4" w:rsidRDefault="0076471B" w:rsidP="002B1EAD">
      <w:pPr>
        <w:pStyle w:val="Default"/>
        <w:ind w:left="360"/>
        <w:jc w:val="both"/>
        <w:rPr>
          <w:sz w:val="22"/>
          <w:szCs w:val="22"/>
        </w:rPr>
      </w:pPr>
      <w:bookmarkStart w:id="1" w:name="_Hlk46063653"/>
      <w:r w:rsidRPr="00D924F4">
        <w:rPr>
          <w:sz w:val="22"/>
          <w:szCs w:val="22"/>
        </w:rPr>
        <w:t xml:space="preserve">The 1934 Act Definition was </w:t>
      </w:r>
      <w:r w:rsidR="00487D4D" w:rsidRPr="00D924F4">
        <w:rPr>
          <w:sz w:val="22"/>
          <w:szCs w:val="22"/>
        </w:rPr>
        <w:t>enacted</w:t>
      </w:r>
      <w:r w:rsidRPr="00D924F4">
        <w:rPr>
          <w:sz w:val="22"/>
          <w:szCs w:val="22"/>
        </w:rPr>
        <w:t xml:space="preserve"> by Congress as part of the Dodd-Frank</w:t>
      </w:r>
      <w:r w:rsidR="00916E0A" w:rsidRPr="00D924F4">
        <w:rPr>
          <w:sz w:val="22"/>
          <w:szCs w:val="22"/>
        </w:rPr>
        <w:t xml:space="preserve"> Wall Street Reform and Consumer Protection</w:t>
      </w:r>
      <w:r w:rsidRPr="00D924F4">
        <w:rPr>
          <w:sz w:val="22"/>
          <w:szCs w:val="22"/>
        </w:rPr>
        <w:t xml:space="preserve"> Act</w:t>
      </w:r>
      <w:r w:rsidR="00916E0A" w:rsidRPr="00D924F4">
        <w:rPr>
          <w:sz w:val="22"/>
          <w:szCs w:val="22"/>
        </w:rPr>
        <w:t xml:space="preserve"> (Dodd-Frank)</w:t>
      </w:r>
      <w:r w:rsidRPr="00D924F4">
        <w:rPr>
          <w:sz w:val="22"/>
          <w:szCs w:val="22"/>
        </w:rPr>
        <w:t xml:space="preserve">.  The purpose of the definition is to encompass a wide range of securities commonly viewed as </w:t>
      </w:r>
      <w:r w:rsidR="0085751E" w:rsidRPr="00D924F4">
        <w:rPr>
          <w:sz w:val="22"/>
          <w:szCs w:val="22"/>
        </w:rPr>
        <w:t>ABS</w:t>
      </w:r>
      <w:r w:rsidRPr="00D924F4">
        <w:rPr>
          <w:sz w:val="22"/>
          <w:szCs w:val="22"/>
        </w:rPr>
        <w:t xml:space="preserve"> in the context of Dodd</w:t>
      </w:r>
      <w:r w:rsidR="00916E0A" w:rsidRPr="00D924F4">
        <w:rPr>
          <w:sz w:val="22"/>
          <w:szCs w:val="22"/>
        </w:rPr>
        <w:t>-</w:t>
      </w:r>
      <w:r w:rsidRPr="00D924F4">
        <w:rPr>
          <w:sz w:val="22"/>
          <w:szCs w:val="22"/>
        </w:rPr>
        <w:t>Frank’s risk retention requirements.</w:t>
      </w:r>
    </w:p>
    <w:p w14:paraId="19447646" w14:textId="727A14F9" w:rsidR="0076471B" w:rsidRPr="008B04C7" w:rsidRDefault="0076471B" w:rsidP="002B1EAD">
      <w:pPr>
        <w:pStyle w:val="Default"/>
        <w:ind w:left="360"/>
        <w:jc w:val="both"/>
        <w:rPr>
          <w:sz w:val="16"/>
          <w:szCs w:val="16"/>
        </w:rPr>
      </w:pPr>
    </w:p>
    <w:p w14:paraId="2CC752E7" w14:textId="32E78FD2" w:rsidR="00916E0A" w:rsidRPr="00D924F4" w:rsidRDefault="0076471B" w:rsidP="002B1EAD">
      <w:pPr>
        <w:pStyle w:val="Default"/>
        <w:ind w:left="360"/>
        <w:jc w:val="both"/>
        <w:rPr>
          <w:color w:val="auto"/>
          <w:sz w:val="22"/>
          <w:szCs w:val="22"/>
        </w:rPr>
      </w:pPr>
      <w:r w:rsidRPr="00D924F4">
        <w:rPr>
          <w:sz w:val="22"/>
          <w:szCs w:val="22"/>
        </w:rPr>
        <w:t xml:space="preserve">The 1933 Act Definition was promulgated by the </w:t>
      </w:r>
      <w:r w:rsidR="0085751E" w:rsidRPr="00D924F4">
        <w:rPr>
          <w:sz w:val="22"/>
          <w:szCs w:val="22"/>
        </w:rPr>
        <w:t>Securities and Exchange Commission (</w:t>
      </w:r>
      <w:r w:rsidRPr="00D924F4">
        <w:rPr>
          <w:sz w:val="22"/>
          <w:szCs w:val="22"/>
        </w:rPr>
        <w:t>SEC</w:t>
      </w:r>
      <w:r w:rsidR="0085751E" w:rsidRPr="00D924F4">
        <w:rPr>
          <w:sz w:val="22"/>
          <w:szCs w:val="22"/>
        </w:rPr>
        <w:t xml:space="preserve">) </w:t>
      </w:r>
      <w:r w:rsidRPr="00D924F4">
        <w:rPr>
          <w:sz w:val="22"/>
          <w:szCs w:val="22"/>
        </w:rPr>
        <w:t>in 2006 and</w:t>
      </w:r>
      <w:r w:rsidR="00152EAF" w:rsidRPr="00D924F4">
        <w:rPr>
          <w:sz w:val="22"/>
          <w:szCs w:val="22"/>
        </w:rPr>
        <w:t xml:space="preserve"> thus</w:t>
      </w:r>
      <w:r w:rsidRPr="00D924F4">
        <w:rPr>
          <w:sz w:val="22"/>
          <w:szCs w:val="22"/>
        </w:rPr>
        <w:t xml:space="preserve"> predates the 1934 Act Definition.  The 1933 Act Definition is narrower in scope (e.g., does not include certain</w:t>
      </w:r>
      <w:r w:rsidR="00AA4738" w:rsidRPr="00D924F4">
        <w:rPr>
          <w:sz w:val="22"/>
          <w:szCs w:val="22"/>
        </w:rPr>
        <w:t xml:space="preserve"> collateralized loan obligations </w:t>
      </w:r>
      <w:r w:rsidR="00885CD2" w:rsidRPr="00D924F4">
        <w:rPr>
          <w:sz w:val="22"/>
          <w:szCs w:val="22"/>
        </w:rPr>
        <w:t>“</w:t>
      </w:r>
      <w:r w:rsidRPr="00D924F4">
        <w:rPr>
          <w:sz w:val="22"/>
          <w:szCs w:val="22"/>
        </w:rPr>
        <w:t>CLOs</w:t>
      </w:r>
      <w:r w:rsidR="00885CD2" w:rsidRPr="00D924F4">
        <w:rPr>
          <w:sz w:val="22"/>
          <w:szCs w:val="22"/>
        </w:rPr>
        <w:t>”</w:t>
      </w:r>
      <w:r w:rsidR="00916E0A" w:rsidRPr="00D924F4">
        <w:rPr>
          <w:sz w:val="22"/>
          <w:szCs w:val="22"/>
        </w:rPr>
        <w:t>, for example</w:t>
      </w:r>
      <w:r w:rsidRPr="00D924F4">
        <w:rPr>
          <w:sz w:val="22"/>
          <w:szCs w:val="22"/>
        </w:rPr>
        <w:t>) and</w:t>
      </w:r>
      <w:r w:rsidR="00CB6BAB" w:rsidRPr="00D924F4">
        <w:rPr>
          <w:sz w:val="22"/>
          <w:szCs w:val="22"/>
        </w:rPr>
        <w:t xml:space="preserve"> is not relevant for</w:t>
      </w:r>
      <w:r w:rsidRPr="00D924F4">
        <w:rPr>
          <w:sz w:val="22"/>
          <w:szCs w:val="22"/>
        </w:rPr>
        <w:t xml:space="preserve"> 144A securities and private placement</w:t>
      </w:r>
      <w:r w:rsidR="00757201" w:rsidRPr="00D924F4">
        <w:rPr>
          <w:sz w:val="22"/>
          <w:szCs w:val="22"/>
        </w:rPr>
        <w:t xml:space="preserve"> debt securitie</w:t>
      </w:r>
      <w:r w:rsidRPr="00D924F4">
        <w:rPr>
          <w:sz w:val="22"/>
          <w:szCs w:val="22"/>
        </w:rPr>
        <w:t xml:space="preserve">s.  </w:t>
      </w:r>
      <w:r w:rsidR="00CB6BAB" w:rsidRPr="00D924F4">
        <w:rPr>
          <w:sz w:val="22"/>
          <w:szCs w:val="22"/>
        </w:rPr>
        <w:t>T</w:t>
      </w:r>
      <w:r w:rsidRPr="00D924F4">
        <w:rPr>
          <w:sz w:val="22"/>
          <w:szCs w:val="22"/>
        </w:rPr>
        <w:t>he purpose of the 1933 A</w:t>
      </w:r>
      <w:r w:rsidR="00916E0A" w:rsidRPr="00D924F4">
        <w:rPr>
          <w:sz w:val="22"/>
          <w:szCs w:val="22"/>
        </w:rPr>
        <w:t>ct</w:t>
      </w:r>
      <w:r w:rsidRPr="00D924F4">
        <w:rPr>
          <w:sz w:val="22"/>
          <w:szCs w:val="22"/>
        </w:rPr>
        <w:t xml:space="preserve"> </w:t>
      </w:r>
      <w:r w:rsidR="00C45DF1" w:rsidRPr="00D924F4">
        <w:rPr>
          <w:sz w:val="22"/>
          <w:szCs w:val="22"/>
        </w:rPr>
        <w:t xml:space="preserve">Definition </w:t>
      </w:r>
      <w:r w:rsidRPr="00D924F4">
        <w:rPr>
          <w:sz w:val="22"/>
          <w:szCs w:val="22"/>
        </w:rPr>
        <w:t>was to identify which types of ABS are eligible for the short form registration statement.  In 2006, the S-3 was the only short-form registration statement; now there is an SF-3 registration form</w:t>
      </w:r>
      <w:r w:rsidR="00D8728C" w:rsidRPr="00D924F4">
        <w:rPr>
          <w:sz w:val="22"/>
          <w:szCs w:val="22"/>
        </w:rPr>
        <w:t xml:space="preserve"> </w:t>
      </w:r>
      <w:r w:rsidR="00D8728C" w:rsidRPr="00D924F4">
        <w:rPr>
          <w:color w:val="auto"/>
          <w:sz w:val="22"/>
          <w:szCs w:val="22"/>
        </w:rPr>
        <w:t>designed for ABS</w:t>
      </w:r>
      <w:r w:rsidRPr="00D924F4">
        <w:rPr>
          <w:color w:val="auto"/>
          <w:sz w:val="22"/>
          <w:szCs w:val="22"/>
        </w:rPr>
        <w:t>.</w:t>
      </w:r>
      <w:r w:rsidR="00A05BD2" w:rsidRPr="00D924F4">
        <w:rPr>
          <w:color w:val="auto"/>
          <w:sz w:val="22"/>
          <w:szCs w:val="22"/>
        </w:rPr>
        <w:t xml:space="preserve">  That the 19</w:t>
      </w:r>
      <w:r w:rsidR="002E1A11" w:rsidRPr="00D924F4">
        <w:rPr>
          <w:color w:val="auto"/>
          <w:sz w:val="22"/>
          <w:szCs w:val="22"/>
        </w:rPr>
        <w:t>3</w:t>
      </w:r>
      <w:r w:rsidR="00A05BD2" w:rsidRPr="00D924F4">
        <w:rPr>
          <w:color w:val="auto"/>
          <w:sz w:val="22"/>
          <w:szCs w:val="22"/>
        </w:rPr>
        <w:t>3 Act Definition now exists solely for the SF-3 form illustrates its narrow scope.</w:t>
      </w:r>
    </w:p>
    <w:p w14:paraId="01C2E7B1" w14:textId="77777777" w:rsidR="00916E0A" w:rsidRPr="008B04C7" w:rsidRDefault="00916E0A" w:rsidP="002B1EAD">
      <w:pPr>
        <w:pStyle w:val="Default"/>
        <w:ind w:left="360"/>
        <w:jc w:val="both"/>
        <w:rPr>
          <w:sz w:val="16"/>
          <w:szCs w:val="16"/>
        </w:rPr>
      </w:pPr>
    </w:p>
    <w:p w14:paraId="2663D477" w14:textId="7E71E194" w:rsidR="004F764E" w:rsidRPr="00D924F4" w:rsidRDefault="00757201" w:rsidP="002B1EAD">
      <w:pPr>
        <w:pStyle w:val="Default"/>
        <w:ind w:left="360"/>
        <w:jc w:val="both"/>
        <w:rPr>
          <w:sz w:val="22"/>
          <w:szCs w:val="22"/>
        </w:rPr>
      </w:pPr>
      <w:r w:rsidRPr="00D924F4">
        <w:rPr>
          <w:sz w:val="22"/>
          <w:szCs w:val="22"/>
        </w:rPr>
        <w:t xml:space="preserve">Interested </w:t>
      </w:r>
      <w:r w:rsidR="00A7432E">
        <w:rPr>
          <w:sz w:val="22"/>
          <w:szCs w:val="22"/>
        </w:rPr>
        <w:t>p</w:t>
      </w:r>
      <w:r w:rsidRPr="00D924F4">
        <w:rPr>
          <w:sz w:val="22"/>
          <w:szCs w:val="22"/>
        </w:rPr>
        <w:t>arties believe t</w:t>
      </w:r>
      <w:r w:rsidR="0076471B" w:rsidRPr="00D924F4">
        <w:rPr>
          <w:sz w:val="22"/>
          <w:szCs w:val="22"/>
        </w:rPr>
        <w:t xml:space="preserve">he 1934 Act Definition is the more appropriate </w:t>
      </w:r>
      <w:r w:rsidR="00CB6BAB" w:rsidRPr="00D924F4">
        <w:rPr>
          <w:sz w:val="22"/>
          <w:szCs w:val="22"/>
        </w:rPr>
        <w:t>starting point to define</w:t>
      </w:r>
      <w:r w:rsidR="0076471B" w:rsidRPr="00D924F4">
        <w:rPr>
          <w:sz w:val="22"/>
          <w:szCs w:val="22"/>
        </w:rPr>
        <w:t xml:space="preserve"> ABS</w:t>
      </w:r>
      <w:r w:rsidR="00916E0A" w:rsidRPr="00D924F4">
        <w:rPr>
          <w:sz w:val="22"/>
          <w:szCs w:val="22"/>
        </w:rPr>
        <w:t xml:space="preserve"> </w:t>
      </w:r>
      <w:r w:rsidR="0072566F" w:rsidRPr="00D924F4">
        <w:rPr>
          <w:sz w:val="22"/>
          <w:szCs w:val="22"/>
        </w:rPr>
        <w:t>for</w:t>
      </w:r>
      <w:r w:rsidR="00916E0A" w:rsidRPr="00D924F4">
        <w:rPr>
          <w:sz w:val="22"/>
          <w:szCs w:val="22"/>
        </w:rPr>
        <w:t xml:space="preserve"> statutory accounting</w:t>
      </w:r>
      <w:r w:rsidR="0076471B" w:rsidRPr="00D924F4">
        <w:rPr>
          <w:sz w:val="22"/>
          <w:szCs w:val="22"/>
        </w:rPr>
        <w:t xml:space="preserve">, as </w:t>
      </w:r>
      <w:r w:rsidR="0085751E" w:rsidRPr="00D924F4">
        <w:rPr>
          <w:sz w:val="22"/>
          <w:szCs w:val="22"/>
        </w:rPr>
        <w:t>this</w:t>
      </w:r>
      <w:r w:rsidR="001C12D0" w:rsidRPr="00D924F4">
        <w:rPr>
          <w:sz w:val="22"/>
          <w:szCs w:val="22"/>
        </w:rPr>
        <w:t xml:space="preserve"> </w:t>
      </w:r>
      <w:r w:rsidR="00916E0A" w:rsidRPr="00D924F4">
        <w:rPr>
          <w:sz w:val="22"/>
          <w:szCs w:val="22"/>
        </w:rPr>
        <w:t>definition</w:t>
      </w:r>
      <w:r w:rsidR="0015005B" w:rsidRPr="00D924F4">
        <w:rPr>
          <w:sz w:val="22"/>
          <w:szCs w:val="22"/>
        </w:rPr>
        <w:t xml:space="preserve"> </w:t>
      </w:r>
      <w:r w:rsidR="0085751E" w:rsidRPr="00D924F4">
        <w:rPr>
          <w:sz w:val="22"/>
          <w:szCs w:val="22"/>
        </w:rPr>
        <w:t xml:space="preserve">was </w:t>
      </w:r>
      <w:r w:rsidR="0015005B" w:rsidRPr="00D924F4">
        <w:rPr>
          <w:sz w:val="22"/>
          <w:szCs w:val="22"/>
        </w:rPr>
        <w:t>most recently evaluated and</w:t>
      </w:r>
      <w:r w:rsidR="00916E0A" w:rsidRPr="00D924F4">
        <w:rPr>
          <w:sz w:val="22"/>
          <w:szCs w:val="22"/>
        </w:rPr>
        <w:t xml:space="preserve"> </w:t>
      </w:r>
      <w:r w:rsidR="0085751E" w:rsidRPr="00D924F4">
        <w:rPr>
          <w:sz w:val="22"/>
          <w:szCs w:val="22"/>
        </w:rPr>
        <w:t>utilized</w:t>
      </w:r>
      <w:r w:rsidR="00CB6BAB" w:rsidRPr="00D924F4">
        <w:rPr>
          <w:sz w:val="22"/>
          <w:szCs w:val="22"/>
        </w:rPr>
        <w:t xml:space="preserve"> by Congress to subject a wide range of instruments to risk retention rules. </w:t>
      </w:r>
      <w:r w:rsidR="00C40A46" w:rsidRPr="00D924F4">
        <w:rPr>
          <w:sz w:val="22"/>
          <w:szCs w:val="22"/>
        </w:rPr>
        <w:t xml:space="preserve">Even the 1934 Act </w:t>
      </w:r>
      <w:r w:rsidR="000041D6" w:rsidRPr="00D924F4">
        <w:rPr>
          <w:sz w:val="22"/>
          <w:szCs w:val="22"/>
        </w:rPr>
        <w:t>D</w:t>
      </w:r>
      <w:r w:rsidR="00C40A46" w:rsidRPr="00D924F4">
        <w:rPr>
          <w:sz w:val="22"/>
          <w:szCs w:val="22"/>
        </w:rPr>
        <w:t>efinition, h</w:t>
      </w:r>
      <w:r w:rsidR="00CB6BAB" w:rsidRPr="00D924F4">
        <w:rPr>
          <w:sz w:val="22"/>
          <w:szCs w:val="22"/>
        </w:rPr>
        <w:t xml:space="preserve">owever, </w:t>
      </w:r>
      <w:r w:rsidR="00C40A46" w:rsidRPr="00D924F4">
        <w:rPr>
          <w:sz w:val="22"/>
          <w:szCs w:val="22"/>
        </w:rPr>
        <w:t>does not cover many securities commonly viewed by the market as</w:t>
      </w:r>
      <w:r w:rsidR="00AA4738" w:rsidRPr="00D924F4">
        <w:rPr>
          <w:sz w:val="22"/>
          <w:szCs w:val="22"/>
        </w:rPr>
        <w:t xml:space="preserve"> ABS</w:t>
      </w:r>
      <w:r w:rsidR="00C40A46" w:rsidRPr="00D924F4">
        <w:rPr>
          <w:sz w:val="22"/>
          <w:szCs w:val="22"/>
        </w:rPr>
        <w:t>.</w:t>
      </w:r>
      <w:r w:rsidR="00CB6BAB" w:rsidRPr="00D924F4">
        <w:rPr>
          <w:sz w:val="22"/>
          <w:szCs w:val="22"/>
        </w:rPr>
        <w:t xml:space="preserve"> </w:t>
      </w:r>
      <w:r w:rsidR="008B3229" w:rsidRPr="00D924F4">
        <w:rPr>
          <w:sz w:val="22"/>
          <w:szCs w:val="22"/>
        </w:rPr>
        <w:t>This is because t</w:t>
      </w:r>
      <w:r w:rsidR="00C40A46" w:rsidRPr="00D924F4">
        <w:rPr>
          <w:sz w:val="22"/>
          <w:szCs w:val="22"/>
        </w:rPr>
        <w:t xml:space="preserve">he 1934 Act </w:t>
      </w:r>
      <w:r w:rsidR="00C40A46" w:rsidRPr="00D924F4">
        <w:rPr>
          <w:sz w:val="22"/>
          <w:szCs w:val="22"/>
        </w:rPr>
        <w:lastRenderedPageBreak/>
        <w:t xml:space="preserve">Definition requires that </w:t>
      </w:r>
      <w:r w:rsidR="008B3229" w:rsidRPr="00D924F4">
        <w:rPr>
          <w:sz w:val="22"/>
          <w:szCs w:val="22"/>
        </w:rPr>
        <w:t xml:space="preserve">the underlying </w:t>
      </w:r>
      <w:r w:rsidR="00C40A46" w:rsidRPr="00D924F4">
        <w:rPr>
          <w:sz w:val="22"/>
          <w:szCs w:val="22"/>
        </w:rPr>
        <w:t>assets</w:t>
      </w:r>
      <w:r w:rsidR="008B3229" w:rsidRPr="00D924F4">
        <w:rPr>
          <w:sz w:val="22"/>
          <w:szCs w:val="22"/>
        </w:rPr>
        <w:t xml:space="preserve"> of an ABS</w:t>
      </w:r>
      <w:r w:rsidR="00C40A46" w:rsidRPr="00D924F4">
        <w:rPr>
          <w:sz w:val="22"/>
          <w:szCs w:val="22"/>
        </w:rPr>
        <w:t xml:space="preserve"> be self-liquidating, and thereby </w:t>
      </w:r>
      <w:r w:rsidR="00CB6BAB" w:rsidRPr="00D924F4">
        <w:rPr>
          <w:sz w:val="22"/>
          <w:szCs w:val="22"/>
        </w:rPr>
        <w:t xml:space="preserve">excludes a range of </w:t>
      </w:r>
      <w:r w:rsidR="00C40A46" w:rsidRPr="00D924F4">
        <w:rPr>
          <w:sz w:val="22"/>
          <w:szCs w:val="22"/>
        </w:rPr>
        <w:t>assets with</w:t>
      </w:r>
      <w:r w:rsidR="00CB6BAB" w:rsidRPr="00D924F4">
        <w:rPr>
          <w:sz w:val="22"/>
          <w:szCs w:val="22"/>
        </w:rPr>
        <w:t xml:space="preserve"> predictable cash flows</w:t>
      </w:r>
      <w:r w:rsidR="00C40A46" w:rsidRPr="00D924F4">
        <w:rPr>
          <w:sz w:val="22"/>
          <w:szCs w:val="22"/>
        </w:rPr>
        <w:t>, but that are not self-liquid</w:t>
      </w:r>
      <w:r w:rsidR="00AE120C" w:rsidRPr="00D924F4">
        <w:rPr>
          <w:sz w:val="22"/>
          <w:szCs w:val="22"/>
        </w:rPr>
        <w:t>a</w:t>
      </w:r>
      <w:r w:rsidR="00C40A46" w:rsidRPr="00D924F4">
        <w:rPr>
          <w:sz w:val="22"/>
          <w:szCs w:val="22"/>
        </w:rPr>
        <w:t>ting</w:t>
      </w:r>
      <w:r w:rsidR="00AE120C" w:rsidRPr="00D924F4">
        <w:rPr>
          <w:sz w:val="22"/>
          <w:szCs w:val="22"/>
        </w:rPr>
        <w:t xml:space="preserve"> (e.g., royalties and cell towers).</w:t>
      </w:r>
      <w:r w:rsidR="00487D4D" w:rsidRPr="00D924F4">
        <w:rPr>
          <w:sz w:val="22"/>
          <w:szCs w:val="22"/>
        </w:rPr>
        <w:t xml:space="preserve">  </w:t>
      </w:r>
    </w:p>
    <w:p w14:paraId="02ECFB11" w14:textId="77777777" w:rsidR="004F764E" w:rsidRPr="008B04C7" w:rsidRDefault="004F764E" w:rsidP="002B1EAD">
      <w:pPr>
        <w:pStyle w:val="Default"/>
        <w:ind w:left="360"/>
        <w:jc w:val="both"/>
        <w:rPr>
          <w:sz w:val="16"/>
          <w:szCs w:val="16"/>
        </w:rPr>
      </w:pPr>
    </w:p>
    <w:p w14:paraId="24B20C0E" w14:textId="6D777949" w:rsidR="00FC6F0C" w:rsidRPr="00D924F4" w:rsidRDefault="00487D4D" w:rsidP="002B1EAD">
      <w:pPr>
        <w:pStyle w:val="Default"/>
        <w:ind w:left="360"/>
        <w:jc w:val="both"/>
        <w:rPr>
          <w:sz w:val="22"/>
          <w:szCs w:val="22"/>
        </w:rPr>
      </w:pPr>
      <w:r w:rsidRPr="00D924F4">
        <w:rPr>
          <w:sz w:val="22"/>
          <w:szCs w:val="22"/>
        </w:rPr>
        <w:t xml:space="preserve">The </w:t>
      </w:r>
      <w:r w:rsidR="00885CD2" w:rsidRPr="00D924F4">
        <w:rPr>
          <w:sz w:val="22"/>
          <w:szCs w:val="22"/>
        </w:rPr>
        <w:t>“</w:t>
      </w:r>
      <w:r w:rsidRPr="00D924F4">
        <w:rPr>
          <w:sz w:val="22"/>
          <w:szCs w:val="22"/>
        </w:rPr>
        <w:t>Four Principles</w:t>
      </w:r>
      <w:r w:rsidR="00885CD2" w:rsidRPr="00D924F4">
        <w:rPr>
          <w:sz w:val="22"/>
          <w:szCs w:val="22"/>
        </w:rPr>
        <w:t>”</w:t>
      </w:r>
      <w:r w:rsidRPr="00D924F4">
        <w:rPr>
          <w:sz w:val="22"/>
          <w:szCs w:val="22"/>
        </w:rPr>
        <w:t>, as proposed</w:t>
      </w:r>
      <w:r w:rsidR="00885CD2" w:rsidRPr="00D924F4">
        <w:rPr>
          <w:sz w:val="22"/>
          <w:szCs w:val="22"/>
        </w:rPr>
        <w:t xml:space="preserve"> in paragraph 33 of the Exposure</w:t>
      </w:r>
      <w:r w:rsidRPr="00D924F4">
        <w:rPr>
          <w:sz w:val="22"/>
          <w:szCs w:val="22"/>
        </w:rPr>
        <w:t xml:space="preserve">, likewise reference self-liquidating assets, and thus </w:t>
      </w:r>
      <w:r w:rsidR="004F764E" w:rsidRPr="00D924F4">
        <w:rPr>
          <w:sz w:val="22"/>
          <w:szCs w:val="22"/>
        </w:rPr>
        <w:t>would</w:t>
      </w:r>
      <w:r w:rsidRPr="00D924F4">
        <w:rPr>
          <w:sz w:val="22"/>
          <w:szCs w:val="22"/>
        </w:rPr>
        <w:t xml:space="preserve"> need to be revised to better</w:t>
      </w:r>
      <w:r w:rsidR="004F764E" w:rsidRPr="00D924F4">
        <w:rPr>
          <w:sz w:val="22"/>
          <w:szCs w:val="22"/>
        </w:rPr>
        <w:t xml:space="preserve"> reflect ABS.  Interested </w:t>
      </w:r>
      <w:r w:rsidR="00A7432E">
        <w:rPr>
          <w:sz w:val="22"/>
          <w:szCs w:val="22"/>
        </w:rPr>
        <w:t>p</w:t>
      </w:r>
      <w:r w:rsidR="004F764E" w:rsidRPr="00D924F4">
        <w:rPr>
          <w:sz w:val="22"/>
          <w:szCs w:val="22"/>
        </w:rPr>
        <w:t xml:space="preserve">arties believe that it may be better to define, with </w:t>
      </w:r>
      <w:r w:rsidR="00A7432E">
        <w:rPr>
          <w:sz w:val="22"/>
          <w:szCs w:val="22"/>
        </w:rPr>
        <w:t>i</w:t>
      </w:r>
      <w:r w:rsidR="004F764E" w:rsidRPr="00D924F4">
        <w:rPr>
          <w:sz w:val="22"/>
          <w:szCs w:val="22"/>
        </w:rPr>
        <w:t xml:space="preserve">nterested </w:t>
      </w:r>
      <w:r w:rsidR="00A7432E">
        <w:rPr>
          <w:sz w:val="22"/>
          <w:szCs w:val="22"/>
        </w:rPr>
        <w:t>p</w:t>
      </w:r>
      <w:r w:rsidR="004F764E" w:rsidRPr="00D924F4">
        <w:rPr>
          <w:sz w:val="22"/>
          <w:szCs w:val="22"/>
        </w:rPr>
        <w:t xml:space="preserve">arties, a revised set of principles, while </w:t>
      </w:r>
      <w:r w:rsidR="00787A0C" w:rsidRPr="00D924F4">
        <w:rPr>
          <w:sz w:val="22"/>
          <w:szCs w:val="22"/>
        </w:rPr>
        <w:t xml:space="preserve">potentially </w:t>
      </w:r>
      <w:r w:rsidR="004F764E" w:rsidRPr="00D924F4">
        <w:rPr>
          <w:sz w:val="22"/>
          <w:szCs w:val="22"/>
        </w:rPr>
        <w:t>maintaining the 1934 Act Definition as a “safe harbor” to facilitate classification of ABS.  A further brief timeline of the development of the 1933 Act and 1934 Act Definitions is included in Appendix I</w:t>
      </w:r>
      <w:r w:rsidR="0005460E" w:rsidRPr="00D924F4">
        <w:rPr>
          <w:sz w:val="22"/>
          <w:szCs w:val="22"/>
        </w:rPr>
        <w:t xml:space="preserve"> to this letter</w:t>
      </w:r>
      <w:r w:rsidR="004F764E" w:rsidRPr="00D924F4">
        <w:rPr>
          <w:sz w:val="22"/>
          <w:szCs w:val="22"/>
        </w:rPr>
        <w:t xml:space="preserve">.  As shown in that timeline, these definitions were not intended to capture the entire ABS market, but rather were targeted to specific regulatory and legislative goals.  </w:t>
      </w:r>
    </w:p>
    <w:p w14:paraId="589FEBEA" w14:textId="77777777" w:rsidR="00FC6F0C" w:rsidRPr="008B04C7" w:rsidRDefault="00FC6F0C" w:rsidP="002B1EAD">
      <w:pPr>
        <w:pStyle w:val="Default"/>
        <w:ind w:left="360"/>
        <w:jc w:val="both"/>
        <w:rPr>
          <w:sz w:val="16"/>
          <w:szCs w:val="16"/>
        </w:rPr>
      </w:pPr>
    </w:p>
    <w:p w14:paraId="066B67A9" w14:textId="6BA11E5A" w:rsidR="001C12D0" w:rsidRPr="00D924F4" w:rsidRDefault="00FC6F0C" w:rsidP="002B1EAD">
      <w:pPr>
        <w:pStyle w:val="Default"/>
        <w:ind w:left="360"/>
        <w:jc w:val="both"/>
        <w:rPr>
          <w:color w:val="auto"/>
          <w:sz w:val="22"/>
          <w:szCs w:val="22"/>
        </w:rPr>
      </w:pPr>
      <w:r w:rsidRPr="00D924F4">
        <w:rPr>
          <w:color w:val="auto"/>
          <w:sz w:val="22"/>
          <w:szCs w:val="22"/>
        </w:rPr>
        <w:t xml:space="preserve">Interested </w:t>
      </w:r>
      <w:r w:rsidR="00A7432E">
        <w:rPr>
          <w:color w:val="auto"/>
          <w:sz w:val="22"/>
          <w:szCs w:val="22"/>
        </w:rPr>
        <w:t>p</w:t>
      </w:r>
      <w:r w:rsidRPr="00D924F4">
        <w:rPr>
          <w:color w:val="auto"/>
          <w:sz w:val="22"/>
          <w:szCs w:val="22"/>
        </w:rPr>
        <w:t>arties understand t</w:t>
      </w:r>
      <w:r w:rsidR="00757201" w:rsidRPr="00D924F4">
        <w:rPr>
          <w:color w:val="auto"/>
          <w:sz w:val="22"/>
          <w:szCs w:val="22"/>
        </w:rPr>
        <w:t>hat</w:t>
      </w:r>
      <w:r w:rsidRPr="00D924F4">
        <w:rPr>
          <w:color w:val="auto"/>
          <w:sz w:val="22"/>
          <w:szCs w:val="22"/>
        </w:rPr>
        <w:t xml:space="preserve"> NAIC staff chose the 1933 Act </w:t>
      </w:r>
      <w:r w:rsidR="00A741B6" w:rsidRPr="00D924F4">
        <w:rPr>
          <w:color w:val="auto"/>
          <w:sz w:val="22"/>
          <w:szCs w:val="22"/>
        </w:rPr>
        <w:t>Definition, versus the 1934 Act Definition,</w:t>
      </w:r>
      <w:r w:rsidR="00757201" w:rsidRPr="00D924F4">
        <w:rPr>
          <w:color w:val="auto"/>
          <w:sz w:val="22"/>
          <w:szCs w:val="22"/>
        </w:rPr>
        <w:t xml:space="preserve"> </w:t>
      </w:r>
      <w:r w:rsidR="00A741B6" w:rsidRPr="00D924F4">
        <w:rPr>
          <w:color w:val="auto"/>
          <w:sz w:val="22"/>
          <w:szCs w:val="22"/>
        </w:rPr>
        <w:t xml:space="preserve">because NAIC staff believed certain regulators </w:t>
      </w:r>
      <w:r w:rsidR="00D8728C" w:rsidRPr="00D924F4">
        <w:rPr>
          <w:color w:val="auto"/>
          <w:sz w:val="22"/>
          <w:szCs w:val="22"/>
        </w:rPr>
        <w:t xml:space="preserve">wanted to limit the definition to ABS that could be rated only by </w:t>
      </w:r>
      <w:r w:rsidR="008B3229" w:rsidRPr="00D924F4">
        <w:rPr>
          <w:color w:val="auto"/>
          <w:sz w:val="22"/>
          <w:szCs w:val="22"/>
        </w:rPr>
        <w:t>Nationally Recognized Statistical Ratings Organizations (</w:t>
      </w:r>
      <w:r w:rsidR="00D8728C" w:rsidRPr="00D924F4">
        <w:rPr>
          <w:color w:val="auto"/>
          <w:sz w:val="22"/>
          <w:szCs w:val="22"/>
        </w:rPr>
        <w:t>NRSROs</w:t>
      </w:r>
      <w:r w:rsidR="008B3229" w:rsidRPr="00D924F4">
        <w:rPr>
          <w:color w:val="auto"/>
          <w:sz w:val="22"/>
          <w:szCs w:val="22"/>
        </w:rPr>
        <w:t>)</w:t>
      </w:r>
      <w:r w:rsidR="00D8728C" w:rsidRPr="00D924F4">
        <w:rPr>
          <w:color w:val="auto"/>
          <w:sz w:val="22"/>
          <w:szCs w:val="22"/>
        </w:rPr>
        <w:t xml:space="preserve"> “approved” by the SEC to rate ABS. </w:t>
      </w:r>
    </w:p>
    <w:p w14:paraId="3C048939" w14:textId="151129A0" w:rsidR="00A741B6" w:rsidRPr="008B04C7" w:rsidRDefault="00A741B6" w:rsidP="002B1EAD">
      <w:pPr>
        <w:pStyle w:val="Default"/>
        <w:ind w:left="360"/>
        <w:jc w:val="both"/>
        <w:rPr>
          <w:sz w:val="16"/>
          <w:szCs w:val="16"/>
        </w:rPr>
      </w:pPr>
    </w:p>
    <w:p w14:paraId="17CF4D74" w14:textId="52933CC1" w:rsidR="00AE120C" w:rsidRPr="00D924F4" w:rsidRDefault="00757201" w:rsidP="002B1EAD">
      <w:pPr>
        <w:pStyle w:val="Default"/>
        <w:ind w:left="360"/>
        <w:jc w:val="both"/>
        <w:rPr>
          <w:color w:val="auto"/>
          <w:sz w:val="22"/>
          <w:szCs w:val="22"/>
        </w:rPr>
      </w:pPr>
      <w:r w:rsidRPr="00D924F4">
        <w:rPr>
          <w:color w:val="auto"/>
          <w:sz w:val="22"/>
          <w:szCs w:val="22"/>
        </w:rPr>
        <w:t>As</w:t>
      </w:r>
      <w:r w:rsidR="00A741B6" w:rsidRPr="00D924F4">
        <w:rPr>
          <w:color w:val="auto"/>
          <w:sz w:val="22"/>
          <w:szCs w:val="22"/>
        </w:rPr>
        <w:t xml:space="preserve"> a technical clarification</w:t>
      </w:r>
      <w:r w:rsidR="00295D55" w:rsidRPr="00D924F4">
        <w:rPr>
          <w:rStyle w:val="FootnoteReference"/>
          <w:color w:val="auto"/>
          <w:sz w:val="22"/>
          <w:szCs w:val="22"/>
        </w:rPr>
        <w:footnoteReference w:id="1"/>
      </w:r>
      <w:r w:rsidR="000041D6" w:rsidRPr="00D924F4">
        <w:rPr>
          <w:color w:val="auto"/>
          <w:sz w:val="22"/>
          <w:szCs w:val="22"/>
        </w:rPr>
        <w:t xml:space="preserve"> </w:t>
      </w:r>
      <w:r w:rsidR="00933548" w:rsidRPr="00D924F4">
        <w:rPr>
          <w:color w:val="auto"/>
          <w:sz w:val="22"/>
          <w:szCs w:val="22"/>
        </w:rPr>
        <w:t xml:space="preserve"> </w:t>
      </w:r>
      <w:r w:rsidR="00295D55" w:rsidRPr="00D924F4">
        <w:rPr>
          <w:color w:val="auto"/>
          <w:sz w:val="22"/>
          <w:szCs w:val="22"/>
        </w:rPr>
        <w:t>a</w:t>
      </w:r>
      <w:r w:rsidR="00A741B6" w:rsidRPr="00D924F4">
        <w:rPr>
          <w:color w:val="auto"/>
          <w:sz w:val="22"/>
          <w:szCs w:val="22"/>
        </w:rPr>
        <w:t xml:space="preserve">ny NRSRO can </w:t>
      </w:r>
      <w:r w:rsidR="00D8728C" w:rsidRPr="00D924F4">
        <w:rPr>
          <w:color w:val="auto"/>
          <w:sz w:val="22"/>
          <w:szCs w:val="22"/>
        </w:rPr>
        <w:t>assign a rating to</w:t>
      </w:r>
      <w:r w:rsidR="00564112" w:rsidRPr="00D924F4">
        <w:rPr>
          <w:color w:val="auto"/>
          <w:sz w:val="22"/>
          <w:szCs w:val="22"/>
        </w:rPr>
        <w:t xml:space="preserve"> any</w:t>
      </w:r>
      <w:r w:rsidR="00A741B6" w:rsidRPr="00D924F4">
        <w:rPr>
          <w:color w:val="auto"/>
          <w:sz w:val="22"/>
          <w:szCs w:val="22"/>
        </w:rPr>
        <w:t xml:space="preserve"> ABS</w:t>
      </w:r>
      <w:r w:rsidR="00D8728C" w:rsidRPr="00D924F4">
        <w:rPr>
          <w:color w:val="auto"/>
          <w:sz w:val="22"/>
          <w:szCs w:val="22"/>
        </w:rPr>
        <w:t xml:space="preserve">, </w:t>
      </w:r>
      <w:r w:rsidR="00295D55" w:rsidRPr="00D924F4">
        <w:rPr>
          <w:color w:val="auto"/>
          <w:sz w:val="22"/>
          <w:szCs w:val="22"/>
        </w:rPr>
        <w:t xml:space="preserve">regardless of </w:t>
      </w:r>
      <w:r w:rsidR="00D8728C" w:rsidRPr="00D924F4">
        <w:rPr>
          <w:color w:val="auto"/>
          <w:sz w:val="22"/>
          <w:szCs w:val="22"/>
        </w:rPr>
        <w:t xml:space="preserve">whether </w:t>
      </w:r>
      <w:r w:rsidR="00AE120C" w:rsidRPr="00D924F4">
        <w:rPr>
          <w:color w:val="auto"/>
          <w:sz w:val="22"/>
          <w:szCs w:val="22"/>
        </w:rPr>
        <w:t>the ABS</w:t>
      </w:r>
      <w:r w:rsidR="00D8728C" w:rsidRPr="00D924F4">
        <w:rPr>
          <w:color w:val="auto"/>
          <w:sz w:val="22"/>
          <w:szCs w:val="22"/>
        </w:rPr>
        <w:t xml:space="preserve"> meet</w:t>
      </w:r>
      <w:r w:rsidR="002671B2" w:rsidRPr="00D924F4">
        <w:rPr>
          <w:color w:val="auto"/>
          <w:sz w:val="22"/>
          <w:szCs w:val="22"/>
        </w:rPr>
        <w:t>s</w:t>
      </w:r>
      <w:r w:rsidR="00D8728C" w:rsidRPr="00D924F4">
        <w:rPr>
          <w:color w:val="auto"/>
          <w:sz w:val="22"/>
          <w:szCs w:val="22"/>
        </w:rPr>
        <w:t xml:space="preserve"> the</w:t>
      </w:r>
      <w:r w:rsidR="00A741B6" w:rsidRPr="00D924F4">
        <w:rPr>
          <w:color w:val="auto"/>
          <w:sz w:val="22"/>
          <w:szCs w:val="22"/>
        </w:rPr>
        <w:t xml:space="preserve"> 1933 Act Definition</w:t>
      </w:r>
      <w:r w:rsidR="00295D55" w:rsidRPr="00D924F4">
        <w:rPr>
          <w:color w:val="auto"/>
          <w:sz w:val="22"/>
          <w:szCs w:val="22"/>
        </w:rPr>
        <w:t>.</w:t>
      </w:r>
      <w:r w:rsidR="00D8728C" w:rsidRPr="00D924F4">
        <w:rPr>
          <w:color w:val="auto"/>
          <w:sz w:val="22"/>
          <w:szCs w:val="22"/>
        </w:rPr>
        <w:t xml:space="preserve"> </w:t>
      </w:r>
      <w:r w:rsidR="00A741B6" w:rsidRPr="00D924F4">
        <w:rPr>
          <w:color w:val="auto"/>
          <w:sz w:val="22"/>
          <w:szCs w:val="22"/>
        </w:rPr>
        <w:t xml:space="preserve"> </w:t>
      </w:r>
      <w:r w:rsidR="00AE120C" w:rsidRPr="00D924F4">
        <w:rPr>
          <w:color w:val="auto"/>
          <w:sz w:val="22"/>
          <w:szCs w:val="22"/>
        </w:rPr>
        <w:t>Every NRSRO is registered with the SEC to rate at least one asset class.  Registration indicates that the NRSRO has special expertise in rating securities of a certain type (such as ABS) or issued by certain entities (such insurance companies).  The NRSRO must submit to annual SEC examinations to maintain such registration</w:t>
      </w:r>
      <w:r w:rsidR="00014754" w:rsidRPr="00D924F4">
        <w:rPr>
          <w:color w:val="auto"/>
          <w:sz w:val="22"/>
          <w:szCs w:val="22"/>
        </w:rPr>
        <w:t>.  At present, six of the nine NRSROs are registered to rate ABS (each, an “NRSRO Registered for ABS”).</w:t>
      </w:r>
      <w:r w:rsidR="00AE120C" w:rsidRPr="00D924F4">
        <w:rPr>
          <w:color w:val="auto"/>
          <w:sz w:val="22"/>
          <w:szCs w:val="22"/>
        </w:rPr>
        <w:t xml:space="preserve"> </w:t>
      </w:r>
    </w:p>
    <w:p w14:paraId="1F8CD563" w14:textId="77777777" w:rsidR="00AE120C" w:rsidRPr="008B04C7" w:rsidRDefault="00AE120C" w:rsidP="002B1EAD">
      <w:pPr>
        <w:pStyle w:val="Default"/>
        <w:ind w:left="360"/>
        <w:jc w:val="both"/>
        <w:rPr>
          <w:color w:val="auto"/>
          <w:sz w:val="16"/>
          <w:szCs w:val="16"/>
        </w:rPr>
      </w:pPr>
    </w:p>
    <w:p w14:paraId="128E4782" w14:textId="77AE5A1A" w:rsidR="00FE4313" w:rsidRPr="00D924F4" w:rsidRDefault="00AE120C" w:rsidP="002B1EAD">
      <w:pPr>
        <w:pStyle w:val="Default"/>
        <w:ind w:left="360"/>
        <w:jc w:val="both"/>
        <w:rPr>
          <w:color w:val="auto"/>
          <w:sz w:val="22"/>
          <w:szCs w:val="22"/>
        </w:rPr>
      </w:pPr>
      <w:r w:rsidRPr="00D924F4">
        <w:rPr>
          <w:color w:val="auto"/>
          <w:sz w:val="22"/>
          <w:szCs w:val="22"/>
        </w:rPr>
        <w:t xml:space="preserve">It is entirely up to the NRSRO whether it wants to apply to be registered to rate multiple asset classes.  </w:t>
      </w:r>
      <w:r w:rsidR="00504CEF" w:rsidRPr="00D924F4">
        <w:rPr>
          <w:color w:val="auto"/>
          <w:sz w:val="22"/>
          <w:szCs w:val="22"/>
        </w:rPr>
        <w:t xml:space="preserve">For example, </w:t>
      </w:r>
      <w:r w:rsidR="0023263A" w:rsidRPr="00D924F4">
        <w:rPr>
          <w:color w:val="auto"/>
          <w:sz w:val="22"/>
          <w:szCs w:val="22"/>
        </w:rPr>
        <w:t xml:space="preserve">Japan Credit Rating Agency </w:t>
      </w:r>
      <w:r w:rsidR="00504CEF" w:rsidRPr="00D924F4">
        <w:rPr>
          <w:color w:val="auto"/>
          <w:sz w:val="22"/>
          <w:szCs w:val="22"/>
        </w:rPr>
        <w:t xml:space="preserve">is </w:t>
      </w:r>
      <w:r w:rsidR="00014754" w:rsidRPr="00D924F4">
        <w:rPr>
          <w:color w:val="auto"/>
          <w:sz w:val="22"/>
          <w:szCs w:val="22"/>
        </w:rPr>
        <w:t>registered</w:t>
      </w:r>
      <w:r w:rsidR="00504CEF" w:rsidRPr="00D924F4">
        <w:rPr>
          <w:color w:val="auto"/>
          <w:sz w:val="22"/>
          <w:szCs w:val="22"/>
        </w:rPr>
        <w:t xml:space="preserve"> for insurance company securities, but not for ABS. In those instances where federal law requires that securities held by federally regulated institutions be rated, only a rating from a</w:t>
      </w:r>
      <w:r w:rsidR="00014754" w:rsidRPr="00D924F4">
        <w:rPr>
          <w:color w:val="auto"/>
          <w:sz w:val="22"/>
          <w:szCs w:val="22"/>
        </w:rPr>
        <w:t>n</w:t>
      </w:r>
      <w:r w:rsidR="00504CEF" w:rsidRPr="00D924F4">
        <w:rPr>
          <w:color w:val="auto"/>
          <w:sz w:val="22"/>
          <w:szCs w:val="22"/>
        </w:rPr>
        <w:t xml:space="preserve"> NRSRO </w:t>
      </w:r>
      <w:r w:rsidR="00014754" w:rsidRPr="00D924F4">
        <w:rPr>
          <w:color w:val="auto"/>
          <w:sz w:val="22"/>
          <w:szCs w:val="22"/>
        </w:rPr>
        <w:t xml:space="preserve">registered </w:t>
      </w:r>
      <w:r w:rsidR="00504CEF" w:rsidRPr="00D924F4">
        <w:rPr>
          <w:color w:val="auto"/>
          <w:sz w:val="22"/>
          <w:szCs w:val="22"/>
        </w:rPr>
        <w:t xml:space="preserve">for securities of that type qualifies as a rating letter. </w:t>
      </w:r>
      <w:r w:rsidR="0023263A" w:rsidRPr="00D924F4">
        <w:rPr>
          <w:color w:val="auto"/>
          <w:sz w:val="22"/>
          <w:szCs w:val="22"/>
        </w:rPr>
        <w:t xml:space="preserve"> Japan Credit Rating Agency</w:t>
      </w:r>
      <w:r w:rsidR="00504CEF" w:rsidRPr="00D924F4">
        <w:rPr>
          <w:color w:val="auto"/>
          <w:sz w:val="22"/>
          <w:szCs w:val="22"/>
        </w:rPr>
        <w:t xml:space="preserve"> is free to </w:t>
      </w:r>
      <w:r w:rsidR="00A12723" w:rsidRPr="00D924F4">
        <w:rPr>
          <w:color w:val="auto"/>
          <w:sz w:val="22"/>
          <w:szCs w:val="22"/>
        </w:rPr>
        <w:t>assign ratings to</w:t>
      </w:r>
      <w:r w:rsidR="00504CEF" w:rsidRPr="00D924F4">
        <w:rPr>
          <w:color w:val="auto"/>
          <w:sz w:val="22"/>
          <w:szCs w:val="22"/>
        </w:rPr>
        <w:t xml:space="preserve"> ABS as defined in the</w:t>
      </w:r>
      <w:r w:rsidR="00B20002" w:rsidRPr="00D924F4">
        <w:rPr>
          <w:color w:val="auto"/>
          <w:sz w:val="22"/>
          <w:szCs w:val="22"/>
        </w:rPr>
        <w:t xml:space="preserve"> 1933 Act Definition, and the federally regulated institution is free to subs</w:t>
      </w:r>
      <w:r w:rsidR="00A12723" w:rsidRPr="00D924F4">
        <w:rPr>
          <w:color w:val="auto"/>
          <w:sz w:val="22"/>
          <w:szCs w:val="22"/>
        </w:rPr>
        <w:t>c</w:t>
      </w:r>
      <w:r w:rsidR="00B20002" w:rsidRPr="00D924F4">
        <w:rPr>
          <w:color w:val="auto"/>
          <w:sz w:val="22"/>
          <w:szCs w:val="22"/>
        </w:rPr>
        <w:t>ribe to or otherwise receive and review the</w:t>
      </w:r>
      <w:r w:rsidR="0023263A" w:rsidRPr="00D924F4">
        <w:rPr>
          <w:color w:val="auto"/>
          <w:sz w:val="22"/>
          <w:szCs w:val="22"/>
        </w:rPr>
        <w:t xml:space="preserve"> Japan Credit Rating Agency</w:t>
      </w:r>
      <w:r w:rsidR="00D66D1F" w:rsidRPr="00D924F4">
        <w:rPr>
          <w:color w:val="auto"/>
          <w:sz w:val="22"/>
          <w:szCs w:val="22"/>
        </w:rPr>
        <w:t xml:space="preserve"> </w:t>
      </w:r>
      <w:r w:rsidR="00B20002" w:rsidRPr="00D924F4">
        <w:rPr>
          <w:color w:val="auto"/>
          <w:sz w:val="22"/>
          <w:szCs w:val="22"/>
        </w:rPr>
        <w:t xml:space="preserve">rating; </w:t>
      </w:r>
      <w:r w:rsidR="00911F4C" w:rsidRPr="00D924F4">
        <w:rPr>
          <w:color w:val="auto"/>
          <w:sz w:val="22"/>
          <w:szCs w:val="22"/>
        </w:rPr>
        <w:t>however,</w:t>
      </w:r>
      <w:r w:rsidR="00A12723" w:rsidRPr="00D924F4">
        <w:rPr>
          <w:color w:val="auto"/>
          <w:sz w:val="22"/>
          <w:szCs w:val="22"/>
        </w:rPr>
        <w:t xml:space="preserve"> the rating is just another credit opinion and does not count toward the particular requirement of federal law. </w:t>
      </w:r>
    </w:p>
    <w:p w14:paraId="553B688D" w14:textId="77777777" w:rsidR="00FE4313" w:rsidRPr="008B04C7" w:rsidRDefault="00FE4313" w:rsidP="002B1EAD">
      <w:pPr>
        <w:pStyle w:val="Default"/>
        <w:ind w:left="360"/>
        <w:jc w:val="both"/>
        <w:rPr>
          <w:color w:val="auto"/>
          <w:sz w:val="16"/>
          <w:szCs w:val="16"/>
        </w:rPr>
      </w:pPr>
    </w:p>
    <w:p w14:paraId="58FE7CA9" w14:textId="74B73B0A" w:rsidR="00C479D6" w:rsidRPr="00D924F4" w:rsidRDefault="008C496A" w:rsidP="002B1EAD">
      <w:pPr>
        <w:pStyle w:val="Default"/>
        <w:ind w:left="360"/>
        <w:jc w:val="both"/>
        <w:rPr>
          <w:color w:val="auto"/>
          <w:sz w:val="22"/>
          <w:szCs w:val="22"/>
        </w:rPr>
      </w:pPr>
      <w:r w:rsidRPr="00D924F4">
        <w:rPr>
          <w:color w:val="auto"/>
          <w:sz w:val="22"/>
          <w:szCs w:val="22"/>
        </w:rPr>
        <w:t xml:space="preserve">Since the financial crisis of 2008-2009, many references in federal law to ratings have been removed. As a result, the concept of </w:t>
      </w:r>
      <w:r w:rsidR="00014754" w:rsidRPr="00D924F4">
        <w:rPr>
          <w:color w:val="auto"/>
          <w:sz w:val="22"/>
          <w:szCs w:val="22"/>
        </w:rPr>
        <w:t>r</w:t>
      </w:r>
      <w:r w:rsidR="00FE4313" w:rsidRPr="00D924F4">
        <w:rPr>
          <w:color w:val="auto"/>
          <w:sz w:val="22"/>
          <w:szCs w:val="22"/>
        </w:rPr>
        <w:t>egistered</w:t>
      </w:r>
      <w:r w:rsidRPr="00D924F4">
        <w:rPr>
          <w:color w:val="auto"/>
          <w:sz w:val="22"/>
          <w:szCs w:val="22"/>
        </w:rPr>
        <w:t xml:space="preserve"> NRSRO </w:t>
      </w:r>
      <w:r w:rsidR="00295D55" w:rsidRPr="00D924F4">
        <w:rPr>
          <w:color w:val="auto"/>
          <w:sz w:val="22"/>
          <w:szCs w:val="22"/>
        </w:rPr>
        <w:t xml:space="preserve">now </w:t>
      </w:r>
      <w:r w:rsidRPr="00D924F4">
        <w:rPr>
          <w:color w:val="auto"/>
          <w:sz w:val="22"/>
          <w:szCs w:val="22"/>
        </w:rPr>
        <w:t xml:space="preserve">has less legal consequence. Nonetheless, the status of being a </w:t>
      </w:r>
      <w:r w:rsidR="002E1A11" w:rsidRPr="00D924F4">
        <w:rPr>
          <w:color w:val="auto"/>
          <w:sz w:val="22"/>
          <w:szCs w:val="22"/>
        </w:rPr>
        <w:t>r</w:t>
      </w:r>
      <w:r w:rsidRPr="00D924F4">
        <w:rPr>
          <w:color w:val="auto"/>
          <w:sz w:val="22"/>
          <w:szCs w:val="22"/>
        </w:rPr>
        <w:t>e</w:t>
      </w:r>
      <w:r w:rsidR="00FE4313" w:rsidRPr="00D924F4">
        <w:rPr>
          <w:color w:val="auto"/>
          <w:sz w:val="22"/>
          <w:szCs w:val="22"/>
        </w:rPr>
        <w:t>gistered</w:t>
      </w:r>
      <w:r w:rsidRPr="00D924F4">
        <w:rPr>
          <w:color w:val="auto"/>
          <w:sz w:val="22"/>
          <w:szCs w:val="22"/>
        </w:rPr>
        <w:t xml:space="preserve"> NRSRO does provide market credibility to NRSROs, which is why NRSROs go through the cost and effort of maintaining such status.  </w:t>
      </w:r>
    </w:p>
    <w:p w14:paraId="75E523AD" w14:textId="77777777" w:rsidR="00B20002" w:rsidRPr="008B04C7" w:rsidRDefault="00B20002" w:rsidP="002B1EAD">
      <w:pPr>
        <w:pStyle w:val="Default"/>
        <w:ind w:left="360"/>
        <w:jc w:val="both"/>
        <w:rPr>
          <w:color w:val="auto"/>
          <w:sz w:val="16"/>
          <w:szCs w:val="16"/>
        </w:rPr>
      </w:pPr>
    </w:p>
    <w:p w14:paraId="6B339F7B" w14:textId="3460F6DA" w:rsidR="00C479D6" w:rsidRPr="00D924F4" w:rsidRDefault="00891B35" w:rsidP="002B1EAD">
      <w:pPr>
        <w:pStyle w:val="Default"/>
        <w:ind w:left="360"/>
        <w:jc w:val="both"/>
        <w:rPr>
          <w:color w:val="auto"/>
          <w:sz w:val="22"/>
          <w:szCs w:val="22"/>
        </w:rPr>
      </w:pPr>
      <w:r w:rsidRPr="00D924F4">
        <w:rPr>
          <w:color w:val="auto"/>
          <w:sz w:val="22"/>
          <w:szCs w:val="22"/>
        </w:rPr>
        <w:t xml:space="preserve">Regulators might ask – </w:t>
      </w:r>
      <w:r w:rsidR="00A12723" w:rsidRPr="00D924F4">
        <w:rPr>
          <w:color w:val="auto"/>
          <w:sz w:val="22"/>
          <w:szCs w:val="22"/>
        </w:rPr>
        <w:t xml:space="preserve">which NRSRO ratings should entitle an insurance company holder of ABS to filing exemption? Putting aside the confusion arising from federal law, </w:t>
      </w:r>
      <w:r w:rsidR="00014754" w:rsidRPr="00D924F4">
        <w:rPr>
          <w:color w:val="auto"/>
          <w:sz w:val="22"/>
          <w:szCs w:val="22"/>
        </w:rPr>
        <w:t>p</w:t>
      </w:r>
      <w:r w:rsidR="00C479D6" w:rsidRPr="00D924F4">
        <w:rPr>
          <w:color w:val="auto"/>
          <w:sz w:val="22"/>
          <w:szCs w:val="22"/>
        </w:rPr>
        <w:t xml:space="preserve">aragraph 35 of the </w:t>
      </w:r>
      <w:r w:rsidR="00014754" w:rsidRPr="00D924F4">
        <w:rPr>
          <w:color w:val="auto"/>
          <w:sz w:val="22"/>
          <w:szCs w:val="22"/>
        </w:rPr>
        <w:t>I</w:t>
      </w:r>
      <w:r w:rsidR="00C479D6" w:rsidRPr="00D924F4">
        <w:rPr>
          <w:color w:val="auto"/>
          <w:sz w:val="22"/>
          <w:szCs w:val="22"/>
        </w:rPr>
        <w:t xml:space="preserve">ssue </w:t>
      </w:r>
      <w:r w:rsidR="00014754" w:rsidRPr="00D924F4">
        <w:rPr>
          <w:color w:val="auto"/>
          <w:sz w:val="22"/>
          <w:szCs w:val="22"/>
        </w:rPr>
        <w:t>P</w:t>
      </w:r>
      <w:r w:rsidR="00C479D6" w:rsidRPr="00D924F4">
        <w:rPr>
          <w:color w:val="auto"/>
          <w:sz w:val="22"/>
          <w:szCs w:val="22"/>
        </w:rPr>
        <w:t>aper</w:t>
      </w:r>
      <w:r w:rsidR="00A12723" w:rsidRPr="00D924F4">
        <w:rPr>
          <w:color w:val="auto"/>
          <w:sz w:val="22"/>
          <w:szCs w:val="22"/>
        </w:rPr>
        <w:t xml:space="preserve"> indicate</w:t>
      </w:r>
      <w:r w:rsidRPr="00D924F4">
        <w:rPr>
          <w:color w:val="auto"/>
          <w:sz w:val="22"/>
          <w:szCs w:val="22"/>
        </w:rPr>
        <w:t>s</w:t>
      </w:r>
      <w:r w:rsidR="00A12723" w:rsidRPr="00D924F4">
        <w:rPr>
          <w:color w:val="auto"/>
          <w:sz w:val="22"/>
          <w:szCs w:val="22"/>
        </w:rPr>
        <w:t xml:space="preserve"> that</w:t>
      </w:r>
      <w:r w:rsidR="00297B8E" w:rsidRPr="00D924F4">
        <w:rPr>
          <w:color w:val="auto"/>
          <w:sz w:val="22"/>
          <w:szCs w:val="22"/>
        </w:rPr>
        <w:t xml:space="preserve"> NAIC staff prefer that</w:t>
      </w:r>
      <w:r w:rsidR="00A12723" w:rsidRPr="00D924F4">
        <w:rPr>
          <w:color w:val="auto"/>
          <w:sz w:val="22"/>
          <w:szCs w:val="22"/>
        </w:rPr>
        <w:t xml:space="preserve"> only rating letters from</w:t>
      </w:r>
      <w:r w:rsidR="00FE4313" w:rsidRPr="00D924F4">
        <w:rPr>
          <w:color w:val="auto"/>
          <w:sz w:val="22"/>
          <w:szCs w:val="22"/>
        </w:rPr>
        <w:t xml:space="preserve"> </w:t>
      </w:r>
      <w:r w:rsidR="00014754" w:rsidRPr="00D924F4">
        <w:rPr>
          <w:color w:val="auto"/>
          <w:sz w:val="22"/>
          <w:szCs w:val="22"/>
        </w:rPr>
        <w:t xml:space="preserve">an </w:t>
      </w:r>
      <w:r w:rsidR="00A12723" w:rsidRPr="00D924F4">
        <w:rPr>
          <w:color w:val="auto"/>
          <w:sz w:val="22"/>
          <w:szCs w:val="22"/>
        </w:rPr>
        <w:t>NRSRO</w:t>
      </w:r>
      <w:r w:rsidR="00014754" w:rsidRPr="00D924F4">
        <w:rPr>
          <w:color w:val="auto"/>
          <w:sz w:val="22"/>
          <w:szCs w:val="22"/>
        </w:rPr>
        <w:t xml:space="preserve"> </w:t>
      </w:r>
      <w:r w:rsidR="002E1A11" w:rsidRPr="00D924F4">
        <w:rPr>
          <w:color w:val="auto"/>
          <w:sz w:val="22"/>
          <w:szCs w:val="22"/>
        </w:rPr>
        <w:t>R</w:t>
      </w:r>
      <w:r w:rsidR="00014754" w:rsidRPr="00D924F4">
        <w:rPr>
          <w:color w:val="auto"/>
          <w:sz w:val="22"/>
          <w:szCs w:val="22"/>
        </w:rPr>
        <w:t>egistered</w:t>
      </w:r>
      <w:r w:rsidR="00A12723" w:rsidRPr="00D924F4">
        <w:rPr>
          <w:color w:val="auto"/>
          <w:sz w:val="22"/>
          <w:szCs w:val="22"/>
        </w:rPr>
        <w:t xml:space="preserve"> for ABS should be </w:t>
      </w:r>
      <w:r w:rsidR="00297B8E" w:rsidRPr="00D924F4">
        <w:rPr>
          <w:color w:val="auto"/>
          <w:sz w:val="22"/>
          <w:szCs w:val="22"/>
        </w:rPr>
        <w:t xml:space="preserve">counted as valid ratings for </w:t>
      </w:r>
      <w:r w:rsidR="00D66D1F" w:rsidRPr="00D924F4">
        <w:rPr>
          <w:color w:val="auto"/>
          <w:sz w:val="22"/>
          <w:szCs w:val="22"/>
        </w:rPr>
        <w:t xml:space="preserve">ABS </w:t>
      </w:r>
      <w:r w:rsidR="00C479D6" w:rsidRPr="00D924F4">
        <w:rPr>
          <w:color w:val="auto"/>
          <w:sz w:val="22"/>
          <w:szCs w:val="22"/>
        </w:rPr>
        <w:t xml:space="preserve">meeting </w:t>
      </w:r>
      <w:r w:rsidR="00297B8E" w:rsidRPr="00D924F4">
        <w:rPr>
          <w:color w:val="auto"/>
          <w:sz w:val="22"/>
          <w:szCs w:val="22"/>
        </w:rPr>
        <w:t xml:space="preserve">either </w:t>
      </w:r>
      <w:r w:rsidR="00C479D6" w:rsidRPr="00D924F4">
        <w:rPr>
          <w:color w:val="auto"/>
          <w:sz w:val="22"/>
          <w:szCs w:val="22"/>
        </w:rPr>
        <w:t>the 1933 Act Definition or the Four Principles</w:t>
      </w:r>
      <w:r w:rsidR="00297B8E" w:rsidRPr="00D924F4">
        <w:rPr>
          <w:color w:val="auto"/>
          <w:sz w:val="22"/>
          <w:szCs w:val="22"/>
        </w:rPr>
        <w:t>.</w:t>
      </w:r>
    </w:p>
    <w:p w14:paraId="337762D3" w14:textId="0616FD4A" w:rsidR="00C479D6" w:rsidRPr="008B04C7" w:rsidRDefault="00C479D6" w:rsidP="002B1EAD">
      <w:pPr>
        <w:pStyle w:val="Default"/>
        <w:ind w:left="360"/>
        <w:jc w:val="both"/>
        <w:rPr>
          <w:color w:val="auto"/>
          <w:sz w:val="16"/>
          <w:szCs w:val="16"/>
        </w:rPr>
      </w:pPr>
    </w:p>
    <w:p w14:paraId="59B0BBD2" w14:textId="72F9DCE7" w:rsidR="00BC01D0" w:rsidRPr="00D924F4" w:rsidRDefault="00D66D1F" w:rsidP="002B1EAD">
      <w:pPr>
        <w:pStyle w:val="Default"/>
        <w:ind w:left="360"/>
        <w:jc w:val="both"/>
        <w:rPr>
          <w:color w:val="auto"/>
          <w:sz w:val="22"/>
          <w:szCs w:val="22"/>
        </w:rPr>
      </w:pPr>
      <w:r w:rsidRPr="00D924F4">
        <w:rPr>
          <w:color w:val="auto"/>
          <w:sz w:val="22"/>
          <w:szCs w:val="22"/>
        </w:rPr>
        <w:t>If</w:t>
      </w:r>
      <w:r w:rsidR="00C479D6" w:rsidRPr="00D924F4">
        <w:rPr>
          <w:color w:val="auto"/>
          <w:sz w:val="22"/>
          <w:szCs w:val="22"/>
        </w:rPr>
        <w:t xml:space="preserve"> the 1934 Act Definition </w:t>
      </w:r>
      <w:r w:rsidRPr="00D924F4">
        <w:rPr>
          <w:color w:val="auto"/>
          <w:sz w:val="22"/>
          <w:szCs w:val="22"/>
        </w:rPr>
        <w:t>is</w:t>
      </w:r>
      <w:r w:rsidR="00C479D6" w:rsidRPr="00D924F4">
        <w:rPr>
          <w:color w:val="auto"/>
          <w:sz w:val="22"/>
          <w:szCs w:val="22"/>
        </w:rPr>
        <w:t xml:space="preserve"> adopted as the cornerstone of SSAP No. 43R, which </w:t>
      </w:r>
      <w:r w:rsidR="00A7432E">
        <w:rPr>
          <w:color w:val="auto"/>
          <w:sz w:val="22"/>
          <w:szCs w:val="22"/>
        </w:rPr>
        <w:t>i</w:t>
      </w:r>
      <w:r w:rsidR="00C479D6" w:rsidRPr="00D924F4">
        <w:rPr>
          <w:color w:val="auto"/>
          <w:sz w:val="22"/>
          <w:szCs w:val="22"/>
        </w:rPr>
        <w:t xml:space="preserve">nterested </w:t>
      </w:r>
      <w:r w:rsidR="00A7432E">
        <w:rPr>
          <w:color w:val="auto"/>
          <w:sz w:val="22"/>
          <w:szCs w:val="22"/>
        </w:rPr>
        <w:t>p</w:t>
      </w:r>
      <w:r w:rsidR="00C479D6" w:rsidRPr="00D924F4">
        <w:rPr>
          <w:color w:val="auto"/>
          <w:sz w:val="22"/>
          <w:szCs w:val="22"/>
        </w:rPr>
        <w:t xml:space="preserve">arties believe is more appropriate than the 1933 Act Definition, </w:t>
      </w:r>
      <w:r w:rsidR="00A7432E">
        <w:rPr>
          <w:color w:val="auto"/>
          <w:sz w:val="22"/>
          <w:szCs w:val="22"/>
        </w:rPr>
        <w:t>i</w:t>
      </w:r>
      <w:r w:rsidR="00C479D6" w:rsidRPr="00D924F4">
        <w:rPr>
          <w:color w:val="auto"/>
          <w:sz w:val="22"/>
          <w:szCs w:val="22"/>
        </w:rPr>
        <w:t xml:space="preserve">nterested </w:t>
      </w:r>
      <w:r w:rsidR="00A7432E">
        <w:rPr>
          <w:color w:val="auto"/>
          <w:sz w:val="22"/>
          <w:szCs w:val="22"/>
        </w:rPr>
        <w:t>p</w:t>
      </w:r>
      <w:r w:rsidR="00C479D6" w:rsidRPr="00D924F4">
        <w:rPr>
          <w:color w:val="auto"/>
          <w:sz w:val="22"/>
          <w:szCs w:val="22"/>
        </w:rPr>
        <w:t>arties</w:t>
      </w:r>
      <w:r w:rsidR="00891B35" w:rsidRPr="00D924F4">
        <w:rPr>
          <w:color w:val="auto"/>
          <w:sz w:val="22"/>
          <w:szCs w:val="22"/>
        </w:rPr>
        <w:t xml:space="preserve"> </w:t>
      </w:r>
      <w:r w:rsidR="0015005B" w:rsidRPr="00D924F4">
        <w:rPr>
          <w:color w:val="auto"/>
          <w:sz w:val="22"/>
          <w:szCs w:val="22"/>
        </w:rPr>
        <w:t>are</w:t>
      </w:r>
      <w:r w:rsidR="00891B35" w:rsidRPr="00D924F4">
        <w:rPr>
          <w:color w:val="auto"/>
          <w:sz w:val="22"/>
          <w:szCs w:val="22"/>
        </w:rPr>
        <w:t xml:space="preserve"> open to</w:t>
      </w:r>
      <w:r w:rsidR="00C479D6" w:rsidRPr="00D924F4">
        <w:rPr>
          <w:color w:val="auto"/>
          <w:sz w:val="22"/>
          <w:szCs w:val="22"/>
        </w:rPr>
        <w:t xml:space="preserve"> </w:t>
      </w:r>
      <w:r w:rsidR="009175A4" w:rsidRPr="00D924F4">
        <w:rPr>
          <w:color w:val="auto"/>
          <w:sz w:val="22"/>
          <w:szCs w:val="22"/>
        </w:rPr>
        <w:t xml:space="preserve">applying the </w:t>
      </w:r>
      <w:r w:rsidR="009175A4" w:rsidRPr="00D924F4">
        <w:rPr>
          <w:color w:val="auto"/>
          <w:sz w:val="22"/>
          <w:szCs w:val="22"/>
        </w:rPr>
        <w:lastRenderedPageBreak/>
        <w:t>NRSRO Registered for ABS limitation to the 1934 Act Definition</w:t>
      </w:r>
      <w:r w:rsidR="00BC01D0" w:rsidRPr="00D924F4">
        <w:rPr>
          <w:color w:val="auto"/>
          <w:sz w:val="22"/>
          <w:szCs w:val="22"/>
        </w:rPr>
        <w:t xml:space="preserve"> (i.e., </w:t>
      </w:r>
      <w:r w:rsidR="00297B8E" w:rsidRPr="00D924F4">
        <w:rPr>
          <w:color w:val="auto"/>
          <w:sz w:val="22"/>
          <w:szCs w:val="22"/>
        </w:rPr>
        <w:t>if</w:t>
      </w:r>
      <w:r w:rsidR="00BC01D0" w:rsidRPr="00D924F4">
        <w:rPr>
          <w:color w:val="auto"/>
          <w:sz w:val="22"/>
          <w:szCs w:val="22"/>
        </w:rPr>
        <w:t xml:space="preserve"> state regulators want to mirror what</w:t>
      </w:r>
      <w:r w:rsidR="009175A4" w:rsidRPr="00D924F4">
        <w:rPr>
          <w:color w:val="auto"/>
          <w:sz w:val="22"/>
          <w:szCs w:val="22"/>
        </w:rPr>
        <w:t xml:space="preserve"> few remaining </w:t>
      </w:r>
      <w:r w:rsidR="00297B8E" w:rsidRPr="00D924F4">
        <w:rPr>
          <w:color w:val="auto"/>
          <w:sz w:val="22"/>
          <w:szCs w:val="22"/>
        </w:rPr>
        <w:t xml:space="preserve">provisions of federal law do </w:t>
      </w:r>
      <w:r w:rsidR="00BC01D0" w:rsidRPr="00D924F4">
        <w:rPr>
          <w:color w:val="auto"/>
          <w:sz w:val="22"/>
          <w:szCs w:val="22"/>
        </w:rPr>
        <w:t>for ABS securities)</w:t>
      </w:r>
      <w:r w:rsidR="00C479D6" w:rsidRPr="00D924F4">
        <w:rPr>
          <w:color w:val="auto"/>
          <w:sz w:val="22"/>
          <w:szCs w:val="22"/>
        </w:rPr>
        <w:t xml:space="preserve">.  Interested </w:t>
      </w:r>
      <w:r w:rsidR="00A7432E">
        <w:rPr>
          <w:color w:val="auto"/>
          <w:sz w:val="22"/>
          <w:szCs w:val="22"/>
        </w:rPr>
        <w:t>p</w:t>
      </w:r>
      <w:r w:rsidR="00C479D6" w:rsidRPr="00D924F4">
        <w:rPr>
          <w:color w:val="auto"/>
          <w:sz w:val="22"/>
          <w:szCs w:val="22"/>
        </w:rPr>
        <w:t xml:space="preserve">arties would also </w:t>
      </w:r>
      <w:r w:rsidR="00891B35" w:rsidRPr="00D924F4">
        <w:rPr>
          <w:color w:val="auto"/>
          <w:sz w:val="22"/>
          <w:szCs w:val="22"/>
        </w:rPr>
        <w:t>be open to</w:t>
      </w:r>
      <w:r w:rsidR="00AA4738" w:rsidRPr="00D924F4">
        <w:rPr>
          <w:color w:val="auto"/>
          <w:sz w:val="22"/>
          <w:szCs w:val="22"/>
        </w:rPr>
        <w:t xml:space="preserve"> discussing the exten</w:t>
      </w:r>
      <w:r w:rsidR="007C5E72" w:rsidRPr="00D924F4">
        <w:rPr>
          <w:color w:val="auto"/>
          <w:sz w:val="22"/>
          <w:szCs w:val="22"/>
        </w:rPr>
        <w:t xml:space="preserve">sion </w:t>
      </w:r>
      <w:r w:rsidR="002E1A11" w:rsidRPr="00D924F4">
        <w:rPr>
          <w:color w:val="auto"/>
          <w:sz w:val="22"/>
          <w:szCs w:val="22"/>
        </w:rPr>
        <w:t>of such</w:t>
      </w:r>
      <w:r w:rsidR="007C5E72" w:rsidRPr="00D924F4">
        <w:rPr>
          <w:color w:val="auto"/>
          <w:sz w:val="22"/>
          <w:szCs w:val="22"/>
        </w:rPr>
        <w:t xml:space="preserve"> </w:t>
      </w:r>
      <w:r w:rsidR="00C479D6" w:rsidRPr="00D924F4">
        <w:rPr>
          <w:color w:val="auto"/>
          <w:sz w:val="22"/>
          <w:szCs w:val="22"/>
        </w:rPr>
        <w:t>concept to the Four Principles</w:t>
      </w:r>
      <w:r w:rsidR="0072566F" w:rsidRPr="00D924F4">
        <w:rPr>
          <w:color w:val="auto"/>
          <w:sz w:val="22"/>
          <w:szCs w:val="22"/>
        </w:rPr>
        <w:t>,</w:t>
      </w:r>
      <w:r w:rsidR="00C479D6" w:rsidRPr="00D924F4">
        <w:rPr>
          <w:color w:val="auto"/>
          <w:sz w:val="22"/>
          <w:szCs w:val="22"/>
        </w:rPr>
        <w:t xml:space="preserve"> when and if </w:t>
      </w:r>
      <w:r w:rsidR="00BC01D0" w:rsidRPr="00D924F4">
        <w:rPr>
          <w:color w:val="auto"/>
          <w:sz w:val="22"/>
          <w:szCs w:val="22"/>
        </w:rPr>
        <w:t xml:space="preserve">they are </w:t>
      </w:r>
      <w:r w:rsidR="00C479D6" w:rsidRPr="00D924F4">
        <w:rPr>
          <w:color w:val="auto"/>
          <w:sz w:val="22"/>
          <w:szCs w:val="22"/>
        </w:rPr>
        <w:t>finalized</w:t>
      </w:r>
      <w:r w:rsidR="00E64C48" w:rsidRPr="00D924F4">
        <w:rPr>
          <w:color w:val="auto"/>
          <w:sz w:val="22"/>
          <w:szCs w:val="22"/>
        </w:rPr>
        <w:t>.</w:t>
      </w:r>
    </w:p>
    <w:p w14:paraId="7AA4CF96" w14:textId="77777777" w:rsidR="00BC01D0" w:rsidRPr="008B04C7" w:rsidRDefault="00BC01D0" w:rsidP="002B1EAD">
      <w:pPr>
        <w:pStyle w:val="Default"/>
        <w:ind w:left="360"/>
        <w:jc w:val="both"/>
        <w:rPr>
          <w:sz w:val="16"/>
          <w:szCs w:val="16"/>
        </w:rPr>
      </w:pPr>
    </w:p>
    <w:p w14:paraId="3AFFC20C" w14:textId="58F0937D" w:rsidR="00C479D6" w:rsidRPr="00D924F4" w:rsidRDefault="00297B8E" w:rsidP="002B1EAD">
      <w:pPr>
        <w:pStyle w:val="Default"/>
        <w:ind w:left="360"/>
        <w:jc w:val="both"/>
        <w:rPr>
          <w:color w:val="auto"/>
          <w:sz w:val="22"/>
          <w:szCs w:val="22"/>
        </w:rPr>
      </w:pPr>
      <w:r w:rsidRPr="00D924F4">
        <w:rPr>
          <w:color w:val="auto"/>
          <w:sz w:val="22"/>
          <w:szCs w:val="22"/>
        </w:rPr>
        <w:t xml:space="preserve">The NRSRO </w:t>
      </w:r>
      <w:r w:rsidR="009175A4" w:rsidRPr="00D924F4">
        <w:rPr>
          <w:color w:val="auto"/>
          <w:sz w:val="22"/>
          <w:szCs w:val="22"/>
        </w:rPr>
        <w:t xml:space="preserve">Registered for ABS limitation should by definition </w:t>
      </w:r>
      <w:r w:rsidRPr="00D924F4">
        <w:rPr>
          <w:color w:val="auto"/>
          <w:sz w:val="22"/>
          <w:szCs w:val="22"/>
        </w:rPr>
        <w:t xml:space="preserve">apply only to ABS. The </w:t>
      </w:r>
      <w:r w:rsidR="009175A4" w:rsidRPr="00D924F4">
        <w:rPr>
          <w:color w:val="auto"/>
          <w:sz w:val="22"/>
          <w:szCs w:val="22"/>
        </w:rPr>
        <w:t>limitation</w:t>
      </w:r>
      <w:r w:rsidRPr="00D924F4">
        <w:rPr>
          <w:color w:val="auto"/>
          <w:sz w:val="22"/>
          <w:szCs w:val="22"/>
        </w:rPr>
        <w:t xml:space="preserve"> should not</w:t>
      </w:r>
      <w:r w:rsidR="00C479D6" w:rsidRPr="00D924F4">
        <w:rPr>
          <w:color w:val="auto"/>
          <w:sz w:val="22"/>
          <w:szCs w:val="22"/>
        </w:rPr>
        <w:t xml:space="preserve"> apply to </w:t>
      </w:r>
      <w:r w:rsidR="003C6B81" w:rsidRPr="00D924F4">
        <w:rPr>
          <w:color w:val="auto"/>
          <w:sz w:val="22"/>
          <w:szCs w:val="22"/>
        </w:rPr>
        <w:t>debt issued by closed end funds registered under the Investment Company Act of 1940 (CEF Debt)</w:t>
      </w:r>
      <w:r w:rsidR="00C479D6" w:rsidRPr="00D924F4">
        <w:rPr>
          <w:color w:val="auto"/>
          <w:sz w:val="22"/>
          <w:szCs w:val="22"/>
        </w:rPr>
        <w:t xml:space="preserve">, </w:t>
      </w:r>
      <w:r w:rsidR="003C6B81" w:rsidRPr="00D924F4">
        <w:rPr>
          <w:color w:val="auto"/>
          <w:sz w:val="22"/>
          <w:szCs w:val="22"/>
        </w:rPr>
        <w:t>p</w:t>
      </w:r>
      <w:r w:rsidR="00C479D6" w:rsidRPr="00D924F4">
        <w:rPr>
          <w:color w:val="auto"/>
          <w:sz w:val="22"/>
          <w:szCs w:val="22"/>
        </w:rPr>
        <w:t xml:space="preserve">roject </w:t>
      </w:r>
      <w:r w:rsidR="003C6B81" w:rsidRPr="00D924F4">
        <w:rPr>
          <w:color w:val="auto"/>
          <w:sz w:val="22"/>
          <w:szCs w:val="22"/>
        </w:rPr>
        <w:t>f</w:t>
      </w:r>
      <w:r w:rsidR="00C479D6" w:rsidRPr="00D924F4">
        <w:rPr>
          <w:color w:val="auto"/>
          <w:sz w:val="22"/>
          <w:szCs w:val="22"/>
        </w:rPr>
        <w:t>inance</w:t>
      </w:r>
      <w:r w:rsidR="00BC01D0" w:rsidRPr="00D924F4">
        <w:rPr>
          <w:color w:val="auto"/>
          <w:sz w:val="22"/>
          <w:szCs w:val="22"/>
        </w:rPr>
        <w:t xml:space="preserve"> </w:t>
      </w:r>
      <w:r w:rsidR="003C6B81" w:rsidRPr="00D924F4">
        <w:rPr>
          <w:color w:val="auto"/>
          <w:sz w:val="22"/>
          <w:szCs w:val="22"/>
        </w:rPr>
        <w:t>b</w:t>
      </w:r>
      <w:r w:rsidR="00D262A4" w:rsidRPr="00D924F4">
        <w:rPr>
          <w:color w:val="auto"/>
          <w:sz w:val="22"/>
          <w:szCs w:val="22"/>
        </w:rPr>
        <w:t>onds</w:t>
      </w:r>
      <w:r w:rsidR="00C479D6" w:rsidRPr="00D924F4">
        <w:rPr>
          <w:color w:val="auto"/>
          <w:sz w:val="22"/>
          <w:szCs w:val="22"/>
        </w:rPr>
        <w:t xml:space="preserve">, </w:t>
      </w:r>
      <w:r w:rsidR="00757201" w:rsidRPr="00D924F4">
        <w:rPr>
          <w:color w:val="auto"/>
          <w:sz w:val="22"/>
          <w:szCs w:val="22"/>
        </w:rPr>
        <w:t>certain “</w:t>
      </w:r>
      <w:r w:rsidR="003C6B81" w:rsidRPr="00D924F4">
        <w:rPr>
          <w:color w:val="auto"/>
          <w:sz w:val="22"/>
          <w:szCs w:val="22"/>
        </w:rPr>
        <w:t>i</w:t>
      </w:r>
      <w:r w:rsidR="00C479D6" w:rsidRPr="00D924F4">
        <w:rPr>
          <w:color w:val="auto"/>
          <w:sz w:val="22"/>
          <w:szCs w:val="22"/>
        </w:rPr>
        <w:t xml:space="preserve">ssuer </w:t>
      </w:r>
      <w:r w:rsidR="003C6B81" w:rsidRPr="00D924F4">
        <w:rPr>
          <w:color w:val="auto"/>
          <w:sz w:val="22"/>
          <w:szCs w:val="22"/>
        </w:rPr>
        <w:t>o</w:t>
      </w:r>
      <w:r w:rsidR="00C479D6" w:rsidRPr="00D924F4">
        <w:rPr>
          <w:color w:val="auto"/>
          <w:sz w:val="22"/>
          <w:szCs w:val="22"/>
        </w:rPr>
        <w:t>bligation</w:t>
      </w:r>
      <w:r w:rsidR="00757201" w:rsidRPr="00D924F4">
        <w:rPr>
          <w:color w:val="auto"/>
          <w:sz w:val="22"/>
          <w:szCs w:val="22"/>
        </w:rPr>
        <w:t>”</w:t>
      </w:r>
      <w:r w:rsidR="00C479D6" w:rsidRPr="00D924F4">
        <w:rPr>
          <w:color w:val="auto"/>
          <w:sz w:val="22"/>
          <w:szCs w:val="22"/>
        </w:rPr>
        <w:t xml:space="preserve"> </w:t>
      </w:r>
      <w:r w:rsidR="003C6B81" w:rsidRPr="00D924F4">
        <w:rPr>
          <w:color w:val="auto"/>
          <w:sz w:val="22"/>
          <w:szCs w:val="22"/>
        </w:rPr>
        <w:t>m</w:t>
      </w:r>
      <w:r w:rsidR="00C479D6" w:rsidRPr="00D924F4">
        <w:rPr>
          <w:color w:val="auto"/>
          <w:sz w:val="22"/>
          <w:szCs w:val="22"/>
        </w:rPr>
        <w:t xml:space="preserve">unicipal </w:t>
      </w:r>
      <w:r w:rsidR="003C6B81" w:rsidRPr="00D924F4">
        <w:rPr>
          <w:color w:val="auto"/>
          <w:sz w:val="22"/>
          <w:szCs w:val="22"/>
        </w:rPr>
        <w:t>b</w:t>
      </w:r>
      <w:r w:rsidR="00C479D6" w:rsidRPr="00D924F4">
        <w:rPr>
          <w:color w:val="auto"/>
          <w:sz w:val="22"/>
          <w:szCs w:val="22"/>
        </w:rPr>
        <w:t>onds</w:t>
      </w:r>
      <w:r w:rsidR="00757201" w:rsidRPr="00D924F4">
        <w:rPr>
          <w:color w:val="auto"/>
          <w:sz w:val="22"/>
          <w:szCs w:val="22"/>
        </w:rPr>
        <w:t xml:space="preserve"> (e.g., </w:t>
      </w:r>
      <w:r w:rsidR="00B85188" w:rsidRPr="00D924F4">
        <w:rPr>
          <w:color w:val="auto"/>
          <w:sz w:val="22"/>
          <w:szCs w:val="22"/>
        </w:rPr>
        <w:t xml:space="preserve">certain </w:t>
      </w:r>
      <w:r w:rsidR="003C6B81" w:rsidRPr="00D924F4">
        <w:rPr>
          <w:color w:val="auto"/>
          <w:sz w:val="22"/>
          <w:szCs w:val="22"/>
        </w:rPr>
        <w:t>t</w:t>
      </w:r>
      <w:r w:rsidR="00B85188" w:rsidRPr="00D924F4">
        <w:rPr>
          <w:color w:val="auto"/>
          <w:sz w:val="22"/>
          <w:szCs w:val="22"/>
        </w:rPr>
        <w:t xml:space="preserve">oll </w:t>
      </w:r>
      <w:r w:rsidR="003C6B81" w:rsidRPr="00D924F4">
        <w:rPr>
          <w:color w:val="auto"/>
          <w:sz w:val="22"/>
          <w:szCs w:val="22"/>
        </w:rPr>
        <w:t>r</w:t>
      </w:r>
      <w:r w:rsidR="00B85188" w:rsidRPr="00D924F4">
        <w:rPr>
          <w:color w:val="auto"/>
          <w:sz w:val="22"/>
          <w:szCs w:val="22"/>
        </w:rPr>
        <w:t xml:space="preserve">oad </w:t>
      </w:r>
      <w:r w:rsidR="003C6B81" w:rsidRPr="00D924F4">
        <w:rPr>
          <w:color w:val="auto"/>
          <w:sz w:val="22"/>
          <w:szCs w:val="22"/>
        </w:rPr>
        <w:t>m</w:t>
      </w:r>
      <w:r w:rsidR="00B85188" w:rsidRPr="00D924F4">
        <w:rPr>
          <w:color w:val="auto"/>
          <w:sz w:val="22"/>
          <w:szCs w:val="22"/>
        </w:rPr>
        <w:t xml:space="preserve">unicipal </w:t>
      </w:r>
      <w:r w:rsidR="003C6B81" w:rsidRPr="00D924F4">
        <w:rPr>
          <w:color w:val="auto"/>
          <w:sz w:val="22"/>
          <w:szCs w:val="22"/>
        </w:rPr>
        <w:t>b</w:t>
      </w:r>
      <w:r w:rsidR="00B85188" w:rsidRPr="00D924F4">
        <w:rPr>
          <w:color w:val="auto"/>
          <w:sz w:val="22"/>
          <w:szCs w:val="22"/>
        </w:rPr>
        <w:t>onds)</w:t>
      </w:r>
      <w:r w:rsidR="00C479D6" w:rsidRPr="00D924F4">
        <w:rPr>
          <w:color w:val="auto"/>
          <w:sz w:val="22"/>
          <w:szCs w:val="22"/>
        </w:rPr>
        <w:t>,</w:t>
      </w:r>
      <w:r w:rsidR="003C6B81" w:rsidRPr="00D924F4">
        <w:rPr>
          <w:color w:val="auto"/>
          <w:sz w:val="22"/>
          <w:szCs w:val="22"/>
        </w:rPr>
        <w:t xml:space="preserve"> credit tenant loans</w:t>
      </w:r>
      <w:r w:rsidR="00C479D6" w:rsidRPr="00D924F4">
        <w:rPr>
          <w:color w:val="auto"/>
          <w:sz w:val="22"/>
          <w:szCs w:val="22"/>
        </w:rPr>
        <w:t xml:space="preserve"> </w:t>
      </w:r>
      <w:r w:rsidR="003C6B81" w:rsidRPr="00D924F4">
        <w:rPr>
          <w:color w:val="auto"/>
          <w:sz w:val="22"/>
          <w:szCs w:val="22"/>
        </w:rPr>
        <w:t>(</w:t>
      </w:r>
      <w:r w:rsidR="00C479D6" w:rsidRPr="00D924F4">
        <w:rPr>
          <w:color w:val="auto"/>
          <w:sz w:val="22"/>
          <w:szCs w:val="22"/>
        </w:rPr>
        <w:t>CTLs</w:t>
      </w:r>
      <w:r w:rsidR="003C6B81" w:rsidRPr="00D924F4">
        <w:rPr>
          <w:color w:val="auto"/>
          <w:sz w:val="22"/>
          <w:szCs w:val="22"/>
        </w:rPr>
        <w:t>)</w:t>
      </w:r>
      <w:r w:rsidR="00C479D6" w:rsidRPr="00D924F4">
        <w:rPr>
          <w:color w:val="auto"/>
          <w:sz w:val="22"/>
          <w:szCs w:val="22"/>
        </w:rPr>
        <w:t xml:space="preserve">, </w:t>
      </w:r>
      <w:r w:rsidR="00911F4C" w:rsidRPr="00D924F4">
        <w:rPr>
          <w:color w:val="auto"/>
          <w:sz w:val="22"/>
          <w:szCs w:val="22"/>
        </w:rPr>
        <w:t xml:space="preserve">ground lease financings (GLFs), </w:t>
      </w:r>
      <w:r w:rsidR="003C6B81" w:rsidRPr="00D924F4">
        <w:rPr>
          <w:color w:val="auto"/>
          <w:sz w:val="22"/>
          <w:szCs w:val="22"/>
        </w:rPr>
        <w:t>equipment trust certificates (</w:t>
      </w:r>
      <w:r w:rsidR="00C479D6" w:rsidRPr="00D924F4">
        <w:rPr>
          <w:color w:val="auto"/>
          <w:sz w:val="22"/>
          <w:szCs w:val="22"/>
        </w:rPr>
        <w:t>ETCs</w:t>
      </w:r>
      <w:r w:rsidR="003C6B81" w:rsidRPr="00D924F4">
        <w:rPr>
          <w:color w:val="auto"/>
          <w:sz w:val="22"/>
          <w:szCs w:val="22"/>
        </w:rPr>
        <w:t>)</w:t>
      </w:r>
      <w:r w:rsidR="00C479D6" w:rsidRPr="00D924F4">
        <w:rPr>
          <w:color w:val="auto"/>
          <w:sz w:val="22"/>
          <w:szCs w:val="22"/>
        </w:rPr>
        <w:t xml:space="preserve">, </w:t>
      </w:r>
      <w:r w:rsidR="003C6B81" w:rsidRPr="00D924F4">
        <w:rPr>
          <w:color w:val="auto"/>
          <w:sz w:val="22"/>
          <w:szCs w:val="22"/>
        </w:rPr>
        <w:t>enhanced equipment trust certificates (</w:t>
      </w:r>
      <w:r w:rsidR="00C479D6" w:rsidRPr="00D924F4">
        <w:rPr>
          <w:color w:val="auto"/>
          <w:sz w:val="22"/>
          <w:szCs w:val="22"/>
        </w:rPr>
        <w:t>EETCs</w:t>
      </w:r>
      <w:r w:rsidR="003C6B81" w:rsidRPr="00D924F4">
        <w:rPr>
          <w:color w:val="auto"/>
          <w:sz w:val="22"/>
          <w:szCs w:val="22"/>
        </w:rPr>
        <w:t>)</w:t>
      </w:r>
      <w:r w:rsidR="00C479D6" w:rsidRPr="00D924F4">
        <w:rPr>
          <w:color w:val="auto"/>
          <w:sz w:val="22"/>
          <w:szCs w:val="22"/>
        </w:rPr>
        <w:t>,</w:t>
      </w:r>
      <w:r w:rsidR="00911F4C" w:rsidRPr="00D924F4">
        <w:rPr>
          <w:color w:val="auto"/>
          <w:sz w:val="22"/>
          <w:szCs w:val="22"/>
        </w:rPr>
        <w:t xml:space="preserve"> </w:t>
      </w:r>
      <w:r w:rsidR="00C479D6" w:rsidRPr="00D924F4">
        <w:rPr>
          <w:color w:val="auto"/>
          <w:sz w:val="22"/>
          <w:szCs w:val="22"/>
        </w:rPr>
        <w:t>and any other security issued from a</w:t>
      </w:r>
      <w:r w:rsidR="00AA4738" w:rsidRPr="00D924F4">
        <w:rPr>
          <w:color w:val="auto"/>
          <w:sz w:val="22"/>
          <w:szCs w:val="22"/>
        </w:rPr>
        <w:t xml:space="preserve"> </w:t>
      </w:r>
      <w:r w:rsidR="00885CD2" w:rsidRPr="00D924F4">
        <w:rPr>
          <w:color w:val="auto"/>
          <w:sz w:val="22"/>
          <w:szCs w:val="22"/>
        </w:rPr>
        <w:t xml:space="preserve">Trust or </w:t>
      </w:r>
      <w:r w:rsidR="00AA4738" w:rsidRPr="00D924F4">
        <w:rPr>
          <w:color w:val="auto"/>
          <w:sz w:val="22"/>
          <w:szCs w:val="22"/>
        </w:rPr>
        <w:t>special purpose vehicle</w:t>
      </w:r>
      <w:r w:rsidR="00C479D6" w:rsidRPr="00D924F4">
        <w:rPr>
          <w:color w:val="auto"/>
          <w:sz w:val="22"/>
          <w:szCs w:val="22"/>
        </w:rPr>
        <w:t xml:space="preserve"> </w:t>
      </w:r>
      <w:r w:rsidR="00AA4738" w:rsidRPr="00D924F4">
        <w:rPr>
          <w:color w:val="auto"/>
          <w:sz w:val="22"/>
          <w:szCs w:val="22"/>
        </w:rPr>
        <w:t>(</w:t>
      </w:r>
      <w:r w:rsidR="00C479D6" w:rsidRPr="00D924F4">
        <w:rPr>
          <w:color w:val="auto"/>
          <w:sz w:val="22"/>
          <w:szCs w:val="22"/>
        </w:rPr>
        <w:t>SP</w:t>
      </w:r>
      <w:r w:rsidR="00BC01D0" w:rsidRPr="00D924F4">
        <w:rPr>
          <w:color w:val="auto"/>
          <w:sz w:val="22"/>
          <w:szCs w:val="22"/>
        </w:rPr>
        <w:t>V</w:t>
      </w:r>
      <w:r w:rsidR="00AA4738" w:rsidRPr="00D924F4">
        <w:rPr>
          <w:color w:val="auto"/>
          <w:sz w:val="22"/>
          <w:szCs w:val="22"/>
        </w:rPr>
        <w:t>)</w:t>
      </w:r>
      <w:r w:rsidR="00C479D6" w:rsidRPr="00D924F4">
        <w:rPr>
          <w:color w:val="auto"/>
          <w:sz w:val="22"/>
          <w:szCs w:val="22"/>
        </w:rPr>
        <w:t>, that is no</w:t>
      </w:r>
      <w:r w:rsidR="00BC01D0" w:rsidRPr="00D924F4">
        <w:rPr>
          <w:color w:val="auto"/>
          <w:sz w:val="22"/>
          <w:szCs w:val="22"/>
        </w:rPr>
        <w:t xml:space="preserve">t an ABS but which NAIC staff and SAPWG </w:t>
      </w:r>
      <w:r w:rsidRPr="00D924F4">
        <w:rPr>
          <w:color w:val="auto"/>
          <w:sz w:val="22"/>
          <w:szCs w:val="22"/>
        </w:rPr>
        <w:t xml:space="preserve">move </w:t>
      </w:r>
      <w:r w:rsidR="00BC01D0" w:rsidRPr="00D924F4">
        <w:rPr>
          <w:color w:val="auto"/>
          <w:sz w:val="22"/>
          <w:szCs w:val="22"/>
        </w:rPr>
        <w:t>to SSAP No. 43R, only by virtue of their issuance from a</w:t>
      </w:r>
      <w:r w:rsidR="00885CD2" w:rsidRPr="00D924F4">
        <w:rPr>
          <w:color w:val="auto"/>
          <w:sz w:val="22"/>
          <w:szCs w:val="22"/>
        </w:rPr>
        <w:t xml:space="preserve"> Trust or</w:t>
      </w:r>
      <w:r w:rsidR="00BC01D0" w:rsidRPr="00D924F4">
        <w:rPr>
          <w:color w:val="auto"/>
          <w:sz w:val="22"/>
          <w:szCs w:val="22"/>
        </w:rPr>
        <w:t xml:space="preserve"> SPV.  Such securities will need explicit mention within the scope of SSAP No. 43R</w:t>
      </w:r>
      <w:r w:rsidR="00641E04" w:rsidRPr="00D924F4">
        <w:rPr>
          <w:color w:val="auto"/>
          <w:sz w:val="22"/>
          <w:szCs w:val="22"/>
        </w:rPr>
        <w:t>,</w:t>
      </w:r>
      <w:r w:rsidR="00BC01D0" w:rsidRPr="00D924F4">
        <w:rPr>
          <w:color w:val="auto"/>
          <w:sz w:val="22"/>
          <w:szCs w:val="22"/>
        </w:rPr>
        <w:t xml:space="preserve"> beyond </w:t>
      </w:r>
      <w:r w:rsidR="00D262A4" w:rsidRPr="00D924F4">
        <w:rPr>
          <w:color w:val="auto"/>
          <w:sz w:val="22"/>
          <w:szCs w:val="22"/>
        </w:rPr>
        <w:t xml:space="preserve">any refinement of the </w:t>
      </w:r>
      <w:r w:rsidR="00BC01D0" w:rsidRPr="00D924F4">
        <w:rPr>
          <w:color w:val="auto"/>
          <w:sz w:val="22"/>
          <w:szCs w:val="22"/>
        </w:rPr>
        <w:t>Four Principles, likely with s</w:t>
      </w:r>
      <w:r w:rsidR="00641E04" w:rsidRPr="00D924F4">
        <w:rPr>
          <w:color w:val="auto"/>
          <w:sz w:val="22"/>
          <w:szCs w:val="22"/>
        </w:rPr>
        <w:t>eparate</w:t>
      </w:r>
      <w:r w:rsidR="00BC01D0" w:rsidRPr="00D924F4">
        <w:rPr>
          <w:color w:val="auto"/>
          <w:sz w:val="22"/>
          <w:szCs w:val="22"/>
        </w:rPr>
        <w:t xml:space="preserve"> reference to the specific asset classes themselves.</w:t>
      </w:r>
    </w:p>
    <w:p w14:paraId="6851A87B" w14:textId="1FB96521" w:rsidR="00555489" w:rsidRPr="008B04C7" w:rsidRDefault="00555489" w:rsidP="002B1EAD">
      <w:pPr>
        <w:pStyle w:val="Default"/>
        <w:ind w:left="360"/>
        <w:jc w:val="both"/>
        <w:rPr>
          <w:sz w:val="16"/>
          <w:szCs w:val="16"/>
        </w:rPr>
      </w:pPr>
    </w:p>
    <w:p w14:paraId="266972CA" w14:textId="2FD1C100" w:rsidR="00555489" w:rsidRPr="00D924F4" w:rsidRDefault="00555489" w:rsidP="002B1EAD">
      <w:pPr>
        <w:pStyle w:val="Default"/>
        <w:ind w:left="360"/>
        <w:jc w:val="both"/>
        <w:rPr>
          <w:sz w:val="22"/>
          <w:szCs w:val="22"/>
        </w:rPr>
      </w:pPr>
      <w:r w:rsidRPr="00D924F4">
        <w:rPr>
          <w:sz w:val="22"/>
          <w:szCs w:val="22"/>
        </w:rPr>
        <w:t>If SAPWG decides to proceed in this fashion, after defining such securities within the scope of SSAP No. 43R</w:t>
      </w:r>
      <w:r w:rsidR="00B85188" w:rsidRPr="00D924F4">
        <w:rPr>
          <w:sz w:val="22"/>
          <w:szCs w:val="22"/>
        </w:rPr>
        <w:t>,</w:t>
      </w:r>
      <w:r w:rsidR="00793A5F" w:rsidRPr="00D924F4">
        <w:rPr>
          <w:sz w:val="22"/>
          <w:szCs w:val="22"/>
        </w:rPr>
        <w:t xml:space="preserve"> </w:t>
      </w:r>
      <w:r w:rsidR="00A7432E">
        <w:rPr>
          <w:sz w:val="22"/>
          <w:szCs w:val="22"/>
        </w:rPr>
        <w:t>i</w:t>
      </w:r>
      <w:r w:rsidRPr="00D924F4">
        <w:rPr>
          <w:sz w:val="22"/>
          <w:szCs w:val="22"/>
        </w:rPr>
        <w:t xml:space="preserve">nterested </w:t>
      </w:r>
      <w:r w:rsidR="00A7432E">
        <w:rPr>
          <w:sz w:val="22"/>
          <w:szCs w:val="22"/>
        </w:rPr>
        <w:t>p</w:t>
      </w:r>
      <w:r w:rsidRPr="00D924F4">
        <w:rPr>
          <w:sz w:val="22"/>
          <w:szCs w:val="22"/>
        </w:rPr>
        <w:t>arties would support special code identifiers on Schedule D to identify any specific asset class for which regulators feel they would benefit.</w:t>
      </w:r>
    </w:p>
    <w:p w14:paraId="3F7CCA6E" w14:textId="335DD65F" w:rsidR="00632E6B" w:rsidRPr="008B04C7" w:rsidRDefault="00632E6B" w:rsidP="002B1EAD">
      <w:pPr>
        <w:pStyle w:val="Default"/>
        <w:ind w:left="360"/>
        <w:jc w:val="both"/>
        <w:rPr>
          <w:sz w:val="16"/>
          <w:szCs w:val="16"/>
        </w:rPr>
      </w:pPr>
    </w:p>
    <w:p w14:paraId="3BA1A33F" w14:textId="2C681C1E" w:rsidR="00632E6B" w:rsidRPr="00D924F4" w:rsidRDefault="00632E6B" w:rsidP="002B1EAD">
      <w:pPr>
        <w:ind w:left="360"/>
        <w:jc w:val="both"/>
        <w:rPr>
          <w:szCs w:val="22"/>
        </w:rPr>
      </w:pPr>
      <w:r w:rsidRPr="00D924F4">
        <w:rPr>
          <w:szCs w:val="22"/>
        </w:rPr>
        <w:t>Lastly, with respect to using any SEC definition as a cornerstone, two other issues also</w:t>
      </w:r>
      <w:r w:rsidR="004F764E" w:rsidRPr="00D924F4">
        <w:rPr>
          <w:szCs w:val="22"/>
        </w:rPr>
        <w:t xml:space="preserve"> would</w:t>
      </w:r>
      <w:r w:rsidRPr="00D924F4">
        <w:rPr>
          <w:szCs w:val="22"/>
        </w:rPr>
        <w:t xml:space="preserve"> need to be addressed</w:t>
      </w:r>
      <w:r w:rsidR="001F4E89" w:rsidRPr="00D924F4">
        <w:rPr>
          <w:szCs w:val="22"/>
        </w:rPr>
        <w:t>.</w:t>
      </w:r>
    </w:p>
    <w:p w14:paraId="43006B49" w14:textId="77777777" w:rsidR="00632E6B" w:rsidRPr="008B04C7" w:rsidRDefault="00632E6B" w:rsidP="002B1EAD">
      <w:pPr>
        <w:jc w:val="both"/>
        <w:rPr>
          <w:sz w:val="16"/>
          <w:szCs w:val="16"/>
        </w:rPr>
      </w:pPr>
    </w:p>
    <w:p w14:paraId="0220A4F1" w14:textId="3B2F6065" w:rsidR="00632E6B" w:rsidRPr="00D924F4" w:rsidRDefault="00632E6B" w:rsidP="002B1EAD">
      <w:pPr>
        <w:ind w:left="360"/>
        <w:jc w:val="both"/>
        <w:rPr>
          <w:szCs w:val="22"/>
        </w:rPr>
      </w:pPr>
      <w:bookmarkStart w:id="2" w:name="_Hlk46652181"/>
      <w:r w:rsidRPr="00D924F4">
        <w:rPr>
          <w:szCs w:val="22"/>
        </w:rPr>
        <w:t xml:space="preserve">First, does the definition used incorporate both existing and future SEC interpretations as to whether a security-type meets the definition?  Without incorporating </w:t>
      </w:r>
      <w:r w:rsidR="003C6B81" w:rsidRPr="00D924F4">
        <w:rPr>
          <w:szCs w:val="22"/>
        </w:rPr>
        <w:t>existing and future</w:t>
      </w:r>
      <w:r w:rsidR="00911F4C" w:rsidRPr="00D924F4">
        <w:rPr>
          <w:szCs w:val="22"/>
        </w:rPr>
        <w:t xml:space="preserve"> </w:t>
      </w:r>
      <w:r w:rsidRPr="00D924F4">
        <w:rPr>
          <w:szCs w:val="22"/>
        </w:rPr>
        <w:t>interpretations, additional clarification would be needed for statutory accounting purposes</w:t>
      </w:r>
      <w:r w:rsidR="00E715C9" w:rsidRPr="00D924F4">
        <w:rPr>
          <w:szCs w:val="22"/>
        </w:rPr>
        <w:t>, even if further principles are developed</w:t>
      </w:r>
      <w:r w:rsidRPr="00D924F4">
        <w:rPr>
          <w:szCs w:val="22"/>
        </w:rPr>
        <w:t>. Regulators and industry would otherwise be left with significant uncertainty as to scope.  At a minimum, the NAIC would need to develop similar interpretative guidance which would likely be both voluminous and require continual update to keep pace with market evolution.</w:t>
      </w:r>
    </w:p>
    <w:p w14:paraId="396467BA" w14:textId="77777777" w:rsidR="00632E6B" w:rsidRPr="00D924F4" w:rsidRDefault="00632E6B" w:rsidP="002B1EAD">
      <w:pPr>
        <w:jc w:val="both"/>
        <w:rPr>
          <w:szCs w:val="22"/>
        </w:rPr>
      </w:pPr>
    </w:p>
    <w:p w14:paraId="5BEC0A8F" w14:textId="2DCE3738" w:rsidR="00632E6B" w:rsidRPr="00D924F4" w:rsidRDefault="00632E6B" w:rsidP="002B1EAD">
      <w:pPr>
        <w:ind w:left="360"/>
        <w:jc w:val="both"/>
        <w:rPr>
          <w:szCs w:val="22"/>
        </w:rPr>
      </w:pPr>
      <w:r w:rsidRPr="00D924F4">
        <w:rPr>
          <w:szCs w:val="22"/>
        </w:rPr>
        <w:t xml:space="preserve">Second, the 1934 Act Definition, </w:t>
      </w:r>
      <w:r w:rsidR="00911F4C" w:rsidRPr="00D924F4">
        <w:rPr>
          <w:szCs w:val="22"/>
        </w:rPr>
        <w:t xml:space="preserve">by its design, </w:t>
      </w:r>
      <w:r w:rsidRPr="00D924F4">
        <w:rPr>
          <w:szCs w:val="22"/>
        </w:rPr>
        <w:t xml:space="preserve">encompasses both </w:t>
      </w:r>
      <w:r w:rsidR="00FE4313" w:rsidRPr="00D924F4">
        <w:rPr>
          <w:szCs w:val="22"/>
        </w:rPr>
        <w:t>registered and unregistered securities</w:t>
      </w:r>
      <w:r w:rsidR="009175A4" w:rsidRPr="00D924F4">
        <w:rPr>
          <w:szCs w:val="22"/>
        </w:rPr>
        <w:t>.</w:t>
      </w:r>
      <w:r w:rsidRPr="00D924F4">
        <w:rPr>
          <w:szCs w:val="22"/>
        </w:rPr>
        <w:t xml:space="preserve">  The 1933 Act Definition is technically for securities that are registered with the SEC.  Many 144A securities or private placement</w:t>
      </w:r>
      <w:r w:rsidR="00E57642" w:rsidRPr="00D924F4">
        <w:rPr>
          <w:szCs w:val="22"/>
        </w:rPr>
        <w:t xml:space="preserve"> debt</w:t>
      </w:r>
      <w:r w:rsidRPr="00D924F4">
        <w:rPr>
          <w:szCs w:val="22"/>
        </w:rPr>
        <w:t xml:space="preserve"> securities </w:t>
      </w:r>
      <w:r w:rsidR="009175A4" w:rsidRPr="00D924F4">
        <w:rPr>
          <w:szCs w:val="22"/>
        </w:rPr>
        <w:t>would</w:t>
      </w:r>
      <w:r w:rsidRPr="00D924F4">
        <w:rPr>
          <w:szCs w:val="22"/>
        </w:rPr>
        <w:t xml:space="preserve"> meet this definition, but are not registered with the SEC.  Therefore, any such scope utilizing the 1933 Act Definition, would need to ensure this distinction is made; that is, any security, whether registered with the SEC or not, is within the scope of SSAP No. 43R if it meets this definition.  However, </w:t>
      </w:r>
      <w:r w:rsidR="00A7432E">
        <w:rPr>
          <w:szCs w:val="22"/>
        </w:rPr>
        <w:t>i</w:t>
      </w:r>
      <w:r w:rsidRPr="00D924F4">
        <w:rPr>
          <w:szCs w:val="22"/>
        </w:rPr>
        <w:t xml:space="preserve">nterested </w:t>
      </w:r>
      <w:r w:rsidR="00A7432E">
        <w:rPr>
          <w:szCs w:val="22"/>
        </w:rPr>
        <w:t>p</w:t>
      </w:r>
      <w:r w:rsidRPr="00D924F4">
        <w:rPr>
          <w:szCs w:val="22"/>
        </w:rPr>
        <w:t xml:space="preserve">arties reiterate </w:t>
      </w:r>
      <w:r w:rsidR="009175A4" w:rsidRPr="00D924F4">
        <w:rPr>
          <w:szCs w:val="22"/>
        </w:rPr>
        <w:t xml:space="preserve">that </w:t>
      </w:r>
      <w:r w:rsidRPr="00D924F4">
        <w:rPr>
          <w:szCs w:val="22"/>
        </w:rPr>
        <w:t>the 1934 Act Definition is more appropriate for statutory accounting if a SEC cornerstone is to be adopted.</w:t>
      </w:r>
    </w:p>
    <w:bookmarkEnd w:id="1"/>
    <w:bookmarkEnd w:id="2"/>
    <w:p w14:paraId="2CD23F04" w14:textId="77036C55" w:rsidR="00CD16BC" w:rsidRPr="00D924F4" w:rsidRDefault="00CD16BC" w:rsidP="002B1EAD">
      <w:pPr>
        <w:pStyle w:val="Default"/>
        <w:jc w:val="both"/>
        <w:rPr>
          <w:sz w:val="22"/>
          <w:szCs w:val="22"/>
        </w:rPr>
      </w:pPr>
    </w:p>
    <w:p w14:paraId="18C85745" w14:textId="02AB8E2C" w:rsidR="00CD16BC" w:rsidRPr="00D924F4" w:rsidRDefault="00474FE0" w:rsidP="002B1EAD">
      <w:pPr>
        <w:pStyle w:val="Default"/>
        <w:numPr>
          <w:ilvl w:val="0"/>
          <w:numId w:val="12"/>
        </w:numPr>
        <w:jc w:val="both"/>
        <w:rPr>
          <w:sz w:val="22"/>
          <w:szCs w:val="22"/>
        </w:rPr>
      </w:pPr>
      <w:bookmarkStart w:id="3" w:name="_Hlk46652407"/>
      <w:r w:rsidRPr="00D924F4">
        <w:rPr>
          <w:sz w:val="22"/>
          <w:szCs w:val="22"/>
        </w:rPr>
        <w:t>Today, there are essentially t</w:t>
      </w:r>
      <w:r w:rsidR="006F5B44" w:rsidRPr="00D924F4">
        <w:rPr>
          <w:sz w:val="22"/>
          <w:szCs w:val="22"/>
        </w:rPr>
        <w:t>w</w:t>
      </w:r>
      <w:r w:rsidRPr="00D924F4">
        <w:rPr>
          <w:sz w:val="22"/>
          <w:szCs w:val="22"/>
        </w:rPr>
        <w:t xml:space="preserve">o accounting paradigms for bonds – SSAP </w:t>
      </w:r>
      <w:r w:rsidR="001C12D0" w:rsidRPr="00D924F4">
        <w:rPr>
          <w:sz w:val="22"/>
          <w:szCs w:val="22"/>
        </w:rPr>
        <w:t xml:space="preserve">No. </w:t>
      </w:r>
      <w:r w:rsidRPr="00D924F4">
        <w:rPr>
          <w:sz w:val="22"/>
          <w:szCs w:val="22"/>
        </w:rPr>
        <w:t>26R (“</w:t>
      </w:r>
      <w:r w:rsidR="00B03726" w:rsidRPr="00D924F4">
        <w:rPr>
          <w:sz w:val="22"/>
          <w:szCs w:val="22"/>
        </w:rPr>
        <w:t>regular</w:t>
      </w:r>
      <w:r w:rsidRPr="00D924F4">
        <w:rPr>
          <w:sz w:val="22"/>
          <w:szCs w:val="22"/>
        </w:rPr>
        <w:t>” amortized cost) and SSAP No. 43R (“</w:t>
      </w:r>
      <w:r w:rsidR="003E7E1F" w:rsidRPr="00D924F4">
        <w:rPr>
          <w:sz w:val="22"/>
          <w:szCs w:val="22"/>
        </w:rPr>
        <w:t>modified</w:t>
      </w:r>
      <w:r w:rsidRPr="00D924F4">
        <w:rPr>
          <w:sz w:val="22"/>
          <w:szCs w:val="22"/>
        </w:rPr>
        <w:t xml:space="preserve">” amortized cost that is adjusted periodically for changes in prepayment assumptions).  Today, </w:t>
      </w:r>
      <w:r w:rsidR="00891B35" w:rsidRPr="00D924F4">
        <w:rPr>
          <w:sz w:val="22"/>
          <w:szCs w:val="22"/>
        </w:rPr>
        <w:t xml:space="preserve">the scope of </w:t>
      </w:r>
      <w:r w:rsidRPr="00D924F4">
        <w:rPr>
          <w:sz w:val="22"/>
          <w:szCs w:val="22"/>
        </w:rPr>
        <w:t>SSAP No. 26</w:t>
      </w:r>
      <w:r w:rsidR="00B03726" w:rsidRPr="00D924F4">
        <w:rPr>
          <w:sz w:val="22"/>
          <w:szCs w:val="22"/>
        </w:rPr>
        <w:t>R</w:t>
      </w:r>
      <w:r w:rsidR="00641E04" w:rsidRPr="00D924F4">
        <w:rPr>
          <w:sz w:val="22"/>
          <w:szCs w:val="22"/>
        </w:rPr>
        <w:t xml:space="preserve"> includes</w:t>
      </w:r>
      <w:r w:rsidRPr="00D924F4">
        <w:rPr>
          <w:sz w:val="22"/>
          <w:szCs w:val="22"/>
        </w:rPr>
        <w:t xml:space="preserve"> all bonds with a specific carve-out for securities that qualify for </w:t>
      </w:r>
      <w:r w:rsidR="003C6B81" w:rsidRPr="00D924F4">
        <w:rPr>
          <w:sz w:val="22"/>
          <w:szCs w:val="22"/>
        </w:rPr>
        <w:t xml:space="preserve">the </w:t>
      </w:r>
      <w:r w:rsidRPr="00D924F4">
        <w:rPr>
          <w:sz w:val="22"/>
          <w:szCs w:val="22"/>
        </w:rPr>
        <w:t>scope of SSAP</w:t>
      </w:r>
      <w:r w:rsidR="001C12D0" w:rsidRPr="00D924F4">
        <w:rPr>
          <w:sz w:val="22"/>
          <w:szCs w:val="22"/>
        </w:rPr>
        <w:t xml:space="preserve"> No.</w:t>
      </w:r>
      <w:r w:rsidRPr="00D924F4">
        <w:rPr>
          <w:sz w:val="22"/>
          <w:szCs w:val="22"/>
        </w:rPr>
        <w:t xml:space="preserve"> 43R.  </w:t>
      </w:r>
      <w:r w:rsidR="00824878" w:rsidRPr="00D924F4">
        <w:rPr>
          <w:sz w:val="22"/>
          <w:szCs w:val="22"/>
        </w:rPr>
        <w:t>T</w:t>
      </w:r>
      <w:r w:rsidRPr="00D924F4">
        <w:rPr>
          <w:sz w:val="22"/>
          <w:szCs w:val="22"/>
        </w:rPr>
        <w:t xml:space="preserve">he </w:t>
      </w:r>
      <w:r w:rsidR="003C6B81" w:rsidRPr="00D924F4">
        <w:rPr>
          <w:sz w:val="22"/>
          <w:szCs w:val="22"/>
        </w:rPr>
        <w:t>E</w:t>
      </w:r>
      <w:r w:rsidR="00B03726" w:rsidRPr="00D924F4">
        <w:rPr>
          <w:sz w:val="22"/>
          <w:szCs w:val="22"/>
        </w:rPr>
        <w:t>xposure generally</w:t>
      </w:r>
      <w:r w:rsidRPr="00D924F4">
        <w:rPr>
          <w:sz w:val="22"/>
          <w:szCs w:val="22"/>
        </w:rPr>
        <w:t xml:space="preserve"> proposes to keep this </w:t>
      </w:r>
      <w:r w:rsidR="006F5B44" w:rsidRPr="00D924F4">
        <w:rPr>
          <w:sz w:val="22"/>
          <w:szCs w:val="22"/>
        </w:rPr>
        <w:t>distinction but clarif</w:t>
      </w:r>
      <w:r w:rsidR="003C6B81" w:rsidRPr="00D924F4">
        <w:rPr>
          <w:sz w:val="22"/>
          <w:szCs w:val="22"/>
        </w:rPr>
        <w:t>ies</w:t>
      </w:r>
      <w:r w:rsidR="006F5B44" w:rsidRPr="00D924F4">
        <w:rPr>
          <w:sz w:val="22"/>
          <w:szCs w:val="22"/>
        </w:rPr>
        <w:t xml:space="preserve"> that SSAP No. 43R includes all securities issued from a Trust or SPV even if they do not have prepayment or extension risk </w:t>
      </w:r>
      <w:r w:rsidR="001C12D0" w:rsidRPr="00D924F4">
        <w:rPr>
          <w:sz w:val="22"/>
          <w:szCs w:val="22"/>
        </w:rPr>
        <w:t>(</w:t>
      </w:r>
      <w:r w:rsidR="006F5B44" w:rsidRPr="00D924F4">
        <w:rPr>
          <w:sz w:val="22"/>
          <w:szCs w:val="22"/>
        </w:rPr>
        <w:t>which was the impetus for the modified</w:t>
      </w:r>
      <w:r w:rsidR="003C6B81" w:rsidRPr="00D924F4">
        <w:rPr>
          <w:sz w:val="22"/>
          <w:szCs w:val="22"/>
        </w:rPr>
        <w:t xml:space="preserve"> amortized cost</w:t>
      </w:r>
      <w:r w:rsidR="006F5B44" w:rsidRPr="00D924F4">
        <w:rPr>
          <w:sz w:val="22"/>
          <w:szCs w:val="22"/>
        </w:rPr>
        <w:t xml:space="preserve"> accounting in SSAP </w:t>
      </w:r>
      <w:r w:rsidR="003C6B81" w:rsidRPr="00D924F4">
        <w:rPr>
          <w:sz w:val="22"/>
          <w:szCs w:val="22"/>
        </w:rPr>
        <w:t xml:space="preserve">No. </w:t>
      </w:r>
      <w:r w:rsidR="006F5B44" w:rsidRPr="00D924F4">
        <w:rPr>
          <w:sz w:val="22"/>
          <w:szCs w:val="22"/>
        </w:rPr>
        <w:t>43R</w:t>
      </w:r>
      <w:r w:rsidR="001C12D0" w:rsidRPr="00D924F4">
        <w:rPr>
          <w:sz w:val="22"/>
          <w:szCs w:val="22"/>
        </w:rPr>
        <w:t>)</w:t>
      </w:r>
      <w:r w:rsidR="006F5B44" w:rsidRPr="00D924F4">
        <w:rPr>
          <w:sz w:val="22"/>
          <w:szCs w:val="22"/>
        </w:rPr>
        <w:t>.  This is an important point</w:t>
      </w:r>
      <w:r w:rsidR="007B68A7" w:rsidRPr="00D924F4">
        <w:rPr>
          <w:sz w:val="22"/>
          <w:szCs w:val="22"/>
        </w:rPr>
        <w:t>;</w:t>
      </w:r>
      <w:r w:rsidR="006F5B44" w:rsidRPr="00D924F4">
        <w:rPr>
          <w:sz w:val="22"/>
          <w:szCs w:val="22"/>
        </w:rPr>
        <w:t xml:space="preserve"> SSAP No. 43R securities (e.g., loan backed and structured securities), </w:t>
      </w:r>
      <w:r w:rsidR="00985338" w:rsidRPr="00D924F4">
        <w:rPr>
          <w:sz w:val="22"/>
          <w:szCs w:val="22"/>
        </w:rPr>
        <w:t>many of which are</w:t>
      </w:r>
      <w:r w:rsidR="006F5B44" w:rsidRPr="00D924F4">
        <w:rPr>
          <w:sz w:val="22"/>
          <w:szCs w:val="22"/>
        </w:rPr>
        <w:t xml:space="preserve"> issued from a Trust or SPV, have this different accounting due to prepayment and extension risk and not because they are issued from a </w:t>
      </w:r>
      <w:r w:rsidR="001C12D0" w:rsidRPr="00D924F4">
        <w:rPr>
          <w:sz w:val="22"/>
          <w:szCs w:val="22"/>
        </w:rPr>
        <w:t>T</w:t>
      </w:r>
      <w:r w:rsidR="006F5B44" w:rsidRPr="00D924F4">
        <w:rPr>
          <w:sz w:val="22"/>
          <w:szCs w:val="22"/>
        </w:rPr>
        <w:t xml:space="preserve">rust or SPV.  </w:t>
      </w:r>
    </w:p>
    <w:p w14:paraId="3208FC7C" w14:textId="77777777" w:rsidR="001C12D0" w:rsidRPr="00D924F4" w:rsidRDefault="001C12D0" w:rsidP="002B1EAD">
      <w:pPr>
        <w:jc w:val="both"/>
        <w:rPr>
          <w:szCs w:val="22"/>
        </w:rPr>
      </w:pPr>
    </w:p>
    <w:p w14:paraId="255E0D57" w14:textId="17E78082" w:rsidR="000A2188" w:rsidRPr="00D924F4" w:rsidRDefault="00B03726" w:rsidP="002B1EAD">
      <w:pPr>
        <w:pStyle w:val="Default"/>
        <w:ind w:left="360"/>
        <w:jc w:val="both"/>
        <w:rPr>
          <w:sz w:val="22"/>
          <w:szCs w:val="22"/>
        </w:rPr>
      </w:pPr>
      <w:bookmarkStart w:id="4" w:name="_Hlk46063069"/>
      <w:r w:rsidRPr="00D924F4">
        <w:rPr>
          <w:sz w:val="22"/>
          <w:szCs w:val="22"/>
        </w:rPr>
        <w:t xml:space="preserve">Interested </w:t>
      </w:r>
      <w:r w:rsidR="00A7432E">
        <w:rPr>
          <w:sz w:val="22"/>
          <w:szCs w:val="22"/>
        </w:rPr>
        <w:t>p</w:t>
      </w:r>
      <w:r w:rsidRPr="00D924F4">
        <w:rPr>
          <w:sz w:val="22"/>
          <w:szCs w:val="22"/>
        </w:rPr>
        <w:t xml:space="preserve">arties </w:t>
      </w:r>
      <w:r w:rsidR="004D1C78" w:rsidRPr="00D924F4">
        <w:rPr>
          <w:sz w:val="22"/>
          <w:szCs w:val="22"/>
        </w:rPr>
        <w:t>unequivocally</w:t>
      </w:r>
      <w:r w:rsidR="00641E04" w:rsidRPr="00D924F4">
        <w:rPr>
          <w:sz w:val="22"/>
          <w:szCs w:val="22"/>
        </w:rPr>
        <w:t xml:space="preserve"> </w:t>
      </w:r>
      <w:r w:rsidRPr="00D924F4">
        <w:rPr>
          <w:sz w:val="22"/>
          <w:szCs w:val="22"/>
        </w:rPr>
        <w:t xml:space="preserve">believe </w:t>
      </w:r>
      <w:r w:rsidR="00B85188" w:rsidRPr="00D924F4">
        <w:rPr>
          <w:sz w:val="22"/>
          <w:szCs w:val="22"/>
        </w:rPr>
        <w:t xml:space="preserve">that </w:t>
      </w:r>
      <w:r w:rsidRPr="00D924F4">
        <w:rPr>
          <w:sz w:val="22"/>
          <w:szCs w:val="22"/>
        </w:rPr>
        <w:t>m</w:t>
      </w:r>
      <w:r w:rsidR="006F5B44" w:rsidRPr="00D924F4">
        <w:rPr>
          <w:sz w:val="22"/>
          <w:szCs w:val="22"/>
        </w:rPr>
        <w:t xml:space="preserve">any of the securities issued from a Trust or SPV should continue to follow the </w:t>
      </w:r>
      <w:r w:rsidRPr="00D924F4">
        <w:rPr>
          <w:sz w:val="22"/>
          <w:szCs w:val="22"/>
        </w:rPr>
        <w:t>regular</w:t>
      </w:r>
      <w:r w:rsidR="006F5B44" w:rsidRPr="00D924F4">
        <w:rPr>
          <w:sz w:val="22"/>
          <w:szCs w:val="22"/>
        </w:rPr>
        <w:t xml:space="preserve"> amortized cost accounting within SSAP No. 26</w:t>
      </w:r>
      <w:r w:rsidRPr="00D924F4">
        <w:rPr>
          <w:sz w:val="22"/>
          <w:szCs w:val="22"/>
        </w:rPr>
        <w:t>R, as they do not have prepayment or extension risk</w:t>
      </w:r>
      <w:r w:rsidR="0037419E" w:rsidRPr="00D924F4">
        <w:rPr>
          <w:sz w:val="22"/>
          <w:szCs w:val="22"/>
        </w:rPr>
        <w:t>.  T</w:t>
      </w:r>
      <w:r w:rsidRPr="00D924F4">
        <w:rPr>
          <w:sz w:val="22"/>
          <w:szCs w:val="22"/>
        </w:rPr>
        <w:t xml:space="preserve">herefore the modified amortized cost within </w:t>
      </w:r>
      <w:r w:rsidR="003C6B81" w:rsidRPr="00D924F4">
        <w:rPr>
          <w:sz w:val="22"/>
          <w:szCs w:val="22"/>
        </w:rPr>
        <w:t>S</w:t>
      </w:r>
      <w:r w:rsidRPr="00D924F4">
        <w:rPr>
          <w:sz w:val="22"/>
          <w:szCs w:val="22"/>
        </w:rPr>
        <w:t xml:space="preserve">SAP </w:t>
      </w:r>
      <w:r w:rsidR="003C6B81" w:rsidRPr="00D924F4">
        <w:rPr>
          <w:sz w:val="22"/>
          <w:szCs w:val="22"/>
        </w:rPr>
        <w:t xml:space="preserve">No. </w:t>
      </w:r>
      <w:r w:rsidRPr="00D924F4">
        <w:rPr>
          <w:sz w:val="22"/>
          <w:szCs w:val="22"/>
        </w:rPr>
        <w:t xml:space="preserve">43R is not appropriate, as there is no need to update </w:t>
      </w:r>
      <w:r w:rsidR="00B85188" w:rsidRPr="00D924F4">
        <w:rPr>
          <w:sz w:val="22"/>
          <w:szCs w:val="22"/>
        </w:rPr>
        <w:t xml:space="preserve">prepayment and extension </w:t>
      </w:r>
      <w:r w:rsidRPr="00D924F4">
        <w:rPr>
          <w:sz w:val="22"/>
          <w:szCs w:val="22"/>
        </w:rPr>
        <w:t>assumptions as required under SSAP No. 43R.</w:t>
      </w:r>
      <w:r w:rsidR="0037419E" w:rsidRPr="00D924F4">
        <w:rPr>
          <w:sz w:val="22"/>
          <w:szCs w:val="22"/>
        </w:rPr>
        <w:t xml:space="preserve">  Examples include but are not limited to</w:t>
      </w:r>
      <w:r w:rsidR="001C12D0" w:rsidRPr="00D924F4">
        <w:rPr>
          <w:sz w:val="22"/>
          <w:szCs w:val="22"/>
        </w:rPr>
        <w:t xml:space="preserve"> </w:t>
      </w:r>
      <w:r w:rsidR="006F5B44" w:rsidRPr="00D924F4">
        <w:rPr>
          <w:sz w:val="22"/>
          <w:szCs w:val="22"/>
        </w:rPr>
        <w:t>1) where there is a direct guarantee from a corporate or government entity</w:t>
      </w:r>
      <w:r w:rsidR="001C12D0" w:rsidRPr="00D924F4">
        <w:rPr>
          <w:sz w:val="22"/>
          <w:szCs w:val="22"/>
        </w:rPr>
        <w:t xml:space="preserve"> (e.g., </w:t>
      </w:r>
      <w:r w:rsidR="007B68A7" w:rsidRPr="00D924F4">
        <w:rPr>
          <w:sz w:val="22"/>
          <w:szCs w:val="22"/>
        </w:rPr>
        <w:t xml:space="preserve">certain </w:t>
      </w:r>
      <w:r w:rsidR="00641E04" w:rsidRPr="00D924F4">
        <w:rPr>
          <w:sz w:val="22"/>
          <w:szCs w:val="22"/>
        </w:rPr>
        <w:t xml:space="preserve">Issuer Obligation </w:t>
      </w:r>
      <w:r w:rsidR="001C12D0" w:rsidRPr="00D924F4">
        <w:rPr>
          <w:sz w:val="22"/>
          <w:szCs w:val="22"/>
        </w:rPr>
        <w:t>Muni</w:t>
      </w:r>
      <w:r w:rsidR="0082245B" w:rsidRPr="00D924F4">
        <w:rPr>
          <w:sz w:val="22"/>
          <w:szCs w:val="22"/>
        </w:rPr>
        <w:t>cipal Bonds)</w:t>
      </w:r>
      <w:r w:rsidR="006F5B44" w:rsidRPr="00D924F4">
        <w:rPr>
          <w:sz w:val="22"/>
          <w:szCs w:val="22"/>
        </w:rPr>
        <w:t xml:space="preserve">, even if </w:t>
      </w:r>
      <w:r w:rsidR="00603F91" w:rsidRPr="00D924F4">
        <w:rPr>
          <w:sz w:val="22"/>
          <w:szCs w:val="22"/>
        </w:rPr>
        <w:t xml:space="preserve">the security </w:t>
      </w:r>
      <w:r w:rsidR="00603F91" w:rsidRPr="00D924F4">
        <w:rPr>
          <w:sz w:val="22"/>
          <w:szCs w:val="22"/>
        </w:rPr>
        <w:lastRenderedPageBreak/>
        <w:t>is</w:t>
      </w:r>
      <w:r w:rsidR="006F5B44" w:rsidRPr="00D924F4">
        <w:rPr>
          <w:sz w:val="22"/>
          <w:szCs w:val="22"/>
        </w:rPr>
        <w:t xml:space="preserve"> issued from a Trust or SPV for legal or other reasons </w:t>
      </w:r>
      <w:r w:rsidR="004B6EF7" w:rsidRPr="00D924F4">
        <w:rPr>
          <w:sz w:val="22"/>
          <w:szCs w:val="22"/>
        </w:rPr>
        <w:t>(i.e., an otherwise qualifying SSAP No. 26</w:t>
      </w:r>
      <w:r w:rsidR="00F64877" w:rsidRPr="00D924F4">
        <w:rPr>
          <w:sz w:val="22"/>
          <w:szCs w:val="22"/>
        </w:rPr>
        <w:t>R</w:t>
      </w:r>
      <w:r w:rsidR="004B6EF7" w:rsidRPr="00D924F4">
        <w:rPr>
          <w:sz w:val="22"/>
          <w:szCs w:val="22"/>
        </w:rPr>
        <w:t xml:space="preserve"> security, with the exception of being issued from a</w:t>
      </w:r>
      <w:r w:rsidR="0015005B" w:rsidRPr="00D924F4">
        <w:rPr>
          <w:sz w:val="22"/>
          <w:szCs w:val="22"/>
        </w:rPr>
        <w:t xml:space="preserve"> Trust or</w:t>
      </w:r>
      <w:r w:rsidR="004B6EF7" w:rsidRPr="00D924F4">
        <w:rPr>
          <w:sz w:val="22"/>
          <w:szCs w:val="22"/>
        </w:rPr>
        <w:t xml:space="preserve"> SPV</w:t>
      </w:r>
      <w:r w:rsidR="00CD16BC" w:rsidRPr="00D924F4">
        <w:rPr>
          <w:sz w:val="22"/>
          <w:szCs w:val="22"/>
        </w:rPr>
        <w:t>)</w:t>
      </w:r>
      <w:r w:rsidR="004B6EF7" w:rsidRPr="00D924F4">
        <w:rPr>
          <w:sz w:val="22"/>
          <w:szCs w:val="22"/>
        </w:rPr>
        <w:t xml:space="preserve"> </w:t>
      </w:r>
      <w:r w:rsidR="006F5B44" w:rsidRPr="00D924F4">
        <w:rPr>
          <w:sz w:val="22"/>
          <w:szCs w:val="22"/>
        </w:rPr>
        <w:t>or 2)</w:t>
      </w:r>
      <w:r w:rsidRPr="00D924F4">
        <w:rPr>
          <w:sz w:val="22"/>
          <w:szCs w:val="22"/>
        </w:rPr>
        <w:t xml:space="preserve"> </w:t>
      </w:r>
      <w:r w:rsidR="006F5B44" w:rsidRPr="00D924F4">
        <w:rPr>
          <w:sz w:val="22"/>
          <w:szCs w:val="22"/>
        </w:rPr>
        <w:t xml:space="preserve">project finance investments which are typically issued from an SPV. </w:t>
      </w:r>
      <w:r w:rsidR="00641E04" w:rsidRPr="00D924F4">
        <w:rPr>
          <w:sz w:val="22"/>
          <w:szCs w:val="22"/>
        </w:rPr>
        <w:t xml:space="preserve"> </w:t>
      </w:r>
      <w:r w:rsidR="00B85188" w:rsidRPr="00D924F4">
        <w:rPr>
          <w:color w:val="000000" w:themeColor="text1"/>
          <w:sz w:val="22"/>
          <w:szCs w:val="22"/>
        </w:rPr>
        <w:t>M</w:t>
      </w:r>
      <w:r w:rsidR="00641E04" w:rsidRPr="00D924F4">
        <w:rPr>
          <w:color w:val="000000" w:themeColor="text1"/>
          <w:sz w:val="22"/>
          <w:szCs w:val="22"/>
        </w:rPr>
        <w:t xml:space="preserve">any </w:t>
      </w:r>
      <w:r w:rsidR="00B85188" w:rsidRPr="00D924F4">
        <w:rPr>
          <w:color w:val="000000" w:themeColor="text1"/>
          <w:sz w:val="22"/>
          <w:szCs w:val="22"/>
        </w:rPr>
        <w:t xml:space="preserve">insurance </w:t>
      </w:r>
      <w:r w:rsidR="00641E04" w:rsidRPr="00D924F4">
        <w:rPr>
          <w:sz w:val="22"/>
          <w:szCs w:val="22"/>
        </w:rPr>
        <w:t xml:space="preserve">companies </w:t>
      </w:r>
      <w:r w:rsidR="00B85188" w:rsidRPr="00D924F4">
        <w:rPr>
          <w:sz w:val="22"/>
          <w:szCs w:val="22"/>
        </w:rPr>
        <w:t xml:space="preserve">currently report </w:t>
      </w:r>
      <w:r w:rsidR="00641E04" w:rsidRPr="00D924F4">
        <w:rPr>
          <w:sz w:val="22"/>
          <w:szCs w:val="22"/>
        </w:rPr>
        <w:t xml:space="preserve">these securities as SSAP No. 26R </w:t>
      </w:r>
      <w:r w:rsidR="00B85188" w:rsidRPr="00D924F4">
        <w:rPr>
          <w:sz w:val="22"/>
          <w:szCs w:val="22"/>
        </w:rPr>
        <w:t>investments</w:t>
      </w:r>
      <w:r w:rsidR="0037419E" w:rsidRPr="00D924F4">
        <w:rPr>
          <w:sz w:val="22"/>
          <w:szCs w:val="22"/>
        </w:rPr>
        <w:t xml:space="preserve">.  Interested </w:t>
      </w:r>
      <w:r w:rsidR="00A7432E">
        <w:rPr>
          <w:sz w:val="22"/>
          <w:szCs w:val="22"/>
        </w:rPr>
        <w:t>p</w:t>
      </w:r>
      <w:r w:rsidR="0037419E" w:rsidRPr="00D924F4">
        <w:rPr>
          <w:sz w:val="22"/>
          <w:szCs w:val="22"/>
        </w:rPr>
        <w:t>arties</w:t>
      </w:r>
      <w:r w:rsidR="009175A4" w:rsidRPr="00D924F4">
        <w:rPr>
          <w:sz w:val="22"/>
          <w:szCs w:val="22"/>
        </w:rPr>
        <w:t xml:space="preserve"> and many others as well</w:t>
      </w:r>
      <w:r w:rsidR="00216EA2" w:rsidRPr="00D924F4">
        <w:rPr>
          <w:sz w:val="22"/>
          <w:szCs w:val="22"/>
        </w:rPr>
        <w:t xml:space="preserve"> (industry, regulators, SVO, and NAIC staff) believe these are</w:t>
      </w:r>
      <w:r w:rsidR="00641E04" w:rsidRPr="00D924F4">
        <w:rPr>
          <w:sz w:val="22"/>
          <w:szCs w:val="22"/>
        </w:rPr>
        <w:t xml:space="preserve"> Schedule D bonds where regular amortized cost accounting</w:t>
      </w:r>
      <w:r w:rsidR="00216EA2" w:rsidRPr="00D924F4">
        <w:rPr>
          <w:sz w:val="22"/>
          <w:szCs w:val="22"/>
        </w:rPr>
        <w:t xml:space="preserve"> is appropriate</w:t>
      </w:r>
      <w:r w:rsidR="00641E04" w:rsidRPr="00D924F4">
        <w:rPr>
          <w:sz w:val="22"/>
          <w:szCs w:val="22"/>
        </w:rPr>
        <w:t>.</w:t>
      </w:r>
    </w:p>
    <w:p w14:paraId="243295B4" w14:textId="77777777" w:rsidR="000A2188" w:rsidRPr="00D924F4" w:rsidRDefault="000A2188" w:rsidP="002B1EAD">
      <w:pPr>
        <w:pStyle w:val="Default"/>
        <w:ind w:left="360"/>
        <w:jc w:val="both"/>
        <w:rPr>
          <w:sz w:val="22"/>
          <w:szCs w:val="22"/>
        </w:rPr>
      </w:pPr>
    </w:p>
    <w:p w14:paraId="765EE252" w14:textId="3428FEA6" w:rsidR="00985338" w:rsidRPr="00D924F4" w:rsidRDefault="00985338" w:rsidP="002B1EAD">
      <w:pPr>
        <w:pStyle w:val="Default"/>
        <w:ind w:left="360"/>
        <w:jc w:val="both"/>
        <w:rPr>
          <w:sz w:val="22"/>
          <w:szCs w:val="22"/>
        </w:rPr>
      </w:pPr>
      <w:r w:rsidRPr="00D924F4">
        <w:rPr>
          <w:sz w:val="22"/>
          <w:szCs w:val="22"/>
        </w:rPr>
        <w:t xml:space="preserve">Indeed, </w:t>
      </w:r>
      <w:r w:rsidR="00A7432E">
        <w:rPr>
          <w:sz w:val="22"/>
          <w:szCs w:val="22"/>
        </w:rPr>
        <w:t>i</w:t>
      </w:r>
      <w:r w:rsidRPr="00D924F4">
        <w:rPr>
          <w:sz w:val="22"/>
          <w:szCs w:val="22"/>
        </w:rPr>
        <w:t xml:space="preserve">nterested </w:t>
      </w:r>
      <w:r w:rsidR="00A7432E">
        <w:rPr>
          <w:sz w:val="22"/>
          <w:szCs w:val="22"/>
        </w:rPr>
        <w:t>p</w:t>
      </w:r>
      <w:r w:rsidRPr="00D924F4">
        <w:rPr>
          <w:sz w:val="22"/>
          <w:szCs w:val="22"/>
        </w:rPr>
        <w:t xml:space="preserve">arties continue to question whether the presence of a </w:t>
      </w:r>
      <w:r w:rsidR="0082245B" w:rsidRPr="00D924F4">
        <w:rPr>
          <w:sz w:val="22"/>
          <w:szCs w:val="22"/>
        </w:rPr>
        <w:t>T</w:t>
      </w:r>
      <w:r w:rsidRPr="00D924F4">
        <w:rPr>
          <w:sz w:val="22"/>
          <w:szCs w:val="22"/>
        </w:rPr>
        <w:t>rust or SPV should form any part of an accounting classification.  In many deals the trust nomenclature may appear, when in fact there is no separate trust entity.  The term SPV is even</w:t>
      </w:r>
      <w:r w:rsidR="00846E69" w:rsidRPr="00D924F4">
        <w:rPr>
          <w:sz w:val="22"/>
          <w:szCs w:val="22"/>
        </w:rPr>
        <w:t xml:space="preserve"> more</w:t>
      </w:r>
      <w:r w:rsidRPr="00D924F4">
        <w:rPr>
          <w:sz w:val="22"/>
          <w:szCs w:val="22"/>
        </w:rPr>
        <w:t xml:space="preserve"> </w:t>
      </w:r>
      <w:r w:rsidR="0037419E" w:rsidRPr="00D924F4">
        <w:rPr>
          <w:sz w:val="22"/>
          <w:szCs w:val="22"/>
        </w:rPr>
        <w:t>ambiguous</w:t>
      </w:r>
      <w:r w:rsidRPr="00D924F4">
        <w:rPr>
          <w:sz w:val="22"/>
          <w:szCs w:val="22"/>
        </w:rPr>
        <w:t>, as there is no commonly accepted definition.  There are many regulated businesses, non-for-profit corporations, and other entities that by law, regulation or charter are established and exist for a single purpose.  Are these SPVs?  There is no easy answer.</w:t>
      </w:r>
    </w:p>
    <w:p w14:paraId="64E6B372" w14:textId="017F041E" w:rsidR="00985338" w:rsidRPr="00D924F4" w:rsidRDefault="00985338" w:rsidP="002B1EAD">
      <w:pPr>
        <w:pStyle w:val="Default"/>
        <w:ind w:left="360"/>
        <w:jc w:val="both"/>
        <w:rPr>
          <w:sz w:val="22"/>
          <w:szCs w:val="22"/>
        </w:rPr>
      </w:pPr>
    </w:p>
    <w:p w14:paraId="00CDB55D" w14:textId="05F4BEB9" w:rsidR="00985338" w:rsidRPr="00D924F4" w:rsidRDefault="00985338" w:rsidP="002B1EAD">
      <w:pPr>
        <w:pStyle w:val="Default"/>
        <w:ind w:left="360"/>
        <w:jc w:val="both"/>
        <w:rPr>
          <w:sz w:val="22"/>
          <w:szCs w:val="22"/>
        </w:rPr>
      </w:pPr>
      <w:r w:rsidRPr="00D924F4">
        <w:rPr>
          <w:sz w:val="22"/>
          <w:szCs w:val="22"/>
        </w:rPr>
        <w:t xml:space="preserve">Any use of the terms </w:t>
      </w:r>
      <w:r w:rsidR="0082245B" w:rsidRPr="00D924F4">
        <w:rPr>
          <w:sz w:val="22"/>
          <w:szCs w:val="22"/>
        </w:rPr>
        <w:t>Trust or SPV</w:t>
      </w:r>
      <w:r w:rsidR="00216EA2" w:rsidRPr="00D924F4">
        <w:rPr>
          <w:sz w:val="22"/>
          <w:szCs w:val="22"/>
        </w:rPr>
        <w:t>,</w:t>
      </w:r>
      <w:r w:rsidRPr="00D924F4">
        <w:rPr>
          <w:sz w:val="22"/>
          <w:szCs w:val="22"/>
        </w:rPr>
        <w:t xml:space="preserve"> </w:t>
      </w:r>
      <w:r w:rsidR="0095275D" w:rsidRPr="00D924F4">
        <w:rPr>
          <w:sz w:val="22"/>
          <w:szCs w:val="22"/>
        </w:rPr>
        <w:t>to segregate</w:t>
      </w:r>
      <w:r w:rsidRPr="00D924F4">
        <w:rPr>
          <w:sz w:val="22"/>
          <w:szCs w:val="22"/>
        </w:rPr>
        <w:t xml:space="preserve"> for purposes of accounting or scoping</w:t>
      </w:r>
      <w:r w:rsidR="00216EA2" w:rsidRPr="00D924F4">
        <w:rPr>
          <w:sz w:val="22"/>
          <w:szCs w:val="22"/>
        </w:rPr>
        <w:t>,</w:t>
      </w:r>
      <w:r w:rsidRPr="00D924F4">
        <w:rPr>
          <w:sz w:val="22"/>
          <w:szCs w:val="22"/>
        </w:rPr>
        <w:t xml:space="preserve"> w</w:t>
      </w:r>
      <w:r w:rsidR="00294898" w:rsidRPr="00D924F4">
        <w:rPr>
          <w:sz w:val="22"/>
          <w:szCs w:val="22"/>
        </w:rPr>
        <w:t>ould</w:t>
      </w:r>
      <w:r w:rsidRPr="00D924F4">
        <w:rPr>
          <w:sz w:val="22"/>
          <w:szCs w:val="22"/>
        </w:rPr>
        <w:t xml:space="preserve"> require that the</w:t>
      </w:r>
      <w:r w:rsidR="00216EA2" w:rsidRPr="00D924F4">
        <w:rPr>
          <w:sz w:val="22"/>
          <w:szCs w:val="22"/>
        </w:rPr>
        <w:t>y</w:t>
      </w:r>
      <w:r w:rsidRPr="00D924F4">
        <w:rPr>
          <w:sz w:val="22"/>
          <w:szCs w:val="22"/>
        </w:rPr>
        <w:t xml:space="preserve"> be defined with sufficient clarity to both reflect the substance of these terms and ensure</w:t>
      </w:r>
      <w:r w:rsidR="00B85188" w:rsidRPr="00D924F4">
        <w:rPr>
          <w:sz w:val="22"/>
          <w:szCs w:val="22"/>
        </w:rPr>
        <w:t xml:space="preserve"> that</w:t>
      </w:r>
      <w:r w:rsidRPr="00D924F4">
        <w:rPr>
          <w:sz w:val="22"/>
          <w:szCs w:val="22"/>
        </w:rPr>
        <w:t xml:space="preserve"> any such new standard is operational, including the appropriate accounting</w:t>
      </w:r>
      <w:r w:rsidR="00911F4C" w:rsidRPr="00D924F4">
        <w:rPr>
          <w:sz w:val="22"/>
          <w:szCs w:val="22"/>
        </w:rPr>
        <w:t xml:space="preserve"> treatment with</w:t>
      </w:r>
      <w:r w:rsidRPr="00D924F4">
        <w:rPr>
          <w:sz w:val="22"/>
          <w:szCs w:val="22"/>
        </w:rPr>
        <w:t xml:space="preserve"> no unintended consequences.</w:t>
      </w:r>
    </w:p>
    <w:p w14:paraId="4E7545BF" w14:textId="4835A70B" w:rsidR="00985338" w:rsidRPr="00D924F4" w:rsidRDefault="00985338" w:rsidP="002B1EAD">
      <w:pPr>
        <w:pStyle w:val="Default"/>
        <w:ind w:left="360"/>
        <w:jc w:val="both"/>
        <w:rPr>
          <w:sz w:val="22"/>
          <w:szCs w:val="22"/>
        </w:rPr>
      </w:pPr>
    </w:p>
    <w:p w14:paraId="5210DA96" w14:textId="68A6E981" w:rsidR="000C4B87" w:rsidRPr="00D924F4" w:rsidRDefault="00985338" w:rsidP="002B1EAD">
      <w:pPr>
        <w:pStyle w:val="Default"/>
        <w:ind w:left="360"/>
        <w:jc w:val="both"/>
        <w:rPr>
          <w:sz w:val="22"/>
          <w:szCs w:val="22"/>
        </w:rPr>
      </w:pPr>
      <w:r w:rsidRPr="00D924F4">
        <w:rPr>
          <w:sz w:val="22"/>
          <w:szCs w:val="22"/>
        </w:rPr>
        <w:t xml:space="preserve">Even if </w:t>
      </w:r>
      <w:r w:rsidR="0082245B" w:rsidRPr="00D924F4">
        <w:rPr>
          <w:sz w:val="22"/>
          <w:szCs w:val="22"/>
        </w:rPr>
        <w:t>T</w:t>
      </w:r>
      <w:r w:rsidRPr="00D924F4">
        <w:rPr>
          <w:sz w:val="22"/>
          <w:szCs w:val="22"/>
        </w:rPr>
        <w:t xml:space="preserve">rust and SPV can be defined with some precision, business entities will continue to evolve.  </w:t>
      </w:r>
      <w:r w:rsidR="00AA4738" w:rsidRPr="00D924F4">
        <w:rPr>
          <w:sz w:val="22"/>
          <w:szCs w:val="22"/>
        </w:rPr>
        <w:t xml:space="preserve">In </w:t>
      </w:r>
      <w:r w:rsidR="00B73ED6" w:rsidRPr="00D924F4">
        <w:rPr>
          <w:sz w:val="22"/>
          <w:szCs w:val="22"/>
        </w:rPr>
        <w:t>Section 5</w:t>
      </w:r>
      <w:r w:rsidR="002D7C6A" w:rsidRPr="00D924F4">
        <w:rPr>
          <w:sz w:val="22"/>
          <w:szCs w:val="22"/>
        </w:rPr>
        <w:t xml:space="preserve"> of the Issue Paper</w:t>
      </w:r>
      <w:r w:rsidR="00B73ED6" w:rsidRPr="00D924F4">
        <w:rPr>
          <w:sz w:val="22"/>
          <w:szCs w:val="22"/>
        </w:rPr>
        <w:t>,</w:t>
      </w:r>
      <w:r w:rsidRPr="00D924F4">
        <w:rPr>
          <w:sz w:val="22"/>
          <w:szCs w:val="22"/>
        </w:rPr>
        <w:t xml:space="preserve"> </w:t>
      </w:r>
      <w:r w:rsidR="00B73ED6" w:rsidRPr="00D924F4">
        <w:rPr>
          <w:sz w:val="22"/>
          <w:szCs w:val="22"/>
        </w:rPr>
        <w:t xml:space="preserve">it is suggested that reporting entities should know to classify </w:t>
      </w:r>
      <w:r w:rsidR="002D7C6A" w:rsidRPr="00D924F4">
        <w:rPr>
          <w:sz w:val="22"/>
          <w:szCs w:val="22"/>
        </w:rPr>
        <w:t>CEF Debt</w:t>
      </w:r>
      <w:r w:rsidR="00B73ED6" w:rsidRPr="00D924F4">
        <w:rPr>
          <w:sz w:val="22"/>
          <w:szCs w:val="22"/>
        </w:rPr>
        <w:t xml:space="preserve"> within the scope of SSAP No. 43R </w:t>
      </w:r>
      <w:r w:rsidR="00297B8E" w:rsidRPr="00D924F4">
        <w:rPr>
          <w:sz w:val="22"/>
          <w:szCs w:val="22"/>
        </w:rPr>
        <w:t>“</w:t>
      </w:r>
      <w:r w:rsidR="00B73ED6" w:rsidRPr="00D924F4">
        <w:rPr>
          <w:sz w:val="22"/>
          <w:szCs w:val="22"/>
        </w:rPr>
        <w:t xml:space="preserve">due to the presence of the trust structure”.  </w:t>
      </w:r>
      <w:r w:rsidR="005D2C68" w:rsidRPr="00D924F4">
        <w:rPr>
          <w:sz w:val="22"/>
          <w:szCs w:val="22"/>
        </w:rPr>
        <w:t>However,</w:t>
      </w:r>
      <w:r w:rsidR="00B73ED6" w:rsidRPr="00D924F4">
        <w:rPr>
          <w:sz w:val="22"/>
          <w:szCs w:val="22"/>
        </w:rPr>
        <w:t xml:space="preserve"> most closed end funds are corporations, and there </w:t>
      </w:r>
      <w:r w:rsidR="0037419E" w:rsidRPr="00D924F4">
        <w:rPr>
          <w:sz w:val="22"/>
          <w:szCs w:val="22"/>
        </w:rPr>
        <w:t>has been no</w:t>
      </w:r>
      <w:r w:rsidR="00B73ED6" w:rsidRPr="00D924F4">
        <w:rPr>
          <w:sz w:val="22"/>
          <w:szCs w:val="22"/>
        </w:rPr>
        <w:t xml:space="preserve"> reason to classify their debt as anything other than within the scope of SSAP No. 26R (e.g., there is no prepayment or extension risk).  This</w:t>
      </w:r>
      <w:r w:rsidR="00B85188" w:rsidRPr="00D924F4">
        <w:rPr>
          <w:sz w:val="22"/>
          <w:szCs w:val="22"/>
        </w:rPr>
        <w:t xml:space="preserve"> example</w:t>
      </w:r>
      <w:r w:rsidR="00B73ED6" w:rsidRPr="00D924F4">
        <w:rPr>
          <w:sz w:val="22"/>
          <w:szCs w:val="22"/>
        </w:rPr>
        <w:t xml:space="preserve"> highlights the difficulty of making the type of issuing entity a decisive factor for accounting classification.</w:t>
      </w:r>
      <w:r w:rsidR="0082245B" w:rsidRPr="00D924F4">
        <w:rPr>
          <w:sz w:val="22"/>
          <w:szCs w:val="22"/>
        </w:rPr>
        <w:t xml:space="preserve">  </w:t>
      </w:r>
    </w:p>
    <w:p w14:paraId="3F31D2E8" w14:textId="77777777" w:rsidR="000C4B87" w:rsidRPr="00D924F4" w:rsidRDefault="000C4B87" w:rsidP="002B1EAD">
      <w:pPr>
        <w:pStyle w:val="Default"/>
        <w:ind w:left="360"/>
        <w:jc w:val="both"/>
        <w:rPr>
          <w:sz w:val="22"/>
          <w:szCs w:val="22"/>
        </w:rPr>
      </w:pPr>
    </w:p>
    <w:p w14:paraId="43A5DEBA" w14:textId="4966B08A" w:rsidR="00150CE0" w:rsidRPr="00D924F4" w:rsidRDefault="0082245B" w:rsidP="002B1EAD">
      <w:pPr>
        <w:pStyle w:val="Default"/>
        <w:ind w:left="360"/>
        <w:jc w:val="both"/>
        <w:rPr>
          <w:sz w:val="22"/>
          <w:szCs w:val="22"/>
        </w:rPr>
      </w:pPr>
      <w:r w:rsidRPr="00D924F4">
        <w:rPr>
          <w:sz w:val="22"/>
          <w:szCs w:val="22"/>
        </w:rPr>
        <w:t>Ultimately, if the SAPWG de</w:t>
      </w:r>
      <w:r w:rsidR="0037419E" w:rsidRPr="00D924F4">
        <w:rPr>
          <w:sz w:val="22"/>
          <w:szCs w:val="22"/>
        </w:rPr>
        <w:t>termines</w:t>
      </w:r>
      <w:r w:rsidRPr="00D924F4">
        <w:rPr>
          <w:sz w:val="22"/>
          <w:szCs w:val="22"/>
        </w:rPr>
        <w:t xml:space="preserve"> all securities issued from </w:t>
      </w:r>
      <w:r w:rsidR="004D1C78" w:rsidRPr="00D924F4">
        <w:rPr>
          <w:sz w:val="22"/>
          <w:szCs w:val="22"/>
        </w:rPr>
        <w:t>a Trust or SPV</w:t>
      </w:r>
      <w:r w:rsidRPr="00D924F4">
        <w:rPr>
          <w:sz w:val="22"/>
          <w:szCs w:val="22"/>
        </w:rPr>
        <w:t xml:space="preserve"> should be </w:t>
      </w:r>
      <w:r w:rsidR="000C4B87" w:rsidRPr="00D924F4">
        <w:rPr>
          <w:sz w:val="22"/>
          <w:szCs w:val="22"/>
        </w:rPr>
        <w:t>included within the scope of</w:t>
      </w:r>
      <w:r w:rsidRPr="00D924F4">
        <w:rPr>
          <w:sz w:val="22"/>
          <w:szCs w:val="22"/>
        </w:rPr>
        <w:t xml:space="preserve"> SSAP No. 43R, it is imperative that both sufficient </w:t>
      </w:r>
      <w:r w:rsidR="000C4B87" w:rsidRPr="00D924F4">
        <w:rPr>
          <w:sz w:val="22"/>
          <w:szCs w:val="22"/>
        </w:rPr>
        <w:t xml:space="preserve">scope </w:t>
      </w:r>
      <w:r w:rsidRPr="00D924F4">
        <w:rPr>
          <w:sz w:val="22"/>
          <w:szCs w:val="22"/>
        </w:rPr>
        <w:t xml:space="preserve">clarity </w:t>
      </w:r>
      <w:r w:rsidR="000C4B87" w:rsidRPr="00D924F4">
        <w:rPr>
          <w:sz w:val="22"/>
          <w:szCs w:val="22"/>
        </w:rPr>
        <w:t>be</w:t>
      </w:r>
      <w:r w:rsidRPr="00D924F4">
        <w:rPr>
          <w:sz w:val="22"/>
          <w:szCs w:val="22"/>
        </w:rPr>
        <w:t xml:space="preserve"> </w:t>
      </w:r>
      <w:r w:rsidR="000C4B87" w:rsidRPr="00D924F4">
        <w:rPr>
          <w:sz w:val="22"/>
          <w:szCs w:val="22"/>
        </w:rPr>
        <w:t>developed</w:t>
      </w:r>
      <w:r w:rsidRPr="00D924F4">
        <w:rPr>
          <w:sz w:val="22"/>
          <w:szCs w:val="22"/>
        </w:rPr>
        <w:t xml:space="preserve"> and</w:t>
      </w:r>
      <w:r w:rsidR="000C4B87" w:rsidRPr="00D924F4">
        <w:rPr>
          <w:sz w:val="22"/>
          <w:szCs w:val="22"/>
        </w:rPr>
        <w:t xml:space="preserve"> all bonds with no prepayment or extension risk, even if issued from a</w:t>
      </w:r>
      <w:r w:rsidR="001C5513" w:rsidRPr="00D924F4">
        <w:rPr>
          <w:sz w:val="22"/>
          <w:szCs w:val="22"/>
        </w:rPr>
        <w:t xml:space="preserve"> Trust or</w:t>
      </w:r>
      <w:r w:rsidR="000C4B87" w:rsidRPr="00D924F4">
        <w:rPr>
          <w:sz w:val="22"/>
          <w:szCs w:val="22"/>
        </w:rPr>
        <w:t xml:space="preserve"> SPV, </w:t>
      </w:r>
      <w:r w:rsidRPr="00D924F4">
        <w:rPr>
          <w:sz w:val="22"/>
          <w:szCs w:val="22"/>
        </w:rPr>
        <w:t xml:space="preserve">receive the appropriate accounting (i.e., </w:t>
      </w:r>
      <w:r w:rsidR="00933548" w:rsidRPr="00D924F4">
        <w:rPr>
          <w:sz w:val="22"/>
          <w:szCs w:val="22"/>
        </w:rPr>
        <w:t>“</w:t>
      </w:r>
      <w:r w:rsidRPr="00D924F4">
        <w:rPr>
          <w:sz w:val="22"/>
          <w:szCs w:val="22"/>
        </w:rPr>
        <w:t>regular</w:t>
      </w:r>
      <w:r w:rsidR="00933548" w:rsidRPr="00D924F4">
        <w:rPr>
          <w:sz w:val="22"/>
          <w:szCs w:val="22"/>
        </w:rPr>
        <w:t>”</w:t>
      </w:r>
      <w:r w:rsidRPr="00D924F4">
        <w:rPr>
          <w:sz w:val="22"/>
          <w:szCs w:val="22"/>
        </w:rPr>
        <w:t xml:space="preserve"> amortized cost accounting).</w:t>
      </w:r>
      <w:r w:rsidR="000C4B87" w:rsidRPr="00D924F4">
        <w:rPr>
          <w:sz w:val="22"/>
          <w:szCs w:val="22"/>
        </w:rPr>
        <w:t xml:space="preserve">  </w:t>
      </w:r>
      <w:r w:rsidR="00150CE0" w:rsidRPr="00D924F4">
        <w:rPr>
          <w:sz w:val="22"/>
          <w:szCs w:val="22"/>
        </w:rPr>
        <w:t xml:space="preserve">It is </w:t>
      </w:r>
      <w:r w:rsidR="000C4B87" w:rsidRPr="00D924F4">
        <w:rPr>
          <w:sz w:val="22"/>
          <w:szCs w:val="22"/>
        </w:rPr>
        <w:t>therefore</w:t>
      </w:r>
      <w:r w:rsidR="00150CE0" w:rsidRPr="00D924F4">
        <w:rPr>
          <w:sz w:val="22"/>
          <w:szCs w:val="22"/>
        </w:rPr>
        <w:t xml:space="preserve"> premature</w:t>
      </w:r>
      <w:r w:rsidR="000C4B87" w:rsidRPr="00D924F4">
        <w:rPr>
          <w:sz w:val="22"/>
          <w:szCs w:val="22"/>
        </w:rPr>
        <w:t xml:space="preserve"> for the </w:t>
      </w:r>
      <w:r w:rsidR="008620D9" w:rsidRPr="00D924F4">
        <w:rPr>
          <w:sz w:val="22"/>
          <w:szCs w:val="22"/>
        </w:rPr>
        <w:t>I</w:t>
      </w:r>
      <w:r w:rsidR="000C4B87" w:rsidRPr="00D924F4">
        <w:rPr>
          <w:sz w:val="22"/>
          <w:szCs w:val="22"/>
        </w:rPr>
        <w:t xml:space="preserve">ssue </w:t>
      </w:r>
      <w:r w:rsidR="008620D9" w:rsidRPr="00D924F4">
        <w:rPr>
          <w:sz w:val="22"/>
          <w:szCs w:val="22"/>
        </w:rPr>
        <w:t>P</w:t>
      </w:r>
      <w:r w:rsidR="000C4B87" w:rsidRPr="00D924F4">
        <w:rPr>
          <w:sz w:val="22"/>
          <w:szCs w:val="22"/>
        </w:rPr>
        <w:t xml:space="preserve">aper to </w:t>
      </w:r>
      <w:r w:rsidR="00150CE0" w:rsidRPr="00D924F4">
        <w:rPr>
          <w:sz w:val="22"/>
          <w:szCs w:val="22"/>
        </w:rPr>
        <w:t xml:space="preserve">suggest any class of security should utilize lower of </w:t>
      </w:r>
      <w:r w:rsidR="003E7E1F" w:rsidRPr="00D924F4">
        <w:rPr>
          <w:sz w:val="22"/>
          <w:szCs w:val="22"/>
        </w:rPr>
        <w:t xml:space="preserve">amortized </w:t>
      </w:r>
      <w:r w:rsidR="00150CE0" w:rsidRPr="00D924F4">
        <w:rPr>
          <w:sz w:val="22"/>
          <w:szCs w:val="22"/>
        </w:rPr>
        <w:t xml:space="preserve">cost </w:t>
      </w:r>
      <w:r w:rsidR="0002029F" w:rsidRPr="00D924F4">
        <w:rPr>
          <w:sz w:val="22"/>
          <w:szCs w:val="22"/>
        </w:rPr>
        <w:t xml:space="preserve">or </w:t>
      </w:r>
      <w:r w:rsidR="003E7E1F" w:rsidRPr="00D924F4">
        <w:rPr>
          <w:sz w:val="22"/>
          <w:szCs w:val="22"/>
        </w:rPr>
        <w:t>market</w:t>
      </w:r>
      <w:r w:rsidR="0002029F" w:rsidRPr="00D924F4">
        <w:rPr>
          <w:sz w:val="22"/>
          <w:szCs w:val="22"/>
        </w:rPr>
        <w:t xml:space="preserve"> </w:t>
      </w:r>
      <w:r w:rsidR="00150CE0" w:rsidRPr="00D924F4">
        <w:rPr>
          <w:sz w:val="22"/>
          <w:szCs w:val="22"/>
        </w:rPr>
        <w:t>accounting</w:t>
      </w:r>
      <w:r w:rsidR="00216EA2" w:rsidRPr="00D924F4">
        <w:rPr>
          <w:sz w:val="22"/>
          <w:szCs w:val="22"/>
        </w:rPr>
        <w:t>,</w:t>
      </w:r>
      <w:r w:rsidR="000C4B87" w:rsidRPr="00D924F4">
        <w:rPr>
          <w:sz w:val="22"/>
          <w:szCs w:val="22"/>
        </w:rPr>
        <w:t xml:space="preserve"> </w:t>
      </w:r>
      <w:r w:rsidR="0076589C" w:rsidRPr="00D924F4">
        <w:rPr>
          <w:sz w:val="22"/>
          <w:szCs w:val="22"/>
        </w:rPr>
        <w:t xml:space="preserve">based on </w:t>
      </w:r>
      <w:r w:rsidR="009175A4" w:rsidRPr="00D924F4">
        <w:rPr>
          <w:sz w:val="22"/>
          <w:szCs w:val="22"/>
        </w:rPr>
        <w:t xml:space="preserve">whether it meets </w:t>
      </w:r>
      <w:r w:rsidR="00911F4C" w:rsidRPr="00D924F4">
        <w:rPr>
          <w:sz w:val="22"/>
          <w:szCs w:val="22"/>
        </w:rPr>
        <w:t xml:space="preserve">some components of a </w:t>
      </w:r>
      <w:r w:rsidR="007B68A7" w:rsidRPr="00D924F4">
        <w:rPr>
          <w:sz w:val="22"/>
          <w:szCs w:val="22"/>
        </w:rPr>
        <w:t>somewhat</w:t>
      </w:r>
      <w:r w:rsidR="00644AE1" w:rsidRPr="00D924F4">
        <w:rPr>
          <w:sz w:val="22"/>
          <w:szCs w:val="22"/>
        </w:rPr>
        <w:t xml:space="preserve"> </w:t>
      </w:r>
      <w:r w:rsidR="000C4B87" w:rsidRPr="00D924F4">
        <w:rPr>
          <w:sz w:val="22"/>
          <w:szCs w:val="22"/>
        </w:rPr>
        <w:t>arbitrary</w:t>
      </w:r>
      <w:r w:rsidR="0076589C" w:rsidRPr="00D924F4">
        <w:rPr>
          <w:sz w:val="22"/>
          <w:szCs w:val="22"/>
        </w:rPr>
        <w:t xml:space="preserve"> or ambiguous</w:t>
      </w:r>
      <w:r w:rsidR="000C4B87" w:rsidRPr="00D924F4">
        <w:rPr>
          <w:sz w:val="22"/>
          <w:szCs w:val="22"/>
        </w:rPr>
        <w:t xml:space="preserve"> definition</w:t>
      </w:r>
      <w:r w:rsidR="00911F4C" w:rsidRPr="00D924F4">
        <w:rPr>
          <w:sz w:val="22"/>
          <w:szCs w:val="22"/>
        </w:rPr>
        <w:t>,</w:t>
      </w:r>
      <w:r w:rsidR="000C4B87" w:rsidRPr="00D924F4">
        <w:rPr>
          <w:sz w:val="22"/>
          <w:szCs w:val="22"/>
        </w:rPr>
        <w:t xml:space="preserve"> </w:t>
      </w:r>
      <w:r w:rsidR="00A66477" w:rsidRPr="00D924F4">
        <w:rPr>
          <w:sz w:val="22"/>
          <w:szCs w:val="22"/>
        </w:rPr>
        <w:t>without providing a</w:t>
      </w:r>
      <w:r w:rsidR="00641E04" w:rsidRPr="00D924F4">
        <w:rPr>
          <w:sz w:val="22"/>
          <w:szCs w:val="22"/>
        </w:rPr>
        <w:t>n appropriate</w:t>
      </w:r>
      <w:r w:rsidR="00A66477" w:rsidRPr="00D924F4">
        <w:rPr>
          <w:sz w:val="22"/>
          <w:szCs w:val="22"/>
        </w:rPr>
        <w:t xml:space="preserve"> rationale for doing so.</w:t>
      </w:r>
    </w:p>
    <w:bookmarkEnd w:id="3"/>
    <w:bookmarkEnd w:id="4"/>
    <w:p w14:paraId="3CD8858E" w14:textId="77777777" w:rsidR="00CD16BC" w:rsidRPr="00D924F4" w:rsidRDefault="00CD16BC" w:rsidP="002B1EAD">
      <w:pPr>
        <w:pStyle w:val="Default"/>
        <w:jc w:val="both"/>
        <w:rPr>
          <w:sz w:val="22"/>
          <w:szCs w:val="22"/>
        </w:rPr>
      </w:pPr>
    </w:p>
    <w:p w14:paraId="5988610A" w14:textId="77777777" w:rsidR="00CD16BC" w:rsidRPr="00D924F4" w:rsidRDefault="00CD16BC" w:rsidP="002B1EAD">
      <w:pPr>
        <w:pStyle w:val="Default"/>
        <w:numPr>
          <w:ilvl w:val="0"/>
          <w:numId w:val="12"/>
        </w:numPr>
        <w:jc w:val="both"/>
        <w:rPr>
          <w:sz w:val="22"/>
          <w:szCs w:val="22"/>
        </w:rPr>
      </w:pPr>
      <w:r w:rsidRPr="00D924F4">
        <w:rPr>
          <w:sz w:val="22"/>
          <w:szCs w:val="22"/>
        </w:rPr>
        <w:t>The NAIC Policy Statement on Coordination of the Accounting Practices and Procedures Manual and the Purposes and Procedures Manual of the NAIC Investment Analysis Office includes the following:</w:t>
      </w:r>
    </w:p>
    <w:p w14:paraId="5FFFAF45" w14:textId="77777777" w:rsidR="00CD16BC" w:rsidRPr="00D924F4" w:rsidRDefault="00CD16BC" w:rsidP="002B1EAD">
      <w:pPr>
        <w:pStyle w:val="Default"/>
        <w:ind w:left="720"/>
        <w:jc w:val="both"/>
        <w:rPr>
          <w:sz w:val="22"/>
          <w:szCs w:val="22"/>
        </w:rPr>
      </w:pPr>
    </w:p>
    <w:p w14:paraId="6EF3E6D2" w14:textId="77777777" w:rsidR="00CD16BC" w:rsidRPr="00D924F4" w:rsidRDefault="00CD16BC" w:rsidP="002B1EAD">
      <w:pPr>
        <w:pStyle w:val="Header"/>
        <w:spacing w:after="220"/>
        <w:ind w:left="720"/>
        <w:jc w:val="both"/>
        <w:rPr>
          <w:i/>
          <w:sz w:val="22"/>
          <w:szCs w:val="22"/>
        </w:rPr>
      </w:pPr>
      <w:r w:rsidRPr="00D924F4">
        <w:rPr>
          <w:i/>
          <w:sz w:val="22"/>
          <w:szCs w:val="22"/>
        </w:rPr>
        <w:t xml:space="preserve">“The assessment of credit risk for an obligation or asset, as specified in the P&amp;P Manual, is a separate and distinct process from the determination of statutory accounting or reporting under the AP&amp;P Manual. The manner in which an NAIC designation is used within statutory accounting guidance is limited to that, if any, specified in a statement of statutory accounting principle (SSAP) and cannot be derived or implied by language in the P&amp;P Manual. </w:t>
      </w:r>
      <w:r w:rsidRPr="00D924F4">
        <w:rPr>
          <w:bCs/>
          <w:i/>
          <w:sz w:val="22"/>
          <w:szCs w:val="22"/>
        </w:rPr>
        <w:t xml:space="preserve">Obtaining an NAIC designation does not change an investment’s applicable SSAP, annual or quarterly statement reporting schedule, or override other SSAP guidance required for the investment to be an admitted asset. There are limited instances in which a SSAP specifically identifies, within its scope, the inclusion of specific SVO-identified investments. </w:t>
      </w:r>
      <w:r w:rsidRPr="00D924F4">
        <w:rPr>
          <w:i/>
          <w:sz w:val="22"/>
          <w:szCs w:val="22"/>
        </w:rPr>
        <w:t>The SVO review required for an investment to be included on a SVO listing is a separate evaluation process that focuses on the structure of the investment. This process is distinct from the SVO’s assessment of an investment’s credit risk, which results in a NAIC designation. As stated in the Statutory Hierarchy, Section V of the Preamble, the AP&amp;P Manual is the highest level of authoritative guidance.”</w:t>
      </w:r>
    </w:p>
    <w:p w14:paraId="012E3BAC" w14:textId="471A0CE9" w:rsidR="00264317" w:rsidRPr="00D924F4" w:rsidRDefault="00CD16BC" w:rsidP="002B1EAD">
      <w:pPr>
        <w:ind w:left="360"/>
        <w:jc w:val="both"/>
        <w:rPr>
          <w:iCs/>
          <w:color w:val="000000" w:themeColor="text1"/>
          <w:szCs w:val="22"/>
        </w:rPr>
      </w:pPr>
      <w:r w:rsidRPr="00D924F4">
        <w:rPr>
          <w:color w:val="000000" w:themeColor="text1"/>
          <w:szCs w:val="22"/>
        </w:rPr>
        <w:lastRenderedPageBreak/>
        <w:t xml:space="preserve">Interested </w:t>
      </w:r>
      <w:r w:rsidR="00A7432E">
        <w:rPr>
          <w:color w:val="000000" w:themeColor="text1"/>
          <w:szCs w:val="22"/>
        </w:rPr>
        <w:t>p</w:t>
      </w:r>
      <w:r w:rsidRPr="00D924F4">
        <w:rPr>
          <w:color w:val="000000" w:themeColor="text1"/>
          <w:szCs w:val="22"/>
        </w:rPr>
        <w:t xml:space="preserve">arties agree with the substance of this policy statement and believe </w:t>
      </w:r>
      <w:r w:rsidR="00911F4C" w:rsidRPr="00D924F4">
        <w:rPr>
          <w:color w:val="000000" w:themeColor="text1"/>
          <w:szCs w:val="22"/>
        </w:rPr>
        <w:t>SAPWG’s effort</w:t>
      </w:r>
      <w:r w:rsidRPr="00D924F4">
        <w:rPr>
          <w:color w:val="000000" w:themeColor="text1"/>
          <w:szCs w:val="22"/>
        </w:rPr>
        <w:t xml:space="preserve"> should focus on the scope of bonds, and their appropriate accounting, and </w:t>
      </w:r>
      <w:r w:rsidR="005723ED" w:rsidRPr="00D924F4">
        <w:rPr>
          <w:color w:val="000000" w:themeColor="text1"/>
          <w:szCs w:val="22"/>
        </w:rPr>
        <w:t>should</w:t>
      </w:r>
      <w:r w:rsidR="0066150A" w:rsidRPr="00D924F4">
        <w:rPr>
          <w:color w:val="000000" w:themeColor="text1"/>
          <w:szCs w:val="22"/>
        </w:rPr>
        <w:t xml:space="preserve"> </w:t>
      </w:r>
      <w:r w:rsidR="005723ED" w:rsidRPr="00D924F4">
        <w:rPr>
          <w:color w:val="000000" w:themeColor="text1"/>
          <w:szCs w:val="22"/>
        </w:rPr>
        <w:t xml:space="preserve">not overlap with </w:t>
      </w:r>
      <w:r w:rsidR="005723ED" w:rsidRPr="00D924F4">
        <w:rPr>
          <w:iCs/>
          <w:color w:val="000000" w:themeColor="text1"/>
          <w:szCs w:val="22"/>
        </w:rPr>
        <w:t xml:space="preserve">the SVO’s mission </w:t>
      </w:r>
      <w:r w:rsidR="0066150A" w:rsidRPr="00D924F4">
        <w:rPr>
          <w:iCs/>
          <w:color w:val="000000" w:themeColor="text1"/>
          <w:szCs w:val="22"/>
        </w:rPr>
        <w:t xml:space="preserve">of </w:t>
      </w:r>
      <w:r w:rsidR="005723ED" w:rsidRPr="00D924F4">
        <w:rPr>
          <w:iCs/>
          <w:color w:val="000000" w:themeColor="text1"/>
          <w:szCs w:val="22"/>
        </w:rPr>
        <w:t>credit quality assessment of securities owned by insurance companies, in support of the</w:t>
      </w:r>
      <w:r w:rsidR="002D7C6A" w:rsidRPr="00D924F4">
        <w:rPr>
          <w:iCs/>
          <w:color w:val="000000" w:themeColor="text1"/>
          <w:szCs w:val="22"/>
        </w:rPr>
        <w:t xml:space="preserve"> Valuation of Securities Task Force</w:t>
      </w:r>
      <w:r w:rsidR="005723ED" w:rsidRPr="00D924F4">
        <w:rPr>
          <w:iCs/>
          <w:color w:val="000000" w:themeColor="text1"/>
          <w:szCs w:val="22"/>
        </w:rPr>
        <w:t xml:space="preserve"> </w:t>
      </w:r>
      <w:r w:rsidR="002D7C6A" w:rsidRPr="00D924F4">
        <w:rPr>
          <w:iCs/>
          <w:color w:val="000000" w:themeColor="text1"/>
          <w:szCs w:val="22"/>
        </w:rPr>
        <w:t>(</w:t>
      </w:r>
      <w:r w:rsidR="005723ED" w:rsidRPr="00D924F4">
        <w:rPr>
          <w:iCs/>
          <w:color w:val="000000" w:themeColor="text1"/>
          <w:szCs w:val="22"/>
        </w:rPr>
        <w:t>VOSTF</w:t>
      </w:r>
      <w:r w:rsidR="002D7C6A" w:rsidRPr="00D924F4">
        <w:rPr>
          <w:iCs/>
          <w:color w:val="000000" w:themeColor="text1"/>
          <w:szCs w:val="22"/>
        </w:rPr>
        <w:t>)</w:t>
      </w:r>
      <w:r w:rsidR="005723ED" w:rsidRPr="00D924F4">
        <w:rPr>
          <w:iCs/>
          <w:color w:val="000000" w:themeColor="text1"/>
          <w:szCs w:val="22"/>
        </w:rPr>
        <w:t xml:space="preserve"> </w:t>
      </w:r>
      <w:r w:rsidR="002D7C6A" w:rsidRPr="00D924F4">
        <w:rPr>
          <w:iCs/>
          <w:color w:val="000000" w:themeColor="text1"/>
          <w:szCs w:val="22"/>
        </w:rPr>
        <w:t>m</w:t>
      </w:r>
      <w:r w:rsidR="005723ED" w:rsidRPr="00D924F4">
        <w:rPr>
          <w:iCs/>
          <w:color w:val="000000" w:themeColor="text1"/>
          <w:szCs w:val="22"/>
        </w:rPr>
        <w:t>ission to establish and maintain the NAIC’s credit assessment process.</w:t>
      </w:r>
      <w:r w:rsidR="0066150A" w:rsidRPr="00D924F4">
        <w:rPr>
          <w:iCs/>
          <w:color w:val="000000" w:themeColor="text1"/>
          <w:szCs w:val="22"/>
        </w:rPr>
        <w:t xml:space="preserve">  That is not to say </w:t>
      </w:r>
      <w:r w:rsidR="00A7432E">
        <w:rPr>
          <w:iCs/>
          <w:color w:val="000000" w:themeColor="text1"/>
          <w:szCs w:val="22"/>
        </w:rPr>
        <w:t>i</w:t>
      </w:r>
      <w:r w:rsidR="0076589C" w:rsidRPr="00D924F4">
        <w:rPr>
          <w:iCs/>
          <w:color w:val="000000" w:themeColor="text1"/>
          <w:szCs w:val="22"/>
        </w:rPr>
        <w:t xml:space="preserve">nterested </w:t>
      </w:r>
      <w:r w:rsidR="00A7432E">
        <w:rPr>
          <w:iCs/>
          <w:color w:val="000000" w:themeColor="text1"/>
          <w:szCs w:val="22"/>
        </w:rPr>
        <w:t>p</w:t>
      </w:r>
      <w:r w:rsidR="0076589C" w:rsidRPr="00D924F4">
        <w:rPr>
          <w:iCs/>
          <w:color w:val="000000" w:themeColor="text1"/>
          <w:szCs w:val="22"/>
        </w:rPr>
        <w:t>arties</w:t>
      </w:r>
      <w:r w:rsidR="0066150A" w:rsidRPr="00D924F4">
        <w:rPr>
          <w:iCs/>
          <w:color w:val="000000" w:themeColor="text1"/>
          <w:szCs w:val="22"/>
        </w:rPr>
        <w:t xml:space="preserve"> believe NAIC staff and SAPWG should not work together </w:t>
      </w:r>
      <w:r w:rsidR="0002029F" w:rsidRPr="00D924F4">
        <w:rPr>
          <w:iCs/>
          <w:color w:val="000000" w:themeColor="text1"/>
          <w:szCs w:val="22"/>
        </w:rPr>
        <w:t xml:space="preserve">with </w:t>
      </w:r>
      <w:r w:rsidR="0066150A" w:rsidRPr="00D924F4">
        <w:rPr>
          <w:iCs/>
          <w:color w:val="000000" w:themeColor="text1"/>
          <w:szCs w:val="22"/>
        </w:rPr>
        <w:t xml:space="preserve">the SVO and VOSTF.  </w:t>
      </w:r>
    </w:p>
    <w:p w14:paraId="443EBD0C" w14:textId="77777777" w:rsidR="00264317" w:rsidRPr="00D924F4" w:rsidRDefault="00264317" w:rsidP="002B1EAD">
      <w:pPr>
        <w:ind w:left="360"/>
        <w:jc w:val="both"/>
        <w:rPr>
          <w:iCs/>
          <w:color w:val="000000" w:themeColor="text1"/>
          <w:szCs w:val="22"/>
        </w:rPr>
      </w:pPr>
    </w:p>
    <w:p w14:paraId="1DEAF0B1" w14:textId="15B2DD48" w:rsidR="005723ED" w:rsidRPr="00D924F4" w:rsidRDefault="0066150A" w:rsidP="002B1EAD">
      <w:pPr>
        <w:ind w:left="360"/>
        <w:jc w:val="both"/>
        <w:rPr>
          <w:iCs/>
          <w:color w:val="000000" w:themeColor="text1"/>
          <w:szCs w:val="22"/>
        </w:rPr>
      </w:pPr>
      <w:r w:rsidRPr="00D924F4">
        <w:rPr>
          <w:iCs/>
          <w:color w:val="000000" w:themeColor="text1"/>
          <w:szCs w:val="22"/>
        </w:rPr>
        <w:t xml:space="preserve">In fact, we encourage a high </w:t>
      </w:r>
      <w:r w:rsidR="00A66477" w:rsidRPr="00D924F4">
        <w:rPr>
          <w:iCs/>
          <w:color w:val="000000" w:themeColor="text1"/>
          <w:szCs w:val="22"/>
        </w:rPr>
        <w:t>degree</w:t>
      </w:r>
      <w:r w:rsidRPr="00D924F4">
        <w:rPr>
          <w:iCs/>
          <w:color w:val="000000" w:themeColor="text1"/>
          <w:szCs w:val="22"/>
        </w:rPr>
        <w:t xml:space="preserve"> of interaction and cooperation between the two groups </w:t>
      </w:r>
      <w:r w:rsidR="00FB5A62" w:rsidRPr="00D924F4">
        <w:rPr>
          <w:iCs/>
          <w:color w:val="000000" w:themeColor="text1"/>
          <w:szCs w:val="22"/>
        </w:rPr>
        <w:t>to ensure the</w:t>
      </w:r>
      <w:r w:rsidRPr="00D924F4">
        <w:rPr>
          <w:iCs/>
          <w:color w:val="000000" w:themeColor="text1"/>
          <w:szCs w:val="22"/>
        </w:rPr>
        <w:t xml:space="preserve"> overall framework is cohesive</w:t>
      </w:r>
      <w:r w:rsidR="00FB5A62" w:rsidRPr="00D924F4">
        <w:rPr>
          <w:iCs/>
          <w:color w:val="000000" w:themeColor="text1"/>
          <w:szCs w:val="22"/>
        </w:rPr>
        <w:t xml:space="preserve"> as the SVO works on Bespoke Securities </w:t>
      </w:r>
      <w:r w:rsidR="00264317" w:rsidRPr="00D924F4">
        <w:rPr>
          <w:iCs/>
          <w:color w:val="000000" w:themeColor="text1"/>
          <w:szCs w:val="22"/>
        </w:rPr>
        <w:t>(</w:t>
      </w:r>
      <w:r w:rsidR="00A66477" w:rsidRPr="00D924F4">
        <w:rPr>
          <w:iCs/>
          <w:color w:val="000000" w:themeColor="text1"/>
          <w:szCs w:val="22"/>
        </w:rPr>
        <w:t>for example,</w:t>
      </w:r>
      <w:r w:rsidR="00FB5A62" w:rsidRPr="00D924F4">
        <w:rPr>
          <w:iCs/>
          <w:color w:val="000000" w:themeColor="text1"/>
          <w:szCs w:val="22"/>
        </w:rPr>
        <w:t xml:space="preserve"> </w:t>
      </w:r>
      <w:r w:rsidR="00911F4C" w:rsidRPr="00D924F4">
        <w:rPr>
          <w:iCs/>
          <w:color w:val="000000" w:themeColor="text1"/>
          <w:szCs w:val="22"/>
        </w:rPr>
        <w:t>certain</w:t>
      </w:r>
      <w:r w:rsidR="00A16E54" w:rsidRPr="00D924F4">
        <w:rPr>
          <w:iCs/>
          <w:color w:val="000000" w:themeColor="text1"/>
          <w:szCs w:val="22"/>
        </w:rPr>
        <w:t xml:space="preserve"> </w:t>
      </w:r>
      <w:r w:rsidR="00B64368" w:rsidRPr="00D924F4">
        <w:rPr>
          <w:iCs/>
          <w:color w:val="000000" w:themeColor="text1"/>
          <w:szCs w:val="22"/>
        </w:rPr>
        <w:t>Collateralized Fund Obligations “</w:t>
      </w:r>
      <w:r w:rsidR="00FB5A62" w:rsidRPr="00D924F4">
        <w:rPr>
          <w:iCs/>
          <w:color w:val="000000" w:themeColor="text1"/>
          <w:szCs w:val="22"/>
        </w:rPr>
        <w:t>CFO</w:t>
      </w:r>
      <w:r w:rsidR="00B64368" w:rsidRPr="00D924F4">
        <w:rPr>
          <w:iCs/>
          <w:color w:val="000000" w:themeColor="text1"/>
          <w:szCs w:val="22"/>
        </w:rPr>
        <w:t>s</w:t>
      </w:r>
      <w:r w:rsidR="00B05B6D" w:rsidRPr="00D924F4">
        <w:rPr>
          <w:iCs/>
          <w:color w:val="000000" w:themeColor="text1"/>
          <w:szCs w:val="22"/>
        </w:rPr>
        <w:t>”</w:t>
      </w:r>
      <w:r w:rsidR="00B64368" w:rsidRPr="00D924F4">
        <w:rPr>
          <w:iCs/>
          <w:color w:val="000000" w:themeColor="text1"/>
          <w:szCs w:val="22"/>
        </w:rPr>
        <w:t xml:space="preserve"> </w:t>
      </w:r>
      <w:r w:rsidR="00E57642" w:rsidRPr="00D924F4">
        <w:rPr>
          <w:iCs/>
          <w:color w:val="000000" w:themeColor="text1"/>
          <w:szCs w:val="22"/>
        </w:rPr>
        <w:t>or other</w:t>
      </w:r>
      <w:r w:rsidR="00FB5A62" w:rsidRPr="00D924F4">
        <w:rPr>
          <w:iCs/>
          <w:color w:val="000000" w:themeColor="text1"/>
          <w:szCs w:val="22"/>
        </w:rPr>
        <w:t xml:space="preserve"> </w:t>
      </w:r>
      <w:r w:rsidR="00E57642" w:rsidRPr="00D924F4">
        <w:rPr>
          <w:iCs/>
          <w:color w:val="000000" w:themeColor="text1"/>
          <w:szCs w:val="22"/>
        </w:rPr>
        <w:t>b</w:t>
      </w:r>
      <w:r w:rsidR="00FB5A62" w:rsidRPr="00D924F4">
        <w:rPr>
          <w:iCs/>
          <w:color w:val="000000" w:themeColor="text1"/>
          <w:szCs w:val="22"/>
        </w:rPr>
        <w:t xml:space="preserve">espoke </w:t>
      </w:r>
      <w:r w:rsidR="00E57642" w:rsidRPr="00D924F4">
        <w:rPr>
          <w:iCs/>
          <w:color w:val="000000" w:themeColor="text1"/>
          <w:szCs w:val="22"/>
        </w:rPr>
        <w:t>transactions</w:t>
      </w:r>
      <w:r w:rsidR="00911F4C" w:rsidRPr="00D924F4">
        <w:rPr>
          <w:iCs/>
          <w:color w:val="000000" w:themeColor="text1"/>
          <w:szCs w:val="22"/>
        </w:rPr>
        <w:t xml:space="preserve"> that the SVO believes to be abusive</w:t>
      </w:r>
      <w:r w:rsidR="00FB5A62" w:rsidRPr="00D924F4">
        <w:rPr>
          <w:iCs/>
          <w:color w:val="000000" w:themeColor="text1"/>
          <w:szCs w:val="22"/>
        </w:rPr>
        <w:t>), which we understand is a main impetus of this project.</w:t>
      </w:r>
      <w:r w:rsidRPr="00D924F4">
        <w:rPr>
          <w:iCs/>
          <w:color w:val="000000" w:themeColor="text1"/>
          <w:szCs w:val="22"/>
        </w:rPr>
        <w:t xml:space="preserve">  </w:t>
      </w:r>
      <w:r w:rsidR="00FB5A62" w:rsidRPr="00D924F4">
        <w:rPr>
          <w:iCs/>
          <w:color w:val="000000" w:themeColor="text1"/>
          <w:szCs w:val="22"/>
        </w:rPr>
        <w:t xml:space="preserve">Interested </w:t>
      </w:r>
      <w:r w:rsidR="00A7432E">
        <w:rPr>
          <w:iCs/>
          <w:color w:val="000000" w:themeColor="text1"/>
          <w:szCs w:val="22"/>
        </w:rPr>
        <w:t>p</w:t>
      </w:r>
      <w:r w:rsidR="00FB5A62" w:rsidRPr="00D924F4">
        <w:rPr>
          <w:iCs/>
          <w:color w:val="000000" w:themeColor="text1"/>
          <w:szCs w:val="22"/>
        </w:rPr>
        <w:t>arties believe that e</w:t>
      </w:r>
      <w:r w:rsidRPr="00D924F4">
        <w:rPr>
          <w:iCs/>
          <w:color w:val="000000" w:themeColor="text1"/>
          <w:szCs w:val="22"/>
        </w:rPr>
        <w:t xml:space="preserve">ach group’s work product, SSAPs and </w:t>
      </w:r>
      <w:r w:rsidR="002D7C6A" w:rsidRPr="00D924F4">
        <w:rPr>
          <w:iCs/>
          <w:color w:val="000000" w:themeColor="text1"/>
          <w:szCs w:val="22"/>
        </w:rPr>
        <w:t>Purposes and Procedures Manual (</w:t>
      </w:r>
      <w:r w:rsidRPr="00D924F4">
        <w:rPr>
          <w:iCs/>
          <w:color w:val="000000" w:themeColor="text1"/>
          <w:szCs w:val="22"/>
        </w:rPr>
        <w:t>P&amp;P Manual</w:t>
      </w:r>
      <w:r w:rsidR="002D7C6A" w:rsidRPr="00D924F4">
        <w:rPr>
          <w:iCs/>
          <w:color w:val="000000" w:themeColor="text1"/>
          <w:szCs w:val="22"/>
        </w:rPr>
        <w:t>)</w:t>
      </w:r>
      <w:r w:rsidRPr="00D924F4">
        <w:rPr>
          <w:iCs/>
          <w:color w:val="000000" w:themeColor="text1"/>
          <w:szCs w:val="22"/>
        </w:rPr>
        <w:t xml:space="preserve">, respectively, should reflect only what is directly related to </w:t>
      </w:r>
      <w:r w:rsidR="00BD1C9F" w:rsidRPr="00D924F4">
        <w:rPr>
          <w:iCs/>
          <w:color w:val="000000" w:themeColor="text1"/>
          <w:szCs w:val="22"/>
        </w:rPr>
        <w:t>its</w:t>
      </w:r>
      <w:r w:rsidRPr="00D924F4">
        <w:rPr>
          <w:iCs/>
          <w:color w:val="000000" w:themeColor="text1"/>
          <w:szCs w:val="22"/>
        </w:rPr>
        <w:t xml:space="preserve"> specific mission and NAIC policy.</w:t>
      </w:r>
    </w:p>
    <w:p w14:paraId="1073D520" w14:textId="46C3F9BA" w:rsidR="00853C91" w:rsidRPr="00D924F4" w:rsidRDefault="00853C91" w:rsidP="002B1EAD">
      <w:pPr>
        <w:ind w:left="360"/>
        <w:jc w:val="both"/>
        <w:rPr>
          <w:iCs/>
          <w:color w:val="000000" w:themeColor="text1"/>
          <w:szCs w:val="22"/>
        </w:rPr>
      </w:pPr>
    </w:p>
    <w:p w14:paraId="6FA7B330" w14:textId="15548CCD" w:rsidR="00F65CAE" w:rsidRPr="00D924F4" w:rsidRDefault="00F65CAE" w:rsidP="002B1EAD">
      <w:pPr>
        <w:ind w:left="360"/>
        <w:jc w:val="both"/>
        <w:rPr>
          <w:iCs/>
          <w:color w:val="000000" w:themeColor="text1"/>
          <w:szCs w:val="22"/>
        </w:rPr>
      </w:pPr>
      <w:r w:rsidRPr="00D924F4">
        <w:rPr>
          <w:iCs/>
          <w:color w:val="000000" w:themeColor="text1"/>
          <w:szCs w:val="22"/>
        </w:rPr>
        <w:t>The SVO</w:t>
      </w:r>
      <w:r w:rsidR="00AA4738" w:rsidRPr="00D924F4">
        <w:rPr>
          <w:iCs/>
          <w:color w:val="000000" w:themeColor="text1"/>
          <w:szCs w:val="22"/>
        </w:rPr>
        <w:t>’</w:t>
      </w:r>
      <w:r w:rsidRPr="00D924F4">
        <w:rPr>
          <w:iCs/>
          <w:color w:val="000000" w:themeColor="text1"/>
          <w:szCs w:val="22"/>
        </w:rPr>
        <w:t>s mandate should continue to be limited to assessment of credit risk</w:t>
      </w:r>
      <w:r w:rsidR="00E57642" w:rsidRPr="00D924F4">
        <w:rPr>
          <w:iCs/>
          <w:color w:val="000000" w:themeColor="text1"/>
          <w:szCs w:val="22"/>
        </w:rPr>
        <w:t xml:space="preserve">; </w:t>
      </w:r>
      <w:r w:rsidRPr="00D924F4">
        <w:rPr>
          <w:iCs/>
          <w:color w:val="000000" w:themeColor="text1"/>
          <w:szCs w:val="22"/>
        </w:rPr>
        <w:t>scope determination should continue to be the mandate of SAPWG</w:t>
      </w:r>
      <w:r w:rsidR="00E57642" w:rsidRPr="00D924F4">
        <w:rPr>
          <w:iCs/>
          <w:color w:val="000000" w:themeColor="text1"/>
          <w:szCs w:val="22"/>
        </w:rPr>
        <w:t>,</w:t>
      </w:r>
      <w:r w:rsidRPr="00D924F4">
        <w:rPr>
          <w:iCs/>
          <w:color w:val="000000" w:themeColor="text1"/>
          <w:szCs w:val="22"/>
        </w:rPr>
        <w:t xml:space="preserve"> unless a structural analysis has been delegated to the SVO where SAPWG has </w:t>
      </w:r>
      <w:r w:rsidR="00E57642" w:rsidRPr="00D924F4">
        <w:rPr>
          <w:iCs/>
          <w:color w:val="000000" w:themeColor="text1"/>
          <w:szCs w:val="22"/>
        </w:rPr>
        <w:t xml:space="preserve">already </w:t>
      </w:r>
      <w:r w:rsidRPr="00D924F4">
        <w:rPr>
          <w:iCs/>
          <w:color w:val="000000" w:themeColor="text1"/>
          <w:szCs w:val="22"/>
        </w:rPr>
        <w:t>determined scope (i.e., as with CTLs where the SVO determines if the security meets the SAPWG determined scope requirement).</w:t>
      </w:r>
      <w:r w:rsidR="0011199A" w:rsidRPr="00D924F4">
        <w:rPr>
          <w:iCs/>
          <w:color w:val="000000" w:themeColor="text1"/>
          <w:szCs w:val="22"/>
        </w:rPr>
        <w:t xml:space="preserve">  In this </w:t>
      </w:r>
      <w:r w:rsidR="001E72D9" w:rsidRPr="00D924F4">
        <w:rPr>
          <w:iCs/>
          <w:color w:val="000000" w:themeColor="text1"/>
          <w:szCs w:val="22"/>
        </w:rPr>
        <w:t>circumstance</w:t>
      </w:r>
      <w:r w:rsidR="0011199A" w:rsidRPr="00D924F4">
        <w:rPr>
          <w:iCs/>
          <w:color w:val="000000" w:themeColor="text1"/>
          <w:szCs w:val="22"/>
        </w:rPr>
        <w:t xml:space="preserve"> the SVO is enforcing a SAPWG decision as to scope but not determining scope.  SAPWG should determine scope and </w:t>
      </w:r>
      <w:r w:rsidR="00E57642" w:rsidRPr="00D924F4">
        <w:rPr>
          <w:iCs/>
          <w:color w:val="000000" w:themeColor="text1"/>
          <w:szCs w:val="22"/>
        </w:rPr>
        <w:t xml:space="preserve">the </w:t>
      </w:r>
      <w:r w:rsidR="0011199A" w:rsidRPr="00D924F4">
        <w:rPr>
          <w:iCs/>
          <w:color w:val="000000" w:themeColor="text1"/>
          <w:szCs w:val="22"/>
        </w:rPr>
        <w:t xml:space="preserve">SVO should be limited to </w:t>
      </w:r>
      <w:r w:rsidR="002D7C6A" w:rsidRPr="00D924F4">
        <w:rPr>
          <w:iCs/>
          <w:color w:val="000000" w:themeColor="text1"/>
          <w:szCs w:val="22"/>
        </w:rPr>
        <w:t>compliance with the defined</w:t>
      </w:r>
      <w:r w:rsidR="0011199A" w:rsidRPr="00D924F4">
        <w:rPr>
          <w:iCs/>
          <w:color w:val="000000" w:themeColor="text1"/>
          <w:szCs w:val="22"/>
        </w:rPr>
        <w:t xml:space="preserve"> scope.</w:t>
      </w:r>
    </w:p>
    <w:p w14:paraId="76EA24E1" w14:textId="77777777" w:rsidR="00F65CAE" w:rsidRPr="00D924F4" w:rsidRDefault="00F65CAE" w:rsidP="002B1EAD">
      <w:pPr>
        <w:ind w:left="360"/>
        <w:jc w:val="both"/>
        <w:rPr>
          <w:iCs/>
          <w:color w:val="000000" w:themeColor="text1"/>
          <w:szCs w:val="22"/>
        </w:rPr>
      </w:pPr>
    </w:p>
    <w:p w14:paraId="3E6A97DB" w14:textId="432C4CD2" w:rsidR="009E39C6" w:rsidRPr="00D924F4" w:rsidRDefault="00F65CAE" w:rsidP="002B1EAD">
      <w:pPr>
        <w:ind w:left="360"/>
        <w:jc w:val="both"/>
        <w:rPr>
          <w:iCs/>
          <w:szCs w:val="22"/>
        </w:rPr>
      </w:pPr>
      <w:bookmarkStart w:id="5" w:name="_Hlk46073716"/>
      <w:r w:rsidRPr="00D924F4">
        <w:rPr>
          <w:iCs/>
          <w:color w:val="000000" w:themeColor="text1"/>
          <w:szCs w:val="22"/>
        </w:rPr>
        <w:t>An additional</w:t>
      </w:r>
      <w:r w:rsidR="00853C91" w:rsidRPr="00D924F4">
        <w:rPr>
          <w:iCs/>
          <w:color w:val="000000" w:themeColor="text1"/>
          <w:szCs w:val="22"/>
        </w:rPr>
        <w:t xml:space="preserve"> area where such interaction</w:t>
      </w:r>
      <w:r w:rsidR="009E39C6" w:rsidRPr="00D924F4">
        <w:rPr>
          <w:iCs/>
          <w:color w:val="000000" w:themeColor="text1"/>
          <w:szCs w:val="22"/>
        </w:rPr>
        <w:t xml:space="preserve"> would be beneficial, and </w:t>
      </w:r>
      <w:r w:rsidR="00853C91" w:rsidRPr="00D924F4">
        <w:rPr>
          <w:iCs/>
          <w:color w:val="000000" w:themeColor="text1"/>
          <w:szCs w:val="22"/>
        </w:rPr>
        <w:t xml:space="preserve">that </w:t>
      </w:r>
      <w:r w:rsidR="00A7432E">
        <w:rPr>
          <w:iCs/>
          <w:color w:val="000000" w:themeColor="text1"/>
          <w:szCs w:val="22"/>
        </w:rPr>
        <w:t>i</w:t>
      </w:r>
      <w:r w:rsidR="001E72D9" w:rsidRPr="00D924F4">
        <w:rPr>
          <w:iCs/>
          <w:color w:val="000000" w:themeColor="text1"/>
          <w:szCs w:val="22"/>
        </w:rPr>
        <w:t xml:space="preserve">nterested </w:t>
      </w:r>
      <w:r w:rsidR="00A7432E">
        <w:rPr>
          <w:iCs/>
          <w:color w:val="000000" w:themeColor="text1"/>
          <w:szCs w:val="22"/>
        </w:rPr>
        <w:t>p</w:t>
      </w:r>
      <w:r w:rsidR="001E72D9" w:rsidRPr="00D924F4">
        <w:rPr>
          <w:iCs/>
          <w:color w:val="000000" w:themeColor="text1"/>
          <w:szCs w:val="22"/>
        </w:rPr>
        <w:t>arties</w:t>
      </w:r>
      <w:r w:rsidR="00853C91" w:rsidRPr="00D924F4">
        <w:rPr>
          <w:iCs/>
          <w:color w:val="000000" w:themeColor="text1"/>
          <w:szCs w:val="22"/>
        </w:rPr>
        <w:t xml:space="preserve"> would like to specifically address</w:t>
      </w:r>
      <w:r w:rsidR="009E39C6" w:rsidRPr="00D924F4">
        <w:rPr>
          <w:iCs/>
          <w:color w:val="000000" w:themeColor="text1"/>
          <w:szCs w:val="22"/>
        </w:rPr>
        <w:t>,</w:t>
      </w:r>
      <w:r w:rsidR="00853C91" w:rsidRPr="00D924F4">
        <w:rPr>
          <w:iCs/>
          <w:color w:val="000000" w:themeColor="text1"/>
          <w:szCs w:val="22"/>
        </w:rPr>
        <w:t xml:space="preserve"> is related to affiliated transactions.</w:t>
      </w:r>
      <w:r w:rsidR="000F7478" w:rsidRPr="00D924F4">
        <w:rPr>
          <w:iCs/>
          <w:color w:val="000000" w:themeColor="text1"/>
          <w:szCs w:val="22"/>
        </w:rPr>
        <w:t xml:space="preserve">  </w:t>
      </w:r>
      <w:r w:rsidR="0011199A" w:rsidRPr="00D924F4">
        <w:rPr>
          <w:iCs/>
          <w:color w:val="000000" w:themeColor="text1"/>
          <w:szCs w:val="22"/>
        </w:rPr>
        <w:t xml:space="preserve">This seems to be an area of shared concern for regulators, </w:t>
      </w:r>
      <w:r w:rsidR="00BD1C9F" w:rsidRPr="00D924F4">
        <w:rPr>
          <w:iCs/>
          <w:color w:val="000000" w:themeColor="text1"/>
          <w:szCs w:val="22"/>
        </w:rPr>
        <w:t xml:space="preserve">the </w:t>
      </w:r>
      <w:r w:rsidR="0011199A" w:rsidRPr="00D924F4">
        <w:rPr>
          <w:iCs/>
          <w:color w:val="000000" w:themeColor="text1"/>
          <w:szCs w:val="22"/>
        </w:rPr>
        <w:t>SVO, and NAIC staff</w:t>
      </w:r>
      <w:r w:rsidR="00BD1C9F" w:rsidRPr="00D924F4">
        <w:rPr>
          <w:iCs/>
          <w:color w:val="000000" w:themeColor="text1"/>
          <w:szCs w:val="22"/>
        </w:rPr>
        <w:t>.</w:t>
      </w:r>
      <w:r w:rsidR="0011199A" w:rsidRPr="00D924F4">
        <w:rPr>
          <w:iCs/>
          <w:color w:val="000000" w:themeColor="text1"/>
          <w:szCs w:val="22"/>
        </w:rPr>
        <w:t xml:space="preserve"> </w:t>
      </w:r>
      <w:r w:rsidR="00BD1C9F" w:rsidRPr="00D924F4">
        <w:rPr>
          <w:iCs/>
          <w:color w:val="000000" w:themeColor="text1"/>
          <w:szCs w:val="22"/>
        </w:rPr>
        <w:t xml:space="preserve">  </w:t>
      </w:r>
      <w:r w:rsidR="00846E69" w:rsidRPr="00D924F4">
        <w:rPr>
          <w:iCs/>
          <w:color w:val="000000" w:themeColor="text1"/>
          <w:szCs w:val="22"/>
        </w:rPr>
        <w:t>I</w:t>
      </w:r>
      <w:r w:rsidR="0011199A" w:rsidRPr="00D924F4">
        <w:rPr>
          <w:iCs/>
          <w:color w:val="000000" w:themeColor="text1"/>
          <w:szCs w:val="22"/>
        </w:rPr>
        <w:t xml:space="preserve">nterested </w:t>
      </w:r>
      <w:r w:rsidR="00A7432E">
        <w:rPr>
          <w:iCs/>
          <w:color w:val="000000" w:themeColor="text1"/>
          <w:szCs w:val="22"/>
        </w:rPr>
        <w:t>p</w:t>
      </w:r>
      <w:r w:rsidR="0011199A" w:rsidRPr="00D924F4">
        <w:rPr>
          <w:iCs/>
          <w:color w:val="000000" w:themeColor="text1"/>
          <w:szCs w:val="22"/>
        </w:rPr>
        <w:t xml:space="preserve">arties agree </w:t>
      </w:r>
      <w:r w:rsidR="005C2A6C" w:rsidRPr="00D924F4">
        <w:rPr>
          <w:iCs/>
          <w:color w:val="000000" w:themeColor="text1"/>
          <w:szCs w:val="22"/>
        </w:rPr>
        <w:t>that such concerns</w:t>
      </w:r>
      <w:r w:rsidR="0011199A" w:rsidRPr="00D924F4">
        <w:rPr>
          <w:iCs/>
          <w:color w:val="000000" w:themeColor="text1"/>
          <w:szCs w:val="22"/>
        </w:rPr>
        <w:t xml:space="preserve"> should be addressed.  However, </w:t>
      </w:r>
      <w:r w:rsidR="0011199A" w:rsidRPr="00D924F4">
        <w:rPr>
          <w:iCs/>
          <w:szCs w:val="22"/>
        </w:rPr>
        <w:t xml:space="preserve">many sections of the </w:t>
      </w:r>
      <w:r w:rsidR="0090378A" w:rsidRPr="00D924F4">
        <w:rPr>
          <w:iCs/>
          <w:szCs w:val="22"/>
        </w:rPr>
        <w:t>I</w:t>
      </w:r>
      <w:r w:rsidR="0011199A" w:rsidRPr="00D924F4">
        <w:rPr>
          <w:iCs/>
          <w:szCs w:val="22"/>
        </w:rPr>
        <w:t xml:space="preserve">ssue </w:t>
      </w:r>
      <w:r w:rsidR="0090378A" w:rsidRPr="00D924F4">
        <w:rPr>
          <w:iCs/>
          <w:szCs w:val="22"/>
        </w:rPr>
        <w:t>P</w:t>
      </w:r>
      <w:r w:rsidR="0011199A" w:rsidRPr="00D924F4">
        <w:rPr>
          <w:iCs/>
          <w:szCs w:val="22"/>
        </w:rPr>
        <w:t>aper, where scope requirements are proposed,</w:t>
      </w:r>
      <w:r w:rsidR="00603F91" w:rsidRPr="00D924F4">
        <w:rPr>
          <w:iCs/>
          <w:szCs w:val="22"/>
        </w:rPr>
        <w:t xml:space="preserve"> instead</w:t>
      </w:r>
      <w:r w:rsidR="006078BA" w:rsidRPr="00D924F4">
        <w:rPr>
          <w:iCs/>
          <w:szCs w:val="22"/>
        </w:rPr>
        <w:t xml:space="preserve"> appear to be</w:t>
      </w:r>
      <w:r w:rsidR="00603F91" w:rsidRPr="00D924F4">
        <w:rPr>
          <w:iCs/>
          <w:szCs w:val="22"/>
        </w:rPr>
        <w:t xml:space="preserve"> addressing</w:t>
      </w:r>
      <w:r w:rsidR="0011199A" w:rsidRPr="00D924F4">
        <w:rPr>
          <w:iCs/>
          <w:szCs w:val="22"/>
        </w:rPr>
        <w:t xml:space="preserve"> affiliated transaction concerns</w:t>
      </w:r>
      <w:r w:rsidR="00D20A3C" w:rsidRPr="00D924F4">
        <w:rPr>
          <w:iCs/>
          <w:szCs w:val="22"/>
        </w:rPr>
        <w:t xml:space="preserve"> - </w:t>
      </w:r>
      <w:r w:rsidR="0011199A" w:rsidRPr="00D924F4">
        <w:rPr>
          <w:iCs/>
          <w:szCs w:val="22"/>
        </w:rPr>
        <w:t>i.e., 1) single obligor asset back</w:t>
      </w:r>
      <w:r w:rsidR="00846E69" w:rsidRPr="00D924F4">
        <w:rPr>
          <w:iCs/>
          <w:szCs w:val="22"/>
        </w:rPr>
        <w:t>ed</w:t>
      </w:r>
      <w:r w:rsidR="0011199A" w:rsidRPr="00D924F4">
        <w:rPr>
          <w:iCs/>
          <w:szCs w:val="22"/>
        </w:rPr>
        <w:t xml:space="preserve"> securities</w:t>
      </w:r>
      <w:r w:rsidR="006078BA" w:rsidRPr="00D924F4">
        <w:rPr>
          <w:iCs/>
          <w:szCs w:val="22"/>
        </w:rPr>
        <w:t xml:space="preserve"> or whether it is “common” or “broadly syndicated”</w:t>
      </w:r>
      <w:r w:rsidR="0011199A" w:rsidRPr="00D924F4">
        <w:rPr>
          <w:iCs/>
          <w:szCs w:val="22"/>
        </w:rPr>
        <w:t xml:space="preserve"> and 2) </w:t>
      </w:r>
      <w:r w:rsidR="0011199A" w:rsidRPr="00D924F4">
        <w:rPr>
          <w:szCs w:val="22"/>
        </w:rPr>
        <w:t xml:space="preserve">transactions </w:t>
      </w:r>
      <w:r w:rsidR="005C2A6C" w:rsidRPr="00D924F4">
        <w:rPr>
          <w:szCs w:val="22"/>
        </w:rPr>
        <w:t>where Schedule BA assets are converted to Schedule D Bonds</w:t>
      </w:r>
      <w:r w:rsidR="00BD1C9F" w:rsidRPr="00D924F4">
        <w:rPr>
          <w:szCs w:val="22"/>
        </w:rPr>
        <w:t xml:space="preserve">, </w:t>
      </w:r>
      <w:r w:rsidR="0011199A" w:rsidRPr="00D924F4">
        <w:rPr>
          <w:szCs w:val="22"/>
        </w:rPr>
        <w:t xml:space="preserve">mostly in the context of </w:t>
      </w:r>
      <w:r w:rsidR="00EE4C1E" w:rsidRPr="00D924F4">
        <w:rPr>
          <w:szCs w:val="22"/>
        </w:rPr>
        <w:t xml:space="preserve">certain </w:t>
      </w:r>
      <w:r w:rsidR="0011199A" w:rsidRPr="00D924F4">
        <w:rPr>
          <w:szCs w:val="22"/>
        </w:rPr>
        <w:t>CFO-type transactions</w:t>
      </w:r>
      <w:r w:rsidR="00BD1C9F" w:rsidRPr="00D924F4">
        <w:rPr>
          <w:szCs w:val="22"/>
        </w:rPr>
        <w:t>,</w:t>
      </w:r>
      <w:r w:rsidR="00E57642" w:rsidRPr="00D924F4">
        <w:rPr>
          <w:szCs w:val="22"/>
        </w:rPr>
        <w:t xml:space="preserve"> but do not meet sale criteria and could result in RBC arbitrage</w:t>
      </w:r>
      <w:r w:rsidR="0011199A" w:rsidRPr="00D924F4">
        <w:rPr>
          <w:szCs w:val="22"/>
        </w:rPr>
        <w:t>.  This makes the proposed principles unworkable</w:t>
      </w:r>
      <w:r w:rsidR="005C2A6C" w:rsidRPr="00D924F4">
        <w:rPr>
          <w:szCs w:val="22"/>
        </w:rPr>
        <w:t xml:space="preserve"> and appears to be inadvertently pejorative toward all CFO-type transactions</w:t>
      </w:r>
      <w:r w:rsidR="009E39C6" w:rsidRPr="00D924F4">
        <w:rPr>
          <w:iCs/>
          <w:color w:val="000000" w:themeColor="text1"/>
          <w:szCs w:val="22"/>
        </w:rPr>
        <w:t xml:space="preserve"> (e.g., </w:t>
      </w:r>
      <w:r w:rsidR="002D7C6A" w:rsidRPr="00D924F4">
        <w:rPr>
          <w:iCs/>
          <w:color w:val="000000" w:themeColor="text1"/>
          <w:szCs w:val="22"/>
        </w:rPr>
        <w:t>CEF</w:t>
      </w:r>
      <w:r w:rsidR="009E39C6" w:rsidRPr="00D924F4">
        <w:rPr>
          <w:iCs/>
          <w:color w:val="000000" w:themeColor="text1"/>
          <w:szCs w:val="22"/>
        </w:rPr>
        <w:t xml:space="preserve"> Debt and similar structures)</w:t>
      </w:r>
      <w:r w:rsidR="005C2A6C" w:rsidRPr="00D924F4">
        <w:rPr>
          <w:iCs/>
          <w:color w:val="000000" w:themeColor="text1"/>
          <w:szCs w:val="22"/>
        </w:rPr>
        <w:t xml:space="preserve"> that </w:t>
      </w:r>
      <w:r w:rsidR="00A7432E">
        <w:rPr>
          <w:iCs/>
          <w:color w:val="000000" w:themeColor="text1"/>
          <w:szCs w:val="22"/>
        </w:rPr>
        <w:t>i</w:t>
      </w:r>
      <w:r w:rsidR="005C2A6C" w:rsidRPr="00D924F4">
        <w:rPr>
          <w:iCs/>
          <w:color w:val="000000" w:themeColor="text1"/>
          <w:szCs w:val="22"/>
        </w:rPr>
        <w:t xml:space="preserve">nterested </w:t>
      </w:r>
      <w:r w:rsidR="00A7432E">
        <w:rPr>
          <w:iCs/>
          <w:color w:val="000000" w:themeColor="text1"/>
          <w:szCs w:val="22"/>
        </w:rPr>
        <w:t>p</w:t>
      </w:r>
      <w:r w:rsidR="005C2A6C" w:rsidRPr="00D924F4">
        <w:rPr>
          <w:iCs/>
          <w:color w:val="000000" w:themeColor="text1"/>
          <w:szCs w:val="22"/>
        </w:rPr>
        <w:t>arties believe</w:t>
      </w:r>
      <w:r w:rsidR="00AA526B" w:rsidRPr="00D924F4">
        <w:rPr>
          <w:iCs/>
          <w:color w:val="000000" w:themeColor="text1"/>
          <w:szCs w:val="22"/>
        </w:rPr>
        <w:t>, and we understand</w:t>
      </w:r>
      <w:r w:rsidR="00BE6E82" w:rsidRPr="00D924F4">
        <w:rPr>
          <w:iCs/>
          <w:color w:val="000000" w:themeColor="text1"/>
          <w:szCs w:val="22"/>
        </w:rPr>
        <w:t xml:space="preserve"> many</w:t>
      </w:r>
      <w:r w:rsidR="00AA526B" w:rsidRPr="00D924F4">
        <w:rPr>
          <w:iCs/>
          <w:color w:val="000000" w:themeColor="text1"/>
          <w:szCs w:val="22"/>
        </w:rPr>
        <w:t xml:space="preserve"> regulators believe,</w:t>
      </w:r>
      <w:r w:rsidR="005C2A6C" w:rsidRPr="00D924F4">
        <w:rPr>
          <w:iCs/>
          <w:color w:val="000000" w:themeColor="text1"/>
          <w:szCs w:val="22"/>
        </w:rPr>
        <w:t xml:space="preserve"> are unequivocally</w:t>
      </w:r>
      <w:r w:rsidR="002D7C6A" w:rsidRPr="00D924F4">
        <w:rPr>
          <w:iCs/>
          <w:color w:val="000000" w:themeColor="text1"/>
          <w:szCs w:val="22"/>
        </w:rPr>
        <w:t xml:space="preserve"> investments that should be accounted for as bonds and reported on</w:t>
      </w:r>
      <w:r w:rsidR="005C2A6C" w:rsidRPr="00D924F4">
        <w:rPr>
          <w:iCs/>
          <w:color w:val="000000" w:themeColor="text1"/>
          <w:szCs w:val="22"/>
        </w:rPr>
        <w:t xml:space="preserve"> </w:t>
      </w:r>
      <w:r w:rsidR="00E57642" w:rsidRPr="00D924F4">
        <w:rPr>
          <w:iCs/>
          <w:color w:val="000000" w:themeColor="text1"/>
          <w:szCs w:val="22"/>
        </w:rPr>
        <w:t>S</w:t>
      </w:r>
      <w:r w:rsidR="005C2A6C" w:rsidRPr="00D924F4">
        <w:rPr>
          <w:iCs/>
          <w:color w:val="000000" w:themeColor="text1"/>
          <w:szCs w:val="22"/>
        </w:rPr>
        <w:t>chedule D</w:t>
      </w:r>
      <w:r w:rsidR="009E39C6" w:rsidRPr="00D924F4">
        <w:rPr>
          <w:iCs/>
          <w:color w:val="000000" w:themeColor="text1"/>
          <w:szCs w:val="22"/>
        </w:rPr>
        <w:t xml:space="preserve">.  </w:t>
      </w:r>
    </w:p>
    <w:p w14:paraId="4FAC0D47" w14:textId="16863C1B" w:rsidR="005C2A6C" w:rsidRPr="00D924F4" w:rsidRDefault="005C2A6C" w:rsidP="002B1EAD">
      <w:pPr>
        <w:ind w:left="360"/>
        <w:jc w:val="both"/>
        <w:rPr>
          <w:iCs/>
          <w:color w:val="000000" w:themeColor="text1"/>
          <w:szCs w:val="22"/>
        </w:rPr>
      </w:pPr>
    </w:p>
    <w:p w14:paraId="36BC8D15" w14:textId="71B6B325" w:rsidR="005C2A6C" w:rsidRPr="00D924F4" w:rsidRDefault="005C2A6C" w:rsidP="002B1EAD">
      <w:pPr>
        <w:ind w:left="360"/>
        <w:jc w:val="both"/>
        <w:rPr>
          <w:iCs/>
          <w:color w:val="000000" w:themeColor="text1"/>
          <w:szCs w:val="22"/>
        </w:rPr>
      </w:pPr>
      <w:r w:rsidRPr="00D924F4">
        <w:rPr>
          <w:iCs/>
          <w:color w:val="000000" w:themeColor="text1"/>
          <w:szCs w:val="22"/>
        </w:rPr>
        <w:t xml:space="preserve">Rather than commingling affiliated transaction concerns with scope, </w:t>
      </w:r>
      <w:r w:rsidR="00A7432E">
        <w:rPr>
          <w:iCs/>
          <w:color w:val="000000" w:themeColor="text1"/>
          <w:szCs w:val="22"/>
        </w:rPr>
        <w:t>i</w:t>
      </w:r>
      <w:r w:rsidRPr="00D924F4">
        <w:rPr>
          <w:iCs/>
          <w:color w:val="000000" w:themeColor="text1"/>
          <w:szCs w:val="22"/>
        </w:rPr>
        <w:t xml:space="preserve">nterested </w:t>
      </w:r>
      <w:r w:rsidR="00A7432E">
        <w:rPr>
          <w:iCs/>
          <w:color w:val="000000" w:themeColor="text1"/>
          <w:szCs w:val="22"/>
        </w:rPr>
        <w:t>p</w:t>
      </w:r>
      <w:r w:rsidRPr="00D924F4">
        <w:rPr>
          <w:iCs/>
          <w:color w:val="000000" w:themeColor="text1"/>
          <w:szCs w:val="22"/>
        </w:rPr>
        <w:t xml:space="preserve">arties believe these concerns are already addressed (or will be addressed) as follows: </w:t>
      </w:r>
    </w:p>
    <w:p w14:paraId="20E9224F" w14:textId="77777777" w:rsidR="005C2A6C" w:rsidRPr="00D924F4" w:rsidRDefault="005C2A6C" w:rsidP="002B1EAD">
      <w:pPr>
        <w:pStyle w:val="ListParagraph"/>
        <w:ind w:left="1080"/>
        <w:jc w:val="both"/>
        <w:rPr>
          <w:szCs w:val="22"/>
        </w:rPr>
      </w:pPr>
    </w:p>
    <w:p w14:paraId="6D6BC98A" w14:textId="166CBD90" w:rsidR="005C2A6C" w:rsidRPr="00D924F4" w:rsidRDefault="005C2A6C" w:rsidP="002B1EAD">
      <w:pPr>
        <w:pStyle w:val="ListParagraph"/>
        <w:numPr>
          <w:ilvl w:val="0"/>
          <w:numId w:val="34"/>
        </w:numPr>
        <w:jc w:val="both"/>
        <w:rPr>
          <w:szCs w:val="22"/>
        </w:rPr>
      </w:pPr>
      <w:r w:rsidRPr="00D924F4">
        <w:rPr>
          <w:szCs w:val="22"/>
        </w:rPr>
        <w:t xml:space="preserve">Part III of Section 17 </w:t>
      </w:r>
      <w:r w:rsidR="00846E69" w:rsidRPr="00D924F4">
        <w:rPr>
          <w:szCs w:val="22"/>
        </w:rPr>
        <w:t xml:space="preserve">of the P&amp;P Manual </w:t>
      </w:r>
      <w:r w:rsidRPr="00D924F4">
        <w:rPr>
          <w:szCs w:val="22"/>
        </w:rPr>
        <w:t xml:space="preserve">already requires the filing of all </w:t>
      </w:r>
      <w:r w:rsidR="002D7C6A" w:rsidRPr="00D924F4">
        <w:rPr>
          <w:szCs w:val="22"/>
        </w:rPr>
        <w:t>investments in Subsidiary, Controlled and Affiliated (SCA) entities</w:t>
      </w:r>
      <w:r w:rsidRPr="00D924F4">
        <w:rPr>
          <w:szCs w:val="22"/>
        </w:rPr>
        <w:t xml:space="preserve"> – “SCA investments are transactions between insurance company affiliates (called related parties) that are subject to special regulatory considerations identified in </w:t>
      </w:r>
      <w:r w:rsidRPr="00D924F4">
        <w:rPr>
          <w:i/>
          <w:iCs/>
          <w:szCs w:val="22"/>
        </w:rPr>
        <w:t>SSAP No. 25—Affiliates and Other Related Parties</w:t>
      </w:r>
      <w:r w:rsidRPr="00D924F4">
        <w:rPr>
          <w:szCs w:val="22"/>
        </w:rPr>
        <w:t>. This Manual specifies that such transactions are not subject to filing exemption and can only be assigned an NAIC Designation if the SVO has first concluded that the transaction is like those the SVO typically assesses for credit risk.”</w:t>
      </w:r>
      <w:r w:rsidR="00B867BE" w:rsidRPr="00D924F4">
        <w:rPr>
          <w:szCs w:val="22"/>
        </w:rPr>
        <w:t xml:space="preserve">  This determination should be (and is) being done with cooperation of the SVO, the insurance company, and </w:t>
      </w:r>
      <w:r w:rsidR="00E224FB" w:rsidRPr="00D924F4">
        <w:rPr>
          <w:szCs w:val="22"/>
        </w:rPr>
        <w:t xml:space="preserve">the </w:t>
      </w:r>
      <w:r w:rsidR="00B867BE" w:rsidRPr="00D924F4">
        <w:rPr>
          <w:szCs w:val="22"/>
        </w:rPr>
        <w:t>applicable regulator.</w:t>
      </w:r>
    </w:p>
    <w:p w14:paraId="76EDBF36" w14:textId="133CD65C" w:rsidR="00891650" w:rsidRPr="00D924F4" w:rsidRDefault="00891650" w:rsidP="002B1EAD">
      <w:pPr>
        <w:jc w:val="both"/>
        <w:rPr>
          <w:szCs w:val="22"/>
        </w:rPr>
      </w:pPr>
    </w:p>
    <w:p w14:paraId="74E8A83D" w14:textId="4728A2E3" w:rsidR="00891650" w:rsidRPr="00D924F4" w:rsidRDefault="00891650" w:rsidP="002B1EAD">
      <w:pPr>
        <w:pStyle w:val="ListParagraph"/>
        <w:ind w:left="1080"/>
        <w:jc w:val="both"/>
        <w:rPr>
          <w:szCs w:val="22"/>
        </w:rPr>
      </w:pPr>
      <w:bookmarkStart w:id="6" w:name="_Hlk45618829"/>
      <w:r w:rsidRPr="00D924F4">
        <w:rPr>
          <w:szCs w:val="22"/>
        </w:rPr>
        <w:t xml:space="preserve">If this part of the P&amp;P Manual does not include all types of affiliated transactions that are of concern (i.e., affiliated transactions are a subset of related parties), </w:t>
      </w:r>
      <w:r w:rsidR="00A7432E">
        <w:rPr>
          <w:szCs w:val="22"/>
        </w:rPr>
        <w:t>i</w:t>
      </w:r>
      <w:r w:rsidRPr="00D924F4">
        <w:rPr>
          <w:szCs w:val="22"/>
        </w:rPr>
        <w:t xml:space="preserve">nterested </w:t>
      </w:r>
      <w:r w:rsidR="00A7432E">
        <w:rPr>
          <w:szCs w:val="22"/>
        </w:rPr>
        <w:t>p</w:t>
      </w:r>
      <w:r w:rsidRPr="00D924F4">
        <w:rPr>
          <w:szCs w:val="22"/>
        </w:rPr>
        <w:t xml:space="preserve">arties believe this should be addressed separately, rather than commingling the concern in SSAP No. 43R’s scope determination.  More specifically, </w:t>
      </w:r>
      <w:r w:rsidR="00A7432E">
        <w:rPr>
          <w:szCs w:val="22"/>
        </w:rPr>
        <w:t>i</w:t>
      </w:r>
      <w:r w:rsidRPr="00D924F4">
        <w:rPr>
          <w:szCs w:val="22"/>
        </w:rPr>
        <w:t xml:space="preserve">nterested </w:t>
      </w:r>
      <w:r w:rsidR="00A7432E">
        <w:rPr>
          <w:szCs w:val="22"/>
        </w:rPr>
        <w:t>p</w:t>
      </w:r>
      <w:r w:rsidRPr="00D924F4">
        <w:rPr>
          <w:szCs w:val="22"/>
        </w:rPr>
        <w:t>arties note that the SVO’s concurrently exposed project on Bespoke Securities also raises concerns on affiliated and related party transactions.</w:t>
      </w:r>
      <w:bookmarkEnd w:id="6"/>
    </w:p>
    <w:p w14:paraId="1D717682" w14:textId="24DC1971" w:rsidR="00B867BE" w:rsidRPr="00D924F4" w:rsidRDefault="00B867BE" w:rsidP="002B1EAD">
      <w:pPr>
        <w:jc w:val="both"/>
        <w:rPr>
          <w:szCs w:val="22"/>
        </w:rPr>
      </w:pPr>
    </w:p>
    <w:p w14:paraId="2AC8D114" w14:textId="3FCA1A30" w:rsidR="00B867BE" w:rsidRPr="00D924F4" w:rsidRDefault="00B867BE" w:rsidP="002B1EAD">
      <w:pPr>
        <w:pStyle w:val="ListParagraph"/>
        <w:ind w:left="1080"/>
        <w:jc w:val="both"/>
        <w:rPr>
          <w:szCs w:val="22"/>
        </w:rPr>
      </w:pPr>
      <w:r w:rsidRPr="00D924F4">
        <w:rPr>
          <w:szCs w:val="22"/>
        </w:rPr>
        <w:t xml:space="preserve">Interested </w:t>
      </w:r>
      <w:r w:rsidR="00A7432E">
        <w:rPr>
          <w:szCs w:val="22"/>
        </w:rPr>
        <w:t>p</w:t>
      </w:r>
      <w:r w:rsidRPr="00D924F4">
        <w:rPr>
          <w:szCs w:val="22"/>
        </w:rPr>
        <w:t>arties also believe certain additional clarifications are warranted.  For example,</w:t>
      </w:r>
      <w:r w:rsidR="00EB2C8B" w:rsidRPr="00D924F4">
        <w:rPr>
          <w:szCs w:val="22"/>
        </w:rPr>
        <w:t xml:space="preserve"> per the guidance in Reference No. 2019-03,</w:t>
      </w:r>
      <w:r w:rsidRPr="00D924F4">
        <w:rPr>
          <w:szCs w:val="22"/>
        </w:rPr>
        <w:t xml:space="preserve"> many </w:t>
      </w:r>
      <w:r w:rsidR="00A7432E">
        <w:rPr>
          <w:szCs w:val="22"/>
        </w:rPr>
        <w:t>i</w:t>
      </w:r>
      <w:r w:rsidRPr="00D924F4">
        <w:rPr>
          <w:szCs w:val="22"/>
        </w:rPr>
        <w:t xml:space="preserve">nterested </w:t>
      </w:r>
      <w:r w:rsidR="00A7432E">
        <w:rPr>
          <w:szCs w:val="22"/>
        </w:rPr>
        <w:t>p</w:t>
      </w:r>
      <w:r w:rsidRPr="00D924F4">
        <w:rPr>
          <w:szCs w:val="22"/>
        </w:rPr>
        <w:t xml:space="preserve">arties believe SCA </w:t>
      </w:r>
      <w:r w:rsidR="00E224FB" w:rsidRPr="00D924F4">
        <w:rPr>
          <w:szCs w:val="22"/>
        </w:rPr>
        <w:t xml:space="preserve">transactions </w:t>
      </w:r>
      <w:r w:rsidRPr="00D924F4">
        <w:rPr>
          <w:szCs w:val="22"/>
        </w:rPr>
        <w:t xml:space="preserve">do not cover securities, where an insurer </w:t>
      </w:r>
      <w:r w:rsidR="00824421" w:rsidRPr="00D924F4">
        <w:rPr>
          <w:szCs w:val="22"/>
        </w:rPr>
        <w:t>or one of its subsidiaries</w:t>
      </w:r>
      <w:r w:rsidR="00BE6E82" w:rsidRPr="00D924F4">
        <w:rPr>
          <w:szCs w:val="22"/>
        </w:rPr>
        <w:t xml:space="preserve"> </w:t>
      </w:r>
      <w:r w:rsidRPr="00D924F4">
        <w:rPr>
          <w:szCs w:val="22"/>
        </w:rPr>
        <w:t>sponsors</w:t>
      </w:r>
      <w:r w:rsidR="00E224FB" w:rsidRPr="00D924F4">
        <w:rPr>
          <w:szCs w:val="22"/>
        </w:rPr>
        <w:t xml:space="preserve"> </w:t>
      </w:r>
      <w:r w:rsidRPr="00D924F4">
        <w:rPr>
          <w:szCs w:val="22"/>
        </w:rPr>
        <w:t>a securitization</w:t>
      </w:r>
      <w:r w:rsidR="00824421" w:rsidRPr="00D924F4">
        <w:rPr>
          <w:szCs w:val="22"/>
        </w:rPr>
        <w:t xml:space="preserve"> and the insurer purchases some of the tranches of that securitization,</w:t>
      </w:r>
      <w:r w:rsidRPr="00D924F4">
        <w:rPr>
          <w:szCs w:val="22"/>
        </w:rPr>
        <w:t xml:space="preserve"> </w:t>
      </w:r>
      <w:r w:rsidR="00BD1C9F" w:rsidRPr="00D924F4">
        <w:rPr>
          <w:szCs w:val="22"/>
        </w:rPr>
        <w:t xml:space="preserve">and </w:t>
      </w:r>
      <w:r w:rsidRPr="00D924F4">
        <w:rPr>
          <w:szCs w:val="22"/>
        </w:rPr>
        <w:t>where the securitized assets are non-affiliated assets.</w:t>
      </w:r>
      <w:r w:rsidR="00E224FB" w:rsidRPr="00D924F4">
        <w:rPr>
          <w:szCs w:val="22"/>
        </w:rPr>
        <w:t xml:space="preserve">  Interested </w:t>
      </w:r>
      <w:r w:rsidR="00A7432E">
        <w:rPr>
          <w:szCs w:val="22"/>
        </w:rPr>
        <w:t>p</w:t>
      </w:r>
      <w:r w:rsidR="00E224FB" w:rsidRPr="00D924F4">
        <w:rPr>
          <w:szCs w:val="22"/>
        </w:rPr>
        <w:t>arties agree with this interpretation but a definitive clarifying determination may be needed.</w:t>
      </w:r>
    </w:p>
    <w:p w14:paraId="3B774508" w14:textId="69A02769" w:rsidR="00E224FB" w:rsidRPr="00D924F4" w:rsidRDefault="00E224FB" w:rsidP="002B1EAD">
      <w:pPr>
        <w:pStyle w:val="ListParagraph"/>
        <w:ind w:left="1080"/>
        <w:jc w:val="both"/>
        <w:rPr>
          <w:szCs w:val="22"/>
        </w:rPr>
      </w:pPr>
    </w:p>
    <w:p w14:paraId="4014C960" w14:textId="300EA5D3" w:rsidR="00E224FB" w:rsidRPr="00D924F4" w:rsidRDefault="00E224FB" w:rsidP="002B1EAD">
      <w:pPr>
        <w:pStyle w:val="ListParagraph"/>
        <w:ind w:left="1080"/>
        <w:jc w:val="both"/>
        <w:rPr>
          <w:szCs w:val="22"/>
        </w:rPr>
      </w:pPr>
      <w:r w:rsidRPr="00D924F4">
        <w:rPr>
          <w:szCs w:val="22"/>
        </w:rPr>
        <w:t xml:space="preserve">Lastly, both the 1933 </w:t>
      </w:r>
      <w:r w:rsidR="00D042AA" w:rsidRPr="00D924F4">
        <w:rPr>
          <w:szCs w:val="22"/>
        </w:rPr>
        <w:t xml:space="preserve">Act Definition </w:t>
      </w:r>
      <w:r w:rsidRPr="00D924F4">
        <w:rPr>
          <w:szCs w:val="22"/>
        </w:rPr>
        <w:t xml:space="preserve">and </w:t>
      </w:r>
      <w:r w:rsidR="00D042AA" w:rsidRPr="00D924F4">
        <w:rPr>
          <w:szCs w:val="22"/>
        </w:rPr>
        <w:t xml:space="preserve">the </w:t>
      </w:r>
      <w:r w:rsidRPr="00D924F4">
        <w:rPr>
          <w:szCs w:val="22"/>
        </w:rPr>
        <w:t>1934 Act Definition include single obligor ABS</w:t>
      </w:r>
      <w:r w:rsidR="00BE6E82" w:rsidRPr="00D924F4">
        <w:rPr>
          <w:szCs w:val="22"/>
        </w:rPr>
        <w:t xml:space="preserve"> within their scope</w:t>
      </w:r>
      <w:r w:rsidRPr="00D924F4">
        <w:rPr>
          <w:szCs w:val="22"/>
        </w:rPr>
        <w:t xml:space="preserve">, so there is no need to single them out in the exposure if the concerns are related to affiliated transactions as </w:t>
      </w:r>
      <w:r w:rsidR="006800D5" w:rsidRPr="00D924F4">
        <w:rPr>
          <w:szCs w:val="22"/>
        </w:rPr>
        <w:t>affiliated transactions</w:t>
      </w:r>
      <w:r w:rsidRPr="00D924F4">
        <w:rPr>
          <w:szCs w:val="22"/>
        </w:rPr>
        <w:t xml:space="preserve"> already need to be filed with the SV</w:t>
      </w:r>
      <w:r w:rsidR="00BE6E82" w:rsidRPr="00D924F4">
        <w:rPr>
          <w:szCs w:val="22"/>
        </w:rPr>
        <w:t>O.</w:t>
      </w:r>
    </w:p>
    <w:p w14:paraId="40B60EE0" w14:textId="77777777" w:rsidR="00AA526B" w:rsidRPr="00D924F4" w:rsidRDefault="00AA526B" w:rsidP="002B1EAD">
      <w:pPr>
        <w:jc w:val="both"/>
        <w:rPr>
          <w:szCs w:val="22"/>
        </w:rPr>
      </w:pPr>
    </w:p>
    <w:p w14:paraId="5B1F9789" w14:textId="26A62CE9" w:rsidR="005C2A6C" w:rsidRPr="00D924F4" w:rsidRDefault="005C2A6C" w:rsidP="002B1EAD">
      <w:pPr>
        <w:pStyle w:val="ListParagraph"/>
        <w:numPr>
          <w:ilvl w:val="0"/>
          <w:numId w:val="34"/>
        </w:numPr>
        <w:jc w:val="both"/>
        <w:rPr>
          <w:szCs w:val="22"/>
        </w:rPr>
      </w:pPr>
      <w:r w:rsidRPr="00D924F4">
        <w:rPr>
          <w:szCs w:val="22"/>
        </w:rPr>
        <w:t xml:space="preserve">As noted in Section 2 of </w:t>
      </w:r>
      <w:r w:rsidR="00EB2C8B" w:rsidRPr="00D924F4">
        <w:rPr>
          <w:szCs w:val="22"/>
        </w:rPr>
        <w:t>this</w:t>
      </w:r>
      <w:r w:rsidRPr="00D924F4">
        <w:rPr>
          <w:szCs w:val="22"/>
        </w:rPr>
        <w:t xml:space="preserve"> letter, </w:t>
      </w:r>
      <w:r w:rsidR="00A7432E">
        <w:rPr>
          <w:szCs w:val="22"/>
        </w:rPr>
        <w:t>i</w:t>
      </w:r>
      <w:r w:rsidRPr="00D924F4">
        <w:rPr>
          <w:szCs w:val="22"/>
        </w:rPr>
        <w:t xml:space="preserve">nterested </w:t>
      </w:r>
      <w:r w:rsidR="00A7432E">
        <w:rPr>
          <w:szCs w:val="22"/>
        </w:rPr>
        <w:t>p</w:t>
      </w:r>
      <w:r w:rsidRPr="00D924F4">
        <w:rPr>
          <w:szCs w:val="22"/>
        </w:rPr>
        <w:t>arties have provided clarifying guidance</w:t>
      </w:r>
      <w:r w:rsidRPr="00D924F4">
        <w:rPr>
          <w:rFonts w:eastAsiaTheme="minorHAnsi"/>
          <w:szCs w:val="22"/>
        </w:rPr>
        <w:t xml:space="preserve"> </w:t>
      </w:r>
      <w:r w:rsidR="00632E6B" w:rsidRPr="00D924F4">
        <w:rPr>
          <w:rFonts w:eastAsiaTheme="minorHAnsi"/>
          <w:szCs w:val="22"/>
        </w:rPr>
        <w:t>in our</w:t>
      </w:r>
      <w:r w:rsidR="00EB2C8B" w:rsidRPr="00D924F4">
        <w:rPr>
          <w:rFonts w:eastAsiaTheme="minorHAnsi"/>
          <w:szCs w:val="22"/>
        </w:rPr>
        <w:t xml:space="preserve"> October</w:t>
      </w:r>
      <w:r w:rsidR="00632E6B" w:rsidRPr="00D924F4">
        <w:rPr>
          <w:rFonts w:eastAsiaTheme="minorHAnsi"/>
          <w:szCs w:val="22"/>
        </w:rPr>
        <w:t xml:space="preserve"> 2019 comment letter </w:t>
      </w:r>
      <w:r w:rsidRPr="00D924F4">
        <w:rPr>
          <w:rFonts w:eastAsiaTheme="minorHAnsi"/>
          <w:szCs w:val="22"/>
        </w:rPr>
        <w:t>t</w:t>
      </w:r>
      <w:r w:rsidR="00EE4C1E" w:rsidRPr="00D924F4">
        <w:rPr>
          <w:rFonts w:eastAsiaTheme="minorHAnsi"/>
          <w:szCs w:val="22"/>
        </w:rPr>
        <w:t>hat</w:t>
      </w:r>
      <w:r w:rsidRPr="00D924F4">
        <w:rPr>
          <w:rFonts w:eastAsiaTheme="minorHAnsi"/>
          <w:szCs w:val="22"/>
        </w:rPr>
        <w:t xml:space="preserve"> prohibit</w:t>
      </w:r>
      <w:r w:rsidR="00EE4C1E" w:rsidRPr="00D924F4">
        <w:rPr>
          <w:rFonts w:eastAsiaTheme="minorHAnsi"/>
          <w:szCs w:val="22"/>
        </w:rPr>
        <w:t>s</w:t>
      </w:r>
      <w:r w:rsidRPr="00D924F4">
        <w:rPr>
          <w:rFonts w:eastAsiaTheme="minorHAnsi"/>
          <w:szCs w:val="22"/>
        </w:rPr>
        <w:t xml:space="preserve"> </w:t>
      </w:r>
      <w:r w:rsidR="00EE4C1E" w:rsidRPr="00D924F4">
        <w:rPr>
          <w:szCs w:val="22"/>
        </w:rPr>
        <w:t>moving assets from one schedule to another (e.g., from schedule BA to Schedule D), which could result in RBC arbitrage,</w:t>
      </w:r>
      <w:r w:rsidRPr="00D924F4">
        <w:rPr>
          <w:szCs w:val="22"/>
        </w:rPr>
        <w:t xml:space="preserve"> </w:t>
      </w:r>
      <w:r w:rsidR="00EB2C8B" w:rsidRPr="00D924F4">
        <w:rPr>
          <w:szCs w:val="22"/>
        </w:rPr>
        <w:t>if</w:t>
      </w:r>
      <w:r w:rsidR="00EE4C1E" w:rsidRPr="00D924F4">
        <w:rPr>
          <w:szCs w:val="22"/>
        </w:rPr>
        <w:t xml:space="preserve"> the </w:t>
      </w:r>
      <w:r w:rsidR="001919A0" w:rsidRPr="00D924F4">
        <w:rPr>
          <w:szCs w:val="22"/>
        </w:rPr>
        <w:t xml:space="preserve">transaction </w:t>
      </w:r>
      <w:r w:rsidRPr="00D924F4">
        <w:rPr>
          <w:szCs w:val="22"/>
        </w:rPr>
        <w:t>do</w:t>
      </w:r>
      <w:r w:rsidR="001919A0" w:rsidRPr="00D924F4">
        <w:rPr>
          <w:szCs w:val="22"/>
        </w:rPr>
        <w:t>es</w:t>
      </w:r>
      <w:r w:rsidRPr="00D924F4">
        <w:rPr>
          <w:szCs w:val="22"/>
        </w:rPr>
        <w:t xml:space="preserve"> not meet sale criteria.  Our conversations with NAIC staff suggest they agreed with these clarifications and that they would eliminate such </w:t>
      </w:r>
      <w:r w:rsidR="001919A0" w:rsidRPr="00D924F4">
        <w:rPr>
          <w:szCs w:val="22"/>
        </w:rPr>
        <w:t xml:space="preserve">perceived </w:t>
      </w:r>
      <w:r w:rsidRPr="00D924F4">
        <w:rPr>
          <w:szCs w:val="22"/>
        </w:rPr>
        <w:t>abuses.</w:t>
      </w:r>
    </w:p>
    <w:p w14:paraId="2278A10F" w14:textId="77777777" w:rsidR="00B867BE" w:rsidRPr="00D924F4" w:rsidRDefault="00B867BE" w:rsidP="002B1EAD">
      <w:pPr>
        <w:pStyle w:val="ListParagraph"/>
        <w:ind w:left="1080"/>
        <w:jc w:val="both"/>
        <w:rPr>
          <w:szCs w:val="22"/>
        </w:rPr>
      </w:pPr>
    </w:p>
    <w:p w14:paraId="66054BE4" w14:textId="1C9DE613" w:rsidR="005C2A6C" w:rsidRPr="00D924F4" w:rsidRDefault="005C2A6C" w:rsidP="002B1EAD">
      <w:pPr>
        <w:pStyle w:val="ListParagraph"/>
        <w:numPr>
          <w:ilvl w:val="0"/>
          <w:numId w:val="34"/>
        </w:numPr>
        <w:jc w:val="both"/>
        <w:rPr>
          <w:szCs w:val="22"/>
        </w:rPr>
      </w:pPr>
      <w:r w:rsidRPr="00D924F4">
        <w:rPr>
          <w:szCs w:val="22"/>
        </w:rPr>
        <w:t xml:space="preserve">Further, in response </w:t>
      </w:r>
      <w:r w:rsidR="00846E69" w:rsidRPr="00D924F4">
        <w:rPr>
          <w:szCs w:val="22"/>
        </w:rPr>
        <w:t xml:space="preserve">to </w:t>
      </w:r>
      <w:r w:rsidRPr="00D924F4">
        <w:rPr>
          <w:szCs w:val="22"/>
        </w:rPr>
        <w:t xml:space="preserve">“equity-related” structure concerns, we have suggested further safeguards to ensure only regulator supported CFOs such as </w:t>
      </w:r>
      <w:r w:rsidR="00EB2C8B" w:rsidRPr="00D924F4">
        <w:rPr>
          <w:szCs w:val="22"/>
        </w:rPr>
        <w:t>CEF</w:t>
      </w:r>
      <w:r w:rsidRPr="00D924F4">
        <w:rPr>
          <w:szCs w:val="22"/>
        </w:rPr>
        <w:t xml:space="preserve"> Debt, and similar CFO-type structures, are afforded</w:t>
      </w:r>
      <w:r w:rsidR="00EB2C8B" w:rsidRPr="00D924F4">
        <w:rPr>
          <w:szCs w:val="22"/>
        </w:rPr>
        <w:t xml:space="preserve"> bond accounting and</w:t>
      </w:r>
      <w:r w:rsidRPr="00D924F4">
        <w:rPr>
          <w:szCs w:val="22"/>
        </w:rPr>
        <w:t xml:space="preserve"> Schedule</w:t>
      </w:r>
      <w:r w:rsidR="00EB2C8B" w:rsidRPr="00D924F4">
        <w:rPr>
          <w:szCs w:val="22"/>
        </w:rPr>
        <w:t xml:space="preserve"> D reporting.</w:t>
      </w:r>
      <w:r w:rsidRPr="00D924F4">
        <w:rPr>
          <w:szCs w:val="22"/>
        </w:rPr>
        <w:t xml:space="preserve">  The full details can be found in Section</w:t>
      </w:r>
      <w:r w:rsidR="00D53D66" w:rsidRPr="00D924F4">
        <w:rPr>
          <w:szCs w:val="22"/>
        </w:rPr>
        <w:t>s</w:t>
      </w:r>
      <w:r w:rsidRPr="00D924F4">
        <w:rPr>
          <w:szCs w:val="22"/>
        </w:rPr>
        <w:t xml:space="preserve"> </w:t>
      </w:r>
      <w:r w:rsidR="00A16E54" w:rsidRPr="00D924F4">
        <w:rPr>
          <w:szCs w:val="22"/>
        </w:rPr>
        <w:t>5c</w:t>
      </w:r>
      <w:r w:rsidRPr="00D924F4">
        <w:rPr>
          <w:szCs w:val="22"/>
        </w:rPr>
        <w:t xml:space="preserve"> </w:t>
      </w:r>
      <w:r w:rsidR="00D53D66" w:rsidRPr="00D924F4">
        <w:rPr>
          <w:szCs w:val="22"/>
        </w:rPr>
        <w:t xml:space="preserve">and </w:t>
      </w:r>
      <w:r w:rsidR="00A16E54" w:rsidRPr="00D924F4">
        <w:rPr>
          <w:szCs w:val="22"/>
        </w:rPr>
        <w:t>5d</w:t>
      </w:r>
      <w:r w:rsidR="00D53D66" w:rsidRPr="00D924F4">
        <w:rPr>
          <w:szCs w:val="22"/>
        </w:rPr>
        <w:t xml:space="preserve"> </w:t>
      </w:r>
      <w:r w:rsidRPr="00D924F4">
        <w:rPr>
          <w:szCs w:val="22"/>
        </w:rPr>
        <w:t xml:space="preserve">of </w:t>
      </w:r>
      <w:r w:rsidR="00FF2ED2" w:rsidRPr="00D924F4">
        <w:rPr>
          <w:szCs w:val="22"/>
        </w:rPr>
        <w:t>this</w:t>
      </w:r>
      <w:r w:rsidRPr="00D924F4">
        <w:rPr>
          <w:szCs w:val="22"/>
        </w:rPr>
        <w:t xml:space="preserve"> letter. </w:t>
      </w:r>
    </w:p>
    <w:p w14:paraId="743D63F5" w14:textId="77777777" w:rsidR="005C2A6C" w:rsidRPr="00D924F4" w:rsidRDefault="005C2A6C" w:rsidP="002B1EAD">
      <w:pPr>
        <w:ind w:left="720"/>
        <w:jc w:val="both"/>
        <w:rPr>
          <w:szCs w:val="22"/>
        </w:rPr>
      </w:pPr>
    </w:p>
    <w:p w14:paraId="7230B10D" w14:textId="4A6247A4" w:rsidR="005C2A6C" w:rsidRPr="00D924F4" w:rsidRDefault="005C2A6C" w:rsidP="002B1EAD">
      <w:pPr>
        <w:ind w:left="360"/>
        <w:jc w:val="both"/>
        <w:rPr>
          <w:szCs w:val="22"/>
        </w:rPr>
      </w:pPr>
      <w:r w:rsidRPr="00D924F4">
        <w:rPr>
          <w:szCs w:val="22"/>
        </w:rPr>
        <w:t xml:space="preserve">If the above do not fully address the NAIC concerns, </w:t>
      </w:r>
      <w:r w:rsidR="00A7432E">
        <w:rPr>
          <w:szCs w:val="22"/>
        </w:rPr>
        <w:t>i</w:t>
      </w:r>
      <w:r w:rsidR="00AA526B" w:rsidRPr="00D924F4">
        <w:rPr>
          <w:szCs w:val="22"/>
        </w:rPr>
        <w:t xml:space="preserve">nterested </w:t>
      </w:r>
      <w:r w:rsidR="00A7432E">
        <w:rPr>
          <w:szCs w:val="22"/>
        </w:rPr>
        <w:t>p</w:t>
      </w:r>
      <w:r w:rsidR="00AA526B" w:rsidRPr="00D924F4">
        <w:rPr>
          <w:szCs w:val="22"/>
        </w:rPr>
        <w:t xml:space="preserve">arties request such additional concerns be more fully articulated so </w:t>
      </w:r>
      <w:r w:rsidR="00A7432E">
        <w:rPr>
          <w:szCs w:val="22"/>
        </w:rPr>
        <w:t>i</w:t>
      </w:r>
      <w:r w:rsidR="00AA526B" w:rsidRPr="00D924F4">
        <w:rPr>
          <w:szCs w:val="22"/>
        </w:rPr>
        <w:t xml:space="preserve">nterested </w:t>
      </w:r>
      <w:r w:rsidR="00A7432E">
        <w:rPr>
          <w:szCs w:val="22"/>
        </w:rPr>
        <w:t>p</w:t>
      </w:r>
      <w:r w:rsidR="00AA526B" w:rsidRPr="00D924F4">
        <w:rPr>
          <w:szCs w:val="22"/>
        </w:rPr>
        <w:t xml:space="preserve">arties can help address them.  </w:t>
      </w:r>
      <w:r w:rsidRPr="00D924F4">
        <w:rPr>
          <w:szCs w:val="22"/>
        </w:rPr>
        <w:t xml:space="preserve"> </w:t>
      </w:r>
      <w:r w:rsidR="00AA526B" w:rsidRPr="00D924F4">
        <w:rPr>
          <w:iCs/>
          <w:color w:val="000000" w:themeColor="text1"/>
          <w:szCs w:val="22"/>
        </w:rPr>
        <w:t>There are many valid reasons for affiliated transactions that benefit both insurance companies and policyholders and therefore</w:t>
      </w:r>
      <w:r w:rsidR="003B5A8D" w:rsidRPr="00D924F4">
        <w:rPr>
          <w:iCs/>
          <w:color w:val="000000" w:themeColor="text1"/>
          <w:szCs w:val="22"/>
        </w:rPr>
        <w:t xml:space="preserve"> </w:t>
      </w:r>
      <w:r w:rsidR="00AA526B" w:rsidRPr="00D924F4">
        <w:rPr>
          <w:iCs/>
          <w:color w:val="000000" w:themeColor="text1"/>
          <w:szCs w:val="22"/>
        </w:rPr>
        <w:t xml:space="preserve">regulators as well.  </w:t>
      </w:r>
      <w:r w:rsidR="00A7432E">
        <w:rPr>
          <w:iCs/>
          <w:color w:val="000000" w:themeColor="text1"/>
          <w:szCs w:val="22"/>
        </w:rPr>
        <w:t>T</w:t>
      </w:r>
      <w:r w:rsidR="00BD1C9F" w:rsidRPr="00D924F4">
        <w:rPr>
          <w:iCs/>
          <w:color w:val="000000" w:themeColor="text1"/>
          <w:szCs w:val="22"/>
        </w:rPr>
        <w:t xml:space="preserve">hat said, </w:t>
      </w:r>
      <w:r w:rsidR="00A7432E">
        <w:rPr>
          <w:iCs/>
          <w:color w:val="000000" w:themeColor="text1"/>
          <w:szCs w:val="22"/>
        </w:rPr>
        <w:t>i</w:t>
      </w:r>
      <w:r w:rsidR="00BD1C9F" w:rsidRPr="00D924F4">
        <w:rPr>
          <w:iCs/>
          <w:color w:val="000000" w:themeColor="text1"/>
          <w:szCs w:val="22"/>
        </w:rPr>
        <w:t xml:space="preserve">nterested </w:t>
      </w:r>
      <w:r w:rsidR="00A7432E">
        <w:rPr>
          <w:iCs/>
          <w:color w:val="000000" w:themeColor="text1"/>
          <w:szCs w:val="22"/>
        </w:rPr>
        <w:t>p</w:t>
      </w:r>
      <w:r w:rsidR="00BD1C9F" w:rsidRPr="00D924F4">
        <w:rPr>
          <w:iCs/>
          <w:color w:val="000000" w:themeColor="text1"/>
          <w:szCs w:val="22"/>
        </w:rPr>
        <w:t>arties understand the unique nature of affiliation transactions and regulators’ concerns that they can</w:t>
      </w:r>
      <w:r w:rsidR="00FD6181" w:rsidRPr="00D924F4">
        <w:rPr>
          <w:iCs/>
          <w:color w:val="000000" w:themeColor="text1"/>
          <w:szCs w:val="22"/>
        </w:rPr>
        <w:t xml:space="preserve"> </w:t>
      </w:r>
      <w:r w:rsidR="00AA526B" w:rsidRPr="00D924F4">
        <w:rPr>
          <w:iCs/>
          <w:color w:val="000000" w:themeColor="text1"/>
          <w:szCs w:val="22"/>
        </w:rPr>
        <w:t>be subject to abuse</w:t>
      </w:r>
      <w:r w:rsidR="00C14D64" w:rsidRPr="00D924F4">
        <w:rPr>
          <w:iCs/>
          <w:color w:val="000000" w:themeColor="text1"/>
          <w:szCs w:val="22"/>
        </w:rPr>
        <w:t xml:space="preserve">; so, </w:t>
      </w:r>
      <w:r w:rsidR="00A7432E">
        <w:rPr>
          <w:iCs/>
          <w:color w:val="000000" w:themeColor="text1"/>
          <w:szCs w:val="22"/>
        </w:rPr>
        <w:t>i</w:t>
      </w:r>
      <w:r w:rsidR="00AA526B" w:rsidRPr="00D924F4">
        <w:rPr>
          <w:iCs/>
          <w:color w:val="000000" w:themeColor="text1"/>
          <w:szCs w:val="22"/>
        </w:rPr>
        <w:t xml:space="preserve">nterested </w:t>
      </w:r>
      <w:r w:rsidR="00A7432E">
        <w:rPr>
          <w:iCs/>
          <w:color w:val="000000" w:themeColor="text1"/>
          <w:szCs w:val="22"/>
        </w:rPr>
        <w:t>p</w:t>
      </w:r>
      <w:r w:rsidR="00AA526B" w:rsidRPr="00D924F4">
        <w:rPr>
          <w:iCs/>
          <w:color w:val="000000" w:themeColor="text1"/>
          <w:szCs w:val="22"/>
        </w:rPr>
        <w:t xml:space="preserve">arties welcome further </w:t>
      </w:r>
      <w:r w:rsidR="006965A8" w:rsidRPr="00D924F4">
        <w:rPr>
          <w:iCs/>
          <w:color w:val="000000" w:themeColor="text1"/>
          <w:szCs w:val="22"/>
        </w:rPr>
        <w:t>transparency</w:t>
      </w:r>
      <w:r w:rsidR="00AA526B" w:rsidRPr="00D924F4">
        <w:rPr>
          <w:iCs/>
          <w:color w:val="000000" w:themeColor="text1"/>
          <w:szCs w:val="22"/>
        </w:rPr>
        <w:t xml:space="preserve"> on affiliated transactions.</w:t>
      </w:r>
    </w:p>
    <w:bookmarkEnd w:id="5"/>
    <w:p w14:paraId="59206714" w14:textId="77777777" w:rsidR="00FB5A62" w:rsidRPr="00D924F4" w:rsidRDefault="00FB5A62" w:rsidP="002B1EAD">
      <w:pPr>
        <w:jc w:val="both"/>
        <w:rPr>
          <w:szCs w:val="22"/>
        </w:rPr>
      </w:pPr>
    </w:p>
    <w:p w14:paraId="631A8869" w14:textId="109B80E9" w:rsidR="00264317" w:rsidRPr="00D924F4" w:rsidRDefault="00F64877" w:rsidP="002B1EAD">
      <w:pPr>
        <w:pStyle w:val="ListParagraph"/>
        <w:numPr>
          <w:ilvl w:val="0"/>
          <w:numId w:val="12"/>
        </w:numPr>
        <w:jc w:val="both"/>
        <w:rPr>
          <w:szCs w:val="22"/>
        </w:rPr>
      </w:pPr>
      <w:bookmarkStart w:id="7" w:name="_Hlk46066305"/>
      <w:r w:rsidRPr="00D924F4">
        <w:rPr>
          <w:szCs w:val="22"/>
        </w:rPr>
        <w:t xml:space="preserve">Similar to the assistance rendered by </w:t>
      </w:r>
      <w:r w:rsidR="00A7432E">
        <w:rPr>
          <w:szCs w:val="22"/>
        </w:rPr>
        <w:t>i</w:t>
      </w:r>
      <w:r w:rsidR="00264317" w:rsidRPr="00D924F4">
        <w:rPr>
          <w:szCs w:val="22"/>
        </w:rPr>
        <w:t xml:space="preserve">nterested </w:t>
      </w:r>
      <w:r w:rsidR="00A7432E">
        <w:rPr>
          <w:szCs w:val="22"/>
        </w:rPr>
        <w:t>p</w:t>
      </w:r>
      <w:r w:rsidR="00264317" w:rsidRPr="00D924F4">
        <w:rPr>
          <w:szCs w:val="22"/>
        </w:rPr>
        <w:t>arties</w:t>
      </w:r>
      <w:r w:rsidRPr="00D924F4">
        <w:rPr>
          <w:szCs w:val="22"/>
        </w:rPr>
        <w:t xml:space="preserve"> regarding</w:t>
      </w:r>
      <w:r w:rsidR="00B64368" w:rsidRPr="00D924F4">
        <w:rPr>
          <w:szCs w:val="22"/>
        </w:rPr>
        <w:t xml:space="preserve"> Principal Protected Notes</w:t>
      </w:r>
      <w:r w:rsidRPr="00D924F4">
        <w:rPr>
          <w:szCs w:val="22"/>
        </w:rPr>
        <w:t xml:space="preserve"> </w:t>
      </w:r>
      <w:r w:rsidR="00B64368" w:rsidRPr="00D924F4">
        <w:rPr>
          <w:szCs w:val="22"/>
        </w:rPr>
        <w:t>(“</w:t>
      </w:r>
      <w:r w:rsidRPr="00D924F4">
        <w:rPr>
          <w:szCs w:val="22"/>
        </w:rPr>
        <w:t>PPNs</w:t>
      </w:r>
      <w:r w:rsidR="00B64368" w:rsidRPr="00D924F4">
        <w:rPr>
          <w:szCs w:val="22"/>
        </w:rPr>
        <w:t>”)</w:t>
      </w:r>
      <w:r w:rsidRPr="00D924F4">
        <w:rPr>
          <w:szCs w:val="22"/>
        </w:rPr>
        <w:t xml:space="preserve">, we again would like to help eliminate any potential statutory accounting </w:t>
      </w:r>
      <w:r w:rsidR="0002029F" w:rsidRPr="00D924F4">
        <w:rPr>
          <w:szCs w:val="22"/>
        </w:rPr>
        <w:t xml:space="preserve">abuses </w:t>
      </w:r>
      <w:r w:rsidRPr="00D924F4">
        <w:rPr>
          <w:szCs w:val="22"/>
        </w:rPr>
        <w:t xml:space="preserve">relative to SSAP 43R.  </w:t>
      </w:r>
      <w:bookmarkStart w:id="8" w:name="_Hlk45784866"/>
      <w:r w:rsidRPr="00D924F4">
        <w:rPr>
          <w:szCs w:val="22"/>
        </w:rPr>
        <w:t>However,</w:t>
      </w:r>
      <w:r w:rsidR="00EB2C8B" w:rsidRPr="00D924F4">
        <w:rPr>
          <w:szCs w:val="22"/>
        </w:rPr>
        <w:t xml:space="preserve"> to do so,</w:t>
      </w:r>
      <w:r w:rsidRPr="00D924F4">
        <w:rPr>
          <w:szCs w:val="22"/>
        </w:rPr>
        <w:t xml:space="preserve"> there are some issues that </w:t>
      </w:r>
      <w:r w:rsidR="00A7432E">
        <w:rPr>
          <w:szCs w:val="22"/>
        </w:rPr>
        <w:t>i</w:t>
      </w:r>
      <w:r w:rsidR="00264317" w:rsidRPr="00D924F4">
        <w:rPr>
          <w:szCs w:val="22"/>
        </w:rPr>
        <w:t xml:space="preserve">nterested </w:t>
      </w:r>
      <w:r w:rsidR="00A7432E">
        <w:rPr>
          <w:szCs w:val="22"/>
        </w:rPr>
        <w:t>p</w:t>
      </w:r>
      <w:r w:rsidR="00264317" w:rsidRPr="00D924F4">
        <w:rPr>
          <w:szCs w:val="22"/>
        </w:rPr>
        <w:t>arties</w:t>
      </w:r>
      <w:r w:rsidRPr="00D924F4">
        <w:rPr>
          <w:szCs w:val="22"/>
        </w:rPr>
        <w:t xml:space="preserve"> need to more fully understand. </w:t>
      </w:r>
      <w:r w:rsidR="00724B2C" w:rsidRPr="00D924F4">
        <w:rPr>
          <w:szCs w:val="22"/>
        </w:rPr>
        <w:t xml:space="preserve"> For example</w:t>
      </w:r>
      <w:r w:rsidR="00474FE0" w:rsidRPr="00D924F4">
        <w:rPr>
          <w:szCs w:val="22"/>
        </w:rPr>
        <w:t>,</w:t>
      </w:r>
      <w:r w:rsidR="00724B2C" w:rsidRPr="00D924F4">
        <w:rPr>
          <w:szCs w:val="22"/>
        </w:rPr>
        <w:t xml:space="preserve"> related to CFO</w:t>
      </w:r>
      <w:r w:rsidR="00BD1C9F" w:rsidRPr="00D924F4">
        <w:rPr>
          <w:szCs w:val="22"/>
        </w:rPr>
        <w:t>-</w:t>
      </w:r>
      <w:r w:rsidR="00474FE0" w:rsidRPr="00D924F4">
        <w:rPr>
          <w:szCs w:val="22"/>
        </w:rPr>
        <w:t>type investments,</w:t>
      </w:r>
      <w:r w:rsidR="00724B2C" w:rsidRPr="00D924F4">
        <w:rPr>
          <w:szCs w:val="22"/>
        </w:rPr>
        <w:t xml:space="preserve"> we agree that 1) instruments </w:t>
      </w:r>
      <w:r w:rsidR="00891650" w:rsidRPr="00D924F4">
        <w:rPr>
          <w:szCs w:val="22"/>
        </w:rPr>
        <w:t>where the amount of princip</w:t>
      </w:r>
      <w:r w:rsidR="001919A0" w:rsidRPr="00D924F4">
        <w:rPr>
          <w:szCs w:val="22"/>
        </w:rPr>
        <w:t>al</w:t>
      </w:r>
      <w:r w:rsidR="00891650" w:rsidRPr="00D924F4">
        <w:rPr>
          <w:szCs w:val="22"/>
        </w:rPr>
        <w:t xml:space="preserve"> or interest payable</w:t>
      </w:r>
      <w:r w:rsidR="00546097" w:rsidRPr="00D924F4">
        <w:rPr>
          <w:szCs w:val="22"/>
        </w:rPr>
        <w:t xml:space="preserve"> </w:t>
      </w:r>
      <w:r w:rsidR="00603F91" w:rsidRPr="00D924F4">
        <w:rPr>
          <w:szCs w:val="22"/>
        </w:rPr>
        <w:t>contractually</w:t>
      </w:r>
      <w:r w:rsidR="00546097" w:rsidRPr="00D924F4">
        <w:rPr>
          <w:szCs w:val="22"/>
        </w:rPr>
        <w:t xml:space="preserve"> var</w:t>
      </w:r>
      <w:r w:rsidR="001919A0" w:rsidRPr="00D924F4">
        <w:rPr>
          <w:szCs w:val="22"/>
        </w:rPr>
        <w:t>ies</w:t>
      </w:r>
      <w:r w:rsidR="00546097" w:rsidRPr="00D924F4">
        <w:rPr>
          <w:szCs w:val="22"/>
        </w:rPr>
        <w:t xml:space="preserve"> </w:t>
      </w:r>
      <w:r w:rsidR="00D20A3C" w:rsidRPr="00D924F4">
        <w:rPr>
          <w:szCs w:val="22"/>
        </w:rPr>
        <w:t xml:space="preserve">based </w:t>
      </w:r>
      <w:r w:rsidR="00891650" w:rsidRPr="00D924F4">
        <w:rPr>
          <w:szCs w:val="22"/>
        </w:rPr>
        <w:t xml:space="preserve">on the appreciation and/or </w:t>
      </w:r>
      <w:r w:rsidR="00FD0681" w:rsidRPr="00D924F4">
        <w:rPr>
          <w:szCs w:val="22"/>
        </w:rPr>
        <w:t>de</w:t>
      </w:r>
      <w:r w:rsidR="00891650" w:rsidRPr="00D924F4">
        <w:rPr>
          <w:szCs w:val="22"/>
        </w:rPr>
        <w:t xml:space="preserve">preciation </w:t>
      </w:r>
      <w:r w:rsidR="00724B2C" w:rsidRPr="00D924F4">
        <w:rPr>
          <w:szCs w:val="22"/>
        </w:rPr>
        <w:t>of underlying equities</w:t>
      </w:r>
      <w:r w:rsidR="000E5064" w:rsidRPr="00D924F4">
        <w:rPr>
          <w:szCs w:val="22"/>
        </w:rPr>
        <w:t xml:space="preserve"> </w:t>
      </w:r>
      <w:r w:rsidR="00891650" w:rsidRPr="00D924F4">
        <w:rPr>
          <w:szCs w:val="22"/>
        </w:rPr>
        <w:t>warrant</w:t>
      </w:r>
      <w:r w:rsidR="000E5064" w:rsidRPr="00D924F4">
        <w:rPr>
          <w:szCs w:val="22"/>
        </w:rPr>
        <w:t xml:space="preserve"> a different</w:t>
      </w:r>
      <w:r w:rsidR="00EB2C8B" w:rsidRPr="00D924F4">
        <w:rPr>
          <w:szCs w:val="22"/>
        </w:rPr>
        <w:t xml:space="preserve"> accounting treatment and therefore different</w:t>
      </w:r>
      <w:r w:rsidR="000E5064" w:rsidRPr="00D924F4">
        <w:rPr>
          <w:szCs w:val="22"/>
        </w:rPr>
        <w:t xml:space="preserve"> reporting treatment than</w:t>
      </w:r>
      <w:r w:rsidR="00EB2C8B" w:rsidRPr="00D924F4">
        <w:rPr>
          <w:szCs w:val="22"/>
        </w:rPr>
        <w:t xml:space="preserve"> the bond section of</w:t>
      </w:r>
      <w:r w:rsidR="000E5064" w:rsidRPr="00D924F4">
        <w:rPr>
          <w:szCs w:val="22"/>
        </w:rPr>
        <w:t xml:space="preserve"> Schedule D</w:t>
      </w:r>
      <w:r w:rsidR="00724B2C" w:rsidRPr="00D924F4">
        <w:rPr>
          <w:szCs w:val="22"/>
        </w:rPr>
        <w:t xml:space="preserve"> </w:t>
      </w:r>
      <w:r w:rsidR="00644AE1" w:rsidRPr="00D924F4">
        <w:rPr>
          <w:szCs w:val="22"/>
        </w:rPr>
        <w:t>and</w:t>
      </w:r>
      <w:r w:rsidR="00724B2C" w:rsidRPr="00D924F4">
        <w:rPr>
          <w:szCs w:val="22"/>
        </w:rPr>
        <w:t xml:space="preserve"> 2) </w:t>
      </w:r>
      <w:r w:rsidR="00013D38" w:rsidRPr="00D924F4">
        <w:rPr>
          <w:szCs w:val="22"/>
        </w:rPr>
        <w:t xml:space="preserve">instruments that </w:t>
      </w:r>
      <w:r w:rsidR="00807EF9" w:rsidRPr="00D924F4">
        <w:rPr>
          <w:szCs w:val="22"/>
        </w:rPr>
        <w:t>create</w:t>
      </w:r>
      <w:r w:rsidR="00B64368" w:rsidRPr="00D924F4">
        <w:rPr>
          <w:szCs w:val="22"/>
        </w:rPr>
        <w:t xml:space="preserve"> RBC</w:t>
      </w:r>
      <w:r w:rsidR="00724B2C" w:rsidRPr="00D924F4">
        <w:rPr>
          <w:szCs w:val="22"/>
        </w:rPr>
        <w:t xml:space="preserve"> </w:t>
      </w:r>
      <w:r w:rsidR="002E1A11" w:rsidRPr="00D924F4">
        <w:rPr>
          <w:szCs w:val="22"/>
        </w:rPr>
        <w:t>“</w:t>
      </w:r>
      <w:r w:rsidR="00724B2C" w:rsidRPr="00D924F4">
        <w:rPr>
          <w:szCs w:val="22"/>
        </w:rPr>
        <w:t>arbitrage</w:t>
      </w:r>
      <w:r w:rsidR="002E1A11" w:rsidRPr="00D924F4">
        <w:rPr>
          <w:szCs w:val="22"/>
        </w:rPr>
        <w:t>”</w:t>
      </w:r>
      <w:r w:rsidR="00724B2C" w:rsidRPr="00D924F4">
        <w:rPr>
          <w:szCs w:val="22"/>
        </w:rPr>
        <w:t xml:space="preserve"> </w:t>
      </w:r>
      <w:r w:rsidR="00632E6B" w:rsidRPr="00D924F4">
        <w:rPr>
          <w:szCs w:val="22"/>
        </w:rPr>
        <w:t xml:space="preserve">(i.e., </w:t>
      </w:r>
      <w:r w:rsidR="00A66477" w:rsidRPr="00D924F4">
        <w:rPr>
          <w:szCs w:val="22"/>
        </w:rPr>
        <w:t>by</w:t>
      </w:r>
      <w:r w:rsidR="00724B2C" w:rsidRPr="00D924F4">
        <w:rPr>
          <w:szCs w:val="22"/>
        </w:rPr>
        <w:t xml:space="preserve"> moving </w:t>
      </w:r>
      <w:r w:rsidR="00B64368" w:rsidRPr="00D924F4">
        <w:rPr>
          <w:szCs w:val="22"/>
        </w:rPr>
        <w:t xml:space="preserve">Schedule </w:t>
      </w:r>
      <w:r w:rsidR="00724B2C" w:rsidRPr="00D924F4">
        <w:rPr>
          <w:szCs w:val="22"/>
        </w:rPr>
        <w:t xml:space="preserve">BA assets to </w:t>
      </w:r>
      <w:r w:rsidR="00B64368" w:rsidRPr="00D924F4">
        <w:rPr>
          <w:szCs w:val="22"/>
        </w:rPr>
        <w:t>S</w:t>
      </w:r>
      <w:r w:rsidR="00724B2C" w:rsidRPr="00D924F4">
        <w:rPr>
          <w:szCs w:val="22"/>
        </w:rPr>
        <w:t>chedule D</w:t>
      </w:r>
      <w:r w:rsidR="000E5064" w:rsidRPr="00D924F4">
        <w:rPr>
          <w:szCs w:val="22"/>
        </w:rPr>
        <w:t xml:space="preserve"> </w:t>
      </w:r>
      <w:r w:rsidR="00632E6B" w:rsidRPr="00D924F4">
        <w:rPr>
          <w:szCs w:val="22"/>
        </w:rPr>
        <w:t xml:space="preserve">without meeting sale criteria in SSAP No. 103R) </w:t>
      </w:r>
      <w:r w:rsidR="000E5064" w:rsidRPr="00D924F4">
        <w:rPr>
          <w:szCs w:val="22"/>
        </w:rPr>
        <w:t>should be prohibited</w:t>
      </w:r>
      <w:r w:rsidR="00632E6B" w:rsidRPr="00D924F4">
        <w:rPr>
          <w:szCs w:val="22"/>
        </w:rPr>
        <w:t>.</w:t>
      </w:r>
      <w:r w:rsidR="00724B2C" w:rsidRPr="00D924F4">
        <w:rPr>
          <w:szCs w:val="22"/>
        </w:rPr>
        <w:t xml:space="preserve"> </w:t>
      </w:r>
    </w:p>
    <w:p w14:paraId="13A9FECC" w14:textId="77777777" w:rsidR="00264317" w:rsidRPr="00D924F4" w:rsidRDefault="00264317" w:rsidP="002B1EAD">
      <w:pPr>
        <w:pStyle w:val="ListParagraph"/>
        <w:ind w:left="360"/>
        <w:jc w:val="both"/>
        <w:rPr>
          <w:szCs w:val="22"/>
        </w:rPr>
      </w:pPr>
    </w:p>
    <w:p w14:paraId="586E32CB" w14:textId="66074A4F" w:rsidR="00264317" w:rsidRPr="00D924F4" w:rsidRDefault="00724B2C" w:rsidP="002B1EAD">
      <w:pPr>
        <w:pStyle w:val="ListParagraph"/>
        <w:ind w:left="360"/>
        <w:jc w:val="both"/>
        <w:rPr>
          <w:szCs w:val="22"/>
        </w:rPr>
      </w:pPr>
      <w:r w:rsidRPr="00D924F4">
        <w:rPr>
          <w:szCs w:val="22"/>
        </w:rPr>
        <w:t xml:space="preserve">However, </w:t>
      </w:r>
      <w:r w:rsidR="00807EF9" w:rsidRPr="00D924F4">
        <w:rPr>
          <w:szCs w:val="22"/>
        </w:rPr>
        <w:t>any proposed scope clarifications</w:t>
      </w:r>
      <w:r w:rsidRPr="00D924F4">
        <w:rPr>
          <w:szCs w:val="22"/>
        </w:rPr>
        <w:t xml:space="preserve"> </w:t>
      </w:r>
      <w:r w:rsidR="004B6EF7" w:rsidRPr="00D924F4">
        <w:rPr>
          <w:szCs w:val="22"/>
        </w:rPr>
        <w:t>should only</w:t>
      </w:r>
      <w:r w:rsidR="00837BC0" w:rsidRPr="00D924F4">
        <w:rPr>
          <w:szCs w:val="22"/>
        </w:rPr>
        <w:t xml:space="preserve"> </w:t>
      </w:r>
      <w:r w:rsidRPr="00D924F4">
        <w:rPr>
          <w:szCs w:val="22"/>
        </w:rPr>
        <w:t xml:space="preserve">address the </w:t>
      </w:r>
      <w:r w:rsidR="001919A0" w:rsidRPr="00D924F4">
        <w:rPr>
          <w:szCs w:val="22"/>
        </w:rPr>
        <w:t xml:space="preserve">perceived </w:t>
      </w:r>
      <w:r w:rsidRPr="00D924F4">
        <w:rPr>
          <w:szCs w:val="22"/>
        </w:rPr>
        <w:t>abuses</w:t>
      </w:r>
      <w:r w:rsidR="004B6EF7" w:rsidRPr="00D924F4">
        <w:rPr>
          <w:szCs w:val="22"/>
        </w:rPr>
        <w:t xml:space="preserve"> and not have detrimental consequences</w:t>
      </w:r>
      <w:r w:rsidR="001A5E65" w:rsidRPr="00D924F4">
        <w:rPr>
          <w:szCs w:val="22"/>
        </w:rPr>
        <w:t xml:space="preserve"> to a broader range of CFO investments which are appropriate and beneficial for insurance companies’ investment portfolios</w:t>
      </w:r>
      <w:r w:rsidR="00837BC0" w:rsidRPr="00D924F4">
        <w:rPr>
          <w:szCs w:val="22"/>
        </w:rPr>
        <w:t>.</w:t>
      </w:r>
      <w:r w:rsidR="00474FE0" w:rsidRPr="00D924F4">
        <w:rPr>
          <w:szCs w:val="22"/>
        </w:rPr>
        <w:t xml:space="preserve">  </w:t>
      </w:r>
      <w:r w:rsidR="00013D38" w:rsidRPr="00D924F4">
        <w:rPr>
          <w:szCs w:val="22"/>
        </w:rPr>
        <w:t>F</w:t>
      </w:r>
      <w:r w:rsidR="004B6EF7" w:rsidRPr="00D924F4">
        <w:rPr>
          <w:szCs w:val="22"/>
        </w:rPr>
        <w:t xml:space="preserve">or example, </w:t>
      </w:r>
      <w:r w:rsidR="00474FE0" w:rsidRPr="00D924F4">
        <w:rPr>
          <w:szCs w:val="22"/>
        </w:rPr>
        <w:t>there are many CFO</w:t>
      </w:r>
      <w:r w:rsidR="00BD1C9F" w:rsidRPr="00D924F4">
        <w:rPr>
          <w:szCs w:val="22"/>
        </w:rPr>
        <w:t>-</w:t>
      </w:r>
      <w:r w:rsidR="00474FE0" w:rsidRPr="00D924F4">
        <w:rPr>
          <w:szCs w:val="22"/>
        </w:rPr>
        <w:t>type investments with</w:t>
      </w:r>
      <w:r w:rsidR="00B64368" w:rsidRPr="00D924F4">
        <w:rPr>
          <w:szCs w:val="22"/>
        </w:rPr>
        <w:t xml:space="preserve"> a</w:t>
      </w:r>
      <w:r w:rsidR="00474FE0" w:rsidRPr="00D924F4">
        <w:rPr>
          <w:szCs w:val="22"/>
        </w:rPr>
        <w:t xml:space="preserve"> fixed coup</w:t>
      </w:r>
      <w:r w:rsidR="004B6EF7" w:rsidRPr="00D924F4">
        <w:rPr>
          <w:szCs w:val="22"/>
        </w:rPr>
        <w:t>on</w:t>
      </w:r>
      <w:r w:rsidR="00474FE0" w:rsidRPr="00D924F4">
        <w:rPr>
          <w:szCs w:val="22"/>
        </w:rPr>
        <w:t xml:space="preserve"> and fixed principal, that have adequate</w:t>
      </w:r>
      <w:r w:rsidR="00891650" w:rsidRPr="00D924F4">
        <w:rPr>
          <w:szCs w:val="22"/>
        </w:rPr>
        <w:t xml:space="preserve"> structural features such as</w:t>
      </w:r>
      <w:r w:rsidR="00474FE0" w:rsidRPr="00D924F4">
        <w:rPr>
          <w:szCs w:val="22"/>
        </w:rPr>
        <w:t xml:space="preserve"> over</w:t>
      </w:r>
      <w:r w:rsidR="00B64368" w:rsidRPr="00D924F4">
        <w:rPr>
          <w:szCs w:val="22"/>
        </w:rPr>
        <w:t>collateralization</w:t>
      </w:r>
      <w:r w:rsidR="001A5E65" w:rsidRPr="00D924F4">
        <w:rPr>
          <w:szCs w:val="22"/>
        </w:rPr>
        <w:t xml:space="preserve"> and</w:t>
      </w:r>
      <w:r w:rsidR="00891650" w:rsidRPr="00D924F4">
        <w:rPr>
          <w:szCs w:val="22"/>
        </w:rPr>
        <w:t>/or</w:t>
      </w:r>
      <w:r w:rsidR="001A5E65" w:rsidRPr="00D924F4">
        <w:rPr>
          <w:szCs w:val="22"/>
        </w:rPr>
        <w:t xml:space="preserve"> liquidity facilities</w:t>
      </w:r>
      <w:r w:rsidR="00B64368" w:rsidRPr="00D924F4">
        <w:rPr>
          <w:szCs w:val="22"/>
        </w:rPr>
        <w:t xml:space="preserve">, such that equity appreciation is not required in order to service debt obligations, and </w:t>
      </w:r>
      <w:r w:rsidR="00264317" w:rsidRPr="00D924F4">
        <w:rPr>
          <w:szCs w:val="22"/>
        </w:rPr>
        <w:t>in f</w:t>
      </w:r>
      <w:r w:rsidR="00B64368" w:rsidRPr="00D924F4">
        <w:rPr>
          <w:szCs w:val="22"/>
        </w:rPr>
        <w:t>act, the value of the underlying equity investments can fall substantially, without jeopardizing debt repayments as scheduled</w:t>
      </w:r>
      <w:r w:rsidR="00474FE0" w:rsidRPr="00D924F4">
        <w:rPr>
          <w:szCs w:val="22"/>
        </w:rPr>
        <w:t xml:space="preserve"> (e.g.</w:t>
      </w:r>
      <w:r w:rsidR="001D6B98" w:rsidRPr="00D924F4">
        <w:rPr>
          <w:szCs w:val="22"/>
        </w:rPr>
        <w:t xml:space="preserve">, CEF Debt </w:t>
      </w:r>
      <w:r w:rsidR="00474FE0" w:rsidRPr="00D924F4">
        <w:rPr>
          <w:szCs w:val="22"/>
        </w:rPr>
        <w:t>and</w:t>
      </w:r>
      <w:r w:rsidR="00A66477" w:rsidRPr="00D924F4">
        <w:rPr>
          <w:szCs w:val="22"/>
        </w:rPr>
        <w:t xml:space="preserve"> other</w:t>
      </w:r>
      <w:r w:rsidR="00474FE0" w:rsidRPr="00D924F4">
        <w:rPr>
          <w:szCs w:val="22"/>
        </w:rPr>
        <w:t xml:space="preserve"> similar structures)</w:t>
      </w:r>
      <w:r w:rsidR="00B64368" w:rsidRPr="00D924F4">
        <w:rPr>
          <w:szCs w:val="22"/>
        </w:rPr>
        <w:t xml:space="preserve">.  Interested </w:t>
      </w:r>
      <w:r w:rsidR="00A7432E">
        <w:rPr>
          <w:szCs w:val="22"/>
        </w:rPr>
        <w:t>p</w:t>
      </w:r>
      <w:r w:rsidR="00B64368" w:rsidRPr="00D924F4">
        <w:rPr>
          <w:szCs w:val="22"/>
        </w:rPr>
        <w:t>arties believe these structures are bonds,</w:t>
      </w:r>
      <w:r w:rsidR="00474FE0" w:rsidRPr="00D924F4">
        <w:rPr>
          <w:szCs w:val="22"/>
        </w:rPr>
        <w:t xml:space="preserve"> appropriate</w:t>
      </w:r>
      <w:r w:rsidR="00B64368" w:rsidRPr="00D924F4">
        <w:rPr>
          <w:szCs w:val="22"/>
        </w:rPr>
        <w:t xml:space="preserve"> for</w:t>
      </w:r>
      <w:r w:rsidR="00474FE0" w:rsidRPr="00D924F4">
        <w:rPr>
          <w:szCs w:val="22"/>
        </w:rPr>
        <w:t xml:space="preserve"> schedule D</w:t>
      </w:r>
      <w:r w:rsidR="00B64368" w:rsidRPr="00D924F4">
        <w:rPr>
          <w:szCs w:val="22"/>
        </w:rPr>
        <w:t xml:space="preserve"> reporting, and should be eligible for</w:t>
      </w:r>
      <w:r w:rsidR="00474FE0" w:rsidRPr="00D924F4">
        <w:rPr>
          <w:szCs w:val="22"/>
        </w:rPr>
        <w:t xml:space="preserve"> </w:t>
      </w:r>
      <w:r w:rsidR="001A5E65" w:rsidRPr="00D924F4">
        <w:rPr>
          <w:szCs w:val="22"/>
        </w:rPr>
        <w:t>f</w:t>
      </w:r>
      <w:r w:rsidR="003E7E1F" w:rsidRPr="00D924F4">
        <w:rPr>
          <w:szCs w:val="22"/>
        </w:rPr>
        <w:t xml:space="preserve">iling </w:t>
      </w:r>
      <w:r w:rsidR="001A5E65" w:rsidRPr="00D924F4">
        <w:rPr>
          <w:szCs w:val="22"/>
        </w:rPr>
        <w:t>e</w:t>
      </w:r>
      <w:r w:rsidR="003E7E1F" w:rsidRPr="00D924F4">
        <w:rPr>
          <w:szCs w:val="22"/>
        </w:rPr>
        <w:t>xempt</w:t>
      </w:r>
      <w:r w:rsidR="00B64368" w:rsidRPr="00D924F4">
        <w:rPr>
          <w:szCs w:val="22"/>
        </w:rPr>
        <w:t>ion</w:t>
      </w:r>
      <w:r w:rsidR="00474FE0" w:rsidRPr="00D924F4">
        <w:rPr>
          <w:szCs w:val="22"/>
        </w:rPr>
        <w:t xml:space="preserve">.  </w:t>
      </w:r>
    </w:p>
    <w:p w14:paraId="7F6B896F" w14:textId="77777777" w:rsidR="00264317" w:rsidRPr="00D924F4" w:rsidRDefault="00264317" w:rsidP="002B1EAD">
      <w:pPr>
        <w:pStyle w:val="ListParagraph"/>
        <w:ind w:left="360"/>
        <w:jc w:val="both"/>
        <w:rPr>
          <w:szCs w:val="22"/>
        </w:rPr>
      </w:pPr>
    </w:p>
    <w:p w14:paraId="4B1F4D9F" w14:textId="09573E3C" w:rsidR="00837BC0" w:rsidRPr="00D924F4" w:rsidRDefault="00474FE0" w:rsidP="002B1EAD">
      <w:pPr>
        <w:pStyle w:val="ListParagraph"/>
        <w:ind w:left="360"/>
        <w:jc w:val="both"/>
        <w:rPr>
          <w:szCs w:val="22"/>
        </w:rPr>
      </w:pPr>
      <w:r w:rsidRPr="00D924F4">
        <w:rPr>
          <w:szCs w:val="22"/>
        </w:rPr>
        <w:t xml:space="preserve">The </w:t>
      </w:r>
      <w:r w:rsidR="00F17CB9" w:rsidRPr="00D924F4">
        <w:rPr>
          <w:szCs w:val="22"/>
        </w:rPr>
        <w:t>E</w:t>
      </w:r>
      <w:r w:rsidR="00807EF9" w:rsidRPr="00D924F4">
        <w:rPr>
          <w:szCs w:val="22"/>
        </w:rPr>
        <w:t>xposure</w:t>
      </w:r>
      <w:r w:rsidRPr="00D924F4">
        <w:rPr>
          <w:szCs w:val="22"/>
        </w:rPr>
        <w:t xml:space="preserve"> states that NAIC staff </w:t>
      </w:r>
      <w:r w:rsidR="00837BC0" w:rsidRPr="00D924F4">
        <w:rPr>
          <w:szCs w:val="22"/>
        </w:rPr>
        <w:t xml:space="preserve">believes </w:t>
      </w:r>
      <w:r w:rsidRPr="00D924F4">
        <w:rPr>
          <w:szCs w:val="22"/>
        </w:rPr>
        <w:t xml:space="preserve">regulators do not believe </w:t>
      </w:r>
      <w:r w:rsidR="003B5A8D" w:rsidRPr="00D924F4">
        <w:rPr>
          <w:szCs w:val="22"/>
        </w:rPr>
        <w:t xml:space="preserve">any </w:t>
      </w:r>
      <w:r w:rsidRPr="00D924F4">
        <w:rPr>
          <w:szCs w:val="22"/>
        </w:rPr>
        <w:t>equity</w:t>
      </w:r>
      <w:r w:rsidR="004B6EF7" w:rsidRPr="00D924F4">
        <w:rPr>
          <w:szCs w:val="22"/>
        </w:rPr>
        <w:t>-</w:t>
      </w:r>
      <w:r w:rsidRPr="00D924F4">
        <w:rPr>
          <w:szCs w:val="22"/>
        </w:rPr>
        <w:t>ba</w:t>
      </w:r>
      <w:r w:rsidR="00B64368" w:rsidRPr="00D924F4">
        <w:rPr>
          <w:szCs w:val="22"/>
        </w:rPr>
        <w:t>cked</w:t>
      </w:r>
      <w:r w:rsidRPr="00D924F4">
        <w:rPr>
          <w:szCs w:val="22"/>
        </w:rPr>
        <w:t xml:space="preserve"> investments should be reported as bonds on Schedule D.</w:t>
      </w:r>
      <w:r w:rsidR="00837BC0" w:rsidRPr="00D924F4">
        <w:rPr>
          <w:szCs w:val="22"/>
        </w:rPr>
        <w:t xml:space="preserve">  This is not consistent with our discussion with </w:t>
      </w:r>
      <w:r w:rsidR="00A44561" w:rsidRPr="00D924F4">
        <w:rPr>
          <w:szCs w:val="22"/>
        </w:rPr>
        <w:t xml:space="preserve">some </w:t>
      </w:r>
      <w:r w:rsidR="00837BC0" w:rsidRPr="00D924F4">
        <w:rPr>
          <w:szCs w:val="22"/>
        </w:rPr>
        <w:lastRenderedPageBreak/>
        <w:t>regulators</w:t>
      </w:r>
      <w:r w:rsidR="00807EF9" w:rsidRPr="00D924F4">
        <w:rPr>
          <w:szCs w:val="22"/>
        </w:rPr>
        <w:t xml:space="preserve">, who view that the </w:t>
      </w:r>
      <w:r w:rsidR="00264317" w:rsidRPr="00D924F4">
        <w:rPr>
          <w:szCs w:val="22"/>
        </w:rPr>
        <w:t>aforementioned-</w:t>
      </w:r>
      <w:r w:rsidR="00807EF9" w:rsidRPr="00D924F4">
        <w:rPr>
          <w:szCs w:val="22"/>
        </w:rPr>
        <w:t xml:space="preserve"> types of securities with overcollateralization and fixed coupon rates and maturities are bonds</w:t>
      </w:r>
      <w:r w:rsidR="00A66477" w:rsidRPr="00D924F4">
        <w:rPr>
          <w:szCs w:val="22"/>
        </w:rPr>
        <w:t xml:space="preserve"> and should be a</w:t>
      </w:r>
      <w:r w:rsidR="001D6B98" w:rsidRPr="00D924F4">
        <w:rPr>
          <w:szCs w:val="22"/>
        </w:rPr>
        <w:t>ccounted for as bonds and reported on</w:t>
      </w:r>
      <w:r w:rsidR="00A66477" w:rsidRPr="00D924F4">
        <w:rPr>
          <w:szCs w:val="22"/>
        </w:rPr>
        <w:t xml:space="preserve"> Schedule D</w:t>
      </w:r>
      <w:r w:rsidR="003B5A8D" w:rsidRPr="00D924F4">
        <w:rPr>
          <w:szCs w:val="22"/>
        </w:rPr>
        <w:t>.</w:t>
      </w:r>
      <w:r w:rsidR="00837BC0" w:rsidRPr="00D924F4">
        <w:rPr>
          <w:szCs w:val="22"/>
        </w:rPr>
        <w:t xml:space="preserve"> </w:t>
      </w:r>
      <w:r w:rsidRPr="00D924F4">
        <w:rPr>
          <w:szCs w:val="22"/>
        </w:rPr>
        <w:t xml:space="preserve"> We would appreciate if</w:t>
      </w:r>
      <w:r w:rsidR="00807EF9" w:rsidRPr="00D924F4">
        <w:rPr>
          <w:szCs w:val="22"/>
        </w:rPr>
        <w:t xml:space="preserve"> </w:t>
      </w:r>
      <w:r w:rsidRPr="00D924F4">
        <w:rPr>
          <w:szCs w:val="22"/>
        </w:rPr>
        <w:t>regulators</w:t>
      </w:r>
      <w:r w:rsidR="00807EF9" w:rsidRPr="00D924F4">
        <w:rPr>
          <w:szCs w:val="22"/>
        </w:rPr>
        <w:t xml:space="preserve"> that share NAIC staffs’ </w:t>
      </w:r>
      <w:r w:rsidR="00264317" w:rsidRPr="00D924F4">
        <w:rPr>
          <w:szCs w:val="22"/>
        </w:rPr>
        <w:t xml:space="preserve">expressed </w:t>
      </w:r>
      <w:r w:rsidR="00807EF9" w:rsidRPr="00D924F4">
        <w:rPr>
          <w:szCs w:val="22"/>
        </w:rPr>
        <w:t>view o</w:t>
      </w:r>
      <w:r w:rsidR="009F2BEC" w:rsidRPr="00D924F4">
        <w:rPr>
          <w:szCs w:val="22"/>
        </w:rPr>
        <w:t xml:space="preserve">r </w:t>
      </w:r>
      <w:r w:rsidR="004B6EF7" w:rsidRPr="00D924F4">
        <w:rPr>
          <w:szCs w:val="22"/>
        </w:rPr>
        <w:t xml:space="preserve">have </w:t>
      </w:r>
      <w:r w:rsidR="00807EF9" w:rsidRPr="00D924F4">
        <w:rPr>
          <w:szCs w:val="22"/>
        </w:rPr>
        <w:t>concerns</w:t>
      </w:r>
      <w:r w:rsidR="001919A0" w:rsidRPr="00D924F4">
        <w:rPr>
          <w:szCs w:val="22"/>
        </w:rPr>
        <w:t xml:space="preserve"> would</w:t>
      </w:r>
      <w:r w:rsidRPr="00D924F4">
        <w:rPr>
          <w:szCs w:val="22"/>
        </w:rPr>
        <w:t xml:space="preserve"> provide written comments on their specific concerns so we can help address </w:t>
      </w:r>
      <w:r w:rsidR="00A66477" w:rsidRPr="00D924F4">
        <w:rPr>
          <w:szCs w:val="22"/>
        </w:rPr>
        <w:t>them</w:t>
      </w:r>
      <w:r w:rsidR="00A44561" w:rsidRPr="00D924F4">
        <w:rPr>
          <w:szCs w:val="22"/>
        </w:rPr>
        <w:t>.  We would welcome the opportunity to</w:t>
      </w:r>
      <w:r w:rsidRPr="00D924F4">
        <w:rPr>
          <w:szCs w:val="22"/>
        </w:rPr>
        <w:t xml:space="preserve"> provide education </w:t>
      </w:r>
      <w:r w:rsidR="001D6B98" w:rsidRPr="00D924F4">
        <w:rPr>
          <w:szCs w:val="22"/>
        </w:rPr>
        <w:t>on CEF</w:t>
      </w:r>
      <w:r w:rsidRPr="00D924F4">
        <w:rPr>
          <w:szCs w:val="22"/>
        </w:rPr>
        <w:t xml:space="preserve"> </w:t>
      </w:r>
      <w:r w:rsidR="00A44561" w:rsidRPr="00D924F4">
        <w:rPr>
          <w:szCs w:val="22"/>
        </w:rPr>
        <w:t>D</w:t>
      </w:r>
      <w:r w:rsidRPr="00D924F4">
        <w:rPr>
          <w:szCs w:val="22"/>
        </w:rPr>
        <w:t>ebt</w:t>
      </w:r>
      <w:r w:rsidR="00A44561" w:rsidRPr="00D924F4">
        <w:rPr>
          <w:szCs w:val="22"/>
        </w:rPr>
        <w:t xml:space="preserve"> and other CFO structures</w:t>
      </w:r>
      <w:r w:rsidRPr="00D924F4">
        <w:rPr>
          <w:szCs w:val="22"/>
        </w:rPr>
        <w:t xml:space="preserve"> </w:t>
      </w:r>
      <w:r w:rsidR="00B64368" w:rsidRPr="00D924F4">
        <w:rPr>
          <w:szCs w:val="22"/>
        </w:rPr>
        <w:t>that</w:t>
      </w:r>
      <w:r w:rsidRPr="00D924F4">
        <w:rPr>
          <w:szCs w:val="22"/>
        </w:rPr>
        <w:t xml:space="preserve"> </w:t>
      </w:r>
      <w:r w:rsidR="00A7432E">
        <w:rPr>
          <w:szCs w:val="22"/>
        </w:rPr>
        <w:t>i</w:t>
      </w:r>
      <w:r w:rsidR="00A66477" w:rsidRPr="00D924F4">
        <w:rPr>
          <w:szCs w:val="22"/>
        </w:rPr>
        <w:t xml:space="preserve">nterested </w:t>
      </w:r>
      <w:r w:rsidR="00A7432E">
        <w:rPr>
          <w:szCs w:val="22"/>
        </w:rPr>
        <w:t>p</w:t>
      </w:r>
      <w:r w:rsidR="00A66477" w:rsidRPr="00D924F4">
        <w:rPr>
          <w:szCs w:val="22"/>
        </w:rPr>
        <w:t>arties</w:t>
      </w:r>
      <w:r w:rsidR="00B73ED6" w:rsidRPr="00D924F4">
        <w:rPr>
          <w:szCs w:val="22"/>
        </w:rPr>
        <w:t xml:space="preserve"> (and the SEC) </w:t>
      </w:r>
      <w:r w:rsidR="003E7E1F" w:rsidRPr="00D924F4">
        <w:rPr>
          <w:szCs w:val="22"/>
        </w:rPr>
        <w:t>unequivocally view as debt.</w:t>
      </w:r>
      <w:r w:rsidRPr="00D924F4">
        <w:rPr>
          <w:szCs w:val="22"/>
        </w:rPr>
        <w:t xml:space="preserve"> </w:t>
      </w:r>
    </w:p>
    <w:bookmarkEnd w:id="7"/>
    <w:bookmarkEnd w:id="8"/>
    <w:p w14:paraId="71855BAF" w14:textId="241B4495" w:rsidR="008034D8" w:rsidRPr="00D924F4" w:rsidRDefault="008034D8" w:rsidP="002B1EAD">
      <w:pPr>
        <w:pStyle w:val="ListParagraph"/>
        <w:ind w:left="360"/>
        <w:jc w:val="both"/>
        <w:rPr>
          <w:szCs w:val="22"/>
        </w:rPr>
      </w:pPr>
    </w:p>
    <w:p w14:paraId="03D0442D" w14:textId="4A6A7163" w:rsidR="00D20A3C" w:rsidRPr="00D924F4" w:rsidRDefault="008034D8" w:rsidP="002B1EAD">
      <w:pPr>
        <w:pStyle w:val="ListParagraph"/>
        <w:ind w:left="360"/>
        <w:jc w:val="both"/>
        <w:rPr>
          <w:szCs w:val="22"/>
        </w:rPr>
      </w:pPr>
      <w:r w:rsidRPr="00D924F4">
        <w:rPr>
          <w:szCs w:val="22"/>
        </w:rPr>
        <w:t xml:space="preserve">In general, we believe the </w:t>
      </w:r>
      <w:r w:rsidR="00F17CB9" w:rsidRPr="00D924F4">
        <w:rPr>
          <w:szCs w:val="22"/>
        </w:rPr>
        <w:t>I</w:t>
      </w:r>
      <w:r w:rsidRPr="00D924F4">
        <w:rPr>
          <w:szCs w:val="22"/>
        </w:rPr>
        <w:t xml:space="preserve">ssue </w:t>
      </w:r>
      <w:r w:rsidR="00F17CB9" w:rsidRPr="00D924F4">
        <w:rPr>
          <w:szCs w:val="22"/>
        </w:rPr>
        <w:t>P</w:t>
      </w:r>
      <w:r w:rsidRPr="00D924F4">
        <w:rPr>
          <w:szCs w:val="22"/>
        </w:rPr>
        <w:t>aper too often wants to “look through” to the underlying assets to determine</w:t>
      </w:r>
      <w:r w:rsidR="00A44561" w:rsidRPr="00D924F4">
        <w:rPr>
          <w:szCs w:val="22"/>
        </w:rPr>
        <w:t xml:space="preserve"> whether or not</w:t>
      </w:r>
      <w:r w:rsidR="009D3AB7" w:rsidRPr="00D924F4">
        <w:rPr>
          <w:szCs w:val="22"/>
        </w:rPr>
        <w:t xml:space="preserve"> </w:t>
      </w:r>
      <w:r w:rsidRPr="00D924F4">
        <w:rPr>
          <w:szCs w:val="22"/>
        </w:rPr>
        <w:t xml:space="preserve">the security is a bond.  We understand </w:t>
      </w:r>
      <w:r w:rsidR="00D20A3C" w:rsidRPr="00D924F4">
        <w:rPr>
          <w:szCs w:val="22"/>
        </w:rPr>
        <w:t xml:space="preserve">the rationale for this </w:t>
      </w:r>
      <w:r w:rsidR="0072792C" w:rsidRPr="00D924F4">
        <w:rPr>
          <w:szCs w:val="22"/>
        </w:rPr>
        <w:t>view</w:t>
      </w:r>
      <w:r w:rsidR="00D20A3C" w:rsidRPr="00D924F4">
        <w:rPr>
          <w:szCs w:val="22"/>
        </w:rPr>
        <w:t xml:space="preserve"> </w:t>
      </w:r>
      <w:r w:rsidR="002E1A11" w:rsidRPr="00D924F4">
        <w:rPr>
          <w:szCs w:val="22"/>
        </w:rPr>
        <w:t xml:space="preserve">is </w:t>
      </w:r>
      <w:r w:rsidR="00D20A3C" w:rsidRPr="00D924F4">
        <w:rPr>
          <w:szCs w:val="22"/>
        </w:rPr>
        <w:t xml:space="preserve">where the underlying collateral is a tangible asset not capable </w:t>
      </w:r>
      <w:r w:rsidR="002E1A11" w:rsidRPr="00D924F4">
        <w:rPr>
          <w:szCs w:val="22"/>
        </w:rPr>
        <w:t>of</w:t>
      </w:r>
      <w:r w:rsidR="00D20A3C" w:rsidRPr="00D924F4">
        <w:rPr>
          <w:szCs w:val="22"/>
        </w:rPr>
        <w:t xml:space="preserve"> generating cash</w:t>
      </w:r>
      <w:r w:rsidR="002E1A11" w:rsidRPr="00D924F4">
        <w:rPr>
          <w:szCs w:val="22"/>
        </w:rPr>
        <w:t xml:space="preserve"> flows, as is the case with certain</w:t>
      </w:r>
      <w:r w:rsidR="00D20A3C" w:rsidRPr="00D924F4">
        <w:rPr>
          <w:szCs w:val="22"/>
        </w:rPr>
        <w:t xml:space="preserve"> </w:t>
      </w:r>
      <w:r w:rsidRPr="00D924F4">
        <w:rPr>
          <w:szCs w:val="22"/>
        </w:rPr>
        <w:t>collateral loans, defined in SSAP No. 21 (</w:t>
      </w:r>
      <w:r w:rsidR="001D6B98" w:rsidRPr="00D924F4">
        <w:rPr>
          <w:szCs w:val="22"/>
        </w:rPr>
        <w:t>e.g.,</w:t>
      </w:r>
      <w:r w:rsidRPr="00D924F4">
        <w:rPr>
          <w:szCs w:val="22"/>
        </w:rPr>
        <w:t xml:space="preserve"> putting a piece of artwork or the “company airplane” in a</w:t>
      </w:r>
      <w:r w:rsidR="001D6B98" w:rsidRPr="00D924F4">
        <w:rPr>
          <w:szCs w:val="22"/>
        </w:rPr>
        <w:t xml:space="preserve"> Trust or</w:t>
      </w:r>
      <w:r w:rsidRPr="00D924F4">
        <w:rPr>
          <w:szCs w:val="22"/>
        </w:rPr>
        <w:t xml:space="preserve"> SPV that issues deb</w:t>
      </w:r>
      <w:r w:rsidR="002A3232" w:rsidRPr="00D924F4">
        <w:rPr>
          <w:szCs w:val="22"/>
        </w:rPr>
        <w:t>t</w:t>
      </w:r>
      <w:r w:rsidRPr="00D924F4">
        <w:rPr>
          <w:szCs w:val="22"/>
        </w:rPr>
        <w:t xml:space="preserve">).  However, </w:t>
      </w:r>
      <w:r w:rsidR="00A7432E">
        <w:rPr>
          <w:szCs w:val="22"/>
        </w:rPr>
        <w:t>i</w:t>
      </w:r>
      <w:r w:rsidRPr="00D924F4">
        <w:rPr>
          <w:szCs w:val="22"/>
        </w:rPr>
        <w:t xml:space="preserve">nterested </w:t>
      </w:r>
      <w:r w:rsidR="00A7432E">
        <w:rPr>
          <w:szCs w:val="22"/>
        </w:rPr>
        <w:t>p</w:t>
      </w:r>
      <w:r w:rsidRPr="00D924F4">
        <w:rPr>
          <w:szCs w:val="22"/>
        </w:rPr>
        <w:t xml:space="preserve">arties believe the </w:t>
      </w:r>
      <w:r w:rsidR="007A2F48" w:rsidRPr="00D924F4">
        <w:rPr>
          <w:szCs w:val="22"/>
        </w:rPr>
        <w:t>I</w:t>
      </w:r>
      <w:r w:rsidRPr="00D924F4">
        <w:rPr>
          <w:szCs w:val="22"/>
        </w:rPr>
        <w:t xml:space="preserve">ssue </w:t>
      </w:r>
      <w:r w:rsidR="007A2F48" w:rsidRPr="00D924F4">
        <w:rPr>
          <w:szCs w:val="22"/>
        </w:rPr>
        <w:t>P</w:t>
      </w:r>
      <w:r w:rsidRPr="00D924F4">
        <w:rPr>
          <w:szCs w:val="22"/>
        </w:rPr>
        <w:t>aper conflates this concept with all other kinds of securities, including CFOs, that are</w:t>
      </w:r>
      <w:r w:rsidR="002A3232" w:rsidRPr="00D924F4">
        <w:rPr>
          <w:szCs w:val="22"/>
        </w:rPr>
        <w:t xml:space="preserve"> generally recognized as</w:t>
      </w:r>
      <w:r w:rsidRPr="00D924F4">
        <w:rPr>
          <w:szCs w:val="22"/>
        </w:rPr>
        <w:t xml:space="preserve"> bonds</w:t>
      </w:r>
      <w:r w:rsidR="002A3232" w:rsidRPr="00D924F4">
        <w:rPr>
          <w:szCs w:val="22"/>
        </w:rPr>
        <w:t xml:space="preserve">, </w:t>
      </w:r>
      <w:r w:rsidR="00EA795A" w:rsidRPr="00D924F4">
        <w:rPr>
          <w:szCs w:val="22"/>
        </w:rPr>
        <w:t>by</w:t>
      </w:r>
      <w:r w:rsidR="002A3232" w:rsidRPr="00D924F4">
        <w:rPr>
          <w:szCs w:val="22"/>
        </w:rPr>
        <w:t xml:space="preserve"> </w:t>
      </w:r>
      <w:r w:rsidR="00BD1C9F" w:rsidRPr="00D924F4">
        <w:rPr>
          <w:szCs w:val="22"/>
        </w:rPr>
        <w:t xml:space="preserve">the </w:t>
      </w:r>
      <w:r w:rsidR="002A3232" w:rsidRPr="00D924F4">
        <w:rPr>
          <w:szCs w:val="22"/>
        </w:rPr>
        <w:t xml:space="preserve">SEC, the FASB and even </w:t>
      </w:r>
      <w:r w:rsidR="00BD1C9F" w:rsidRPr="00D924F4">
        <w:rPr>
          <w:szCs w:val="22"/>
        </w:rPr>
        <w:t xml:space="preserve">certain members of </w:t>
      </w:r>
      <w:r w:rsidR="002A3232" w:rsidRPr="00D924F4">
        <w:rPr>
          <w:szCs w:val="22"/>
        </w:rPr>
        <w:t>the NAIC</w:t>
      </w:r>
      <w:r w:rsidRPr="00D924F4">
        <w:rPr>
          <w:szCs w:val="22"/>
        </w:rPr>
        <w:t xml:space="preserve">. </w:t>
      </w:r>
      <w:r w:rsidR="002A3232" w:rsidRPr="00D924F4">
        <w:rPr>
          <w:szCs w:val="22"/>
        </w:rPr>
        <w:t xml:space="preserve"> </w:t>
      </w:r>
      <w:r w:rsidR="00D20A3C" w:rsidRPr="00D924F4">
        <w:rPr>
          <w:szCs w:val="22"/>
        </w:rPr>
        <w:t xml:space="preserve">The Internal Revenue Service also recognizes such securities as debt.  </w:t>
      </w:r>
    </w:p>
    <w:p w14:paraId="534E23B5" w14:textId="77777777" w:rsidR="00D20A3C" w:rsidRPr="00D924F4" w:rsidRDefault="00D20A3C" w:rsidP="002B1EAD">
      <w:pPr>
        <w:pStyle w:val="ListParagraph"/>
        <w:ind w:left="360"/>
        <w:jc w:val="both"/>
        <w:rPr>
          <w:szCs w:val="22"/>
        </w:rPr>
      </w:pPr>
    </w:p>
    <w:p w14:paraId="4522D348" w14:textId="00165EE9" w:rsidR="008034D8" w:rsidRPr="00D924F4" w:rsidRDefault="001D6B98" w:rsidP="002B1EAD">
      <w:pPr>
        <w:pStyle w:val="ListParagraph"/>
        <w:ind w:left="360"/>
        <w:jc w:val="both"/>
        <w:rPr>
          <w:szCs w:val="22"/>
        </w:rPr>
      </w:pPr>
      <w:r w:rsidRPr="00D924F4">
        <w:rPr>
          <w:szCs w:val="22"/>
        </w:rPr>
        <w:t>In addition to CFOs</w:t>
      </w:r>
      <w:r w:rsidR="00B934D6" w:rsidRPr="00D924F4">
        <w:rPr>
          <w:szCs w:val="22"/>
        </w:rPr>
        <w:t xml:space="preserve"> (see sections 5c &amp; 5d)</w:t>
      </w:r>
      <w:r w:rsidRPr="00D924F4">
        <w:rPr>
          <w:szCs w:val="22"/>
        </w:rPr>
        <w:t xml:space="preserve">, </w:t>
      </w:r>
      <w:r w:rsidR="00A7432E">
        <w:rPr>
          <w:szCs w:val="22"/>
        </w:rPr>
        <w:t>i</w:t>
      </w:r>
      <w:r w:rsidR="008034D8" w:rsidRPr="00D924F4">
        <w:rPr>
          <w:szCs w:val="22"/>
        </w:rPr>
        <w:t xml:space="preserve">nterested </w:t>
      </w:r>
      <w:r w:rsidR="00A7432E">
        <w:rPr>
          <w:szCs w:val="22"/>
        </w:rPr>
        <w:t>p</w:t>
      </w:r>
      <w:r w:rsidR="008034D8" w:rsidRPr="00D924F4">
        <w:rPr>
          <w:szCs w:val="22"/>
        </w:rPr>
        <w:t>arties highlight many such instances throughout this letter where we believe</w:t>
      </w:r>
      <w:r w:rsidR="00644AE1" w:rsidRPr="00D924F4">
        <w:rPr>
          <w:szCs w:val="22"/>
        </w:rPr>
        <w:t xml:space="preserve"> solely</w:t>
      </w:r>
      <w:r w:rsidR="008034D8" w:rsidRPr="00D924F4">
        <w:rPr>
          <w:szCs w:val="22"/>
        </w:rPr>
        <w:t xml:space="preserve"> “looking through” to the underlying assets is not appropriate</w:t>
      </w:r>
      <w:r w:rsidR="00933548" w:rsidRPr="00D924F4">
        <w:rPr>
          <w:szCs w:val="22"/>
        </w:rPr>
        <w:t>,</w:t>
      </w:r>
      <w:r w:rsidR="00644AE1" w:rsidRPr="00D924F4">
        <w:rPr>
          <w:szCs w:val="22"/>
        </w:rPr>
        <w:t xml:space="preserve"> and that other characteristics of the specific investments should be considered</w:t>
      </w:r>
      <w:r w:rsidR="00AA793B" w:rsidRPr="00D924F4">
        <w:rPr>
          <w:szCs w:val="22"/>
        </w:rPr>
        <w:t>.  S</w:t>
      </w:r>
      <w:r w:rsidR="008034D8" w:rsidRPr="00D924F4">
        <w:rPr>
          <w:szCs w:val="22"/>
        </w:rPr>
        <w:t xml:space="preserve">ee </w:t>
      </w:r>
      <w:r w:rsidR="00AA793B" w:rsidRPr="00D924F4">
        <w:rPr>
          <w:szCs w:val="22"/>
        </w:rPr>
        <w:t xml:space="preserve">also </w:t>
      </w:r>
      <w:r w:rsidR="002A3232" w:rsidRPr="00D924F4">
        <w:rPr>
          <w:szCs w:val="22"/>
        </w:rPr>
        <w:t xml:space="preserve">section </w:t>
      </w:r>
      <w:r w:rsidR="00343F55" w:rsidRPr="00D924F4">
        <w:rPr>
          <w:szCs w:val="22"/>
        </w:rPr>
        <w:t>5f</w:t>
      </w:r>
      <w:r w:rsidR="002A3232" w:rsidRPr="00D924F4">
        <w:rPr>
          <w:szCs w:val="22"/>
        </w:rPr>
        <w:t>, where airplanes, rail cars or other</w:t>
      </w:r>
      <w:r w:rsidR="00376531" w:rsidRPr="00D924F4">
        <w:rPr>
          <w:szCs w:val="22"/>
        </w:rPr>
        <w:t xml:space="preserve"> physical</w:t>
      </w:r>
      <w:r w:rsidR="002A3232" w:rsidRPr="00D924F4">
        <w:rPr>
          <w:szCs w:val="22"/>
        </w:rPr>
        <w:t xml:space="preserve"> assets, which are typically non-admitted assets</w:t>
      </w:r>
      <w:r w:rsidR="00AA793B" w:rsidRPr="00D924F4">
        <w:rPr>
          <w:szCs w:val="22"/>
        </w:rPr>
        <w:t>,</w:t>
      </w:r>
      <w:r w:rsidR="002A3232" w:rsidRPr="00D924F4">
        <w:rPr>
          <w:szCs w:val="22"/>
        </w:rPr>
        <w:t xml:space="preserve"> are cash generating through leases and are widely accepted as bonds even where there is re-leasing </w:t>
      </w:r>
      <w:r w:rsidR="00AA793B" w:rsidRPr="00D924F4">
        <w:rPr>
          <w:szCs w:val="22"/>
        </w:rPr>
        <w:t>and/</w:t>
      </w:r>
      <w:r w:rsidR="002A3232" w:rsidRPr="00D924F4">
        <w:rPr>
          <w:szCs w:val="22"/>
        </w:rPr>
        <w:t>or</w:t>
      </w:r>
      <w:r w:rsidR="00740238" w:rsidRPr="00D924F4">
        <w:rPr>
          <w:szCs w:val="22"/>
        </w:rPr>
        <w:t xml:space="preserve"> related residual</w:t>
      </w:r>
      <w:r w:rsidR="002A3232" w:rsidRPr="00D924F4">
        <w:rPr>
          <w:szCs w:val="22"/>
        </w:rPr>
        <w:t xml:space="preserve"> asset ris</w:t>
      </w:r>
      <w:r w:rsidR="00632E6B" w:rsidRPr="00D924F4">
        <w:rPr>
          <w:szCs w:val="22"/>
        </w:rPr>
        <w:t xml:space="preserve">k (i.e., </w:t>
      </w:r>
      <w:r w:rsidR="00B4281B" w:rsidRPr="00D924F4">
        <w:rPr>
          <w:szCs w:val="22"/>
        </w:rPr>
        <w:t>reliance on the cash generating ability of the underlying asset)</w:t>
      </w:r>
      <w:r w:rsidR="002A3232" w:rsidRPr="00D924F4">
        <w:rPr>
          <w:szCs w:val="22"/>
        </w:rPr>
        <w:t>.  Similarly, royalty securitizations, municipal bonds contingent upon proceeds</w:t>
      </w:r>
      <w:r w:rsidR="00AA793B" w:rsidRPr="00D924F4">
        <w:rPr>
          <w:szCs w:val="22"/>
        </w:rPr>
        <w:t xml:space="preserve"> from</w:t>
      </w:r>
      <w:r w:rsidR="002A3232" w:rsidRPr="00D924F4">
        <w:rPr>
          <w:szCs w:val="22"/>
        </w:rPr>
        <w:t xml:space="preserve"> tobacco settlements, </w:t>
      </w:r>
      <w:r w:rsidR="00740238" w:rsidRPr="00D924F4">
        <w:rPr>
          <w:szCs w:val="22"/>
        </w:rPr>
        <w:t>etc. are also widely accepted as bonds.  There are many more examples of such cash generating “non-admitted’ assets where bond accounting is appropriate.</w:t>
      </w:r>
    </w:p>
    <w:p w14:paraId="0AF1A10F" w14:textId="77777777" w:rsidR="00807EF9" w:rsidRPr="00D924F4" w:rsidRDefault="00807EF9" w:rsidP="002B1EAD">
      <w:pPr>
        <w:pStyle w:val="ListParagraph"/>
        <w:jc w:val="both"/>
        <w:rPr>
          <w:szCs w:val="22"/>
        </w:rPr>
      </w:pPr>
    </w:p>
    <w:p w14:paraId="72BC7D2F" w14:textId="71C326D9" w:rsidR="009F2BEC" w:rsidRPr="00D924F4" w:rsidRDefault="00CD16BC" w:rsidP="002B1EAD">
      <w:pPr>
        <w:pStyle w:val="ListParagraph"/>
        <w:numPr>
          <w:ilvl w:val="0"/>
          <w:numId w:val="12"/>
        </w:numPr>
        <w:jc w:val="both"/>
        <w:rPr>
          <w:szCs w:val="22"/>
        </w:rPr>
      </w:pPr>
      <w:r w:rsidRPr="00D924F4">
        <w:rPr>
          <w:szCs w:val="22"/>
        </w:rPr>
        <w:t xml:space="preserve">If </w:t>
      </w:r>
      <w:r w:rsidR="00F07F2E" w:rsidRPr="00D924F4">
        <w:rPr>
          <w:szCs w:val="22"/>
        </w:rPr>
        <w:t>the end product of this project results in</w:t>
      </w:r>
      <w:r w:rsidR="009F2BEC" w:rsidRPr="00D924F4">
        <w:rPr>
          <w:szCs w:val="22"/>
        </w:rPr>
        <w:t xml:space="preserve"> significant changes to </w:t>
      </w:r>
      <w:r w:rsidR="001D6B98" w:rsidRPr="00D924F4">
        <w:rPr>
          <w:szCs w:val="22"/>
        </w:rPr>
        <w:t xml:space="preserve">bond accounting and </w:t>
      </w:r>
      <w:r w:rsidR="009F2BEC" w:rsidRPr="00D924F4">
        <w:rPr>
          <w:szCs w:val="22"/>
        </w:rPr>
        <w:t xml:space="preserve">of Schedule D </w:t>
      </w:r>
      <w:r w:rsidR="001D6B98" w:rsidRPr="00D924F4">
        <w:rPr>
          <w:szCs w:val="22"/>
        </w:rPr>
        <w:t>reporting</w:t>
      </w:r>
      <w:r w:rsidR="009F2BEC" w:rsidRPr="00D924F4">
        <w:rPr>
          <w:szCs w:val="22"/>
        </w:rPr>
        <w:t xml:space="preserve">, </w:t>
      </w:r>
      <w:r w:rsidR="00A7432E">
        <w:rPr>
          <w:szCs w:val="22"/>
        </w:rPr>
        <w:t>i</w:t>
      </w:r>
      <w:r w:rsidR="00343F55" w:rsidRPr="00D924F4">
        <w:rPr>
          <w:szCs w:val="22"/>
        </w:rPr>
        <w:t xml:space="preserve">nterested </w:t>
      </w:r>
      <w:r w:rsidR="00A7432E">
        <w:rPr>
          <w:szCs w:val="22"/>
        </w:rPr>
        <w:t>p</w:t>
      </w:r>
      <w:r w:rsidR="00343F55" w:rsidRPr="00D924F4">
        <w:rPr>
          <w:szCs w:val="22"/>
        </w:rPr>
        <w:t>arties</w:t>
      </w:r>
      <w:r w:rsidR="009F2BEC" w:rsidRPr="00D924F4">
        <w:rPr>
          <w:szCs w:val="22"/>
        </w:rPr>
        <w:t xml:space="preserve"> strongly believe any new scope requirements should be applied prospectively</w:t>
      </w:r>
      <w:r w:rsidR="00B64368" w:rsidRPr="00D924F4">
        <w:rPr>
          <w:szCs w:val="22"/>
        </w:rPr>
        <w:t>,</w:t>
      </w:r>
      <w:r w:rsidR="009F2BEC" w:rsidRPr="00D924F4">
        <w:rPr>
          <w:szCs w:val="22"/>
        </w:rPr>
        <w:t xml:space="preserve"> so as to not penalize insurance companies who have </w:t>
      </w:r>
      <w:r w:rsidR="001D6B98" w:rsidRPr="00D924F4">
        <w:rPr>
          <w:szCs w:val="22"/>
        </w:rPr>
        <w:t xml:space="preserve">complied with </w:t>
      </w:r>
      <w:r w:rsidR="009F2BEC" w:rsidRPr="00D924F4">
        <w:rPr>
          <w:szCs w:val="22"/>
        </w:rPr>
        <w:t xml:space="preserve">the rules prior to any such scope change.  With that said, </w:t>
      </w:r>
      <w:r w:rsidR="00A7432E">
        <w:rPr>
          <w:szCs w:val="22"/>
        </w:rPr>
        <w:t>i</w:t>
      </w:r>
      <w:r w:rsidR="009F2BEC" w:rsidRPr="00D924F4">
        <w:rPr>
          <w:szCs w:val="22"/>
        </w:rPr>
        <w:t xml:space="preserve">nterested </w:t>
      </w:r>
      <w:r w:rsidR="00A7432E">
        <w:rPr>
          <w:szCs w:val="22"/>
        </w:rPr>
        <w:t>p</w:t>
      </w:r>
      <w:r w:rsidR="009F2BEC" w:rsidRPr="00D924F4">
        <w:rPr>
          <w:szCs w:val="22"/>
        </w:rPr>
        <w:t xml:space="preserve">arties would agree </w:t>
      </w:r>
      <w:r w:rsidR="001D6B98" w:rsidRPr="00D924F4">
        <w:rPr>
          <w:szCs w:val="22"/>
        </w:rPr>
        <w:t>to</w:t>
      </w:r>
      <w:r w:rsidR="009F2BEC" w:rsidRPr="00D924F4">
        <w:rPr>
          <w:szCs w:val="22"/>
        </w:rPr>
        <w:t xml:space="preserve"> exceptions to this general principle if, as a result of the scope changes, transactions are identified that were </w:t>
      </w:r>
      <w:r w:rsidR="00343F55" w:rsidRPr="00D924F4">
        <w:rPr>
          <w:szCs w:val="22"/>
        </w:rPr>
        <w:t>deemed</w:t>
      </w:r>
      <w:r w:rsidR="009F2BEC" w:rsidRPr="00D924F4">
        <w:rPr>
          <w:szCs w:val="22"/>
        </w:rPr>
        <w:t xml:space="preserve"> abusive</w:t>
      </w:r>
      <w:r w:rsidR="00BD1C9F" w:rsidRPr="00D924F4">
        <w:rPr>
          <w:szCs w:val="22"/>
        </w:rPr>
        <w:t xml:space="preserve"> by regulators</w:t>
      </w:r>
      <w:r w:rsidR="009F2BEC" w:rsidRPr="00D924F4">
        <w:rPr>
          <w:szCs w:val="22"/>
        </w:rPr>
        <w:t>.</w:t>
      </w:r>
      <w:r w:rsidR="004B37A8" w:rsidRPr="00D924F4">
        <w:rPr>
          <w:szCs w:val="22"/>
        </w:rPr>
        <w:t xml:space="preserve"> </w:t>
      </w:r>
    </w:p>
    <w:p w14:paraId="441B71E1" w14:textId="77777777" w:rsidR="009F2BEC" w:rsidRPr="00D924F4" w:rsidRDefault="009F2BEC" w:rsidP="002B1EAD">
      <w:pPr>
        <w:pStyle w:val="ListParagraph"/>
        <w:jc w:val="both"/>
        <w:rPr>
          <w:szCs w:val="22"/>
        </w:rPr>
      </w:pPr>
    </w:p>
    <w:p w14:paraId="6BEC9DAD" w14:textId="7A743F42" w:rsidR="009F2BEC" w:rsidRPr="00D924F4" w:rsidRDefault="009F2BEC" w:rsidP="002B1EAD">
      <w:pPr>
        <w:pStyle w:val="ListParagraph"/>
        <w:numPr>
          <w:ilvl w:val="0"/>
          <w:numId w:val="12"/>
        </w:numPr>
        <w:jc w:val="both"/>
        <w:rPr>
          <w:szCs w:val="22"/>
        </w:rPr>
      </w:pPr>
      <w:r w:rsidRPr="00D924F4">
        <w:rPr>
          <w:szCs w:val="22"/>
        </w:rPr>
        <w:t xml:space="preserve">Interested </w:t>
      </w:r>
      <w:r w:rsidR="00A7432E">
        <w:rPr>
          <w:szCs w:val="22"/>
        </w:rPr>
        <w:t>p</w:t>
      </w:r>
      <w:r w:rsidRPr="00D924F4">
        <w:rPr>
          <w:szCs w:val="22"/>
        </w:rPr>
        <w:t xml:space="preserve">arties also believe it is imperative that any security-types where the scope </w:t>
      </w:r>
      <w:r w:rsidR="00264317" w:rsidRPr="00D924F4">
        <w:rPr>
          <w:szCs w:val="22"/>
        </w:rPr>
        <w:t xml:space="preserve">or accounting </w:t>
      </w:r>
      <w:r w:rsidRPr="00D924F4">
        <w:rPr>
          <w:szCs w:val="22"/>
        </w:rPr>
        <w:t>is proposed to be changed, get adequate due process before SAPWG</w:t>
      </w:r>
      <w:r w:rsidR="00264317" w:rsidRPr="00D924F4">
        <w:rPr>
          <w:szCs w:val="22"/>
        </w:rPr>
        <w:t>,</w:t>
      </w:r>
      <w:r w:rsidRPr="00D924F4">
        <w:rPr>
          <w:szCs w:val="22"/>
        </w:rPr>
        <w:t xml:space="preserve"> </w:t>
      </w:r>
      <w:r w:rsidR="001D6B98" w:rsidRPr="00D924F4">
        <w:rPr>
          <w:szCs w:val="22"/>
        </w:rPr>
        <w:t>and</w:t>
      </w:r>
      <w:r w:rsidRPr="00D924F4">
        <w:rPr>
          <w:szCs w:val="22"/>
        </w:rPr>
        <w:t xml:space="preserve"> not get approved with a pass/fail vote on the broader proposed new standard.</w:t>
      </w:r>
      <w:r w:rsidR="00A66477" w:rsidRPr="00D924F4">
        <w:rPr>
          <w:szCs w:val="22"/>
        </w:rPr>
        <w:t xml:space="preserve">  As noted above, this is a very complicated and technical area, and it serves both insurance companies and regulators to spend the requisite time to address </w:t>
      </w:r>
      <w:r w:rsidR="007915C4" w:rsidRPr="00D924F4">
        <w:rPr>
          <w:szCs w:val="22"/>
        </w:rPr>
        <w:t xml:space="preserve">affected asset classes </w:t>
      </w:r>
      <w:r w:rsidR="00A66477" w:rsidRPr="00D924F4">
        <w:rPr>
          <w:szCs w:val="22"/>
        </w:rPr>
        <w:t>individually.</w:t>
      </w:r>
      <w:r w:rsidR="007A2F48" w:rsidRPr="00D924F4">
        <w:rPr>
          <w:szCs w:val="22"/>
        </w:rPr>
        <w:t xml:space="preserve"> Further, drastic changes to scope of bonds could have a </w:t>
      </w:r>
      <w:r w:rsidR="00294898" w:rsidRPr="00D924F4">
        <w:rPr>
          <w:szCs w:val="22"/>
        </w:rPr>
        <w:t>significant</w:t>
      </w:r>
      <w:r w:rsidR="007A2F48" w:rsidRPr="00D924F4">
        <w:rPr>
          <w:szCs w:val="22"/>
        </w:rPr>
        <w:t xml:space="preserve"> impact to certain areas of the capital markets or insurance company balance sheets.  </w:t>
      </w:r>
      <w:r w:rsidR="00294898" w:rsidRPr="00D924F4">
        <w:rPr>
          <w:szCs w:val="22"/>
        </w:rPr>
        <w:t xml:space="preserve">For example, even now, </w:t>
      </w:r>
      <w:r w:rsidR="00B934D6" w:rsidRPr="00D924F4">
        <w:rPr>
          <w:szCs w:val="22"/>
        </w:rPr>
        <w:t xml:space="preserve">many </w:t>
      </w:r>
      <w:r w:rsidR="00294898" w:rsidRPr="00D924F4">
        <w:rPr>
          <w:szCs w:val="22"/>
        </w:rPr>
        <w:t>insurance companies have stopped investing in CFO debt type securities given the regulatory uncertainty associated with their acceptability at the NAIC.  Likewise, the CTL market is also challenged with regulatory uncertainty and their potential classification as Schedule BA assets.</w:t>
      </w:r>
      <w:r w:rsidR="00B934D6" w:rsidRPr="00D924F4">
        <w:rPr>
          <w:szCs w:val="22"/>
        </w:rPr>
        <w:t xml:space="preserve">  These are very good asset classes, with a track record of success, and such uncertainty is not healthy for insurance companies, regulators and ultimately policyholders, especially </w:t>
      </w:r>
      <w:r w:rsidR="00052C07" w:rsidRPr="00D924F4">
        <w:rPr>
          <w:szCs w:val="22"/>
        </w:rPr>
        <w:t>while</w:t>
      </w:r>
      <w:r w:rsidR="00B934D6" w:rsidRPr="00D924F4">
        <w:rPr>
          <w:szCs w:val="22"/>
        </w:rPr>
        <w:t xml:space="preserve"> already being challenged by the extended low interest rate environment.</w:t>
      </w:r>
    </w:p>
    <w:p w14:paraId="6F69E6FD" w14:textId="77777777" w:rsidR="00F07F2E" w:rsidRPr="00D924F4" w:rsidRDefault="009F2BEC" w:rsidP="002B1EAD">
      <w:pPr>
        <w:jc w:val="both"/>
        <w:rPr>
          <w:szCs w:val="22"/>
        </w:rPr>
      </w:pPr>
      <w:r w:rsidRPr="00D924F4">
        <w:rPr>
          <w:szCs w:val="22"/>
        </w:rPr>
        <w:t xml:space="preserve"> </w:t>
      </w:r>
    </w:p>
    <w:p w14:paraId="7B918D6D" w14:textId="4F7F0652" w:rsidR="000C2E3F" w:rsidRPr="00D924F4" w:rsidRDefault="009F2BEC" w:rsidP="002B1EAD">
      <w:pPr>
        <w:pStyle w:val="ListParagraph"/>
        <w:numPr>
          <w:ilvl w:val="0"/>
          <w:numId w:val="12"/>
        </w:numPr>
        <w:jc w:val="both"/>
        <w:rPr>
          <w:szCs w:val="22"/>
        </w:rPr>
      </w:pPr>
      <w:r w:rsidRPr="00D924F4">
        <w:rPr>
          <w:szCs w:val="22"/>
        </w:rPr>
        <w:t>Lastly, w</w:t>
      </w:r>
      <w:r w:rsidR="00F07F2E" w:rsidRPr="00D924F4">
        <w:rPr>
          <w:szCs w:val="22"/>
        </w:rPr>
        <w:t>e appreciate NAIC staff’s acknowledgement and support of industry’s efforts to clarify the fundamentals that will help address some of the perceived abuses</w:t>
      </w:r>
      <w:r w:rsidR="004C6453" w:rsidRPr="00D924F4">
        <w:rPr>
          <w:szCs w:val="22"/>
        </w:rPr>
        <w:t xml:space="preserve"> and develop a </w:t>
      </w:r>
      <w:r w:rsidR="006965A8" w:rsidRPr="00D924F4">
        <w:rPr>
          <w:szCs w:val="22"/>
        </w:rPr>
        <w:t>revised</w:t>
      </w:r>
      <w:r w:rsidR="004C6453" w:rsidRPr="00D924F4">
        <w:rPr>
          <w:szCs w:val="22"/>
        </w:rPr>
        <w:t xml:space="preserve"> standard</w:t>
      </w:r>
      <w:r w:rsidR="00F07F2E" w:rsidRPr="00D924F4">
        <w:rPr>
          <w:szCs w:val="22"/>
        </w:rPr>
        <w:t xml:space="preserve">.  </w:t>
      </w:r>
    </w:p>
    <w:p w14:paraId="786B4B00" w14:textId="118A1B4A" w:rsidR="004C6453" w:rsidRPr="00D924F4" w:rsidRDefault="004C6453" w:rsidP="002B1EAD">
      <w:pPr>
        <w:jc w:val="both"/>
        <w:rPr>
          <w:szCs w:val="22"/>
        </w:rPr>
      </w:pPr>
    </w:p>
    <w:p w14:paraId="5463096D" w14:textId="70C1066A" w:rsidR="000C2E3F" w:rsidRPr="00D924F4" w:rsidRDefault="000C2E3F" w:rsidP="002B1EAD">
      <w:pPr>
        <w:pStyle w:val="Default"/>
        <w:ind w:left="360"/>
        <w:jc w:val="both"/>
        <w:rPr>
          <w:sz w:val="22"/>
          <w:szCs w:val="22"/>
        </w:rPr>
      </w:pPr>
      <w:bookmarkStart w:id="9" w:name="_Hlk46064794"/>
      <w:r w:rsidRPr="00D924F4">
        <w:rPr>
          <w:sz w:val="22"/>
          <w:szCs w:val="22"/>
        </w:rPr>
        <w:t xml:space="preserve">Quite possibly, the most important part of the </w:t>
      </w:r>
      <w:r w:rsidR="00A7432E">
        <w:rPr>
          <w:sz w:val="22"/>
          <w:szCs w:val="22"/>
        </w:rPr>
        <w:t>i</w:t>
      </w:r>
      <w:r w:rsidRPr="00D924F4">
        <w:rPr>
          <w:sz w:val="22"/>
          <w:szCs w:val="22"/>
        </w:rPr>
        <w:t xml:space="preserve">nterested </w:t>
      </w:r>
      <w:r w:rsidR="00A7432E">
        <w:rPr>
          <w:sz w:val="22"/>
          <w:szCs w:val="22"/>
        </w:rPr>
        <w:t>p</w:t>
      </w:r>
      <w:r w:rsidRPr="00D924F4">
        <w:rPr>
          <w:sz w:val="22"/>
          <w:szCs w:val="22"/>
        </w:rPr>
        <w:t xml:space="preserve">arties’ response to the </w:t>
      </w:r>
      <w:r w:rsidR="001D6B98" w:rsidRPr="00D924F4">
        <w:rPr>
          <w:sz w:val="22"/>
          <w:szCs w:val="22"/>
        </w:rPr>
        <w:t>E</w:t>
      </w:r>
      <w:r w:rsidRPr="00D924F4">
        <w:rPr>
          <w:sz w:val="22"/>
          <w:szCs w:val="22"/>
        </w:rPr>
        <w:t xml:space="preserve">xposure, is the </w:t>
      </w:r>
      <w:r w:rsidR="00B4281B" w:rsidRPr="00D924F4">
        <w:rPr>
          <w:sz w:val="22"/>
          <w:szCs w:val="22"/>
        </w:rPr>
        <w:t>Appendix II</w:t>
      </w:r>
      <w:r w:rsidRPr="00D924F4">
        <w:rPr>
          <w:sz w:val="22"/>
          <w:szCs w:val="22"/>
        </w:rPr>
        <w:t xml:space="preserve"> included at the end of our letter </w:t>
      </w:r>
      <w:r w:rsidR="00ED7D72" w:rsidRPr="00D924F4">
        <w:rPr>
          <w:sz w:val="22"/>
          <w:szCs w:val="22"/>
        </w:rPr>
        <w:t>as well as</w:t>
      </w:r>
      <w:r w:rsidRPr="00D924F4">
        <w:rPr>
          <w:sz w:val="22"/>
          <w:szCs w:val="22"/>
        </w:rPr>
        <w:t xml:space="preserve"> discussed in section 2 of </w:t>
      </w:r>
      <w:r w:rsidR="001D6B98" w:rsidRPr="00D924F4">
        <w:rPr>
          <w:sz w:val="22"/>
          <w:szCs w:val="22"/>
        </w:rPr>
        <w:t>this</w:t>
      </w:r>
      <w:r w:rsidRPr="00D924F4">
        <w:rPr>
          <w:sz w:val="22"/>
          <w:szCs w:val="22"/>
        </w:rPr>
        <w:t xml:space="preserve"> letter.  </w:t>
      </w:r>
      <w:r w:rsidR="00B4281B" w:rsidRPr="00D924F4">
        <w:rPr>
          <w:sz w:val="22"/>
          <w:szCs w:val="22"/>
        </w:rPr>
        <w:t>Appendix</w:t>
      </w:r>
      <w:r w:rsidR="00891650" w:rsidRPr="00D924F4">
        <w:rPr>
          <w:sz w:val="22"/>
          <w:szCs w:val="22"/>
        </w:rPr>
        <w:t xml:space="preserve"> II</w:t>
      </w:r>
      <w:r w:rsidR="004C4CC6" w:rsidRPr="00D924F4">
        <w:rPr>
          <w:sz w:val="22"/>
          <w:szCs w:val="22"/>
        </w:rPr>
        <w:t xml:space="preserve"> </w:t>
      </w:r>
      <w:r w:rsidRPr="00D924F4">
        <w:rPr>
          <w:sz w:val="22"/>
          <w:szCs w:val="22"/>
        </w:rPr>
        <w:t xml:space="preserve">highlights </w:t>
      </w:r>
      <w:r w:rsidR="00B4281B" w:rsidRPr="00D924F4">
        <w:rPr>
          <w:sz w:val="22"/>
          <w:szCs w:val="22"/>
        </w:rPr>
        <w:t>a</w:t>
      </w:r>
      <w:r w:rsidRPr="00D924F4">
        <w:rPr>
          <w:sz w:val="22"/>
          <w:szCs w:val="22"/>
        </w:rPr>
        <w:t xml:space="preserve"> </w:t>
      </w:r>
      <w:r w:rsidR="00E904C3" w:rsidRPr="00D924F4">
        <w:rPr>
          <w:sz w:val="22"/>
          <w:szCs w:val="22"/>
        </w:rPr>
        <w:t>preliminary</w:t>
      </w:r>
      <w:r w:rsidR="00B4281B" w:rsidRPr="00D924F4">
        <w:rPr>
          <w:sz w:val="22"/>
          <w:szCs w:val="22"/>
        </w:rPr>
        <w:t xml:space="preserve"> list of</w:t>
      </w:r>
      <w:r w:rsidR="00E904C3" w:rsidRPr="00D924F4">
        <w:rPr>
          <w:sz w:val="22"/>
          <w:szCs w:val="22"/>
        </w:rPr>
        <w:t xml:space="preserve"> securities (e.g., any security issued from a</w:t>
      </w:r>
      <w:r w:rsidR="00ED7D72" w:rsidRPr="00D924F4">
        <w:rPr>
          <w:sz w:val="22"/>
          <w:szCs w:val="22"/>
        </w:rPr>
        <w:t xml:space="preserve"> Trust </w:t>
      </w:r>
      <w:r w:rsidR="00ED7D72" w:rsidRPr="00D924F4">
        <w:rPr>
          <w:color w:val="auto"/>
          <w:sz w:val="22"/>
          <w:szCs w:val="22"/>
        </w:rPr>
        <w:t>or SP</w:t>
      </w:r>
      <w:r w:rsidR="00D66D1F" w:rsidRPr="00D924F4">
        <w:rPr>
          <w:color w:val="auto"/>
          <w:sz w:val="22"/>
          <w:szCs w:val="22"/>
        </w:rPr>
        <w:t>V</w:t>
      </w:r>
      <w:r w:rsidR="00E904C3" w:rsidRPr="00D924F4">
        <w:rPr>
          <w:color w:val="auto"/>
          <w:sz w:val="22"/>
          <w:szCs w:val="22"/>
        </w:rPr>
        <w:t xml:space="preserve">, </w:t>
      </w:r>
      <w:r w:rsidR="00E904C3" w:rsidRPr="00D924F4">
        <w:rPr>
          <w:sz w:val="22"/>
          <w:szCs w:val="22"/>
        </w:rPr>
        <w:t xml:space="preserve">inclusive of </w:t>
      </w:r>
      <w:r w:rsidR="00E904C3" w:rsidRPr="00D924F4">
        <w:rPr>
          <w:sz w:val="22"/>
          <w:szCs w:val="22"/>
        </w:rPr>
        <w:lastRenderedPageBreak/>
        <w:t xml:space="preserve">existing SSAP No. 26R securities) </w:t>
      </w:r>
      <w:r w:rsidR="00B05B6D" w:rsidRPr="00D924F4">
        <w:rPr>
          <w:sz w:val="22"/>
          <w:szCs w:val="22"/>
        </w:rPr>
        <w:t>many of which</w:t>
      </w:r>
      <w:r w:rsidR="00E904C3" w:rsidRPr="00D924F4">
        <w:rPr>
          <w:sz w:val="22"/>
          <w:szCs w:val="22"/>
        </w:rPr>
        <w:t xml:space="preserve"> </w:t>
      </w:r>
      <w:r w:rsidR="00A7432E">
        <w:rPr>
          <w:sz w:val="22"/>
          <w:szCs w:val="22"/>
        </w:rPr>
        <w:t>i</w:t>
      </w:r>
      <w:r w:rsidR="00E904C3" w:rsidRPr="00D924F4">
        <w:rPr>
          <w:sz w:val="22"/>
          <w:szCs w:val="22"/>
        </w:rPr>
        <w:t xml:space="preserve">nterested </w:t>
      </w:r>
      <w:r w:rsidR="00A7432E">
        <w:rPr>
          <w:sz w:val="22"/>
          <w:szCs w:val="22"/>
        </w:rPr>
        <w:t>p</w:t>
      </w:r>
      <w:r w:rsidR="00E904C3" w:rsidRPr="00D924F4">
        <w:rPr>
          <w:sz w:val="22"/>
          <w:szCs w:val="22"/>
        </w:rPr>
        <w:t xml:space="preserve">arties do not believe meet the scope of </w:t>
      </w:r>
      <w:r w:rsidR="00E904C3" w:rsidRPr="00D924F4">
        <w:rPr>
          <w:color w:val="auto"/>
          <w:sz w:val="22"/>
          <w:szCs w:val="22"/>
        </w:rPr>
        <w:t>either the 1933</w:t>
      </w:r>
      <w:r w:rsidR="00D66D1F" w:rsidRPr="00D924F4">
        <w:rPr>
          <w:color w:val="auto"/>
          <w:sz w:val="22"/>
          <w:szCs w:val="22"/>
        </w:rPr>
        <w:t xml:space="preserve"> Act Definition or the</w:t>
      </w:r>
      <w:r w:rsidR="00E904C3" w:rsidRPr="00D924F4">
        <w:rPr>
          <w:color w:val="auto"/>
          <w:sz w:val="22"/>
          <w:szCs w:val="22"/>
        </w:rPr>
        <w:t xml:space="preserve"> </w:t>
      </w:r>
      <w:r w:rsidR="00E904C3" w:rsidRPr="00D924F4">
        <w:rPr>
          <w:sz w:val="22"/>
          <w:szCs w:val="22"/>
        </w:rPr>
        <w:t>1934 Act Definition.</w:t>
      </w:r>
      <w:r w:rsidR="00B4281B" w:rsidRPr="00D924F4">
        <w:rPr>
          <w:sz w:val="22"/>
          <w:szCs w:val="22"/>
        </w:rPr>
        <w:t xml:space="preserve">  It is important to note that</w:t>
      </w:r>
      <w:r w:rsidR="00013D44" w:rsidRPr="00D924F4">
        <w:rPr>
          <w:sz w:val="22"/>
          <w:szCs w:val="22"/>
        </w:rPr>
        <w:t xml:space="preserve"> this is only an initial attempt at identifying</w:t>
      </w:r>
      <w:r w:rsidR="00B4281B" w:rsidRPr="00D924F4">
        <w:rPr>
          <w:sz w:val="22"/>
          <w:szCs w:val="22"/>
        </w:rPr>
        <w:t xml:space="preserve"> securities by </w:t>
      </w:r>
      <w:r w:rsidR="00A7432E">
        <w:rPr>
          <w:sz w:val="22"/>
          <w:szCs w:val="22"/>
        </w:rPr>
        <w:t>i</w:t>
      </w:r>
      <w:r w:rsidR="00B4281B" w:rsidRPr="00D924F4">
        <w:rPr>
          <w:sz w:val="22"/>
          <w:szCs w:val="22"/>
        </w:rPr>
        <w:t xml:space="preserve">nterested </w:t>
      </w:r>
      <w:r w:rsidR="00A7432E">
        <w:rPr>
          <w:sz w:val="22"/>
          <w:szCs w:val="22"/>
        </w:rPr>
        <w:t>p</w:t>
      </w:r>
      <w:r w:rsidR="00B4281B" w:rsidRPr="00D924F4">
        <w:rPr>
          <w:sz w:val="22"/>
          <w:szCs w:val="22"/>
        </w:rPr>
        <w:t xml:space="preserve">arties after a “deep dive” into insurers’ investment portfolios.  As this was a very significant effort, it illustrates how complex, time-consuming, and difficult it is to evaluate investments issued by a Trust or SPV to determine if they meet the 1933 Act Definition or the 1934 Act Definition.  </w:t>
      </w:r>
      <w:r w:rsidR="002E6EB6" w:rsidRPr="00D924F4">
        <w:rPr>
          <w:sz w:val="22"/>
          <w:szCs w:val="22"/>
        </w:rPr>
        <w:t xml:space="preserve">Much of </w:t>
      </w:r>
      <w:r w:rsidR="00B4281B" w:rsidRPr="00D924F4">
        <w:rPr>
          <w:sz w:val="22"/>
          <w:szCs w:val="22"/>
        </w:rPr>
        <w:t>the analysis</w:t>
      </w:r>
      <w:r w:rsidR="002E6EB6" w:rsidRPr="00D924F4">
        <w:rPr>
          <w:sz w:val="22"/>
          <w:szCs w:val="22"/>
        </w:rPr>
        <w:t xml:space="preserve"> involved</w:t>
      </w:r>
      <w:r w:rsidR="00B4281B" w:rsidRPr="00D924F4">
        <w:rPr>
          <w:sz w:val="22"/>
          <w:szCs w:val="22"/>
        </w:rPr>
        <w:t xml:space="preserve"> an individual asset-by-asset a</w:t>
      </w:r>
      <w:r w:rsidR="002E6EB6" w:rsidRPr="00D924F4">
        <w:rPr>
          <w:sz w:val="22"/>
          <w:szCs w:val="22"/>
        </w:rPr>
        <w:t>ssessment</w:t>
      </w:r>
      <w:r w:rsidR="00B4281B" w:rsidRPr="00D924F4">
        <w:rPr>
          <w:sz w:val="22"/>
          <w:szCs w:val="22"/>
        </w:rPr>
        <w:t xml:space="preserve"> that took a significant amount of time for insurers to perform.  Many more hours of analysis would be required to identify all investments issued by</w:t>
      </w:r>
      <w:r w:rsidR="002E6EB6" w:rsidRPr="00D924F4">
        <w:rPr>
          <w:sz w:val="22"/>
          <w:szCs w:val="22"/>
        </w:rPr>
        <w:t xml:space="preserve"> a</w:t>
      </w:r>
      <w:r w:rsidR="00B4281B" w:rsidRPr="00D924F4">
        <w:rPr>
          <w:sz w:val="22"/>
          <w:szCs w:val="22"/>
        </w:rPr>
        <w:t xml:space="preserve"> Trust or SPV to determine classification in accordance with the Exposure.  </w:t>
      </w:r>
      <w:r w:rsidR="00294898" w:rsidRPr="00D924F4">
        <w:rPr>
          <w:sz w:val="22"/>
          <w:szCs w:val="22"/>
        </w:rPr>
        <w:t xml:space="preserve">Even after </w:t>
      </w:r>
      <w:r w:rsidR="00A7432E">
        <w:rPr>
          <w:sz w:val="22"/>
          <w:szCs w:val="22"/>
        </w:rPr>
        <w:t>i</w:t>
      </w:r>
      <w:r w:rsidR="00294898" w:rsidRPr="00D924F4">
        <w:rPr>
          <w:sz w:val="22"/>
          <w:szCs w:val="22"/>
        </w:rPr>
        <w:t xml:space="preserve">nterested </w:t>
      </w:r>
      <w:r w:rsidR="00A7432E">
        <w:rPr>
          <w:sz w:val="22"/>
          <w:szCs w:val="22"/>
        </w:rPr>
        <w:t>p</w:t>
      </w:r>
      <w:r w:rsidR="00294898" w:rsidRPr="00D924F4">
        <w:rPr>
          <w:sz w:val="22"/>
          <w:szCs w:val="22"/>
        </w:rPr>
        <w:t xml:space="preserve">arties’ efforts, there is still significant uncertainty about what asset classes qualify, and often the answer is “it depends.”  </w:t>
      </w:r>
      <w:r w:rsidR="00E904C3" w:rsidRPr="00D924F4">
        <w:rPr>
          <w:sz w:val="22"/>
          <w:szCs w:val="22"/>
        </w:rPr>
        <w:t xml:space="preserve">In order to determine appropriate principles for ABS beyond those included within these definitions, it is imperative all the above issues be addressed.  </w:t>
      </w:r>
      <w:r w:rsidR="002E6EB6" w:rsidRPr="00D924F4">
        <w:rPr>
          <w:sz w:val="22"/>
          <w:szCs w:val="22"/>
        </w:rPr>
        <w:t xml:space="preserve">Interested </w:t>
      </w:r>
      <w:r w:rsidR="00A7432E">
        <w:rPr>
          <w:sz w:val="22"/>
          <w:szCs w:val="22"/>
        </w:rPr>
        <w:t>p</w:t>
      </w:r>
      <w:r w:rsidR="002E6EB6" w:rsidRPr="00D924F4">
        <w:rPr>
          <w:sz w:val="22"/>
          <w:szCs w:val="22"/>
        </w:rPr>
        <w:t>arties</w:t>
      </w:r>
      <w:r w:rsidR="00E904C3" w:rsidRPr="00D924F4">
        <w:rPr>
          <w:sz w:val="22"/>
          <w:szCs w:val="22"/>
        </w:rPr>
        <w:t xml:space="preserve"> attempt</w:t>
      </w:r>
      <w:r w:rsidR="00B52289">
        <w:rPr>
          <w:sz w:val="22"/>
          <w:szCs w:val="22"/>
        </w:rPr>
        <w:t>ed</w:t>
      </w:r>
      <w:r w:rsidR="00E904C3" w:rsidRPr="00D924F4">
        <w:rPr>
          <w:sz w:val="22"/>
          <w:szCs w:val="22"/>
        </w:rPr>
        <w:t xml:space="preserve"> to summarize</w:t>
      </w:r>
      <w:r w:rsidR="00B52289">
        <w:rPr>
          <w:sz w:val="22"/>
          <w:szCs w:val="22"/>
        </w:rPr>
        <w:t xml:space="preserve"> these points as follows</w:t>
      </w:r>
      <w:r w:rsidR="00E904C3" w:rsidRPr="00D924F4">
        <w:rPr>
          <w:sz w:val="22"/>
          <w:szCs w:val="22"/>
        </w:rPr>
        <w:t>:</w:t>
      </w:r>
    </w:p>
    <w:bookmarkEnd w:id="9"/>
    <w:p w14:paraId="174C8DC9" w14:textId="6EE8262B" w:rsidR="00E904C3" w:rsidRPr="00D924F4" w:rsidRDefault="00E904C3" w:rsidP="002B1EAD">
      <w:pPr>
        <w:pStyle w:val="Default"/>
        <w:ind w:left="360"/>
        <w:jc w:val="both"/>
        <w:rPr>
          <w:sz w:val="22"/>
          <w:szCs w:val="22"/>
        </w:rPr>
      </w:pPr>
    </w:p>
    <w:p w14:paraId="5B0D2AC4" w14:textId="23F87837" w:rsidR="00E904C3" w:rsidRPr="00D924F4" w:rsidRDefault="00E904C3" w:rsidP="002B1EAD">
      <w:pPr>
        <w:pStyle w:val="Default"/>
        <w:numPr>
          <w:ilvl w:val="0"/>
          <w:numId w:val="27"/>
        </w:numPr>
        <w:jc w:val="both"/>
        <w:rPr>
          <w:sz w:val="22"/>
          <w:szCs w:val="22"/>
        </w:rPr>
      </w:pPr>
      <w:r w:rsidRPr="00D924F4">
        <w:rPr>
          <w:sz w:val="22"/>
          <w:szCs w:val="22"/>
        </w:rPr>
        <w:t xml:space="preserve">Clarify </w:t>
      </w:r>
      <w:r w:rsidR="002E6EB6" w:rsidRPr="00D924F4">
        <w:rPr>
          <w:sz w:val="22"/>
          <w:szCs w:val="22"/>
        </w:rPr>
        <w:t>whether</w:t>
      </w:r>
      <w:r w:rsidR="00ED7D72" w:rsidRPr="00D924F4">
        <w:rPr>
          <w:sz w:val="22"/>
          <w:szCs w:val="22"/>
        </w:rPr>
        <w:t xml:space="preserve"> regulators</w:t>
      </w:r>
      <w:r w:rsidR="002E6EB6" w:rsidRPr="00D924F4">
        <w:rPr>
          <w:sz w:val="22"/>
          <w:szCs w:val="22"/>
        </w:rPr>
        <w:t xml:space="preserve"> intend</w:t>
      </w:r>
      <w:r w:rsidR="00ED7D72" w:rsidRPr="00D924F4">
        <w:rPr>
          <w:sz w:val="22"/>
          <w:szCs w:val="22"/>
        </w:rPr>
        <w:t xml:space="preserve"> that</w:t>
      </w:r>
      <w:r w:rsidRPr="00D924F4">
        <w:rPr>
          <w:sz w:val="22"/>
          <w:szCs w:val="22"/>
        </w:rPr>
        <w:t xml:space="preserve"> any security issued from a</w:t>
      </w:r>
      <w:r w:rsidR="00ED7D72" w:rsidRPr="00D924F4">
        <w:rPr>
          <w:sz w:val="22"/>
          <w:szCs w:val="22"/>
        </w:rPr>
        <w:t xml:space="preserve"> Trust or SPV</w:t>
      </w:r>
      <w:r w:rsidRPr="00D924F4">
        <w:rPr>
          <w:sz w:val="22"/>
          <w:szCs w:val="22"/>
        </w:rPr>
        <w:t xml:space="preserve">, </w:t>
      </w:r>
      <w:r w:rsidR="002E6EB6" w:rsidRPr="00D924F4">
        <w:rPr>
          <w:sz w:val="22"/>
          <w:szCs w:val="22"/>
        </w:rPr>
        <w:t xml:space="preserve">fall in </w:t>
      </w:r>
      <w:r w:rsidRPr="00D924F4">
        <w:rPr>
          <w:sz w:val="22"/>
          <w:szCs w:val="22"/>
        </w:rPr>
        <w:t>the scope of SSAP No. 43R</w:t>
      </w:r>
      <w:r w:rsidR="002E6EB6" w:rsidRPr="00D924F4">
        <w:rPr>
          <w:sz w:val="22"/>
          <w:szCs w:val="22"/>
        </w:rPr>
        <w:t xml:space="preserve">, </w:t>
      </w:r>
      <w:r w:rsidR="00376531" w:rsidRPr="00D924F4">
        <w:rPr>
          <w:sz w:val="22"/>
          <w:szCs w:val="22"/>
        </w:rPr>
        <w:t>even those without</w:t>
      </w:r>
      <w:r w:rsidR="002E6EB6" w:rsidRPr="00D924F4">
        <w:rPr>
          <w:sz w:val="22"/>
          <w:szCs w:val="22"/>
        </w:rPr>
        <w:t xml:space="preserve"> prepayment/extension risk</w:t>
      </w:r>
      <w:r w:rsidRPr="00D924F4">
        <w:rPr>
          <w:sz w:val="22"/>
          <w:szCs w:val="22"/>
        </w:rPr>
        <w:t>.</w:t>
      </w:r>
    </w:p>
    <w:p w14:paraId="16DF0919" w14:textId="1BD1FEFB" w:rsidR="00E904C3" w:rsidRPr="00D924F4" w:rsidRDefault="00E904C3" w:rsidP="002B1EAD">
      <w:pPr>
        <w:pStyle w:val="Default"/>
        <w:numPr>
          <w:ilvl w:val="0"/>
          <w:numId w:val="27"/>
        </w:numPr>
        <w:jc w:val="both"/>
        <w:rPr>
          <w:sz w:val="22"/>
          <w:szCs w:val="22"/>
        </w:rPr>
      </w:pPr>
      <w:r w:rsidRPr="00D924F4">
        <w:rPr>
          <w:sz w:val="22"/>
          <w:szCs w:val="22"/>
        </w:rPr>
        <w:t>If any security, issued from a</w:t>
      </w:r>
      <w:r w:rsidR="00ED7D72" w:rsidRPr="00D924F4">
        <w:rPr>
          <w:sz w:val="22"/>
          <w:szCs w:val="22"/>
        </w:rPr>
        <w:t xml:space="preserve"> Trust or SPV, </w:t>
      </w:r>
      <w:r w:rsidRPr="00D924F4">
        <w:rPr>
          <w:sz w:val="22"/>
          <w:szCs w:val="22"/>
        </w:rPr>
        <w:t xml:space="preserve">is desired to be within the scope of SSAP No. 43R, it is imperative to appropriately define the terms </w:t>
      </w:r>
      <w:r w:rsidR="00B4281B" w:rsidRPr="00D924F4">
        <w:rPr>
          <w:sz w:val="22"/>
          <w:szCs w:val="22"/>
        </w:rPr>
        <w:t>Trust and SPV</w:t>
      </w:r>
      <w:r w:rsidRPr="00D924F4">
        <w:rPr>
          <w:sz w:val="22"/>
          <w:szCs w:val="22"/>
        </w:rPr>
        <w:t xml:space="preserve"> to ensure an operational standard (i.e., </w:t>
      </w:r>
      <w:r w:rsidR="002E6EB6" w:rsidRPr="00D924F4">
        <w:rPr>
          <w:sz w:val="22"/>
          <w:szCs w:val="22"/>
        </w:rPr>
        <w:t>provide</w:t>
      </w:r>
      <w:r w:rsidRPr="00D924F4">
        <w:rPr>
          <w:sz w:val="22"/>
          <w:szCs w:val="22"/>
        </w:rPr>
        <w:t xml:space="preserve"> sufficient clarity</w:t>
      </w:r>
      <w:r w:rsidR="002E6EB6" w:rsidRPr="00D924F4">
        <w:rPr>
          <w:sz w:val="22"/>
          <w:szCs w:val="22"/>
        </w:rPr>
        <w:t xml:space="preserve"> so</w:t>
      </w:r>
      <w:r w:rsidRPr="00D924F4">
        <w:rPr>
          <w:sz w:val="22"/>
          <w:szCs w:val="22"/>
        </w:rPr>
        <w:t xml:space="preserve"> that both industry and regulators apply the terms consistently) with no unintended consequences (e.g., the requirement to apply modified amortized cost accounting when there is no prepayment or extension risk).</w:t>
      </w:r>
    </w:p>
    <w:p w14:paraId="32755CF0" w14:textId="58968E8B" w:rsidR="004C4CC6" w:rsidRPr="00D924F4" w:rsidRDefault="004C4CC6" w:rsidP="002B1EAD">
      <w:pPr>
        <w:pStyle w:val="Default"/>
        <w:numPr>
          <w:ilvl w:val="0"/>
          <w:numId w:val="27"/>
        </w:numPr>
        <w:jc w:val="both"/>
        <w:rPr>
          <w:sz w:val="22"/>
          <w:szCs w:val="22"/>
        </w:rPr>
      </w:pPr>
      <w:r w:rsidRPr="00D924F4">
        <w:rPr>
          <w:sz w:val="22"/>
          <w:szCs w:val="22"/>
        </w:rPr>
        <w:t xml:space="preserve">Have regulators </w:t>
      </w:r>
      <w:r w:rsidR="00B4281B" w:rsidRPr="00D924F4">
        <w:rPr>
          <w:sz w:val="22"/>
          <w:szCs w:val="22"/>
        </w:rPr>
        <w:t>confirm</w:t>
      </w:r>
      <w:r w:rsidRPr="00D924F4">
        <w:rPr>
          <w:sz w:val="22"/>
          <w:szCs w:val="22"/>
        </w:rPr>
        <w:t xml:space="preserve"> </w:t>
      </w:r>
      <w:r w:rsidR="00BD1C9F" w:rsidRPr="00D924F4">
        <w:rPr>
          <w:sz w:val="22"/>
          <w:szCs w:val="22"/>
        </w:rPr>
        <w:t>that</w:t>
      </w:r>
      <w:r w:rsidRPr="00D924F4">
        <w:rPr>
          <w:sz w:val="22"/>
          <w:szCs w:val="22"/>
        </w:rPr>
        <w:t xml:space="preserve"> securities identified in </w:t>
      </w:r>
      <w:r w:rsidR="007A2F48" w:rsidRPr="00D924F4">
        <w:rPr>
          <w:sz w:val="22"/>
          <w:szCs w:val="22"/>
        </w:rPr>
        <w:t>Appendix II</w:t>
      </w:r>
      <w:r w:rsidRPr="00D924F4">
        <w:rPr>
          <w:sz w:val="22"/>
          <w:szCs w:val="22"/>
        </w:rPr>
        <w:t xml:space="preserve"> are appropriate</w:t>
      </w:r>
      <w:r w:rsidR="00C94CDC" w:rsidRPr="00D924F4">
        <w:rPr>
          <w:sz w:val="22"/>
          <w:szCs w:val="22"/>
        </w:rPr>
        <w:t>ly accounted for as bonds and reported on</w:t>
      </w:r>
      <w:r w:rsidRPr="00D924F4">
        <w:rPr>
          <w:sz w:val="22"/>
          <w:szCs w:val="22"/>
        </w:rPr>
        <w:t xml:space="preserve"> Schedule D</w:t>
      </w:r>
      <w:r w:rsidR="00ED7D72" w:rsidRPr="00D924F4">
        <w:rPr>
          <w:sz w:val="22"/>
          <w:szCs w:val="22"/>
        </w:rPr>
        <w:t xml:space="preserve">.  </w:t>
      </w:r>
      <w:r w:rsidR="00B4281B" w:rsidRPr="00D924F4">
        <w:rPr>
          <w:sz w:val="22"/>
          <w:szCs w:val="22"/>
        </w:rPr>
        <w:t>As already mentioned, m</w:t>
      </w:r>
      <w:r w:rsidR="00ED7D72" w:rsidRPr="00D924F4">
        <w:rPr>
          <w:sz w:val="22"/>
          <w:szCs w:val="22"/>
        </w:rPr>
        <w:t>ore work may be needed in this area, to ensure all security types are identified.</w:t>
      </w:r>
    </w:p>
    <w:p w14:paraId="1FC970E2" w14:textId="5230D878" w:rsidR="004C6453" w:rsidRPr="00D924F4" w:rsidRDefault="004C4CC6" w:rsidP="002B1EAD">
      <w:pPr>
        <w:pStyle w:val="Default"/>
        <w:numPr>
          <w:ilvl w:val="0"/>
          <w:numId w:val="27"/>
        </w:numPr>
        <w:jc w:val="both"/>
        <w:rPr>
          <w:sz w:val="22"/>
          <w:szCs w:val="22"/>
        </w:rPr>
      </w:pPr>
      <w:r w:rsidRPr="00D924F4">
        <w:rPr>
          <w:sz w:val="22"/>
          <w:szCs w:val="22"/>
        </w:rPr>
        <w:t xml:space="preserve">If </w:t>
      </w:r>
      <w:r w:rsidR="00643409" w:rsidRPr="00D924F4">
        <w:rPr>
          <w:sz w:val="22"/>
          <w:szCs w:val="22"/>
        </w:rPr>
        <w:t xml:space="preserve">the investments are </w:t>
      </w:r>
      <w:r w:rsidRPr="00D924F4">
        <w:rPr>
          <w:sz w:val="22"/>
          <w:szCs w:val="22"/>
        </w:rPr>
        <w:t>not</w:t>
      </w:r>
      <w:r w:rsidR="00B4281B" w:rsidRPr="00D924F4">
        <w:rPr>
          <w:sz w:val="22"/>
          <w:szCs w:val="22"/>
        </w:rPr>
        <w:t xml:space="preserve"> to be reported as</w:t>
      </w:r>
      <w:r w:rsidR="00C94CDC" w:rsidRPr="00D924F4">
        <w:rPr>
          <w:sz w:val="22"/>
          <w:szCs w:val="22"/>
        </w:rPr>
        <w:t xml:space="preserve"> bonds on</w:t>
      </w:r>
      <w:r w:rsidR="00B4281B" w:rsidRPr="00D924F4">
        <w:rPr>
          <w:sz w:val="22"/>
          <w:szCs w:val="22"/>
        </w:rPr>
        <w:t xml:space="preserve"> Schedule D</w:t>
      </w:r>
      <w:r w:rsidRPr="00D924F4">
        <w:rPr>
          <w:sz w:val="22"/>
          <w:szCs w:val="22"/>
        </w:rPr>
        <w:t>, determine an appropriate accounting home.</w:t>
      </w:r>
    </w:p>
    <w:p w14:paraId="781E8848" w14:textId="331DFF10" w:rsidR="004C4CC6" w:rsidRPr="00D924F4" w:rsidRDefault="004C4CC6" w:rsidP="002B1EAD">
      <w:pPr>
        <w:pStyle w:val="Default"/>
        <w:numPr>
          <w:ilvl w:val="0"/>
          <w:numId w:val="27"/>
        </w:numPr>
        <w:jc w:val="both"/>
        <w:rPr>
          <w:sz w:val="22"/>
          <w:szCs w:val="22"/>
        </w:rPr>
      </w:pPr>
      <w:r w:rsidRPr="00D924F4">
        <w:rPr>
          <w:sz w:val="22"/>
          <w:szCs w:val="22"/>
        </w:rPr>
        <w:t xml:space="preserve">If </w:t>
      </w:r>
      <w:r w:rsidR="00B4281B" w:rsidRPr="00D924F4">
        <w:rPr>
          <w:sz w:val="22"/>
          <w:szCs w:val="22"/>
        </w:rPr>
        <w:t>the investments are to be</w:t>
      </w:r>
      <w:r w:rsidR="00C94CDC" w:rsidRPr="00D924F4">
        <w:rPr>
          <w:sz w:val="22"/>
          <w:szCs w:val="22"/>
        </w:rPr>
        <w:t xml:space="preserve"> accounted for as bonds and</w:t>
      </w:r>
      <w:r w:rsidR="00B4281B" w:rsidRPr="00D924F4">
        <w:rPr>
          <w:sz w:val="22"/>
          <w:szCs w:val="22"/>
        </w:rPr>
        <w:t xml:space="preserve"> reported as Schedule </w:t>
      </w:r>
      <w:r w:rsidR="00C94CDC" w:rsidRPr="00D924F4">
        <w:rPr>
          <w:sz w:val="22"/>
          <w:szCs w:val="22"/>
        </w:rPr>
        <w:t>D</w:t>
      </w:r>
      <w:r w:rsidRPr="00D924F4">
        <w:rPr>
          <w:sz w:val="22"/>
          <w:szCs w:val="22"/>
        </w:rPr>
        <w:t xml:space="preserve">, determine whether those securities are going to be specifically </w:t>
      </w:r>
      <w:r w:rsidR="00C94CDC" w:rsidRPr="00D924F4">
        <w:rPr>
          <w:sz w:val="22"/>
          <w:szCs w:val="22"/>
        </w:rPr>
        <w:t>referenced</w:t>
      </w:r>
      <w:r w:rsidRPr="00D924F4">
        <w:rPr>
          <w:sz w:val="22"/>
          <w:szCs w:val="22"/>
        </w:rPr>
        <w:t xml:space="preserve"> in </w:t>
      </w:r>
      <w:r w:rsidR="00643409" w:rsidRPr="00D924F4">
        <w:rPr>
          <w:sz w:val="22"/>
          <w:szCs w:val="22"/>
        </w:rPr>
        <w:t>SSAP No. 43R</w:t>
      </w:r>
      <w:r w:rsidRPr="00D924F4">
        <w:rPr>
          <w:sz w:val="22"/>
          <w:szCs w:val="22"/>
        </w:rPr>
        <w:t xml:space="preserve"> by definition (i.e., as is currently done today with CTLs, ETCs, EETCs</w:t>
      </w:r>
      <w:r w:rsidR="00013D38" w:rsidRPr="00D924F4">
        <w:rPr>
          <w:sz w:val="22"/>
          <w:szCs w:val="22"/>
        </w:rPr>
        <w:t>)</w:t>
      </w:r>
      <w:r w:rsidRPr="00D924F4">
        <w:rPr>
          <w:sz w:val="22"/>
          <w:szCs w:val="22"/>
        </w:rPr>
        <w:t xml:space="preserve"> or expanded for other securities that </w:t>
      </w:r>
      <w:r w:rsidR="006F1DF1" w:rsidRPr="00D924F4">
        <w:rPr>
          <w:sz w:val="22"/>
          <w:szCs w:val="22"/>
        </w:rPr>
        <w:t>would</w:t>
      </w:r>
      <w:r w:rsidRPr="00D924F4">
        <w:rPr>
          <w:sz w:val="22"/>
          <w:szCs w:val="22"/>
        </w:rPr>
        <w:t xml:space="preserve"> now be in the scope of SSAP No. 43R </w:t>
      </w:r>
      <w:r w:rsidR="00013D38" w:rsidRPr="00D924F4">
        <w:rPr>
          <w:sz w:val="22"/>
          <w:szCs w:val="22"/>
        </w:rPr>
        <w:t>(</w:t>
      </w:r>
      <w:r w:rsidRPr="00D924F4">
        <w:rPr>
          <w:sz w:val="22"/>
          <w:szCs w:val="22"/>
        </w:rPr>
        <w:t xml:space="preserve">e.g., project finance, </w:t>
      </w:r>
      <w:r w:rsidR="00C94CDC" w:rsidRPr="00D924F4">
        <w:rPr>
          <w:sz w:val="22"/>
          <w:szCs w:val="22"/>
        </w:rPr>
        <w:t>CEF</w:t>
      </w:r>
      <w:r w:rsidRPr="00D924F4">
        <w:rPr>
          <w:sz w:val="22"/>
          <w:szCs w:val="22"/>
        </w:rPr>
        <w:t xml:space="preserve"> Debt</w:t>
      </w:r>
      <w:r w:rsidR="004C6453" w:rsidRPr="00D924F4">
        <w:rPr>
          <w:sz w:val="22"/>
          <w:szCs w:val="22"/>
        </w:rPr>
        <w:t xml:space="preserve"> and similar CFO-type securities</w:t>
      </w:r>
      <w:r w:rsidRPr="00D924F4">
        <w:rPr>
          <w:sz w:val="22"/>
          <w:szCs w:val="22"/>
        </w:rPr>
        <w:t xml:space="preserve">, </w:t>
      </w:r>
      <w:r w:rsidR="00C94CDC" w:rsidRPr="00D924F4">
        <w:rPr>
          <w:sz w:val="22"/>
          <w:szCs w:val="22"/>
        </w:rPr>
        <w:t>and i</w:t>
      </w:r>
      <w:r w:rsidRPr="00D924F4">
        <w:rPr>
          <w:sz w:val="22"/>
          <w:szCs w:val="22"/>
        </w:rPr>
        <w:t xml:space="preserve">ssuer </w:t>
      </w:r>
      <w:r w:rsidR="00C94CDC" w:rsidRPr="00D924F4">
        <w:rPr>
          <w:sz w:val="22"/>
          <w:szCs w:val="22"/>
        </w:rPr>
        <w:t>o</w:t>
      </w:r>
      <w:r w:rsidRPr="00D924F4">
        <w:rPr>
          <w:sz w:val="22"/>
          <w:szCs w:val="22"/>
        </w:rPr>
        <w:t xml:space="preserve">bligation </w:t>
      </w:r>
      <w:r w:rsidR="00C94CDC" w:rsidRPr="00D924F4">
        <w:rPr>
          <w:sz w:val="22"/>
          <w:szCs w:val="22"/>
        </w:rPr>
        <w:t>m</w:t>
      </w:r>
      <w:r w:rsidRPr="00D924F4">
        <w:rPr>
          <w:sz w:val="22"/>
          <w:szCs w:val="22"/>
        </w:rPr>
        <w:t xml:space="preserve">unicipal </w:t>
      </w:r>
      <w:r w:rsidR="00C94CDC" w:rsidRPr="00D924F4">
        <w:rPr>
          <w:sz w:val="22"/>
          <w:szCs w:val="22"/>
        </w:rPr>
        <w:t>b</w:t>
      </w:r>
      <w:r w:rsidRPr="00D924F4">
        <w:rPr>
          <w:sz w:val="22"/>
          <w:szCs w:val="22"/>
        </w:rPr>
        <w:t>onds, etc.</w:t>
      </w:r>
      <w:r w:rsidR="00013D38" w:rsidRPr="00D924F4">
        <w:rPr>
          <w:sz w:val="22"/>
          <w:szCs w:val="22"/>
        </w:rPr>
        <w:t>)</w:t>
      </w:r>
      <w:r w:rsidRPr="00D924F4">
        <w:rPr>
          <w:sz w:val="22"/>
          <w:szCs w:val="22"/>
        </w:rPr>
        <w:t xml:space="preserve"> that </w:t>
      </w:r>
      <w:r w:rsidR="00643409" w:rsidRPr="00D924F4">
        <w:rPr>
          <w:sz w:val="22"/>
          <w:szCs w:val="22"/>
        </w:rPr>
        <w:t xml:space="preserve">regulators and </w:t>
      </w:r>
      <w:r w:rsidR="00B52289">
        <w:rPr>
          <w:sz w:val="22"/>
          <w:szCs w:val="22"/>
        </w:rPr>
        <w:t>i</w:t>
      </w:r>
      <w:r w:rsidR="00643409" w:rsidRPr="00D924F4">
        <w:rPr>
          <w:sz w:val="22"/>
          <w:szCs w:val="22"/>
        </w:rPr>
        <w:t xml:space="preserve">nterested </w:t>
      </w:r>
      <w:r w:rsidR="00B52289">
        <w:rPr>
          <w:sz w:val="22"/>
          <w:szCs w:val="22"/>
        </w:rPr>
        <w:t>p</w:t>
      </w:r>
      <w:r w:rsidR="00643409" w:rsidRPr="00D924F4">
        <w:rPr>
          <w:sz w:val="22"/>
          <w:szCs w:val="22"/>
        </w:rPr>
        <w:t xml:space="preserve">arties </w:t>
      </w:r>
      <w:r w:rsidRPr="00D924F4">
        <w:rPr>
          <w:sz w:val="22"/>
          <w:szCs w:val="22"/>
        </w:rPr>
        <w:t xml:space="preserve">all believe are appropriate </w:t>
      </w:r>
      <w:r w:rsidR="00C94CDC" w:rsidRPr="00D924F4">
        <w:rPr>
          <w:sz w:val="22"/>
          <w:szCs w:val="22"/>
        </w:rPr>
        <w:t xml:space="preserve">to be accounted for as bonds and reported on </w:t>
      </w:r>
      <w:r w:rsidRPr="00D924F4">
        <w:rPr>
          <w:sz w:val="22"/>
          <w:szCs w:val="22"/>
        </w:rPr>
        <w:t xml:space="preserve">Schedule D, but </w:t>
      </w:r>
      <w:r w:rsidR="00643409" w:rsidRPr="00D924F4">
        <w:rPr>
          <w:sz w:val="22"/>
          <w:szCs w:val="22"/>
        </w:rPr>
        <w:t xml:space="preserve">are </w:t>
      </w:r>
      <w:r w:rsidRPr="00D924F4">
        <w:rPr>
          <w:sz w:val="22"/>
          <w:szCs w:val="22"/>
        </w:rPr>
        <w:t>not ABS</w:t>
      </w:r>
      <w:r w:rsidR="00643409" w:rsidRPr="00D924F4">
        <w:rPr>
          <w:sz w:val="22"/>
          <w:szCs w:val="22"/>
        </w:rPr>
        <w:t>.</w:t>
      </w:r>
    </w:p>
    <w:p w14:paraId="28AC7858" w14:textId="22E74982" w:rsidR="000C2E3F" w:rsidRPr="00D924F4" w:rsidRDefault="004C4CC6" w:rsidP="002B1EAD">
      <w:pPr>
        <w:pStyle w:val="Default"/>
        <w:numPr>
          <w:ilvl w:val="0"/>
          <w:numId w:val="27"/>
        </w:numPr>
        <w:jc w:val="both"/>
        <w:rPr>
          <w:sz w:val="22"/>
          <w:szCs w:val="22"/>
        </w:rPr>
      </w:pPr>
      <w:r w:rsidRPr="00D924F4">
        <w:rPr>
          <w:sz w:val="22"/>
          <w:szCs w:val="22"/>
        </w:rPr>
        <w:t xml:space="preserve">Definitively determine the appropriate </w:t>
      </w:r>
      <w:r w:rsidRPr="00D924F4">
        <w:rPr>
          <w:color w:val="auto"/>
          <w:sz w:val="22"/>
          <w:szCs w:val="22"/>
        </w:rPr>
        <w:t>Securit</w:t>
      </w:r>
      <w:r w:rsidR="00D66D1F" w:rsidRPr="00D924F4">
        <w:rPr>
          <w:color w:val="auto"/>
          <w:sz w:val="22"/>
          <w:szCs w:val="22"/>
        </w:rPr>
        <w:t>ies</w:t>
      </w:r>
      <w:r w:rsidRPr="00D924F4">
        <w:rPr>
          <w:color w:val="auto"/>
          <w:sz w:val="22"/>
          <w:szCs w:val="22"/>
        </w:rPr>
        <w:t xml:space="preserve"> Act </w:t>
      </w:r>
      <w:r w:rsidR="007A2F48" w:rsidRPr="00D924F4">
        <w:rPr>
          <w:sz w:val="22"/>
          <w:szCs w:val="22"/>
        </w:rPr>
        <w:t>D</w:t>
      </w:r>
      <w:r w:rsidRPr="00D924F4">
        <w:rPr>
          <w:sz w:val="22"/>
          <w:szCs w:val="22"/>
        </w:rPr>
        <w:t>efinition</w:t>
      </w:r>
      <w:r w:rsidR="00793E35" w:rsidRPr="00D924F4">
        <w:rPr>
          <w:sz w:val="22"/>
          <w:szCs w:val="22"/>
        </w:rPr>
        <w:t xml:space="preserve"> (or not)</w:t>
      </w:r>
      <w:r w:rsidRPr="00D924F4">
        <w:rPr>
          <w:sz w:val="22"/>
          <w:szCs w:val="22"/>
        </w:rPr>
        <w:t xml:space="preserve"> with the appropriate clarifications as to 1) whether the definition applies to 144A</w:t>
      </w:r>
      <w:r w:rsidR="00BD1C9F" w:rsidRPr="00D924F4">
        <w:rPr>
          <w:sz w:val="22"/>
          <w:szCs w:val="22"/>
        </w:rPr>
        <w:t>,</w:t>
      </w:r>
      <w:r w:rsidRPr="00D924F4">
        <w:rPr>
          <w:sz w:val="22"/>
          <w:szCs w:val="22"/>
        </w:rPr>
        <w:t xml:space="preserve"> private placements,</w:t>
      </w:r>
      <w:r w:rsidR="00BD1C9F" w:rsidRPr="00D924F4">
        <w:rPr>
          <w:sz w:val="22"/>
          <w:szCs w:val="22"/>
        </w:rPr>
        <w:t xml:space="preserve"> a</w:t>
      </w:r>
      <w:r w:rsidR="007C5E72" w:rsidRPr="00D924F4">
        <w:rPr>
          <w:sz w:val="22"/>
          <w:szCs w:val="22"/>
        </w:rPr>
        <w:t>n</w:t>
      </w:r>
      <w:r w:rsidR="00BD1C9F" w:rsidRPr="00D924F4">
        <w:rPr>
          <w:sz w:val="22"/>
          <w:szCs w:val="22"/>
        </w:rPr>
        <w:t>d CLOs</w:t>
      </w:r>
      <w:r w:rsidRPr="00D924F4">
        <w:rPr>
          <w:sz w:val="22"/>
          <w:szCs w:val="22"/>
        </w:rPr>
        <w:t xml:space="preserve"> if</w:t>
      </w:r>
      <w:r w:rsidR="004C6453" w:rsidRPr="00D924F4">
        <w:rPr>
          <w:sz w:val="22"/>
          <w:szCs w:val="22"/>
        </w:rPr>
        <w:t xml:space="preserve"> the 1933 Act Definition </w:t>
      </w:r>
      <w:r w:rsidR="006F1DF1" w:rsidRPr="00D924F4">
        <w:rPr>
          <w:sz w:val="22"/>
          <w:szCs w:val="22"/>
        </w:rPr>
        <w:t xml:space="preserve">is used </w:t>
      </w:r>
      <w:r w:rsidR="004C6453" w:rsidRPr="00D924F4">
        <w:rPr>
          <w:sz w:val="22"/>
          <w:szCs w:val="22"/>
        </w:rPr>
        <w:t>and 2) in any case, whether the SEC’s interpretative guidance applies and, if not, how similar interpretative guidance will be developed.</w:t>
      </w:r>
      <w:r w:rsidRPr="00D924F4">
        <w:rPr>
          <w:sz w:val="22"/>
          <w:szCs w:val="22"/>
        </w:rPr>
        <w:t xml:space="preserve"> </w:t>
      </w:r>
    </w:p>
    <w:p w14:paraId="63B47154" w14:textId="74957AFC" w:rsidR="004C6453" w:rsidRPr="00D924F4" w:rsidRDefault="00643409" w:rsidP="002B1EAD">
      <w:pPr>
        <w:pStyle w:val="Default"/>
        <w:numPr>
          <w:ilvl w:val="0"/>
          <w:numId w:val="27"/>
        </w:numPr>
        <w:jc w:val="both"/>
        <w:rPr>
          <w:sz w:val="22"/>
          <w:szCs w:val="22"/>
        </w:rPr>
      </w:pPr>
      <w:r w:rsidRPr="00D924F4">
        <w:rPr>
          <w:sz w:val="22"/>
          <w:szCs w:val="22"/>
        </w:rPr>
        <w:t>Ensure that p</w:t>
      </w:r>
      <w:r w:rsidR="004C6453" w:rsidRPr="00D924F4">
        <w:rPr>
          <w:sz w:val="22"/>
          <w:szCs w:val="22"/>
        </w:rPr>
        <w:t>roper coordination with the SVO has occurred and appropriate determinations</w:t>
      </w:r>
      <w:r w:rsidRPr="00D924F4">
        <w:rPr>
          <w:sz w:val="22"/>
          <w:szCs w:val="22"/>
        </w:rPr>
        <w:t xml:space="preserve"> </w:t>
      </w:r>
      <w:r w:rsidR="004C6453" w:rsidRPr="00D924F4">
        <w:rPr>
          <w:sz w:val="22"/>
          <w:szCs w:val="22"/>
        </w:rPr>
        <w:t>are made</w:t>
      </w:r>
      <w:r w:rsidRPr="00D924F4">
        <w:rPr>
          <w:sz w:val="22"/>
          <w:szCs w:val="22"/>
        </w:rPr>
        <w:t>, for example,</w:t>
      </w:r>
      <w:r w:rsidR="004C6453" w:rsidRPr="00D924F4">
        <w:rPr>
          <w:sz w:val="22"/>
          <w:szCs w:val="22"/>
        </w:rPr>
        <w:t xml:space="preserve"> with regards to affiliated transactions.</w:t>
      </w:r>
    </w:p>
    <w:p w14:paraId="675820B2" w14:textId="77777777" w:rsidR="004C6453" w:rsidRPr="00D924F4" w:rsidRDefault="004C6453" w:rsidP="002B1EAD">
      <w:pPr>
        <w:pStyle w:val="Default"/>
        <w:jc w:val="both"/>
        <w:rPr>
          <w:sz w:val="22"/>
          <w:szCs w:val="22"/>
        </w:rPr>
      </w:pPr>
    </w:p>
    <w:p w14:paraId="7C2FC80E" w14:textId="5E013CDA" w:rsidR="004C6453" w:rsidRPr="00D924F4" w:rsidRDefault="004C6453" w:rsidP="002B1EAD">
      <w:pPr>
        <w:pStyle w:val="Default"/>
        <w:jc w:val="both"/>
        <w:rPr>
          <w:sz w:val="22"/>
          <w:szCs w:val="22"/>
        </w:rPr>
      </w:pPr>
      <w:r w:rsidRPr="00D924F4">
        <w:rPr>
          <w:sz w:val="22"/>
          <w:szCs w:val="22"/>
        </w:rPr>
        <w:t xml:space="preserve">Upon completion of the above, </w:t>
      </w:r>
      <w:r w:rsidR="0022289F" w:rsidRPr="00D924F4">
        <w:rPr>
          <w:sz w:val="22"/>
          <w:szCs w:val="22"/>
        </w:rPr>
        <w:t xml:space="preserve">only </w:t>
      </w:r>
      <w:r w:rsidRPr="00D924F4">
        <w:rPr>
          <w:sz w:val="22"/>
          <w:szCs w:val="22"/>
        </w:rPr>
        <w:t xml:space="preserve">then </w:t>
      </w:r>
      <w:r w:rsidR="00B4281B" w:rsidRPr="00D924F4">
        <w:rPr>
          <w:sz w:val="22"/>
          <w:szCs w:val="22"/>
        </w:rPr>
        <w:t>would it be</w:t>
      </w:r>
      <w:r w:rsidRPr="00D924F4">
        <w:rPr>
          <w:sz w:val="22"/>
          <w:szCs w:val="22"/>
        </w:rPr>
        <w:t xml:space="preserve"> appropriate to develop the </w:t>
      </w:r>
      <w:r w:rsidR="00793E35" w:rsidRPr="00D924F4">
        <w:rPr>
          <w:sz w:val="22"/>
          <w:szCs w:val="22"/>
        </w:rPr>
        <w:t xml:space="preserve">principles </w:t>
      </w:r>
      <w:r w:rsidR="00FD5542" w:rsidRPr="00D924F4">
        <w:rPr>
          <w:sz w:val="22"/>
          <w:szCs w:val="22"/>
        </w:rPr>
        <w:t>to ensure they</w:t>
      </w:r>
      <w:r w:rsidRPr="00D924F4">
        <w:rPr>
          <w:sz w:val="22"/>
          <w:szCs w:val="22"/>
        </w:rPr>
        <w:t xml:space="preserve"> capture the intended ABS</w:t>
      </w:r>
      <w:r w:rsidR="0022289F" w:rsidRPr="00D924F4">
        <w:rPr>
          <w:sz w:val="22"/>
          <w:szCs w:val="22"/>
        </w:rPr>
        <w:t xml:space="preserve">.  For example, are they intended to capture royalty securitizations, or </w:t>
      </w:r>
      <w:r w:rsidR="00643409" w:rsidRPr="00D924F4">
        <w:rPr>
          <w:sz w:val="22"/>
          <w:szCs w:val="22"/>
        </w:rPr>
        <w:t>is that asset class</w:t>
      </w:r>
      <w:r w:rsidR="0022289F" w:rsidRPr="00D924F4">
        <w:rPr>
          <w:sz w:val="22"/>
          <w:szCs w:val="22"/>
        </w:rPr>
        <w:t xml:space="preserve"> going to be specifically defined within the scope of SSAP No. 43R and thus not need</w:t>
      </w:r>
      <w:r w:rsidR="00505CE9" w:rsidRPr="00D924F4">
        <w:rPr>
          <w:sz w:val="22"/>
          <w:szCs w:val="22"/>
        </w:rPr>
        <w:t>ed</w:t>
      </w:r>
      <w:r w:rsidR="006F1DF1" w:rsidRPr="00D924F4">
        <w:rPr>
          <w:sz w:val="22"/>
          <w:szCs w:val="22"/>
        </w:rPr>
        <w:t xml:space="preserve"> to be</w:t>
      </w:r>
      <w:r w:rsidR="0022289F" w:rsidRPr="00D924F4">
        <w:rPr>
          <w:sz w:val="22"/>
          <w:szCs w:val="22"/>
        </w:rPr>
        <w:t xml:space="preserve"> capture</w:t>
      </w:r>
      <w:r w:rsidR="006F1DF1" w:rsidRPr="00D924F4">
        <w:rPr>
          <w:sz w:val="22"/>
          <w:szCs w:val="22"/>
        </w:rPr>
        <w:t>d</w:t>
      </w:r>
      <w:r w:rsidR="0022289F" w:rsidRPr="00D924F4">
        <w:rPr>
          <w:sz w:val="22"/>
          <w:szCs w:val="22"/>
        </w:rPr>
        <w:t xml:space="preserve"> under the </w:t>
      </w:r>
      <w:r w:rsidR="00793E35" w:rsidRPr="00D924F4">
        <w:rPr>
          <w:sz w:val="22"/>
          <w:szCs w:val="22"/>
        </w:rPr>
        <w:t>p</w:t>
      </w:r>
      <w:r w:rsidR="0022289F" w:rsidRPr="00D924F4">
        <w:rPr>
          <w:sz w:val="22"/>
          <w:szCs w:val="22"/>
        </w:rPr>
        <w:t>rinciples</w:t>
      </w:r>
      <w:r w:rsidR="00505CE9" w:rsidRPr="00D924F4">
        <w:rPr>
          <w:sz w:val="22"/>
          <w:szCs w:val="22"/>
        </w:rPr>
        <w:t>?</w:t>
      </w:r>
    </w:p>
    <w:p w14:paraId="504404B1" w14:textId="5C74DE67" w:rsidR="004C6453" w:rsidRPr="00D924F4" w:rsidRDefault="004C6453" w:rsidP="002B1EAD">
      <w:pPr>
        <w:pStyle w:val="Default"/>
        <w:jc w:val="both"/>
        <w:rPr>
          <w:sz w:val="22"/>
          <w:szCs w:val="22"/>
        </w:rPr>
      </w:pPr>
    </w:p>
    <w:p w14:paraId="2CB85C29" w14:textId="77777777" w:rsidR="004C6453" w:rsidRPr="00D924F4" w:rsidRDefault="004C6453" w:rsidP="002B1EAD">
      <w:pPr>
        <w:jc w:val="both"/>
        <w:rPr>
          <w:szCs w:val="22"/>
        </w:rPr>
      </w:pPr>
      <w:r w:rsidRPr="00D924F4">
        <w:rPr>
          <w:szCs w:val="22"/>
        </w:rPr>
        <w:t xml:space="preserve">We continue to stand ready to help NAIC staff and regulators in this effort. </w:t>
      </w:r>
    </w:p>
    <w:p w14:paraId="6AE53FCC" w14:textId="11A54431" w:rsidR="00F07F2E" w:rsidRPr="00D924F4" w:rsidRDefault="00B242E6" w:rsidP="005D1C23">
      <w:pPr>
        <w:spacing w:after="160" w:line="259" w:lineRule="auto"/>
        <w:rPr>
          <w:szCs w:val="22"/>
        </w:rPr>
      </w:pPr>
      <w:r w:rsidRPr="00D924F4">
        <w:rPr>
          <w:szCs w:val="22"/>
        </w:rPr>
        <w:br w:type="page"/>
      </w:r>
    </w:p>
    <w:p w14:paraId="153FC1DD" w14:textId="05C259E3" w:rsidR="00201288" w:rsidRPr="00D924F4" w:rsidRDefault="00201288" w:rsidP="002B1EAD">
      <w:pPr>
        <w:jc w:val="both"/>
        <w:rPr>
          <w:b/>
          <w:szCs w:val="22"/>
          <w:u w:val="single"/>
        </w:rPr>
      </w:pPr>
      <w:r w:rsidRPr="00D924F4">
        <w:rPr>
          <w:b/>
          <w:szCs w:val="22"/>
          <w:u w:val="single"/>
        </w:rPr>
        <w:lastRenderedPageBreak/>
        <w:t>Section 1</w:t>
      </w:r>
      <w:r w:rsidR="00C6350A" w:rsidRPr="00D924F4">
        <w:rPr>
          <w:b/>
          <w:szCs w:val="22"/>
          <w:u w:val="single"/>
        </w:rPr>
        <w:t xml:space="preserve"> – Summary of Issue (Includes History / Benefits / Concepts / Key Issues)</w:t>
      </w:r>
    </w:p>
    <w:p w14:paraId="5E65458E" w14:textId="77777777" w:rsidR="00201288" w:rsidRPr="00D924F4" w:rsidRDefault="00201288" w:rsidP="002B1EAD">
      <w:pPr>
        <w:jc w:val="bot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201288" w:rsidRPr="00D924F4" w14:paraId="667DF301" w14:textId="77777777" w:rsidTr="00985338">
        <w:tc>
          <w:tcPr>
            <w:tcW w:w="8990" w:type="dxa"/>
          </w:tcPr>
          <w:p w14:paraId="6E2A43F5"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Overview of Key Concepts: </w:t>
            </w:r>
          </w:p>
        </w:tc>
      </w:tr>
      <w:tr w:rsidR="00201288" w:rsidRPr="00D924F4" w14:paraId="23FDAF2E" w14:textId="77777777" w:rsidTr="00985338">
        <w:tc>
          <w:tcPr>
            <w:tcW w:w="8990" w:type="dxa"/>
          </w:tcPr>
          <w:p w14:paraId="08E067E0" w14:textId="77777777" w:rsidR="00201288" w:rsidRPr="00D924F4" w:rsidRDefault="00201288" w:rsidP="002B1EAD">
            <w:pPr>
              <w:pStyle w:val="ListContinue"/>
              <w:numPr>
                <w:ilvl w:val="0"/>
                <w:numId w:val="2"/>
              </w:numPr>
              <w:rPr>
                <w:sz w:val="22"/>
                <w:szCs w:val="22"/>
              </w:rPr>
            </w:pPr>
            <w:r w:rsidRPr="00D924F4">
              <w:rPr>
                <w:sz w:val="22"/>
                <w:szCs w:val="22"/>
              </w:rPr>
              <w:t xml:space="preserve">This section details the overall issue, history of development and key concepts and issues that provide the background for the overall discussion / project. </w:t>
            </w:r>
          </w:p>
        </w:tc>
      </w:tr>
      <w:tr w:rsidR="00201288" w:rsidRPr="00D924F4" w14:paraId="7803D805" w14:textId="77777777" w:rsidTr="00985338">
        <w:tc>
          <w:tcPr>
            <w:tcW w:w="8990" w:type="dxa"/>
          </w:tcPr>
          <w:p w14:paraId="56363108"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Questions / Comments: </w:t>
            </w:r>
          </w:p>
        </w:tc>
      </w:tr>
      <w:tr w:rsidR="00201288" w:rsidRPr="00D924F4" w14:paraId="30CA036E" w14:textId="77777777" w:rsidTr="00985338">
        <w:tc>
          <w:tcPr>
            <w:tcW w:w="8990" w:type="dxa"/>
          </w:tcPr>
          <w:p w14:paraId="46832908" w14:textId="77777777" w:rsidR="00201288" w:rsidRPr="00D924F4" w:rsidRDefault="00201288" w:rsidP="002B1EAD">
            <w:pPr>
              <w:pStyle w:val="ListContinue"/>
              <w:numPr>
                <w:ilvl w:val="0"/>
                <w:numId w:val="3"/>
              </w:numPr>
              <w:rPr>
                <w:sz w:val="22"/>
                <w:szCs w:val="22"/>
              </w:rPr>
            </w:pPr>
            <w:r w:rsidRPr="00D924F4">
              <w:rPr>
                <w:sz w:val="22"/>
                <w:szCs w:val="22"/>
              </w:rPr>
              <w:t>Is there additional information that should be captured to provide more information on the overall issue or discussion?</w:t>
            </w:r>
          </w:p>
        </w:tc>
      </w:tr>
    </w:tbl>
    <w:p w14:paraId="50F25F89" w14:textId="77777777" w:rsidR="004D3F4A" w:rsidRPr="00D924F4" w:rsidRDefault="004D3F4A" w:rsidP="002B1EAD">
      <w:pPr>
        <w:jc w:val="both"/>
        <w:rPr>
          <w:szCs w:val="22"/>
        </w:rPr>
      </w:pPr>
    </w:p>
    <w:p w14:paraId="7D47FD08" w14:textId="01F1BEA8" w:rsidR="00482ACA" w:rsidRPr="00D924F4" w:rsidRDefault="00B85F1C" w:rsidP="002B1EAD">
      <w:pPr>
        <w:jc w:val="both"/>
        <w:rPr>
          <w:szCs w:val="22"/>
        </w:rPr>
      </w:pPr>
      <w:r w:rsidRPr="00D924F4">
        <w:rPr>
          <w:szCs w:val="22"/>
        </w:rPr>
        <w:t>Much of the history and development of key concepts</w:t>
      </w:r>
      <w:r w:rsidR="00565587" w:rsidRPr="00D924F4">
        <w:rPr>
          <w:szCs w:val="22"/>
        </w:rPr>
        <w:t xml:space="preserve"> in this section</w:t>
      </w:r>
      <w:r w:rsidRPr="00D924F4">
        <w:rPr>
          <w:szCs w:val="22"/>
        </w:rPr>
        <w:t xml:space="preserve"> is useful and accurate.  However, in</w:t>
      </w:r>
      <w:r w:rsidR="00052C07" w:rsidRPr="00D924F4">
        <w:rPr>
          <w:szCs w:val="22"/>
        </w:rPr>
        <w:t xml:space="preserve"> some</w:t>
      </w:r>
      <w:r w:rsidRPr="00D924F4">
        <w:rPr>
          <w:szCs w:val="22"/>
        </w:rPr>
        <w:t xml:space="preserve"> ways it appears to be used </w:t>
      </w:r>
      <w:r w:rsidR="00F55002" w:rsidRPr="00D924F4">
        <w:rPr>
          <w:szCs w:val="22"/>
        </w:rPr>
        <w:t>in a way that does</w:t>
      </w:r>
      <w:r w:rsidRPr="00D924F4">
        <w:rPr>
          <w:szCs w:val="22"/>
        </w:rPr>
        <w:t xml:space="preserve"> not present a complete and accurate accounting of such history and development.</w:t>
      </w:r>
    </w:p>
    <w:p w14:paraId="4DC31C2F" w14:textId="77777777" w:rsidR="00B85F1C" w:rsidRPr="00D924F4" w:rsidRDefault="00B85F1C" w:rsidP="002B1EAD">
      <w:pPr>
        <w:jc w:val="both"/>
        <w:rPr>
          <w:szCs w:val="22"/>
        </w:rPr>
      </w:pPr>
    </w:p>
    <w:p w14:paraId="511D0FB7" w14:textId="77777777" w:rsidR="001554DE" w:rsidRPr="00D924F4" w:rsidRDefault="00B85F1C" w:rsidP="002B1EAD">
      <w:pPr>
        <w:jc w:val="both"/>
        <w:rPr>
          <w:szCs w:val="22"/>
        </w:rPr>
      </w:pPr>
      <w:r w:rsidRPr="00D924F4">
        <w:rPr>
          <w:szCs w:val="22"/>
        </w:rPr>
        <w:t>For example, we note the following from paragraph 4</w:t>
      </w:r>
      <w:r w:rsidR="001554DE" w:rsidRPr="00D924F4">
        <w:rPr>
          <w:szCs w:val="22"/>
        </w:rPr>
        <w:t>:</w:t>
      </w:r>
    </w:p>
    <w:p w14:paraId="62F0B4BF" w14:textId="77777777" w:rsidR="001554DE" w:rsidRPr="00D924F4" w:rsidRDefault="001554DE" w:rsidP="002B1EAD">
      <w:pPr>
        <w:jc w:val="both"/>
        <w:rPr>
          <w:i/>
          <w:szCs w:val="22"/>
        </w:rPr>
      </w:pPr>
    </w:p>
    <w:p w14:paraId="4752F85A" w14:textId="612E744C" w:rsidR="001554DE" w:rsidRPr="00D924F4" w:rsidRDefault="00B85F1C" w:rsidP="002B1EAD">
      <w:pPr>
        <w:ind w:left="720"/>
        <w:jc w:val="both"/>
        <w:rPr>
          <w:i/>
          <w:szCs w:val="22"/>
        </w:rPr>
      </w:pPr>
      <w:r w:rsidRPr="00D924F4">
        <w:rPr>
          <w:i/>
          <w:szCs w:val="22"/>
        </w:rPr>
        <w:t>“Although most of the guidance between</w:t>
      </w:r>
      <w:r w:rsidR="001554DE" w:rsidRPr="00D924F4">
        <w:rPr>
          <w:i/>
          <w:szCs w:val="22"/>
        </w:rPr>
        <w:t xml:space="preserve"> the original SSAP No. 26 and SSAP No. 43 was the same, the guidance in SSAP No. 43 recognized the need to review (at least quarterly</w:t>
      </w:r>
      <w:r w:rsidR="008678B9" w:rsidRPr="00D924F4">
        <w:rPr>
          <w:i/>
          <w:szCs w:val="22"/>
        </w:rPr>
        <w:t>)</w:t>
      </w:r>
      <w:r w:rsidR="001554DE" w:rsidRPr="00D924F4">
        <w:rPr>
          <w:i/>
          <w:szCs w:val="22"/>
        </w:rPr>
        <w:t xml:space="preserve"> the prepayment assumptions and resulting cash flows of the underlying loans, as changes in assumptions would necessitate a recalculation of the effective yield.”</w:t>
      </w:r>
    </w:p>
    <w:p w14:paraId="550E5CED" w14:textId="77777777" w:rsidR="001554DE" w:rsidRPr="00D924F4" w:rsidRDefault="001554DE" w:rsidP="002B1EAD">
      <w:pPr>
        <w:jc w:val="both"/>
        <w:rPr>
          <w:i/>
          <w:szCs w:val="22"/>
        </w:rPr>
      </w:pPr>
    </w:p>
    <w:p w14:paraId="07C5285E" w14:textId="3B3EB953" w:rsidR="0022289F" w:rsidRPr="00D924F4" w:rsidRDefault="001554DE" w:rsidP="002B1EAD">
      <w:pPr>
        <w:pStyle w:val="Default"/>
        <w:jc w:val="both"/>
        <w:rPr>
          <w:sz w:val="22"/>
          <w:szCs w:val="22"/>
        </w:rPr>
      </w:pPr>
      <w:r w:rsidRPr="00D924F4">
        <w:rPr>
          <w:sz w:val="22"/>
          <w:szCs w:val="22"/>
        </w:rPr>
        <w:t xml:space="preserve">Interested </w:t>
      </w:r>
      <w:r w:rsidR="00B52289">
        <w:rPr>
          <w:sz w:val="22"/>
          <w:szCs w:val="22"/>
        </w:rPr>
        <w:t>p</w:t>
      </w:r>
      <w:r w:rsidRPr="00D924F4">
        <w:rPr>
          <w:sz w:val="22"/>
          <w:szCs w:val="22"/>
        </w:rPr>
        <w:t>arties agree with this characterization and it should not be forgotten</w:t>
      </w:r>
      <w:r w:rsidR="00F55002" w:rsidRPr="00D924F4">
        <w:rPr>
          <w:sz w:val="22"/>
          <w:szCs w:val="22"/>
        </w:rPr>
        <w:t xml:space="preserve">.  Today, there are essentially two accounting paradigms for bonds – SSAP </w:t>
      </w:r>
      <w:r w:rsidR="00D14116" w:rsidRPr="00D924F4">
        <w:rPr>
          <w:sz w:val="22"/>
          <w:szCs w:val="22"/>
        </w:rPr>
        <w:t xml:space="preserve">No. </w:t>
      </w:r>
      <w:r w:rsidR="00F55002" w:rsidRPr="00D924F4">
        <w:rPr>
          <w:sz w:val="22"/>
          <w:szCs w:val="22"/>
        </w:rPr>
        <w:t>26R (regular amortized cost) and SSAP No. 43R (</w:t>
      </w:r>
      <w:r w:rsidR="003E7E1F" w:rsidRPr="00D924F4">
        <w:rPr>
          <w:sz w:val="22"/>
          <w:szCs w:val="22"/>
        </w:rPr>
        <w:t>modified</w:t>
      </w:r>
      <w:r w:rsidR="00F55002" w:rsidRPr="00D924F4">
        <w:rPr>
          <w:sz w:val="22"/>
          <w:szCs w:val="22"/>
        </w:rPr>
        <w:t xml:space="preserve"> amortized cost that is adjusted periodically for changes in prepayment assumptions).  </w:t>
      </w:r>
    </w:p>
    <w:p w14:paraId="6F912735" w14:textId="77777777" w:rsidR="0022289F" w:rsidRPr="00D924F4" w:rsidRDefault="0022289F" w:rsidP="002B1EAD">
      <w:pPr>
        <w:pStyle w:val="Default"/>
        <w:jc w:val="both"/>
        <w:rPr>
          <w:sz w:val="22"/>
          <w:szCs w:val="22"/>
        </w:rPr>
      </w:pPr>
    </w:p>
    <w:p w14:paraId="230FCDD6" w14:textId="01002236" w:rsidR="00F55002" w:rsidRPr="00D924F4" w:rsidRDefault="00F55002" w:rsidP="002B1EAD">
      <w:pPr>
        <w:pStyle w:val="Default"/>
        <w:jc w:val="both"/>
        <w:rPr>
          <w:sz w:val="22"/>
          <w:szCs w:val="22"/>
        </w:rPr>
      </w:pPr>
      <w:r w:rsidRPr="00D924F4">
        <w:rPr>
          <w:sz w:val="22"/>
          <w:szCs w:val="22"/>
        </w:rPr>
        <w:t xml:space="preserve">SSAP No. 26R scope includes all bonds with a specific carve-out for securities that qualify for scope of SSAP </w:t>
      </w:r>
      <w:r w:rsidR="003E7E1F" w:rsidRPr="00D924F4">
        <w:rPr>
          <w:sz w:val="22"/>
          <w:szCs w:val="22"/>
        </w:rPr>
        <w:t xml:space="preserve">No. </w:t>
      </w:r>
      <w:r w:rsidRPr="00D924F4">
        <w:rPr>
          <w:sz w:val="22"/>
          <w:szCs w:val="22"/>
        </w:rPr>
        <w:t xml:space="preserve">43R.  </w:t>
      </w:r>
      <w:r w:rsidR="007915C4" w:rsidRPr="00D924F4">
        <w:rPr>
          <w:sz w:val="22"/>
          <w:szCs w:val="22"/>
        </w:rPr>
        <w:t>Judging from the staff note in paragraph 9,</w:t>
      </w:r>
      <w:r w:rsidRPr="00D924F4">
        <w:rPr>
          <w:sz w:val="22"/>
          <w:szCs w:val="22"/>
        </w:rPr>
        <w:t xml:space="preserve"> the </w:t>
      </w:r>
      <w:r w:rsidR="00D14116" w:rsidRPr="00D924F4">
        <w:rPr>
          <w:sz w:val="22"/>
          <w:szCs w:val="22"/>
        </w:rPr>
        <w:t>E</w:t>
      </w:r>
      <w:r w:rsidRPr="00D924F4">
        <w:rPr>
          <w:sz w:val="22"/>
          <w:szCs w:val="22"/>
        </w:rPr>
        <w:t>xposure generally proposes to keep this distinction but clarif</w:t>
      </w:r>
      <w:r w:rsidR="005D2C68" w:rsidRPr="00D924F4">
        <w:rPr>
          <w:sz w:val="22"/>
          <w:szCs w:val="22"/>
        </w:rPr>
        <w:t>ies</w:t>
      </w:r>
      <w:r w:rsidRPr="00D924F4">
        <w:rPr>
          <w:sz w:val="22"/>
          <w:szCs w:val="22"/>
        </w:rPr>
        <w:t xml:space="preserve"> that SSAP No. 43R includes all securities issued from a Trust or SPV even if they do not have prepayment or extension risk </w:t>
      </w:r>
      <w:r w:rsidR="007915C4" w:rsidRPr="00D924F4">
        <w:rPr>
          <w:sz w:val="22"/>
          <w:szCs w:val="22"/>
        </w:rPr>
        <w:t>(</w:t>
      </w:r>
      <w:r w:rsidRPr="00D924F4">
        <w:rPr>
          <w:sz w:val="22"/>
          <w:szCs w:val="22"/>
        </w:rPr>
        <w:t xml:space="preserve">which was the impetus for the modified bond accounting in SSAP </w:t>
      </w:r>
      <w:r w:rsidR="003E7E1F" w:rsidRPr="00D924F4">
        <w:rPr>
          <w:sz w:val="22"/>
          <w:szCs w:val="22"/>
        </w:rPr>
        <w:t xml:space="preserve">No. </w:t>
      </w:r>
      <w:r w:rsidRPr="00D924F4">
        <w:rPr>
          <w:sz w:val="22"/>
          <w:szCs w:val="22"/>
        </w:rPr>
        <w:t>43R</w:t>
      </w:r>
      <w:r w:rsidR="007915C4" w:rsidRPr="00D924F4">
        <w:rPr>
          <w:sz w:val="22"/>
          <w:szCs w:val="22"/>
        </w:rPr>
        <w:t>):</w:t>
      </w:r>
      <w:r w:rsidRPr="00D924F4">
        <w:rPr>
          <w:sz w:val="22"/>
          <w:szCs w:val="22"/>
        </w:rPr>
        <w:t xml:space="preserve"> </w:t>
      </w:r>
    </w:p>
    <w:p w14:paraId="30584723" w14:textId="77777777" w:rsidR="00F55002" w:rsidRPr="00D924F4" w:rsidRDefault="00F55002" w:rsidP="002B1EAD">
      <w:pPr>
        <w:pStyle w:val="Default"/>
        <w:jc w:val="both"/>
        <w:rPr>
          <w:sz w:val="22"/>
          <w:szCs w:val="22"/>
        </w:rPr>
      </w:pPr>
    </w:p>
    <w:p w14:paraId="45ADCCA0" w14:textId="77777777" w:rsidR="00F55002" w:rsidRPr="00D924F4" w:rsidRDefault="00F55002" w:rsidP="002B1EAD">
      <w:pPr>
        <w:pStyle w:val="Default"/>
        <w:ind w:left="720"/>
        <w:jc w:val="both"/>
        <w:rPr>
          <w:i/>
          <w:sz w:val="22"/>
          <w:szCs w:val="22"/>
        </w:rPr>
      </w:pPr>
      <w:r w:rsidRPr="00D924F4">
        <w:rPr>
          <w:i/>
          <w:sz w:val="22"/>
          <w:szCs w:val="22"/>
        </w:rPr>
        <w:t>“Staff Note:  With the revisions adopted in 2010, NAIC staff is under the impression that all securities issued from an SPV/trust structure were intended to be in scope of SSAP No. 43R.  This provision is expected to be discussed and clarified in accordance with this issue paper.”</w:t>
      </w:r>
    </w:p>
    <w:p w14:paraId="378FF7D5" w14:textId="77777777" w:rsidR="00F55002" w:rsidRPr="00D924F4" w:rsidRDefault="00F55002" w:rsidP="002B1EAD">
      <w:pPr>
        <w:pStyle w:val="Default"/>
        <w:jc w:val="both"/>
        <w:rPr>
          <w:sz w:val="22"/>
          <w:szCs w:val="22"/>
        </w:rPr>
      </w:pPr>
    </w:p>
    <w:p w14:paraId="29237AD3" w14:textId="1E8A81A0" w:rsidR="00F55002" w:rsidRPr="00D924F4" w:rsidRDefault="00F55002" w:rsidP="002B1EAD">
      <w:pPr>
        <w:pStyle w:val="Default"/>
        <w:jc w:val="both"/>
        <w:rPr>
          <w:sz w:val="22"/>
          <w:szCs w:val="22"/>
        </w:rPr>
      </w:pPr>
      <w:r w:rsidRPr="00D924F4">
        <w:rPr>
          <w:sz w:val="22"/>
          <w:szCs w:val="22"/>
        </w:rPr>
        <w:t>Th</w:t>
      </w:r>
      <w:r w:rsidR="009B3825" w:rsidRPr="00D924F4">
        <w:rPr>
          <w:sz w:val="22"/>
          <w:szCs w:val="22"/>
        </w:rPr>
        <w:t xml:space="preserve">e different accounting paradigms is an important point – </w:t>
      </w:r>
      <w:r w:rsidRPr="00D924F4">
        <w:rPr>
          <w:sz w:val="22"/>
          <w:szCs w:val="22"/>
        </w:rPr>
        <w:t>SSAP No. 43R securities (e.g., loan backed and structured securities), while issued from a Trust or SPV, have this different accounting due to prepayment and extension risk</w:t>
      </w:r>
      <w:r w:rsidR="007915C4" w:rsidRPr="00D924F4">
        <w:rPr>
          <w:sz w:val="22"/>
          <w:szCs w:val="22"/>
        </w:rPr>
        <w:t>,</w:t>
      </w:r>
      <w:r w:rsidRPr="00D924F4">
        <w:rPr>
          <w:sz w:val="22"/>
          <w:szCs w:val="22"/>
        </w:rPr>
        <w:t xml:space="preserve"> not because they are issued from a </w:t>
      </w:r>
      <w:r w:rsidR="00184A3C" w:rsidRPr="00D924F4">
        <w:rPr>
          <w:sz w:val="22"/>
          <w:szCs w:val="22"/>
        </w:rPr>
        <w:t>T</w:t>
      </w:r>
      <w:r w:rsidRPr="00D924F4">
        <w:rPr>
          <w:sz w:val="22"/>
          <w:szCs w:val="22"/>
        </w:rPr>
        <w:t xml:space="preserve">rust or SPV.  </w:t>
      </w:r>
    </w:p>
    <w:p w14:paraId="512BBF54" w14:textId="77777777" w:rsidR="009B3825" w:rsidRPr="00D924F4" w:rsidRDefault="009B3825" w:rsidP="002B1EAD">
      <w:pPr>
        <w:pStyle w:val="Default"/>
        <w:jc w:val="both"/>
        <w:rPr>
          <w:sz w:val="22"/>
          <w:szCs w:val="22"/>
        </w:rPr>
      </w:pPr>
    </w:p>
    <w:p w14:paraId="1657C8B8" w14:textId="5A4C1067" w:rsidR="009B3825" w:rsidRPr="00D924F4" w:rsidRDefault="009B3825" w:rsidP="002B1EAD">
      <w:pPr>
        <w:pStyle w:val="Default"/>
        <w:jc w:val="both"/>
        <w:rPr>
          <w:sz w:val="22"/>
          <w:szCs w:val="22"/>
        </w:rPr>
      </w:pPr>
      <w:r w:rsidRPr="00D924F4">
        <w:rPr>
          <w:sz w:val="22"/>
          <w:szCs w:val="22"/>
        </w:rPr>
        <w:t xml:space="preserve">Further, </w:t>
      </w:r>
      <w:r w:rsidR="00B52289">
        <w:rPr>
          <w:sz w:val="22"/>
          <w:szCs w:val="22"/>
        </w:rPr>
        <w:t>i</w:t>
      </w:r>
      <w:r w:rsidRPr="00D924F4">
        <w:rPr>
          <w:sz w:val="22"/>
          <w:szCs w:val="22"/>
        </w:rPr>
        <w:t xml:space="preserve">nterested </w:t>
      </w:r>
      <w:r w:rsidR="00B52289">
        <w:rPr>
          <w:sz w:val="22"/>
          <w:szCs w:val="22"/>
        </w:rPr>
        <w:t>p</w:t>
      </w:r>
      <w:r w:rsidRPr="00D924F4">
        <w:rPr>
          <w:sz w:val="22"/>
          <w:szCs w:val="22"/>
        </w:rPr>
        <w:t>arties believe NAIC staff’s impression that all securities issued from a</w:t>
      </w:r>
      <w:r w:rsidR="00184A3C" w:rsidRPr="00D924F4">
        <w:rPr>
          <w:sz w:val="22"/>
          <w:szCs w:val="22"/>
        </w:rPr>
        <w:t xml:space="preserve"> Trust or SPV </w:t>
      </w:r>
      <w:r w:rsidRPr="00D924F4">
        <w:rPr>
          <w:sz w:val="22"/>
          <w:szCs w:val="22"/>
        </w:rPr>
        <w:t xml:space="preserve">structure were intended to be in scope of SSAP No. 43R is </w:t>
      </w:r>
      <w:r w:rsidR="008678B9" w:rsidRPr="00D924F4">
        <w:rPr>
          <w:sz w:val="22"/>
          <w:szCs w:val="22"/>
        </w:rPr>
        <w:t>not wholly accurate</w:t>
      </w:r>
      <w:r w:rsidRPr="00D924F4">
        <w:rPr>
          <w:sz w:val="22"/>
          <w:szCs w:val="22"/>
        </w:rPr>
        <w:t xml:space="preserve"> for the following reasons:</w:t>
      </w:r>
    </w:p>
    <w:p w14:paraId="40BBEE18" w14:textId="77777777" w:rsidR="009B3825" w:rsidRPr="00D924F4" w:rsidRDefault="009B3825" w:rsidP="002B1EAD">
      <w:pPr>
        <w:pStyle w:val="Default"/>
        <w:jc w:val="both"/>
        <w:rPr>
          <w:sz w:val="22"/>
          <w:szCs w:val="22"/>
        </w:rPr>
      </w:pPr>
    </w:p>
    <w:p w14:paraId="04A9F1DA" w14:textId="77777777" w:rsidR="009B3825" w:rsidRPr="00D924F4" w:rsidRDefault="009B3825" w:rsidP="002B1EAD">
      <w:pPr>
        <w:pStyle w:val="Default"/>
        <w:numPr>
          <w:ilvl w:val="0"/>
          <w:numId w:val="13"/>
        </w:numPr>
        <w:jc w:val="both"/>
        <w:rPr>
          <w:sz w:val="22"/>
          <w:szCs w:val="22"/>
        </w:rPr>
      </w:pPr>
      <w:r w:rsidRPr="00D924F4">
        <w:rPr>
          <w:sz w:val="22"/>
          <w:szCs w:val="22"/>
        </w:rPr>
        <w:t>Not all securities have prepayment/extension risk which renders the accounting of SSAP No. 43R moot,</w:t>
      </w:r>
    </w:p>
    <w:p w14:paraId="27BA0298" w14:textId="429B98D6" w:rsidR="009B3825" w:rsidRPr="00D924F4" w:rsidRDefault="009B3825" w:rsidP="002B1EAD">
      <w:pPr>
        <w:pStyle w:val="Default"/>
        <w:numPr>
          <w:ilvl w:val="0"/>
          <w:numId w:val="13"/>
        </w:numPr>
        <w:jc w:val="both"/>
        <w:rPr>
          <w:sz w:val="22"/>
          <w:szCs w:val="22"/>
        </w:rPr>
      </w:pPr>
      <w:r w:rsidRPr="00D924F4">
        <w:rPr>
          <w:sz w:val="22"/>
          <w:szCs w:val="22"/>
        </w:rPr>
        <w:t>Nowhere, as a result of the revisions adopted in 2010, did it change the scope of SSAP No. 43R to explicitly state all securities issued from a</w:t>
      </w:r>
      <w:r w:rsidR="00184A3C" w:rsidRPr="00D924F4">
        <w:rPr>
          <w:sz w:val="22"/>
          <w:szCs w:val="22"/>
        </w:rPr>
        <w:t xml:space="preserve"> Trust or SPV</w:t>
      </w:r>
      <w:r w:rsidRPr="00D924F4">
        <w:rPr>
          <w:sz w:val="22"/>
          <w:szCs w:val="22"/>
        </w:rPr>
        <w:t xml:space="preserve"> </w:t>
      </w:r>
      <w:r w:rsidR="006249DA" w:rsidRPr="00D924F4">
        <w:rPr>
          <w:sz w:val="22"/>
          <w:szCs w:val="22"/>
        </w:rPr>
        <w:t>are</w:t>
      </w:r>
      <w:r w:rsidRPr="00D924F4">
        <w:rPr>
          <w:sz w:val="22"/>
          <w:szCs w:val="22"/>
        </w:rPr>
        <w:t xml:space="preserve"> included, </w:t>
      </w:r>
    </w:p>
    <w:p w14:paraId="2602578A" w14:textId="3A70A904" w:rsidR="009B3825" w:rsidRPr="00D924F4" w:rsidRDefault="00656FAD" w:rsidP="002B1EAD">
      <w:pPr>
        <w:pStyle w:val="Default"/>
        <w:numPr>
          <w:ilvl w:val="0"/>
          <w:numId w:val="13"/>
        </w:numPr>
        <w:jc w:val="both"/>
        <w:rPr>
          <w:sz w:val="22"/>
          <w:szCs w:val="22"/>
        </w:rPr>
      </w:pPr>
      <w:r w:rsidRPr="00D924F4">
        <w:rPr>
          <w:sz w:val="22"/>
          <w:szCs w:val="22"/>
        </w:rPr>
        <w:t xml:space="preserve">Industry continues to hold </w:t>
      </w:r>
      <w:r w:rsidR="007915C4" w:rsidRPr="00D924F4">
        <w:rPr>
          <w:sz w:val="22"/>
          <w:szCs w:val="22"/>
        </w:rPr>
        <w:t>multiple</w:t>
      </w:r>
      <w:r w:rsidRPr="00D924F4">
        <w:rPr>
          <w:sz w:val="22"/>
          <w:szCs w:val="22"/>
        </w:rPr>
        <w:t xml:space="preserve"> billions of dollars of securities issued from a</w:t>
      </w:r>
      <w:r w:rsidR="00184A3C" w:rsidRPr="00D924F4">
        <w:rPr>
          <w:sz w:val="22"/>
          <w:szCs w:val="22"/>
        </w:rPr>
        <w:t xml:space="preserve"> Trust or SPV</w:t>
      </w:r>
      <w:r w:rsidR="000D2F67" w:rsidRPr="00D924F4">
        <w:rPr>
          <w:sz w:val="22"/>
          <w:szCs w:val="22"/>
        </w:rPr>
        <w:t xml:space="preserve"> reported under</w:t>
      </w:r>
      <w:r w:rsidRPr="00D924F4">
        <w:rPr>
          <w:sz w:val="22"/>
          <w:szCs w:val="22"/>
        </w:rPr>
        <w:t xml:space="preserve"> SSAP No. 26 and </w:t>
      </w:r>
      <w:r w:rsidR="00565587" w:rsidRPr="00D924F4">
        <w:rPr>
          <w:sz w:val="22"/>
          <w:szCs w:val="22"/>
        </w:rPr>
        <w:t xml:space="preserve">neither </w:t>
      </w:r>
      <w:r w:rsidRPr="00D924F4">
        <w:rPr>
          <w:sz w:val="22"/>
          <w:szCs w:val="22"/>
        </w:rPr>
        <w:t>regulators</w:t>
      </w:r>
      <w:r w:rsidR="00565587" w:rsidRPr="00D924F4">
        <w:rPr>
          <w:sz w:val="22"/>
          <w:szCs w:val="22"/>
        </w:rPr>
        <w:t xml:space="preserve"> nor </w:t>
      </w:r>
      <w:r w:rsidRPr="00D924F4">
        <w:rPr>
          <w:sz w:val="22"/>
          <w:szCs w:val="22"/>
        </w:rPr>
        <w:t>auditors have take</w:t>
      </w:r>
      <w:r w:rsidR="007915C4" w:rsidRPr="00D924F4">
        <w:rPr>
          <w:sz w:val="22"/>
          <w:szCs w:val="22"/>
        </w:rPr>
        <w:t>n</w:t>
      </w:r>
      <w:r w:rsidRPr="00D924F4">
        <w:rPr>
          <w:sz w:val="22"/>
          <w:szCs w:val="22"/>
        </w:rPr>
        <w:t xml:space="preserve"> exception to this, </w:t>
      </w:r>
      <w:r w:rsidR="00184A3C" w:rsidRPr="00D924F4">
        <w:rPr>
          <w:sz w:val="22"/>
          <w:szCs w:val="22"/>
        </w:rPr>
        <w:t>and</w:t>
      </w:r>
    </w:p>
    <w:p w14:paraId="42E50633" w14:textId="73928C5B" w:rsidR="00656FAD" w:rsidRPr="00D924F4" w:rsidRDefault="00656FAD" w:rsidP="002B1EAD">
      <w:pPr>
        <w:pStyle w:val="Default"/>
        <w:numPr>
          <w:ilvl w:val="0"/>
          <w:numId w:val="13"/>
        </w:numPr>
        <w:jc w:val="both"/>
        <w:rPr>
          <w:sz w:val="22"/>
          <w:szCs w:val="22"/>
        </w:rPr>
      </w:pPr>
      <w:r w:rsidRPr="00D924F4">
        <w:rPr>
          <w:sz w:val="22"/>
          <w:szCs w:val="22"/>
        </w:rPr>
        <w:lastRenderedPageBreak/>
        <w:t xml:space="preserve">Industry does not believe this was the intent of Matti Peltonen, at the time a member of the New York State </w:t>
      </w:r>
      <w:r w:rsidR="006249DA" w:rsidRPr="00D924F4">
        <w:rPr>
          <w:sz w:val="22"/>
          <w:szCs w:val="22"/>
        </w:rPr>
        <w:t>Department of Financial Services</w:t>
      </w:r>
      <w:r w:rsidRPr="00D924F4">
        <w:rPr>
          <w:sz w:val="22"/>
          <w:szCs w:val="22"/>
        </w:rPr>
        <w:t xml:space="preserve">, who was the impetus behind the 2010 changes.  </w:t>
      </w:r>
      <w:r w:rsidR="00184A3C" w:rsidRPr="00D924F4">
        <w:rPr>
          <w:sz w:val="22"/>
          <w:szCs w:val="22"/>
        </w:rPr>
        <w:t>F</w:t>
      </w:r>
      <w:r w:rsidR="005F6920" w:rsidRPr="00D924F4">
        <w:rPr>
          <w:sz w:val="22"/>
          <w:szCs w:val="22"/>
        </w:rPr>
        <w:t>or example</w:t>
      </w:r>
      <w:r w:rsidR="00184A3C" w:rsidRPr="00D924F4">
        <w:rPr>
          <w:sz w:val="22"/>
          <w:szCs w:val="22"/>
        </w:rPr>
        <w:t xml:space="preserve">, </w:t>
      </w:r>
      <w:r w:rsidR="008678B9" w:rsidRPr="00D924F4">
        <w:rPr>
          <w:sz w:val="22"/>
          <w:szCs w:val="22"/>
        </w:rPr>
        <w:t xml:space="preserve">after the 2010 changes were adopted, </w:t>
      </w:r>
      <w:r w:rsidR="00184A3C" w:rsidRPr="00D924F4">
        <w:rPr>
          <w:sz w:val="22"/>
          <w:szCs w:val="22"/>
        </w:rPr>
        <w:t xml:space="preserve">there were many </w:t>
      </w:r>
      <w:r w:rsidR="008678B9" w:rsidRPr="00D924F4">
        <w:rPr>
          <w:sz w:val="22"/>
          <w:szCs w:val="22"/>
        </w:rPr>
        <w:t>open</w:t>
      </w:r>
      <w:r w:rsidR="00184A3C" w:rsidRPr="00D924F4">
        <w:rPr>
          <w:sz w:val="22"/>
          <w:szCs w:val="22"/>
        </w:rPr>
        <w:t xml:space="preserve"> working calls with </w:t>
      </w:r>
      <w:r w:rsidR="00B52289">
        <w:rPr>
          <w:sz w:val="22"/>
          <w:szCs w:val="22"/>
        </w:rPr>
        <w:t>i</w:t>
      </w:r>
      <w:r w:rsidR="00184A3C" w:rsidRPr="00D924F4">
        <w:rPr>
          <w:sz w:val="22"/>
          <w:szCs w:val="22"/>
        </w:rPr>
        <w:t>nterest</w:t>
      </w:r>
      <w:r w:rsidR="00856DA9" w:rsidRPr="00D924F4">
        <w:rPr>
          <w:sz w:val="22"/>
          <w:szCs w:val="22"/>
        </w:rPr>
        <w:t>ed</w:t>
      </w:r>
      <w:r w:rsidR="00184A3C" w:rsidRPr="00D924F4">
        <w:rPr>
          <w:sz w:val="22"/>
          <w:szCs w:val="22"/>
        </w:rPr>
        <w:t xml:space="preserve"> </w:t>
      </w:r>
      <w:r w:rsidR="00B52289">
        <w:rPr>
          <w:sz w:val="22"/>
          <w:szCs w:val="22"/>
        </w:rPr>
        <w:t>p</w:t>
      </w:r>
      <w:r w:rsidR="00184A3C" w:rsidRPr="00D924F4">
        <w:rPr>
          <w:sz w:val="22"/>
          <w:szCs w:val="22"/>
        </w:rPr>
        <w:t xml:space="preserve">arties and </w:t>
      </w:r>
      <w:r w:rsidR="00D924F4" w:rsidRPr="00D924F4">
        <w:rPr>
          <w:sz w:val="22"/>
          <w:szCs w:val="22"/>
        </w:rPr>
        <w:t>Mr.</w:t>
      </w:r>
      <w:r w:rsidR="00184A3C" w:rsidRPr="00D924F4">
        <w:rPr>
          <w:sz w:val="22"/>
          <w:szCs w:val="22"/>
        </w:rPr>
        <w:t xml:space="preserve"> Peltonen, </w:t>
      </w:r>
      <w:r w:rsidR="005D2C68" w:rsidRPr="00D924F4">
        <w:rPr>
          <w:sz w:val="22"/>
          <w:szCs w:val="22"/>
        </w:rPr>
        <w:t>where</w:t>
      </w:r>
      <w:r w:rsidR="008678B9" w:rsidRPr="00D924F4">
        <w:rPr>
          <w:sz w:val="22"/>
          <w:szCs w:val="22"/>
        </w:rPr>
        <w:t xml:space="preserve"> attempts were made to</w:t>
      </w:r>
      <w:r w:rsidR="00565587" w:rsidRPr="00D924F4">
        <w:rPr>
          <w:sz w:val="22"/>
          <w:szCs w:val="22"/>
        </w:rPr>
        <w:t xml:space="preserve"> </w:t>
      </w:r>
      <w:r w:rsidR="00184A3C" w:rsidRPr="00D924F4">
        <w:rPr>
          <w:sz w:val="22"/>
          <w:szCs w:val="22"/>
        </w:rPr>
        <w:t xml:space="preserve">determine which securities within a Trust or SPV were </w:t>
      </w:r>
      <w:r w:rsidR="000D2F67" w:rsidRPr="00D924F4">
        <w:rPr>
          <w:sz w:val="22"/>
          <w:szCs w:val="22"/>
        </w:rPr>
        <w:t>ABS</w:t>
      </w:r>
      <w:r w:rsidR="00184A3C" w:rsidRPr="00D924F4">
        <w:rPr>
          <w:sz w:val="22"/>
          <w:szCs w:val="22"/>
        </w:rPr>
        <w:t xml:space="preserve"> in accordance with SSAP No. 43R.  F</w:t>
      </w:r>
      <w:r w:rsidR="005F6920" w:rsidRPr="00D924F4">
        <w:rPr>
          <w:sz w:val="22"/>
          <w:szCs w:val="22"/>
        </w:rPr>
        <w:t>urther</w:t>
      </w:r>
      <w:r w:rsidRPr="00D924F4">
        <w:rPr>
          <w:sz w:val="22"/>
          <w:szCs w:val="22"/>
        </w:rPr>
        <w:t xml:space="preserve">, in a 2010 presentation to </w:t>
      </w:r>
      <w:r w:rsidR="006249DA" w:rsidRPr="00D924F4">
        <w:rPr>
          <w:sz w:val="22"/>
          <w:szCs w:val="22"/>
        </w:rPr>
        <w:t>the North American Securities Valuation Association (</w:t>
      </w:r>
      <w:r w:rsidRPr="00D924F4">
        <w:rPr>
          <w:sz w:val="22"/>
          <w:szCs w:val="22"/>
        </w:rPr>
        <w:t>NASVA</w:t>
      </w:r>
      <w:r w:rsidR="006249DA" w:rsidRPr="00D924F4">
        <w:rPr>
          <w:sz w:val="22"/>
          <w:szCs w:val="22"/>
        </w:rPr>
        <w:t>)</w:t>
      </w:r>
      <w:r w:rsidR="00B504D3" w:rsidRPr="00D924F4">
        <w:rPr>
          <w:sz w:val="22"/>
          <w:szCs w:val="22"/>
        </w:rPr>
        <w:t>, which we are happy to share with SAPWG,</w:t>
      </w:r>
      <w:r w:rsidRPr="00D924F4">
        <w:rPr>
          <w:sz w:val="22"/>
          <w:szCs w:val="22"/>
        </w:rPr>
        <w:t xml:space="preserve"> </w:t>
      </w:r>
      <w:r w:rsidR="008D3947" w:rsidRPr="00D924F4">
        <w:rPr>
          <w:sz w:val="22"/>
          <w:szCs w:val="22"/>
        </w:rPr>
        <w:t>Mr. Peltonen</w:t>
      </w:r>
      <w:r w:rsidRPr="00D924F4">
        <w:rPr>
          <w:sz w:val="22"/>
          <w:szCs w:val="22"/>
        </w:rPr>
        <w:t xml:space="preserve"> concluded with the following observations:</w:t>
      </w:r>
    </w:p>
    <w:p w14:paraId="672BADCA" w14:textId="77777777" w:rsidR="00656FAD" w:rsidRPr="00D924F4" w:rsidRDefault="00656FAD" w:rsidP="002B1EAD">
      <w:pPr>
        <w:pStyle w:val="Default"/>
        <w:jc w:val="both"/>
        <w:rPr>
          <w:sz w:val="22"/>
          <w:szCs w:val="22"/>
        </w:rPr>
      </w:pPr>
    </w:p>
    <w:p w14:paraId="11B7015E" w14:textId="77777777" w:rsidR="00656FAD" w:rsidRPr="00D924F4" w:rsidRDefault="00656FAD" w:rsidP="002B1EAD">
      <w:pPr>
        <w:pStyle w:val="Default"/>
        <w:ind w:left="1440"/>
        <w:jc w:val="both"/>
        <w:rPr>
          <w:i/>
          <w:sz w:val="22"/>
          <w:szCs w:val="22"/>
        </w:rPr>
      </w:pPr>
      <w:r w:rsidRPr="00D924F4">
        <w:rPr>
          <w:i/>
          <w:sz w:val="22"/>
          <w:szCs w:val="22"/>
        </w:rPr>
        <w:t>“The preceding pages are not meant to be definite guidance on how to report municipal bonds: some are clearly Issuer Obligations, some are clearly LBaSS – and there are probably some that are clearly in between.”</w:t>
      </w:r>
    </w:p>
    <w:p w14:paraId="34BC249A" w14:textId="77777777" w:rsidR="00656FAD" w:rsidRPr="00D924F4" w:rsidRDefault="00656FAD" w:rsidP="002B1EAD">
      <w:pPr>
        <w:pStyle w:val="Default"/>
        <w:ind w:left="360"/>
        <w:jc w:val="both"/>
        <w:rPr>
          <w:i/>
          <w:sz w:val="22"/>
          <w:szCs w:val="22"/>
        </w:rPr>
      </w:pPr>
    </w:p>
    <w:p w14:paraId="30D4FD4A" w14:textId="77777777" w:rsidR="00656FAD" w:rsidRPr="00D924F4" w:rsidRDefault="00656FAD" w:rsidP="002B1EAD">
      <w:pPr>
        <w:pStyle w:val="Default"/>
        <w:ind w:left="1440"/>
        <w:jc w:val="both"/>
        <w:rPr>
          <w:i/>
          <w:sz w:val="22"/>
          <w:szCs w:val="22"/>
        </w:rPr>
      </w:pPr>
      <w:r w:rsidRPr="00D924F4">
        <w:rPr>
          <w:i/>
          <w:sz w:val="22"/>
          <w:szCs w:val="22"/>
        </w:rPr>
        <w:t>“The definite determination on how to report, if in doubt, needs to be done by studying a security’s prospectus, and comparing the terms</w:t>
      </w:r>
      <w:r w:rsidR="008B3A9F" w:rsidRPr="00D924F4">
        <w:rPr>
          <w:i/>
          <w:sz w:val="22"/>
          <w:szCs w:val="22"/>
        </w:rPr>
        <w:t xml:space="preserve"> with the annual statement guidance, and SSAP26 and 43R.”</w:t>
      </w:r>
    </w:p>
    <w:p w14:paraId="7605D573" w14:textId="77777777" w:rsidR="008B3A9F" w:rsidRPr="00D924F4" w:rsidRDefault="008B3A9F" w:rsidP="002B1EAD">
      <w:pPr>
        <w:pStyle w:val="Default"/>
        <w:ind w:left="360"/>
        <w:jc w:val="both"/>
        <w:rPr>
          <w:i/>
          <w:sz w:val="22"/>
          <w:szCs w:val="22"/>
        </w:rPr>
      </w:pPr>
    </w:p>
    <w:p w14:paraId="58DA8740" w14:textId="4C8E411D" w:rsidR="008B3A9F" w:rsidRPr="00D924F4" w:rsidRDefault="008B3A9F" w:rsidP="002B1EAD">
      <w:pPr>
        <w:pStyle w:val="Default"/>
        <w:ind w:left="720"/>
        <w:jc w:val="both"/>
        <w:rPr>
          <w:sz w:val="22"/>
          <w:szCs w:val="22"/>
        </w:rPr>
      </w:pPr>
      <w:r w:rsidRPr="00D924F4">
        <w:rPr>
          <w:sz w:val="22"/>
          <w:szCs w:val="22"/>
        </w:rPr>
        <w:t>M</w:t>
      </w:r>
      <w:r w:rsidR="000D2F67" w:rsidRPr="00D924F4">
        <w:rPr>
          <w:sz w:val="22"/>
          <w:szCs w:val="22"/>
        </w:rPr>
        <w:t>r.</w:t>
      </w:r>
      <w:r w:rsidR="00184A3C" w:rsidRPr="00D924F4">
        <w:rPr>
          <w:sz w:val="22"/>
          <w:szCs w:val="22"/>
        </w:rPr>
        <w:t xml:space="preserve"> Peltonen’s</w:t>
      </w:r>
      <w:r w:rsidRPr="00D924F4">
        <w:rPr>
          <w:sz w:val="22"/>
          <w:szCs w:val="22"/>
        </w:rPr>
        <w:t xml:space="preserve"> focus was not on whether a security was issued from a</w:t>
      </w:r>
      <w:r w:rsidR="00184A3C" w:rsidRPr="00D924F4">
        <w:rPr>
          <w:sz w:val="22"/>
          <w:szCs w:val="22"/>
        </w:rPr>
        <w:t xml:space="preserve"> Trust or SPV</w:t>
      </w:r>
      <w:r w:rsidRPr="00D924F4">
        <w:rPr>
          <w:sz w:val="22"/>
          <w:szCs w:val="22"/>
        </w:rPr>
        <w:t>, but rather if a security was clearly an Issuer Obligation or a Loan-Backed (or Asset Backed) security with attributes of a proportional payments</w:t>
      </w:r>
      <w:r w:rsidR="005D2C68" w:rsidRPr="00D924F4">
        <w:rPr>
          <w:sz w:val="22"/>
          <w:szCs w:val="22"/>
        </w:rPr>
        <w:t>,</w:t>
      </w:r>
      <w:r w:rsidRPr="00D924F4">
        <w:rPr>
          <w:sz w:val="22"/>
          <w:szCs w:val="22"/>
        </w:rPr>
        <w:t xml:space="preserve"> as noted in paragraph 2 of SSAP No. 43R:</w:t>
      </w:r>
    </w:p>
    <w:p w14:paraId="5283806F" w14:textId="77777777" w:rsidR="008B3A9F" w:rsidRPr="00D924F4" w:rsidRDefault="008B3A9F" w:rsidP="002B1EAD">
      <w:pPr>
        <w:pStyle w:val="Default"/>
        <w:ind w:left="720"/>
        <w:jc w:val="both"/>
        <w:rPr>
          <w:sz w:val="22"/>
          <w:szCs w:val="22"/>
        </w:rPr>
      </w:pPr>
    </w:p>
    <w:p w14:paraId="19E30887" w14:textId="77777777" w:rsidR="008B3A9F" w:rsidRPr="00D924F4" w:rsidRDefault="008B3A9F" w:rsidP="002B1EAD">
      <w:pPr>
        <w:pStyle w:val="Default"/>
        <w:ind w:left="1440"/>
        <w:jc w:val="both"/>
        <w:rPr>
          <w:i/>
          <w:sz w:val="22"/>
          <w:szCs w:val="22"/>
        </w:rPr>
      </w:pPr>
      <w:r w:rsidRPr="00D924F4">
        <w:rPr>
          <w:i/>
          <w:sz w:val="22"/>
          <w:szCs w:val="22"/>
        </w:rPr>
        <w:t>“Loan-backed securities are defined as securitized assets not included in structured securities, as defined below, for which the payment of interest and/or principal is directly proportional to the payments received by the issuer from the underlying assets, including but not limited to pass-through securities, lease-backed securities, and equipment trust certificates.’</w:t>
      </w:r>
    </w:p>
    <w:p w14:paraId="35CAF398" w14:textId="77777777" w:rsidR="008B3A9F" w:rsidRPr="00D924F4" w:rsidRDefault="008B3A9F" w:rsidP="002B1EAD">
      <w:pPr>
        <w:pStyle w:val="Default"/>
        <w:ind w:left="720"/>
        <w:jc w:val="both"/>
        <w:rPr>
          <w:i/>
          <w:sz w:val="22"/>
          <w:szCs w:val="22"/>
        </w:rPr>
      </w:pPr>
    </w:p>
    <w:p w14:paraId="535EFE63" w14:textId="57291353" w:rsidR="00B504D3" w:rsidRPr="00D924F4" w:rsidRDefault="00B504D3" w:rsidP="002B1EAD">
      <w:pPr>
        <w:pStyle w:val="Default"/>
        <w:ind w:left="720"/>
        <w:jc w:val="both"/>
        <w:rPr>
          <w:sz w:val="22"/>
          <w:szCs w:val="22"/>
        </w:rPr>
      </w:pPr>
      <w:r w:rsidRPr="00D924F4">
        <w:rPr>
          <w:sz w:val="22"/>
          <w:szCs w:val="22"/>
        </w:rPr>
        <w:t xml:space="preserve">Examples of municipal bonds </w:t>
      </w:r>
      <w:r w:rsidR="0089164F" w:rsidRPr="00D924F4">
        <w:rPr>
          <w:sz w:val="22"/>
          <w:szCs w:val="22"/>
        </w:rPr>
        <w:t>sometimes</w:t>
      </w:r>
      <w:r w:rsidRPr="00D924F4">
        <w:rPr>
          <w:sz w:val="22"/>
          <w:szCs w:val="22"/>
        </w:rPr>
        <w:t xml:space="preserve"> issued from a</w:t>
      </w:r>
      <w:r w:rsidR="00DF27D3" w:rsidRPr="00D924F4">
        <w:rPr>
          <w:sz w:val="22"/>
          <w:szCs w:val="22"/>
        </w:rPr>
        <w:t xml:space="preserve"> </w:t>
      </w:r>
      <w:r w:rsidRPr="00D924F4">
        <w:rPr>
          <w:sz w:val="22"/>
          <w:szCs w:val="22"/>
        </w:rPr>
        <w:t>Trust</w:t>
      </w:r>
      <w:r w:rsidR="00DF27D3" w:rsidRPr="00D924F4">
        <w:rPr>
          <w:sz w:val="22"/>
          <w:szCs w:val="22"/>
        </w:rPr>
        <w:t xml:space="preserve"> or SPV</w:t>
      </w:r>
      <w:r w:rsidR="00DA1CC1" w:rsidRPr="00D924F4">
        <w:rPr>
          <w:sz w:val="22"/>
          <w:szCs w:val="22"/>
        </w:rPr>
        <w:t>,</w:t>
      </w:r>
      <w:r w:rsidRPr="00D924F4">
        <w:rPr>
          <w:sz w:val="22"/>
          <w:szCs w:val="22"/>
        </w:rPr>
        <w:t xml:space="preserve"> and often reported under SSAP No. 26R today</w:t>
      </w:r>
      <w:r w:rsidR="00DA1CC1" w:rsidRPr="00D924F4">
        <w:rPr>
          <w:sz w:val="22"/>
          <w:szCs w:val="22"/>
        </w:rPr>
        <w:t>,</w:t>
      </w:r>
      <w:r w:rsidRPr="00D924F4">
        <w:rPr>
          <w:sz w:val="22"/>
          <w:szCs w:val="22"/>
        </w:rPr>
        <w:t xml:space="preserve"> are special revenue bonds</w:t>
      </w:r>
      <w:r w:rsidR="00DA1CC1" w:rsidRPr="00D924F4">
        <w:rPr>
          <w:sz w:val="22"/>
          <w:szCs w:val="22"/>
        </w:rPr>
        <w:t xml:space="preserve"> includ</w:t>
      </w:r>
      <w:r w:rsidR="0089164F" w:rsidRPr="00D924F4">
        <w:rPr>
          <w:sz w:val="22"/>
          <w:szCs w:val="22"/>
        </w:rPr>
        <w:t>ing</w:t>
      </w:r>
      <w:r w:rsidRPr="00D924F4">
        <w:rPr>
          <w:sz w:val="22"/>
          <w:szCs w:val="22"/>
        </w:rPr>
        <w:t xml:space="preserve"> </w:t>
      </w:r>
      <w:r w:rsidR="0089164F" w:rsidRPr="00D924F4">
        <w:rPr>
          <w:sz w:val="22"/>
          <w:szCs w:val="22"/>
        </w:rPr>
        <w:t>t</w:t>
      </w:r>
      <w:r w:rsidRPr="00D924F4">
        <w:rPr>
          <w:sz w:val="22"/>
          <w:szCs w:val="22"/>
        </w:rPr>
        <w:t xml:space="preserve">oll </w:t>
      </w:r>
      <w:r w:rsidR="0089164F" w:rsidRPr="00D924F4">
        <w:rPr>
          <w:sz w:val="22"/>
          <w:szCs w:val="22"/>
        </w:rPr>
        <w:t>r</w:t>
      </w:r>
      <w:r w:rsidRPr="00D924F4">
        <w:rPr>
          <w:sz w:val="22"/>
          <w:szCs w:val="22"/>
        </w:rPr>
        <w:t xml:space="preserve">oads or </w:t>
      </w:r>
      <w:r w:rsidR="0089164F" w:rsidRPr="00D924F4">
        <w:rPr>
          <w:sz w:val="22"/>
          <w:szCs w:val="22"/>
        </w:rPr>
        <w:t>b</w:t>
      </w:r>
      <w:r w:rsidRPr="00D924F4">
        <w:rPr>
          <w:sz w:val="22"/>
          <w:szCs w:val="22"/>
        </w:rPr>
        <w:t xml:space="preserve">ridges, </w:t>
      </w:r>
      <w:r w:rsidR="0089164F" w:rsidRPr="00D924F4">
        <w:rPr>
          <w:sz w:val="22"/>
          <w:szCs w:val="22"/>
        </w:rPr>
        <w:t>w</w:t>
      </w:r>
      <w:r w:rsidRPr="00D924F4">
        <w:rPr>
          <w:sz w:val="22"/>
          <w:szCs w:val="22"/>
        </w:rPr>
        <w:t xml:space="preserve">ater and </w:t>
      </w:r>
      <w:r w:rsidR="0089164F" w:rsidRPr="00D924F4">
        <w:rPr>
          <w:sz w:val="22"/>
          <w:szCs w:val="22"/>
        </w:rPr>
        <w:t>w</w:t>
      </w:r>
      <w:r w:rsidRPr="00D924F4">
        <w:rPr>
          <w:sz w:val="22"/>
          <w:szCs w:val="22"/>
        </w:rPr>
        <w:t>astewater (</w:t>
      </w:r>
      <w:r w:rsidR="0089164F" w:rsidRPr="00D924F4">
        <w:rPr>
          <w:sz w:val="22"/>
          <w:szCs w:val="22"/>
        </w:rPr>
        <w:t>s</w:t>
      </w:r>
      <w:r w:rsidRPr="00D924F4">
        <w:rPr>
          <w:sz w:val="22"/>
          <w:szCs w:val="22"/>
        </w:rPr>
        <w:t xml:space="preserve">ewer) utilities, </w:t>
      </w:r>
      <w:r w:rsidR="0089164F" w:rsidRPr="00D924F4">
        <w:rPr>
          <w:sz w:val="22"/>
          <w:szCs w:val="22"/>
        </w:rPr>
        <w:t>p</w:t>
      </w:r>
      <w:r w:rsidRPr="00D924F4">
        <w:rPr>
          <w:sz w:val="22"/>
          <w:szCs w:val="22"/>
        </w:rPr>
        <w:t>risons</w:t>
      </w:r>
      <w:r w:rsidR="005F6920" w:rsidRPr="00D924F4">
        <w:rPr>
          <w:sz w:val="22"/>
          <w:szCs w:val="22"/>
        </w:rPr>
        <w:t>,</w:t>
      </w:r>
      <w:r w:rsidR="0089164F" w:rsidRPr="00D924F4">
        <w:rPr>
          <w:sz w:val="22"/>
          <w:szCs w:val="22"/>
        </w:rPr>
        <w:t xml:space="preserve"> </w:t>
      </w:r>
      <w:r w:rsidRPr="00D924F4">
        <w:rPr>
          <w:sz w:val="22"/>
          <w:szCs w:val="22"/>
        </w:rPr>
        <w:t>and electrical generation facilities</w:t>
      </w:r>
      <w:r w:rsidR="00DA1CC1" w:rsidRPr="00D924F4">
        <w:rPr>
          <w:sz w:val="22"/>
          <w:szCs w:val="22"/>
        </w:rPr>
        <w:t>, among potentially many other similar “businesses”</w:t>
      </w:r>
      <w:r w:rsidRPr="00D924F4">
        <w:rPr>
          <w:sz w:val="22"/>
          <w:szCs w:val="22"/>
        </w:rPr>
        <w:t xml:space="preserve">. </w:t>
      </w:r>
      <w:r w:rsidR="00184A3C" w:rsidRPr="00D924F4">
        <w:rPr>
          <w:sz w:val="22"/>
          <w:szCs w:val="22"/>
        </w:rPr>
        <w:t xml:space="preserve"> </w:t>
      </w:r>
      <w:r w:rsidRPr="00D924F4">
        <w:rPr>
          <w:sz w:val="22"/>
          <w:szCs w:val="22"/>
        </w:rPr>
        <w:t>As M</w:t>
      </w:r>
      <w:r w:rsidR="008D3947" w:rsidRPr="00D924F4">
        <w:rPr>
          <w:sz w:val="22"/>
          <w:szCs w:val="22"/>
        </w:rPr>
        <w:t>r. Peltonen</w:t>
      </w:r>
      <w:r w:rsidR="006249DA" w:rsidRPr="00D924F4">
        <w:rPr>
          <w:sz w:val="22"/>
          <w:szCs w:val="22"/>
        </w:rPr>
        <w:t xml:space="preserve"> </w:t>
      </w:r>
      <w:r w:rsidRPr="00D924F4">
        <w:rPr>
          <w:sz w:val="22"/>
          <w:szCs w:val="22"/>
        </w:rPr>
        <w:t>noted in his presentation:</w:t>
      </w:r>
    </w:p>
    <w:p w14:paraId="2C85CC86" w14:textId="6B826E95" w:rsidR="00B504D3" w:rsidRPr="00D924F4" w:rsidRDefault="00B504D3" w:rsidP="002B1EAD">
      <w:pPr>
        <w:pStyle w:val="Default"/>
        <w:ind w:left="720"/>
        <w:jc w:val="both"/>
        <w:rPr>
          <w:sz w:val="22"/>
          <w:szCs w:val="22"/>
        </w:rPr>
      </w:pPr>
    </w:p>
    <w:p w14:paraId="05D94577" w14:textId="341A705B" w:rsidR="00B504D3" w:rsidRPr="00D924F4" w:rsidRDefault="00B504D3" w:rsidP="002B1EAD">
      <w:pPr>
        <w:pStyle w:val="Default"/>
        <w:ind w:left="1440"/>
        <w:jc w:val="both"/>
        <w:rPr>
          <w:i/>
          <w:sz w:val="22"/>
          <w:szCs w:val="22"/>
        </w:rPr>
      </w:pPr>
      <w:r w:rsidRPr="00D924F4">
        <w:rPr>
          <w:sz w:val="22"/>
          <w:szCs w:val="22"/>
        </w:rPr>
        <w:t>“</w:t>
      </w:r>
      <w:r w:rsidRPr="00D924F4">
        <w:rPr>
          <w:i/>
          <w:sz w:val="22"/>
          <w:szCs w:val="22"/>
        </w:rPr>
        <w:t>When a municipal agency (that operates as a business) issues bonds they are issuer Obligations”</w:t>
      </w:r>
    </w:p>
    <w:p w14:paraId="755513DE" w14:textId="5BE8306C" w:rsidR="00B504D3" w:rsidRPr="00D924F4" w:rsidRDefault="00B504D3" w:rsidP="002B1EAD">
      <w:pPr>
        <w:pStyle w:val="Default"/>
        <w:ind w:left="720"/>
        <w:jc w:val="both"/>
        <w:rPr>
          <w:i/>
          <w:sz w:val="22"/>
          <w:szCs w:val="22"/>
        </w:rPr>
      </w:pPr>
    </w:p>
    <w:p w14:paraId="759673FA" w14:textId="27280B39" w:rsidR="00B504D3" w:rsidRPr="00D924F4" w:rsidRDefault="00B504D3" w:rsidP="002B1EAD">
      <w:pPr>
        <w:pStyle w:val="Default"/>
        <w:ind w:left="1440"/>
        <w:jc w:val="both"/>
        <w:rPr>
          <w:i/>
          <w:sz w:val="22"/>
          <w:szCs w:val="22"/>
        </w:rPr>
      </w:pPr>
      <w:r w:rsidRPr="00D924F4">
        <w:rPr>
          <w:i/>
          <w:sz w:val="22"/>
          <w:szCs w:val="22"/>
        </w:rPr>
        <w:t>“When a municipal agency puts assets in a blind trust that are the sol</w:t>
      </w:r>
      <w:r w:rsidR="008E0AD6" w:rsidRPr="00D924F4">
        <w:rPr>
          <w:i/>
          <w:sz w:val="22"/>
          <w:szCs w:val="22"/>
        </w:rPr>
        <w:t>e</w:t>
      </w:r>
      <w:r w:rsidRPr="00D924F4">
        <w:rPr>
          <w:i/>
          <w:sz w:val="22"/>
          <w:szCs w:val="22"/>
        </w:rPr>
        <w:t xml:space="preserve"> collateral for the issued bonds, they are LBaSS”</w:t>
      </w:r>
    </w:p>
    <w:p w14:paraId="45DB929D" w14:textId="77777777" w:rsidR="00B504D3" w:rsidRPr="00D924F4" w:rsidRDefault="00B504D3" w:rsidP="002B1EAD">
      <w:pPr>
        <w:pStyle w:val="Default"/>
        <w:jc w:val="both"/>
        <w:rPr>
          <w:sz w:val="22"/>
          <w:szCs w:val="22"/>
        </w:rPr>
      </w:pPr>
    </w:p>
    <w:p w14:paraId="45EFCBCF" w14:textId="0A61BBC4" w:rsidR="008B3A9F" w:rsidRPr="00D924F4" w:rsidRDefault="009C636D" w:rsidP="002B1EAD">
      <w:pPr>
        <w:pStyle w:val="Default"/>
        <w:ind w:left="720"/>
        <w:jc w:val="both"/>
        <w:rPr>
          <w:sz w:val="22"/>
          <w:szCs w:val="22"/>
        </w:rPr>
      </w:pPr>
      <w:r w:rsidRPr="00D924F4">
        <w:rPr>
          <w:sz w:val="22"/>
          <w:szCs w:val="22"/>
        </w:rPr>
        <w:t xml:space="preserve">Some examples of securities </w:t>
      </w:r>
      <w:r w:rsidR="000D2F67" w:rsidRPr="00D924F4">
        <w:rPr>
          <w:sz w:val="22"/>
          <w:szCs w:val="22"/>
        </w:rPr>
        <w:t xml:space="preserve">potentially </w:t>
      </w:r>
      <w:r w:rsidRPr="00D924F4">
        <w:rPr>
          <w:sz w:val="22"/>
          <w:szCs w:val="22"/>
        </w:rPr>
        <w:t>issued from a</w:t>
      </w:r>
      <w:r w:rsidR="008D3947" w:rsidRPr="00D924F4">
        <w:rPr>
          <w:sz w:val="22"/>
          <w:szCs w:val="22"/>
        </w:rPr>
        <w:t xml:space="preserve"> Trust or SPV</w:t>
      </w:r>
      <w:r w:rsidR="000D2F67" w:rsidRPr="00D924F4">
        <w:rPr>
          <w:sz w:val="22"/>
          <w:szCs w:val="22"/>
        </w:rPr>
        <w:t xml:space="preserve"> that are</w:t>
      </w:r>
      <w:r w:rsidR="008B3A9F" w:rsidRPr="00D924F4">
        <w:rPr>
          <w:sz w:val="22"/>
          <w:szCs w:val="22"/>
        </w:rPr>
        <w:t xml:space="preserve"> generally accounted for under SSAP No. 26R</w:t>
      </w:r>
      <w:r w:rsidRPr="00D924F4">
        <w:rPr>
          <w:sz w:val="22"/>
          <w:szCs w:val="22"/>
        </w:rPr>
        <w:t xml:space="preserve"> are as follows:</w:t>
      </w:r>
    </w:p>
    <w:p w14:paraId="62E93BA0" w14:textId="4E33C829" w:rsidR="0022289F" w:rsidRPr="00D924F4" w:rsidRDefault="0022289F" w:rsidP="002B1EAD">
      <w:pPr>
        <w:pStyle w:val="Default"/>
        <w:jc w:val="both"/>
        <w:rPr>
          <w:sz w:val="22"/>
          <w:szCs w:val="22"/>
        </w:rPr>
      </w:pPr>
    </w:p>
    <w:p w14:paraId="3CBA3E35" w14:textId="5A4392FE" w:rsidR="00DA1CC1" w:rsidRPr="00D924F4" w:rsidRDefault="00DA1CC1" w:rsidP="002B1EAD">
      <w:pPr>
        <w:pStyle w:val="Default"/>
        <w:numPr>
          <w:ilvl w:val="1"/>
          <w:numId w:val="3"/>
        </w:numPr>
        <w:jc w:val="both"/>
        <w:rPr>
          <w:sz w:val="22"/>
          <w:szCs w:val="22"/>
        </w:rPr>
      </w:pPr>
      <w:r w:rsidRPr="00D924F4">
        <w:rPr>
          <w:sz w:val="22"/>
          <w:szCs w:val="22"/>
        </w:rPr>
        <w:t>Issuer Obligation Municipal Securities,</w:t>
      </w:r>
    </w:p>
    <w:p w14:paraId="6603E2DF" w14:textId="7C3F26DD" w:rsidR="009C636D" w:rsidRPr="00D924F4" w:rsidRDefault="009C636D" w:rsidP="002B1EAD">
      <w:pPr>
        <w:pStyle w:val="Default"/>
        <w:numPr>
          <w:ilvl w:val="1"/>
          <w:numId w:val="3"/>
        </w:numPr>
        <w:jc w:val="both"/>
        <w:rPr>
          <w:sz w:val="22"/>
          <w:szCs w:val="22"/>
        </w:rPr>
      </w:pPr>
      <w:r w:rsidRPr="00D924F4">
        <w:rPr>
          <w:sz w:val="22"/>
          <w:szCs w:val="22"/>
        </w:rPr>
        <w:t>Project Finance</w:t>
      </w:r>
      <w:r w:rsidR="0089164F" w:rsidRPr="00D924F4">
        <w:rPr>
          <w:sz w:val="22"/>
          <w:szCs w:val="22"/>
        </w:rPr>
        <w:t xml:space="preserve"> Debt</w:t>
      </w:r>
      <w:r w:rsidR="00DA1CC1" w:rsidRPr="00D924F4">
        <w:rPr>
          <w:sz w:val="22"/>
          <w:szCs w:val="22"/>
        </w:rPr>
        <w:t>,</w:t>
      </w:r>
    </w:p>
    <w:p w14:paraId="3E235F73" w14:textId="626D13CF" w:rsidR="009C636D" w:rsidRPr="00D924F4" w:rsidRDefault="006249DA" w:rsidP="002B1EAD">
      <w:pPr>
        <w:pStyle w:val="Default"/>
        <w:numPr>
          <w:ilvl w:val="1"/>
          <w:numId w:val="3"/>
        </w:numPr>
        <w:jc w:val="both"/>
        <w:rPr>
          <w:sz w:val="22"/>
          <w:szCs w:val="22"/>
        </w:rPr>
      </w:pPr>
      <w:r w:rsidRPr="00D924F4">
        <w:rPr>
          <w:sz w:val="22"/>
          <w:szCs w:val="22"/>
        </w:rPr>
        <w:t>CEF</w:t>
      </w:r>
      <w:r w:rsidR="00DA1CC1" w:rsidRPr="00D924F4">
        <w:rPr>
          <w:sz w:val="22"/>
          <w:szCs w:val="22"/>
        </w:rPr>
        <w:t xml:space="preserve"> Debt and similar </w:t>
      </w:r>
      <w:r w:rsidR="009C636D" w:rsidRPr="00D924F4">
        <w:rPr>
          <w:sz w:val="22"/>
          <w:szCs w:val="22"/>
        </w:rPr>
        <w:t>CFOs with proper collateralization</w:t>
      </w:r>
      <w:r w:rsidR="00DA1CC1" w:rsidRPr="00D924F4">
        <w:rPr>
          <w:sz w:val="22"/>
          <w:szCs w:val="22"/>
        </w:rPr>
        <w:t>,</w:t>
      </w:r>
    </w:p>
    <w:p w14:paraId="22138919" w14:textId="77777777" w:rsidR="00DF27D3" w:rsidRPr="00D924F4" w:rsidRDefault="0002029F" w:rsidP="002B1EAD">
      <w:pPr>
        <w:pStyle w:val="Default"/>
        <w:numPr>
          <w:ilvl w:val="1"/>
          <w:numId w:val="3"/>
        </w:numPr>
        <w:jc w:val="both"/>
        <w:rPr>
          <w:sz w:val="22"/>
          <w:szCs w:val="22"/>
        </w:rPr>
      </w:pPr>
      <w:r w:rsidRPr="00D924F4">
        <w:rPr>
          <w:sz w:val="22"/>
          <w:szCs w:val="22"/>
        </w:rPr>
        <w:t>Sports Deals</w:t>
      </w:r>
      <w:r w:rsidR="00DA1CC1" w:rsidRPr="00D924F4">
        <w:rPr>
          <w:sz w:val="22"/>
          <w:szCs w:val="22"/>
        </w:rPr>
        <w:t xml:space="preserve"> (e.g., MLB, NBA, NFL)</w:t>
      </w:r>
      <w:r w:rsidR="00DF27D3" w:rsidRPr="00D924F4">
        <w:rPr>
          <w:sz w:val="22"/>
          <w:szCs w:val="22"/>
        </w:rPr>
        <w:t xml:space="preserve">, </w:t>
      </w:r>
    </w:p>
    <w:p w14:paraId="357A472A" w14:textId="366A03BE" w:rsidR="009C636D" w:rsidRPr="00D924F4" w:rsidRDefault="00DF27D3" w:rsidP="002B1EAD">
      <w:pPr>
        <w:pStyle w:val="Default"/>
        <w:numPr>
          <w:ilvl w:val="1"/>
          <w:numId w:val="3"/>
        </w:numPr>
        <w:jc w:val="both"/>
        <w:rPr>
          <w:sz w:val="22"/>
          <w:szCs w:val="22"/>
        </w:rPr>
      </w:pPr>
      <w:r w:rsidRPr="00D924F4">
        <w:rPr>
          <w:sz w:val="22"/>
          <w:szCs w:val="22"/>
        </w:rPr>
        <w:t>A</w:t>
      </w:r>
      <w:r w:rsidR="00DA1CC1" w:rsidRPr="00D924F4">
        <w:rPr>
          <w:sz w:val="22"/>
          <w:szCs w:val="22"/>
        </w:rPr>
        <w:t>nd various others.</w:t>
      </w:r>
      <w:r w:rsidR="0002029F" w:rsidRPr="00D924F4">
        <w:rPr>
          <w:sz w:val="22"/>
          <w:szCs w:val="22"/>
        </w:rPr>
        <w:t xml:space="preserve"> </w:t>
      </w:r>
    </w:p>
    <w:p w14:paraId="2F08E78E" w14:textId="77777777" w:rsidR="00F55002" w:rsidRPr="00D924F4" w:rsidRDefault="00F55002" w:rsidP="002B1EAD">
      <w:pPr>
        <w:pStyle w:val="ListParagraph"/>
        <w:jc w:val="both"/>
        <w:rPr>
          <w:szCs w:val="22"/>
        </w:rPr>
      </w:pPr>
    </w:p>
    <w:p w14:paraId="3DFB5BC2" w14:textId="3360ABFA" w:rsidR="00C45293" w:rsidRPr="00D924F4" w:rsidRDefault="00C45293" w:rsidP="002B1EAD">
      <w:pPr>
        <w:pStyle w:val="Default"/>
        <w:jc w:val="both"/>
        <w:rPr>
          <w:sz w:val="22"/>
          <w:szCs w:val="22"/>
        </w:rPr>
      </w:pPr>
      <w:r w:rsidRPr="00D924F4">
        <w:rPr>
          <w:sz w:val="22"/>
          <w:szCs w:val="22"/>
        </w:rPr>
        <w:t xml:space="preserve">Interested </w:t>
      </w:r>
      <w:r w:rsidR="00B52289">
        <w:rPr>
          <w:sz w:val="22"/>
          <w:szCs w:val="22"/>
        </w:rPr>
        <w:t>p</w:t>
      </w:r>
      <w:r w:rsidRPr="00D924F4">
        <w:rPr>
          <w:sz w:val="22"/>
          <w:szCs w:val="22"/>
        </w:rPr>
        <w:t>arties unequivocally believe that many of the securities issued from a Trust or SPV should continue to follow the regular amortized cost accounting within SSAP No. 26R, as they do not have prepayment or extension risk.  Therefore</w:t>
      </w:r>
      <w:r w:rsidR="00FB5031">
        <w:rPr>
          <w:sz w:val="22"/>
          <w:szCs w:val="22"/>
        </w:rPr>
        <w:t>,</w:t>
      </w:r>
      <w:r w:rsidRPr="00D924F4">
        <w:rPr>
          <w:sz w:val="22"/>
          <w:szCs w:val="22"/>
        </w:rPr>
        <w:t xml:space="preserve"> the modified amortized cost within SSAP No. 43R is not appropriate, as there is no need to update prepayment and extension assumptions as required under SSAP No. 43R.  Examples include but are not limited to 1) where there is a direct guarantee from a corporate or </w:t>
      </w:r>
      <w:r w:rsidRPr="00D924F4">
        <w:rPr>
          <w:sz w:val="22"/>
          <w:szCs w:val="22"/>
        </w:rPr>
        <w:lastRenderedPageBreak/>
        <w:t xml:space="preserve">government entity (e.g., certain Issuer Obligation Municipal Bonds), even if the security is issued from a Trust or SPV for legal or other reasons (i.e., an otherwise qualifying SSAP No. 26R security, with the exception of being issued from a Trust or SPV) or 2) project finance investments which are typically issued from an SPV.  </w:t>
      </w:r>
      <w:r w:rsidRPr="00D924F4">
        <w:rPr>
          <w:color w:val="000000" w:themeColor="text1"/>
          <w:sz w:val="22"/>
          <w:szCs w:val="22"/>
        </w:rPr>
        <w:t xml:space="preserve">Many insurance </w:t>
      </w:r>
      <w:r w:rsidRPr="00D924F4">
        <w:rPr>
          <w:sz w:val="22"/>
          <w:szCs w:val="22"/>
        </w:rPr>
        <w:t xml:space="preserve">companies currently report these securities as SSAP No. 26R investments.  Interested </w:t>
      </w:r>
      <w:r w:rsidR="00B52289">
        <w:rPr>
          <w:sz w:val="22"/>
          <w:szCs w:val="22"/>
        </w:rPr>
        <w:t>p</w:t>
      </w:r>
      <w:r w:rsidRPr="00D924F4">
        <w:rPr>
          <w:sz w:val="22"/>
          <w:szCs w:val="22"/>
        </w:rPr>
        <w:t>arties and many others as well (industry, regulators, SVO, and NAIC staff) believe these are Schedule D bonds where regular amortized cost accounting is appropriate.</w:t>
      </w:r>
    </w:p>
    <w:p w14:paraId="6EFBEFB3" w14:textId="77777777" w:rsidR="00C45293" w:rsidRPr="00D924F4" w:rsidRDefault="00C45293" w:rsidP="002B1EAD">
      <w:pPr>
        <w:pStyle w:val="Default"/>
        <w:ind w:left="360"/>
        <w:jc w:val="both"/>
        <w:rPr>
          <w:sz w:val="22"/>
          <w:szCs w:val="22"/>
        </w:rPr>
      </w:pPr>
    </w:p>
    <w:p w14:paraId="52279824" w14:textId="3F3E5FDA" w:rsidR="00C45293" w:rsidRPr="00D924F4" w:rsidRDefault="00C45293" w:rsidP="002B1EAD">
      <w:pPr>
        <w:pStyle w:val="Default"/>
        <w:jc w:val="both"/>
        <w:rPr>
          <w:sz w:val="22"/>
          <w:szCs w:val="22"/>
        </w:rPr>
      </w:pPr>
      <w:r w:rsidRPr="00D924F4">
        <w:rPr>
          <w:sz w:val="22"/>
          <w:szCs w:val="22"/>
        </w:rPr>
        <w:t xml:space="preserve">Indeed, </w:t>
      </w:r>
      <w:r w:rsidR="00B52289">
        <w:rPr>
          <w:sz w:val="22"/>
          <w:szCs w:val="22"/>
        </w:rPr>
        <w:t>i</w:t>
      </w:r>
      <w:r w:rsidRPr="00D924F4">
        <w:rPr>
          <w:sz w:val="22"/>
          <w:szCs w:val="22"/>
        </w:rPr>
        <w:t xml:space="preserve">nterested </w:t>
      </w:r>
      <w:r w:rsidR="00B52289">
        <w:rPr>
          <w:sz w:val="22"/>
          <w:szCs w:val="22"/>
        </w:rPr>
        <w:t>p</w:t>
      </w:r>
      <w:r w:rsidRPr="00D924F4">
        <w:rPr>
          <w:sz w:val="22"/>
          <w:szCs w:val="22"/>
        </w:rPr>
        <w:t>arties continue to question whether the presence of a Trust or SPV should form any part of an accounting classification.  In many deals the trust nomenclature may appear, when in fact there is no separate trust entity.  The term SPV is even more ambiguous, as there is no commonly accepted definition.  There are many regulated businesses, non-for-profit corporations, and other entities that by law, regulation or charter are established and exist for a single purpose.  Are these SPVs?  There is no easy answer.</w:t>
      </w:r>
    </w:p>
    <w:p w14:paraId="54048F7E" w14:textId="77777777" w:rsidR="00C45293" w:rsidRPr="00D924F4" w:rsidRDefault="00C45293" w:rsidP="002B1EAD">
      <w:pPr>
        <w:pStyle w:val="Default"/>
        <w:ind w:left="360"/>
        <w:jc w:val="both"/>
        <w:rPr>
          <w:sz w:val="22"/>
          <w:szCs w:val="22"/>
        </w:rPr>
      </w:pPr>
    </w:p>
    <w:p w14:paraId="4E01BCA0" w14:textId="77777777" w:rsidR="00C45293" w:rsidRPr="00D924F4" w:rsidRDefault="00C45293" w:rsidP="002B1EAD">
      <w:pPr>
        <w:pStyle w:val="Default"/>
        <w:jc w:val="both"/>
        <w:rPr>
          <w:sz w:val="22"/>
          <w:szCs w:val="22"/>
        </w:rPr>
      </w:pPr>
      <w:r w:rsidRPr="00D924F4">
        <w:rPr>
          <w:sz w:val="22"/>
          <w:szCs w:val="22"/>
        </w:rPr>
        <w:t>Any use of the terms Trust or SPV, to segregate for purposes of accounting or scoping, would require that they be defined with sufficient clarity to both reflect the substance of these terms and ensure that any such new standard is operational, including the appropriate accounting treatment with no unintended consequences.</w:t>
      </w:r>
    </w:p>
    <w:p w14:paraId="33AE1686" w14:textId="77777777" w:rsidR="00C45293" w:rsidRPr="00D924F4" w:rsidRDefault="00C45293" w:rsidP="002B1EAD">
      <w:pPr>
        <w:pStyle w:val="Default"/>
        <w:ind w:left="360"/>
        <w:jc w:val="both"/>
        <w:rPr>
          <w:sz w:val="22"/>
          <w:szCs w:val="22"/>
        </w:rPr>
      </w:pPr>
    </w:p>
    <w:p w14:paraId="38A2E8B3" w14:textId="77777777" w:rsidR="00C45293" w:rsidRPr="00D924F4" w:rsidRDefault="00C45293" w:rsidP="002B1EAD">
      <w:pPr>
        <w:pStyle w:val="Default"/>
        <w:jc w:val="both"/>
        <w:rPr>
          <w:sz w:val="22"/>
          <w:szCs w:val="22"/>
        </w:rPr>
      </w:pPr>
      <w:r w:rsidRPr="00D924F4">
        <w:rPr>
          <w:sz w:val="22"/>
          <w:szCs w:val="22"/>
        </w:rPr>
        <w:t xml:space="preserve">Even if Trust and SPV can be defined with some precision, business entities will continue to evolve.  In Section 5 of the Issue Paper, it is suggested that reporting entities should know to classify CEF Debt within the scope of SSAP No. 43R “due to the presence of the trust structure”.  However, most closed end funds are corporations, and there has been no reason to classify their debt as anything other than within the scope of SSAP No. 26R (e.g., there is no prepayment or extension risk).  This example highlights the difficulty of making the type of issuing entity a decisive factor for accounting classification.  </w:t>
      </w:r>
    </w:p>
    <w:p w14:paraId="5CC5E295" w14:textId="77777777" w:rsidR="00C45293" w:rsidRPr="00D924F4" w:rsidRDefault="00C45293" w:rsidP="002B1EAD">
      <w:pPr>
        <w:pStyle w:val="Default"/>
        <w:ind w:left="360"/>
        <w:jc w:val="both"/>
        <w:rPr>
          <w:sz w:val="22"/>
          <w:szCs w:val="22"/>
        </w:rPr>
      </w:pPr>
    </w:p>
    <w:p w14:paraId="2E9259E1" w14:textId="1C3278A3" w:rsidR="00C45293" w:rsidRPr="00D924F4" w:rsidRDefault="00C45293" w:rsidP="002B1EAD">
      <w:pPr>
        <w:pStyle w:val="Default"/>
        <w:jc w:val="both"/>
        <w:rPr>
          <w:sz w:val="22"/>
          <w:szCs w:val="22"/>
        </w:rPr>
      </w:pPr>
      <w:r w:rsidRPr="00D924F4">
        <w:rPr>
          <w:sz w:val="22"/>
          <w:szCs w:val="22"/>
        </w:rPr>
        <w:t>Ultimately, if the SAPWG determines all securities issued from a Trust or SPV should be included within the scope of SSAP No. 43R, it is imperative that both sufficient scope clarity be developed and all bonds with no prepayment or extension risk, even if issued from a</w:t>
      </w:r>
      <w:r w:rsidR="007E210B" w:rsidRPr="00D924F4">
        <w:rPr>
          <w:sz w:val="22"/>
          <w:szCs w:val="22"/>
        </w:rPr>
        <w:t xml:space="preserve"> Trust or SPV</w:t>
      </w:r>
      <w:r w:rsidRPr="00D924F4">
        <w:rPr>
          <w:sz w:val="22"/>
          <w:szCs w:val="22"/>
        </w:rPr>
        <w:t>, receive the appropriate accounting (i.e., regular amortized cost accounting).  It is therefore premature for the Issue Paper to suggest any class of security should utilize lower of amortized cost or market accounting, based on whether it meets some components of a somewhat arbitrary or ambiguous definition, without providing an appropriate rationale for doing so.</w:t>
      </w:r>
    </w:p>
    <w:p w14:paraId="1ABC4663" w14:textId="0C35CB1E" w:rsidR="00B242E6" w:rsidRPr="00D924F4" w:rsidRDefault="00B242E6" w:rsidP="005D1C23">
      <w:pPr>
        <w:spacing w:after="160" w:line="259" w:lineRule="auto"/>
        <w:rPr>
          <w:rFonts w:eastAsiaTheme="minorHAnsi"/>
          <w:color w:val="000000"/>
          <w:szCs w:val="22"/>
        </w:rPr>
      </w:pPr>
      <w:r w:rsidRPr="00D924F4">
        <w:rPr>
          <w:szCs w:val="22"/>
        </w:rPr>
        <w:br w:type="page"/>
      </w:r>
    </w:p>
    <w:p w14:paraId="1848953A" w14:textId="77777777" w:rsidR="00B85F1C" w:rsidRPr="00D924F4" w:rsidRDefault="00B85F1C" w:rsidP="002B1EAD">
      <w:pPr>
        <w:pStyle w:val="Default"/>
        <w:jc w:val="both"/>
        <w:rPr>
          <w:sz w:val="22"/>
          <w:szCs w:val="22"/>
        </w:rPr>
      </w:pPr>
    </w:p>
    <w:p w14:paraId="33918732" w14:textId="17E6CB59" w:rsidR="00201288" w:rsidRPr="00D924F4" w:rsidRDefault="00201288" w:rsidP="002B1EAD">
      <w:pPr>
        <w:jc w:val="both"/>
        <w:rPr>
          <w:b/>
          <w:szCs w:val="22"/>
          <w:u w:val="single"/>
        </w:rPr>
      </w:pPr>
      <w:r w:rsidRPr="00D924F4">
        <w:rPr>
          <w:b/>
          <w:szCs w:val="22"/>
          <w:u w:val="single"/>
        </w:rPr>
        <w:t>Section 2</w:t>
      </w:r>
      <w:r w:rsidR="00C6350A" w:rsidRPr="00D924F4">
        <w:rPr>
          <w:b/>
          <w:szCs w:val="22"/>
          <w:u w:val="single"/>
        </w:rPr>
        <w:t xml:space="preserve"> – Defining Asset Backed Security</w:t>
      </w:r>
    </w:p>
    <w:p w14:paraId="70330BFB" w14:textId="77777777" w:rsidR="00201288" w:rsidRPr="00D924F4" w:rsidRDefault="00201288" w:rsidP="002B1EAD">
      <w:pPr>
        <w:jc w:val="bot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201288" w:rsidRPr="00D924F4" w14:paraId="7A616655" w14:textId="77777777" w:rsidTr="00985338">
        <w:tc>
          <w:tcPr>
            <w:tcW w:w="8990" w:type="dxa"/>
          </w:tcPr>
          <w:p w14:paraId="715F9198"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Overview of Key Concepts: </w:t>
            </w:r>
          </w:p>
        </w:tc>
      </w:tr>
      <w:tr w:rsidR="00201288" w:rsidRPr="00D924F4" w14:paraId="5C2DCE2C" w14:textId="77777777" w:rsidTr="00985338">
        <w:tc>
          <w:tcPr>
            <w:tcW w:w="8990" w:type="dxa"/>
          </w:tcPr>
          <w:p w14:paraId="059FBD4C" w14:textId="77777777" w:rsidR="00201288" w:rsidRPr="00D924F4" w:rsidRDefault="00201288" w:rsidP="002B1EAD">
            <w:pPr>
              <w:pStyle w:val="ListContinue"/>
              <w:numPr>
                <w:ilvl w:val="0"/>
                <w:numId w:val="2"/>
              </w:numPr>
              <w:rPr>
                <w:sz w:val="22"/>
                <w:szCs w:val="22"/>
              </w:rPr>
            </w:pPr>
            <w:r w:rsidRPr="00D924F4">
              <w:rPr>
                <w:sz w:val="22"/>
                <w:szCs w:val="22"/>
              </w:rPr>
              <w:t xml:space="preserve">The issue paper proposes use of the CFR definition for asset-backed securities as a general principle concept for determining scope of SSAP No. 43R. Securities that do not meet the CFR ABS definition will be required to be separately discussed and scoped into the Statement (as applicable).  </w:t>
            </w:r>
          </w:p>
        </w:tc>
      </w:tr>
      <w:tr w:rsidR="00201288" w:rsidRPr="00D924F4" w14:paraId="36B05F98" w14:textId="77777777" w:rsidTr="00985338">
        <w:tc>
          <w:tcPr>
            <w:tcW w:w="8990" w:type="dxa"/>
          </w:tcPr>
          <w:p w14:paraId="644B4559" w14:textId="77777777" w:rsidR="00201288" w:rsidRPr="00D924F4" w:rsidRDefault="00201288" w:rsidP="002B1EAD">
            <w:pPr>
              <w:pStyle w:val="ListContinue"/>
              <w:numPr>
                <w:ilvl w:val="0"/>
                <w:numId w:val="2"/>
              </w:numPr>
              <w:rPr>
                <w:sz w:val="22"/>
                <w:szCs w:val="22"/>
              </w:rPr>
            </w:pPr>
            <w:r w:rsidRPr="00D924F4">
              <w:rPr>
                <w:sz w:val="22"/>
                <w:szCs w:val="22"/>
              </w:rPr>
              <w:t xml:space="preserve">Use of the CFR ABS definition clarifies that the general premise of an ABS security is one that is satisfied primarily through receivables and financial assets held in trust that, by the terms of those assets, convert to cash over a finite time period. This definition prevents use of this classification as a means to convert equity instruments into debt instruments, as equity instruments could not be captured in a trust and used as the primary source of repayment for an issued “debt” security as it would not meet the requirements of the ABS definition. </w:t>
            </w:r>
          </w:p>
        </w:tc>
      </w:tr>
      <w:tr w:rsidR="00201288" w:rsidRPr="00D924F4" w14:paraId="45D52408" w14:textId="77777777" w:rsidTr="00985338">
        <w:tc>
          <w:tcPr>
            <w:tcW w:w="8990" w:type="dxa"/>
          </w:tcPr>
          <w:p w14:paraId="27501227"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Questions / Comments: </w:t>
            </w:r>
          </w:p>
        </w:tc>
      </w:tr>
      <w:tr w:rsidR="00201288" w:rsidRPr="00D924F4" w14:paraId="387AB6C1" w14:textId="77777777" w:rsidTr="00985338">
        <w:tc>
          <w:tcPr>
            <w:tcW w:w="8990" w:type="dxa"/>
          </w:tcPr>
          <w:p w14:paraId="1CD413C9" w14:textId="77777777" w:rsidR="00201288" w:rsidRPr="00D924F4" w:rsidRDefault="00201288" w:rsidP="002B1EAD">
            <w:pPr>
              <w:pStyle w:val="ListContinue"/>
              <w:numPr>
                <w:ilvl w:val="0"/>
                <w:numId w:val="3"/>
              </w:numPr>
              <w:rPr>
                <w:sz w:val="22"/>
                <w:szCs w:val="22"/>
              </w:rPr>
            </w:pPr>
            <w:r w:rsidRPr="00D924F4">
              <w:rPr>
                <w:sz w:val="22"/>
                <w:szCs w:val="22"/>
              </w:rPr>
              <w:t xml:space="preserve">Are there concerns with the use of the CFR ABS definition as the general principle concept for SSAP No. 43? </w:t>
            </w:r>
          </w:p>
          <w:p w14:paraId="0F07C76F" w14:textId="77777777" w:rsidR="00201288" w:rsidRPr="00D924F4" w:rsidRDefault="00201288" w:rsidP="002B1EAD">
            <w:pPr>
              <w:pStyle w:val="ListContinue"/>
              <w:numPr>
                <w:ilvl w:val="0"/>
                <w:numId w:val="3"/>
              </w:numPr>
              <w:rPr>
                <w:sz w:val="22"/>
                <w:szCs w:val="22"/>
              </w:rPr>
            </w:pPr>
            <w:r w:rsidRPr="00D924F4">
              <w:rPr>
                <w:sz w:val="22"/>
                <w:szCs w:val="22"/>
              </w:rPr>
              <w:t xml:space="preserve">It is expected that PPNs, CFOs and other instruments where the cash flows used to pay the ABS security are not fully contingent on interest and principal payments on assets held in trust would not be considered CFR ABS securities. Comments are requested on whether this assessment is correct, or if these items could qualify as CFR ABS securities. </w:t>
            </w:r>
          </w:p>
        </w:tc>
      </w:tr>
      <w:tr w:rsidR="00201288" w:rsidRPr="00D924F4" w14:paraId="675E58CB" w14:textId="77777777" w:rsidTr="00985338">
        <w:tc>
          <w:tcPr>
            <w:tcW w:w="8990" w:type="dxa"/>
          </w:tcPr>
          <w:p w14:paraId="56C1E440" w14:textId="77777777" w:rsidR="00201288" w:rsidRPr="00D924F4" w:rsidRDefault="00201288" w:rsidP="002B1EAD">
            <w:pPr>
              <w:pStyle w:val="ListContinue"/>
              <w:numPr>
                <w:ilvl w:val="0"/>
                <w:numId w:val="3"/>
              </w:numPr>
              <w:rPr>
                <w:sz w:val="22"/>
                <w:szCs w:val="22"/>
              </w:rPr>
            </w:pPr>
            <w:r w:rsidRPr="00D924F4">
              <w:rPr>
                <w:sz w:val="22"/>
                <w:szCs w:val="22"/>
              </w:rPr>
              <w:t xml:space="preserve">Comments are requested on the securities that have historically been captured within scope of SSAP No. 43R that will not meet the CFR ABS definition that should be considered for inclusion in scope of SSAP No. 43R. (Principle concepts for these securities are requested.) </w:t>
            </w:r>
          </w:p>
        </w:tc>
      </w:tr>
    </w:tbl>
    <w:p w14:paraId="29815304" w14:textId="6608D8FD" w:rsidR="00201288" w:rsidRPr="00D924F4" w:rsidRDefault="00201288" w:rsidP="002B1EAD">
      <w:pPr>
        <w:jc w:val="both"/>
        <w:rPr>
          <w:szCs w:val="22"/>
          <w:u w:val="single"/>
        </w:rPr>
      </w:pPr>
    </w:p>
    <w:p w14:paraId="563E8521" w14:textId="4AB938F3" w:rsidR="005A2508" w:rsidRPr="00D924F4" w:rsidRDefault="005A2508" w:rsidP="002B1EAD">
      <w:pPr>
        <w:spacing w:after="160" w:line="259" w:lineRule="auto"/>
        <w:contextualSpacing/>
        <w:jc w:val="both"/>
        <w:rPr>
          <w:rFonts w:eastAsiaTheme="minorHAnsi"/>
          <w:szCs w:val="22"/>
        </w:rPr>
      </w:pPr>
      <w:r w:rsidRPr="00D924F4">
        <w:rPr>
          <w:rFonts w:eastAsiaTheme="minorHAnsi"/>
          <w:szCs w:val="22"/>
        </w:rPr>
        <w:t xml:space="preserve">Interested </w:t>
      </w:r>
      <w:r w:rsidR="00B52289">
        <w:rPr>
          <w:rFonts w:eastAsiaTheme="minorHAnsi"/>
          <w:szCs w:val="22"/>
        </w:rPr>
        <w:t>p</w:t>
      </w:r>
      <w:r w:rsidRPr="00D924F4">
        <w:rPr>
          <w:rFonts w:eastAsiaTheme="minorHAnsi"/>
          <w:szCs w:val="22"/>
        </w:rPr>
        <w:t>arties</w:t>
      </w:r>
      <w:r w:rsidR="00FB5031">
        <w:rPr>
          <w:rFonts w:eastAsiaTheme="minorHAnsi"/>
          <w:szCs w:val="22"/>
        </w:rPr>
        <w:t>’</w:t>
      </w:r>
      <w:r w:rsidRPr="00D924F4">
        <w:rPr>
          <w:rFonts w:eastAsiaTheme="minorHAnsi"/>
          <w:szCs w:val="22"/>
        </w:rPr>
        <w:t xml:space="preserve"> comments on this section of the Exposure are as follows:</w:t>
      </w:r>
    </w:p>
    <w:p w14:paraId="378637BA" w14:textId="77777777" w:rsidR="005A2508" w:rsidRPr="00D924F4" w:rsidRDefault="005A2508" w:rsidP="002B1EAD">
      <w:pPr>
        <w:spacing w:after="160" w:line="259" w:lineRule="auto"/>
        <w:contextualSpacing/>
        <w:jc w:val="both"/>
        <w:rPr>
          <w:rFonts w:eastAsiaTheme="minorHAnsi"/>
          <w:szCs w:val="22"/>
        </w:rPr>
      </w:pPr>
    </w:p>
    <w:p w14:paraId="40A02B89" w14:textId="709F66FE" w:rsidR="008F3E56" w:rsidRPr="00D924F4" w:rsidRDefault="005A2508" w:rsidP="002B1EAD">
      <w:pPr>
        <w:spacing w:after="160" w:line="259" w:lineRule="auto"/>
        <w:contextualSpacing/>
        <w:jc w:val="both"/>
        <w:rPr>
          <w:rFonts w:eastAsiaTheme="minorHAnsi"/>
          <w:szCs w:val="22"/>
        </w:rPr>
      </w:pPr>
      <w:r w:rsidRPr="00D924F4">
        <w:rPr>
          <w:rFonts w:eastAsiaTheme="minorHAnsi"/>
          <w:szCs w:val="22"/>
        </w:rPr>
        <w:t xml:space="preserve">As discussed in the preamble to this letter, </w:t>
      </w:r>
      <w:r w:rsidR="00B52289">
        <w:rPr>
          <w:rFonts w:eastAsiaTheme="minorHAnsi"/>
          <w:szCs w:val="22"/>
        </w:rPr>
        <w:t>i</w:t>
      </w:r>
      <w:r w:rsidRPr="00D924F4">
        <w:rPr>
          <w:rFonts w:eastAsiaTheme="minorHAnsi"/>
          <w:szCs w:val="22"/>
        </w:rPr>
        <w:t xml:space="preserve">nterested </w:t>
      </w:r>
      <w:r w:rsidR="00B52289">
        <w:rPr>
          <w:rFonts w:eastAsiaTheme="minorHAnsi"/>
          <w:szCs w:val="22"/>
        </w:rPr>
        <w:t>p</w:t>
      </w:r>
      <w:r w:rsidRPr="00D924F4">
        <w:rPr>
          <w:rFonts w:eastAsiaTheme="minorHAnsi"/>
          <w:szCs w:val="22"/>
        </w:rPr>
        <w:t xml:space="preserve">arties believe all bonds should be reported on Schedule D while applying either SSAP No. 26R or 43R accounting, as appropriate.  Investors, the capital markets, and US GAAP define bonds regardless of how the underlying cash flows are generated to pay the principal and interest (e.g., CFOs with underlying equity, leases, EETC/ETC bonds, cash flows that may vary based on volume, etc.).  When determining which SSAP to apply, </w:t>
      </w:r>
      <w:r w:rsidR="00B52289">
        <w:rPr>
          <w:rFonts w:eastAsiaTheme="minorHAnsi"/>
          <w:szCs w:val="22"/>
        </w:rPr>
        <w:t>i</w:t>
      </w:r>
      <w:r w:rsidRPr="00D924F4">
        <w:rPr>
          <w:rFonts w:eastAsiaTheme="minorHAnsi"/>
          <w:szCs w:val="22"/>
        </w:rPr>
        <w:t xml:space="preserve">nterested </w:t>
      </w:r>
      <w:r w:rsidR="00B52289">
        <w:rPr>
          <w:rFonts w:eastAsiaTheme="minorHAnsi"/>
          <w:szCs w:val="22"/>
        </w:rPr>
        <w:t>p</w:t>
      </w:r>
      <w:r w:rsidRPr="00D924F4">
        <w:rPr>
          <w:rFonts w:eastAsiaTheme="minorHAnsi"/>
          <w:szCs w:val="22"/>
        </w:rPr>
        <w:t xml:space="preserve">arties believe SSAP No. 43R should be applied if the instrument is an ABS that has prepayment and/or extension risk; otherwise SSAP No. 26R should be applied.  Although an approach such as using the 1933 Act Definition (or, alternatively, the 1934 Act Definition as proposed in our letter) along with a set of principles as the anchors for the scope of assets in SSAP 43R may be reasonable, we believe there is a simpler way to meet the objective of reasonably identifying ABS.  For example, instead of using the 1933 Act Definition or 1934 Act Definition, it might be less complicated, and would avoid the drawbacks inherent in those definitions, if SAPWG developed a cohesive set of principles for ABS (independent of the securities law definitions).  These principles would be less difficult and onerous for insures to apply than either of the securities law definitions.  It would also simplify matters considerably if inclusion within the scope of SSAP No. 43R did not depend in any way on whether the security was issued from a Trust or SPV. </w:t>
      </w:r>
    </w:p>
    <w:p w14:paraId="7A8D7079" w14:textId="77777777" w:rsidR="008F3E56" w:rsidRPr="00D924F4" w:rsidRDefault="008F3E56" w:rsidP="002B1EAD">
      <w:pPr>
        <w:spacing w:after="160" w:line="259" w:lineRule="auto"/>
        <w:contextualSpacing/>
        <w:jc w:val="both"/>
        <w:rPr>
          <w:rFonts w:eastAsiaTheme="minorHAnsi"/>
          <w:szCs w:val="22"/>
        </w:rPr>
      </w:pPr>
    </w:p>
    <w:p w14:paraId="3314B443" w14:textId="426D8EF0" w:rsidR="005A2508" w:rsidRPr="00D924F4" w:rsidRDefault="005A2508" w:rsidP="002B1EAD">
      <w:pPr>
        <w:spacing w:after="160" w:line="259" w:lineRule="auto"/>
        <w:contextualSpacing/>
        <w:jc w:val="both"/>
        <w:rPr>
          <w:rFonts w:eastAsiaTheme="minorHAnsi"/>
          <w:szCs w:val="22"/>
        </w:rPr>
      </w:pPr>
      <w:r w:rsidRPr="00D924F4">
        <w:rPr>
          <w:rFonts w:eastAsiaTheme="minorHAnsi"/>
          <w:szCs w:val="22"/>
        </w:rPr>
        <w:lastRenderedPageBreak/>
        <w:t xml:space="preserve">Interested </w:t>
      </w:r>
      <w:r w:rsidR="00B52289">
        <w:rPr>
          <w:rFonts w:eastAsiaTheme="minorHAnsi"/>
          <w:szCs w:val="22"/>
        </w:rPr>
        <w:t>p</w:t>
      </w:r>
      <w:r w:rsidRPr="00D924F4">
        <w:rPr>
          <w:rFonts w:eastAsiaTheme="minorHAnsi"/>
          <w:szCs w:val="22"/>
        </w:rPr>
        <w:t xml:space="preserve">arties believe that the scope of SSAP No. 43R should follow the original design for modified cost accounting and aim to include securities with prepayment or extension risk.  In addition, another consideration for inclusion in scope of SSAP No. 43R may be if the investor has recourse only to the underlying collateral (i.e., is not a business) and has prepayment and/or extension risk.  If a bond is issued and supported by a business, and does not have prepayment and extension risk, consideration should be given to accounting and reporting the bond under SSAP No. 26.  The use of simplified principles would be less difficult to apply than the SEC definitions as discussed further below.  However, should SAPWG elect to use either the 1933 Act Definition or the 1934 Act Definition, in conjunction with principles, we provide the comments and feedback below.     </w:t>
      </w:r>
    </w:p>
    <w:p w14:paraId="3C543213" w14:textId="77777777" w:rsidR="005A2508" w:rsidRPr="00D924F4" w:rsidRDefault="005A2508" w:rsidP="002B1EAD">
      <w:pPr>
        <w:pStyle w:val="ListContinue"/>
        <w:numPr>
          <w:ilvl w:val="0"/>
          <w:numId w:val="0"/>
        </w:numPr>
        <w:rPr>
          <w:b/>
          <w:szCs w:val="22"/>
        </w:rPr>
      </w:pPr>
      <w:r w:rsidRPr="00D924F4">
        <w:rPr>
          <w:b/>
          <w:szCs w:val="22"/>
        </w:rPr>
        <w:t xml:space="preserve">Question 1 above:  Are there concerns with the use of the CFR ABS definition as the general principle concept for SSAP No. 43? </w:t>
      </w:r>
    </w:p>
    <w:p w14:paraId="0511E48A" w14:textId="5D5A686D" w:rsidR="005A2508" w:rsidRPr="00D924F4" w:rsidRDefault="005A2508" w:rsidP="002B1EAD">
      <w:pPr>
        <w:spacing w:after="160" w:line="259" w:lineRule="auto"/>
        <w:contextualSpacing/>
        <w:jc w:val="both"/>
        <w:rPr>
          <w:rFonts w:eastAsiaTheme="minorHAnsi"/>
          <w:szCs w:val="22"/>
        </w:rPr>
      </w:pPr>
      <w:r w:rsidRPr="00D924F4">
        <w:rPr>
          <w:rFonts w:eastAsiaTheme="minorHAnsi"/>
          <w:szCs w:val="22"/>
        </w:rPr>
        <w:t xml:space="preserve">To answer this question, </w:t>
      </w:r>
      <w:r w:rsidR="00B52289">
        <w:rPr>
          <w:rFonts w:eastAsiaTheme="minorHAnsi"/>
          <w:szCs w:val="22"/>
        </w:rPr>
        <w:t>i</w:t>
      </w:r>
      <w:r w:rsidRPr="00D924F4">
        <w:rPr>
          <w:rFonts w:eastAsiaTheme="minorHAnsi"/>
          <w:szCs w:val="22"/>
        </w:rPr>
        <w:t xml:space="preserve">nterested </w:t>
      </w:r>
      <w:r w:rsidR="00B52289">
        <w:rPr>
          <w:rFonts w:eastAsiaTheme="minorHAnsi"/>
          <w:szCs w:val="22"/>
        </w:rPr>
        <w:t>p</w:t>
      </w:r>
      <w:r w:rsidRPr="00D924F4">
        <w:rPr>
          <w:rFonts w:eastAsiaTheme="minorHAnsi"/>
          <w:szCs w:val="22"/>
        </w:rPr>
        <w:t xml:space="preserve">arties worked with two law firms to better understand what types of ABS are included in the 1933 Act Definition.  Interested </w:t>
      </w:r>
      <w:r w:rsidR="00B52289">
        <w:rPr>
          <w:rFonts w:eastAsiaTheme="minorHAnsi"/>
          <w:szCs w:val="22"/>
        </w:rPr>
        <w:t>p</w:t>
      </w:r>
      <w:r w:rsidRPr="00D924F4">
        <w:rPr>
          <w:rFonts w:eastAsiaTheme="minorHAnsi"/>
          <w:szCs w:val="22"/>
        </w:rPr>
        <w:t xml:space="preserve">arties also performed an initial analysis (“deep dive”) into our investment portfolios to begin identifying the types of investments reported as and accounted for as SSAP No. 43R investments as well as investments issued by a Trust or SPV that are reported as and accounted for as SSAP No. 26R investments.  The analysis was performed by seven insurance companies with large investment portfolios. The analysis only “touched the surface” of identifying types of investments that must be considered as the rescoping of SSAP No. 43R moves forward (starting with this Exposure).  Appendix II to this letter includes only the types of assets identified thus far and helps illustrate how complex the assets are, how many variations exist for the asset types, how difficult it is to determine if each asset meets the 1933 Act </w:t>
      </w:r>
      <w:r w:rsidR="001C5513" w:rsidRPr="00D924F4">
        <w:rPr>
          <w:rFonts w:eastAsiaTheme="minorHAnsi"/>
          <w:szCs w:val="22"/>
        </w:rPr>
        <w:t xml:space="preserve">Definition </w:t>
      </w:r>
      <w:r w:rsidRPr="00D924F4">
        <w:rPr>
          <w:rFonts w:eastAsiaTheme="minorHAnsi"/>
          <w:szCs w:val="22"/>
        </w:rPr>
        <w:t xml:space="preserve">or 1934 Act Definition and the amount of judgment involved in the analysis.  While any scope determination will require an analysis at an individual asset level, with a significant amount of analysis related to each asset’s own set of facts and circumstances, the newness of these definitions, combined with their shortfalls, has resulted in an incomplete analysis at this time. </w:t>
      </w:r>
    </w:p>
    <w:p w14:paraId="1A79293F" w14:textId="77777777" w:rsidR="005A2508" w:rsidRPr="00D924F4" w:rsidRDefault="005A2508" w:rsidP="002B1EAD">
      <w:pPr>
        <w:spacing w:after="160" w:line="259" w:lineRule="auto"/>
        <w:contextualSpacing/>
        <w:jc w:val="both"/>
        <w:rPr>
          <w:rFonts w:eastAsiaTheme="minorHAnsi"/>
          <w:szCs w:val="22"/>
        </w:rPr>
      </w:pPr>
    </w:p>
    <w:p w14:paraId="353028AF" w14:textId="49CE336F" w:rsidR="005A2508" w:rsidRPr="00D924F4" w:rsidRDefault="005A2508" w:rsidP="002B1EAD">
      <w:pPr>
        <w:spacing w:after="160" w:line="259" w:lineRule="auto"/>
        <w:contextualSpacing/>
        <w:jc w:val="both"/>
        <w:rPr>
          <w:rFonts w:eastAsiaTheme="minorHAnsi"/>
          <w:szCs w:val="22"/>
        </w:rPr>
      </w:pPr>
      <w:r w:rsidRPr="00D924F4">
        <w:rPr>
          <w:rFonts w:eastAsiaTheme="minorHAnsi"/>
          <w:szCs w:val="22"/>
        </w:rPr>
        <w:t xml:space="preserve">As a result of the analysis with the law firms and the initial deep dive efforts, </w:t>
      </w:r>
      <w:r w:rsidR="00B52289">
        <w:rPr>
          <w:rFonts w:eastAsiaTheme="minorHAnsi"/>
          <w:szCs w:val="22"/>
        </w:rPr>
        <w:t>i</w:t>
      </w:r>
      <w:r w:rsidRPr="00D924F4">
        <w:rPr>
          <w:rFonts w:eastAsiaTheme="minorHAnsi"/>
          <w:szCs w:val="22"/>
        </w:rPr>
        <w:t xml:space="preserve">nterested </w:t>
      </w:r>
      <w:r w:rsidR="00B52289">
        <w:rPr>
          <w:rFonts w:eastAsiaTheme="minorHAnsi"/>
          <w:szCs w:val="22"/>
        </w:rPr>
        <w:t>p</w:t>
      </w:r>
      <w:r w:rsidRPr="00D924F4">
        <w:rPr>
          <w:rFonts w:eastAsiaTheme="minorHAnsi"/>
          <w:szCs w:val="22"/>
        </w:rPr>
        <w:t xml:space="preserve">arties have the following observations:      </w:t>
      </w:r>
    </w:p>
    <w:p w14:paraId="13959067" w14:textId="77777777" w:rsidR="005A2508" w:rsidRPr="00D924F4" w:rsidRDefault="005A2508" w:rsidP="002B1EAD">
      <w:pPr>
        <w:spacing w:after="160" w:line="259" w:lineRule="auto"/>
        <w:ind w:left="360"/>
        <w:contextualSpacing/>
        <w:jc w:val="both"/>
        <w:rPr>
          <w:rFonts w:eastAsiaTheme="minorHAnsi"/>
          <w:szCs w:val="22"/>
        </w:rPr>
      </w:pPr>
    </w:p>
    <w:p w14:paraId="6BD17630" w14:textId="54916600" w:rsidR="005A2508" w:rsidRPr="00D924F4" w:rsidRDefault="005A2508" w:rsidP="002B1EAD">
      <w:pPr>
        <w:numPr>
          <w:ilvl w:val="0"/>
          <w:numId w:val="15"/>
        </w:numPr>
        <w:spacing w:after="160" w:line="259" w:lineRule="auto"/>
        <w:contextualSpacing/>
        <w:jc w:val="both"/>
        <w:rPr>
          <w:rFonts w:eastAsiaTheme="minorHAnsi"/>
          <w:szCs w:val="22"/>
        </w:rPr>
      </w:pPr>
      <w:r w:rsidRPr="00D924F4">
        <w:rPr>
          <w:rFonts w:eastAsiaTheme="minorHAnsi"/>
          <w:szCs w:val="22"/>
        </w:rPr>
        <w:t>If an SEC definition is to be used as an anchor for ABS within SSAP No. 43R, we do not recommend that the 1933 Act Definition be used; rather, the 1934 Act Definition should be used.  We believe this is a more appropriate definition for the following key reasons as also discussed in the preamble to this letter:</w:t>
      </w:r>
    </w:p>
    <w:p w14:paraId="5DB0072C" w14:textId="77777777" w:rsidR="005A2508" w:rsidRPr="00D924F4" w:rsidRDefault="005A2508" w:rsidP="002B1EAD">
      <w:pPr>
        <w:numPr>
          <w:ilvl w:val="1"/>
          <w:numId w:val="15"/>
        </w:numPr>
        <w:spacing w:after="160" w:line="259" w:lineRule="auto"/>
        <w:contextualSpacing/>
        <w:jc w:val="both"/>
        <w:rPr>
          <w:rFonts w:eastAsiaTheme="minorHAnsi"/>
          <w:szCs w:val="22"/>
        </w:rPr>
      </w:pPr>
      <w:r w:rsidRPr="00D924F4">
        <w:rPr>
          <w:rFonts w:eastAsiaTheme="minorHAnsi"/>
          <w:szCs w:val="22"/>
        </w:rPr>
        <w:t xml:space="preserve">The intended use of the 1933 Act Definition was to determine the manner in which an ABS may be offered to potential investors and the amount of information provided to investors (e.g., registered through a more simplified S-3 registration form versus a longer S-1 registration). It was not intended to identify the entire population of investments that investors and the capital markets consider to be ABS.  </w:t>
      </w:r>
    </w:p>
    <w:p w14:paraId="45100703" w14:textId="77777777" w:rsidR="005A2508" w:rsidRPr="00D924F4" w:rsidRDefault="005A2508" w:rsidP="002B1EAD">
      <w:pPr>
        <w:numPr>
          <w:ilvl w:val="1"/>
          <w:numId w:val="15"/>
        </w:numPr>
        <w:spacing w:after="160" w:line="259" w:lineRule="auto"/>
        <w:contextualSpacing/>
        <w:jc w:val="both"/>
        <w:rPr>
          <w:rFonts w:eastAsiaTheme="minorHAnsi"/>
          <w:szCs w:val="22"/>
        </w:rPr>
      </w:pPr>
      <w:r w:rsidRPr="00D924F4">
        <w:rPr>
          <w:rFonts w:eastAsiaTheme="minorHAnsi"/>
          <w:szCs w:val="22"/>
        </w:rPr>
        <w:t xml:space="preserve">The more widely used definition of an ABS is contained in the 1934 Act Definition and was relied upon by Congress for the Dodd-Frank Act to determine which ABS issuances must comply with the risk retention rules.  That means the 1934 Act Definition was more recently evaluated, versus the 1933 Act Definition, and determined to be an appropriate definition of ABS.   </w:t>
      </w:r>
    </w:p>
    <w:p w14:paraId="12E9EABD" w14:textId="77777777" w:rsidR="005A2508" w:rsidRPr="00D924F4" w:rsidRDefault="005A2508" w:rsidP="002B1EAD">
      <w:pPr>
        <w:numPr>
          <w:ilvl w:val="1"/>
          <w:numId w:val="15"/>
        </w:numPr>
        <w:spacing w:after="160" w:line="259" w:lineRule="auto"/>
        <w:contextualSpacing/>
        <w:jc w:val="both"/>
        <w:rPr>
          <w:rFonts w:eastAsiaTheme="minorHAnsi"/>
          <w:szCs w:val="22"/>
        </w:rPr>
      </w:pPr>
      <w:r w:rsidRPr="00D924F4">
        <w:rPr>
          <w:rFonts w:eastAsiaTheme="minorHAnsi"/>
          <w:szCs w:val="22"/>
        </w:rPr>
        <w:t>The key types of ABS that are included in the 1934 Act Definition and not in the 1933 Act Definition include the following, which are considered by investors in the capital markets to be ABS securities:</w:t>
      </w:r>
    </w:p>
    <w:p w14:paraId="32DF16AC" w14:textId="77777777" w:rsidR="005A2508" w:rsidRPr="00D924F4" w:rsidRDefault="005A2508" w:rsidP="002B1EAD">
      <w:pPr>
        <w:numPr>
          <w:ilvl w:val="2"/>
          <w:numId w:val="15"/>
        </w:numPr>
        <w:spacing w:after="160" w:line="259" w:lineRule="auto"/>
        <w:contextualSpacing/>
        <w:jc w:val="both"/>
        <w:rPr>
          <w:rFonts w:eastAsiaTheme="minorHAnsi"/>
          <w:szCs w:val="22"/>
        </w:rPr>
      </w:pPr>
      <w:r w:rsidRPr="00D924F4">
        <w:rPr>
          <w:rFonts w:eastAsiaTheme="minorHAnsi"/>
          <w:szCs w:val="22"/>
        </w:rPr>
        <w:lastRenderedPageBreak/>
        <w:t xml:space="preserve">CLOs that do not have a static pool of assets (i.e., the underlying loans are managed), which is a very significantly sized asset class in the ABS market.  Those CLOs where the underlying loans are set at inception (i.e., new assets are not purchased during the life of the CLO) are in scope of the 1933 Act Definition.  </w:t>
      </w:r>
    </w:p>
    <w:p w14:paraId="33759F4C" w14:textId="77777777" w:rsidR="005A2508" w:rsidRPr="00D924F4" w:rsidRDefault="005A2508" w:rsidP="002B1EAD">
      <w:pPr>
        <w:numPr>
          <w:ilvl w:val="2"/>
          <w:numId w:val="15"/>
        </w:numPr>
        <w:spacing w:after="160" w:line="256" w:lineRule="auto"/>
        <w:contextualSpacing/>
        <w:jc w:val="both"/>
        <w:rPr>
          <w:rFonts w:eastAsiaTheme="minorHAnsi"/>
          <w:szCs w:val="22"/>
        </w:rPr>
      </w:pPr>
      <w:r w:rsidRPr="00D924F4">
        <w:rPr>
          <w:rFonts w:eastAsiaTheme="minorHAnsi"/>
          <w:szCs w:val="22"/>
        </w:rPr>
        <w:t xml:space="preserve">ABS offered in private placements or 144A offerings, for which the 1933 Act Definition has no relevance, as it applies in the context of registration requirements. </w:t>
      </w:r>
    </w:p>
    <w:p w14:paraId="426D0625" w14:textId="77777777" w:rsidR="005A2508" w:rsidRPr="00D924F4" w:rsidRDefault="005A2508" w:rsidP="002B1EAD">
      <w:pPr>
        <w:numPr>
          <w:ilvl w:val="2"/>
          <w:numId w:val="15"/>
        </w:numPr>
        <w:spacing w:after="160" w:line="256" w:lineRule="auto"/>
        <w:contextualSpacing/>
        <w:jc w:val="both"/>
        <w:rPr>
          <w:rFonts w:eastAsiaTheme="minorHAnsi"/>
          <w:szCs w:val="22"/>
        </w:rPr>
      </w:pPr>
      <w:r w:rsidRPr="00D924F4">
        <w:rPr>
          <w:rFonts w:eastAsiaTheme="minorHAnsi"/>
          <w:szCs w:val="22"/>
        </w:rPr>
        <w:t>ABS registered for public offer using the SF-1 or S-1 (because the assets being securitized do not satisfy the asset-type limitations set forth in the 1933 Act Definition).</w:t>
      </w:r>
    </w:p>
    <w:p w14:paraId="6B91839E" w14:textId="127E9FC2" w:rsidR="005A2508" w:rsidRPr="00D924F4" w:rsidRDefault="005A2508" w:rsidP="002B1EAD">
      <w:pPr>
        <w:numPr>
          <w:ilvl w:val="1"/>
          <w:numId w:val="15"/>
        </w:numPr>
        <w:spacing w:after="160" w:line="259" w:lineRule="auto"/>
        <w:contextualSpacing/>
        <w:jc w:val="both"/>
        <w:rPr>
          <w:rFonts w:eastAsiaTheme="minorHAnsi"/>
          <w:szCs w:val="22"/>
        </w:rPr>
      </w:pPr>
      <w:r w:rsidRPr="00D924F4">
        <w:rPr>
          <w:rFonts w:eastAsiaTheme="minorHAnsi"/>
          <w:szCs w:val="22"/>
        </w:rPr>
        <w:t xml:space="preserve">Interested </w:t>
      </w:r>
      <w:r w:rsidR="00B52289">
        <w:rPr>
          <w:rFonts w:eastAsiaTheme="minorHAnsi"/>
          <w:szCs w:val="22"/>
        </w:rPr>
        <w:t>p</w:t>
      </w:r>
      <w:r w:rsidRPr="00D924F4">
        <w:rPr>
          <w:rFonts w:eastAsiaTheme="minorHAnsi"/>
          <w:szCs w:val="22"/>
        </w:rPr>
        <w:t>arties note that residual asset risk is discussed in both the 1933 Act Definition and 1934 Act Definition and both allow for a similar degree of residual asset risk.  Residual asset risk is discussed further in section 5f of this letter.</w:t>
      </w:r>
    </w:p>
    <w:p w14:paraId="48733DDB" w14:textId="77777777" w:rsidR="005A2508" w:rsidRPr="00D924F4" w:rsidRDefault="005A2508" w:rsidP="002B1EAD">
      <w:pPr>
        <w:spacing w:after="160" w:line="259" w:lineRule="auto"/>
        <w:ind w:left="360"/>
        <w:contextualSpacing/>
        <w:jc w:val="both"/>
        <w:rPr>
          <w:rFonts w:eastAsiaTheme="minorHAnsi"/>
          <w:szCs w:val="22"/>
        </w:rPr>
      </w:pPr>
    </w:p>
    <w:p w14:paraId="3E22C180" w14:textId="2221AAE8" w:rsidR="005A2508" w:rsidRPr="00D924F4" w:rsidRDefault="005A2508" w:rsidP="002B1EAD">
      <w:pPr>
        <w:numPr>
          <w:ilvl w:val="0"/>
          <w:numId w:val="15"/>
        </w:numPr>
        <w:spacing w:after="160" w:line="259" w:lineRule="auto"/>
        <w:contextualSpacing/>
        <w:jc w:val="both"/>
        <w:rPr>
          <w:rFonts w:eastAsiaTheme="minorHAnsi"/>
          <w:szCs w:val="22"/>
        </w:rPr>
      </w:pPr>
      <w:r w:rsidRPr="00D924F4">
        <w:rPr>
          <w:rFonts w:eastAsiaTheme="minorHAnsi"/>
          <w:szCs w:val="22"/>
        </w:rPr>
        <w:t xml:space="preserve">However, if the 1934 Act Definition were to be used as the anchor, we would recommend one modification to the 1934 Act Definition.  The 1934 Act Definition has verbiage in it that an asset is in scope only if some of the tranches issued by the securitization are owned by a third-party unrelated to the issuing entity.  We understand that the purpose of this verbiage was to clarify that, in the situation where a securitization is sponsored by a company and the tranches issued by the securitization were 100% owned by the company and its related parties, the risk retention rules were not required to be applied.  This seems appropriate as risk retention would not be applicable in that situation given all securities issued by the securitization were retained by the sponsoring entity and its related parties.  Because this language was solely related to risk retention rules, it is not relevant if the 1934 Act Definition is used to determine the scope of SSAP No. 43R investments and should not be included in any final revised SSAP.    </w:t>
      </w:r>
    </w:p>
    <w:p w14:paraId="2609DF6B" w14:textId="59EFC5DB" w:rsidR="005A2508" w:rsidRPr="00D924F4" w:rsidRDefault="005A2508" w:rsidP="002B1EAD">
      <w:pPr>
        <w:pStyle w:val="Default"/>
        <w:numPr>
          <w:ilvl w:val="0"/>
          <w:numId w:val="15"/>
        </w:numPr>
        <w:jc w:val="both"/>
        <w:rPr>
          <w:sz w:val="22"/>
          <w:szCs w:val="22"/>
        </w:rPr>
      </w:pPr>
      <w:r w:rsidRPr="00D924F4">
        <w:rPr>
          <w:sz w:val="22"/>
          <w:szCs w:val="22"/>
        </w:rPr>
        <w:t xml:space="preserve">As noted, if SAPWG’s ultimate decision is that an SEC-related definition must be used, then we believe the 1934 Act Definition of an ABS should be used to identify those ABS that would qualify for SSAP No. 43R reporting and accounting.  </w:t>
      </w:r>
      <w:r w:rsidR="00FA5087" w:rsidRPr="00D924F4">
        <w:rPr>
          <w:sz w:val="22"/>
          <w:szCs w:val="22"/>
        </w:rPr>
        <w:t xml:space="preserve">The focus of the 1933 Act Definition is on which types of ABS are eligible to use the SF-3 registration form.  </w:t>
      </w:r>
      <w:r w:rsidR="00E90EA5" w:rsidRPr="00D924F4">
        <w:rPr>
          <w:sz w:val="22"/>
          <w:szCs w:val="22"/>
        </w:rPr>
        <w:t>W</w:t>
      </w:r>
      <w:r w:rsidRPr="00D924F4">
        <w:rPr>
          <w:sz w:val="22"/>
          <w:szCs w:val="22"/>
        </w:rPr>
        <w:t>hether a security is in scope of SSAP No. 43R should not hinge on</w:t>
      </w:r>
      <w:r w:rsidR="00E90EA5" w:rsidRPr="00D924F4">
        <w:rPr>
          <w:sz w:val="22"/>
          <w:szCs w:val="22"/>
        </w:rPr>
        <w:t xml:space="preserve"> what registration statement a publicly</w:t>
      </w:r>
      <w:r w:rsidR="0013247F" w:rsidRPr="00D924F4">
        <w:rPr>
          <w:sz w:val="22"/>
          <w:szCs w:val="22"/>
        </w:rPr>
        <w:t xml:space="preserve"> offered security can use.   To apply such a rule to a security issued in a private placement or pursuant to Rule 144A, one could ask the hypothetical question – would the security have been eligible to use the SF-3 registration form?  Having the scope of a security under SSAP No. 43R dependent on the answer to such a question makes little sense to </w:t>
      </w:r>
      <w:r w:rsidR="00B52289">
        <w:rPr>
          <w:sz w:val="22"/>
          <w:szCs w:val="22"/>
        </w:rPr>
        <w:t>i</w:t>
      </w:r>
      <w:r w:rsidR="0013247F" w:rsidRPr="00D924F4">
        <w:rPr>
          <w:sz w:val="22"/>
          <w:szCs w:val="22"/>
        </w:rPr>
        <w:t xml:space="preserve">nterested </w:t>
      </w:r>
      <w:r w:rsidR="00B52289">
        <w:rPr>
          <w:sz w:val="22"/>
          <w:szCs w:val="22"/>
        </w:rPr>
        <w:t>p</w:t>
      </w:r>
      <w:r w:rsidR="0013247F" w:rsidRPr="00D924F4">
        <w:rPr>
          <w:sz w:val="22"/>
          <w:szCs w:val="22"/>
        </w:rPr>
        <w:t>arties.</w:t>
      </w:r>
      <w:r w:rsidRPr="00D924F4">
        <w:rPr>
          <w:sz w:val="22"/>
          <w:szCs w:val="22"/>
        </w:rPr>
        <w:t xml:space="preserve"> </w:t>
      </w:r>
      <w:r w:rsidR="0013247F" w:rsidRPr="00D924F4">
        <w:rPr>
          <w:sz w:val="22"/>
          <w:szCs w:val="22"/>
        </w:rPr>
        <w:t xml:space="preserve"> </w:t>
      </w:r>
      <w:r w:rsidRPr="00D924F4">
        <w:rPr>
          <w:sz w:val="22"/>
          <w:szCs w:val="22"/>
        </w:rPr>
        <w:t xml:space="preserve">Among the advantages of the 1934 Act Definition is that it was intended to apply to registered and unregistered securities alike.  As a result, any investment that meets the 1934 Act Definition should be in scope of SSAP No. 43R regardless of whether it is registered with the SEC for public offering. Also, we are aware of certain ABS investments issued in loan form that would in all other respects conform to the 1934 Act Definition. Interested </w:t>
      </w:r>
      <w:r w:rsidR="00B52289">
        <w:rPr>
          <w:sz w:val="22"/>
          <w:szCs w:val="22"/>
        </w:rPr>
        <w:t>p</w:t>
      </w:r>
      <w:r w:rsidRPr="00D924F4">
        <w:rPr>
          <w:sz w:val="22"/>
          <w:szCs w:val="22"/>
        </w:rPr>
        <w:t xml:space="preserve">arties believe these should also be in scope of SSAP No. 43R.    </w:t>
      </w:r>
    </w:p>
    <w:p w14:paraId="1D68B392" w14:textId="77777777" w:rsidR="00B4630C" w:rsidRPr="00D924F4" w:rsidRDefault="00B4630C" w:rsidP="002B1EAD">
      <w:pPr>
        <w:pStyle w:val="Default"/>
        <w:ind w:left="360"/>
        <w:jc w:val="both"/>
        <w:rPr>
          <w:sz w:val="22"/>
          <w:szCs w:val="22"/>
        </w:rPr>
      </w:pPr>
    </w:p>
    <w:p w14:paraId="63CCE15D" w14:textId="41B553EA" w:rsidR="005A2508" w:rsidRPr="00D924F4" w:rsidRDefault="005A2508" w:rsidP="002B1EAD">
      <w:pPr>
        <w:pStyle w:val="ListParagraph"/>
        <w:numPr>
          <w:ilvl w:val="0"/>
          <w:numId w:val="15"/>
        </w:numPr>
        <w:spacing w:after="160" w:line="256" w:lineRule="auto"/>
        <w:jc w:val="both"/>
        <w:rPr>
          <w:rFonts w:eastAsiaTheme="minorHAnsi"/>
          <w:szCs w:val="22"/>
        </w:rPr>
      </w:pPr>
      <w:r w:rsidRPr="00D924F4">
        <w:rPr>
          <w:rFonts w:eastAsiaTheme="minorHAnsi"/>
          <w:szCs w:val="22"/>
        </w:rPr>
        <w:t xml:space="preserve">In discussions with NAIC Staff, </w:t>
      </w:r>
      <w:r w:rsidR="00B52289">
        <w:rPr>
          <w:rFonts w:eastAsiaTheme="minorHAnsi"/>
          <w:szCs w:val="22"/>
        </w:rPr>
        <w:t>i</w:t>
      </w:r>
      <w:r w:rsidRPr="00D924F4">
        <w:rPr>
          <w:rFonts w:eastAsiaTheme="minorHAnsi"/>
          <w:szCs w:val="22"/>
        </w:rPr>
        <w:t xml:space="preserve">nterested </w:t>
      </w:r>
      <w:r w:rsidR="00B52289">
        <w:rPr>
          <w:rFonts w:eastAsiaTheme="minorHAnsi"/>
          <w:szCs w:val="22"/>
        </w:rPr>
        <w:t>p</w:t>
      </w:r>
      <w:r w:rsidRPr="00D924F4">
        <w:rPr>
          <w:rFonts w:eastAsiaTheme="minorHAnsi"/>
          <w:szCs w:val="22"/>
        </w:rPr>
        <w:t xml:space="preserve">arties understand that one of the objectives of anchoring the SSAP No. 43R scope on the 1933 Act Definition of an ABS is to ensure that only NRSROs Registered for ABS are eligible to issue ratings for ABS purchased by reporting entities. If so, then this reflects a misunderstanding of the SEC’s regulation of NRSROs. Rating agencies need ongoing approval from the SEC to maintain NRSRO status. However, no NRSRO needs the SEC’s </w:t>
      </w:r>
      <w:r w:rsidRPr="00D924F4">
        <w:rPr>
          <w:rFonts w:eastAsiaTheme="minorHAnsi"/>
          <w:i/>
          <w:iCs/>
          <w:szCs w:val="22"/>
        </w:rPr>
        <w:t>approval</w:t>
      </w:r>
      <w:r w:rsidRPr="00D924F4">
        <w:rPr>
          <w:rFonts w:eastAsiaTheme="minorHAnsi"/>
          <w:szCs w:val="22"/>
        </w:rPr>
        <w:t xml:space="preserve"> to rate any type of ABS, CFR or otherwise.   The SEC makes available to NRSROs a voluntary system of registration, under which NRSROs can be recognized as having specific expertise to rate bonds of certain types (such as corporate bonds or ABS) or issued by certain types of entities (such as insurance companies or government organizations).  Why do some NRSROs go through the arduous process of obtaining and maintaining this registration?  First, there is a perceived marketing advantage. Second, in those instances of federal law that require ratings, the rating letter is usable by the holder only if </w:t>
      </w:r>
      <w:r w:rsidRPr="00D924F4">
        <w:rPr>
          <w:rFonts w:eastAsiaTheme="minorHAnsi"/>
          <w:szCs w:val="22"/>
        </w:rPr>
        <w:lastRenderedPageBreak/>
        <w:t xml:space="preserve">issued by the NRSRO with the corresponding registration.  An NRSRO without the registration is free to rate the deal, but for federal law purposes, the NRSRO’s work product is just a credit opinion. In practice, NRSROs that are not registered with the SEC to rate ABS are typically not chosen by issuers to rate widely syndicated, publicly registered offerings of plain vanilla ABS. But issuers of any other ABS, such as ABS issued in 144A offerings, may well choose any NRSRO, particularly if the targeted purchasing base does not need any rating benefit under federal law. </w:t>
      </w:r>
    </w:p>
    <w:p w14:paraId="45EE904A" w14:textId="77777777" w:rsidR="005A2508" w:rsidRPr="00D924F4" w:rsidRDefault="005A2508" w:rsidP="002B1EAD">
      <w:pPr>
        <w:pStyle w:val="ListParagraph"/>
        <w:jc w:val="both"/>
        <w:rPr>
          <w:rFonts w:eastAsiaTheme="minorHAnsi"/>
          <w:szCs w:val="22"/>
        </w:rPr>
      </w:pPr>
    </w:p>
    <w:p w14:paraId="6C22491D" w14:textId="77777777" w:rsidR="005A2508" w:rsidRPr="00D924F4" w:rsidRDefault="005A2508" w:rsidP="002B1EAD">
      <w:pPr>
        <w:spacing w:after="160" w:line="256" w:lineRule="auto"/>
        <w:ind w:left="360"/>
        <w:jc w:val="both"/>
        <w:rPr>
          <w:rFonts w:eastAsiaTheme="minorHAnsi"/>
          <w:szCs w:val="22"/>
        </w:rPr>
      </w:pPr>
      <w:r w:rsidRPr="00D924F4">
        <w:rPr>
          <w:rFonts w:eastAsiaTheme="minorHAnsi"/>
          <w:szCs w:val="22"/>
        </w:rPr>
        <w:t xml:space="preserve">Thus, narrowing the definition of ABS cannot be relied upon to shut out NRSROs that are not NRSROs Registered for ABS. Instead, the insurance regulations would need to state that only ratings from NRSROs Registered for ABS are usable by reporting entities. </w:t>
      </w:r>
    </w:p>
    <w:p w14:paraId="7A5BBC64" w14:textId="5ADFB200" w:rsidR="005A2508" w:rsidRPr="00D924F4" w:rsidRDefault="005A2508" w:rsidP="002B1EAD">
      <w:pPr>
        <w:spacing w:after="160" w:line="256" w:lineRule="auto"/>
        <w:ind w:left="360"/>
        <w:jc w:val="both"/>
        <w:rPr>
          <w:rFonts w:eastAsiaTheme="minorHAnsi"/>
          <w:szCs w:val="22"/>
        </w:rPr>
      </w:pPr>
      <w:r w:rsidRPr="00D924F4">
        <w:rPr>
          <w:rFonts w:eastAsiaTheme="minorHAnsi"/>
          <w:szCs w:val="22"/>
        </w:rPr>
        <w:t xml:space="preserve">Therefore, </w:t>
      </w:r>
      <w:r w:rsidR="00B52289">
        <w:rPr>
          <w:rFonts w:eastAsiaTheme="minorHAnsi"/>
          <w:szCs w:val="22"/>
        </w:rPr>
        <w:t>i</w:t>
      </w:r>
      <w:r w:rsidRPr="00D924F4">
        <w:rPr>
          <w:rFonts w:eastAsiaTheme="minorHAnsi"/>
          <w:szCs w:val="22"/>
        </w:rPr>
        <w:t xml:space="preserve">nterested </w:t>
      </w:r>
      <w:r w:rsidR="00B52289">
        <w:rPr>
          <w:rFonts w:eastAsiaTheme="minorHAnsi"/>
          <w:szCs w:val="22"/>
        </w:rPr>
        <w:t>p</w:t>
      </w:r>
      <w:r w:rsidRPr="00D924F4">
        <w:rPr>
          <w:rFonts w:eastAsiaTheme="minorHAnsi"/>
          <w:szCs w:val="22"/>
        </w:rPr>
        <w:t>arties do not believe that there is a strong argument to limit the SSAP No. 43R scope definition to only the 1933 Act Definition due to its linkage to NRSRO registration status.  The scope could be expanded to the 1934 Act Definition without any consequence regarding NRSROs.</w:t>
      </w:r>
    </w:p>
    <w:p w14:paraId="2C574709" w14:textId="26A46F10" w:rsidR="005A2508" w:rsidRPr="00D924F4" w:rsidRDefault="005A2508" w:rsidP="002B1EAD">
      <w:pPr>
        <w:spacing w:after="160" w:line="256" w:lineRule="auto"/>
        <w:ind w:left="360"/>
        <w:jc w:val="both"/>
        <w:rPr>
          <w:rFonts w:eastAsiaTheme="minorHAnsi"/>
          <w:szCs w:val="22"/>
        </w:rPr>
      </w:pPr>
      <w:r w:rsidRPr="00D924F4">
        <w:rPr>
          <w:rFonts w:eastAsiaTheme="minorHAnsi"/>
          <w:szCs w:val="22"/>
        </w:rPr>
        <w:t xml:space="preserve">Interested </w:t>
      </w:r>
      <w:r w:rsidR="00B52289">
        <w:rPr>
          <w:rFonts w:eastAsiaTheme="minorHAnsi"/>
          <w:szCs w:val="22"/>
        </w:rPr>
        <w:t>p</w:t>
      </w:r>
      <w:r w:rsidRPr="00D924F4">
        <w:rPr>
          <w:rFonts w:eastAsiaTheme="minorHAnsi"/>
          <w:szCs w:val="22"/>
        </w:rPr>
        <w:t xml:space="preserve">arties would be open to discussing the possibility of limiting Filing Exemption (limiting Filing Exemption is discussed in paragraph 35 of the Exposure) for securities that meet the 1934 Act Definition and/or the Four Principles (Four Principles are listed in paragraph 33 of the Exposure) to only those ABS that are rated by an NRSRO Registered for ABS, if SAPWG believes that only ABS that are rated by an NRSRO Registered for ABS should get such designation.  If an investment ends up in scope of SSAP No. 43R only because it has been issued by a Trust or SPV, its Filing Exempt status should not be impacted by whether the CRP rating is from an NRSRO registered for ABS.   The requirement that a rating be from an NRSRO Registered for ABS should only be applied to ABS.   </w:t>
      </w:r>
    </w:p>
    <w:p w14:paraId="2B4CDDBE" w14:textId="77777777" w:rsidR="005A2508" w:rsidRPr="00D924F4" w:rsidRDefault="005A2508" w:rsidP="002B1EAD">
      <w:pPr>
        <w:spacing w:after="160" w:line="259" w:lineRule="auto"/>
        <w:jc w:val="both"/>
        <w:rPr>
          <w:b/>
          <w:szCs w:val="22"/>
        </w:rPr>
      </w:pPr>
      <w:r w:rsidRPr="00D924F4">
        <w:rPr>
          <w:b/>
          <w:szCs w:val="22"/>
        </w:rPr>
        <w:t xml:space="preserve">Question 2 above:  It is expected that PPNs, CFOs and other instruments where the cash flows used to pay the ABS security are not fully contingent on interest and principal payments on assets held in trust would not be considered CFR ABS securities. Comments are requested on whether this assessment is correct, or if these items could qualify as CFR ABS securities. </w:t>
      </w:r>
    </w:p>
    <w:p w14:paraId="3EE381B6" w14:textId="3CE7B294" w:rsidR="005A2508" w:rsidRPr="00D924F4" w:rsidRDefault="005A2508" w:rsidP="002B1EAD">
      <w:pPr>
        <w:spacing w:after="160" w:line="259" w:lineRule="auto"/>
        <w:jc w:val="both"/>
        <w:rPr>
          <w:szCs w:val="22"/>
        </w:rPr>
      </w:pPr>
      <w:r w:rsidRPr="00D924F4">
        <w:rPr>
          <w:szCs w:val="22"/>
        </w:rPr>
        <w:t xml:space="preserve">Interested </w:t>
      </w:r>
      <w:r w:rsidR="00B52289">
        <w:rPr>
          <w:szCs w:val="22"/>
        </w:rPr>
        <w:t>p</w:t>
      </w:r>
      <w:r w:rsidRPr="00D924F4">
        <w:rPr>
          <w:szCs w:val="22"/>
        </w:rPr>
        <w:t>arties have included in Section 5e of this letter, comments related to PPNs.</w:t>
      </w:r>
    </w:p>
    <w:p w14:paraId="38F40C18" w14:textId="788F84C3" w:rsidR="005A2508" w:rsidRPr="00D924F4" w:rsidRDefault="005A2508" w:rsidP="002B1EAD">
      <w:pPr>
        <w:spacing w:after="160" w:line="259" w:lineRule="auto"/>
        <w:jc w:val="both"/>
        <w:rPr>
          <w:szCs w:val="22"/>
        </w:rPr>
      </w:pPr>
      <w:r w:rsidRPr="00D924F4">
        <w:rPr>
          <w:szCs w:val="22"/>
        </w:rPr>
        <w:t xml:space="preserve">Regarding debt tranches of CFOs, Interested parties believe such investments should be reported on Schedule D as bonds and be afforded regular amortized cost under SSAP No. 26R accounting when the debt tranches issued from a CFO have adequate protection such as overcollateralization, significant diversification, reserves, liquidity facilities, etc. to ensure they perform like debt, as discussed in more detail in Sections 5c and 5d of this letter.  </w:t>
      </w:r>
    </w:p>
    <w:p w14:paraId="0580BA8E" w14:textId="4D702FEE" w:rsidR="005A2508" w:rsidRPr="00D924F4" w:rsidRDefault="005A2508" w:rsidP="002B1EAD">
      <w:pPr>
        <w:spacing w:after="160" w:line="259" w:lineRule="auto"/>
        <w:jc w:val="both"/>
        <w:rPr>
          <w:szCs w:val="22"/>
        </w:rPr>
      </w:pPr>
      <w:r w:rsidRPr="00D924F4">
        <w:rPr>
          <w:szCs w:val="22"/>
        </w:rPr>
        <w:t xml:space="preserve">Some CFOs are originated through self-securitizations on the part of insurers (e.g., Schedule BA assets securitized with tranches from the securitization being sold to unrelated third parties and/or to affiliates of the insurer, including those affiliates that are not in the ownership stack of the insurer, and/or with some tranches retained by the insurer that initiated the securitization).  As discussed in our 2019 </w:t>
      </w:r>
      <w:r w:rsidR="00B52289">
        <w:rPr>
          <w:szCs w:val="22"/>
        </w:rPr>
        <w:t>i</w:t>
      </w:r>
      <w:r w:rsidRPr="00D924F4">
        <w:rPr>
          <w:szCs w:val="22"/>
        </w:rPr>
        <w:t xml:space="preserve">nterested </w:t>
      </w:r>
      <w:r w:rsidR="00B52289">
        <w:rPr>
          <w:szCs w:val="22"/>
        </w:rPr>
        <w:t>p</w:t>
      </w:r>
      <w:r w:rsidRPr="00D924F4">
        <w:rPr>
          <w:szCs w:val="22"/>
        </w:rPr>
        <w:t xml:space="preserve">arties </w:t>
      </w:r>
      <w:r w:rsidR="00FB5031">
        <w:rPr>
          <w:szCs w:val="22"/>
        </w:rPr>
        <w:t xml:space="preserve">comment </w:t>
      </w:r>
      <w:r w:rsidRPr="00D924F4">
        <w:rPr>
          <w:szCs w:val="22"/>
        </w:rPr>
        <w:t xml:space="preserve">letter, we believe if the sale criteria in SSAP No. 103R are met and the transaction is compliant with SSAP No 25, sale accounting should be applied.  That is, the original Schedule BA assets would be removed from the insurer’s financial statements and the debt tranches issued from the Trust or SPV would be reported and accounted for as Schedule D bonds by any debt tranche investor.  Our 2019 </w:t>
      </w:r>
      <w:r w:rsidR="00B52289">
        <w:rPr>
          <w:szCs w:val="22"/>
        </w:rPr>
        <w:t>i</w:t>
      </w:r>
      <w:r w:rsidRPr="00D924F4">
        <w:rPr>
          <w:szCs w:val="22"/>
        </w:rPr>
        <w:t xml:space="preserve">nterested </w:t>
      </w:r>
      <w:r w:rsidR="00B52289">
        <w:rPr>
          <w:szCs w:val="22"/>
        </w:rPr>
        <w:t>p</w:t>
      </w:r>
      <w:r w:rsidRPr="00D924F4">
        <w:rPr>
          <w:szCs w:val="22"/>
        </w:rPr>
        <w:t xml:space="preserve">arties </w:t>
      </w:r>
      <w:r w:rsidR="00FB5031">
        <w:rPr>
          <w:szCs w:val="22"/>
        </w:rPr>
        <w:t xml:space="preserve">comment </w:t>
      </w:r>
      <w:r w:rsidRPr="00D924F4">
        <w:rPr>
          <w:szCs w:val="22"/>
        </w:rPr>
        <w:t xml:space="preserve">letter also discussed that these types of transactions, and other self-securitizations, are used by insurers for important business reasons (e.g., provides the ability to change the risk profile, economics and cash flows in its insurance and non-insurance companies; prevents the need for insurers to sell assets to unrelated third parties in an inefficient private market; enhances liquidity for the underlying pool of assets, etc.).  When an insurer purchases some of the tranches from a self-securitization, that insurer has </w:t>
      </w:r>
      <w:r w:rsidRPr="00D924F4">
        <w:rPr>
          <w:szCs w:val="22"/>
        </w:rPr>
        <w:lastRenderedPageBreak/>
        <w:t xml:space="preserve">changed the risk profile and the expected cash flows significantly from the original Schedule BA assets.  Therefore, the newly issued debt tranches from the self-securitization should be accounted for and reported as if the insurer purchased the tranches in the secondary markets (i.e., Schedule D reporting and bond accounting). </w:t>
      </w:r>
    </w:p>
    <w:p w14:paraId="36819827" w14:textId="086A5AAA" w:rsidR="005A2508" w:rsidRPr="00D924F4" w:rsidRDefault="005A2508" w:rsidP="002B1EAD">
      <w:pPr>
        <w:spacing w:after="160" w:line="259" w:lineRule="auto"/>
        <w:jc w:val="both"/>
        <w:rPr>
          <w:szCs w:val="22"/>
        </w:rPr>
      </w:pPr>
      <w:r w:rsidRPr="00D924F4">
        <w:rPr>
          <w:szCs w:val="22"/>
        </w:rPr>
        <w:t xml:space="preserve">Interested </w:t>
      </w:r>
      <w:r w:rsidR="00B52289">
        <w:rPr>
          <w:szCs w:val="22"/>
        </w:rPr>
        <w:t>p</w:t>
      </w:r>
      <w:r w:rsidRPr="00D924F4">
        <w:rPr>
          <w:szCs w:val="22"/>
        </w:rPr>
        <w:t xml:space="preserve">arties note that the term “RBC arbitrage” has been used when referring to some self-securitization transactions, which some view as having a negative connotation.  Interested </w:t>
      </w:r>
      <w:r w:rsidR="00B52289">
        <w:rPr>
          <w:szCs w:val="22"/>
        </w:rPr>
        <w:t>p</w:t>
      </w:r>
      <w:r w:rsidRPr="00D924F4">
        <w:rPr>
          <w:szCs w:val="22"/>
        </w:rPr>
        <w:t xml:space="preserve">arties believe that when sale accounting is achieved in compliance with SSAP No. 103R and the transaction is compliant with SSAP No. 25, the transaction should be considered acceptable and any change in the related RBC risk should be considered appropriate. As a result, we believe that though such acceptable transactions result in “RBC optimization” (i.e., compliant with SSAPs 103R and 25; the risk and cash flows have been changed from the original Schedule BA Assets), they are legitimate transactions for legitimate business purposes.  Interested </w:t>
      </w:r>
      <w:r w:rsidR="00B52289">
        <w:rPr>
          <w:szCs w:val="22"/>
        </w:rPr>
        <w:t>p</w:t>
      </w:r>
      <w:r w:rsidRPr="00D924F4">
        <w:rPr>
          <w:szCs w:val="22"/>
        </w:rPr>
        <w:t>arties view RBC arbitrage to be a situation where the transaction is not compliant with SSAP No. 103R or SSAP No. 25, yet the insurer reports and accounts for the transaction as if it were compliant.  We provide a more detailed explanation and examples of self-securitizations in our 2019 letter.</w:t>
      </w:r>
    </w:p>
    <w:p w14:paraId="16565642" w14:textId="6727C2E4" w:rsidR="005A2508" w:rsidRPr="00D924F4" w:rsidRDefault="005A2508" w:rsidP="002B1EAD">
      <w:pPr>
        <w:jc w:val="both"/>
        <w:rPr>
          <w:szCs w:val="22"/>
        </w:rPr>
      </w:pPr>
      <w:r w:rsidRPr="00D924F4">
        <w:rPr>
          <w:szCs w:val="22"/>
        </w:rPr>
        <w:t xml:space="preserve">Interested </w:t>
      </w:r>
      <w:r w:rsidR="00B52289">
        <w:rPr>
          <w:szCs w:val="22"/>
        </w:rPr>
        <w:t>p</w:t>
      </w:r>
      <w:r w:rsidRPr="00D924F4">
        <w:rPr>
          <w:szCs w:val="22"/>
        </w:rPr>
        <w:t xml:space="preserve">arties have included in Appendix II a list of investments that have traditionally been included in either the scope of SSAP No. 26R or SSAP No. 43R that may or may not meet the definition of an ABS either under the 1933 Act Definition or the 1934 Act Definition.  It is very important to note that, when working with the two law firms, we experienced first-hand how difficult it is to apply the 1933 Act Definition and the 1934 Act Definition and how time consuming both initially and on-going it would be to identify assets in or out of scope.  In many cases, whether an asset meets either definitions involves a significant amount of judgment (no bright line tests exist) and detailed analysis of each asset’s own set of facts and circumstances.  We found it not uncommon for one prominent law firm to conclude that a bond is in scope of one of the definitions, while another leading law firm concludes that the bond is not in scope (inconsistent conclusions).  </w:t>
      </w:r>
      <w:r w:rsidRPr="00D924F4">
        <w:rPr>
          <w:rFonts w:eastAsiaTheme="minorHAnsi"/>
          <w:szCs w:val="22"/>
        </w:rPr>
        <w:t xml:space="preserve">The 1933 Act Definition and 1934 Act Definition have been interpreted for many years by legal firms and the SEC, and there is significant judicial interpretation related to scope. </w:t>
      </w:r>
      <w:r w:rsidRPr="00D924F4">
        <w:rPr>
          <w:szCs w:val="22"/>
        </w:rPr>
        <w:t xml:space="preserve">We also found that the analysis required to determine if an asset is in scope would likely not be simple for an insurer to perform without the assistance of outside counsel.  This list was the result of an initial deep dive we performed on our investment portfolios.  In all cases, we believe the asset types listed should be reported and accounted for as bonds on Schedule D because they are considered bonds in the capital markets, by investors and by the FASB (under the Uniform Commercial Code definition). We believe more work would be needed to evaluate our investment portfolios to identify additional asset types, especially if any security issued from a Trust or SPV is to be included in SSAP No. 43R. We recommend SAPWG and industry work closely together to determine how simplified principles, if this path is chosen, may be developed to include such investments in Appendix II. Other investments will also need to be analyzed as appropriate decisions will need to be made on whether such securities get SSAP No. 43R accounting or SSAP No. 26R accounting if they do not have prepayment or extension risk. </w:t>
      </w:r>
      <w:r w:rsidRPr="00D924F4">
        <w:rPr>
          <w:rFonts w:eastAsiaTheme="minorHAnsi"/>
          <w:szCs w:val="22"/>
        </w:rPr>
        <w:t>As noted in the first paragraph of this section of our letter, we believe an even more simplified approach to identify the scope of SSAP No. 43R assets could be used to accomplish the same key objectives in the Exposure</w:t>
      </w:r>
    </w:p>
    <w:p w14:paraId="4D1E341E" w14:textId="77777777" w:rsidR="00B4630C" w:rsidRPr="00D924F4" w:rsidRDefault="00B4630C" w:rsidP="002B1EAD">
      <w:pPr>
        <w:jc w:val="both"/>
        <w:rPr>
          <w:szCs w:val="22"/>
        </w:rPr>
      </w:pPr>
    </w:p>
    <w:p w14:paraId="0937DAED" w14:textId="77777777" w:rsidR="005A2508" w:rsidRPr="00D924F4" w:rsidRDefault="005A2508" w:rsidP="002B1EAD">
      <w:pPr>
        <w:pStyle w:val="ListContinue"/>
        <w:numPr>
          <w:ilvl w:val="0"/>
          <w:numId w:val="0"/>
        </w:numPr>
        <w:rPr>
          <w:b/>
          <w:szCs w:val="22"/>
        </w:rPr>
      </w:pPr>
      <w:r w:rsidRPr="00D924F4">
        <w:rPr>
          <w:b/>
          <w:szCs w:val="22"/>
        </w:rPr>
        <w:t xml:space="preserve">Question 3 above:  Comments are requested on the securities that have historically been captured within scope of SSAP No. 43R that will not meet the CFR ABS definition that should be considered for inclusion in scope of SSAP No. 43R. (Principle concepts for these securities are requested.) </w:t>
      </w:r>
    </w:p>
    <w:p w14:paraId="33DCFDAF" w14:textId="43E4FB56" w:rsidR="00537BB7" w:rsidRPr="00D924F4" w:rsidRDefault="005A2508" w:rsidP="002B1EAD">
      <w:pPr>
        <w:pStyle w:val="ListContinue"/>
        <w:numPr>
          <w:ilvl w:val="0"/>
          <w:numId w:val="0"/>
        </w:numPr>
        <w:rPr>
          <w:szCs w:val="22"/>
        </w:rPr>
      </w:pPr>
      <w:r w:rsidRPr="00D924F4">
        <w:rPr>
          <w:szCs w:val="22"/>
        </w:rPr>
        <w:t>See comments already provided above.</w:t>
      </w:r>
    </w:p>
    <w:p w14:paraId="428AF4FF" w14:textId="67E5C3E9" w:rsidR="00B242E6" w:rsidRPr="00D924F4" w:rsidRDefault="00B242E6">
      <w:pPr>
        <w:spacing w:after="160" w:line="259" w:lineRule="auto"/>
        <w:rPr>
          <w:szCs w:val="22"/>
        </w:rPr>
      </w:pPr>
      <w:r w:rsidRPr="00D924F4">
        <w:rPr>
          <w:szCs w:val="22"/>
        </w:rPr>
        <w:br w:type="page"/>
      </w:r>
    </w:p>
    <w:p w14:paraId="7428EC40" w14:textId="76E342FE" w:rsidR="00201288" w:rsidRPr="00D924F4" w:rsidRDefault="00201288" w:rsidP="002B1EAD">
      <w:pPr>
        <w:jc w:val="both"/>
        <w:rPr>
          <w:b/>
          <w:szCs w:val="22"/>
          <w:u w:val="single"/>
        </w:rPr>
      </w:pPr>
      <w:r w:rsidRPr="00D924F4">
        <w:rPr>
          <w:b/>
          <w:szCs w:val="22"/>
          <w:u w:val="single"/>
        </w:rPr>
        <w:lastRenderedPageBreak/>
        <w:t>Section 3</w:t>
      </w:r>
      <w:r w:rsidR="00C6350A" w:rsidRPr="00D924F4">
        <w:rPr>
          <w:b/>
          <w:szCs w:val="22"/>
          <w:u w:val="single"/>
        </w:rPr>
        <w:t xml:space="preserve"> – Accounting and Reporting for Asset Backed Securities</w:t>
      </w:r>
    </w:p>
    <w:p w14:paraId="5798F3FF" w14:textId="77777777" w:rsidR="00201288" w:rsidRPr="00D924F4" w:rsidRDefault="00201288" w:rsidP="002B1EAD">
      <w:pPr>
        <w:jc w:val="bot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201288" w:rsidRPr="00D924F4" w14:paraId="12166326" w14:textId="77777777" w:rsidTr="00985338">
        <w:tc>
          <w:tcPr>
            <w:tcW w:w="8990" w:type="dxa"/>
          </w:tcPr>
          <w:p w14:paraId="21D561D1"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Overview of Key Concepts: </w:t>
            </w:r>
          </w:p>
        </w:tc>
      </w:tr>
      <w:tr w:rsidR="00201288" w:rsidRPr="00D924F4" w14:paraId="44607CF7" w14:textId="77777777" w:rsidTr="00985338">
        <w:tc>
          <w:tcPr>
            <w:tcW w:w="8990" w:type="dxa"/>
          </w:tcPr>
          <w:p w14:paraId="7FE66292" w14:textId="77777777" w:rsidR="00201288" w:rsidRPr="00D924F4" w:rsidRDefault="00201288" w:rsidP="002B1EAD">
            <w:pPr>
              <w:pStyle w:val="ListContinue"/>
              <w:numPr>
                <w:ilvl w:val="0"/>
                <w:numId w:val="2"/>
              </w:numPr>
              <w:rPr>
                <w:sz w:val="22"/>
                <w:szCs w:val="22"/>
              </w:rPr>
            </w:pPr>
            <w:r w:rsidRPr="00D924F4">
              <w:rPr>
                <w:sz w:val="22"/>
                <w:szCs w:val="22"/>
              </w:rPr>
              <w:t>All CFR ABS (as defined) will be addressed in SSAP No. 43R.</w:t>
            </w:r>
          </w:p>
        </w:tc>
      </w:tr>
      <w:tr w:rsidR="00201288" w:rsidRPr="00D924F4" w14:paraId="522D59C8" w14:textId="77777777" w:rsidTr="00985338">
        <w:tc>
          <w:tcPr>
            <w:tcW w:w="8990" w:type="dxa"/>
          </w:tcPr>
          <w:p w14:paraId="44A6E85F" w14:textId="77777777" w:rsidR="00201288" w:rsidRPr="00D924F4" w:rsidRDefault="00201288" w:rsidP="002B1EAD">
            <w:pPr>
              <w:pStyle w:val="ListContinue"/>
              <w:numPr>
                <w:ilvl w:val="0"/>
                <w:numId w:val="2"/>
              </w:numPr>
              <w:rPr>
                <w:sz w:val="22"/>
                <w:szCs w:val="22"/>
              </w:rPr>
            </w:pPr>
            <w:r w:rsidRPr="00D924F4">
              <w:rPr>
                <w:sz w:val="22"/>
                <w:szCs w:val="22"/>
              </w:rPr>
              <w:t>Each ABS rated debt tranche shall be separately reported for accounting and RBC. (This requires bifurcation of combination notes or other structures where ABS tranches have been combined to form a new security.)</w:t>
            </w:r>
          </w:p>
        </w:tc>
      </w:tr>
      <w:tr w:rsidR="00201288" w:rsidRPr="00D924F4" w14:paraId="3A7AD835" w14:textId="77777777" w:rsidTr="00985338">
        <w:tc>
          <w:tcPr>
            <w:tcW w:w="8990" w:type="dxa"/>
          </w:tcPr>
          <w:p w14:paraId="30DA1C42" w14:textId="77777777" w:rsidR="00201288" w:rsidRPr="00D924F4" w:rsidRDefault="00201288" w:rsidP="002B1EAD">
            <w:pPr>
              <w:pStyle w:val="ListContinue"/>
              <w:numPr>
                <w:ilvl w:val="0"/>
                <w:numId w:val="2"/>
              </w:numPr>
              <w:rPr>
                <w:sz w:val="22"/>
                <w:szCs w:val="22"/>
              </w:rPr>
            </w:pPr>
            <w:r w:rsidRPr="00D924F4">
              <w:rPr>
                <w:sz w:val="22"/>
                <w:szCs w:val="22"/>
              </w:rPr>
              <w:t xml:space="preserve">Tranches reflecting residual tranches / equity classes will be addressed in SSAP No. 43R, but the guidance will require reporting of these tranches on Schedule BA at the lower of amortized cost or fair value. Guidance is proposed to clarify the subsequent reporting of this tranche, particularly for OTTI, investment income, and return of investment. </w:t>
            </w:r>
          </w:p>
        </w:tc>
      </w:tr>
      <w:tr w:rsidR="00201288" w:rsidRPr="00D924F4" w14:paraId="4C413AAA" w14:textId="77777777" w:rsidTr="00985338">
        <w:tc>
          <w:tcPr>
            <w:tcW w:w="8990" w:type="dxa"/>
          </w:tcPr>
          <w:p w14:paraId="15C546FE"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Questions / Comments: </w:t>
            </w:r>
          </w:p>
        </w:tc>
      </w:tr>
      <w:tr w:rsidR="00201288" w:rsidRPr="00D924F4" w14:paraId="4C0A7C7B" w14:textId="77777777" w:rsidTr="00985338">
        <w:tc>
          <w:tcPr>
            <w:tcW w:w="8990" w:type="dxa"/>
          </w:tcPr>
          <w:p w14:paraId="7D747507" w14:textId="77777777" w:rsidR="00201288" w:rsidRPr="00D924F4" w:rsidRDefault="00201288" w:rsidP="002B1EAD">
            <w:pPr>
              <w:pStyle w:val="ListContinue"/>
              <w:numPr>
                <w:ilvl w:val="0"/>
                <w:numId w:val="3"/>
              </w:numPr>
              <w:rPr>
                <w:sz w:val="22"/>
                <w:szCs w:val="22"/>
              </w:rPr>
            </w:pPr>
            <w:r w:rsidRPr="00D924F4">
              <w:rPr>
                <w:sz w:val="22"/>
                <w:szCs w:val="22"/>
              </w:rPr>
              <w:t xml:space="preserve">Are there concerns with including all CFR ABS (as defined) in scope of SSAP No. 43R and allowing for the rated debt tranches of these instruments to generally follow historical accounting / reporting guidance? This guidance determines measurement method based on CRP rating (as permitted by the P&amp;P Manual) translated to the equivocal NAIC designation. </w:t>
            </w:r>
          </w:p>
          <w:p w14:paraId="77BA959C" w14:textId="77777777" w:rsidR="00201288" w:rsidRPr="00D924F4" w:rsidRDefault="00201288" w:rsidP="002B1EAD">
            <w:pPr>
              <w:pStyle w:val="ListContinue"/>
              <w:numPr>
                <w:ilvl w:val="0"/>
                <w:numId w:val="3"/>
              </w:numPr>
              <w:rPr>
                <w:sz w:val="22"/>
                <w:szCs w:val="22"/>
              </w:rPr>
            </w:pPr>
            <w:r w:rsidRPr="00D924F4">
              <w:rPr>
                <w:sz w:val="22"/>
                <w:szCs w:val="22"/>
              </w:rPr>
              <w:t xml:space="preserve">Should there be guidance that provides differing accounting and reporting treatment based on whether the CFR ABS is a “common” or “broadly syndicated” structure? Is the current collateral codes sufficient to identify new categories of SSAP No. 43R securities?  </w:t>
            </w:r>
          </w:p>
        </w:tc>
      </w:tr>
      <w:tr w:rsidR="00201288" w:rsidRPr="00D924F4" w14:paraId="1448A045" w14:textId="77777777" w:rsidTr="00985338">
        <w:tc>
          <w:tcPr>
            <w:tcW w:w="8990" w:type="dxa"/>
          </w:tcPr>
          <w:p w14:paraId="4956496F" w14:textId="77777777" w:rsidR="00201288" w:rsidRPr="00D924F4" w:rsidRDefault="00201288" w:rsidP="002B1EAD">
            <w:pPr>
              <w:pStyle w:val="ListContinue"/>
              <w:numPr>
                <w:ilvl w:val="0"/>
                <w:numId w:val="3"/>
              </w:numPr>
              <w:rPr>
                <w:sz w:val="22"/>
                <w:szCs w:val="22"/>
              </w:rPr>
            </w:pPr>
            <w:r w:rsidRPr="00D924F4">
              <w:rPr>
                <w:sz w:val="22"/>
                <w:szCs w:val="22"/>
              </w:rPr>
              <w:t xml:space="preserve">From preliminary information received, all insurer-holders of combination notes should have the information necessary to bifurcate and separately report individual tranches. (As this is necessary to properly assess cash flows under the existing requirements of SSAP No. 43R.) However, specific investments details are requested if this is a concerning element. </w:t>
            </w:r>
          </w:p>
          <w:p w14:paraId="0E4BFD7F" w14:textId="77777777" w:rsidR="00201288" w:rsidRPr="00D924F4" w:rsidRDefault="00201288" w:rsidP="002B1EAD">
            <w:pPr>
              <w:pStyle w:val="ListContinue"/>
              <w:numPr>
                <w:ilvl w:val="0"/>
                <w:numId w:val="3"/>
              </w:numPr>
              <w:rPr>
                <w:sz w:val="22"/>
                <w:szCs w:val="22"/>
              </w:rPr>
            </w:pPr>
            <w:r w:rsidRPr="00D924F4">
              <w:rPr>
                <w:sz w:val="22"/>
                <w:szCs w:val="22"/>
              </w:rPr>
              <w:t xml:space="preserve">Are there concerns with guidance specifying that the residual / equity tranches shall be reported on Schedule BA, on a dedicated reporting line, with a lower of amortized cost or fair value measurement method? </w:t>
            </w:r>
          </w:p>
        </w:tc>
      </w:tr>
    </w:tbl>
    <w:p w14:paraId="75E9031F" w14:textId="77777777" w:rsidR="00DA6DE1" w:rsidRPr="00D924F4" w:rsidRDefault="00DA6DE1" w:rsidP="002B1EAD">
      <w:pPr>
        <w:jc w:val="both"/>
        <w:rPr>
          <w:color w:val="000000" w:themeColor="text1"/>
          <w:szCs w:val="22"/>
        </w:rPr>
      </w:pPr>
      <w:bookmarkStart w:id="10" w:name="_Hlk44310867"/>
    </w:p>
    <w:p w14:paraId="74D5D005" w14:textId="7A49CC11" w:rsidR="00DA6DE1" w:rsidRPr="00D924F4" w:rsidRDefault="00DA6DE1" w:rsidP="002B1EAD">
      <w:pPr>
        <w:jc w:val="both"/>
        <w:rPr>
          <w:color w:val="000000" w:themeColor="text1"/>
          <w:szCs w:val="22"/>
        </w:rPr>
      </w:pPr>
      <w:r w:rsidRPr="00D924F4">
        <w:rPr>
          <w:color w:val="000000" w:themeColor="text1"/>
          <w:szCs w:val="22"/>
        </w:rPr>
        <w:t xml:space="preserve">Interested </w:t>
      </w:r>
      <w:r w:rsidR="00B52289">
        <w:rPr>
          <w:color w:val="000000" w:themeColor="text1"/>
          <w:szCs w:val="22"/>
        </w:rPr>
        <w:t>p</w:t>
      </w:r>
      <w:r w:rsidRPr="00D924F4">
        <w:rPr>
          <w:color w:val="000000" w:themeColor="text1"/>
          <w:szCs w:val="22"/>
        </w:rPr>
        <w:t>arties</w:t>
      </w:r>
      <w:r w:rsidR="00FB5031">
        <w:rPr>
          <w:color w:val="000000" w:themeColor="text1"/>
          <w:szCs w:val="22"/>
        </w:rPr>
        <w:t>’</w:t>
      </w:r>
      <w:r w:rsidRPr="00D924F4">
        <w:rPr>
          <w:color w:val="000000" w:themeColor="text1"/>
          <w:szCs w:val="22"/>
        </w:rPr>
        <w:t xml:space="preserve"> respon</w:t>
      </w:r>
      <w:r w:rsidR="00B52289">
        <w:rPr>
          <w:color w:val="000000" w:themeColor="text1"/>
          <w:szCs w:val="22"/>
        </w:rPr>
        <w:t>se</w:t>
      </w:r>
      <w:r w:rsidRPr="00D924F4">
        <w:rPr>
          <w:color w:val="000000" w:themeColor="text1"/>
          <w:szCs w:val="22"/>
        </w:rPr>
        <w:t xml:space="preserve"> to 19-14 Section 3 questions below:</w:t>
      </w:r>
    </w:p>
    <w:p w14:paraId="499A3E1C" w14:textId="77777777" w:rsidR="00DA6DE1" w:rsidRPr="00D924F4" w:rsidRDefault="00DA6DE1" w:rsidP="002B1EAD">
      <w:pPr>
        <w:jc w:val="both"/>
        <w:rPr>
          <w:color w:val="000000" w:themeColor="text1"/>
          <w:szCs w:val="22"/>
        </w:rPr>
      </w:pPr>
    </w:p>
    <w:p w14:paraId="3D4DA066" w14:textId="77777777" w:rsidR="00DA6DE1" w:rsidRPr="00D924F4" w:rsidRDefault="00DA6DE1" w:rsidP="002B1EAD">
      <w:pPr>
        <w:jc w:val="both"/>
        <w:rPr>
          <w:color w:val="000000" w:themeColor="text1"/>
          <w:szCs w:val="22"/>
        </w:rPr>
      </w:pPr>
      <w:r w:rsidRPr="00D924F4">
        <w:rPr>
          <w:color w:val="000000" w:themeColor="text1"/>
          <w:szCs w:val="22"/>
        </w:rPr>
        <w:t>Question:  Are there concerns with including all CFR ABS (as defined) in scope of SSAP No. 43R and allowing for the rated debt tranches of these instruments to generally follow historical accounting / reporting guidance? This guidance determines measurement method based on CRP rating (as permitted by the P&amp;P Manual) translated to the equivalent NAIC designation.</w:t>
      </w:r>
    </w:p>
    <w:p w14:paraId="660F35EE" w14:textId="77777777" w:rsidR="00DA6DE1" w:rsidRPr="00D924F4" w:rsidRDefault="00DA6DE1" w:rsidP="002B1EAD">
      <w:pPr>
        <w:jc w:val="both"/>
        <w:rPr>
          <w:color w:val="000000" w:themeColor="text1"/>
          <w:szCs w:val="22"/>
        </w:rPr>
      </w:pPr>
    </w:p>
    <w:p w14:paraId="7094D33C" w14:textId="77777777" w:rsidR="00DA6DE1" w:rsidRPr="00D924F4" w:rsidRDefault="00DA6DE1" w:rsidP="002B1EAD">
      <w:pPr>
        <w:jc w:val="both"/>
        <w:rPr>
          <w:color w:val="000000" w:themeColor="text1"/>
          <w:szCs w:val="22"/>
        </w:rPr>
      </w:pPr>
      <w:r w:rsidRPr="00D924F4">
        <w:rPr>
          <w:color w:val="000000" w:themeColor="text1"/>
          <w:szCs w:val="22"/>
        </w:rPr>
        <w:t>Yes.  We agree that ABS meeting the 1933 Act Definition of ABS should be included in the scope of SSAP No. 43R.  However, as detailed in our responses to the questions in Section 2, the definition of ABS used in the 1933 Act is very narrow and would only capture a subset of investments that should be included in the scope of SSAP No. 43R. Therefore, if SAPWG concludes that a securities law definition must be used, we recommend the 1934 Act Definition of ABS be used in place of the 1933 Act Definition.  However, we believe broad principles that capture what the marketplace generally considers to be ABS to be more appropriate.</w:t>
      </w:r>
    </w:p>
    <w:p w14:paraId="64E93EFE" w14:textId="77777777" w:rsidR="00DA6DE1" w:rsidRPr="00D924F4" w:rsidRDefault="00DA6DE1" w:rsidP="002B1EAD">
      <w:pPr>
        <w:jc w:val="both"/>
        <w:rPr>
          <w:color w:val="000000" w:themeColor="text1"/>
          <w:szCs w:val="22"/>
        </w:rPr>
      </w:pPr>
    </w:p>
    <w:p w14:paraId="632283D1" w14:textId="77777777" w:rsidR="00DA6DE1" w:rsidRPr="00D924F4" w:rsidRDefault="00DA6DE1" w:rsidP="002B1EAD">
      <w:pPr>
        <w:jc w:val="both"/>
        <w:rPr>
          <w:color w:val="000000" w:themeColor="text1"/>
          <w:szCs w:val="22"/>
        </w:rPr>
      </w:pPr>
      <w:r w:rsidRPr="00D924F4">
        <w:rPr>
          <w:color w:val="000000" w:themeColor="text1"/>
          <w:szCs w:val="22"/>
        </w:rPr>
        <w:lastRenderedPageBreak/>
        <w:t>Question:  Should there be guidance that provides differing accounting and reporting treatment based on whether the CFR ABS is a “common” or “broadly syndicated” structure? Is the current collateral codes sufficient to identify new categories of SSAP No. 43R securities?</w:t>
      </w:r>
    </w:p>
    <w:p w14:paraId="3E27D832" w14:textId="77777777" w:rsidR="00DA6DE1" w:rsidRPr="00D924F4" w:rsidRDefault="00DA6DE1" w:rsidP="002B1EAD">
      <w:pPr>
        <w:jc w:val="both"/>
        <w:rPr>
          <w:color w:val="000000" w:themeColor="text1"/>
          <w:szCs w:val="22"/>
        </w:rPr>
      </w:pPr>
    </w:p>
    <w:p w14:paraId="199DC5E4" w14:textId="1C498B37" w:rsidR="00DA6DE1" w:rsidRPr="00D924F4" w:rsidRDefault="00DA6DE1" w:rsidP="002B1EAD">
      <w:pPr>
        <w:jc w:val="both"/>
        <w:rPr>
          <w:color w:val="000000" w:themeColor="text1"/>
          <w:szCs w:val="22"/>
        </w:rPr>
      </w:pPr>
      <w:r w:rsidRPr="00D924F4">
        <w:rPr>
          <w:color w:val="000000" w:themeColor="text1"/>
          <w:szCs w:val="22"/>
        </w:rPr>
        <w:t>Without clearly knowing the definition of “common” and “broadly syndicated,” it is difficult to completely answer this question.  That is, are these terms referring to the underlying assets held in a Trust or SPV for the ABS or do they refer to the ABS itself (i.e., investors in the issued ABS)?  In the context of this Exposure, we assume that it related to the underlying assets of an ABS.  However, broadly syndicated usually means that the ABS itself has been marketed to a wide range of potential investors.  We recommend these terms be clearly defined.</w:t>
      </w:r>
      <w:r w:rsidR="000C5E87" w:rsidRPr="00D924F4">
        <w:rPr>
          <w:color w:val="000000" w:themeColor="text1"/>
          <w:szCs w:val="22"/>
        </w:rPr>
        <w:t xml:space="preserve">  Or, as </w:t>
      </w:r>
      <w:r w:rsidR="00272547" w:rsidRPr="00D924F4">
        <w:rPr>
          <w:color w:val="000000" w:themeColor="text1"/>
          <w:szCs w:val="22"/>
        </w:rPr>
        <w:t>mentioned</w:t>
      </w:r>
      <w:r w:rsidR="000C5E87" w:rsidRPr="00D924F4">
        <w:rPr>
          <w:color w:val="000000" w:themeColor="text1"/>
          <w:szCs w:val="22"/>
        </w:rPr>
        <w:t xml:space="preserve"> in </w:t>
      </w:r>
      <w:r w:rsidR="00272547" w:rsidRPr="00D924F4">
        <w:rPr>
          <w:color w:val="000000" w:themeColor="text1"/>
          <w:szCs w:val="22"/>
        </w:rPr>
        <w:t>the</w:t>
      </w:r>
      <w:r w:rsidR="000C5E87" w:rsidRPr="00D924F4">
        <w:rPr>
          <w:color w:val="000000" w:themeColor="text1"/>
          <w:szCs w:val="22"/>
        </w:rPr>
        <w:t xml:space="preserve"> </w:t>
      </w:r>
      <w:r w:rsidR="005B105F" w:rsidRPr="00D924F4">
        <w:rPr>
          <w:color w:val="000000" w:themeColor="text1"/>
          <w:szCs w:val="22"/>
        </w:rPr>
        <w:t>preamble</w:t>
      </w:r>
      <w:r w:rsidR="000C5E87" w:rsidRPr="00D924F4">
        <w:rPr>
          <w:color w:val="000000" w:themeColor="text1"/>
          <w:szCs w:val="22"/>
        </w:rPr>
        <w:t xml:space="preserve"> of this letter, are t</w:t>
      </w:r>
      <w:r w:rsidR="00EE4114" w:rsidRPr="00D924F4">
        <w:rPr>
          <w:color w:val="000000" w:themeColor="text1"/>
          <w:szCs w:val="22"/>
        </w:rPr>
        <w:t>hese</w:t>
      </w:r>
      <w:r w:rsidR="000C5E87" w:rsidRPr="00D924F4">
        <w:rPr>
          <w:color w:val="000000" w:themeColor="text1"/>
          <w:szCs w:val="22"/>
        </w:rPr>
        <w:t xml:space="preserve"> terms being used to differentiate between affiliated and nonaffiliated transactions?</w:t>
      </w:r>
      <w:r w:rsidR="00A21E99" w:rsidRPr="00D924F4">
        <w:rPr>
          <w:color w:val="000000" w:themeColor="text1"/>
          <w:szCs w:val="22"/>
        </w:rPr>
        <w:t xml:space="preserve">  </w:t>
      </w:r>
    </w:p>
    <w:p w14:paraId="54BD797E" w14:textId="77777777" w:rsidR="00DA6DE1" w:rsidRPr="00D924F4" w:rsidRDefault="00DA6DE1" w:rsidP="002B1EAD">
      <w:pPr>
        <w:jc w:val="both"/>
        <w:rPr>
          <w:color w:val="000000" w:themeColor="text1"/>
          <w:szCs w:val="22"/>
        </w:rPr>
      </w:pPr>
    </w:p>
    <w:p w14:paraId="03EAC36C" w14:textId="2E71EAE2" w:rsidR="00DA6DE1" w:rsidRPr="00D924F4" w:rsidRDefault="00DA6DE1" w:rsidP="002B1EAD">
      <w:pPr>
        <w:jc w:val="both"/>
        <w:rPr>
          <w:color w:val="000000" w:themeColor="text1"/>
          <w:szCs w:val="22"/>
        </w:rPr>
      </w:pPr>
      <w:r w:rsidRPr="00D924F4">
        <w:rPr>
          <w:color w:val="000000" w:themeColor="text1"/>
          <w:szCs w:val="22"/>
        </w:rPr>
        <w:t xml:space="preserve">Assuming these terms relate to the underlying assets in the Trust or SPV of the ABS, if the structure meets the definition of an ABS, we do not believe the accounting and reporting treatment should be different.  That is a look-through approach to the underlying assets in the ABS, as discussed in other sections of this letter, is </w:t>
      </w:r>
      <w:r w:rsidR="006E21B0" w:rsidRPr="00D924F4">
        <w:rPr>
          <w:color w:val="000000" w:themeColor="text1"/>
          <w:szCs w:val="22"/>
        </w:rPr>
        <w:t xml:space="preserve">generally not </w:t>
      </w:r>
      <w:r w:rsidRPr="00D924F4">
        <w:rPr>
          <w:color w:val="000000" w:themeColor="text1"/>
          <w:szCs w:val="22"/>
        </w:rPr>
        <w:t xml:space="preserve">appropriate. </w:t>
      </w:r>
    </w:p>
    <w:p w14:paraId="6057C83F" w14:textId="77777777" w:rsidR="00DA6DE1" w:rsidRPr="00D924F4" w:rsidRDefault="00DA6DE1" w:rsidP="002B1EAD">
      <w:pPr>
        <w:jc w:val="both"/>
        <w:rPr>
          <w:color w:val="000000" w:themeColor="text1"/>
          <w:szCs w:val="22"/>
        </w:rPr>
      </w:pPr>
    </w:p>
    <w:p w14:paraId="22A9F3B4" w14:textId="46B237BA" w:rsidR="00DA6DE1" w:rsidRPr="00D924F4" w:rsidRDefault="00DA6DE1" w:rsidP="002B1EAD">
      <w:pPr>
        <w:jc w:val="both"/>
        <w:rPr>
          <w:color w:val="000000" w:themeColor="text1"/>
          <w:szCs w:val="22"/>
        </w:rPr>
      </w:pPr>
      <w:r w:rsidRPr="00D924F4">
        <w:rPr>
          <w:color w:val="000000" w:themeColor="text1"/>
          <w:szCs w:val="22"/>
        </w:rPr>
        <w:t xml:space="preserve">Assuming these terms relate to the ABS debt issued by a Trust or SPV, for securities that meet the relevant definition of ABS, we do not believe the accounting and reporting treatment should be different based on whether they are “common” or “broadly syndicated”.  Interested </w:t>
      </w:r>
      <w:r w:rsidR="00B52289">
        <w:rPr>
          <w:color w:val="000000" w:themeColor="text1"/>
          <w:szCs w:val="22"/>
        </w:rPr>
        <w:t>p</w:t>
      </w:r>
      <w:r w:rsidRPr="00D924F4">
        <w:rPr>
          <w:color w:val="000000" w:themeColor="text1"/>
          <w:szCs w:val="22"/>
        </w:rPr>
        <w:t xml:space="preserve">arties note that accounting methods are not determined, in either U.S. GAAP or elsewhere in Statutory Accounting, based on whether an investment is “common” or “broadly syndicated”.    </w:t>
      </w:r>
    </w:p>
    <w:p w14:paraId="6CF6F98F" w14:textId="77777777" w:rsidR="00DA6DE1" w:rsidRPr="00D924F4" w:rsidRDefault="00DA6DE1" w:rsidP="002B1EAD">
      <w:pPr>
        <w:jc w:val="both"/>
        <w:rPr>
          <w:color w:val="000000" w:themeColor="text1"/>
          <w:szCs w:val="22"/>
        </w:rPr>
      </w:pPr>
    </w:p>
    <w:p w14:paraId="59D0D37E" w14:textId="77777777" w:rsidR="00DA6DE1" w:rsidRPr="00D924F4" w:rsidRDefault="00DA6DE1" w:rsidP="002B1EAD">
      <w:pPr>
        <w:jc w:val="both"/>
        <w:rPr>
          <w:color w:val="000000" w:themeColor="text1"/>
          <w:szCs w:val="22"/>
        </w:rPr>
      </w:pPr>
      <w:r w:rsidRPr="00D924F4">
        <w:rPr>
          <w:color w:val="000000" w:themeColor="text1"/>
          <w:szCs w:val="22"/>
        </w:rPr>
        <w:t>Regarding whether the current collateral codes are sufficient to identify new categories of SSAP No. 43R securities, we believe we are too early in this process to properly assess whether those collateral codes are sufficient. As we progress further through this process, we will be able to provide more clarity on our views as to whether additional collateral codes will be necessary.</w:t>
      </w:r>
    </w:p>
    <w:p w14:paraId="482CFE16" w14:textId="77777777" w:rsidR="00DA6DE1" w:rsidRPr="00D924F4" w:rsidRDefault="00DA6DE1" w:rsidP="002B1EAD">
      <w:pPr>
        <w:jc w:val="both"/>
        <w:rPr>
          <w:color w:val="000000" w:themeColor="text1"/>
          <w:szCs w:val="22"/>
        </w:rPr>
      </w:pPr>
    </w:p>
    <w:p w14:paraId="011C7CC5" w14:textId="77777777" w:rsidR="00DA6DE1" w:rsidRPr="00D924F4" w:rsidRDefault="00DA6DE1" w:rsidP="002B1EAD">
      <w:pPr>
        <w:jc w:val="both"/>
        <w:rPr>
          <w:color w:val="000000" w:themeColor="text1"/>
          <w:szCs w:val="22"/>
        </w:rPr>
      </w:pPr>
      <w:r w:rsidRPr="00D924F4">
        <w:rPr>
          <w:color w:val="000000" w:themeColor="text1"/>
          <w:szCs w:val="22"/>
        </w:rPr>
        <w:t>Question:  From preliminary information received, all insurer-holders of combination notes should have the information necessary to bifurcate and separately report individual tranches. (As this is necessary to properly assess cash flows under the existing requirements of SSAP No. 43R.) However, specific investments details are requested if this is a concerning element.</w:t>
      </w:r>
    </w:p>
    <w:p w14:paraId="3CEB3ED3" w14:textId="77777777" w:rsidR="00DA6DE1" w:rsidRPr="00D924F4" w:rsidRDefault="00DA6DE1" w:rsidP="002B1EAD">
      <w:pPr>
        <w:jc w:val="both"/>
        <w:rPr>
          <w:color w:val="000000" w:themeColor="text1"/>
          <w:szCs w:val="22"/>
        </w:rPr>
      </w:pPr>
    </w:p>
    <w:p w14:paraId="27D5F368" w14:textId="77777777" w:rsidR="00DA6DE1" w:rsidRPr="00D924F4" w:rsidRDefault="00DA6DE1" w:rsidP="002B1EAD">
      <w:pPr>
        <w:jc w:val="both"/>
        <w:rPr>
          <w:color w:val="000000" w:themeColor="text1"/>
          <w:szCs w:val="22"/>
        </w:rPr>
      </w:pPr>
      <w:r w:rsidRPr="00D924F4">
        <w:rPr>
          <w:color w:val="000000" w:themeColor="text1"/>
          <w:szCs w:val="22"/>
        </w:rPr>
        <w:t>Paragraph 29 of the Exposure requires the various underlying tranches of a combo note (or other structure) to be separately reported with the NAIC designation that is attributed to the rating for the specific tranche (not the rating for the overall combined instrument). We have concerns with what may be included in the undefined “other structure.” Footnote 7 of this paragraph appears to suggest that combo notes and other ABS structures, like ABS squared, are similar.  This is not true. A combo note combines various tranches of a one or more ABS and issues a single tranche.  Whereas an ABS squared is an ABS that has underlying debt tranches of ABS as the underlying assets in the Trust or SPV, from which the Trust or SPV then issues multiple debt tranches.</w:t>
      </w:r>
    </w:p>
    <w:p w14:paraId="55E7980C" w14:textId="77777777" w:rsidR="00DA6DE1" w:rsidRPr="00D924F4" w:rsidRDefault="00DA6DE1" w:rsidP="002B1EAD">
      <w:pPr>
        <w:jc w:val="both"/>
        <w:rPr>
          <w:color w:val="000000" w:themeColor="text1"/>
          <w:szCs w:val="22"/>
        </w:rPr>
      </w:pPr>
    </w:p>
    <w:p w14:paraId="30C0F833" w14:textId="77777777" w:rsidR="00DA6DE1" w:rsidRPr="00D924F4" w:rsidRDefault="00DA6DE1" w:rsidP="002B1EAD">
      <w:pPr>
        <w:jc w:val="both"/>
        <w:rPr>
          <w:color w:val="000000" w:themeColor="text1"/>
          <w:szCs w:val="22"/>
        </w:rPr>
      </w:pPr>
      <w:r w:rsidRPr="00D924F4">
        <w:rPr>
          <w:color w:val="000000" w:themeColor="text1"/>
          <w:szCs w:val="22"/>
        </w:rPr>
        <w:t>While we do not think it would be difficult to obtain information necessary to bifurcate and separately report individual tranches of a combo note, it most likely would be a manual process, which creates unnecessary operational burden for insurers. However, for securitizations, such as collateralized debt obligations (CDOs), which utilize tranches of other ABS to create a new CDO (e.g., CDO squared), we believe it would be inappropriate for the CDO,</w:t>
      </w:r>
      <w:r w:rsidRPr="00D924F4">
        <w:rPr>
          <w:szCs w:val="22"/>
        </w:rPr>
        <w:t xml:space="preserve"> or similar securitizations,</w:t>
      </w:r>
      <w:r w:rsidRPr="00D924F4">
        <w:rPr>
          <w:color w:val="000000" w:themeColor="text1"/>
          <w:szCs w:val="22"/>
        </w:rPr>
        <w:t xml:space="preserve"> to be bifurcated as the securitization is a new securitization for which it would be impossible to unwind.</w:t>
      </w:r>
    </w:p>
    <w:p w14:paraId="41CD31FA" w14:textId="77777777" w:rsidR="00DA6DE1" w:rsidRPr="00D924F4" w:rsidRDefault="00DA6DE1" w:rsidP="002B1EAD">
      <w:pPr>
        <w:ind w:left="720"/>
        <w:jc w:val="both"/>
        <w:rPr>
          <w:color w:val="000000" w:themeColor="text1"/>
          <w:szCs w:val="22"/>
        </w:rPr>
      </w:pPr>
    </w:p>
    <w:p w14:paraId="780320F4" w14:textId="77777777" w:rsidR="00DA6DE1" w:rsidRPr="00D924F4" w:rsidRDefault="00DA6DE1" w:rsidP="002B1EAD">
      <w:pPr>
        <w:jc w:val="both"/>
        <w:rPr>
          <w:color w:val="000000" w:themeColor="text1"/>
          <w:szCs w:val="22"/>
        </w:rPr>
      </w:pPr>
      <w:r w:rsidRPr="00D924F4">
        <w:rPr>
          <w:color w:val="000000" w:themeColor="text1"/>
          <w:szCs w:val="22"/>
        </w:rPr>
        <w:lastRenderedPageBreak/>
        <w:t>Question:  Are there concerns with guidance specifying that the residual / equity tranches shall be reported on Schedule BA, on a dedicated reporting line, with a lower of amortized cost or fair value measurement method?</w:t>
      </w:r>
    </w:p>
    <w:p w14:paraId="2B142861" w14:textId="77777777" w:rsidR="00DA6DE1" w:rsidRPr="00D924F4" w:rsidRDefault="00DA6DE1" w:rsidP="002B1EAD">
      <w:pPr>
        <w:jc w:val="both"/>
        <w:rPr>
          <w:color w:val="000000" w:themeColor="text1"/>
          <w:szCs w:val="22"/>
        </w:rPr>
      </w:pPr>
    </w:p>
    <w:p w14:paraId="3F5DCEE8" w14:textId="2258ECA5" w:rsidR="00DA6DE1" w:rsidRPr="00D924F4" w:rsidRDefault="00DA6DE1" w:rsidP="002B1EAD">
      <w:pPr>
        <w:jc w:val="both"/>
        <w:rPr>
          <w:szCs w:val="22"/>
        </w:rPr>
      </w:pPr>
      <w:r w:rsidRPr="00D924F4">
        <w:rPr>
          <w:color w:val="000000" w:themeColor="text1"/>
          <w:szCs w:val="22"/>
        </w:rPr>
        <w:t xml:space="preserve">Most reporting entities interpret the U.S. GAAP accounting guidance to require most residual interests of securitizations be reported as bonds. We would not want to create an unnecessary GAAP to Statutory difference by classifying residual debt tranches as equity. Currently there is diversity in practice how insurers report residual tranches. Some insurers report residual tranches on Schedule D, while others report these on Schedule BA. However, the general consensus is that residual tranches of an ABS are bonds and accounted for in accordance with SSAP No. 43R.  </w:t>
      </w:r>
      <w:r w:rsidRPr="00D924F4">
        <w:rPr>
          <w:szCs w:val="22"/>
        </w:rPr>
        <w:t xml:space="preserve">Interested </w:t>
      </w:r>
      <w:r w:rsidR="00B52289">
        <w:rPr>
          <w:szCs w:val="22"/>
        </w:rPr>
        <w:t>p</w:t>
      </w:r>
      <w:r w:rsidRPr="00D924F4">
        <w:rPr>
          <w:szCs w:val="22"/>
        </w:rPr>
        <w:t>arties would not object to reporting the residual tranche of an ABS in a dedicated section of Schedule BA-Bonds provided that the accounting remains consistent with SSAP No. 43R, the assets are deemed admitted assets to the extent they conform to the requirements within the statement, and the RBC is the same as reporting the investments on Schedule D (for both Life and P&amp;C companies).  Additionally, availability of audited financial statements should not impact admissibility of residual tranches of an ABS</w:t>
      </w:r>
      <w:r w:rsidR="0060657C" w:rsidRPr="00D924F4">
        <w:rPr>
          <w:szCs w:val="22"/>
        </w:rPr>
        <w:t>.</w:t>
      </w:r>
    </w:p>
    <w:p w14:paraId="5A85ACBE" w14:textId="06BE0409" w:rsidR="004D3F4A" w:rsidRPr="00D924F4" w:rsidRDefault="00B242E6" w:rsidP="005D1C23">
      <w:pPr>
        <w:spacing w:after="160" w:line="259" w:lineRule="auto"/>
        <w:rPr>
          <w:szCs w:val="22"/>
        </w:rPr>
      </w:pPr>
      <w:r w:rsidRPr="00D924F4">
        <w:rPr>
          <w:szCs w:val="22"/>
        </w:rPr>
        <w:br w:type="page"/>
      </w:r>
      <w:bookmarkEnd w:id="10"/>
    </w:p>
    <w:p w14:paraId="5540E27E" w14:textId="7C4A514D" w:rsidR="00201288" w:rsidRPr="00D924F4" w:rsidRDefault="00201288" w:rsidP="002B1EAD">
      <w:pPr>
        <w:jc w:val="both"/>
        <w:rPr>
          <w:b/>
          <w:szCs w:val="22"/>
          <w:u w:val="single"/>
        </w:rPr>
      </w:pPr>
      <w:r w:rsidRPr="00D924F4">
        <w:rPr>
          <w:b/>
          <w:szCs w:val="22"/>
          <w:u w:val="single"/>
        </w:rPr>
        <w:lastRenderedPageBreak/>
        <w:t>Section 4</w:t>
      </w:r>
      <w:r w:rsidR="00C6350A" w:rsidRPr="00D924F4">
        <w:rPr>
          <w:b/>
          <w:szCs w:val="22"/>
          <w:u w:val="single"/>
        </w:rPr>
        <w:t xml:space="preserve"> – Accounting and Reporting for Non-CFR ABS (Traditional Securitizations)</w:t>
      </w:r>
    </w:p>
    <w:p w14:paraId="183486CE" w14:textId="77777777" w:rsidR="00411FEA" w:rsidRPr="00D924F4" w:rsidRDefault="00411FEA" w:rsidP="002B1EAD">
      <w:pPr>
        <w:jc w:val="bot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201288" w:rsidRPr="00D924F4" w14:paraId="3348744C" w14:textId="77777777" w:rsidTr="00985338">
        <w:tc>
          <w:tcPr>
            <w:tcW w:w="8990" w:type="dxa"/>
          </w:tcPr>
          <w:p w14:paraId="32243D17"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Overview of Key Concepts: </w:t>
            </w:r>
          </w:p>
        </w:tc>
      </w:tr>
      <w:tr w:rsidR="00201288" w:rsidRPr="00D924F4" w14:paraId="3AC8D338" w14:textId="77777777" w:rsidTr="00985338">
        <w:tc>
          <w:tcPr>
            <w:tcW w:w="8990" w:type="dxa"/>
          </w:tcPr>
          <w:p w14:paraId="7DA25262" w14:textId="77777777" w:rsidR="00201288" w:rsidRPr="00D924F4" w:rsidRDefault="00201288" w:rsidP="002B1EAD">
            <w:pPr>
              <w:pStyle w:val="ListContinue"/>
              <w:numPr>
                <w:ilvl w:val="0"/>
                <w:numId w:val="2"/>
              </w:numPr>
              <w:rPr>
                <w:sz w:val="22"/>
                <w:szCs w:val="22"/>
              </w:rPr>
            </w:pPr>
            <w:r w:rsidRPr="00D924F4">
              <w:rPr>
                <w:sz w:val="22"/>
                <w:szCs w:val="22"/>
              </w:rPr>
              <w:t xml:space="preserve">This proposes four principle concepts to identify securities that are principally similar to CFR ABS securities. If the four principles are met, this guidance proposes to have the securities treated in SSAP No. 43R as if they were CFR ABS. </w:t>
            </w:r>
          </w:p>
          <w:p w14:paraId="573F8471" w14:textId="77777777" w:rsidR="00201288" w:rsidRPr="00D924F4" w:rsidRDefault="00201288" w:rsidP="002B1EAD">
            <w:pPr>
              <w:pStyle w:val="ListContinue"/>
              <w:numPr>
                <w:ilvl w:val="0"/>
                <w:numId w:val="2"/>
              </w:numPr>
              <w:rPr>
                <w:sz w:val="22"/>
                <w:szCs w:val="22"/>
              </w:rPr>
            </w:pPr>
            <w:r w:rsidRPr="00D924F4">
              <w:rPr>
                <w:sz w:val="22"/>
                <w:szCs w:val="22"/>
              </w:rPr>
              <w:t xml:space="preserve">The proposed guidance suggests restricting CRP ratings to these securities to the NRSROs that are SEC registered for CFR ABS. </w:t>
            </w:r>
            <w:r w:rsidRPr="00D924F4">
              <w:rPr>
                <w:i/>
                <w:iCs/>
                <w:sz w:val="22"/>
                <w:szCs w:val="22"/>
              </w:rPr>
              <w:t>(This change would have to be addressed by the VOSTF and captured in the P&amp;P Manual.)</w:t>
            </w:r>
            <w:r w:rsidRPr="00D924F4">
              <w:rPr>
                <w:sz w:val="22"/>
                <w:szCs w:val="22"/>
              </w:rPr>
              <w:t xml:space="preserve"> </w:t>
            </w:r>
          </w:p>
        </w:tc>
      </w:tr>
      <w:tr w:rsidR="00201288" w:rsidRPr="00D924F4" w14:paraId="70F8734E" w14:textId="77777777" w:rsidTr="00985338">
        <w:tc>
          <w:tcPr>
            <w:tcW w:w="8990" w:type="dxa"/>
          </w:tcPr>
          <w:p w14:paraId="455BE1F6" w14:textId="77777777" w:rsidR="00201288" w:rsidRPr="00D924F4" w:rsidRDefault="00201288" w:rsidP="002B1EAD">
            <w:pPr>
              <w:pStyle w:val="ListContinue"/>
              <w:numPr>
                <w:ilvl w:val="0"/>
                <w:numId w:val="2"/>
              </w:numPr>
              <w:rPr>
                <w:sz w:val="22"/>
                <w:szCs w:val="22"/>
              </w:rPr>
            </w:pPr>
            <w:r w:rsidRPr="00D924F4">
              <w:rPr>
                <w:sz w:val="22"/>
                <w:szCs w:val="22"/>
              </w:rPr>
              <w:t>Similar to the CFR ABS, each rated debt tranche shall be separately reported for accounting and RBC. (This requires bifurcation of combination notes or other structures where ABS tranches have been combined to form a new security.)</w:t>
            </w:r>
          </w:p>
        </w:tc>
      </w:tr>
      <w:tr w:rsidR="00201288" w:rsidRPr="00D924F4" w14:paraId="07F0F4F4" w14:textId="77777777" w:rsidTr="00985338">
        <w:tc>
          <w:tcPr>
            <w:tcW w:w="8990" w:type="dxa"/>
          </w:tcPr>
          <w:p w14:paraId="066C687B" w14:textId="77777777" w:rsidR="00201288" w:rsidRPr="00D924F4" w:rsidRDefault="00201288" w:rsidP="002B1EAD">
            <w:pPr>
              <w:pStyle w:val="ListContinue"/>
              <w:numPr>
                <w:ilvl w:val="0"/>
                <w:numId w:val="2"/>
              </w:numPr>
              <w:rPr>
                <w:sz w:val="22"/>
                <w:szCs w:val="22"/>
              </w:rPr>
            </w:pPr>
            <w:r w:rsidRPr="00D924F4">
              <w:rPr>
                <w:sz w:val="22"/>
                <w:szCs w:val="22"/>
              </w:rPr>
              <w:t xml:space="preserve">Also, similar to CFR ABS, the residual tranche / equity class will be addressed in SSAP No. 43R, but the guidance will require reporting of this tranche on Schedule BA at the lower of amortized cost or fair value. Guidance will be drafted to clarify the subsequent reporting of this tranche, particularly in the recognition of OTTI, investment income, and return of investment. </w:t>
            </w:r>
          </w:p>
        </w:tc>
      </w:tr>
      <w:tr w:rsidR="00201288" w:rsidRPr="00D924F4" w14:paraId="780F3C51" w14:textId="77777777" w:rsidTr="00985338">
        <w:tc>
          <w:tcPr>
            <w:tcW w:w="8990" w:type="dxa"/>
          </w:tcPr>
          <w:p w14:paraId="41F1E5F2"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Questions / Comments: </w:t>
            </w:r>
          </w:p>
        </w:tc>
      </w:tr>
      <w:tr w:rsidR="00201288" w:rsidRPr="00D924F4" w14:paraId="3F972C70" w14:textId="77777777" w:rsidTr="00985338">
        <w:tc>
          <w:tcPr>
            <w:tcW w:w="8990" w:type="dxa"/>
          </w:tcPr>
          <w:p w14:paraId="7B89F399" w14:textId="77777777" w:rsidR="00201288" w:rsidRPr="00D924F4" w:rsidRDefault="00201288" w:rsidP="002B1EAD">
            <w:pPr>
              <w:pStyle w:val="ListContinue"/>
              <w:numPr>
                <w:ilvl w:val="0"/>
                <w:numId w:val="3"/>
              </w:numPr>
              <w:rPr>
                <w:sz w:val="22"/>
                <w:szCs w:val="22"/>
              </w:rPr>
            </w:pPr>
            <w:r w:rsidRPr="00D924F4">
              <w:rPr>
                <w:sz w:val="22"/>
                <w:szCs w:val="22"/>
              </w:rPr>
              <w:t xml:space="preserve">Are there comments with the four proposed principles and whether they will successfully identify securitizations that are principally similar to CFR ABS? </w:t>
            </w:r>
          </w:p>
          <w:p w14:paraId="76531E4E" w14:textId="77777777" w:rsidR="00201288" w:rsidRPr="00D924F4" w:rsidRDefault="00201288" w:rsidP="002B1EAD">
            <w:pPr>
              <w:pStyle w:val="ListContinue"/>
              <w:numPr>
                <w:ilvl w:val="0"/>
                <w:numId w:val="3"/>
              </w:numPr>
              <w:rPr>
                <w:sz w:val="22"/>
                <w:szCs w:val="22"/>
              </w:rPr>
            </w:pPr>
            <w:r w:rsidRPr="00D924F4">
              <w:rPr>
                <w:sz w:val="22"/>
                <w:szCs w:val="22"/>
              </w:rPr>
              <w:t xml:space="preserve">Will these principles capture a significant majority of the non-CFR ABS that reflect traditional securitizations? If not, what elements would disqualify those securities? </w:t>
            </w:r>
          </w:p>
          <w:p w14:paraId="6DBE7B90" w14:textId="77777777" w:rsidR="00201288" w:rsidRPr="00D924F4" w:rsidRDefault="00201288" w:rsidP="002B1EAD">
            <w:pPr>
              <w:pStyle w:val="ListContinue"/>
              <w:numPr>
                <w:ilvl w:val="0"/>
                <w:numId w:val="3"/>
              </w:numPr>
              <w:rPr>
                <w:sz w:val="22"/>
                <w:szCs w:val="22"/>
              </w:rPr>
            </w:pPr>
            <w:r w:rsidRPr="00D924F4">
              <w:rPr>
                <w:sz w:val="22"/>
                <w:szCs w:val="22"/>
              </w:rPr>
              <w:t xml:space="preserve">Will these principles include securities that go beyond the intent for “traditional securitizations” and if so, what aspects would permit these securities? </w:t>
            </w:r>
          </w:p>
        </w:tc>
      </w:tr>
    </w:tbl>
    <w:p w14:paraId="25909889" w14:textId="53FAE107" w:rsidR="00201288" w:rsidRPr="00D924F4" w:rsidRDefault="00201288" w:rsidP="002B1EAD">
      <w:pPr>
        <w:jc w:val="both"/>
        <w:rPr>
          <w:szCs w:val="22"/>
        </w:rPr>
      </w:pPr>
    </w:p>
    <w:p w14:paraId="04C63FBE" w14:textId="3BEA51C3" w:rsidR="00E128B3" w:rsidRPr="00D924F4" w:rsidRDefault="00E128B3" w:rsidP="002B1EAD">
      <w:pPr>
        <w:spacing w:after="160" w:line="259" w:lineRule="auto"/>
        <w:jc w:val="both"/>
        <w:rPr>
          <w:rFonts w:eastAsiaTheme="minorHAnsi"/>
          <w:szCs w:val="22"/>
        </w:rPr>
      </w:pPr>
      <w:r w:rsidRPr="00D924F4">
        <w:rPr>
          <w:rFonts w:eastAsiaTheme="minorHAnsi"/>
          <w:szCs w:val="22"/>
        </w:rPr>
        <w:t xml:space="preserve">Interested </w:t>
      </w:r>
      <w:r w:rsidR="00B52289">
        <w:rPr>
          <w:rFonts w:eastAsiaTheme="minorHAnsi"/>
          <w:szCs w:val="22"/>
        </w:rPr>
        <w:t>p</w:t>
      </w:r>
      <w:r w:rsidRPr="00D924F4">
        <w:rPr>
          <w:rFonts w:eastAsiaTheme="minorHAnsi"/>
          <w:szCs w:val="22"/>
        </w:rPr>
        <w:t>arties have the following comments related to the Four Principles (“Principles”).  The following is intended to provide comments related to the three questions posed above in the Exposure.</w:t>
      </w:r>
    </w:p>
    <w:p w14:paraId="44881F75" w14:textId="5BFFBC78" w:rsidR="00E128B3" w:rsidRPr="00D924F4" w:rsidRDefault="00E128B3" w:rsidP="002B1EAD">
      <w:pPr>
        <w:spacing w:after="160" w:line="259" w:lineRule="auto"/>
        <w:jc w:val="both"/>
        <w:rPr>
          <w:rFonts w:eastAsiaTheme="minorHAnsi"/>
          <w:szCs w:val="22"/>
        </w:rPr>
      </w:pPr>
      <w:r w:rsidRPr="00D924F4">
        <w:rPr>
          <w:rFonts w:eastAsiaTheme="minorHAnsi"/>
          <w:szCs w:val="22"/>
        </w:rPr>
        <w:t xml:space="preserve">In summary, we would like to work closely with SAPWG in further developing the Principles and believe more simplified principles may be developed and used instead of a combination of the Principles and one of the securities law definitions (i.e., 1933 Act Definition or 1934 Act Definition).  As noted in Section 2 of our letter and as illustrated in Appendix II, we believe the many different types of debt investments should be reported as bonds and accounted for under either SSAP No. 43R or SSAP No. 26R.  That is, all would be reported for and accounted for as Schedule D bonds; however, the SSAP would determine if they qualify for regular amortized cost or modified amortized cost accounting based on whether they are ABS subject to prepayments or extensions.   </w:t>
      </w:r>
    </w:p>
    <w:p w14:paraId="352BB7A0" w14:textId="77777777" w:rsidR="00E128B3" w:rsidRPr="00D924F4" w:rsidRDefault="00E128B3" w:rsidP="002B1EAD">
      <w:pPr>
        <w:spacing w:after="160" w:line="259" w:lineRule="auto"/>
        <w:contextualSpacing/>
        <w:jc w:val="both"/>
        <w:rPr>
          <w:rFonts w:eastAsiaTheme="minorHAnsi"/>
          <w:szCs w:val="22"/>
        </w:rPr>
      </w:pPr>
      <w:r w:rsidRPr="00D924F4">
        <w:rPr>
          <w:rFonts w:eastAsiaTheme="minorHAnsi"/>
          <w:szCs w:val="22"/>
        </w:rPr>
        <w:t xml:space="preserve">The Exposure sets forth the Principles that may be leveraged to identify investments in scope of SSAP No. 43R.  Those Principles include investments issued by a bankruptcy remote entity, where the underlying collateral is self-liquidating (has contractual cash flows), the underlying collateral has more than a single obligor, and the securitization provides periodic performance reports to investors.  The Exposure proposes that although some investments may not meet either the 1933 Act Definition or the 1934 Act Definition, </w:t>
      </w:r>
      <w:r w:rsidRPr="00D924F4">
        <w:rPr>
          <w:rFonts w:eastAsiaTheme="minorHAnsi"/>
          <w:szCs w:val="22"/>
        </w:rPr>
        <w:lastRenderedPageBreak/>
        <w:t xml:space="preserve">they would still be in scope of SSAP No. 43R and be filing exempt, if they meet the Principles.  As noted above and in the following paragraph, we believe that the Principles should be revised, if they are used in a final SSAP, to include a broader range of assets with predictable cash flows.  </w:t>
      </w:r>
    </w:p>
    <w:p w14:paraId="69305315" w14:textId="77777777" w:rsidR="00E128B3" w:rsidRPr="00D924F4" w:rsidRDefault="00E128B3" w:rsidP="002B1EAD">
      <w:pPr>
        <w:spacing w:after="160" w:line="259" w:lineRule="auto"/>
        <w:ind w:left="720"/>
        <w:contextualSpacing/>
        <w:jc w:val="both"/>
        <w:rPr>
          <w:rFonts w:eastAsiaTheme="minorHAnsi"/>
          <w:szCs w:val="22"/>
        </w:rPr>
      </w:pPr>
    </w:p>
    <w:p w14:paraId="7DF04449" w14:textId="71FFB6F6" w:rsidR="00E128B3" w:rsidRPr="00D924F4" w:rsidRDefault="00E128B3" w:rsidP="002B1EAD">
      <w:pPr>
        <w:spacing w:after="160" w:line="259" w:lineRule="auto"/>
        <w:contextualSpacing/>
        <w:jc w:val="both"/>
        <w:rPr>
          <w:rFonts w:eastAsiaTheme="minorHAnsi"/>
          <w:szCs w:val="22"/>
        </w:rPr>
      </w:pPr>
      <w:r w:rsidRPr="00D924F4">
        <w:rPr>
          <w:rFonts w:eastAsiaTheme="minorHAnsi"/>
          <w:szCs w:val="22"/>
        </w:rPr>
        <w:t xml:space="preserve">Interested </w:t>
      </w:r>
      <w:r w:rsidR="00B52289">
        <w:rPr>
          <w:rFonts w:eastAsiaTheme="minorHAnsi"/>
          <w:szCs w:val="22"/>
        </w:rPr>
        <w:t>p</w:t>
      </w:r>
      <w:r w:rsidRPr="00D924F4">
        <w:rPr>
          <w:rFonts w:eastAsiaTheme="minorHAnsi"/>
          <w:szCs w:val="22"/>
        </w:rPr>
        <w:t xml:space="preserve">arties believe that the 1934 Act Definition is a better starting point than the 1933 Act Definition, although we note that some investments falling outside the 1934 Act Definition are widely and properly viewed as ABS (e.g., are considered ABS by investors and the capital markets).  We believe the use of Principles to capture and identify such investments (paragraph 33 of the Exposure) may be a reasonable approach.  However, as currently proposed, the Principles are too limiting in that they would unintentionally exclude various types of assets, which should be considered ABS, that are discussed below.  We recommend SAPWG and </w:t>
      </w:r>
      <w:r w:rsidR="00B52289">
        <w:rPr>
          <w:rFonts w:eastAsiaTheme="minorHAnsi"/>
          <w:szCs w:val="22"/>
        </w:rPr>
        <w:t>i</w:t>
      </w:r>
      <w:r w:rsidRPr="00D924F4">
        <w:rPr>
          <w:rFonts w:eastAsiaTheme="minorHAnsi"/>
          <w:szCs w:val="22"/>
        </w:rPr>
        <w:t xml:space="preserve">nterested </w:t>
      </w:r>
      <w:r w:rsidR="00B52289">
        <w:rPr>
          <w:rFonts w:eastAsiaTheme="minorHAnsi"/>
          <w:szCs w:val="22"/>
        </w:rPr>
        <w:t>p</w:t>
      </w:r>
      <w:r w:rsidRPr="00D924F4">
        <w:rPr>
          <w:rFonts w:eastAsiaTheme="minorHAnsi"/>
          <w:szCs w:val="22"/>
        </w:rPr>
        <w:t xml:space="preserve">arties work closely together to develop the appropriate Principles; however, we offer a few recommendations thus far (not necessarily all inclusive as more work is needed to appropriately define the Principles) to more closely align the Principles with the definition of an ABS as follows:        </w:t>
      </w:r>
    </w:p>
    <w:p w14:paraId="0578A7CC" w14:textId="77777777" w:rsidR="00E128B3" w:rsidRPr="00D924F4" w:rsidRDefault="00E128B3" w:rsidP="002B1EAD">
      <w:pPr>
        <w:spacing w:after="160" w:line="259" w:lineRule="auto"/>
        <w:ind w:left="1080"/>
        <w:contextualSpacing/>
        <w:jc w:val="both"/>
        <w:rPr>
          <w:rFonts w:eastAsiaTheme="minorHAnsi"/>
          <w:szCs w:val="22"/>
        </w:rPr>
      </w:pPr>
    </w:p>
    <w:p w14:paraId="00C9F995" w14:textId="2DE7B89B" w:rsidR="00E128B3" w:rsidRPr="00D924F4" w:rsidRDefault="00E128B3" w:rsidP="002B1EAD">
      <w:pPr>
        <w:numPr>
          <w:ilvl w:val="1"/>
          <w:numId w:val="15"/>
        </w:numPr>
        <w:spacing w:after="160" w:line="259" w:lineRule="auto"/>
        <w:contextualSpacing/>
        <w:jc w:val="both"/>
        <w:rPr>
          <w:rFonts w:eastAsiaTheme="minorHAnsi"/>
          <w:szCs w:val="22"/>
        </w:rPr>
      </w:pPr>
      <w:r w:rsidRPr="00D924F4">
        <w:rPr>
          <w:rFonts w:eastAsiaTheme="minorHAnsi"/>
          <w:szCs w:val="22"/>
        </w:rPr>
        <w:t xml:space="preserve">Interested </w:t>
      </w:r>
      <w:r w:rsidR="00B52289">
        <w:rPr>
          <w:rFonts w:eastAsiaTheme="minorHAnsi"/>
          <w:szCs w:val="22"/>
        </w:rPr>
        <w:t>p</w:t>
      </w:r>
      <w:r w:rsidRPr="00D924F4">
        <w:rPr>
          <w:rFonts w:eastAsiaTheme="minorHAnsi"/>
          <w:szCs w:val="22"/>
        </w:rPr>
        <w:t xml:space="preserve">arties note that both the 1933 Act Definition and the 1934 Act Definition include securities whose underlying collateral is backed by a single obligor.  As a result, </w:t>
      </w:r>
      <w:r w:rsidR="00B52289">
        <w:rPr>
          <w:rFonts w:eastAsiaTheme="minorHAnsi"/>
          <w:szCs w:val="22"/>
        </w:rPr>
        <w:t>i</w:t>
      </w:r>
      <w:r w:rsidRPr="00D924F4">
        <w:rPr>
          <w:rFonts w:eastAsiaTheme="minorHAnsi"/>
          <w:szCs w:val="22"/>
        </w:rPr>
        <w:t xml:space="preserve">nterested </w:t>
      </w:r>
      <w:r w:rsidR="00B52289">
        <w:rPr>
          <w:rFonts w:eastAsiaTheme="minorHAnsi"/>
          <w:szCs w:val="22"/>
        </w:rPr>
        <w:t>p</w:t>
      </w:r>
      <w:r w:rsidRPr="00D924F4">
        <w:rPr>
          <w:rFonts w:eastAsiaTheme="minorHAnsi"/>
          <w:szCs w:val="22"/>
        </w:rPr>
        <w:t xml:space="preserve">arties recommend the Principle requiring more than one obligor be removed to align the Principles more closely with the 1933 Act Definition and the 1934 Act Definition. Interested </w:t>
      </w:r>
      <w:r w:rsidR="00B52289">
        <w:rPr>
          <w:rFonts w:eastAsiaTheme="minorHAnsi"/>
          <w:szCs w:val="22"/>
        </w:rPr>
        <w:t>p</w:t>
      </w:r>
      <w:r w:rsidRPr="00D924F4">
        <w:rPr>
          <w:rFonts w:eastAsiaTheme="minorHAnsi"/>
          <w:szCs w:val="22"/>
        </w:rPr>
        <w:t xml:space="preserve">arties note that at least half of all commercial mortgage-backed securities (“CMBS”) issued today have underlying collateral (a commercial mortgage loan) from only a single obligor.  All of these single-asset CMBS deals are ABS that meet the 1933 Act Definition and 1934 Act Definition.  To require more than one obligor in the Principles would be inconsistent with this.  Interested </w:t>
      </w:r>
      <w:r w:rsidR="00B52289">
        <w:rPr>
          <w:rFonts w:eastAsiaTheme="minorHAnsi"/>
          <w:szCs w:val="22"/>
        </w:rPr>
        <w:t>p</w:t>
      </w:r>
      <w:r w:rsidRPr="00D924F4">
        <w:rPr>
          <w:rFonts w:eastAsiaTheme="minorHAnsi"/>
          <w:szCs w:val="22"/>
        </w:rPr>
        <w:t xml:space="preserve">arties also believe single obligor transactions in ABS markets may grow in the future (e.g., Property Assessed Clean Energy; PACE bonds).  </w:t>
      </w:r>
    </w:p>
    <w:p w14:paraId="4FE59E65" w14:textId="77777777" w:rsidR="0060657C" w:rsidRPr="00D924F4" w:rsidRDefault="0060657C" w:rsidP="002B1EAD">
      <w:pPr>
        <w:spacing w:after="160" w:line="259" w:lineRule="auto"/>
        <w:ind w:left="1080"/>
        <w:contextualSpacing/>
        <w:jc w:val="both"/>
        <w:rPr>
          <w:rFonts w:eastAsiaTheme="minorHAnsi"/>
          <w:szCs w:val="22"/>
        </w:rPr>
      </w:pPr>
    </w:p>
    <w:p w14:paraId="5F786CA5" w14:textId="695F1A7B" w:rsidR="00E128B3" w:rsidRPr="00D924F4" w:rsidRDefault="00E128B3" w:rsidP="002B1EAD">
      <w:pPr>
        <w:numPr>
          <w:ilvl w:val="1"/>
          <w:numId w:val="15"/>
        </w:numPr>
        <w:spacing w:after="160" w:line="259" w:lineRule="auto"/>
        <w:contextualSpacing/>
        <w:jc w:val="both"/>
        <w:rPr>
          <w:rFonts w:eastAsiaTheme="minorHAnsi"/>
          <w:szCs w:val="22"/>
        </w:rPr>
      </w:pPr>
      <w:r w:rsidRPr="00D924F4">
        <w:rPr>
          <w:rFonts w:eastAsiaTheme="minorHAnsi"/>
          <w:szCs w:val="22"/>
        </w:rPr>
        <w:t xml:space="preserve">The 1934 Act Definition requires that the underlying assets be self-liquidating.  Certain assets with variable future cash flows (i.e., future flow assets), such as royalties (e.g., where the cash flow generated is a function of volume and/or sales price) may be perpetual in nature and hence not self-liquidating.  Our </w:t>
      </w:r>
      <w:r w:rsidR="00B52289">
        <w:rPr>
          <w:rFonts w:eastAsiaTheme="minorHAnsi"/>
          <w:szCs w:val="22"/>
        </w:rPr>
        <w:t>i</w:t>
      </w:r>
      <w:r w:rsidRPr="00D924F4">
        <w:rPr>
          <w:rFonts w:eastAsiaTheme="minorHAnsi"/>
          <w:szCs w:val="22"/>
        </w:rPr>
        <w:t xml:space="preserve">nterested </w:t>
      </w:r>
      <w:r w:rsidR="00B52289">
        <w:rPr>
          <w:rFonts w:eastAsiaTheme="minorHAnsi"/>
          <w:szCs w:val="22"/>
        </w:rPr>
        <w:t>p</w:t>
      </w:r>
      <w:r w:rsidRPr="00D924F4">
        <w:rPr>
          <w:rFonts w:eastAsiaTheme="minorHAnsi"/>
          <w:szCs w:val="22"/>
        </w:rPr>
        <w:t xml:space="preserve">arties </w:t>
      </w:r>
      <w:r w:rsidR="00FB5031">
        <w:rPr>
          <w:rFonts w:eastAsiaTheme="minorHAnsi"/>
          <w:szCs w:val="22"/>
        </w:rPr>
        <w:t xml:space="preserve">comment </w:t>
      </w:r>
      <w:r w:rsidRPr="00D924F4">
        <w:rPr>
          <w:rFonts w:eastAsiaTheme="minorHAnsi"/>
          <w:szCs w:val="22"/>
        </w:rPr>
        <w:t xml:space="preserve">letter would recommend that these be considered ABS under SSAP No. 43R, because the capital markets consider them to be ABS, which are debt, and they are reported as debt for US GAAP.   If they are not in scope of SSAP No. 43R (e.g., no prepayment/extension risk), then they should be in the scope of SSAP No. 26R bonds.  They also provide various forms of protection (such as over collateralization ranging from 50-60%), resulting in them being debt-like.  </w:t>
      </w:r>
    </w:p>
    <w:p w14:paraId="3F12E809" w14:textId="77777777" w:rsidR="0060657C" w:rsidRPr="00D924F4" w:rsidRDefault="0060657C" w:rsidP="002B1EAD">
      <w:pPr>
        <w:spacing w:after="160" w:line="259" w:lineRule="auto"/>
        <w:contextualSpacing/>
        <w:jc w:val="both"/>
        <w:rPr>
          <w:rFonts w:eastAsiaTheme="minorHAnsi"/>
          <w:szCs w:val="22"/>
        </w:rPr>
      </w:pPr>
    </w:p>
    <w:p w14:paraId="29ECD388" w14:textId="1926EDD4" w:rsidR="00E128B3" w:rsidRPr="00D924F4" w:rsidRDefault="00E128B3" w:rsidP="002B1EAD">
      <w:pPr>
        <w:numPr>
          <w:ilvl w:val="1"/>
          <w:numId w:val="15"/>
        </w:numPr>
        <w:spacing w:after="160" w:line="259" w:lineRule="auto"/>
        <w:contextualSpacing/>
        <w:jc w:val="both"/>
        <w:rPr>
          <w:rFonts w:eastAsiaTheme="minorHAnsi"/>
          <w:szCs w:val="22"/>
        </w:rPr>
      </w:pPr>
      <w:r w:rsidRPr="00D924F4">
        <w:rPr>
          <w:rFonts w:eastAsiaTheme="minorHAnsi"/>
          <w:szCs w:val="22"/>
        </w:rPr>
        <w:t>ETCs/EETCs were not considered when the SEC defined ABS under the 1933 Act Definition or when Congress defined ABS under the 1934 Act Definition.  As a result, they d</w:t>
      </w:r>
      <w:r w:rsidR="00DA6DE1" w:rsidRPr="00D924F4">
        <w:rPr>
          <w:rFonts w:eastAsiaTheme="minorHAnsi"/>
          <w:szCs w:val="22"/>
        </w:rPr>
        <w:t>o</w:t>
      </w:r>
      <w:r w:rsidRPr="00D924F4">
        <w:rPr>
          <w:rFonts w:eastAsiaTheme="minorHAnsi"/>
          <w:szCs w:val="22"/>
        </w:rPr>
        <w:t xml:space="preserve"> not fall in scope of either Act.  Interested </w:t>
      </w:r>
      <w:r w:rsidR="00B52289">
        <w:rPr>
          <w:rFonts w:eastAsiaTheme="minorHAnsi"/>
          <w:szCs w:val="22"/>
        </w:rPr>
        <w:t>p</w:t>
      </w:r>
      <w:r w:rsidRPr="00D924F4">
        <w:rPr>
          <w:rFonts w:eastAsiaTheme="minorHAnsi"/>
          <w:szCs w:val="22"/>
        </w:rPr>
        <w:t xml:space="preserve">arties believe such investments should be reported as Schedule D bonds as discussed throughout our letter.  </w:t>
      </w:r>
    </w:p>
    <w:p w14:paraId="17E4471F" w14:textId="77777777" w:rsidR="0060657C" w:rsidRPr="00D924F4" w:rsidRDefault="0060657C" w:rsidP="002B1EAD">
      <w:pPr>
        <w:spacing w:after="160" w:line="259" w:lineRule="auto"/>
        <w:contextualSpacing/>
        <w:jc w:val="both"/>
        <w:rPr>
          <w:rFonts w:eastAsiaTheme="minorHAnsi"/>
          <w:szCs w:val="22"/>
        </w:rPr>
      </w:pPr>
    </w:p>
    <w:p w14:paraId="7D7BC253" w14:textId="4B266D8D" w:rsidR="00E128B3" w:rsidRPr="00D924F4" w:rsidRDefault="00E128B3" w:rsidP="002B1EAD">
      <w:pPr>
        <w:numPr>
          <w:ilvl w:val="1"/>
          <w:numId w:val="15"/>
        </w:numPr>
        <w:spacing w:after="160" w:line="259" w:lineRule="auto"/>
        <w:contextualSpacing/>
        <w:jc w:val="both"/>
        <w:rPr>
          <w:rFonts w:eastAsiaTheme="minorHAnsi"/>
          <w:szCs w:val="22"/>
        </w:rPr>
      </w:pPr>
      <w:r w:rsidRPr="00D924F4">
        <w:rPr>
          <w:rFonts w:eastAsiaTheme="minorHAnsi"/>
          <w:szCs w:val="22"/>
        </w:rPr>
        <w:t xml:space="preserve">Regarding debt tranches of CFOs, as mentioned in Section 2 of our letter, we believe they should be reported as Schedule D bonds and apply “regular” amortized cost accounting.    They are debt in that they have fixed return of principal, are considered debt in US GAAP, and are considered debt by investors and capital markets.  </w:t>
      </w:r>
    </w:p>
    <w:p w14:paraId="1C459291" w14:textId="77777777" w:rsidR="0060657C" w:rsidRPr="00D924F4" w:rsidRDefault="0060657C" w:rsidP="002B1EAD">
      <w:pPr>
        <w:spacing w:after="160" w:line="259" w:lineRule="auto"/>
        <w:contextualSpacing/>
        <w:jc w:val="both"/>
        <w:rPr>
          <w:rFonts w:eastAsiaTheme="minorHAnsi"/>
          <w:szCs w:val="22"/>
        </w:rPr>
      </w:pPr>
    </w:p>
    <w:p w14:paraId="0FDAD3A8" w14:textId="113557A0" w:rsidR="00E128B3" w:rsidRPr="00D924F4" w:rsidRDefault="00E128B3" w:rsidP="002B1EAD">
      <w:pPr>
        <w:numPr>
          <w:ilvl w:val="1"/>
          <w:numId w:val="15"/>
        </w:numPr>
        <w:spacing w:after="160" w:line="259" w:lineRule="auto"/>
        <w:contextualSpacing/>
        <w:jc w:val="both"/>
        <w:rPr>
          <w:rFonts w:eastAsiaTheme="minorHAnsi"/>
          <w:szCs w:val="22"/>
        </w:rPr>
      </w:pPr>
      <w:r w:rsidRPr="00D924F4">
        <w:rPr>
          <w:rFonts w:eastAsiaTheme="minorHAnsi"/>
          <w:szCs w:val="22"/>
        </w:rPr>
        <w:lastRenderedPageBreak/>
        <w:t>Both the 1933 Act Definition and the 1934 Act Definition include assets with re-leasing risk. As a result, we believe the Principles should be modified to clarify that this is permissible.  This concept is more thoroughly explored in Section 5f of our letter.</w:t>
      </w:r>
    </w:p>
    <w:p w14:paraId="466F5BDB" w14:textId="77777777" w:rsidR="0060657C" w:rsidRPr="00D924F4" w:rsidRDefault="0060657C" w:rsidP="002B1EAD">
      <w:pPr>
        <w:spacing w:after="160" w:line="259" w:lineRule="auto"/>
        <w:contextualSpacing/>
        <w:jc w:val="both"/>
        <w:rPr>
          <w:rFonts w:eastAsiaTheme="minorHAnsi"/>
          <w:szCs w:val="22"/>
        </w:rPr>
      </w:pPr>
    </w:p>
    <w:p w14:paraId="58F67DEA" w14:textId="77777777" w:rsidR="00E128B3" w:rsidRPr="00D924F4" w:rsidRDefault="00E128B3" w:rsidP="002B1EAD">
      <w:pPr>
        <w:numPr>
          <w:ilvl w:val="1"/>
          <w:numId w:val="15"/>
        </w:numPr>
        <w:spacing w:after="160" w:line="259" w:lineRule="auto"/>
        <w:contextualSpacing/>
        <w:jc w:val="both"/>
        <w:rPr>
          <w:szCs w:val="22"/>
        </w:rPr>
      </w:pPr>
      <w:r w:rsidRPr="00D924F4">
        <w:rPr>
          <w:rFonts w:eastAsiaTheme="minorHAnsi"/>
          <w:szCs w:val="22"/>
        </w:rPr>
        <w:t xml:space="preserve">Regarding residual asset risk, also more thoroughly explored in Section 5f or our letter, we believe this should not be relevant when determining the classification of bonds.  </w:t>
      </w:r>
    </w:p>
    <w:p w14:paraId="174D1FB6" w14:textId="310029F9" w:rsidR="00E128B3" w:rsidRPr="00D924F4" w:rsidRDefault="00E128B3" w:rsidP="002B1EAD">
      <w:pPr>
        <w:jc w:val="both"/>
        <w:rPr>
          <w:szCs w:val="22"/>
        </w:rPr>
      </w:pPr>
    </w:p>
    <w:p w14:paraId="607AA373" w14:textId="5BF578F4" w:rsidR="00B242E6" w:rsidRPr="00D924F4" w:rsidRDefault="00B242E6" w:rsidP="005D1C23">
      <w:pPr>
        <w:spacing w:after="160" w:line="259" w:lineRule="auto"/>
        <w:rPr>
          <w:szCs w:val="22"/>
        </w:rPr>
      </w:pPr>
      <w:r w:rsidRPr="00D924F4">
        <w:rPr>
          <w:szCs w:val="22"/>
        </w:rPr>
        <w:br w:type="page"/>
      </w:r>
    </w:p>
    <w:p w14:paraId="47ECDF0B" w14:textId="6DA038FF" w:rsidR="00201288" w:rsidRPr="00D924F4" w:rsidRDefault="00201288" w:rsidP="002B1EAD">
      <w:pPr>
        <w:jc w:val="both"/>
        <w:rPr>
          <w:b/>
          <w:szCs w:val="22"/>
          <w:u w:val="single"/>
        </w:rPr>
      </w:pPr>
      <w:r w:rsidRPr="00D924F4">
        <w:rPr>
          <w:b/>
          <w:szCs w:val="22"/>
          <w:u w:val="single"/>
        </w:rPr>
        <w:lastRenderedPageBreak/>
        <w:t>Section 5</w:t>
      </w:r>
      <w:r w:rsidR="00C6350A" w:rsidRPr="00D924F4">
        <w:rPr>
          <w:b/>
          <w:szCs w:val="22"/>
          <w:u w:val="single"/>
        </w:rPr>
        <w:t xml:space="preserve"> – </w:t>
      </w:r>
      <w:bookmarkStart w:id="11" w:name="_Hlk46930196"/>
      <w:r w:rsidR="00C6350A" w:rsidRPr="00D924F4">
        <w:rPr>
          <w:b/>
          <w:szCs w:val="22"/>
          <w:u w:val="single"/>
        </w:rPr>
        <w:t>Accounting and Reporting for Non-CFR ABS and Non-Traditional Securitizations</w:t>
      </w:r>
      <w:bookmarkEnd w:id="11"/>
    </w:p>
    <w:p w14:paraId="16690AD5" w14:textId="77777777" w:rsidR="00411FEA" w:rsidRPr="00D924F4" w:rsidRDefault="00411FEA" w:rsidP="002B1EAD">
      <w:pPr>
        <w:jc w:val="bot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201288" w:rsidRPr="00D924F4" w14:paraId="388BD6DF" w14:textId="77777777" w:rsidTr="00985338">
        <w:tc>
          <w:tcPr>
            <w:tcW w:w="8990" w:type="dxa"/>
          </w:tcPr>
          <w:p w14:paraId="56D15A8E"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Overview of Key Concepts: </w:t>
            </w:r>
          </w:p>
        </w:tc>
      </w:tr>
      <w:tr w:rsidR="00201288" w:rsidRPr="00D924F4" w14:paraId="26AF0D6E" w14:textId="77777777" w:rsidTr="00985338">
        <w:tc>
          <w:tcPr>
            <w:tcW w:w="8990" w:type="dxa"/>
          </w:tcPr>
          <w:p w14:paraId="67BF0852" w14:textId="77777777" w:rsidR="00201288" w:rsidRPr="00D924F4" w:rsidRDefault="00201288" w:rsidP="002B1EAD">
            <w:pPr>
              <w:pStyle w:val="ListContinue"/>
              <w:numPr>
                <w:ilvl w:val="0"/>
                <w:numId w:val="2"/>
              </w:numPr>
              <w:rPr>
                <w:sz w:val="22"/>
                <w:szCs w:val="22"/>
              </w:rPr>
            </w:pPr>
            <w:r w:rsidRPr="00D924F4">
              <w:rPr>
                <w:sz w:val="22"/>
                <w:szCs w:val="22"/>
              </w:rPr>
              <w:t xml:space="preserve">This section attempts to identify the types of structures that have been reported in scope of SSAP No. 43R. </w:t>
            </w:r>
          </w:p>
        </w:tc>
      </w:tr>
      <w:tr w:rsidR="00201288" w:rsidRPr="00D924F4" w14:paraId="199378AA" w14:textId="77777777" w:rsidTr="00985338">
        <w:tc>
          <w:tcPr>
            <w:tcW w:w="8990" w:type="dxa"/>
          </w:tcPr>
          <w:p w14:paraId="24A2EE0F"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Questions / Comments: </w:t>
            </w:r>
          </w:p>
        </w:tc>
      </w:tr>
      <w:tr w:rsidR="00201288" w:rsidRPr="00D924F4" w14:paraId="1E9EC4FF" w14:textId="77777777" w:rsidTr="00985338">
        <w:tc>
          <w:tcPr>
            <w:tcW w:w="8990" w:type="dxa"/>
          </w:tcPr>
          <w:p w14:paraId="4988C29C" w14:textId="77777777" w:rsidR="00201288" w:rsidRPr="00D924F4" w:rsidRDefault="00201288" w:rsidP="002B1EAD">
            <w:pPr>
              <w:pStyle w:val="ListContinue"/>
              <w:numPr>
                <w:ilvl w:val="0"/>
                <w:numId w:val="3"/>
              </w:numPr>
              <w:rPr>
                <w:sz w:val="22"/>
                <w:szCs w:val="22"/>
              </w:rPr>
            </w:pPr>
            <w:r w:rsidRPr="00D924F4">
              <w:rPr>
                <w:sz w:val="22"/>
                <w:szCs w:val="22"/>
              </w:rPr>
              <w:t>Are there additional structures that are not captured in the noted categories?</w:t>
            </w:r>
          </w:p>
        </w:tc>
      </w:tr>
    </w:tbl>
    <w:p w14:paraId="4BF83ACF" w14:textId="77777777" w:rsidR="00201288" w:rsidRPr="00D924F4" w:rsidRDefault="00201288" w:rsidP="002B1EAD">
      <w:pPr>
        <w:jc w:val="both"/>
        <w:rPr>
          <w:szCs w:val="22"/>
        </w:rPr>
      </w:pPr>
    </w:p>
    <w:p w14:paraId="0CF4FEAE" w14:textId="60917D7A" w:rsidR="00B85F1C" w:rsidRPr="00D924F4" w:rsidRDefault="003F4A26" w:rsidP="002B1EAD">
      <w:pPr>
        <w:jc w:val="both"/>
        <w:rPr>
          <w:szCs w:val="22"/>
        </w:rPr>
      </w:pPr>
      <w:r w:rsidRPr="00D924F4">
        <w:rPr>
          <w:szCs w:val="22"/>
        </w:rPr>
        <w:t xml:space="preserve">As noted in section 2, </w:t>
      </w:r>
      <w:r w:rsidR="00B52289">
        <w:rPr>
          <w:szCs w:val="22"/>
        </w:rPr>
        <w:t>i</w:t>
      </w:r>
      <w:r w:rsidR="00E43091" w:rsidRPr="00D924F4">
        <w:rPr>
          <w:szCs w:val="22"/>
        </w:rPr>
        <w:t xml:space="preserve">nterested </w:t>
      </w:r>
      <w:r w:rsidR="00B52289">
        <w:rPr>
          <w:szCs w:val="22"/>
        </w:rPr>
        <w:t>p</w:t>
      </w:r>
      <w:r w:rsidR="00E43091" w:rsidRPr="00D924F4">
        <w:rPr>
          <w:szCs w:val="22"/>
        </w:rPr>
        <w:t xml:space="preserve">arties </w:t>
      </w:r>
      <w:r w:rsidR="006249DA" w:rsidRPr="00D924F4">
        <w:rPr>
          <w:szCs w:val="22"/>
        </w:rPr>
        <w:t>are</w:t>
      </w:r>
      <w:r w:rsidR="00E43091" w:rsidRPr="00D924F4">
        <w:rPr>
          <w:szCs w:val="22"/>
        </w:rPr>
        <w:t xml:space="preserve"> currently in the process of identifying securities issued from a</w:t>
      </w:r>
      <w:r w:rsidR="00C410EB" w:rsidRPr="00D924F4">
        <w:rPr>
          <w:szCs w:val="22"/>
        </w:rPr>
        <w:t xml:space="preserve"> Trust or SPV</w:t>
      </w:r>
      <w:r w:rsidR="00E43091" w:rsidRPr="00D924F4">
        <w:rPr>
          <w:szCs w:val="22"/>
        </w:rPr>
        <w:t xml:space="preserve"> that do not meet the definition of either the 1933 A</w:t>
      </w:r>
      <w:r w:rsidR="006D5D2E" w:rsidRPr="00D924F4">
        <w:rPr>
          <w:szCs w:val="22"/>
        </w:rPr>
        <w:t>ct</w:t>
      </w:r>
      <w:r w:rsidR="00E43091" w:rsidRPr="00D924F4">
        <w:rPr>
          <w:szCs w:val="22"/>
        </w:rPr>
        <w:t xml:space="preserve"> Definition or 1934 Act Definition.  This is a</w:t>
      </w:r>
      <w:r w:rsidR="007915C4" w:rsidRPr="00D924F4">
        <w:rPr>
          <w:szCs w:val="22"/>
        </w:rPr>
        <w:t xml:space="preserve"> daunting</w:t>
      </w:r>
      <w:r w:rsidR="00E43091" w:rsidRPr="00D924F4">
        <w:rPr>
          <w:szCs w:val="22"/>
        </w:rPr>
        <w:t xml:space="preserve"> task as the volume of SSAP No. 43R securities that need to be analyzed i</w:t>
      </w:r>
      <w:r w:rsidR="007915C4" w:rsidRPr="00D924F4">
        <w:rPr>
          <w:szCs w:val="22"/>
        </w:rPr>
        <w:t>s substantial</w:t>
      </w:r>
      <w:r w:rsidR="00E43091" w:rsidRPr="00D924F4">
        <w:rPr>
          <w:szCs w:val="22"/>
        </w:rPr>
        <w:t xml:space="preserve">.  Further, because the </w:t>
      </w:r>
      <w:r w:rsidR="006249DA" w:rsidRPr="00D924F4">
        <w:rPr>
          <w:szCs w:val="22"/>
        </w:rPr>
        <w:t>I</w:t>
      </w:r>
      <w:r w:rsidR="00E43091" w:rsidRPr="00D924F4">
        <w:rPr>
          <w:szCs w:val="22"/>
        </w:rPr>
        <w:t xml:space="preserve">ssue </w:t>
      </w:r>
      <w:r w:rsidR="006249DA" w:rsidRPr="00D924F4">
        <w:rPr>
          <w:szCs w:val="22"/>
        </w:rPr>
        <w:t>P</w:t>
      </w:r>
      <w:r w:rsidR="00E43091" w:rsidRPr="00D924F4">
        <w:rPr>
          <w:szCs w:val="22"/>
        </w:rPr>
        <w:t>aper implies that anything issued from a</w:t>
      </w:r>
      <w:r w:rsidR="00C410EB" w:rsidRPr="00D924F4">
        <w:rPr>
          <w:szCs w:val="22"/>
        </w:rPr>
        <w:t xml:space="preserve"> Trust or SPV</w:t>
      </w:r>
      <w:r w:rsidR="00E43091" w:rsidRPr="00D924F4">
        <w:rPr>
          <w:szCs w:val="22"/>
        </w:rPr>
        <w:t xml:space="preserve"> is proposed to be within scope of SSAP No. 43</w:t>
      </w:r>
      <w:r w:rsidR="007915C4" w:rsidRPr="00D924F4">
        <w:rPr>
          <w:szCs w:val="22"/>
        </w:rPr>
        <w:t>R</w:t>
      </w:r>
      <w:r w:rsidR="00E43091" w:rsidRPr="00D924F4">
        <w:rPr>
          <w:szCs w:val="22"/>
        </w:rPr>
        <w:t>, this analysis needs</w:t>
      </w:r>
      <w:r w:rsidR="006C3F26" w:rsidRPr="00D924F4">
        <w:rPr>
          <w:szCs w:val="22"/>
        </w:rPr>
        <w:t xml:space="preserve"> </w:t>
      </w:r>
      <w:r w:rsidR="006D5D2E" w:rsidRPr="00D924F4">
        <w:rPr>
          <w:szCs w:val="22"/>
        </w:rPr>
        <w:t xml:space="preserve">to </w:t>
      </w:r>
      <w:r w:rsidR="006249DA" w:rsidRPr="00D924F4">
        <w:rPr>
          <w:szCs w:val="22"/>
        </w:rPr>
        <w:t xml:space="preserve">be </w:t>
      </w:r>
      <w:r w:rsidR="006D5D2E" w:rsidRPr="00D924F4">
        <w:rPr>
          <w:szCs w:val="22"/>
        </w:rPr>
        <w:t>extend</w:t>
      </w:r>
      <w:r w:rsidR="006249DA" w:rsidRPr="00D924F4">
        <w:rPr>
          <w:szCs w:val="22"/>
        </w:rPr>
        <w:t>ed</w:t>
      </w:r>
      <w:r w:rsidR="006D5D2E" w:rsidRPr="00D924F4">
        <w:rPr>
          <w:szCs w:val="22"/>
        </w:rPr>
        <w:t xml:space="preserve"> to a </w:t>
      </w:r>
      <w:r w:rsidR="007915C4" w:rsidRPr="00D924F4">
        <w:rPr>
          <w:szCs w:val="22"/>
        </w:rPr>
        <w:t>substantial</w:t>
      </w:r>
      <w:r w:rsidR="006D5D2E" w:rsidRPr="00D924F4">
        <w:rPr>
          <w:szCs w:val="22"/>
        </w:rPr>
        <w:t xml:space="preserve"> amount of securities currently </w:t>
      </w:r>
      <w:r w:rsidR="006249DA" w:rsidRPr="00D924F4">
        <w:rPr>
          <w:szCs w:val="22"/>
        </w:rPr>
        <w:t xml:space="preserve">accounted for </w:t>
      </w:r>
      <w:r w:rsidR="0012107B" w:rsidRPr="00D924F4">
        <w:rPr>
          <w:szCs w:val="22"/>
        </w:rPr>
        <w:t xml:space="preserve">and reported </w:t>
      </w:r>
      <w:r w:rsidR="006249DA" w:rsidRPr="00D924F4">
        <w:rPr>
          <w:szCs w:val="22"/>
        </w:rPr>
        <w:t>under</w:t>
      </w:r>
      <w:r w:rsidR="006D5D2E" w:rsidRPr="00D924F4">
        <w:rPr>
          <w:szCs w:val="22"/>
        </w:rPr>
        <w:t xml:space="preserve"> SSAP No. 26R.  </w:t>
      </w:r>
    </w:p>
    <w:p w14:paraId="2DDB06C5" w14:textId="77777777" w:rsidR="006D5D2E" w:rsidRPr="00D924F4" w:rsidRDefault="006D5D2E" w:rsidP="002B1EAD">
      <w:pPr>
        <w:jc w:val="both"/>
        <w:rPr>
          <w:szCs w:val="22"/>
        </w:rPr>
      </w:pPr>
    </w:p>
    <w:p w14:paraId="469F77D3" w14:textId="72B357AB" w:rsidR="006D5D2E" w:rsidRPr="00D924F4" w:rsidRDefault="006D5D2E" w:rsidP="002B1EAD">
      <w:pPr>
        <w:jc w:val="both"/>
        <w:rPr>
          <w:szCs w:val="22"/>
        </w:rPr>
      </w:pPr>
      <w:r w:rsidRPr="00D924F4">
        <w:rPr>
          <w:szCs w:val="22"/>
        </w:rPr>
        <w:t xml:space="preserve">Further, whether the 1933 Act Definition or 1934 Act Definition is utilized as the cornerstone of a new </w:t>
      </w:r>
      <w:r w:rsidR="00C410EB" w:rsidRPr="00D924F4">
        <w:rPr>
          <w:szCs w:val="22"/>
        </w:rPr>
        <w:t>S</w:t>
      </w:r>
      <w:r w:rsidRPr="00D924F4">
        <w:rPr>
          <w:szCs w:val="22"/>
        </w:rPr>
        <w:t xml:space="preserve">SAP </w:t>
      </w:r>
      <w:r w:rsidR="00C410EB" w:rsidRPr="00D924F4">
        <w:rPr>
          <w:szCs w:val="22"/>
        </w:rPr>
        <w:t xml:space="preserve">No. </w:t>
      </w:r>
      <w:r w:rsidRPr="00D924F4">
        <w:rPr>
          <w:szCs w:val="22"/>
        </w:rPr>
        <w:t xml:space="preserve">43R, each definition has </w:t>
      </w:r>
      <w:r w:rsidR="007915C4" w:rsidRPr="00D924F4">
        <w:rPr>
          <w:szCs w:val="22"/>
        </w:rPr>
        <w:t>hundreds</w:t>
      </w:r>
      <w:r w:rsidRPr="00D924F4">
        <w:rPr>
          <w:szCs w:val="22"/>
        </w:rPr>
        <w:t xml:space="preserve"> of pages of </w:t>
      </w:r>
      <w:r w:rsidR="0012107B" w:rsidRPr="00D924F4">
        <w:rPr>
          <w:szCs w:val="22"/>
        </w:rPr>
        <w:t xml:space="preserve">judicial </w:t>
      </w:r>
      <w:r w:rsidRPr="00D924F4">
        <w:rPr>
          <w:szCs w:val="22"/>
        </w:rPr>
        <w:t>interpretations</w:t>
      </w:r>
      <w:r w:rsidR="00856DA9" w:rsidRPr="00D924F4">
        <w:rPr>
          <w:szCs w:val="22"/>
        </w:rPr>
        <w:t xml:space="preserve">, </w:t>
      </w:r>
      <w:r w:rsidR="00635BCF" w:rsidRPr="00D924F4">
        <w:rPr>
          <w:szCs w:val="22"/>
        </w:rPr>
        <w:t>etc</w:t>
      </w:r>
      <w:r w:rsidR="00856DA9" w:rsidRPr="00D924F4">
        <w:rPr>
          <w:szCs w:val="22"/>
        </w:rPr>
        <w:t>.</w:t>
      </w:r>
      <w:r w:rsidRPr="00D924F4">
        <w:rPr>
          <w:szCs w:val="22"/>
        </w:rPr>
        <w:t xml:space="preserve"> that need to be sorted through.  With that said, </w:t>
      </w:r>
      <w:r w:rsidR="007915C4" w:rsidRPr="00D924F4">
        <w:rPr>
          <w:szCs w:val="22"/>
        </w:rPr>
        <w:t xml:space="preserve">while </w:t>
      </w:r>
      <w:r w:rsidRPr="00D924F4">
        <w:rPr>
          <w:szCs w:val="22"/>
        </w:rPr>
        <w:t>the identification of such securities i</w:t>
      </w:r>
      <w:r w:rsidR="0012107B" w:rsidRPr="00D924F4">
        <w:rPr>
          <w:szCs w:val="22"/>
        </w:rPr>
        <w:t>s discussed</w:t>
      </w:r>
      <w:r w:rsidRPr="00D924F4">
        <w:rPr>
          <w:szCs w:val="22"/>
        </w:rPr>
        <w:t xml:space="preserve"> in our response in Section 2,</w:t>
      </w:r>
      <w:r w:rsidR="00CC0C37" w:rsidRPr="00D924F4">
        <w:rPr>
          <w:szCs w:val="22"/>
        </w:rPr>
        <w:t xml:space="preserve"> </w:t>
      </w:r>
      <w:r w:rsidRPr="00D924F4">
        <w:rPr>
          <w:szCs w:val="22"/>
        </w:rPr>
        <w:t xml:space="preserve">there </w:t>
      </w:r>
      <w:r w:rsidR="0007634F" w:rsidRPr="00D924F4">
        <w:rPr>
          <w:szCs w:val="22"/>
        </w:rPr>
        <w:t>are</w:t>
      </w:r>
      <w:r w:rsidRPr="00D924F4">
        <w:rPr>
          <w:szCs w:val="22"/>
        </w:rPr>
        <w:t xml:space="preserve"> </w:t>
      </w:r>
      <w:r w:rsidR="003F4A26" w:rsidRPr="00D924F4">
        <w:rPr>
          <w:szCs w:val="22"/>
        </w:rPr>
        <w:t>often</w:t>
      </w:r>
      <w:r w:rsidRPr="00D924F4">
        <w:rPr>
          <w:szCs w:val="22"/>
        </w:rPr>
        <w:t xml:space="preserve"> differences in how companies report such securities.  For example, </w:t>
      </w:r>
      <w:r w:rsidR="003F4A26" w:rsidRPr="00D924F4">
        <w:rPr>
          <w:szCs w:val="22"/>
        </w:rPr>
        <w:t>most</w:t>
      </w:r>
      <w:r w:rsidRPr="00D924F4">
        <w:rPr>
          <w:szCs w:val="22"/>
        </w:rPr>
        <w:t xml:space="preserve"> companies report project financing securities and CFO</w:t>
      </w:r>
      <w:r w:rsidR="00CC0C37" w:rsidRPr="00D924F4">
        <w:rPr>
          <w:szCs w:val="22"/>
        </w:rPr>
        <w:t>-like securit</w:t>
      </w:r>
      <w:r w:rsidR="003F4A26" w:rsidRPr="00D924F4">
        <w:rPr>
          <w:szCs w:val="22"/>
        </w:rPr>
        <w:t>ies under</w:t>
      </w:r>
      <w:r w:rsidRPr="00D924F4">
        <w:rPr>
          <w:szCs w:val="22"/>
        </w:rPr>
        <w:t xml:space="preserve"> </w:t>
      </w:r>
      <w:r w:rsidR="003F4A26" w:rsidRPr="00D924F4">
        <w:rPr>
          <w:szCs w:val="22"/>
        </w:rPr>
        <w:t>S</w:t>
      </w:r>
      <w:r w:rsidRPr="00D924F4">
        <w:rPr>
          <w:szCs w:val="22"/>
        </w:rPr>
        <w:t xml:space="preserve">SAP </w:t>
      </w:r>
      <w:r w:rsidR="003F4A26" w:rsidRPr="00D924F4">
        <w:rPr>
          <w:szCs w:val="22"/>
        </w:rPr>
        <w:t xml:space="preserve">No. </w:t>
      </w:r>
      <w:r w:rsidRPr="00D924F4">
        <w:rPr>
          <w:szCs w:val="22"/>
        </w:rPr>
        <w:t xml:space="preserve">26R </w:t>
      </w:r>
      <w:r w:rsidR="003F4A26" w:rsidRPr="00D924F4">
        <w:rPr>
          <w:szCs w:val="22"/>
        </w:rPr>
        <w:t>while</w:t>
      </w:r>
      <w:r w:rsidRPr="00D924F4">
        <w:rPr>
          <w:szCs w:val="22"/>
        </w:rPr>
        <w:t xml:space="preserve"> some report </w:t>
      </w:r>
      <w:r w:rsidR="003F4A26" w:rsidRPr="00D924F4">
        <w:rPr>
          <w:szCs w:val="22"/>
        </w:rPr>
        <w:t>under</w:t>
      </w:r>
      <w:r w:rsidRPr="00D924F4">
        <w:rPr>
          <w:szCs w:val="22"/>
        </w:rPr>
        <w:t xml:space="preserve"> </w:t>
      </w:r>
      <w:r w:rsidR="00CB7DC6" w:rsidRPr="00D924F4">
        <w:rPr>
          <w:szCs w:val="22"/>
        </w:rPr>
        <w:t>S</w:t>
      </w:r>
      <w:r w:rsidRPr="00D924F4">
        <w:rPr>
          <w:szCs w:val="22"/>
        </w:rPr>
        <w:t xml:space="preserve">SAP </w:t>
      </w:r>
      <w:r w:rsidR="004C7B7E" w:rsidRPr="00D924F4">
        <w:rPr>
          <w:szCs w:val="22"/>
        </w:rPr>
        <w:t xml:space="preserve">No. </w:t>
      </w:r>
      <w:r w:rsidRPr="00D924F4">
        <w:rPr>
          <w:szCs w:val="22"/>
        </w:rPr>
        <w:t>43R.</w:t>
      </w:r>
      <w:r w:rsidR="00137CE1" w:rsidRPr="00D924F4">
        <w:rPr>
          <w:szCs w:val="22"/>
        </w:rPr>
        <w:t xml:space="preserve">  </w:t>
      </w:r>
    </w:p>
    <w:p w14:paraId="14A20450" w14:textId="77777777" w:rsidR="006D5D2E" w:rsidRPr="00D924F4" w:rsidRDefault="006D5D2E" w:rsidP="002B1EAD">
      <w:pPr>
        <w:jc w:val="both"/>
        <w:rPr>
          <w:szCs w:val="22"/>
        </w:rPr>
      </w:pPr>
    </w:p>
    <w:p w14:paraId="3E676CD0" w14:textId="57083070" w:rsidR="00013D44" w:rsidRPr="00D924F4" w:rsidRDefault="00013D44" w:rsidP="002B1EAD">
      <w:pPr>
        <w:pStyle w:val="Default"/>
        <w:jc w:val="both"/>
        <w:rPr>
          <w:sz w:val="22"/>
          <w:szCs w:val="22"/>
        </w:rPr>
      </w:pPr>
      <w:r w:rsidRPr="00D924F4">
        <w:rPr>
          <w:sz w:val="22"/>
          <w:szCs w:val="22"/>
        </w:rPr>
        <w:t xml:space="preserve">Quite possibly, the most important part of the </w:t>
      </w:r>
      <w:r w:rsidR="00B52289">
        <w:rPr>
          <w:sz w:val="22"/>
          <w:szCs w:val="22"/>
        </w:rPr>
        <w:t>i</w:t>
      </w:r>
      <w:r w:rsidRPr="00D924F4">
        <w:rPr>
          <w:sz w:val="22"/>
          <w:szCs w:val="22"/>
        </w:rPr>
        <w:t xml:space="preserve">nterested </w:t>
      </w:r>
      <w:r w:rsidR="00B52289">
        <w:rPr>
          <w:sz w:val="22"/>
          <w:szCs w:val="22"/>
        </w:rPr>
        <w:t>p</w:t>
      </w:r>
      <w:r w:rsidRPr="00D924F4">
        <w:rPr>
          <w:sz w:val="22"/>
          <w:szCs w:val="22"/>
        </w:rPr>
        <w:t xml:space="preserve">arties’ response to the Exposure, is the Appendix II included at the end of our letter as well as discussed in section 2 of this letter.  Appendix II highlights a preliminary list of securities (e.g., any security issued from a Trust </w:t>
      </w:r>
      <w:r w:rsidRPr="00D924F4">
        <w:rPr>
          <w:color w:val="auto"/>
          <w:sz w:val="22"/>
          <w:szCs w:val="22"/>
        </w:rPr>
        <w:t xml:space="preserve">or SPV, </w:t>
      </w:r>
      <w:r w:rsidRPr="00D924F4">
        <w:rPr>
          <w:sz w:val="22"/>
          <w:szCs w:val="22"/>
        </w:rPr>
        <w:t xml:space="preserve">inclusive of existing SSAP No. 26R securities) </w:t>
      </w:r>
      <w:r w:rsidR="00635BCF" w:rsidRPr="00D924F4">
        <w:rPr>
          <w:sz w:val="22"/>
          <w:szCs w:val="22"/>
        </w:rPr>
        <w:t>many of which</w:t>
      </w:r>
      <w:r w:rsidRPr="00D924F4">
        <w:rPr>
          <w:sz w:val="22"/>
          <w:szCs w:val="22"/>
        </w:rPr>
        <w:t xml:space="preserve"> </w:t>
      </w:r>
      <w:r w:rsidR="00B52289">
        <w:rPr>
          <w:sz w:val="22"/>
          <w:szCs w:val="22"/>
        </w:rPr>
        <w:t>i</w:t>
      </w:r>
      <w:r w:rsidRPr="00D924F4">
        <w:rPr>
          <w:sz w:val="22"/>
          <w:szCs w:val="22"/>
        </w:rPr>
        <w:t xml:space="preserve">nterested </w:t>
      </w:r>
      <w:r w:rsidR="00B52289">
        <w:rPr>
          <w:sz w:val="22"/>
          <w:szCs w:val="22"/>
        </w:rPr>
        <w:t>p</w:t>
      </w:r>
      <w:r w:rsidRPr="00D924F4">
        <w:rPr>
          <w:sz w:val="22"/>
          <w:szCs w:val="22"/>
        </w:rPr>
        <w:t xml:space="preserve">arties do not believe meet the scope of </w:t>
      </w:r>
      <w:r w:rsidRPr="00D924F4">
        <w:rPr>
          <w:color w:val="auto"/>
          <w:sz w:val="22"/>
          <w:szCs w:val="22"/>
        </w:rPr>
        <w:t xml:space="preserve">either the 1933 Act Definition or the </w:t>
      </w:r>
      <w:r w:rsidRPr="00D924F4">
        <w:rPr>
          <w:sz w:val="22"/>
          <w:szCs w:val="22"/>
        </w:rPr>
        <w:t xml:space="preserve">1934 Act Definition.  It is important to note that this is only an initial attempt at identifying securities by </w:t>
      </w:r>
      <w:r w:rsidR="00B52289">
        <w:rPr>
          <w:sz w:val="22"/>
          <w:szCs w:val="22"/>
        </w:rPr>
        <w:t>i</w:t>
      </w:r>
      <w:r w:rsidRPr="00D924F4">
        <w:rPr>
          <w:sz w:val="22"/>
          <w:szCs w:val="22"/>
        </w:rPr>
        <w:t xml:space="preserve">nterested </w:t>
      </w:r>
      <w:r w:rsidR="00B52289">
        <w:rPr>
          <w:sz w:val="22"/>
          <w:szCs w:val="22"/>
        </w:rPr>
        <w:t>p</w:t>
      </w:r>
      <w:r w:rsidRPr="00D924F4">
        <w:rPr>
          <w:sz w:val="22"/>
          <w:szCs w:val="22"/>
        </w:rPr>
        <w:t>arties after a deep dive into insurers’ investment portfolios.  As this was a very significant effort, it illustrates how complex, time-consuming, and difficult it is to evaluate investments issued by a Trust or SPV to determine if they meet the 1933 Act Definition or the 1934 Act Definition.  Much of the analysis involved an individual asset-by-asset assessment that took a significant amount of time for insurers to perform.  Many more hours of analysis would be required to identify all investments issued by a Trust or SPV to determine classification in accordance with the Exposure.</w:t>
      </w:r>
      <w:r w:rsidR="00635BCF" w:rsidRPr="00D924F4">
        <w:rPr>
          <w:sz w:val="22"/>
          <w:szCs w:val="22"/>
        </w:rPr>
        <w:t xml:space="preserve">  Even after </w:t>
      </w:r>
      <w:r w:rsidR="009153D1">
        <w:rPr>
          <w:sz w:val="22"/>
          <w:szCs w:val="22"/>
        </w:rPr>
        <w:t>i</w:t>
      </w:r>
      <w:r w:rsidR="00635BCF" w:rsidRPr="00D924F4">
        <w:rPr>
          <w:sz w:val="22"/>
          <w:szCs w:val="22"/>
        </w:rPr>
        <w:t xml:space="preserve">nterested </w:t>
      </w:r>
      <w:r w:rsidR="009153D1">
        <w:rPr>
          <w:sz w:val="22"/>
          <w:szCs w:val="22"/>
        </w:rPr>
        <w:t>p</w:t>
      </w:r>
      <w:r w:rsidR="00635BCF" w:rsidRPr="00D924F4">
        <w:rPr>
          <w:sz w:val="22"/>
          <w:szCs w:val="22"/>
        </w:rPr>
        <w:t>arties’ efforts, there is still significant uncertainty about what asset classes qualify, and often the answer is “it depends.”</w:t>
      </w:r>
      <w:r w:rsidRPr="00D924F4">
        <w:rPr>
          <w:sz w:val="22"/>
          <w:szCs w:val="22"/>
        </w:rPr>
        <w:t xml:space="preserve">  </w:t>
      </w:r>
    </w:p>
    <w:p w14:paraId="6E3E3B51" w14:textId="77777777" w:rsidR="00013D44" w:rsidRPr="00D924F4" w:rsidRDefault="00013D44" w:rsidP="002B1EAD">
      <w:pPr>
        <w:pStyle w:val="Default"/>
        <w:jc w:val="both"/>
        <w:rPr>
          <w:sz w:val="22"/>
          <w:szCs w:val="22"/>
        </w:rPr>
      </w:pPr>
    </w:p>
    <w:p w14:paraId="2FCFAB7A" w14:textId="413D65D9" w:rsidR="00185DA0" w:rsidRPr="00D924F4" w:rsidRDefault="003C7CD1" w:rsidP="002B1EAD">
      <w:pPr>
        <w:pStyle w:val="Default"/>
        <w:jc w:val="both"/>
        <w:rPr>
          <w:sz w:val="22"/>
          <w:szCs w:val="22"/>
        </w:rPr>
      </w:pPr>
      <w:r w:rsidRPr="00D924F4">
        <w:rPr>
          <w:sz w:val="22"/>
          <w:szCs w:val="22"/>
        </w:rPr>
        <w:t xml:space="preserve">In order to determine appropriate principles for ABS beyond those included within these definitions, it is imperative that many issues be addressed before attempting to develop principles to capture within scope any securities issued from a Trust or SPV.  </w:t>
      </w:r>
      <w:r w:rsidR="00787724" w:rsidRPr="00D924F4">
        <w:rPr>
          <w:sz w:val="22"/>
          <w:szCs w:val="22"/>
        </w:rPr>
        <w:t xml:space="preserve">These issues and the necessary steps are summarized at the beginning of </w:t>
      </w:r>
      <w:r w:rsidR="00013D44" w:rsidRPr="00D924F4">
        <w:rPr>
          <w:sz w:val="22"/>
          <w:szCs w:val="22"/>
        </w:rPr>
        <w:t>this</w:t>
      </w:r>
      <w:r w:rsidR="00787724" w:rsidRPr="00D924F4">
        <w:rPr>
          <w:sz w:val="22"/>
          <w:szCs w:val="22"/>
        </w:rPr>
        <w:t xml:space="preserve"> letter. </w:t>
      </w:r>
    </w:p>
    <w:p w14:paraId="20EAA029" w14:textId="77777777" w:rsidR="00787724" w:rsidRPr="00D924F4" w:rsidRDefault="00787724" w:rsidP="002B1EAD">
      <w:pPr>
        <w:pStyle w:val="Default"/>
        <w:jc w:val="both"/>
        <w:rPr>
          <w:sz w:val="22"/>
          <w:szCs w:val="22"/>
        </w:rPr>
      </w:pPr>
    </w:p>
    <w:p w14:paraId="1444A2A3" w14:textId="1EE057C3" w:rsidR="00787724" w:rsidRPr="00D924F4" w:rsidRDefault="00C369FA" w:rsidP="002B1EAD">
      <w:pPr>
        <w:jc w:val="both"/>
        <w:rPr>
          <w:szCs w:val="22"/>
        </w:rPr>
      </w:pPr>
      <w:bookmarkStart w:id="12" w:name="_Hlk43027326"/>
      <w:r w:rsidRPr="00D924F4">
        <w:rPr>
          <w:szCs w:val="22"/>
        </w:rPr>
        <w:t>With respect to using any SEC definition as a cornerstone, two other issues will need to be addressed.</w:t>
      </w:r>
      <w:bookmarkEnd w:id="12"/>
    </w:p>
    <w:p w14:paraId="281FFB11" w14:textId="644D6AE4" w:rsidR="00787724" w:rsidRPr="00D924F4" w:rsidRDefault="00787724" w:rsidP="002B1EAD">
      <w:pPr>
        <w:jc w:val="both"/>
        <w:rPr>
          <w:szCs w:val="22"/>
        </w:rPr>
      </w:pPr>
    </w:p>
    <w:p w14:paraId="766102D2" w14:textId="4ACAACAB" w:rsidR="00D432A0" w:rsidRPr="00D924F4" w:rsidRDefault="00D432A0" w:rsidP="002B1EAD">
      <w:pPr>
        <w:jc w:val="both"/>
        <w:rPr>
          <w:szCs w:val="22"/>
        </w:rPr>
      </w:pPr>
      <w:r w:rsidRPr="00D924F4">
        <w:rPr>
          <w:szCs w:val="22"/>
        </w:rPr>
        <w:t>First, does the definition used incorporate both existing and future SEC interpretations as to whether a security-type meets the definition?  Without incorporating existing and future interpretations, additional clarification would be needed for statutory accounting purposes</w:t>
      </w:r>
      <w:r w:rsidR="00E715C9" w:rsidRPr="00D924F4">
        <w:rPr>
          <w:szCs w:val="22"/>
        </w:rPr>
        <w:t>, even if further principles are developed</w:t>
      </w:r>
      <w:r w:rsidRPr="00D924F4">
        <w:rPr>
          <w:szCs w:val="22"/>
        </w:rPr>
        <w:t xml:space="preserve">. Regulators and industry would otherwise be left with significant uncertainty as to scope.  At a minimum, </w:t>
      </w:r>
      <w:r w:rsidRPr="00D924F4">
        <w:rPr>
          <w:szCs w:val="22"/>
        </w:rPr>
        <w:lastRenderedPageBreak/>
        <w:t>the NAIC would need to develop similar interpretative guidance which would likely be both voluminous and require continual update to keep pace with market evolution.</w:t>
      </w:r>
    </w:p>
    <w:p w14:paraId="02B62FA6" w14:textId="77777777" w:rsidR="00D432A0" w:rsidRPr="00D924F4" w:rsidRDefault="00D432A0" w:rsidP="002B1EAD">
      <w:pPr>
        <w:jc w:val="both"/>
        <w:rPr>
          <w:szCs w:val="22"/>
        </w:rPr>
      </w:pPr>
    </w:p>
    <w:p w14:paraId="090A9774" w14:textId="3FFBA91F" w:rsidR="00D432A0" w:rsidRPr="00D924F4" w:rsidRDefault="00D432A0" w:rsidP="002B1EAD">
      <w:pPr>
        <w:jc w:val="both"/>
        <w:rPr>
          <w:szCs w:val="22"/>
        </w:rPr>
      </w:pPr>
      <w:r w:rsidRPr="00D924F4">
        <w:rPr>
          <w:szCs w:val="22"/>
        </w:rPr>
        <w:t xml:space="preserve">Second, the 1934 Act Definition, by its design, encompasses both registered and unregistered securities.   The 1933 Act Definition is technically for securities that are registered with the SEC.  Many 144A securities or private placement debt securities would meet this definition, but are not registered with the SEC.  Therefore, any such scope utilizing the 1933 Act Definition, would need to ensure this distinction is made; that is, any security, whether registered with the SEC or not, is within the scope of SSAP No. 43R if it meets this definition.  However, </w:t>
      </w:r>
      <w:r w:rsidR="009153D1">
        <w:rPr>
          <w:szCs w:val="22"/>
        </w:rPr>
        <w:t>i</w:t>
      </w:r>
      <w:r w:rsidRPr="00D924F4">
        <w:rPr>
          <w:szCs w:val="22"/>
        </w:rPr>
        <w:t xml:space="preserve">nterested </w:t>
      </w:r>
      <w:r w:rsidR="009153D1">
        <w:rPr>
          <w:szCs w:val="22"/>
        </w:rPr>
        <w:t>p</w:t>
      </w:r>
      <w:r w:rsidRPr="00D924F4">
        <w:rPr>
          <w:szCs w:val="22"/>
        </w:rPr>
        <w:t>arties reiterate that the 1934 Act Definition is more appropriate for statutory accounting if a SEC cornerstone is to be adopted.</w:t>
      </w:r>
    </w:p>
    <w:p w14:paraId="53B4F244" w14:textId="732DFE95" w:rsidR="0007634F" w:rsidRPr="00D924F4" w:rsidRDefault="00B242E6" w:rsidP="005D1C23">
      <w:pPr>
        <w:spacing w:after="160" w:line="259" w:lineRule="auto"/>
        <w:rPr>
          <w:rFonts w:eastAsiaTheme="minorHAnsi"/>
          <w:color w:val="000000"/>
          <w:szCs w:val="22"/>
        </w:rPr>
      </w:pPr>
      <w:r w:rsidRPr="00D924F4">
        <w:rPr>
          <w:szCs w:val="22"/>
        </w:rPr>
        <w:br w:type="page"/>
      </w:r>
    </w:p>
    <w:p w14:paraId="09470740" w14:textId="287CA5D5" w:rsidR="00201288" w:rsidRPr="00D924F4" w:rsidRDefault="00201288" w:rsidP="002B1EAD">
      <w:pPr>
        <w:jc w:val="both"/>
        <w:rPr>
          <w:b/>
          <w:szCs w:val="22"/>
          <w:u w:val="single"/>
        </w:rPr>
      </w:pPr>
      <w:r w:rsidRPr="00D924F4">
        <w:rPr>
          <w:b/>
          <w:szCs w:val="22"/>
          <w:u w:val="single"/>
        </w:rPr>
        <w:lastRenderedPageBreak/>
        <w:t xml:space="preserve">Section </w:t>
      </w:r>
      <w:r w:rsidR="00B15184" w:rsidRPr="00D924F4">
        <w:rPr>
          <w:b/>
          <w:szCs w:val="22"/>
          <w:u w:val="single"/>
        </w:rPr>
        <w:t>5a</w:t>
      </w:r>
      <w:r w:rsidR="00C6350A" w:rsidRPr="00D924F4">
        <w:rPr>
          <w:b/>
          <w:szCs w:val="22"/>
          <w:u w:val="single"/>
        </w:rPr>
        <w:t xml:space="preserve"> – Accounting and Reporting for Non-CFR ABS and Non-Traditional Securitizations – One Underlying Obligor</w:t>
      </w:r>
    </w:p>
    <w:p w14:paraId="17F118EC" w14:textId="77777777" w:rsidR="00411FEA" w:rsidRPr="00D924F4" w:rsidRDefault="00411FEA" w:rsidP="002B1EAD">
      <w:pPr>
        <w:jc w:val="bot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201288" w:rsidRPr="00D924F4" w14:paraId="545F2865" w14:textId="77777777" w:rsidTr="00985338">
        <w:tc>
          <w:tcPr>
            <w:tcW w:w="8990" w:type="dxa"/>
          </w:tcPr>
          <w:p w14:paraId="1755DF2B"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Overview of Key Concepts: </w:t>
            </w:r>
          </w:p>
        </w:tc>
      </w:tr>
      <w:tr w:rsidR="00201288" w:rsidRPr="00D924F4" w14:paraId="167D7BC7" w14:textId="77777777" w:rsidTr="00985338">
        <w:tc>
          <w:tcPr>
            <w:tcW w:w="8990" w:type="dxa"/>
          </w:tcPr>
          <w:p w14:paraId="619D983C" w14:textId="77777777" w:rsidR="00201288" w:rsidRPr="00D924F4" w:rsidRDefault="00201288" w:rsidP="002B1EAD">
            <w:pPr>
              <w:pStyle w:val="ListContinue"/>
              <w:numPr>
                <w:ilvl w:val="0"/>
                <w:numId w:val="2"/>
              </w:numPr>
              <w:rPr>
                <w:sz w:val="22"/>
                <w:szCs w:val="22"/>
              </w:rPr>
            </w:pPr>
            <w:r w:rsidRPr="00D924F4">
              <w:rPr>
                <w:sz w:val="22"/>
                <w:szCs w:val="22"/>
              </w:rPr>
              <w:t xml:space="preserve">This section addresses items that are issued through a trust / SPV but that are collateralized by a single obligor. </w:t>
            </w:r>
          </w:p>
          <w:p w14:paraId="75E62510" w14:textId="77777777" w:rsidR="00201288" w:rsidRPr="00D924F4" w:rsidRDefault="00201288" w:rsidP="002B1EAD">
            <w:pPr>
              <w:pStyle w:val="ListContinue"/>
              <w:numPr>
                <w:ilvl w:val="0"/>
                <w:numId w:val="2"/>
              </w:numPr>
              <w:rPr>
                <w:sz w:val="22"/>
                <w:szCs w:val="22"/>
              </w:rPr>
            </w:pPr>
            <w:r w:rsidRPr="00D924F4">
              <w:rPr>
                <w:sz w:val="22"/>
                <w:szCs w:val="22"/>
              </w:rPr>
              <w:t>If the underlying investment held in trust would qualify as a bond if held directly, the proposed guidance would retain historical accounting and reporting guidance.</w:t>
            </w:r>
          </w:p>
          <w:p w14:paraId="1928CCE7" w14:textId="77777777" w:rsidR="00201288" w:rsidRPr="00D924F4" w:rsidRDefault="00201288" w:rsidP="002B1EAD">
            <w:pPr>
              <w:pStyle w:val="ListContinue"/>
              <w:numPr>
                <w:ilvl w:val="0"/>
                <w:numId w:val="2"/>
              </w:numPr>
              <w:rPr>
                <w:sz w:val="22"/>
                <w:szCs w:val="22"/>
              </w:rPr>
            </w:pPr>
            <w:r w:rsidRPr="00D924F4">
              <w:rPr>
                <w:sz w:val="22"/>
                <w:szCs w:val="22"/>
              </w:rPr>
              <w:t>If the underlying investment would not qualify as a bond if held directly, the guidance proposes to require the underlying investment to be reported under the applicable SSAP. With this guidance, use of a trust / SPV could not be used to capture non-qualifying items on the bond schedule (such as structured notes or collateral loans).</w:t>
            </w:r>
          </w:p>
          <w:p w14:paraId="4D497795" w14:textId="77777777" w:rsidR="00201288" w:rsidRPr="00D924F4" w:rsidRDefault="00201288" w:rsidP="002B1EAD">
            <w:pPr>
              <w:pStyle w:val="ListContinue"/>
              <w:numPr>
                <w:ilvl w:val="0"/>
                <w:numId w:val="2"/>
              </w:numPr>
              <w:rPr>
                <w:sz w:val="22"/>
                <w:szCs w:val="22"/>
              </w:rPr>
            </w:pPr>
            <w:r w:rsidRPr="00D924F4">
              <w:rPr>
                <w:sz w:val="22"/>
                <w:szCs w:val="22"/>
              </w:rPr>
              <w:t>Pursuant to comments received, some entities may consider investments from trusts / SPV that would be captured in Section 5c or 5d of this issues paper (impacted by performance of equity investments held in trust) as bonds. These items are not intended to be captured within this “one obligor” guidance and shall be captured in Section 5c or 5d.</w:t>
            </w:r>
          </w:p>
        </w:tc>
      </w:tr>
      <w:tr w:rsidR="00201288" w:rsidRPr="00D924F4" w14:paraId="5CDCE226" w14:textId="77777777" w:rsidTr="00985338">
        <w:tc>
          <w:tcPr>
            <w:tcW w:w="8990" w:type="dxa"/>
          </w:tcPr>
          <w:p w14:paraId="6702434E" w14:textId="77777777" w:rsidR="00201288" w:rsidRPr="00D924F4" w:rsidRDefault="00201288" w:rsidP="002B1EAD">
            <w:pPr>
              <w:pStyle w:val="ListContinue"/>
              <w:numPr>
                <w:ilvl w:val="0"/>
                <w:numId w:val="0"/>
              </w:numPr>
              <w:spacing w:after="120"/>
              <w:rPr>
                <w:b/>
                <w:bCs/>
                <w:sz w:val="22"/>
                <w:szCs w:val="22"/>
                <w:u w:val="single"/>
              </w:rPr>
            </w:pPr>
            <w:r w:rsidRPr="00D924F4">
              <w:rPr>
                <w:b/>
                <w:bCs/>
                <w:sz w:val="22"/>
                <w:szCs w:val="22"/>
                <w:u w:val="single"/>
              </w:rPr>
              <w:t xml:space="preserve">Questions / Comments: </w:t>
            </w:r>
          </w:p>
        </w:tc>
      </w:tr>
      <w:tr w:rsidR="00201288" w:rsidRPr="00D924F4" w14:paraId="155FDC1E" w14:textId="77777777" w:rsidTr="00985338">
        <w:tc>
          <w:tcPr>
            <w:tcW w:w="8990" w:type="dxa"/>
          </w:tcPr>
          <w:p w14:paraId="20DCAB57" w14:textId="77777777" w:rsidR="00201288" w:rsidRPr="00D924F4" w:rsidRDefault="00201288" w:rsidP="002B1EAD">
            <w:pPr>
              <w:pStyle w:val="ListContinue"/>
              <w:numPr>
                <w:ilvl w:val="0"/>
                <w:numId w:val="3"/>
              </w:numPr>
              <w:rPr>
                <w:sz w:val="22"/>
                <w:szCs w:val="22"/>
              </w:rPr>
            </w:pPr>
            <w:r w:rsidRPr="00D924F4">
              <w:rPr>
                <w:sz w:val="22"/>
                <w:szCs w:val="22"/>
              </w:rPr>
              <w:t xml:space="preserve">Are there comments with the proposed guidance / scope of section? </w:t>
            </w:r>
          </w:p>
          <w:p w14:paraId="4CA5F2C9" w14:textId="77777777" w:rsidR="00201288" w:rsidRPr="00D924F4" w:rsidRDefault="00201288" w:rsidP="002B1EAD">
            <w:pPr>
              <w:pStyle w:val="ListContinue"/>
              <w:numPr>
                <w:ilvl w:val="0"/>
                <w:numId w:val="3"/>
              </w:numPr>
              <w:rPr>
                <w:sz w:val="22"/>
                <w:szCs w:val="22"/>
              </w:rPr>
            </w:pPr>
            <w:r w:rsidRPr="00D924F4">
              <w:rPr>
                <w:sz w:val="22"/>
                <w:szCs w:val="22"/>
              </w:rPr>
              <w:t>Is the guidance in paragraph 39a sufficient to exclude investments that rely on the performance of underlying equity investments (e.g., CFOs and other structures) from the scope of the “one-obligor” provisions?</w:t>
            </w:r>
          </w:p>
        </w:tc>
      </w:tr>
    </w:tbl>
    <w:p w14:paraId="0743016F" w14:textId="309ABF64" w:rsidR="00B07150" w:rsidRPr="00D924F4" w:rsidRDefault="00B07150" w:rsidP="002B1EAD">
      <w:pPr>
        <w:jc w:val="both"/>
        <w:rPr>
          <w:szCs w:val="22"/>
        </w:rPr>
      </w:pPr>
    </w:p>
    <w:p w14:paraId="6A81AE9E" w14:textId="28DC0888" w:rsidR="00087883" w:rsidRPr="00D924F4" w:rsidRDefault="00087883" w:rsidP="002B1EAD">
      <w:pPr>
        <w:jc w:val="both"/>
        <w:rPr>
          <w:szCs w:val="22"/>
        </w:rPr>
      </w:pPr>
      <w:r w:rsidRPr="00D924F4">
        <w:rPr>
          <w:szCs w:val="22"/>
        </w:rPr>
        <w:t xml:space="preserve">Interested </w:t>
      </w:r>
      <w:r w:rsidR="009153D1">
        <w:rPr>
          <w:szCs w:val="22"/>
        </w:rPr>
        <w:t>p</w:t>
      </w:r>
      <w:r w:rsidRPr="00D924F4">
        <w:rPr>
          <w:szCs w:val="22"/>
        </w:rPr>
        <w:t>arties have the following comments and observations regarding single obligor transactions issued from a Trust or SPV:</w:t>
      </w:r>
    </w:p>
    <w:p w14:paraId="0C14CAF4" w14:textId="77777777" w:rsidR="00087883" w:rsidRPr="00D924F4" w:rsidRDefault="00087883" w:rsidP="002B1EAD">
      <w:pPr>
        <w:jc w:val="both"/>
        <w:rPr>
          <w:szCs w:val="22"/>
        </w:rPr>
      </w:pPr>
    </w:p>
    <w:p w14:paraId="14BAA72B" w14:textId="77777777" w:rsidR="00087883" w:rsidRPr="00D924F4" w:rsidRDefault="00087883" w:rsidP="002B1EAD">
      <w:pPr>
        <w:pStyle w:val="ListParagraph"/>
        <w:numPr>
          <w:ilvl w:val="0"/>
          <w:numId w:val="21"/>
        </w:numPr>
        <w:spacing w:after="160" w:line="259" w:lineRule="auto"/>
        <w:jc w:val="both"/>
        <w:rPr>
          <w:szCs w:val="22"/>
        </w:rPr>
      </w:pPr>
      <w:r w:rsidRPr="00D924F4">
        <w:rPr>
          <w:szCs w:val="22"/>
        </w:rPr>
        <w:t>The beginning of Section 5a, paragraph 37 states that “the general concept of a securitization is that the security is collateralized by contractual obligations from many diverse payers. If the structure … has only one underlying obligor … then the structure does not fit the criteria for a traditional securitization.”</w:t>
      </w:r>
    </w:p>
    <w:p w14:paraId="57ABDCC2" w14:textId="77777777" w:rsidR="00087883" w:rsidRPr="00D924F4" w:rsidRDefault="00087883" w:rsidP="002B1EAD">
      <w:pPr>
        <w:ind w:left="720"/>
        <w:jc w:val="both"/>
        <w:rPr>
          <w:szCs w:val="22"/>
        </w:rPr>
      </w:pPr>
      <w:r w:rsidRPr="00D924F4">
        <w:rPr>
          <w:szCs w:val="22"/>
        </w:rPr>
        <w:t xml:space="preserve">The original concept of securitization was the transformation of financial assets – not in themselves securities – into securities. The transformation was accomplished by transferring ownership of financial assets to a discrete entity, which would issue securities backed by the assets it owned. In this way receivables, loans, leases, mortgages and other financial assets with contractual cash flows were “securitized”. </w:t>
      </w:r>
    </w:p>
    <w:p w14:paraId="7740EAE5" w14:textId="77777777" w:rsidR="00087883" w:rsidRPr="00D924F4" w:rsidRDefault="00087883" w:rsidP="002B1EAD">
      <w:pPr>
        <w:ind w:left="720"/>
        <w:jc w:val="both"/>
        <w:rPr>
          <w:szCs w:val="22"/>
        </w:rPr>
      </w:pPr>
    </w:p>
    <w:p w14:paraId="10804D07" w14:textId="77777777" w:rsidR="00087883" w:rsidRPr="00D924F4" w:rsidRDefault="00087883" w:rsidP="002B1EAD">
      <w:pPr>
        <w:ind w:left="720"/>
        <w:jc w:val="both"/>
        <w:rPr>
          <w:szCs w:val="22"/>
        </w:rPr>
      </w:pPr>
      <w:r w:rsidRPr="00D924F4">
        <w:rPr>
          <w:szCs w:val="22"/>
        </w:rPr>
        <w:t xml:space="preserve">Even in the early years of securitizations, however, there were deals involving single underlying obligors. There were also deals where a single asset (usually a receivable) was the subject of a securitization. These deals made sense because it was possible for the purchaser to perform its own underwriting on the credit of the underlying obligor. </w:t>
      </w:r>
    </w:p>
    <w:p w14:paraId="2517C682" w14:textId="77777777" w:rsidR="00087883" w:rsidRPr="00D924F4" w:rsidRDefault="00087883" w:rsidP="002B1EAD">
      <w:pPr>
        <w:ind w:left="720"/>
        <w:jc w:val="both"/>
        <w:rPr>
          <w:szCs w:val="22"/>
        </w:rPr>
      </w:pPr>
    </w:p>
    <w:p w14:paraId="1C272F36" w14:textId="77777777" w:rsidR="00087883" w:rsidRPr="00D924F4" w:rsidRDefault="00087883" w:rsidP="002B1EAD">
      <w:pPr>
        <w:ind w:left="720"/>
        <w:jc w:val="both"/>
        <w:rPr>
          <w:szCs w:val="22"/>
        </w:rPr>
      </w:pPr>
      <w:r w:rsidRPr="00D924F4">
        <w:rPr>
          <w:szCs w:val="22"/>
        </w:rPr>
        <w:t xml:space="preserve">SEC guidance on the 1933 Act Definition and the 1934 Act Definition indicates that each definition recognizes single obligor deals as ABS.  A brief look at the current CMBS market illustrates this: </w:t>
      </w:r>
      <w:r w:rsidRPr="00D924F4">
        <w:rPr>
          <w:szCs w:val="22"/>
        </w:rPr>
        <w:lastRenderedPageBreak/>
        <w:t xml:space="preserve">approximately half of recent issuance in the CMBS markets consists of deals with a single commercial mortgage as the underlying collateral.  </w:t>
      </w:r>
    </w:p>
    <w:p w14:paraId="264AF71F" w14:textId="77777777" w:rsidR="00087883" w:rsidRPr="00D924F4" w:rsidRDefault="00087883" w:rsidP="002B1EAD">
      <w:pPr>
        <w:ind w:left="720"/>
        <w:jc w:val="both"/>
        <w:rPr>
          <w:szCs w:val="22"/>
        </w:rPr>
      </w:pPr>
    </w:p>
    <w:p w14:paraId="24F72533" w14:textId="62A94429" w:rsidR="00087883" w:rsidRPr="00D924F4" w:rsidRDefault="00087883" w:rsidP="002B1EAD">
      <w:pPr>
        <w:ind w:left="720"/>
        <w:jc w:val="both"/>
        <w:rPr>
          <w:szCs w:val="22"/>
        </w:rPr>
      </w:pPr>
      <w:r w:rsidRPr="00D924F4">
        <w:rPr>
          <w:szCs w:val="22"/>
        </w:rPr>
        <w:t xml:space="preserve">Interested </w:t>
      </w:r>
      <w:r w:rsidR="009153D1">
        <w:rPr>
          <w:szCs w:val="22"/>
        </w:rPr>
        <w:t>p</w:t>
      </w:r>
      <w:r w:rsidRPr="00D924F4">
        <w:rPr>
          <w:szCs w:val="22"/>
        </w:rPr>
        <w:t xml:space="preserve">arties do not understand the apparent discomfort with single obligor ABS deals. In particular, we see no reason why these particular transactions merit the treatment indicated in paragraph 41, in which potential eligibility for Filing Exemption would be determined by reference to the P &amp; P Manual. </w:t>
      </w:r>
    </w:p>
    <w:p w14:paraId="385ACD33" w14:textId="77777777" w:rsidR="00087883" w:rsidRPr="00D924F4" w:rsidRDefault="00087883" w:rsidP="002B1EAD">
      <w:pPr>
        <w:jc w:val="both"/>
        <w:rPr>
          <w:szCs w:val="22"/>
        </w:rPr>
      </w:pPr>
    </w:p>
    <w:p w14:paraId="0E7EF5CC" w14:textId="77777777" w:rsidR="00087883" w:rsidRPr="00D924F4" w:rsidRDefault="00087883" w:rsidP="002B1EAD">
      <w:pPr>
        <w:pStyle w:val="ListParagraph"/>
        <w:numPr>
          <w:ilvl w:val="0"/>
          <w:numId w:val="21"/>
        </w:numPr>
        <w:jc w:val="both"/>
        <w:rPr>
          <w:szCs w:val="22"/>
        </w:rPr>
      </w:pPr>
      <w:r w:rsidRPr="00D924F4">
        <w:rPr>
          <w:szCs w:val="22"/>
        </w:rPr>
        <w:t xml:space="preserve">In addition to ABS transactions that involve a single underlying obligor, there are many other transactions involving both (i) issuance from a Trust or SPV and (ii) a single obligor.  </w:t>
      </w:r>
    </w:p>
    <w:p w14:paraId="37A84589" w14:textId="77777777" w:rsidR="00087883" w:rsidRPr="00D924F4" w:rsidRDefault="00087883" w:rsidP="002B1EAD">
      <w:pPr>
        <w:pStyle w:val="ListParagraph"/>
        <w:jc w:val="both"/>
        <w:rPr>
          <w:szCs w:val="22"/>
        </w:rPr>
      </w:pPr>
    </w:p>
    <w:p w14:paraId="4D807BF9" w14:textId="71ABE80A" w:rsidR="00087883" w:rsidRPr="00D924F4" w:rsidRDefault="00087883" w:rsidP="002B1EAD">
      <w:pPr>
        <w:pStyle w:val="ListParagraph"/>
        <w:jc w:val="both"/>
        <w:rPr>
          <w:szCs w:val="22"/>
        </w:rPr>
      </w:pPr>
      <w:r w:rsidRPr="00D924F4">
        <w:rPr>
          <w:szCs w:val="22"/>
        </w:rPr>
        <w:t>Notable examples include</w:t>
      </w:r>
      <w:r w:rsidRPr="00D924F4">
        <w:rPr>
          <w:i/>
          <w:iCs/>
          <w:szCs w:val="22"/>
        </w:rPr>
        <w:t xml:space="preserve"> </w:t>
      </w:r>
      <w:r w:rsidRPr="00D924F4">
        <w:rPr>
          <w:szCs w:val="22"/>
        </w:rPr>
        <w:t xml:space="preserve">ETCs, EETCs and conforming CTLs, where debt is serviced via a pass-through of contractual lease payments made by the lessee for use of either real property or equipment.  In these structures, all debt service payments enjoy a contractual claim to a corporate payor (via a lease or similar obligation).  Unlike traditional ABS structures, there is no uncertainty around the timing of debt cash flow repayment.  Since there is no prepayment or extension risk associated with these structures, reporting requirements are usually just corporate financial reporting requirements with no “servicer reports” to track performance as typically provided in most ABS structures.  Therefore, these transactions behave like corporate bonds that also have an additional benefit of being secured by valuable collateral (equipment and/or real property), and we believe they should be accounted for as such in SSAP No. 26.  However, if SAPWG elects not to move these transactions back to SSAP No. 26R, then these securities will need to be addressed separately in SSAP No. 43R, as they do not necessarily meet either the 1933 Act Definition or the 1934 Act Definition; nor do they meet all of the </w:t>
      </w:r>
      <w:r w:rsidR="00B2552F" w:rsidRPr="00D924F4">
        <w:rPr>
          <w:szCs w:val="22"/>
        </w:rPr>
        <w:t>F</w:t>
      </w:r>
      <w:r w:rsidRPr="00D924F4">
        <w:rPr>
          <w:szCs w:val="22"/>
        </w:rPr>
        <w:t xml:space="preserve">our </w:t>
      </w:r>
      <w:r w:rsidR="00B2552F" w:rsidRPr="00D924F4">
        <w:rPr>
          <w:szCs w:val="22"/>
        </w:rPr>
        <w:t>P</w:t>
      </w:r>
      <w:r w:rsidRPr="00D924F4">
        <w:rPr>
          <w:szCs w:val="22"/>
        </w:rPr>
        <w:t xml:space="preserve">rinciples, as set forth in the Issue Paper.  </w:t>
      </w:r>
    </w:p>
    <w:p w14:paraId="5520EC2D" w14:textId="77777777" w:rsidR="00087883" w:rsidRPr="00D924F4" w:rsidRDefault="00087883" w:rsidP="002B1EAD">
      <w:pPr>
        <w:jc w:val="both"/>
        <w:rPr>
          <w:szCs w:val="22"/>
        </w:rPr>
      </w:pPr>
      <w:r w:rsidRPr="00D924F4">
        <w:rPr>
          <w:szCs w:val="22"/>
        </w:rPr>
        <w:t xml:space="preserve">  </w:t>
      </w:r>
    </w:p>
    <w:p w14:paraId="6B1169B0" w14:textId="71727333" w:rsidR="00087883" w:rsidRPr="00D924F4" w:rsidRDefault="00087883" w:rsidP="002B1EAD">
      <w:pPr>
        <w:pStyle w:val="Default"/>
        <w:ind w:left="720"/>
        <w:jc w:val="both"/>
        <w:rPr>
          <w:sz w:val="22"/>
          <w:szCs w:val="22"/>
        </w:rPr>
      </w:pPr>
      <w:r w:rsidRPr="00D924F4">
        <w:rPr>
          <w:sz w:val="22"/>
          <w:szCs w:val="22"/>
        </w:rPr>
        <w:t xml:space="preserve">In short, both ABS and non-ABS transactions often involve (i) issuance from a Trust or SPV and (ii) a single obligor (collectively, “Single-Payor Securitizations”). Interested </w:t>
      </w:r>
      <w:r w:rsidR="009153D1">
        <w:rPr>
          <w:sz w:val="22"/>
          <w:szCs w:val="22"/>
        </w:rPr>
        <w:t>p</w:t>
      </w:r>
      <w:r w:rsidRPr="00D924F4">
        <w:rPr>
          <w:sz w:val="22"/>
          <w:szCs w:val="22"/>
        </w:rPr>
        <w:t xml:space="preserve">arties do not believe that Single-Payor Securitizations need to be subject to special rules or guidance from the P&amp;P Manual in order to be Filing Exempt.  Rather, we believe the following types of asset classes, which have historically enjoyed Filing Exempt status, should continue to retain Filing Exempt status.  Such Single-Payor Securitizations include, but are not limited to, ETCs, EETCs, Project Finance, and certain Issuer Obligation Municipal Securities, as well as ABS under both the 1933 Act Definition and the 1934 Act Definition. </w:t>
      </w:r>
    </w:p>
    <w:p w14:paraId="161081FF" w14:textId="77777777" w:rsidR="00087883" w:rsidRPr="00D924F4" w:rsidRDefault="00087883" w:rsidP="002B1EAD">
      <w:pPr>
        <w:pStyle w:val="Default"/>
        <w:ind w:left="720"/>
        <w:jc w:val="both"/>
        <w:rPr>
          <w:sz w:val="22"/>
          <w:szCs w:val="22"/>
        </w:rPr>
      </w:pPr>
    </w:p>
    <w:p w14:paraId="1257CD42" w14:textId="128B4AD3" w:rsidR="00087883" w:rsidRPr="00D924F4" w:rsidRDefault="00087883" w:rsidP="002B1EAD">
      <w:pPr>
        <w:spacing w:after="160" w:line="259" w:lineRule="auto"/>
        <w:ind w:left="720"/>
        <w:jc w:val="both"/>
        <w:rPr>
          <w:szCs w:val="22"/>
        </w:rPr>
      </w:pPr>
      <w:r w:rsidRPr="00D924F4">
        <w:rPr>
          <w:rFonts w:eastAsiaTheme="minorHAnsi"/>
          <w:szCs w:val="22"/>
        </w:rPr>
        <w:t xml:space="preserve">While </w:t>
      </w:r>
      <w:r w:rsidRPr="00D924F4">
        <w:rPr>
          <w:rFonts w:eastAsiaTheme="minorHAnsi"/>
          <w:color w:val="000000" w:themeColor="text1"/>
          <w:szCs w:val="22"/>
        </w:rPr>
        <w:t xml:space="preserve">no explicit rationale was offered up in Section 5a on why Single-Payor Securitizations should not be filing exempt, other than a premise in paragraph 37 which </w:t>
      </w:r>
      <w:r w:rsidR="009153D1">
        <w:rPr>
          <w:rFonts w:eastAsiaTheme="minorHAnsi"/>
          <w:color w:val="000000" w:themeColor="text1"/>
          <w:szCs w:val="22"/>
        </w:rPr>
        <w:t>i</w:t>
      </w:r>
      <w:r w:rsidRPr="00D924F4">
        <w:rPr>
          <w:rFonts w:eastAsiaTheme="minorHAnsi"/>
          <w:color w:val="000000" w:themeColor="text1"/>
          <w:szCs w:val="22"/>
        </w:rPr>
        <w:t xml:space="preserve">nterested </w:t>
      </w:r>
      <w:r w:rsidR="009153D1">
        <w:rPr>
          <w:rFonts w:eastAsiaTheme="minorHAnsi"/>
          <w:color w:val="000000" w:themeColor="text1"/>
          <w:szCs w:val="22"/>
        </w:rPr>
        <w:t>p</w:t>
      </w:r>
      <w:r w:rsidRPr="00D924F4">
        <w:rPr>
          <w:rFonts w:eastAsiaTheme="minorHAnsi"/>
          <w:color w:val="000000" w:themeColor="text1"/>
          <w:szCs w:val="22"/>
        </w:rPr>
        <w:t xml:space="preserve">arties believe is inaccurate,  Interested </w:t>
      </w:r>
      <w:r w:rsidR="009153D1">
        <w:rPr>
          <w:rFonts w:eastAsiaTheme="minorHAnsi"/>
          <w:color w:val="000000" w:themeColor="text1"/>
          <w:szCs w:val="22"/>
        </w:rPr>
        <w:t>p</w:t>
      </w:r>
      <w:r w:rsidRPr="00D924F4">
        <w:rPr>
          <w:rFonts w:eastAsiaTheme="minorHAnsi"/>
          <w:color w:val="000000" w:themeColor="text1"/>
          <w:szCs w:val="22"/>
        </w:rPr>
        <w:t>arties understand that NAIC staff concerns potentially stem from affiliated</w:t>
      </w:r>
      <w:r w:rsidRPr="00D924F4">
        <w:rPr>
          <w:color w:val="000000" w:themeColor="text1"/>
          <w:szCs w:val="22"/>
        </w:rPr>
        <w:t xml:space="preserve"> transactions </w:t>
      </w:r>
      <w:r w:rsidRPr="00D924F4">
        <w:rPr>
          <w:szCs w:val="22"/>
        </w:rPr>
        <w:t>that fail to meet true sale criteria and could result in RBC arbitrage if the proper accounting is not followed, especially as they relate to “equity-related” structures.  We believe these concerns are already addressed (or will be addressed) as follows:</w:t>
      </w:r>
    </w:p>
    <w:p w14:paraId="4D6A2A9A" w14:textId="77777777" w:rsidR="00087883" w:rsidRPr="00D924F4" w:rsidRDefault="00087883" w:rsidP="002B1EAD">
      <w:pPr>
        <w:pStyle w:val="ListParagraph"/>
        <w:numPr>
          <w:ilvl w:val="0"/>
          <w:numId w:val="39"/>
        </w:numPr>
        <w:jc w:val="both"/>
        <w:rPr>
          <w:szCs w:val="22"/>
        </w:rPr>
      </w:pPr>
      <w:r w:rsidRPr="00D924F4">
        <w:rPr>
          <w:szCs w:val="22"/>
        </w:rPr>
        <w:t xml:space="preserve">Part III of Section 17 already requires the filing of all investments in SCA entities – “SCA investments are transactions between insurance company affiliates (called related parties) that are subject to special regulatory considerations identified in </w:t>
      </w:r>
      <w:r w:rsidRPr="00D924F4">
        <w:rPr>
          <w:i/>
          <w:iCs/>
          <w:szCs w:val="22"/>
        </w:rPr>
        <w:t>SSAP No. 25—Affiliates and Other Related Parties</w:t>
      </w:r>
      <w:r w:rsidRPr="00D924F4">
        <w:rPr>
          <w:szCs w:val="22"/>
        </w:rPr>
        <w:t>. This Manual specifies that such transactions are not subject to filing exemption and can only be assigned an NAIC Designation if the SVO has first concluded that the transaction is like those the SVO typically assesses for credit risk.”  This determination should be (and is) being done with cooperation of the SVO, the insurance company, and the applicable regulator.</w:t>
      </w:r>
    </w:p>
    <w:p w14:paraId="7CF136AD" w14:textId="77777777" w:rsidR="00087883" w:rsidRPr="00D924F4" w:rsidRDefault="00087883" w:rsidP="002B1EAD">
      <w:pPr>
        <w:pStyle w:val="ListParagraph"/>
        <w:ind w:left="1080"/>
        <w:jc w:val="both"/>
        <w:rPr>
          <w:szCs w:val="22"/>
        </w:rPr>
      </w:pPr>
    </w:p>
    <w:p w14:paraId="4CCB77CB" w14:textId="1A6E2C79" w:rsidR="00087883" w:rsidRPr="00D924F4" w:rsidRDefault="00087883" w:rsidP="002B1EAD">
      <w:pPr>
        <w:pStyle w:val="ListParagraph"/>
        <w:ind w:left="1440"/>
        <w:jc w:val="both"/>
        <w:rPr>
          <w:szCs w:val="22"/>
        </w:rPr>
      </w:pPr>
      <w:r w:rsidRPr="00D924F4">
        <w:rPr>
          <w:szCs w:val="22"/>
        </w:rPr>
        <w:lastRenderedPageBreak/>
        <w:t xml:space="preserve">If this part of the P&amp;P Manual does not include all types of affiliated transactions that are of concern (i.e., affiliated transactions are a subset of related parties), </w:t>
      </w:r>
      <w:r w:rsidR="009153D1">
        <w:rPr>
          <w:szCs w:val="22"/>
        </w:rPr>
        <w:t>i</w:t>
      </w:r>
      <w:r w:rsidRPr="00D924F4">
        <w:rPr>
          <w:szCs w:val="22"/>
        </w:rPr>
        <w:t xml:space="preserve">nterested </w:t>
      </w:r>
      <w:r w:rsidR="009153D1">
        <w:rPr>
          <w:szCs w:val="22"/>
        </w:rPr>
        <w:t>p</w:t>
      </w:r>
      <w:r w:rsidRPr="00D924F4">
        <w:rPr>
          <w:szCs w:val="22"/>
        </w:rPr>
        <w:t xml:space="preserve">arties believe this should be addressed separately, rather than commingling the concern in SSAP No. 43R’s scope determination.  More specifically, </w:t>
      </w:r>
      <w:r w:rsidR="009153D1">
        <w:rPr>
          <w:szCs w:val="22"/>
        </w:rPr>
        <w:t>i</w:t>
      </w:r>
      <w:r w:rsidRPr="00D924F4">
        <w:rPr>
          <w:szCs w:val="22"/>
        </w:rPr>
        <w:t xml:space="preserve">nterested </w:t>
      </w:r>
      <w:r w:rsidR="009153D1">
        <w:rPr>
          <w:szCs w:val="22"/>
        </w:rPr>
        <w:t>p</w:t>
      </w:r>
      <w:r w:rsidRPr="00D924F4">
        <w:rPr>
          <w:szCs w:val="22"/>
        </w:rPr>
        <w:t>arties note that the SVO’s concurrently exposed project on Bespoke Securities also raises concerns on affiliated and related party transactions.</w:t>
      </w:r>
    </w:p>
    <w:p w14:paraId="34BF84C8" w14:textId="77777777" w:rsidR="00087883" w:rsidRPr="00D924F4" w:rsidRDefault="00087883" w:rsidP="002B1EAD">
      <w:pPr>
        <w:jc w:val="both"/>
        <w:rPr>
          <w:szCs w:val="22"/>
        </w:rPr>
      </w:pPr>
    </w:p>
    <w:p w14:paraId="3255C4EC" w14:textId="2926F7C8" w:rsidR="00087883" w:rsidRPr="00D924F4" w:rsidRDefault="00087883" w:rsidP="002B1EAD">
      <w:pPr>
        <w:pStyle w:val="ListParagraph"/>
        <w:ind w:left="1440"/>
        <w:jc w:val="both"/>
        <w:rPr>
          <w:szCs w:val="22"/>
        </w:rPr>
      </w:pPr>
      <w:r w:rsidRPr="00D924F4">
        <w:rPr>
          <w:szCs w:val="22"/>
        </w:rPr>
        <w:t xml:space="preserve">Interested </w:t>
      </w:r>
      <w:r w:rsidR="009153D1">
        <w:rPr>
          <w:szCs w:val="22"/>
        </w:rPr>
        <w:t>p</w:t>
      </w:r>
      <w:r w:rsidRPr="00D924F4">
        <w:rPr>
          <w:szCs w:val="22"/>
        </w:rPr>
        <w:t xml:space="preserve">arties also believe certain additional clarifications are warranted.  For example, per the guidance in Reference No. 2019-03, many </w:t>
      </w:r>
      <w:r w:rsidR="009153D1">
        <w:rPr>
          <w:szCs w:val="22"/>
        </w:rPr>
        <w:t>i</w:t>
      </w:r>
      <w:r w:rsidRPr="00D924F4">
        <w:rPr>
          <w:szCs w:val="22"/>
        </w:rPr>
        <w:t xml:space="preserve">nterested </w:t>
      </w:r>
      <w:r w:rsidR="009153D1">
        <w:rPr>
          <w:szCs w:val="22"/>
        </w:rPr>
        <w:t>p</w:t>
      </w:r>
      <w:r w:rsidRPr="00D924F4">
        <w:rPr>
          <w:szCs w:val="22"/>
        </w:rPr>
        <w:t xml:space="preserve">arties believe SCA transactions do not cover securities, where an insurer or one of its subsidiaries sponsors a securitization and the insurer purchases some of the tranches of that securitization, and where the securitized assets are non-affiliated assets.  Interested </w:t>
      </w:r>
      <w:r w:rsidR="009153D1">
        <w:rPr>
          <w:szCs w:val="22"/>
        </w:rPr>
        <w:t>p</w:t>
      </w:r>
      <w:r w:rsidRPr="00D924F4">
        <w:rPr>
          <w:szCs w:val="22"/>
        </w:rPr>
        <w:t>arties agree with this interpretation but a definitive clarifying determination may be needed.</w:t>
      </w:r>
    </w:p>
    <w:p w14:paraId="1F706A87" w14:textId="77777777" w:rsidR="00087883" w:rsidRPr="00D924F4" w:rsidRDefault="00087883" w:rsidP="002B1EAD">
      <w:pPr>
        <w:pStyle w:val="ListParagraph"/>
        <w:ind w:left="1080"/>
        <w:jc w:val="both"/>
        <w:rPr>
          <w:szCs w:val="22"/>
        </w:rPr>
      </w:pPr>
    </w:p>
    <w:p w14:paraId="36B379E3" w14:textId="77777777" w:rsidR="00087883" w:rsidRPr="00D924F4" w:rsidRDefault="00087883" w:rsidP="002B1EAD">
      <w:pPr>
        <w:pStyle w:val="ListParagraph"/>
        <w:ind w:left="1440"/>
        <w:jc w:val="both"/>
        <w:rPr>
          <w:szCs w:val="22"/>
        </w:rPr>
      </w:pPr>
      <w:r w:rsidRPr="00D924F4">
        <w:rPr>
          <w:szCs w:val="22"/>
        </w:rPr>
        <w:t>Lastly, both the 1933 Act Definition and the 1934 Act Definition include single obligor ABS within their scope, so there is no need to single them out in the exposure if the concerns are related to affiliated transactions as affiliated transactions already need to be filed with the SVO.</w:t>
      </w:r>
    </w:p>
    <w:p w14:paraId="1E57BFD3" w14:textId="77777777" w:rsidR="00087883" w:rsidRPr="00D924F4" w:rsidRDefault="00087883" w:rsidP="002B1EAD">
      <w:pPr>
        <w:jc w:val="both"/>
        <w:rPr>
          <w:szCs w:val="22"/>
        </w:rPr>
      </w:pPr>
    </w:p>
    <w:p w14:paraId="49868A82" w14:textId="6E004F5F" w:rsidR="00FB1040" w:rsidRPr="00D924F4" w:rsidRDefault="00087883" w:rsidP="002B1EAD">
      <w:pPr>
        <w:pStyle w:val="ListParagraph"/>
        <w:numPr>
          <w:ilvl w:val="0"/>
          <w:numId w:val="39"/>
        </w:numPr>
        <w:jc w:val="both"/>
        <w:rPr>
          <w:szCs w:val="22"/>
        </w:rPr>
      </w:pPr>
      <w:r w:rsidRPr="00D924F4">
        <w:rPr>
          <w:szCs w:val="22"/>
        </w:rPr>
        <w:t xml:space="preserve">As noted in Section 2 of this letter, </w:t>
      </w:r>
      <w:r w:rsidR="009153D1">
        <w:rPr>
          <w:szCs w:val="22"/>
        </w:rPr>
        <w:t>i</w:t>
      </w:r>
      <w:r w:rsidRPr="00D924F4">
        <w:rPr>
          <w:szCs w:val="22"/>
        </w:rPr>
        <w:t xml:space="preserve">nterested </w:t>
      </w:r>
      <w:r w:rsidR="009153D1">
        <w:rPr>
          <w:szCs w:val="22"/>
        </w:rPr>
        <w:t>p</w:t>
      </w:r>
      <w:r w:rsidRPr="00D924F4">
        <w:rPr>
          <w:szCs w:val="22"/>
        </w:rPr>
        <w:t>arties have provided clarifying guidance</w:t>
      </w:r>
      <w:r w:rsidRPr="00D924F4">
        <w:rPr>
          <w:rFonts w:eastAsiaTheme="minorHAnsi"/>
          <w:szCs w:val="22"/>
        </w:rPr>
        <w:t xml:space="preserve"> in our October 2019 comment letter that prohibits </w:t>
      </w:r>
      <w:r w:rsidRPr="00D924F4">
        <w:rPr>
          <w:szCs w:val="22"/>
        </w:rPr>
        <w:t>moving assets from one schedule to another (e.g., from Schedule BA to Schedule D), which could result in RBC arbitrage, if the</w:t>
      </w:r>
      <w:r w:rsidR="00FB1040" w:rsidRPr="00D924F4">
        <w:rPr>
          <w:szCs w:val="22"/>
        </w:rPr>
        <w:t xml:space="preserve"> transaction does</w:t>
      </w:r>
      <w:r w:rsidRPr="00D924F4">
        <w:rPr>
          <w:szCs w:val="22"/>
        </w:rPr>
        <w:t xml:space="preserve"> not meet sale criteria.  Our conversations with NAIC staff suggest they agreed with these clarifications and that they would eliminate such</w:t>
      </w:r>
      <w:r w:rsidR="00FB1040" w:rsidRPr="00D924F4">
        <w:rPr>
          <w:szCs w:val="22"/>
        </w:rPr>
        <w:t xml:space="preserve"> perceived</w:t>
      </w:r>
      <w:r w:rsidRPr="00D924F4">
        <w:rPr>
          <w:szCs w:val="22"/>
        </w:rPr>
        <w:t xml:space="preserve"> abuses.</w:t>
      </w:r>
    </w:p>
    <w:p w14:paraId="4961CCC2" w14:textId="77777777" w:rsidR="00FB1040" w:rsidRPr="00D924F4" w:rsidRDefault="00FB1040" w:rsidP="002B1EAD">
      <w:pPr>
        <w:pStyle w:val="ListParagraph"/>
        <w:ind w:left="1440"/>
        <w:jc w:val="both"/>
        <w:rPr>
          <w:szCs w:val="22"/>
        </w:rPr>
      </w:pPr>
    </w:p>
    <w:p w14:paraId="02C1D769" w14:textId="023F8079" w:rsidR="00087883" w:rsidRPr="00D924F4" w:rsidRDefault="00087883" w:rsidP="002B1EAD">
      <w:pPr>
        <w:pStyle w:val="ListParagraph"/>
        <w:numPr>
          <w:ilvl w:val="0"/>
          <w:numId w:val="39"/>
        </w:numPr>
        <w:jc w:val="both"/>
        <w:rPr>
          <w:szCs w:val="22"/>
        </w:rPr>
      </w:pPr>
      <w:r w:rsidRPr="00D924F4">
        <w:rPr>
          <w:szCs w:val="22"/>
        </w:rPr>
        <w:t xml:space="preserve">Further, </w:t>
      </w:r>
      <w:r w:rsidR="00FB1040" w:rsidRPr="00D924F4">
        <w:rPr>
          <w:szCs w:val="22"/>
        </w:rPr>
        <w:t xml:space="preserve">in response to “equity-related” structure concerns, we have suggested further safeguards to ensure only regulator supported CFOs such as CEF Debt, and similar CFO-type structures, are afforded bond accounting and Schedule D reporting.  The full details can be found in Sections 5c and 5d of this letter. </w:t>
      </w:r>
    </w:p>
    <w:p w14:paraId="61717770" w14:textId="77777777" w:rsidR="00087883" w:rsidRPr="00D924F4" w:rsidRDefault="00087883" w:rsidP="002B1EAD">
      <w:pPr>
        <w:ind w:left="720"/>
        <w:jc w:val="both"/>
        <w:rPr>
          <w:szCs w:val="22"/>
        </w:rPr>
      </w:pPr>
    </w:p>
    <w:p w14:paraId="58FFE88B" w14:textId="5D778C5A" w:rsidR="00087883" w:rsidRPr="00D924F4" w:rsidRDefault="00087883" w:rsidP="002B1EAD">
      <w:pPr>
        <w:ind w:left="720"/>
        <w:jc w:val="both"/>
        <w:rPr>
          <w:szCs w:val="22"/>
        </w:rPr>
      </w:pPr>
      <w:r w:rsidRPr="00D924F4">
        <w:rPr>
          <w:szCs w:val="22"/>
        </w:rPr>
        <w:t xml:space="preserve">If the above do not fully address the NAIC concerns, </w:t>
      </w:r>
      <w:r w:rsidR="009153D1">
        <w:rPr>
          <w:szCs w:val="22"/>
        </w:rPr>
        <w:t>i</w:t>
      </w:r>
      <w:r w:rsidRPr="00D924F4">
        <w:rPr>
          <w:szCs w:val="22"/>
        </w:rPr>
        <w:t xml:space="preserve">nterested </w:t>
      </w:r>
      <w:r w:rsidR="009153D1">
        <w:rPr>
          <w:szCs w:val="22"/>
        </w:rPr>
        <w:t>p</w:t>
      </w:r>
      <w:r w:rsidRPr="00D924F4">
        <w:rPr>
          <w:szCs w:val="22"/>
        </w:rPr>
        <w:t xml:space="preserve">arties request such additional concerns be more fully articulated so </w:t>
      </w:r>
      <w:r w:rsidR="009153D1">
        <w:rPr>
          <w:szCs w:val="22"/>
        </w:rPr>
        <w:t>i</w:t>
      </w:r>
      <w:r w:rsidRPr="00D924F4">
        <w:rPr>
          <w:szCs w:val="22"/>
        </w:rPr>
        <w:t xml:space="preserve">nterested </w:t>
      </w:r>
      <w:r w:rsidR="009153D1">
        <w:rPr>
          <w:szCs w:val="22"/>
        </w:rPr>
        <w:t>p</w:t>
      </w:r>
      <w:r w:rsidRPr="00D924F4">
        <w:rPr>
          <w:szCs w:val="22"/>
        </w:rPr>
        <w:t xml:space="preserve">arties can help address them.   </w:t>
      </w:r>
      <w:r w:rsidRPr="00D924F4">
        <w:rPr>
          <w:iCs/>
          <w:color w:val="000000" w:themeColor="text1"/>
          <w:szCs w:val="22"/>
        </w:rPr>
        <w:t xml:space="preserve">There are many valid reasons for affiliated transactions that benefit both insurance companies and policyholders and therefore regulators as well.  With that said, </w:t>
      </w:r>
      <w:r w:rsidR="009153D1">
        <w:rPr>
          <w:iCs/>
          <w:color w:val="000000" w:themeColor="text1"/>
          <w:szCs w:val="22"/>
        </w:rPr>
        <w:t>i</w:t>
      </w:r>
      <w:r w:rsidRPr="00D924F4">
        <w:rPr>
          <w:iCs/>
          <w:color w:val="000000" w:themeColor="text1"/>
          <w:szCs w:val="22"/>
        </w:rPr>
        <w:t xml:space="preserve">nterested </w:t>
      </w:r>
      <w:r w:rsidR="009153D1">
        <w:rPr>
          <w:iCs/>
          <w:color w:val="000000" w:themeColor="text1"/>
          <w:szCs w:val="22"/>
        </w:rPr>
        <w:t>p</w:t>
      </w:r>
      <w:r w:rsidRPr="00D924F4">
        <w:rPr>
          <w:iCs/>
          <w:color w:val="000000" w:themeColor="text1"/>
          <w:szCs w:val="22"/>
        </w:rPr>
        <w:t xml:space="preserve">arties understand the unique nature of affiliated transactions and regulators’ concerns that they can be subject to abuse; </w:t>
      </w:r>
      <w:r w:rsidR="00FB1040" w:rsidRPr="00D924F4">
        <w:rPr>
          <w:iCs/>
          <w:color w:val="000000" w:themeColor="text1"/>
          <w:szCs w:val="22"/>
        </w:rPr>
        <w:t>so,</w:t>
      </w:r>
      <w:r w:rsidRPr="00D924F4">
        <w:rPr>
          <w:iCs/>
          <w:color w:val="000000" w:themeColor="text1"/>
          <w:szCs w:val="22"/>
        </w:rPr>
        <w:t xml:space="preserve"> </w:t>
      </w:r>
      <w:r w:rsidR="009153D1">
        <w:rPr>
          <w:iCs/>
          <w:color w:val="000000" w:themeColor="text1"/>
          <w:szCs w:val="22"/>
        </w:rPr>
        <w:t>i</w:t>
      </w:r>
      <w:r w:rsidRPr="00D924F4">
        <w:rPr>
          <w:iCs/>
          <w:color w:val="000000" w:themeColor="text1"/>
          <w:szCs w:val="22"/>
        </w:rPr>
        <w:t xml:space="preserve">nterested </w:t>
      </w:r>
      <w:r w:rsidR="009153D1">
        <w:rPr>
          <w:iCs/>
          <w:color w:val="000000" w:themeColor="text1"/>
          <w:szCs w:val="22"/>
        </w:rPr>
        <w:t>p</w:t>
      </w:r>
      <w:r w:rsidRPr="00D924F4">
        <w:rPr>
          <w:iCs/>
          <w:color w:val="000000" w:themeColor="text1"/>
          <w:szCs w:val="22"/>
        </w:rPr>
        <w:t>arties welcome further transparency on affiliated transactions.</w:t>
      </w:r>
    </w:p>
    <w:p w14:paraId="6C88F9B4" w14:textId="77777777" w:rsidR="00087883" w:rsidRPr="00D924F4" w:rsidRDefault="00087883" w:rsidP="002B1EAD">
      <w:pPr>
        <w:ind w:left="720"/>
        <w:jc w:val="both"/>
        <w:rPr>
          <w:szCs w:val="22"/>
        </w:rPr>
      </w:pPr>
    </w:p>
    <w:p w14:paraId="5DE06D18" w14:textId="7522A9C7" w:rsidR="00087883" w:rsidRPr="00D924F4" w:rsidRDefault="00087883" w:rsidP="002B1EAD">
      <w:pPr>
        <w:pStyle w:val="ListParagraph"/>
        <w:numPr>
          <w:ilvl w:val="0"/>
          <w:numId w:val="21"/>
        </w:numPr>
        <w:jc w:val="both"/>
        <w:rPr>
          <w:szCs w:val="22"/>
        </w:rPr>
      </w:pPr>
      <w:r w:rsidRPr="00D924F4">
        <w:rPr>
          <w:szCs w:val="22"/>
        </w:rPr>
        <w:t xml:space="preserve">Interested </w:t>
      </w:r>
      <w:r w:rsidR="009153D1">
        <w:rPr>
          <w:szCs w:val="22"/>
        </w:rPr>
        <w:t>p</w:t>
      </w:r>
      <w:r w:rsidRPr="00D924F4">
        <w:rPr>
          <w:szCs w:val="22"/>
        </w:rPr>
        <w:t xml:space="preserve">arties agree with the principle that the mere presence of a Trust or SPV, as issuer of a security, should have no bearing on whether the security itself is classified as a bond.  We acknowledge that regulators are trying to be helpful in suggesting that historical accounting policy would apply if “the underlying investment held in trust would qualify as a bond if held directly”. </w:t>
      </w:r>
    </w:p>
    <w:p w14:paraId="05C6118E" w14:textId="77777777" w:rsidR="00087883" w:rsidRPr="00D924F4" w:rsidRDefault="00087883" w:rsidP="002B1EAD">
      <w:pPr>
        <w:jc w:val="both"/>
        <w:rPr>
          <w:szCs w:val="22"/>
        </w:rPr>
      </w:pPr>
    </w:p>
    <w:p w14:paraId="1A9C3447" w14:textId="77777777" w:rsidR="00087883" w:rsidRPr="00D924F4" w:rsidRDefault="00087883" w:rsidP="002B1EAD">
      <w:pPr>
        <w:ind w:left="720"/>
        <w:jc w:val="both"/>
        <w:rPr>
          <w:color w:val="000000" w:themeColor="text1"/>
          <w:szCs w:val="22"/>
        </w:rPr>
      </w:pPr>
      <w:r w:rsidRPr="00D924F4">
        <w:rPr>
          <w:szCs w:val="22"/>
        </w:rPr>
        <w:t xml:space="preserve">By its premise, this key concept jumps forward to a time when the type of assets used in ABS structures has expanded far beyond the original set of financial assets that were not themselves securities.  Originally, the items in trust (credit card receivables, motor vehicle leases) often were not even commonly viewed as investments, let alone securities. The ABS markets were, however, quick to innovate and expand upon basic securitization structures. </w:t>
      </w:r>
      <w:r w:rsidRPr="00D924F4">
        <w:rPr>
          <w:color w:val="000000" w:themeColor="text1"/>
          <w:szCs w:val="22"/>
        </w:rPr>
        <w:t>One of the earliest and most notable examples would be commercial mortgages, the securitization of which has evolved into its own industry. Putting aside CMBS, only a subset of today’s ABS issuance features underlying assets that insurers would commonly acquire as investments. The most notable example is CLOs, which are backed by loans rather bonds.</w:t>
      </w:r>
    </w:p>
    <w:p w14:paraId="758E4A67" w14:textId="77777777" w:rsidR="00087883" w:rsidRPr="00D924F4" w:rsidRDefault="00087883" w:rsidP="002B1EAD">
      <w:pPr>
        <w:jc w:val="both"/>
        <w:rPr>
          <w:color w:val="000000" w:themeColor="text1"/>
          <w:szCs w:val="22"/>
        </w:rPr>
      </w:pPr>
    </w:p>
    <w:p w14:paraId="6EC93D9D" w14:textId="77777777" w:rsidR="00087883" w:rsidRPr="00D924F4" w:rsidRDefault="00087883" w:rsidP="002B1EAD">
      <w:pPr>
        <w:ind w:left="720"/>
        <w:jc w:val="both"/>
        <w:rPr>
          <w:szCs w:val="22"/>
        </w:rPr>
      </w:pPr>
      <w:r w:rsidRPr="00D924F4">
        <w:rPr>
          <w:color w:val="000000" w:themeColor="text1"/>
          <w:szCs w:val="22"/>
        </w:rPr>
        <w:t>The look-through concept, however, has limited usefulness. If one were to look through the entities that issue single asset CMBS, an insurer might be required to account for the underlying commercial mortgage on Schedule B. Another example is “whole business securitization,” a widespread new type of ABS in which the securities issued are backed by key operating assets of a business. If one were to look through the structure to the underlying assets, under what SSAP could those assets be reported? As a separate example, the power produced by hydroelectric plants is often sold on a merchant (not contracted) basis.  If a project finance deal for a hydroelectric facility were subject to the “look-through” analysis proposed in the Issue Paper, where would that facility sit on the insurer’s schedules?  Taken to extremes</w:t>
      </w:r>
      <w:r w:rsidRPr="00D924F4">
        <w:rPr>
          <w:szCs w:val="22"/>
        </w:rPr>
        <w:t>, one can see where this approach calls into question the reporting status of billions of dollars of insurer’s assets, much of which has been considered a mainstay of insurers’ investment portfolios for decades.</w:t>
      </w:r>
    </w:p>
    <w:p w14:paraId="394D94F7" w14:textId="77777777" w:rsidR="00087883" w:rsidRPr="00D924F4" w:rsidRDefault="00087883" w:rsidP="002B1EAD">
      <w:pPr>
        <w:ind w:left="720"/>
        <w:jc w:val="both"/>
        <w:rPr>
          <w:szCs w:val="22"/>
        </w:rPr>
      </w:pPr>
    </w:p>
    <w:p w14:paraId="705894FB" w14:textId="7688E656" w:rsidR="00087883" w:rsidRPr="00D924F4" w:rsidRDefault="00087883" w:rsidP="002B1EAD">
      <w:pPr>
        <w:ind w:left="720"/>
        <w:jc w:val="both"/>
        <w:rPr>
          <w:szCs w:val="22"/>
        </w:rPr>
      </w:pPr>
      <w:r w:rsidRPr="00D924F4">
        <w:rPr>
          <w:szCs w:val="22"/>
        </w:rPr>
        <w:t xml:space="preserve">Interested </w:t>
      </w:r>
      <w:r w:rsidR="009153D1">
        <w:rPr>
          <w:szCs w:val="22"/>
        </w:rPr>
        <w:t>p</w:t>
      </w:r>
      <w:r w:rsidRPr="00D924F4">
        <w:rPr>
          <w:szCs w:val="22"/>
        </w:rPr>
        <w:t>arties also note that the FASB generally does not look through to the underlying assets of a security.  For example, FASB does not look through to the underlying assets in ABS structures.</w:t>
      </w:r>
    </w:p>
    <w:p w14:paraId="11584571" w14:textId="77777777" w:rsidR="00087883" w:rsidRPr="00D924F4" w:rsidRDefault="00087883" w:rsidP="002B1EAD">
      <w:pPr>
        <w:jc w:val="both"/>
        <w:rPr>
          <w:szCs w:val="22"/>
        </w:rPr>
      </w:pPr>
    </w:p>
    <w:p w14:paraId="026CB507" w14:textId="09428B93" w:rsidR="00087883" w:rsidRPr="00D924F4" w:rsidRDefault="00087883" w:rsidP="002B1EAD">
      <w:pPr>
        <w:pStyle w:val="ListParagraph"/>
        <w:numPr>
          <w:ilvl w:val="0"/>
          <w:numId w:val="21"/>
        </w:numPr>
        <w:spacing w:after="160" w:line="259" w:lineRule="auto"/>
        <w:jc w:val="both"/>
        <w:rPr>
          <w:szCs w:val="22"/>
        </w:rPr>
      </w:pPr>
      <w:r w:rsidRPr="00D924F4">
        <w:rPr>
          <w:szCs w:val="22"/>
        </w:rPr>
        <w:t xml:space="preserve">In the Issue Paper, staff asked whether Section 39a is sufficient guidance to exclude investments that rely on performance from underlying equity investments from the single-payor category. Interested </w:t>
      </w:r>
      <w:r w:rsidR="009153D1">
        <w:rPr>
          <w:szCs w:val="22"/>
        </w:rPr>
        <w:t>p</w:t>
      </w:r>
      <w:r w:rsidRPr="00D924F4">
        <w:rPr>
          <w:szCs w:val="22"/>
        </w:rPr>
        <w:t xml:space="preserve">arties found the guidance to be confusing.  Should staff wish to exclude CFOs and similar equity-supported structures from SSAP No. 43R, it would be better to reference such structures specifically, rather than referring to “the requirements of a bond” and thereby excluding ABS backed by contractual payment obligations, such as receivables of a single underlying obligor.  </w:t>
      </w:r>
    </w:p>
    <w:p w14:paraId="1F699121" w14:textId="77777777" w:rsidR="00087883" w:rsidRPr="00D924F4" w:rsidRDefault="00087883" w:rsidP="002B1EAD">
      <w:pPr>
        <w:pStyle w:val="ListParagraph"/>
        <w:spacing w:after="160" w:line="259" w:lineRule="auto"/>
        <w:jc w:val="both"/>
        <w:rPr>
          <w:szCs w:val="22"/>
        </w:rPr>
      </w:pPr>
    </w:p>
    <w:p w14:paraId="2FF172B0" w14:textId="50673537" w:rsidR="00087883" w:rsidRPr="00D924F4" w:rsidRDefault="00087883" w:rsidP="002B1EAD">
      <w:pPr>
        <w:pStyle w:val="ListParagraph"/>
        <w:jc w:val="both"/>
        <w:rPr>
          <w:szCs w:val="22"/>
        </w:rPr>
      </w:pPr>
      <w:r w:rsidRPr="00D924F4">
        <w:rPr>
          <w:szCs w:val="22"/>
        </w:rPr>
        <w:t xml:space="preserve">That said, </w:t>
      </w:r>
      <w:r w:rsidR="009153D1">
        <w:rPr>
          <w:szCs w:val="22"/>
        </w:rPr>
        <w:t>i</w:t>
      </w:r>
      <w:r w:rsidRPr="00D924F4">
        <w:rPr>
          <w:szCs w:val="22"/>
        </w:rPr>
        <w:t xml:space="preserve">nterested </w:t>
      </w:r>
      <w:r w:rsidR="009153D1">
        <w:rPr>
          <w:szCs w:val="22"/>
        </w:rPr>
        <w:t>p</w:t>
      </w:r>
      <w:r w:rsidRPr="00D924F4">
        <w:rPr>
          <w:szCs w:val="22"/>
        </w:rPr>
        <w:t xml:space="preserve">arties believe that certain types of debt issued from a Trust or SPV that owns equity investments should, in fact, qualify as bonds, particularly those structures with significant overcollateralization.  We would refer staff and SAPWG to Sections 5c and 5d of this response letter for more detail on that issue.  </w:t>
      </w:r>
    </w:p>
    <w:p w14:paraId="3CC95DE2" w14:textId="468C8115" w:rsidR="00FB1040" w:rsidRPr="00D924F4" w:rsidRDefault="00B242E6" w:rsidP="005D1C23">
      <w:pPr>
        <w:spacing w:after="160" w:line="259" w:lineRule="auto"/>
        <w:rPr>
          <w:b/>
          <w:szCs w:val="22"/>
          <w:u w:val="single"/>
        </w:rPr>
      </w:pPr>
      <w:r w:rsidRPr="00D924F4">
        <w:rPr>
          <w:b/>
          <w:szCs w:val="22"/>
          <w:u w:val="single"/>
        </w:rPr>
        <w:br w:type="page"/>
      </w:r>
    </w:p>
    <w:p w14:paraId="46D6BFA5" w14:textId="5881A5C4" w:rsidR="00E91CBD" w:rsidRPr="00D924F4" w:rsidRDefault="00201288" w:rsidP="002B1EAD">
      <w:pPr>
        <w:jc w:val="both"/>
        <w:rPr>
          <w:b/>
          <w:szCs w:val="22"/>
          <w:u w:val="single"/>
        </w:rPr>
      </w:pPr>
      <w:r w:rsidRPr="00D924F4">
        <w:rPr>
          <w:b/>
          <w:szCs w:val="22"/>
          <w:u w:val="single"/>
        </w:rPr>
        <w:lastRenderedPageBreak/>
        <w:t xml:space="preserve">Section </w:t>
      </w:r>
      <w:r w:rsidR="00B15184" w:rsidRPr="00D924F4">
        <w:rPr>
          <w:b/>
          <w:szCs w:val="22"/>
          <w:u w:val="single"/>
        </w:rPr>
        <w:t>5b</w:t>
      </w:r>
      <w:r w:rsidR="00C6350A" w:rsidRPr="00D924F4">
        <w:rPr>
          <w:b/>
          <w:szCs w:val="22"/>
          <w:u w:val="single"/>
        </w:rPr>
        <w:t xml:space="preserve"> – Accounting and Reporting for Non-CFR ABS and Non-Traditional Securitizations – Collateral Not Owed by Many Payers</w:t>
      </w:r>
    </w:p>
    <w:p w14:paraId="118361D5" w14:textId="77777777" w:rsidR="00411FEA" w:rsidRPr="00D924F4" w:rsidRDefault="00411FEA" w:rsidP="002B1EAD">
      <w:pPr>
        <w:jc w:val="bot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201288" w:rsidRPr="00D924F4" w14:paraId="389546FB" w14:textId="77777777" w:rsidTr="00985338">
        <w:tc>
          <w:tcPr>
            <w:tcW w:w="8990" w:type="dxa"/>
          </w:tcPr>
          <w:p w14:paraId="784CE25F"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Overview of Key Concepts: </w:t>
            </w:r>
          </w:p>
        </w:tc>
      </w:tr>
      <w:tr w:rsidR="00201288" w:rsidRPr="00D924F4" w14:paraId="6358847B" w14:textId="77777777" w:rsidTr="00985338">
        <w:tc>
          <w:tcPr>
            <w:tcW w:w="8990" w:type="dxa"/>
          </w:tcPr>
          <w:p w14:paraId="51D0D763" w14:textId="77777777" w:rsidR="00201288" w:rsidRPr="00D924F4" w:rsidRDefault="00201288" w:rsidP="002B1EAD">
            <w:pPr>
              <w:pStyle w:val="ListContinue"/>
              <w:numPr>
                <w:ilvl w:val="0"/>
                <w:numId w:val="2"/>
              </w:numPr>
              <w:rPr>
                <w:sz w:val="22"/>
                <w:szCs w:val="22"/>
              </w:rPr>
            </w:pPr>
            <w:r w:rsidRPr="00D924F4">
              <w:rPr>
                <w:sz w:val="22"/>
                <w:szCs w:val="22"/>
              </w:rPr>
              <w:t xml:space="preserve">This section addresses items that do not qualify as a securitization due to the number of underlying payers. The key concern with these structures is that the use of a trust / SPV masks the underlying risk exposure. This is because the reduction of risk, which would generally be expected in a securitization with many payers, is not obtained. </w:t>
            </w:r>
          </w:p>
          <w:p w14:paraId="53E3C063" w14:textId="77777777" w:rsidR="00201288" w:rsidRPr="00D924F4" w:rsidRDefault="00201288" w:rsidP="002B1EAD">
            <w:pPr>
              <w:pStyle w:val="ListContinue"/>
              <w:numPr>
                <w:ilvl w:val="0"/>
                <w:numId w:val="2"/>
              </w:numPr>
              <w:rPr>
                <w:sz w:val="22"/>
                <w:szCs w:val="22"/>
              </w:rPr>
            </w:pPr>
            <w:r w:rsidRPr="00D924F4">
              <w:rPr>
                <w:sz w:val="22"/>
                <w:szCs w:val="22"/>
              </w:rPr>
              <w:t xml:space="preserve">The proposed guidance would continue to permit the issued securities as debt instruments (if they qualify) in scope of SSAP No. 43R, but would require a lower of amortized cost or fair value measurement method regardless of the NAIC designation.  Also, the guidance proposes to require the SVO involvement in determining the appropriate NAIC designation. (It also includes an alternative to permit only CRP ratings from NRSROs that are SEC approved to provide designations on asset-backed securities.)   </w:t>
            </w:r>
          </w:p>
        </w:tc>
      </w:tr>
      <w:tr w:rsidR="00201288" w:rsidRPr="00D924F4" w14:paraId="756B9570" w14:textId="77777777" w:rsidTr="00985338">
        <w:tc>
          <w:tcPr>
            <w:tcW w:w="8990" w:type="dxa"/>
          </w:tcPr>
          <w:p w14:paraId="55DF5FD0"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Questions / Comments: </w:t>
            </w:r>
          </w:p>
        </w:tc>
      </w:tr>
      <w:tr w:rsidR="00201288" w:rsidRPr="00D924F4" w14:paraId="229AE0E5" w14:textId="77777777" w:rsidTr="00985338">
        <w:tc>
          <w:tcPr>
            <w:tcW w:w="8990" w:type="dxa"/>
          </w:tcPr>
          <w:p w14:paraId="3B50D296" w14:textId="77777777" w:rsidR="00201288" w:rsidRPr="00D924F4" w:rsidRDefault="00201288" w:rsidP="002B1EAD">
            <w:pPr>
              <w:pStyle w:val="ListContinue"/>
              <w:numPr>
                <w:ilvl w:val="0"/>
                <w:numId w:val="3"/>
              </w:numPr>
              <w:rPr>
                <w:sz w:val="22"/>
                <w:szCs w:val="22"/>
              </w:rPr>
            </w:pPr>
            <w:r w:rsidRPr="00D924F4">
              <w:rPr>
                <w:sz w:val="22"/>
                <w:szCs w:val="22"/>
              </w:rPr>
              <w:t xml:space="preserve">The guidance proposed in this section is for all debt instrument securities that do not meet the “many” payee threshold. Are there securities that would not meet the “many” threshold, but would have more than a “limited” number of payees? Explicit examples of securities that would be characteristic of this dynamic are requested.  </w:t>
            </w:r>
          </w:p>
          <w:p w14:paraId="26ABA9B9" w14:textId="77777777" w:rsidR="00201288" w:rsidRPr="00D924F4" w:rsidRDefault="00201288" w:rsidP="002B1EAD">
            <w:pPr>
              <w:pStyle w:val="ListContinue"/>
              <w:numPr>
                <w:ilvl w:val="0"/>
                <w:numId w:val="3"/>
              </w:numPr>
              <w:rPr>
                <w:sz w:val="22"/>
                <w:szCs w:val="22"/>
              </w:rPr>
            </w:pPr>
            <w:r w:rsidRPr="00D924F4">
              <w:rPr>
                <w:sz w:val="22"/>
                <w:szCs w:val="22"/>
              </w:rPr>
              <w:t xml:space="preserve">Should amortized cost (and not LCOM) be permitted for certain investments that are captured in this section? Explicit examples and principle concepts to differentiate these securities are requested.   </w:t>
            </w:r>
          </w:p>
        </w:tc>
      </w:tr>
    </w:tbl>
    <w:p w14:paraId="2AB27DFF" w14:textId="6EF61F3C" w:rsidR="00201288" w:rsidRPr="00D924F4" w:rsidRDefault="00201288" w:rsidP="002B1EAD">
      <w:pPr>
        <w:jc w:val="both"/>
        <w:rPr>
          <w:szCs w:val="22"/>
        </w:rPr>
      </w:pPr>
    </w:p>
    <w:p w14:paraId="363714E2" w14:textId="7312AED1" w:rsidR="00FB1040" w:rsidRPr="00D924F4" w:rsidRDefault="00FB1040" w:rsidP="002B1EAD">
      <w:pPr>
        <w:jc w:val="both"/>
        <w:rPr>
          <w:szCs w:val="22"/>
        </w:rPr>
      </w:pPr>
      <w:r w:rsidRPr="00D924F4">
        <w:rPr>
          <w:szCs w:val="22"/>
        </w:rPr>
        <w:t xml:space="preserve">Interested </w:t>
      </w:r>
      <w:r w:rsidR="009153D1">
        <w:rPr>
          <w:szCs w:val="22"/>
        </w:rPr>
        <w:t>p</w:t>
      </w:r>
      <w:r w:rsidRPr="00D924F4">
        <w:rPr>
          <w:szCs w:val="22"/>
        </w:rPr>
        <w:t>arties share the following comments and observations regarding securitizations involving more than one, but fewer than many, payors:</w:t>
      </w:r>
    </w:p>
    <w:p w14:paraId="7A28EBFA" w14:textId="77777777" w:rsidR="00FB1040" w:rsidRPr="00D924F4" w:rsidRDefault="00FB1040" w:rsidP="002B1EAD">
      <w:pPr>
        <w:pStyle w:val="ListParagraph"/>
        <w:ind w:left="1080"/>
        <w:jc w:val="both"/>
        <w:rPr>
          <w:szCs w:val="22"/>
        </w:rPr>
      </w:pPr>
    </w:p>
    <w:p w14:paraId="0EF1D9C6" w14:textId="77777777" w:rsidR="00FB1040" w:rsidRPr="00D924F4" w:rsidRDefault="00FB1040" w:rsidP="002B1EAD">
      <w:pPr>
        <w:ind w:left="720" w:hanging="720"/>
        <w:jc w:val="both"/>
        <w:rPr>
          <w:szCs w:val="22"/>
        </w:rPr>
      </w:pPr>
      <w:r w:rsidRPr="00D924F4">
        <w:rPr>
          <w:szCs w:val="22"/>
        </w:rPr>
        <w:t>a)</w:t>
      </w:r>
      <w:r w:rsidRPr="00D924F4">
        <w:rPr>
          <w:szCs w:val="22"/>
        </w:rPr>
        <w:tab/>
        <w:t xml:space="preserve">We do not agree that the use of a Trust or SPV structure “masks the underlying risk exposure” of a security. The Trust or SPV structures used in the early types of securitizations have evolved and have become widespread in the financial markets. Trusts and SPVs are used so widely in finance, and indeed in business generally, that SAPWG should not place much, if any, weight on the presence of these vehicles.  A Trust or SPV format is often used, as the owner of assets and issuer of securities, solely to enable the issuer to grant a security interest in the assets to debt investors </w:t>
      </w:r>
      <w:r w:rsidRPr="00D924F4">
        <w:rPr>
          <w:b/>
          <w:bCs/>
          <w:i/>
          <w:iCs/>
          <w:szCs w:val="22"/>
        </w:rPr>
        <w:t>on a bankruptcy-remote basis</w:t>
      </w:r>
      <w:r w:rsidRPr="00D924F4">
        <w:rPr>
          <w:szCs w:val="22"/>
        </w:rPr>
        <w:t xml:space="preserve">.  The bankruptcy remote position is viewed by debt investors as a benefit. This is the rationale behind the more recent iteration of “whole business securitizations”.    </w:t>
      </w:r>
    </w:p>
    <w:p w14:paraId="6F3C2F75" w14:textId="77777777" w:rsidR="00FB1040" w:rsidRPr="00D924F4" w:rsidRDefault="00FB1040" w:rsidP="002B1EAD">
      <w:pPr>
        <w:pStyle w:val="ListParagraph"/>
        <w:ind w:left="1080"/>
        <w:jc w:val="both"/>
        <w:rPr>
          <w:szCs w:val="22"/>
        </w:rPr>
      </w:pPr>
    </w:p>
    <w:p w14:paraId="72F593FC" w14:textId="77A67F76" w:rsidR="00FB1040" w:rsidRPr="00D924F4" w:rsidRDefault="00FB1040" w:rsidP="002B1EAD">
      <w:pPr>
        <w:spacing w:after="160" w:line="259" w:lineRule="auto"/>
        <w:ind w:left="720"/>
        <w:jc w:val="both"/>
        <w:rPr>
          <w:szCs w:val="22"/>
        </w:rPr>
      </w:pPr>
      <w:r w:rsidRPr="00D924F4">
        <w:rPr>
          <w:szCs w:val="22"/>
        </w:rPr>
        <w:t xml:space="preserve">Nor do </w:t>
      </w:r>
      <w:r w:rsidR="009153D1">
        <w:rPr>
          <w:szCs w:val="22"/>
        </w:rPr>
        <w:t>i</w:t>
      </w:r>
      <w:r w:rsidRPr="00D924F4">
        <w:rPr>
          <w:szCs w:val="22"/>
        </w:rPr>
        <w:t xml:space="preserve">nterested </w:t>
      </w:r>
      <w:r w:rsidR="009153D1">
        <w:rPr>
          <w:szCs w:val="22"/>
        </w:rPr>
        <w:t>p</w:t>
      </w:r>
      <w:r w:rsidRPr="00D924F4">
        <w:rPr>
          <w:szCs w:val="22"/>
        </w:rPr>
        <w:t xml:space="preserve">arties agree that structures with many payors are “preferred” for securitizations. As stated previously, the CMBS market demonstrates this. Approximately half of recent issuance in the CMBS markets consists of deals with a single commercial mortgage as collateral. These deals, often referred to as single asset CMBS, have the advantage (from an investor standpoint) of allowing the investor to scrutinize and assess the underlying asset in detail. The other half of CMBS issuance consists of diverse pools of commercial mortgages. These CMBS deals offer the benefits of asset diversification, offset in some cases by exposure to asset types that the purchaser of CMBS views as more of a detriment than a positive. Some investors invest in both types of CMBS; some </w:t>
      </w:r>
      <w:r w:rsidRPr="00D924F4">
        <w:rPr>
          <w:szCs w:val="22"/>
        </w:rPr>
        <w:lastRenderedPageBreak/>
        <w:t>invest in neither; some invest in one type but not the other. It is not possible to conclude that either type is “preferred”.</w:t>
      </w:r>
    </w:p>
    <w:p w14:paraId="523B2DBF" w14:textId="1E5614C6" w:rsidR="00FB1040" w:rsidRPr="00D924F4" w:rsidRDefault="00FB1040" w:rsidP="002B1EAD">
      <w:pPr>
        <w:pStyle w:val="ListParagraph"/>
        <w:numPr>
          <w:ilvl w:val="0"/>
          <w:numId w:val="32"/>
        </w:numPr>
        <w:spacing w:after="160" w:line="259" w:lineRule="auto"/>
        <w:jc w:val="both"/>
        <w:rPr>
          <w:szCs w:val="22"/>
        </w:rPr>
      </w:pPr>
      <w:r w:rsidRPr="00D924F4">
        <w:rPr>
          <w:szCs w:val="22"/>
        </w:rPr>
        <w:t xml:space="preserve">The Issue Paper specifically asks if there are types of securities (other than affiliated transactions or RBC-arbitraging transactions) that are issued from a Trust or SPV which have more than one, but fewer than many, payors.  Interested </w:t>
      </w:r>
      <w:r w:rsidR="009153D1">
        <w:rPr>
          <w:szCs w:val="22"/>
        </w:rPr>
        <w:t>p</w:t>
      </w:r>
      <w:r w:rsidRPr="00D924F4">
        <w:rPr>
          <w:szCs w:val="22"/>
        </w:rPr>
        <w:t xml:space="preserve">arties are aware of such transactions, but for the most part they have been executed in the bank markets. The typical transaction features a company that is not a strong credit, but which sells products or services to highly rated customers. The receivables generated from the company’s sales of products or services are placed in a Trust or SPV structure, which in turn issues loans or securities. Only certain receivables are eligible. In practice, the bulk of the receivables might be payable by a small handful of key customers, often of higher credit quality. The structure gives the lender exposure to the better credits (the customers) while providing some insulation from a possible bankruptcy of the company. Our expectation is that only a subset of insurance companies will invest in these transactions; but we see no reason to exclude them in advance. </w:t>
      </w:r>
    </w:p>
    <w:p w14:paraId="4356D453" w14:textId="77777777" w:rsidR="00FB1040" w:rsidRPr="00D924F4" w:rsidRDefault="00FB1040" w:rsidP="002B1EAD">
      <w:pPr>
        <w:ind w:left="720"/>
        <w:jc w:val="both"/>
        <w:rPr>
          <w:szCs w:val="22"/>
        </w:rPr>
      </w:pPr>
      <w:r w:rsidRPr="00D924F4">
        <w:rPr>
          <w:szCs w:val="22"/>
        </w:rPr>
        <w:t xml:space="preserve">We are also aware of at least one EETC transaction that would fit this description.  It was the Air 2 US transaction, sponsored by Airbus, which had a mix of aircraft collateral in the SPV, some on lease to United Airlines, and some on lease to American Airlines.  Airbus had previously provided financing support to those airlines, in order to facilitate the purchase of Airbus aircraft, and the manufacturer decided to exit its financing interests using an EETC structure.  For all practical purposes, that deal behaved like a traditional EETC; however, it happened to have aircraft with two different airline obligors as opposed to one.  This deal was a market-clearing capital markets transaction that had nothing to do with affiliated transactions or with arbitraging RBC requirements. </w:t>
      </w:r>
    </w:p>
    <w:p w14:paraId="751C491E" w14:textId="77777777" w:rsidR="00FB1040" w:rsidRPr="00D924F4" w:rsidRDefault="00FB1040" w:rsidP="002B1EAD">
      <w:pPr>
        <w:ind w:left="720"/>
        <w:jc w:val="both"/>
        <w:rPr>
          <w:szCs w:val="22"/>
        </w:rPr>
      </w:pPr>
    </w:p>
    <w:p w14:paraId="592E035A" w14:textId="0F6D2D84" w:rsidR="00FB1040" w:rsidRPr="00D924F4" w:rsidRDefault="00FB1040" w:rsidP="002B1EAD">
      <w:pPr>
        <w:ind w:left="720"/>
        <w:jc w:val="both"/>
        <w:rPr>
          <w:szCs w:val="22"/>
        </w:rPr>
      </w:pPr>
      <w:r w:rsidRPr="00D924F4">
        <w:rPr>
          <w:szCs w:val="22"/>
        </w:rPr>
        <w:t xml:space="preserve">Interested </w:t>
      </w:r>
      <w:r w:rsidR="009153D1">
        <w:rPr>
          <w:szCs w:val="22"/>
        </w:rPr>
        <w:t>p</w:t>
      </w:r>
      <w:r w:rsidRPr="00D924F4">
        <w:rPr>
          <w:szCs w:val="22"/>
        </w:rPr>
        <w:t xml:space="preserve">arties expect that transactions featuring just a few obligors will remain a relatively small universe going forward.  We should note, however, that if the look-through approach is applied widely, many commonplace deals are subject to being recharacterized as having a few underlying obligors. For example, a deal issued by a sports league (which itself may be an unincorporated association) might have, as its primary underlying source of revenue, payments made under contracts with two national broadcasting networks.  </w:t>
      </w:r>
    </w:p>
    <w:p w14:paraId="55436C7C" w14:textId="77777777" w:rsidR="00FB1040" w:rsidRPr="00D924F4" w:rsidRDefault="00FB1040" w:rsidP="002B1EAD">
      <w:pPr>
        <w:ind w:left="720"/>
        <w:jc w:val="both"/>
        <w:rPr>
          <w:szCs w:val="22"/>
        </w:rPr>
      </w:pPr>
    </w:p>
    <w:p w14:paraId="16A5B441" w14:textId="3C1105F2" w:rsidR="00FB1040" w:rsidRPr="00D924F4" w:rsidRDefault="00FB1040" w:rsidP="002B1EAD">
      <w:pPr>
        <w:pStyle w:val="ListParagraph"/>
        <w:numPr>
          <w:ilvl w:val="0"/>
          <w:numId w:val="32"/>
        </w:numPr>
        <w:spacing w:after="160" w:line="259" w:lineRule="auto"/>
        <w:jc w:val="both"/>
        <w:rPr>
          <w:szCs w:val="22"/>
        </w:rPr>
      </w:pPr>
      <w:r w:rsidRPr="00D924F4">
        <w:rPr>
          <w:szCs w:val="22"/>
        </w:rPr>
        <w:t xml:space="preserve">The Issue Paper specifically asks whether amortized cost accounting (and not lower of cost or fair value) should be permitted for certain investments captured in this section.  Interested </w:t>
      </w:r>
      <w:r w:rsidR="009153D1">
        <w:rPr>
          <w:szCs w:val="22"/>
        </w:rPr>
        <w:t>p</w:t>
      </w:r>
      <w:r w:rsidRPr="00D924F4">
        <w:rPr>
          <w:szCs w:val="22"/>
        </w:rPr>
        <w:t xml:space="preserve">arties note that it is difficult to generalize about the investments captured in this section. For most of these investments, </w:t>
      </w:r>
      <w:r w:rsidR="009153D1">
        <w:rPr>
          <w:szCs w:val="22"/>
        </w:rPr>
        <w:t>i</w:t>
      </w:r>
      <w:r w:rsidRPr="00D924F4">
        <w:rPr>
          <w:szCs w:val="22"/>
        </w:rPr>
        <w:t xml:space="preserve">nterested </w:t>
      </w:r>
      <w:r w:rsidR="009153D1">
        <w:rPr>
          <w:szCs w:val="22"/>
        </w:rPr>
        <w:t>p</w:t>
      </w:r>
      <w:r w:rsidRPr="00D924F4">
        <w:rPr>
          <w:szCs w:val="22"/>
        </w:rPr>
        <w:t xml:space="preserve">arties believe that amortized cost accounting is appropriate. Rather than using the number of obligors to determine accounting treatment, </w:t>
      </w:r>
      <w:r w:rsidR="009153D1">
        <w:rPr>
          <w:szCs w:val="22"/>
        </w:rPr>
        <w:t>i</w:t>
      </w:r>
      <w:r w:rsidRPr="00D924F4">
        <w:rPr>
          <w:szCs w:val="22"/>
        </w:rPr>
        <w:t xml:space="preserve">nterested </w:t>
      </w:r>
      <w:r w:rsidR="009153D1">
        <w:rPr>
          <w:szCs w:val="22"/>
        </w:rPr>
        <w:t>p</w:t>
      </w:r>
      <w:r w:rsidRPr="00D924F4">
        <w:rPr>
          <w:szCs w:val="22"/>
        </w:rPr>
        <w:t>arties believe that the nature of the investment (specifically, whether there is extension/prepayment risk, and whether the debt cash flows are likely to be serviced as contractually promised) should determine accounting treatment.</w:t>
      </w:r>
    </w:p>
    <w:p w14:paraId="6E00E7F8" w14:textId="77777777" w:rsidR="00FB1040" w:rsidRPr="00D924F4" w:rsidRDefault="00FB1040" w:rsidP="002B1EAD">
      <w:pPr>
        <w:pStyle w:val="ListParagraph"/>
        <w:spacing w:after="160" w:line="259" w:lineRule="auto"/>
        <w:jc w:val="both"/>
        <w:rPr>
          <w:szCs w:val="22"/>
        </w:rPr>
      </w:pPr>
    </w:p>
    <w:p w14:paraId="33D00470" w14:textId="49952798" w:rsidR="00FB1040" w:rsidRPr="00D924F4" w:rsidRDefault="00FB1040" w:rsidP="002B1EAD">
      <w:pPr>
        <w:pStyle w:val="ListParagraph"/>
        <w:numPr>
          <w:ilvl w:val="0"/>
          <w:numId w:val="32"/>
        </w:numPr>
        <w:spacing w:after="160" w:line="259" w:lineRule="auto"/>
        <w:jc w:val="both"/>
        <w:rPr>
          <w:szCs w:val="22"/>
        </w:rPr>
      </w:pPr>
      <w:r w:rsidRPr="00D924F4">
        <w:rPr>
          <w:szCs w:val="22"/>
        </w:rPr>
        <w:t xml:space="preserve">The Issue Paper proposes “to require the SVO involvement in determining the appropriate NAIC designation.”  Interested </w:t>
      </w:r>
      <w:r w:rsidR="009153D1">
        <w:rPr>
          <w:szCs w:val="22"/>
        </w:rPr>
        <w:t>p</w:t>
      </w:r>
      <w:r w:rsidRPr="00D924F4">
        <w:rPr>
          <w:szCs w:val="22"/>
        </w:rPr>
        <w:t>arties see no reason to deny Filing Exemption to these investments. As stated in other contexts, eligibility for Filing Exemption should be presumed, so long as the transactions are non-affiliated and are not designed for the purpose of RBC</w:t>
      </w:r>
      <w:r w:rsidR="00B2552F" w:rsidRPr="00D924F4">
        <w:rPr>
          <w:szCs w:val="22"/>
        </w:rPr>
        <w:t xml:space="preserve"> </w:t>
      </w:r>
      <w:r w:rsidRPr="00D924F4">
        <w:rPr>
          <w:szCs w:val="22"/>
        </w:rPr>
        <w:t xml:space="preserve">arbitrage (i.e., where sale criteria in SSAP No. 103R has not been met). As a practical matter, it would be very difficult to craft a definition that provides clear boundaries for “more than one, but fewer than many”. </w:t>
      </w:r>
    </w:p>
    <w:p w14:paraId="4E471387" w14:textId="77777777" w:rsidR="00FB1040" w:rsidRPr="00D924F4" w:rsidRDefault="00FB1040" w:rsidP="002B1EAD">
      <w:pPr>
        <w:pStyle w:val="ListParagraph"/>
        <w:spacing w:after="160" w:line="259" w:lineRule="auto"/>
        <w:jc w:val="both"/>
        <w:rPr>
          <w:szCs w:val="22"/>
        </w:rPr>
      </w:pPr>
    </w:p>
    <w:p w14:paraId="756AA9D1" w14:textId="0981BB87" w:rsidR="00AC003A" w:rsidRPr="00D924F4" w:rsidRDefault="00FB1040" w:rsidP="002B1EAD">
      <w:pPr>
        <w:pStyle w:val="ListParagraph"/>
        <w:spacing w:after="160" w:line="259" w:lineRule="auto"/>
        <w:jc w:val="both"/>
        <w:rPr>
          <w:szCs w:val="22"/>
        </w:rPr>
      </w:pPr>
      <w:r w:rsidRPr="00D924F4">
        <w:rPr>
          <w:szCs w:val="22"/>
        </w:rPr>
        <w:lastRenderedPageBreak/>
        <w:t xml:space="preserve">The Issue Paper also contemplates an alternative option, where these transactions could be Filing Exempt, if they are rated by a CRP that is an NRSRO Registered for ABS.  Interested </w:t>
      </w:r>
      <w:r w:rsidR="009153D1">
        <w:rPr>
          <w:szCs w:val="22"/>
        </w:rPr>
        <w:t>p</w:t>
      </w:r>
      <w:r w:rsidRPr="00D924F4">
        <w:rPr>
          <w:szCs w:val="22"/>
        </w:rPr>
        <w:t xml:space="preserve">arties are open to this alternative approach. Indeed, </w:t>
      </w:r>
      <w:r w:rsidR="009153D1">
        <w:rPr>
          <w:szCs w:val="22"/>
        </w:rPr>
        <w:t>i</w:t>
      </w:r>
      <w:r w:rsidRPr="00D924F4">
        <w:rPr>
          <w:szCs w:val="22"/>
        </w:rPr>
        <w:t xml:space="preserve">nterested </w:t>
      </w:r>
      <w:r w:rsidR="009153D1">
        <w:rPr>
          <w:szCs w:val="22"/>
        </w:rPr>
        <w:t>p</w:t>
      </w:r>
      <w:r w:rsidRPr="00D924F4">
        <w:rPr>
          <w:szCs w:val="22"/>
        </w:rPr>
        <w:t>arties advocate defining ABS in a manner reflective of the wide range of ABS transactions in the market, and are open to</w:t>
      </w:r>
      <w:r w:rsidR="00B2552F" w:rsidRPr="00D924F4">
        <w:rPr>
          <w:szCs w:val="22"/>
        </w:rPr>
        <w:t xml:space="preserve"> discussing the possibility of</w:t>
      </w:r>
      <w:r w:rsidRPr="00D924F4">
        <w:rPr>
          <w:szCs w:val="22"/>
        </w:rPr>
        <w:t xml:space="preserve"> limiting eligibility for Filing Exemption to ABS rated by a CRP that is a NRSRO Registered for ABS. </w:t>
      </w:r>
    </w:p>
    <w:p w14:paraId="1C2741CD" w14:textId="4197BC4F" w:rsidR="00B242E6" w:rsidRPr="00D924F4" w:rsidRDefault="00B242E6" w:rsidP="005D1C23">
      <w:pPr>
        <w:spacing w:after="160" w:line="259" w:lineRule="auto"/>
        <w:rPr>
          <w:szCs w:val="22"/>
        </w:rPr>
      </w:pPr>
      <w:r w:rsidRPr="00D924F4">
        <w:rPr>
          <w:szCs w:val="22"/>
        </w:rPr>
        <w:br w:type="page"/>
      </w:r>
    </w:p>
    <w:p w14:paraId="63377F5B" w14:textId="737CA3E0" w:rsidR="00C6350A" w:rsidRPr="00D924F4" w:rsidRDefault="00201288" w:rsidP="002B1EAD">
      <w:pPr>
        <w:jc w:val="both"/>
        <w:rPr>
          <w:b/>
          <w:szCs w:val="22"/>
          <w:u w:val="single"/>
        </w:rPr>
      </w:pPr>
      <w:r w:rsidRPr="00D924F4">
        <w:rPr>
          <w:b/>
          <w:szCs w:val="22"/>
          <w:u w:val="single"/>
        </w:rPr>
        <w:lastRenderedPageBreak/>
        <w:t xml:space="preserve">Section </w:t>
      </w:r>
      <w:r w:rsidR="00B15184" w:rsidRPr="00D924F4">
        <w:rPr>
          <w:b/>
          <w:szCs w:val="22"/>
          <w:u w:val="single"/>
        </w:rPr>
        <w:t>5c</w:t>
      </w:r>
      <w:r w:rsidR="00C6350A" w:rsidRPr="00D924F4">
        <w:rPr>
          <w:b/>
          <w:szCs w:val="22"/>
          <w:u w:val="single"/>
        </w:rPr>
        <w:t xml:space="preserve"> – Accounting and Reporting for Non-CFR ABS and Non-Traditional Securitizations – Security Partially Impacted by Equity Collateral</w:t>
      </w:r>
    </w:p>
    <w:p w14:paraId="096BB3D0" w14:textId="77777777" w:rsidR="007F075A" w:rsidRPr="00D924F4" w:rsidRDefault="007F075A" w:rsidP="002B1EAD">
      <w:pPr>
        <w:jc w:val="bot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7F075A" w:rsidRPr="00D924F4" w14:paraId="7244E582" w14:textId="77777777" w:rsidTr="003D7DAB">
        <w:tc>
          <w:tcPr>
            <w:tcW w:w="8990" w:type="dxa"/>
          </w:tcPr>
          <w:p w14:paraId="03DDE272" w14:textId="77777777" w:rsidR="007F075A" w:rsidRPr="00D924F4" w:rsidRDefault="007F075A" w:rsidP="002B1EAD">
            <w:pPr>
              <w:pStyle w:val="ListContinue"/>
              <w:numPr>
                <w:ilvl w:val="0"/>
                <w:numId w:val="0"/>
              </w:numPr>
              <w:rPr>
                <w:b/>
                <w:bCs/>
                <w:sz w:val="22"/>
                <w:szCs w:val="22"/>
                <w:u w:val="single"/>
              </w:rPr>
            </w:pPr>
            <w:r w:rsidRPr="00D924F4">
              <w:rPr>
                <w:b/>
                <w:bCs/>
                <w:sz w:val="22"/>
                <w:szCs w:val="22"/>
                <w:u w:val="single"/>
              </w:rPr>
              <w:t xml:space="preserve">Overview of Key Concepts: </w:t>
            </w:r>
          </w:p>
        </w:tc>
      </w:tr>
      <w:tr w:rsidR="007F075A" w:rsidRPr="00D924F4" w14:paraId="4200E803" w14:textId="77777777" w:rsidTr="003D7DAB">
        <w:tc>
          <w:tcPr>
            <w:tcW w:w="8990" w:type="dxa"/>
          </w:tcPr>
          <w:p w14:paraId="5825B1F9" w14:textId="77777777" w:rsidR="007F075A" w:rsidRPr="00D924F4" w:rsidRDefault="007F075A" w:rsidP="002B1EAD">
            <w:pPr>
              <w:pStyle w:val="ListContinue"/>
              <w:numPr>
                <w:ilvl w:val="0"/>
                <w:numId w:val="2"/>
              </w:numPr>
              <w:rPr>
                <w:sz w:val="22"/>
                <w:szCs w:val="22"/>
              </w:rPr>
            </w:pPr>
            <w:r w:rsidRPr="00D924F4">
              <w:rPr>
                <w:sz w:val="22"/>
                <w:szCs w:val="22"/>
              </w:rPr>
              <w:t>This section addresses items where the coupon payments, principal repayment and whether default occurs, is partially determined based on the performance of equity assets held in trust.</w:t>
            </w:r>
          </w:p>
          <w:p w14:paraId="39298023" w14:textId="77777777" w:rsidR="007F075A" w:rsidRPr="00D924F4" w:rsidRDefault="007F075A" w:rsidP="002B1EAD">
            <w:pPr>
              <w:pStyle w:val="ListContinue"/>
              <w:numPr>
                <w:ilvl w:val="0"/>
                <w:numId w:val="2"/>
              </w:numPr>
              <w:rPr>
                <w:sz w:val="22"/>
                <w:szCs w:val="22"/>
              </w:rPr>
            </w:pPr>
            <w:r w:rsidRPr="00D924F4">
              <w:rPr>
                <w:sz w:val="22"/>
                <w:szCs w:val="22"/>
              </w:rPr>
              <w:t xml:space="preserve">Guidance identifies that these may be desirable investments, but are not debt instruments. </w:t>
            </w:r>
          </w:p>
          <w:p w14:paraId="0825A106" w14:textId="77777777" w:rsidR="007F075A" w:rsidRPr="00D924F4" w:rsidRDefault="007F075A" w:rsidP="002B1EAD">
            <w:pPr>
              <w:pStyle w:val="ListContinue"/>
              <w:numPr>
                <w:ilvl w:val="0"/>
                <w:numId w:val="2"/>
              </w:numPr>
              <w:rPr>
                <w:sz w:val="22"/>
                <w:szCs w:val="22"/>
              </w:rPr>
            </w:pPr>
            <w:r w:rsidRPr="00D924F4">
              <w:rPr>
                <w:sz w:val="22"/>
                <w:szCs w:val="22"/>
              </w:rPr>
              <w:t xml:space="preserve">The proposed guidance suggests alternative accounting and reporting treatment for these securities, suggesting new guidance in SSAP No. 48 or in a new SSAP. </w:t>
            </w:r>
          </w:p>
          <w:p w14:paraId="269F22A5" w14:textId="77777777" w:rsidR="007F075A" w:rsidRPr="00D924F4" w:rsidRDefault="007F075A" w:rsidP="002B1EAD">
            <w:pPr>
              <w:pStyle w:val="ListContinue"/>
              <w:numPr>
                <w:ilvl w:val="0"/>
                <w:numId w:val="2"/>
              </w:numPr>
              <w:rPr>
                <w:sz w:val="22"/>
                <w:szCs w:val="22"/>
              </w:rPr>
            </w:pPr>
            <w:r w:rsidRPr="00D924F4">
              <w:rPr>
                <w:sz w:val="22"/>
                <w:szCs w:val="22"/>
              </w:rPr>
              <w:t xml:space="preserve">The information identifies that RBC may be the driving factor in reporting these investments on Schedule D-1. </w:t>
            </w:r>
          </w:p>
        </w:tc>
      </w:tr>
      <w:tr w:rsidR="007F075A" w:rsidRPr="00D924F4" w14:paraId="7D260D52" w14:textId="77777777" w:rsidTr="003D7DAB">
        <w:tc>
          <w:tcPr>
            <w:tcW w:w="8990" w:type="dxa"/>
          </w:tcPr>
          <w:p w14:paraId="37D18D49" w14:textId="77777777" w:rsidR="007F075A" w:rsidRPr="00D924F4" w:rsidRDefault="007F075A" w:rsidP="002B1EAD">
            <w:pPr>
              <w:pStyle w:val="ListContinue"/>
              <w:numPr>
                <w:ilvl w:val="0"/>
                <w:numId w:val="0"/>
              </w:numPr>
              <w:rPr>
                <w:b/>
                <w:bCs/>
                <w:sz w:val="22"/>
                <w:szCs w:val="22"/>
                <w:u w:val="single"/>
              </w:rPr>
            </w:pPr>
            <w:r w:rsidRPr="00D924F4">
              <w:rPr>
                <w:b/>
                <w:bCs/>
                <w:sz w:val="22"/>
                <w:szCs w:val="22"/>
                <w:u w:val="single"/>
              </w:rPr>
              <w:t xml:space="preserve">Questions / Comments: </w:t>
            </w:r>
          </w:p>
        </w:tc>
      </w:tr>
      <w:tr w:rsidR="007F075A" w:rsidRPr="00D924F4" w14:paraId="310D5EC7" w14:textId="77777777" w:rsidTr="003D7DAB">
        <w:tc>
          <w:tcPr>
            <w:tcW w:w="8990" w:type="dxa"/>
          </w:tcPr>
          <w:p w14:paraId="37DA00E5" w14:textId="77777777" w:rsidR="007F075A" w:rsidRPr="00D924F4" w:rsidRDefault="007F075A" w:rsidP="002B1EAD">
            <w:pPr>
              <w:pStyle w:val="ListContinue"/>
              <w:numPr>
                <w:ilvl w:val="0"/>
                <w:numId w:val="3"/>
              </w:numPr>
              <w:rPr>
                <w:sz w:val="22"/>
                <w:szCs w:val="22"/>
              </w:rPr>
            </w:pPr>
            <w:r w:rsidRPr="00D924F4">
              <w:rPr>
                <w:sz w:val="22"/>
                <w:szCs w:val="22"/>
              </w:rPr>
              <w:t xml:space="preserve">Comments are requested on the different types of structures that would be captured within this category and if there are characteristics that are reflected in some structures that would support different accounting and reporting treatment from other structures in this category.  </w:t>
            </w:r>
          </w:p>
          <w:p w14:paraId="41611FA4" w14:textId="77777777" w:rsidR="007F075A" w:rsidRPr="00D924F4" w:rsidRDefault="007F075A" w:rsidP="002B1EAD">
            <w:pPr>
              <w:pStyle w:val="ListContinue"/>
              <w:numPr>
                <w:ilvl w:val="0"/>
                <w:numId w:val="3"/>
              </w:numPr>
              <w:rPr>
                <w:sz w:val="22"/>
                <w:szCs w:val="22"/>
              </w:rPr>
            </w:pPr>
            <w:r w:rsidRPr="00D924F4">
              <w:rPr>
                <w:sz w:val="22"/>
                <w:szCs w:val="22"/>
              </w:rPr>
              <w:t>Is there a different accounting / reporting approach that should be taken for these securities?</w:t>
            </w:r>
          </w:p>
          <w:p w14:paraId="4607B73C" w14:textId="77777777" w:rsidR="007F075A" w:rsidRPr="00D924F4" w:rsidRDefault="007F075A" w:rsidP="002B1EAD">
            <w:pPr>
              <w:pStyle w:val="ListContinue"/>
              <w:numPr>
                <w:ilvl w:val="0"/>
                <w:numId w:val="3"/>
              </w:numPr>
              <w:rPr>
                <w:sz w:val="22"/>
                <w:szCs w:val="22"/>
              </w:rPr>
            </w:pPr>
            <w:r w:rsidRPr="00D924F4">
              <w:rPr>
                <w:sz w:val="22"/>
                <w:szCs w:val="22"/>
              </w:rPr>
              <w:t xml:space="preserve">If these items are excluded from Schedule D-1, what factors (e.g., asset coverage / over-collateralization, etc.,) could be considered in determining an appropriate RBC?   </w:t>
            </w:r>
          </w:p>
        </w:tc>
      </w:tr>
    </w:tbl>
    <w:p w14:paraId="2CF47174" w14:textId="163A7335" w:rsidR="007F075A" w:rsidRPr="00D924F4" w:rsidRDefault="007F075A" w:rsidP="002B1EAD">
      <w:pPr>
        <w:jc w:val="both"/>
        <w:rPr>
          <w:szCs w:val="22"/>
        </w:rPr>
      </w:pPr>
    </w:p>
    <w:p w14:paraId="290EFAE2" w14:textId="77777777" w:rsidR="002370CE" w:rsidRPr="00D924F4" w:rsidRDefault="002370CE" w:rsidP="002B1EAD">
      <w:pPr>
        <w:jc w:val="both"/>
        <w:rPr>
          <w:szCs w:val="22"/>
        </w:rPr>
      </w:pPr>
      <w:r w:rsidRPr="00D924F4">
        <w:rPr>
          <w:szCs w:val="22"/>
        </w:rPr>
        <w:t>Regarding the following bullet points, as they relate to CFOs and similar structures;</w:t>
      </w:r>
    </w:p>
    <w:p w14:paraId="3EBB8346" w14:textId="77777777" w:rsidR="002370CE" w:rsidRPr="00D924F4" w:rsidRDefault="002370CE" w:rsidP="002B1EAD">
      <w:pPr>
        <w:jc w:val="both"/>
        <w:rPr>
          <w:szCs w:val="22"/>
        </w:rPr>
      </w:pPr>
    </w:p>
    <w:p w14:paraId="3AA7DFBC" w14:textId="77777777" w:rsidR="002370CE" w:rsidRPr="00D924F4" w:rsidRDefault="002370CE" w:rsidP="002B1EAD">
      <w:pPr>
        <w:numPr>
          <w:ilvl w:val="0"/>
          <w:numId w:val="3"/>
        </w:numPr>
        <w:spacing w:after="220"/>
        <w:jc w:val="both"/>
        <w:rPr>
          <w:szCs w:val="22"/>
        </w:rPr>
      </w:pPr>
      <w:r w:rsidRPr="00D924F4">
        <w:rPr>
          <w:szCs w:val="22"/>
        </w:rPr>
        <w:t>Comments are requested on the different types of structures that would be captured within this category and if there are characteristics that are reflected in some structures that would support different accounting and reporting treatment from other structures in this category.</w:t>
      </w:r>
    </w:p>
    <w:p w14:paraId="553EF7D4" w14:textId="1A1722DB" w:rsidR="002370CE" w:rsidRPr="00D924F4" w:rsidRDefault="002370CE" w:rsidP="002B1EAD">
      <w:pPr>
        <w:spacing w:after="220"/>
        <w:jc w:val="both"/>
        <w:rPr>
          <w:szCs w:val="22"/>
        </w:rPr>
      </w:pPr>
      <w:r w:rsidRPr="00D924F4">
        <w:rPr>
          <w:szCs w:val="22"/>
        </w:rPr>
        <w:t xml:space="preserve">Is it the intent to have the rule relate only to assets “held in trust”, or is it more broadly related to debt backed by equity instruments?  Interested </w:t>
      </w:r>
      <w:r w:rsidR="009153D1">
        <w:rPr>
          <w:szCs w:val="22"/>
        </w:rPr>
        <w:t>p</w:t>
      </w:r>
      <w:r w:rsidRPr="00D924F4">
        <w:rPr>
          <w:szCs w:val="22"/>
        </w:rPr>
        <w:t xml:space="preserve">arties do not understand why a definition of whether an instrument constitutes debt should depend on the type of business entity issuing the instrument.  The staff note following paragraph 53 inadvertently highlights the pitfalls of this approach. There is a discussion of Closed-end Fund debt, some of which is issued by funds owning only equity securities.  It is noted that some reporting entities classify these as bonds in SSAP No. 26R.  Then a comment is made that NAIC Staff had expected such instruments to be captured in SSAP No. 43R “due to the presence of a trust structure”.   </w:t>
      </w:r>
      <w:r w:rsidR="00B2552F" w:rsidRPr="00D924F4">
        <w:rPr>
          <w:szCs w:val="22"/>
        </w:rPr>
        <w:t>However,</w:t>
      </w:r>
      <w:r w:rsidRPr="00D924F4">
        <w:rPr>
          <w:szCs w:val="22"/>
        </w:rPr>
        <w:t xml:space="preserve"> there is no trust structure as most closed end funds are corporations.</w:t>
      </w:r>
    </w:p>
    <w:p w14:paraId="6BB65342" w14:textId="2D50CEA5" w:rsidR="002370CE" w:rsidRPr="00D924F4" w:rsidRDefault="002370CE" w:rsidP="002B1EAD">
      <w:pPr>
        <w:spacing w:after="220"/>
        <w:jc w:val="both"/>
        <w:rPr>
          <w:szCs w:val="22"/>
        </w:rPr>
      </w:pPr>
      <w:r w:rsidRPr="00D924F4">
        <w:rPr>
          <w:szCs w:val="22"/>
        </w:rPr>
        <w:t xml:space="preserve">The regulatory concerns stated in Section 5c and 5d seem to have migrated from an understandable concern over instruments where the investor’s contractual entitlement under the instrument directly depends on the performance of an equity security or index, to a much more sweeping concern over debt securities where the investor’s practical ability to collect principal and interest is impacted in some general way by the “performance” of equity assets held by the issuer of the instrument. Interested </w:t>
      </w:r>
      <w:r w:rsidR="009153D1">
        <w:rPr>
          <w:szCs w:val="22"/>
        </w:rPr>
        <w:t>p</w:t>
      </w:r>
      <w:r w:rsidRPr="00D924F4">
        <w:rPr>
          <w:szCs w:val="22"/>
        </w:rPr>
        <w:t xml:space="preserve">arties understand the concerns over the former category, in which the instrument resembles, in some ways, a variable annuity. The latter category, however, could encompass a wide array of securities, particularly if the aspect of a Trust is discarded, and the rule is written to apply to instruments issued by any type of business entity. The following paragraphs will attempt to illustrate this. </w:t>
      </w:r>
    </w:p>
    <w:p w14:paraId="4CA5039C" w14:textId="77777777" w:rsidR="002370CE" w:rsidRPr="00D924F4" w:rsidRDefault="002370CE" w:rsidP="002B1EAD">
      <w:pPr>
        <w:spacing w:after="160" w:line="256" w:lineRule="auto"/>
        <w:jc w:val="both"/>
        <w:rPr>
          <w:szCs w:val="22"/>
        </w:rPr>
      </w:pPr>
      <w:r w:rsidRPr="00D924F4">
        <w:rPr>
          <w:szCs w:val="22"/>
        </w:rPr>
        <w:lastRenderedPageBreak/>
        <w:t>Debt securities whose repayment is dependent upon equity ownership interests are common and have trillions of dollars of issuance outstanding.  Debt securities whose repayment is dependent upon equity ownership are viewed by the SEC, capital markets, rating agencies, and accounting standards organizations (FASB and IFRS) as bonds.  Examples of debt issued by corporations, limited liability companies, partnerships, trusts and other business entities whose performance is wholly, or partially based on the performance of equity instruments include:</w:t>
      </w:r>
    </w:p>
    <w:p w14:paraId="71886298" w14:textId="77777777" w:rsidR="002370CE" w:rsidRPr="00D924F4" w:rsidRDefault="002370CE" w:rsidP="002B1EAD">
      <w:pPr>
        <w:spacing w:after="160" w:line="256" w:lineRule="auto"/>
        <w:jc w:val="both"/>
        <w:rPr>
          <w:szCs w:val="22"/>
        </w:rPr>
      </w:pPr>
      <w:r w:rsidRPr="00D924F4">
        <w:rPr>
          <w:szCs w:val="22"/>
          <w:u w:val="single"/>
        </w:rPr>
        <w:t>Holding Companies</w:t>
      </w:r>
      <w:r w:rsidRPr="00D924F4">
        <w:rPr>
          <w:szCs w:val="22"/>
        </w:rPr>
        <w:t xml:space="preserve">:   Holding company debt is prevalent.  There are thousands of holding company debt issuers worldwide, including well known corporations such as Berkshire Hathaway, Alphabet, utility holding companies (e.g. DTE Energy or Alinta) or banks (e.g. JP Morgan or Barclays).   These holding companies do not have operating businesses, but instead have ownership interests in subsidiaries, which can take the form of equity shares or partnership interests.  </w:t>
      </w:r>
    </w:p>
    <w:p w14:paraId="183B42C7" w14:textId="42653C6F" w:rsidR="002370CE" w:rsidRPr="00D924F4" w:rsidRDefault="002370CE" w:rsidP="002B1EAD">
      <w:pPr>
        <w:spacing w:after="160" w:line="256" w:lineRule="auto"/>
        <w:jc w:val="both"/>
        <w:rPr>
          <w:szCs w:val="22"/>
        </w:rPr>
      </w:pPr>
      <w:r w:rsidRPr="00D924F4">
        <w:rPr>
          <w:szCs w:val="22"/>
        </w:rPr>
        <w:t xml:space="preserve">Often, debt issued by a holding company is not guaranteed by the holding company’s subsidiaries.  Instead, holding companies look to the equity of their subsidiaries to meet all holding company obligations.  Subsidiaries can pay dividends to the holding company so the holding company can service its debt, for example.  Alternatively, a holding company can sell equity interests in its subsidiaries and use the proceeds from the sales to service holding company debt.  The SEC, capital markets, rating agencies and accounting standards organizations (FASB and IFRS) all view obligations for borrowed money at holding companies as debt.  The Internal Revenue Service also recognizes such obligations as debt. (Indeed, insurers who purchase such obligations are often required to furnish a Form W-9, which is designed to give the IRS the practical ability to double check whether the insurer is accurately reporting the receipt of interest income on its federal tax return.).  The fact that the assets of the holding company are equity does not cause debt obligations to be recast as equity.  Obligations for borrowed money are debt, notwithstanding the fact that dividends made by a subsidiary to a holding company can only be paid to the holding company if the subsidiary is solvent.  Dividends from subsidiaries are further restricted by financial covenants imposed by lenders to the subsidiary and by corporate law limiting dividend payments to those payable out of surplus.  Holding companies issue both amortizing debt and bullet maturity debt (where the holding company is taking refinancing risk).  Debt is repaid from dividends, equity sales or refinancing.   </w:t>
      </w:r>
    </w:p>
    <w:p w14:paraId="347D92F4" w14:textId="77777777" w:rsidR="002370CE" w:rsidRPr="00D924F4" w:rsidRDefault="002370CE" w:rsidP="002B1EAD">
      <w:pPr>
        <w:spacing w:after="160" w:line="256" w:lineRule="auto"/>
        <w:jc w:val="both"/>
        <w:rPr>
          <w:szCs w:val="22"/>
        </w:rPr>
      </w:pPr>
      <w:r w:rsidRPr="00D924F4">
        <w:rPr>
          <w:szCs w:val="22"/>
          <w:u w:val="single"/>
        </w:rPr>
        <w:t>Business Development Corporations (“BDCs”)</w:t>
      </w:r>
      <w:r w:rsidRPr="00D924F4">
        <w:rPr>
          <w:szCs w:val="22"/>
        </w:rPr>
        <w:t>:   BDCs are authorized by the 1940 Act.  BDCs invest in the debt and the equity of underlying portfolio companies that they finance.   BDCs rely upon income from, and the continued harvesting of, such investments to service debt issued by the BDC.  Borrowed money issued by BDCs is considered debt by the SEC, capital markets, rating agencies and accounting standards organizations (FASB and IFRS).  BDC obligations for borrowed money are not re-characterized as equity, even though the assets of the BDC are not operating assets, but instead financial instruments held by the BDC.</w:t>
      </w:r>
    </w:p>
    <w:p w14:paraId="507B5921" w14:textId="77777777" w:rsidR="002370CE" w:rsidRPr="00D924F4" w:rsidRDefault="002370CE" w:rsidP="002B1EAD">
      <w:pPr>
        <w:spacing w:after="160" w:line="256" w:lineRule="auto"/>
        <w:jc w:val="both"/>
        <w:rPr>
          <w:szCs w:val="22"/>
        </w:rPr>
      </w:pPr>
      <w:r w:rsidRPr="00D924F4">
        <w:rPr>
          <w:szCs w:val="22"/>
          <w:u w:val="single"/>
        </w:rPr>
        <w:t>Real Estate Investment Trusts (“REITS”) and Master Limited Partnerships (“MLPs”)</w:t>
      </w:r>
      <w:r w:rsidRPr="00D924F4">
        <w:rPr>
          <w:szCs w:val="22"/>
        </w:rPr>
        <w:t xml:space="preserve">:  Under U.S. Federal income tax law, a REIT is “any corporation, trust or association that acts as an investment agent specializing in real estate…”. The early REITs focused on the ownership of mortgages. Today, most REITs focus on owning real estate equities.  </w:t>
      </w:r>
    </w:p>
    <w:p w14:paraId="27173390" w14:textId="77777777" w:rsidR="002370CE" w:rsidRPr="00D924F4" w:rsidRDefault="002370CE" w:rsidP="002B1EAD">
      <w:pPr>
        <w:spacing w:after="160" w:line="256" w:lineRule="auto"/>
        <w:jc w:val="both"/>
        <w:rPr>
          <w:szCs w:val="22"/>
        </w:rPr>
      </w:pPr>
      <w:r w:rsidRPr="00D924F4">
        <w:rPr>
          <w:szCs w:val="22"/>
        </w:rPr>
        <w:t xml:space="preserve">The Omnibus Budget Reconciliation Act of 1987 (also known as the Revenue Act of 1987) delineated that an MLP must earn at least 90% of its gross income from qualifying sources, which were defined as the transportation, processing, storage, and production of natural resources and minerals.  MLPs typically do not own the operating assets directly, but instead like REITs, they focus on owning the equity of entities that own assets that generate qualifying income. </w:t>
      </w:r>
    </w:p>
    <w:p w14:paraId="4021D65B" w14:textId="77777777" w:rsidR="002370CE" w:rsidRPr="00D924F4" w:rsidRDefault="002370CE" w:rsidP="002B1EAD">
      <w:pPr>
        <w:spacing w:after="160" w:line="256" w:lineRule="auto"/>
        <w:jc w:val="both"/>
        <w:rPr>
          <w:szCs w:val="22"/>
        </w:rPr>
      </w:pPr>
      <w:r w:rsidRPr="00D924F4">
        <w:rPr>
          <w:szCs w:val="22"/>
        </w:rPr>
        <w:lastRenderedPageBreak/>
        <w:t xml:space="preserve">The underlying REIT and MLP assets that generate earnings and cashflows are not owned directly, but rather in an array of subsidiaries that may be partnerships, limited liability companies or other vehicles.  REITs and MLPs rely upon cash flow paid from equity interests, and often the sale of equities, to service debt issued by the MLP or REIT.  In that sense, the practical ability of the holder of REIT or MLP debt to collect depends on the “performance” of the equities owned by the REIT or MLP.  The SEC, capital markets, rating agencies and accounting standards organizations (FASB and IFRS) characterize obligations for borrowed money issued by MLPs or REITs as debt.  These obligations are not recast as equity.  </w:t>
      </w:r>
    </w:p>
    <w:p w14:paraId="6D293FFE" w14:textId="77777777" w:rsidR="002370CE" w:rsidRPr="00D924F4" w:rsidRDefault="002370CE" w:rsidP="002B1EAD">
      <w:pPr>
        <w:spacing w:after="220"/>
        <w:jc w:val="both"/>
        <w:rPr>
          <w:szCs w:val="22"/>
        </w:rPr>
      </w:pPr>
      <w:r w:rsidRPr="00D924F4">
        <w:rPr>
          <w:szCs w:val="22"/>
          <w:u w:val="single"/>
        </w:rPr>
        <w:t>Closed-end Funds (“CEFs”)</w:t>
      </w:r>
      <w:r w:rsidRPr="00D924F4">
        <w:rPr>
          <w:szCs w:val="22"/>
        </w:rPr>
        <w:t xml:space="preserve">:  Debt issued by listed 1940 Act vehicles that invest in equity or debt securities are another example of debt securities that, in many instances, are backed by equity holdings. These funds often issue </w:t>
      </w:r>
      <w:r w:rsidRPr="00D924F4">
        <w:rPr>
          <w:rFonts w:eastAsiaTheme="minorHAnsi"/>
          <w:szCs w:val="22"/>
        </w:rPr>
        <w:t xml:space="preserve">debt and/or preferred stock (both of which are regulated as leverage under the 1940 Act) </w:t>
      </w:r>
      <w:r w:rsidRPr="00D924F4">
        <w:rPr>
          <w:szCs w:val="22"/>
        </w:rPr>
        <w:t xml:space="preserve">to enhance the expected returns for shareholders in the funds.  The debt issued by the CEFs is serviced from dividend and interest income generated by portfolio holdings.  CEFs, in effect, use debt as a margin financing.  Indeed, in some instance holders of CEF debt must make filing under margin lending rules.  The 1940 Act reflects this reality with certain built in protections for lenders, and lenders to CEFs often impose additional limits on the use of leverage.  For instance, covenants in debt instruments often require the CEF to repay its borrowed money, if the market value of its portfolio does not exceed the value of its debt by a specified coverage level.  The SEC, capital markets, rating agencies and accounting standards organizations (FASB and IFRS) do not consider borrowed money issued by CEFs as anything but debt, even though the assets of many CEFs consist solely of equity shares whose market values change constantly.  CEFs pay debt service through dividends received from equity shares held by the CEF, or by sale of shares owned by the CEF, as well as by refinancing. </w:t>
      </w:r>
    </w:p>
    <w:p w14:paraId="6288D26E" w14:textId="77777777" w:rsidR="002370CE" w:rsidRPr="00D924F4" w:rsidRDefault="002370CE" w:rsidP="002B1EAD">
      <w:pPr>
        <w:spacing w:after="220"/>
        <w:jc w:val="both"/>
        <w:rPr>
          <w:szCs w:val="22"/>
        </w:rPr>
      </w:pPr>
      <w:r w:rsidRPr="00D924F4">
        <w:rPr>
          <w:szCs w:val="22"/>
          <w:u w:val="single"/>
        </w:rPr>
        <w:t>Collateralized Fund Obligations (“CFOs”)</w:t>
      </w:r>
      <w:r w:rsidRPr="00D924F4">
        <w:rPr>
          <w:szCs w:val="22"/>
        </w:rPr>
        <w:t>: CFOs are similar to Closed-end Funds in that they typically invest in equity securities (main difference is the CFOs invest in partnership stakes in private equity funds or in privately held companies, while CEFs typically invest in public stock or debt).   The underlying funds do not guarantee the debt issued by a CFO, but the debt issued by a CFO benefits from significant overcollateralization and, in some cases, reserve accounts and/or liquidity facilities that ensure the contractual debt payments can be made under a variety of market conditions.  Private equity firms have accumulated business holdings that rival, and in some case exceed, the total amount of operating company assets controlled by major corporations.  The portfolio holdings of private equity funds contain many individual companies and often are more diverse in their industry and economic cycle exposure than corporations that sell a single product or service.   CFOs service their debt from dividends received from portfolio companies, sale of portfolio holdings or refinancing, and in that sense, are no different than debt issued by holding companies, BDCs, MLPs and REITs or CEFs.</w:t>
      </w:r>
    </w:p>
    <w:p w14:paraId="35FDBA2D" w14:textId="77777777" w:rsidR="002370CE" w:rsidRPr="00D924F4" w:rsidRDefault="002370CE" w:rsidP="002B1EAD">
      <w:pPr>
        <w:spacing w:after="220"/>
        <w:jc w:val="both"/>
        <w:rPr>
          <w:szCs w:val="22"/>
        </w:rPr>
      </w:pPr>
      <w:r w:rsidRPr="00D924F4">
        <w:rPr>
          <w:szCs w:val="22"/>
        </w:rPr>
        <w:t>CFOs are structured with protections for the investors who provide borrowed money or debt to the CFO.  As with CEFs, lenders benefit from covenants that limit leverage, typically with respect to the market value of the assets in the CFO.  The leverage limits for CFOs tend to have greater structural features than Closed-end Funds to protect lenders to CFOs, because CFOs invest in pools that hold illiquid assets lacking observable market values.  Because CFOs own less liquid investments, the value of these investments often is not directly observable by a quotation on an exchange, but instead is determined by a valuation process that compares the less liquid valuation to liquid assets, adjusted for an illiquidity charge.  Debt issued by CFOs is recognized by the SEC, capital markets, rating agencies and accounting standards organizations (FASB and IFRS) to be debt or borrowed money, just as borrowed money for holding companies, which rely upon ownership interests, have their borrowed money classified as debt.</w:t>
      </w:r>
    </w:p>
    <w:p w14:paraId="61DC1F9F" w14:textId="77777777" w:rsidR="002370CE" w:rsidRPr="00D924F4" w:rsidRDefault="002370CE" w:rsidP="002B1EAD">
      <w:pPr>
        <w:spacing w:after="220"/>
        <w:jc w:val="both"/>
        <w:rPr>
          <w:szCs w:val="22"/>
        </w:rPr>
      </w:pPr>
      <w:r w:rsidRPr="00D924F4">
        <w:rPr>
          <w:szCs w:val="22"/>
        </w:rPr>
        <w:t xml:space="preserve">Investors, lenders and rating agencies assess the risk of the debt issued by a CFO using the same fundamental principle used by a lender to a holding company, BDC, MLP and REIT, or CEF:  evaluation of the stability/predictably of the cash flows received from the underlying assets, combined with the level of overcollateralization.  In all cases, no matter the legal form of the borrower, be it a holding company or </w:t>
      </w:r>
      <w:r w:rsidRPr="00D924F4">
        <w:rPr>
          <w:szCs w:val="22"/>
        </w:rPr>
        <w:lastRenderedPageBreak/>
        <w:t xml:space="preserve">otherwise, the amount of debt permitted for a given risk level, or rating of the probability of payment interruption, is sized based upon the certainty and predictability of the cash flow of, and/or salability of, the assets held.  The more stable and predictable the cash flows, the greater leverage allowed.  Sizing of debt backed by the equity interests in the investment grade markets is done to ensure that, under a variety of market conditions, the debt can be serviced by the cash flows received from the underlying investments. </w:t>
      </w:r>
    </w:p>
    <w:p w14:paraId="5EDC8FB9" w14:textId="72A3B94C" w:rsidR="003A5772" w:rsidRPr="00D924F4" w:rsidRDefault="002370CE" w:rsidP="002B1EAD">
      <w:pPr>
        <w:spacing w:after="220"/>
        <w:jc w:val="both"/>
        <w:rPr>
          <w:szCs w:val="22"/>
        </w:rPr>
      </w:pPr>
      <w:r w:rsidRPr="00D924F4">
        <w:rPr>
          <w:szCs w:val="22"/>
        </w:rPr>
        <w:t>If overcollateralization levels decline, the assigned ratings on the debt security decline as well.  In addition, if the cashflows are insufficient to service the contractual debt payments, the debt security issued by the CFO will be impaired to reflect this.</w:t>
      </w:r>
    </w:p>
    <w:p w14:paraId="63DEC9FA" w14:textId="77777777" w:rsidR="002370CE" w:rsidRPr="00D924F4" w:rsidRDefault="002370CE" w:rsidP="002B1EAD">
      <w:pPr>
        <w:spacing w:after="220"/>
        <w:jc w:val="both"/>
        <w:rPr>
          <w:rFonts w:eastAsiaTheme="minorHAnsi"/>
          <w:szCs w:val="22"/>
        </w:rPr>
      </w:pPr>
      <w:r w:rsidRPr="00D924F4">
        <w:rPr>
          <w:rFonts w:eastAsiaTheme="minorHAnsi"/>
          <w:noProof/>
          <w:szCs w:val="22"/>
        </w:rPr>
        <mc:AlternateContent>
          <mc:Choice Requires="wpg">
            <w:drawing>
              <wp:anchor distT="0" distB="0" distL="114300" distR="114300" simplePos="0" relativeHeight="251664384" behindDoc="1" locked="0" layoutInCell="1" allowOverlap="1" wp14:anchorId="480D6DBB" wp14:editId="463782AA">
                <wp:simplePos x="0" y="0"/>
                <wp:positionH relativeFrom="column">
                  <wp:posOffset>1616075</wp:posOffset>
                </wp:positionH>
                <wp:positionV relativeFrom="paragraph">
                  <wp:posOffset>307340</wp:posOffset>
                </wp:positionV>
                <wp:extent cx="2573020" cy="2322830"/>
                <wp:effectExtent l="0" t="0" r="0" b="1270"/>
                <wp:wrapNone/>
                <wp:docPr id="1" name="Group 1"/>
                <wp:cNvGraphicFramePr/>
                <a:graphic xmlns:a="http://schemas.openxmlformats.org/drawingml/2006/main">
                  <a:graphicData uri="http://schemas.microsoft.com/office/word/2010/wordprocessingGroup">
                    <wpg:wgp>
                      <wpg:cNvGrpSpPr/>
                      <wpg:grpSpPr>
                        <a:xfrm>
                          <a:off x="0" y="0"/>
                          <a:ext cx="2573020" cy="2322830"/>
                          <a:chOff x="815523" y="226069"/>
                          <a:chExt cx="4034680" cy="3881111"/>
                        </a:xfrm>
                      </wpg:grpSpPr>
                      <wps:wsp>
                        <wps:cNvPr id="2" name="Straight Arrow Connector 2"/>
                        <wps:cNvCnPr/>
                        <wps:spPr>
                          <a:xfrm>
                            <a:off x="1706887" y="3636626"/>
                            <a:ext cx="2827595" cy="0"/>
                          </a:xfrm>
                          <a:prstGeom prst="straightConnector1">
                            <a:avLst/>
                          </a:prstGeom>
                          <a:noFill/>
                          <a:ln w="12700" cap="flat" cmpd="sng" algn="ctr">
                            <a:solidFill>
                              <a:sysClr val="windowText" lastClr="000000"/>
                            </a:solidFill>
                            <a:prstDash val="solid"/>
                            <a:miter lim="800000"/>
                            <a:headEnd type="triangle"/>
                            <a:tailEnd type="triangle"/>
                          </a:ln>
                          <a:effectLst/>
                        </wps:spPr>
                        <wps:bodyPr/>
                      </wps:wsp>
                      <wps:wsp>
                        <wps:cNvPr id="4" name="Straight Arrow Connector 4"/>
                        <wps:cNvCnPr/>
                        <wps:spPr>
                          <a:xfrm>
                            <a:off x="1522423" y="492783"/>
                            <a:ext cx="0" cy="2908278"/>
                          </a:xfrm>
                          <a:prstGeom prst="straightConnector1">
                            <a:avLst/>
                          </a:prstGeom>
                          <a:noFill/>
                          <a:ln w="12700" cap="flat" cmpd="sng" algn="ctr">
                            <a:solidFill>
                              <a:sysClr val="windowText" lastClr="000000"/>
                            </a:solidFill>
                            <a:prstDash val="solid"/>
                            <a:miter lim="800000"/>
                            <a:headEnd type="triangle"/>
                            <a:tailEnd type="triangle"/>
                          </a:ln>
                          <a:effectLst/>
                        </wps:spPr>
                        <wps:bodyPr/>
                      </wps:wsp>
                      <wps:wsp>
                        <wps:cNvPr id="217" name="Text Box 2"/>
                        <wps:cNvSpPr txBox="1">
                          <a:spLocks noChangeArrowheads="1"/>
                        </wps:cNvSpPr>
                        <wps:spPr bwMode="auto">
                          <a:xfrm>
                            <a:off x="2421513" y="3724474"/>
                            <a:ext cx="1318895" cy="382706"/>
                          </a:xfrm>
                          <a:prstGeom prst="rect">
                            <a:avLst/>
                          </a:prstGeom>
                          <a:solidFill>
                            <a:srgbClr val="FFFFFF"/>
                          </a:solidFill>
                          <a:ln w="9525">
                            <a:noFill/>
                            <a:miter lim="800000"/>
                            <a:headEnd/>
                            <a:tailEnd/>
                          </a:ln>
                        </wps:spPr>
                        <wps:txbx>
                          <w:txbxContent>
                            <w:p w14:paraId="2808222D" w14:textId="77777777" w:rsidR="00A7432E" w:rsidRPr="006A282B" w:rsidRDefault="00A7432E" w:rsidP="002370CE">
                              <w:pPr>
                                <w:rPr>
                                  <w:b/>
                                  <w:sz w:val="16"/>
                                  <w:szCs w:val="16"/>
                                </w:rPr>
                              </w:pPr>
                              <w:r w:rsidRPr="006A282B">
                                <w:rPr>
                                  <w:b/>
                                  <w:sz w:val="16"/>
                                  <w:szCs w:val="16"/>
                                </w:rPr>
                                <w:t xml:space="preserve">Financial Risk </w:t>
                              </w:r>
                            </w:p>
                          </w:txbxContent>
                        </wps:txbx>
                        <wps:bodyPr rot="0" vert="horz" wrap="square" lIns="91440" tIns="45720" rIns="91440" bIns="45720" anchor="t" anchorCtr="0">
                          <a:noAutofit/>
                        </wps:bodyPr>
                      </wps:wsp>
                      <wps:wsp>
                        <wps:cNvPr id="5" name="Text Box 2"/>
                        <wps:cNvSpPr txBox="1">
                          <a:spLocks noChangeArrowheads="1"/>
                        </wps:cNvSpPr>
                        <wps:spPr bwMode="auto">
                          <a:xfrm rot="5400000">
                            <a:off x="-524800" y="1737841"/>
                            <a:ext cx="2999645" cy="319000"/>
                          </a:xfrm>
                          <a:prstGeom prst="rect">
                            <a:avLst/>
                          </a:prstGeom>
                          <a:solidFill>
                            <a:srgbClr val="FFFFFF"/>
                          </a:solidFill>
                          <a:ln w="9525">
                            <a:noFill/>
                            <a:miter lim="800000"/>
                            <a:headEnd/>
                            <a:tailEnd/>
                          </a:ln>
                        </wps:spPr>
                        <wps:txbx>
                          <w:txbxContent>
                            <w:p w14:paraId="5B13DD21" w14:textId="77777777" w:rsidR="00A7432E" w:rsidRPr="006A282B" w:rsidRDefault="00A7432E" w:rsidP="002370CE">
                              <w:pPr>
                                <w:rPr>
                                  <w:b/>
                                  <w:sz w:val="16"/>
                                  <w:szCs w:val="16"/>
                                </w:rPr>
                              </w:pPr>
                              <w:r w:rsidRPr="006A282B">
                                <w:rPr>
                                  <w:b/>
                                  <w:sz w:val="16"/>
                                  <w:szCs w:val="16"/>
                                </w:rPr>
                                <w:t xml:space="preserve">Business Risk/Cash Flow Volatility </w:t>
                              </w:r>
                            </w:p>
                          </w:txbxContent>
                        </wps:txbx>
                        <wps:bodyPr rot="0" vert="horz" wrap="square" lIns="91440" tIns="45720" rIns="91440" bIns="45720" anchor="t" anchorCtr="0">
                          <a:noAutofit/>
                        </wps:bodyPr>
                      </wps:wsp>
                      <wps:wsp>
                        <wps:cNvPr id="6" name="Text Box 2"/>
                        <wps:cNvSpPr txBox="1">
                          <a:spLocks noChangeArrowheads="1"/>
                        </wps:cNvSpPr>
                        <wps:spPr bwMode="auto">
                          <a:xfrm>
                            <a:off x="4202523" y="3701337"/>
                            <a:ext cx="647680" cy="405843"/>
                          </a:xfrm>
                          <a:prstGeom prst="rect">
                            <a:avLst/>
                          </a:prstGeom>
                          <a:solidFill>
                            <a:srgbClr val="FFFFFF"/>
                          </a:solidFill>
                          <a:ln w="9525">
                            <a:noFill/>
                            <a:miter lim="800000"/>
                            <a:headEnd/>
                            <a:tailEnd/>
                          </a:ln>
                        </wps:spPr>
                        <wps:txbx>
                          <w:txbxContent>
                            <w:p w14:paraId="24173174" w14:textId="77777777" w:rsidR="00A7432E" w:rsidRPr="006A282B" w:rsidRDefault="00A7432E" w:rsidP="002370CE">
                              <w:pPr>
                                <w:rPr>
                                  <w:i/>
                                  <w:sz w:val="16"/>
                                  <w:szCs w:val="16"/>
                                </w:rPr>
                              </w:pPr>
                              <w:r w:rsidRPr="006A282B">
                                <w:rPr>
                                  <w:i/>
                                  <w:sz w:val="16"/>
                                  <w:szCs w:val="16"/>
                                </w:rPr>
                                <w:t xml:space="preserve">High </w:t>
                              </w:r>
                            </w:p>
                          </w:txbxContent>
                        </wps:txbx>
                        <wps:bodyPr rot="0" vert="horz" wrap="square" lIns="91440" tIns="45720" rIns="91440" bIns="45720" anchor="t" anchorCtr="0">
                          <a:noAutofit/>
                        </wps:bodyPr>
                      </wps:wsp>
                      <wps:wsp>
                        <wps:cNvPr id="7" name="Text Box 2"/>
                        <wps:cNvSpPr txBox="1">
                          <a:spLocks noChangeArrowheads="1"/>
                        </wps:cNvSpPr>
                        <wps:spPr bwMode="auto">
                          <a:xfrm>
                            <a:off x="1331558" y="3679396"/>
                            <a:ext cx="656464" cy="363109"/>
                          </a:xfrm>
                          <a:prstGeom prst="rect">
                            <a:avLst/>
                          </a:prstGeom>
                          <a:solidFill>
                            <a:srgbClr val="FFFFFF"/>
                          </a:solidFill>
                          <a:ln w="9525">
                            <a:noFill/>
                            <a:miter lim="800000"/>
                            <a:headEnd/>
                            <a:tailEnd/>
                          </a:ln>
                        </wps:spPr>
                        <wps:txbx>
                          <w:txbxContent>
                            <w:p w14:paraId="28D0E949" w14:textId="77777777" w:rsidR="00A7432E" w:rsidRPr="006A282B" w:rsidRDefault="00A7432E" w:rsidP="002370CE">
                              <w:pPr>
                                <w:rPr>
                                  <w:i/>
                                  <w:sz w:val="16"/>
                                  <w:szCs w:val="16"/>
                                </w:rPr>
                              </w:pPr>
                              <w:r w:rsidRPr="006A282B">
                                <w:rPr>
                                  <w:i/>
                                  <w:sz w:val="16"/>
                                  <w:szCs w:val="16"/>
                                </w:rPr>
                                <w:t xml:space="preserve">Low </w:t>
                              </w:r>
                            </w:p>
                          </w:txbxContent>
                        </wps:txbx>
                        <wps:bodyPr rot="0" vert="horz" wrap="square" lIns="91440" tIns="45720" rIns="91440" bIns="45720" anchor="t" anchorCtr="0">
                          <a:noAutofit/>
                        </wps:bodyPr>
                      </wps:wsp>
                      <wps:wsp>
                        <wps:cNvPr id="8" name="Text Box 2"/>
                        <wps:cNvSpPr txBox="1">
                          <a:spLocks noChangeArrowheads="1"/>
                        </wps:cNvSpPr>
                        <wps:spPr bwMode="auto">
                          <a:xfrm rot="5400000">
                            <a:off x="924181" y="3088161"/>
                            <a:ext cx="681508" cy="415420"/>
                          </a:xfrm>
                          <a:prstGeom prst="rect">
                            <a:avLst/>
                          </a:prstGeom>
                          <a:solidFill>
                            <a:srgbClr val="FFFFFF"/>
                          </a:solidFill>
                          <a:ln w="9525">
                            <a:noFill/>
                            <a:miter lim="800000"/>
                            <a:headEnd/>
                            <a:tailEnd/>
                          </a:ln>
                        </wps:spPr>
                        <wps:txbx>
                          <w:txbxContent>
                            <w:p w14:paraId="71926D8F" w14:textId="77777777" w:rsidR="00A7432E" w:rsidRPr="006A282B" w:rsidRDefault="00A7432E" w:rsidP="002370CE">
                              <w:pPr>
                                <w:rPr>
                                  <w:i/>
                                  <w:sz w:val="16"/>
                                  <w:szCs w:val="16"/>
                                </w:rPr>
                              </w:pPr>
                              <w:r w:rsidRPr="006A282B">
                                <w:rPr>
                                  <w:i/>
                                  <w:sz w:val="16"/>
                                  <w:szCs w:val="16"/>
                                </w:rPr>
                                <w:t xml:space="preserve">Low </w:t>
                              </w:r>
                            </w:p>
                          </w:txbxContent>
                        </wps:txbx>
                        <wps:bodyPr rot="0" vert="horz" wrap="square" lIns="91440" tIns="45720" rIns="91440" bIns="45720" anchor="t" anchorCtr="0">
                          <a:noAutofit/>
                        </wps:bodyPr>
                      </wps:wsp>
                      <wps:wsp>
                        <wps:cNvPr id="9" name="Text Box 2"/>
                        <wps:cNvSpPr txBox="1">
                          <a:spLocks noChangeArrowheads="1"/>
                        </wps:cNvSpPr>
                        <wps:spPr bwMode="auto">
                          <a:xfrm rot="5400000">
                            <a:off x="910689" y="449902"/>
                            <a:ext cx="795744" cy="348077"/>
                          </a:xfrm>
                          <a:prstGeom prst="rect">
                            <a:avLst/>
                          </a:prstGeom>
                          <a:solidFill>
                            <a:srgbClr val="FFFFFF"/>
                          </a:solidFill>
                          <a:ln w="9525">
                            <a:noFill/>
                            <a:miter lim="800000"/>
                            <a:headEnd/>
                            <a:tailEnd/>
                          </a:ln>
                        </wps:spPr>
                        <wps:txbx>
                          <w:txbxContent>
                            <w:p w14:paraId="1981F133" w14:textId="77777777" w:rsidR="00A7432E" w:rsidRPr="006A282B" w:rsidRDefault="00A7432E" w:rsidP="002370CE">
                              <w:pPr>
                                <w:rPr>
                                  <w:i/>
                                  <w:sz w:val="16"/>
                                  <w:szCs w:val="16"/>
                                </w:rPr>
                              </w:pPr>
                              <w:r w:rsidRPr="006A282B">
                                <w:rPr>
                                  <w:i/>
                                  <w:sz w:val="16"/>
                                  <w:szCs w:val="16"/>
                                </w:rPr>
                                <w:t xml:space="preserve">High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0D6DBB" id="Group 1" o:spid="_x0000_s1026" style="position:absolute;left:0;text-align:left;margin-left:127.25pt;margin-top:24.2pt;width:202.6pt;height:182.9pt;z-index:-251652096;mso-width-relative:margin;mso-height-relative:margin" coordorigin="8155,2260" coordsize="40346,3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">
                <v:shapetype id="_x0000_t32" coordsize="21600,21600" o:spt="32" o:oned="t" path="m,l21600,21600e" filled="f">
                  <v:path arrowok="t" fillok="f" o:connecttype="none"/>
                  <o:lock v:ext="edit" shapetype="t"/>
                </v:shapetype>
                <v:shape id="Straight Arrow Connector 2" o:spid="_x0000_s1027" type="#_x0000_t32" style="position:absolute;left:17068;top:36366;width:28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" strokecolor="windowText" strokeweight="1pt">
                  <v:stroke startarrow="block" endarrow="block" joinstyle="miter"/>
                </v:shape>
                <v:shape id="Straight Arrow Connector 4" o:spid="_x0000_s1028" type="#_x0000_t32" style="position:absolute;left:15224;top:4927;width:0;height:29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" strokecolor="windowText" strokeweight="1pt">
                  <v:stroke startarrow="block" endarrow="block" joinstyle="miter"/>
                </v:shape>
                <v:shapetype id="_x0000_t202" coordsize="21600,21600" o:spt="202" path="m,l,21600r21600,l21600,xe">
                  <v:stroke joinstyle="miter"/>
                  <v:path gradientshapeok="t" o:connecttype="rect"/>
                </v:shapetype>
                <v:shape id="_x0000_s1029" type="#_x0000_t202" style="position:absolute;left:24215;top:37244;width:13189;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808222D" w14:textId="77777777" w:rsidR="00A7432E" w:rsidRPr="006A282B" w:rsidRDefault="00A7432E" w:rsidP="002370CE">
                        <w:pPr>
                          <w:rPr>
                            <w:b/>
                            <w:sz w:val="16"/>
                            <w:szCs w:val="16"/>
                          </w:rPr>
                        </w:pPr>
                        <w:r w:rsidRPr="006A282B">
                          <w:rPr>
                            <w:b/>
                            <w:sz w:val="16"/>
                            <w:szCs w:val="16"/>
                          </w:rPr>
                          <w:t xml:space="preserve">Financial Risk </w:t>
                        </w:r>
                      </w:p>
                    </w:txbxContent>
                  </v:textbox>
                </v:shape>
                <v:shape id="_x0000_s1030" type="#_x0000_t202" style="position:absolute;left:-5248;top:17378;width:29996;height:31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" stroked="f">
                  <v:textbox>
                    <w:txbxContent>
                      <w:p w14:paraId="5B13DD21" w14:textId="77777777" w:rsidR="00A7432E" w:rsidRPr="006A282B" w:rsidRDefault="00A7432E" w:rsidP="002370CE">
                        <w:pPr>
                          <w:rPr>
                            <w:b/>
                            <w:sz w:val="16"/>
                            <w:szCs w:val="16"/>
                          </w:rPr>
                        </w:pPr>
                        <w:r w:rsidRPr="006A282B">
                          <w:rPr>
                            <w:b/>
                            <w:sz w:val="16"/>
                            <w:szCs w:val="16"/>
                          </w:rPr>
                          <w:t xml:space="preserve">Business Risk/Cash Flow Volatility </w:t>
                        </w:r>
                      </w:p>
                    </w:txbxContent>
                  </v:textbox>
                </v:shape>
                <v:shape id="_x0000_s1031" type="#_x0000_t202" style="position:absolute;left:42025;top:37013;width:647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4173174" w14:textId="77777777" w:rsidR="00A7432E" w:rsidRPr="006A282B" w:rsidRDefault="00A7432E" w:rsidP="002370CE">
                        <w:pPr>
                          <w:rPr>
                            <w:i/>
                            <w:sz w:val="16"/>
                            <w:szCs w:val="16"/>
                          </w:rPr>
                        </w:pPr>
                        <w:r w:rsidRPr="006A282B">
                          <w:rPr>
                            <w:i/>
                            <w:sz w:val="16"/>
                            <w:szCs w:val="16"/>
                          </w:rPr>
                          <w:t xml:space="preserve">High </w:t>
                        </w:r>
                      </w:p>
                    </w:txbxContent>
                  </v:textbox>
                </v:shape>
                <v:shape id="_x0000_s1032" type="#_x0000_t202" style="position:absolute;left:13315;top:36793;width:656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8D0E949" w14:textId="77777777" w:rsidR="00A7432E" w:rsidRPr="006A282B" w:rsidRDefault="00A7432E" w:rsidP="002370CE">
                        <w:pPr>
                          <w:rPr>
                            <w:i/>
                            <w:sz w:val="16"/>
                            <w:szCs w:val="16"/>
                          </w:rPr>
                        </w:pPr>
                        <w:r w:rsidRPr="006A282B">
                          <w:rPr>
                            <w:i/>
                            <w:sz w:val="16"/>
                            <w:szCs w:val="16"/>
                          </w:rPr>
                          <w:t xml:space="preserve">Low </w:t>
                        </w:r>
                      </w:p>
                    </w:txbxContent>
                  </v:textbox>
                </v:shape>
                <v:shape id="_x0000_s1033" type="#_x0000_t202" style="position:absolute;left:9241;top:30882;width:6815;height:41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" stroked="f">
                  <v:textbox>
                    <w:txbxContent>
                      <w:p w14:paraId="71926D8F" w14:textId="77777777" w:rsidR="00A7432E" w:rsidRPr="006A282B" w:rsidRDefault="00A7432E" w:rsidP="002370CE">
                        <w:pPr>
                          <w:rPr>
                            <w:i/>
                            <w:sz w:val="16"/>
                            <w:szCs w:val="16"/>
                          </w:rPr>
                        </w:pPr>
                        <w:r w:rsidRPr="006A282B">
                          <w:rPr>
                            <w:i/>
                            <w:sz w:val="16"/>
                            <w:szCs w:val="16"/>
                          </w:rPr>
                          <w:t xml:space="preserve">Low </w:t>
                        </w:r>
                      </w:p>
                    </w:txbxContent>
                  </v:textbox>
                </v:shape>
                <v:shape id="_x0000_s1034" type="#_x0000_t202" style="position:absolute;left:9106;top:4499;width:7958;height:34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" stroked="f">
                  <v:textbox>
                    <w:txbxContent>
                      <w:p w14:paraId="1981F133" w14:textId="77777777" w:rsidR="00A7432E" w:rsidRPr="006A282B" w:rsidRDefault="00A7432E" w:rsidP="002370CE">
                        <w:pPr>
                          <w:rPr>
                            <w:i/>
                            <w:sz w:val="16"/>
                            <w:szCs w:val="16"/>
                          </w:rPr>
                        </w:pPr>
                        <w:r w:rsidRPr="006A282B">
                          <w:rPr>
                            <w:i/>
                            <w:sz w:val="16"/>
                            <w:szCs w:val="16"/>
                          </w:rPr>
                          <w:t xml:space="preserve">High </w:t>
                        </w:r>
                      </w:p>
                    </w:txbxContent>
                  </v:textbox>
                </v:shape>
              </v:group>
            </w:pict>
          </mc:Fallback>
        </mc:AlternateContent>
      </w:r>
    </w:p>
    <w:tbl>
      <w:tblPr>
        <w:tblStyle w:val="TableGrid"/>
        <w:tblpPr w:leftFromText="180" w:rightFromText="180" w:vertAnchor="text" w:horzAnchor="page" w:tblpX="4881" w:tblpY="161"/>
        <w:tblOverlap w:val="never"/>
        <w:tblW w:w="2880" w:type="dxa"/>
        <w:tblLook w:val="04A0" w:firstRow="1" w:lastRow="0" w:firstColumn="1" w:lastColumn="0" w:noHBand="0" w:noVBand="1"/>
      </w:tblPr>
      <w:tblGrid>
        <w:gridCol w:w="1440"/>
        <w:gridCol w:w="1440"/>
      </w:tblGrid>
      <w:tr w:rsidR="002370CE" w:rsidRPr="00D924F4" w14:paraId="217769C9" w14:textId="77777777" w:rsidTr="008137D5">
        <w:trPr>
          <w:trHeight w:val="1440"/>
        </w:trPr>
        <w:tc>
          <w:tcPr>
            <w:tcW w:w="1440" w:type="dxa"/>
            <w:vAlign w:val="center"/>
          </w:tcPr>
          <w:p w14:paraId="74F761F2" w14:textId="77777777" w:rsidR="002370CE" w:rsidRPr="00D924F4" w:rsidRDefault="002370CE" w:rsidP="002B1EAD">
            <w:pPr>
              <w:jc w:val="both"/>
              <w:rPr>
                <w:sz w:val="22"/>
                <w:szCs w:val="22"/>
              </w:rPr>
            </w:pPr>
            <w:r w:rsidRPr="00D924F4">
              <w:rPr>
                <w:sz w:val="22"/>
                <w:szCs w:val="22"/>
              </w:rPr>
              <w:t>Med Credit Quality</w:t>
            </w:r>
          </w:p>
        </w:tc>
        <w:tc>
          <w:tcPr>
            <w:tcW w:w="1440" w:type="dxa"/>
            <w:vAlign w:val="center"/>
          </w:tcPr>
          <w:p w14:paraId="517570DB" w14:textId="77777777" w:rsidR="002370CE" w:rsidRPr="00D924F4" w:rsidRDefault="002370CE" w:rsidP="002B1EAD">
            <w:pPr>
              <w:jc w:val="both"/>
              <w:rPr>
                <w:sz w:val="22"/>
                <w:szCs w:val="22"/>
              </w:rPr>
            </w:pPr>
            <w:r w:rsidRPr="00D924F4">
              <w:rPr>
                <w:sz w:val="22"/>
                <w:szCs w:val="22"/>
              </w:rPr>
              <w:t>Low Credit Quality</w:t>
            </w:r>
          </w:p>
        </w:tc>
      </w:tr>
      <w:tr w:rsidR="002370CE" w:rsidRPr="00D924F4" w14:paraId="5337DB99" w14:textId="77777777" w:rsidTr="008137D5">
        <w:trPr>
          <w:trHeight w:val="1440"/>
        </w:trPr>
        <w:tc>
          <w:tcPr>
            <w:tcW w:w="1440" w:type="dxa"/>
            <w:vAlign w:val="center"/>
          </w:tcPr>
          <w:p w14:paraId="7D2210E4" w14:textId="77777777" w:rsidR="002370CE" w:rsidRPr="00D924F4" w:rsidRDefault="002370CE" w:rsidP="002B1EAD">
            <w:pPr>
              <w:jc w:val="both"/>
              <w:rPr>
                <w:sz w:val="22"/>
                <w:szCs w:val="22"/>
              </w:rPr>
            </w:pPr>
            <w:r w:rsidRPr="00D924F4">
              <w:rPr>
                <w:sz w:val="22"/>
                <w:szCs w:val="22"/>
              </w:rPr>
              <w:t>High Credit Quality</w:t>
            </w:r>
          </w:p>
        </w:tc>
        <w:tc>
          <w:tcPr>
            <w:tcW w:w="1440" w:type="dxa"/>
            <w:vAlign w:val="center"/>
          </w:tcPr>
          <w:p w14:paraId="1EEF08F8" w14:textId="77777777" w:rsidR="002370CE" w:rsidRPr="00D924F4" w:rsidRDefault="002370CE" w:rsidP="002B1EAD">
            <w:pPr>
              <w:jc w:val="both"/>
              <w:rPr>
                <w:sz w:val="22"/>
                <w:szCs w:val="22"/>
              </w:rPr>
            </w:pPr>
            <w:r w:rsidRPr="00D924F4">
              <w:rPr>
                <w:sz w:val="22"/>
                <w:szCs w:val="22"/>
              </w:rPr>
              <w:t>Med Credit Quality</w:t>
            </w:r>
          </w:p>
        </w:tc>
      </w:tr>
    </w:tbl>
    <w:p w14:paraId="20F05DB1" w14:textId="77777777" w:rsidR="002370CE" w:rsidRPr="00D924F4" w:rsidRDefault="002370CE" w:rsidP="002B1EAD">
      <w:pPr>
        <w:spacing w:after="220"/>
        <w:jc w:val="both"/>
        <w:rPr>
          <w:szCs w:val="22"/>
        </w:rPr>
      </w:pPr>
    </w:p>
    <w:p w14:paraId="4047125D" w14:textId="77777777" w:rsidR="002370CE" w:rsidRPr="00D924F4" w:rsidRDefault="002370CE" w:rsidP="002B1EAD">
      <w:pPr>
        <w:spacing w:after="220"/>
        <w:jc w:val="both"/>
        <w:rPr>
          <w:szCs w:val="22"/>
        </w:rPr>
      </w:pPr>
    </w:p>
    <w:p w14:paraId="01984312" w14:textId="77777777" w:rsidR="002370CE" w:rsidRPr="00D924F4" w:rsidRDefault="002370CE" w:rsidP="002B1EAD">
      <w:pPr>
        <w:spacing w:after="220"/>
        <w:jc w:val="both"/>
        <w:rPr>
          <w:szCs w:val="22"/>
        </w:rPr>
      </w:pPr>
    </w:p>
    <w:p w14:paraId="4951AF61" w14:textId="77777777" w:rsidR="002370CE" w:rsidRPr="00D924F4" w:rsidRDefault="002370CE" w:rsidP="002B1EAD">
      <w:pPr>
        <w:spacing w:after="220"/>
        <w:jc w:val="both"/>
        <w:rPr>
          <w:szCs w:val="22"/>
        </w:rPr>
      </w:pPr>
    </w:p>
    <w:p w14:paraId="5DC1EBA9" w14:textId="77777777" w:rsidR="002370CE" w:rsidRPr="00D924F4" w:rsidRDefault="002370CE" w:rsidP="002B1EAD">
      <w:pPr>
        <w:spacing w:after="220"/>
        <w:jc w:val="both"/>
        <w:rPr>
          <w:szCs w:val="22"/>
        </w:rPr>
      </w:pPr>
    </w:p>
    <w:p w14:paraId="737AAC60" w14:textId="77777777" w:rsidR="002370CE" w:rsidRPr="00D924F4" w:rsidRDefault="002370CE" w:rsidP="002B1EAD">
      <w:pPr>
        <w:spacing w:after="220"/>
        <w:jc w:val="both"/>
        <w:rPr>
          <w:szCs w:val="22"/>
        </w:rPr>
      </w:pPr>
    </w:p>
    <w:p w14:paraId="4433D3FD" w14:textId="77777777" w:rsidR="002370CE" w:rsidRPr="00D924F4" w:rsidRDefault="002370CE" w:rsidP="002B1EAD">
      <w:pPr>
        <w:spacing w:after="220"/>
        <w:jc w:val="both"/>
        <w:rPr>
          <w:szCs w:val="22"/>
        </w:rPr>
      </w:pPr>
    </w:p>
    <w:p w14:paraId="13586728" w14:textId="77777777" w:rsidR="002370CE" w:rsidRPr="00D924F4" w:rsidRDefault="002370CE" w:rsidP="002B1EAD">
      <w:pPr>
        <w:spacing w:after="220"/>
        <w:jc w:val="both"/>
        <w:rPr>
          <w:szCs w:val="22"/>
        </w:rPr>
      </w:pPr>
    </w:p>
    <w:p w14:paraId="417A1FA1" w14:textId="71A215EF" w:rsidR="002370CE" w:rsidRPr="00D924F4" w:rsidRDefault="002370CE" w:rsidP="002B1EAD">
      <w:pPr>
        <w:spacing w:after="220"/>
        <w:jc w:val="both"/>
        <w:rPr>
          <w:szCs w:val="22"/>
        </w:rPr>
      </w:pPr>
      <w:r w:rsidRPr="00D924F4">
        <w:rPr>
          <w:rFonts w:eastAsiaTheme="minorHAnsi"/>
          <w:szCs w:val="22"/>
        </w:rPr>
        <w:t xml:space="preserve">Under Sections 5c and 5d, </w:t>
      </w:r>
      <w:r w:rsidR="009153D1">
        <w:rPr>
          <w:rFonts w:eastAsiaTheme="minorHAnsi"/>
          <w:szCs w:val="22"/>
        </w:rPr>
        <w:t>i</w:t>
      </w:r>
      <w:r w:rsidRPr="00D924F4">
        <w:rPr>
          <w:rFonts w:eastAsiaTheme="minorHAnsi"/>
          <w:szCs w:val="22"/>
        </w:rPr>
        <w:t xml:space="preserve">nterested </w:t>
      </w:r>
      <w:r w:rsidR="009153D1">
        <w:rPr>
          <w:rFonts w:eastAsiaTheme="minorHAnsi"/>
          <w:szCs w:val="22"/>
        </w:rPr>
        <w:t>p</w:t>
      </w:r>
      <w:r w:rsidRPr="00D924F4">
        <w:rPr>
          <w:rFonts w:eastAsiaTheme="minorHAnsi"/>
          <w:szCs w:val="22"/>
        </w:rPr>
        <w:t xml:space="preserve">arties would like to note the descriptions that the exposure uses (namely, “partially” and “solely”) to separate the securities addressed between the two sections (in Section 5c “items where the coupon payments, principal repayment…is partially determined based on the performance of equity assets held in trust”, and in Section 5d “items that are solely contingent on derivative or equity collateral and references to equity index performance”).  Because the word “partially” can refer to a wide range of variabilities, as currently worded in Section 5c of the Exposure, a wide array of securities may fall within the scope and securities whose repayment is partially determined by the performance of equity assets on one end of the spectrum would be treated the same as those securities on the other end of the spectrum. This may not appear to lead to improved accounting or reporting. Thus, </w:t>
      </w:r>
      <w:r w:rsidR="009153D1">
        <w:rPr>
          <w:rFonts w:eastAsiaTheme="minorHAnsi"/>
          <w:szCs w:val="22"/>
        </w:rPr>
        <w:t>i</w:t>
      </w:r>
      <w:r w:rsidRPr="00D924F4">
        <w:rPr>
          <w:rFonts w:eastAsiaTheme="minorHAnsi"/>
          <w:szCs w:val="22"/>
        </w:rPr>
        <w:t xml:space="preserve">nterested </w:t>
      </w:r>
      <w:r w:rsidR="009153D1">
        <w:rPr>
          <w:rFonts w:eastAsiaTheme="minorHAnsi"/>
          <w:szCs w:val="22"/>
        </w:rPr>
        <w:t>p</w:t>
      </w:r>
      <w:r w:rsidRPr="00D924F4">
        <w:rPr>
          <w:rFonts w:eastAsiaTheme="minorHAnsi"/>
          <w:szCs w:val="22"/>
        </w:rPr>
        <w:t xml:space="preserve">arties would like to seek clarification of the Exposure’s intent in this regard.  Please see comments under Section 5d for </w:t>
      </w:r>
      <w:r w:rsidR="009153D1">
        <w:rPr>
          <w:rFonts w:eastAsiaTheme="minorHAnsi"/>
          <w:szCs w:val="22"/>
        </w:rPr>
        <w:t>i</w:t>
      </w:r>
      <w:r w:rsidRPr="00D924F4">
        <w:rPr>
          <w:rFonts w:eastAsiaTheme="minorHAnsi"/>
          <w:szCs w:val="22"/>
        </w:rPr>
        <w:t xml:space="preserve">nterested </w:t>
      </w:r>
      <w:r w:rsidR="009153D1">
        <w:rPr>
          <w:rFonts w:eastAsiaTheme="minorHAnsi"/>
          <w:szCs w:val="22"/>
        </w:rPr>
        <w:t>p</w:t>
      </w:r>
      <w:r w:rsidRPr="00D924F4">
        <w:rPr>
          <w:rFonts w:eastAsiaTheme="minorHAnsi"/>
          <w:szCs w:val="22"/>
        </w:rPr>
        <w:t xml:space="preserve">arties’ view on “solely”. </w:t>
      </w:r>
    </w:p>
    <w:p w14:paraId="051C42E0" w14:textId="77777777" w:rsidR="002370CE" w:rsidRPr="00D924F4" w:rsidRDefault="002370CE" w:rsidP="002B1EAD">
      <w:pPr>
        <w:numPr>
          <w:ilvl w:val="0"/>
          <w:numId w:val="3"/>
        </w:numPr>
        <w:spacing w:after="220"/>
        <w:jc w:val="both"/>
        <w:rPr>
          <w:szCs w:val="22"/>
        </w:rPr>
      </w:pPr>
      <w:r w:rsidRPr="00D924F4">
        <w:rPr>
          <w:szCs w:val="22"/>
        </w:rPr>
        <w:t>Is there a different accounting / reporting approach that should be taken for these securities?</w:t>
      </w:r>
    </w:p>
    <w:p w14:paraId="283E479E" w14:textId="77777777" w:rsidR="002370CE" w:rsidRPr="00D924F4" w:rsidRDefault="002370CE" w:rsidP="002B1EAD">
      <w:pPr>
        <w:spacing w:after="220"/>
        <w:jc w:val="both"/>
        <w:rPr>
          <w:szCs w:val="22"/>
        </w:rPr>
      </w:pPr>
      <w:r w:rsidRPr="00D924F4">
        <w:rPr>
          <w:szCs w:val="22"/>
        </w:rPr>
        <w:t xml:space="preserve">In analyzing debt securities backed by equity interests, rating agencies and investors attempt to understand the level of subordination, volatility of the cash flows and sensitivity to underlying asset price volatility.   The ratings vary based on changes in these factors.  These securities do not vary from the principle used in the insurance industry to capture investment risk for all Schedule D Assets:  ratings issued by a CRP are accepted by the SVO, or if no CRP rating exists, a designation from the SVO is applied.  SSAP No. 26R recognizes this fundamental accounting hierarchy in insurance regulation as applied by the P&amp;P Manual of the SVO.  In all cases, if the risk increases, the designation will decline to a higher capital charge designation, ensuring that the insurance company holds appropriate capital for the investment risk held.  Industry acknowledges that the Regulators may want Schedule D to provide more disclosure as to the investment type and are willing to accommodate, if helpful.  Industry also affirms that reporting </w:t>
      </w:r>
      <w:r w:rsidRPr="00D924F4">
        <w:rPr>
          <w:szCs w:val="22"/>
        </w:rPr>
        <w:lastRenderedPageBreak/>
        <w:t xml:space="preserve">classification is independent of the fundamental principle of investment risk, which is, as risk increases, the designation is accordingly recognized with a higher SVO classification on the scale from 1-6. At the same time, industry strongly believes that these forms of borrowed money are debt, no different from any other debt instrument recognized by SSAP No. 26R.  Therefore, industry believes regular amortized cost accounting is appropriate for these securities </w:t>
      </w:r>
    </w:p>
    <w:p w14:paraId="784E53BC" w14:textId="77777777" w:rsidR="002370CE" w:rsidRPr="00D924F4" w:rsidRDefault="002370CE" w:rsidP="002B1EAD">
      <w:pPr>
        <w:numPr>
          <w:ilvl w:val="0"/>
          <w:numId w:val="3"/>
        </w:numPr>
        <w:spacing w:after="220"/>
        <w:jc w:val="both"/>
        <w:rPr>
          <w:szCs w:val="22"/>
        </w:rPr>
      </w:pPr>
      <w:r w:rsidRPr="00D924F4">
        <w:rPr>
          <w:szCs w:val="22"/>
        </w:rPr>
        <w:t xml:space="preserve">If these items are excluded from Schedule D-1, what factors (e.g., asset coverage / over-collateralization, etc.,) could be considered in determining an appropriate RBC?   </w:t>
      </w:r>
    </w:p>
    <w:p w14:paraId="6FEF3D3E" w14:textId="44B0899A" w:rsidR="002370CE" w:rsidRPr="00D924F4" w:rsidRDefault="002370CE" w:rsidP="002B1EAD">
      <w:pPr>
        <w:jc w:val="both"/>
        <w:rPr>
          <w:bCs/>
          <w:szCs w:val="22"/>
        </w:rPr>
      </w:pPr>
      <w:r w:rsidRPr="00D924F4">
        <w:rPr>
          <w:bCs/>
          <w:szCs w:val="22"/>
        </w:rPr>
        <w:t xml:space="preserve">Rating agencies have established criteria where they assign ratings that consider a variety of factors, including the volatility of cash flow, the degree of overcollateralization or excess of value of the assets relative to the debt outstanding, the liquidity of the entity that must service the debt relative to the frequency of scheduled debt payments, structural and legal protections including bankruptcy-remote entities that ring fence assets, and covenants giving the lender of the borrowed money rights to force asset liquidation and other remedies, if risk rises to trigger threshold metrics.  The preceding is a fundamental process of assessing investment risk ratings.  Interested </w:t>
      </w:r>
      <w:r w:rsidR="009153D1">
        <w:rPr>
          <w:bCs/>
          <w:szCs w:val="22"/>
        </w:rPr>
        <w:t>p</w:t>
      </w:r>
      <w:r w:rsidRPr="00D924F4">
        <w:rPr>
          <w:bCs/>
          <w:szCs w:val="22"/>
        </w:rPr>
        <w:t xml:space="preserve">arties believe that risk ratings assigned by either CRPs or the SVO (if filed for a designation) should drive RBC charges.  </w:t>
      </w:r>
    </w:p>
    <w:p w14:paraId="05652D61" w14:textId="751FEE99" w:rsidR="00C84888" w:rsidRPr="00D924F4" w:rsidRDefault="00B242E6" w:rsidP="005D1C23">
      <w:pPr>
        <w:spacing w:after="160" w:line="259" w:lineRule="auto"/>
        <w:rPr>
          <w:szCs w:val="22"/>
        </w:rPr>
      </w:pPr>
      <w:r w:rsidRPr="00D924F4">
        <w:rPr>
          <w:szCs w:val="22"/>
        </w:rPr>
        <w:br w:type="page"/>
      </w:r>
    </w:p>
    <w:p w14:paraId="63B4BC3A" w14:textId="7727E351" w:rsidR="00C6350A" w:rsidRPr="00D924F4" w:rsidRDefault="007F075A" w:rsidP="002B1EAD">
      <w:pPr>
        <w:jc w:val="both"/>
        <w:rPr>
          <w:b/>
          <w:szCs w:val="22"/>
          <w:u w:val="single"/>
        </w:rPr>
      </w:pPr>
      <w:r w:rsidRPr="00D924F4">
        <w:rPr>
          <w:b/>
          <w:szCs w:val="22"/>
          <w:u w:val="single"/>
        </w:rPr>
        <w:lastRenderedPageBreak/>
        <w:t xml:space="preserve">Section </w:t>
      </w:r>
      <w:r w:rsidR="00B15184" w:rsidRPr="00D924F4">
        <w:rPr>
          <w:b/>
          <w:szCs w:val="22"/>
          <w:u w:val="single"/>
        </w:rPr>
        <w:t>5d</w:t>
      </w:r>
      <w:r w:rsidR="00C6350A" w:rsidRPr="00D924F4">
        <w:rPr>
          <w:b/>
          <w:szCs w:val="22"/>
          <w:u w:val="single"/>
        </w:rPr>
        <w:t xml:space="preserve"> – Accounting and Reporting for Non-CFR ABS and Non-Traditional Securitizations – Security is Solely Impacted by Equity Collateral / Equity Index</w:t>
      </w:r>
    </w:p>
    <w:p w14:paraId="2D4725AA" w14:textId="77777777" w:rsidR="007F075A" w:rsidRPr="00D924F4" w:rsidRDefault="007F075A" w:rsidP="002B1EAD">
      <w:pPr>
        <w:jc w:val="bot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7F075A" w:rsidRPr="00D924F4" w14:paraId="56301785" w14:textId="77777777" w:rsidTr="003D7DAB">
        <w:tc>
          <w:tcPr>
            <w:tcW w:w="8990" w:type="dxa"/>
          </w:tcPr>
          <w:p w14:paraId="1D7CC220" w14:textId="77777777" w:rsidR="007F075A" w:rsidRPr="00D924F4" w:rsidRDefault="007F075A" w:rsidP="002B1EAD">
            <w:pPr>
              <w:pStyle w:val="ListContinue"/>
              <w:numPr>
                <w:ilvl w:val="0"/>
                <w:numId w:val="0"/>
              </w:numPr>
              <w:rPr>
                <w:b/>
                <w:bCs/>
                <w:sz w:val="22"/>
                <w:szCs w:val="22"/>
                <w:u w:val="single"/>
              </w:rPr>
            </w:pPr>
            <w:r w:rsidRPr="00D924F4">
              <w:rPr>
                <w:b/>
                <w:bCs/>
                <w:sz w:val="22"/>
                <w:szCs w:val="22"/>
                <w:u w:val="single"/>
              </w:rPr>
              <w:t xml:space="preserve">Overview of Key Concepts: </w:t>
            </w:r>
          </w:p>
        </w:tc>
      </w:tr>
      <w:tr w:rsidR="007F075A" w:rsidRPr="00D924F4" w14:paraId="432E9B6E" w14:textId="77777777" w:rsidTr="003D7DAB">
        <w:tc>
          <w:tcPr>
            <w:tcW w:w="8990" w:type="dxa"/>
          </w:tcPr>
          <w:p w14:paraId="0E03379D" w14:textId="77777777" w:rsidR="007F075A" w:rsidRPr="00D924F4" w:rsidRDefault="007F075A" w:rsidP="002B1EAD">
            <w:pPr>
              <w:pStyle w:val="ListContinue"/>
              <w:numPr>
                <w:ilvl w:val="0"/>
                <w:numId w:val="2"/>
              </w:numPr>
              <w:rPr>
                <w:sz w:val="22"/>
                <w:szCs w:val="22"/>
              </w:rPr>
            </w:pPr>
            <w:r w:rsidRPr="00D924F4">
              <w:rPr>
                <w:sz w:val="22"/>
                <w:szCs w:val="22"/>
              </w:rPr>
              <w:t xml:space="preserve">This section addresses those items that are solely contingent on derivative or equity collateral and references to equity index performance.  The proposed guidance would exclude these securities fully from SSAP No. 43R.   </w:t>
            </w:r>
          </w:p>
          <w:p w14:paraId="2C7943E6" w14:textId="77777777" w:rsidR="007F075A" w:rsidRPr="00D924F4" w:rsidRDefault="007F075A" w:rsidP="002B1EAD">
            <w:pPr>
              <w:pStyle w:val="ListContinue"/>
              <w:numPr>
                <w:ilvl w:val="0"/>
                <w:numId w:val="2"/>
              </w:numPr>
              <w:rPr>
                <w:sz w:val="22"/>
                <w:szCs w:val="22"/>
              </w:rPr>
            </w:pPr>
            <w:r w:rsidRPr="00D924F4">
              <w:rPr>
                <w:sz w:val="22"/>
                <w:szCs w:val="22"/>
              </w:rPr>
              <w:t xml:space="preserve">NAIC staff believes the treatment is in line with the interested parties’ comment letter, and clarification has been included to reflect what is considered an “equity” instrument. </w:t>
            </w:r>
          </w:p>
        </w:tc>
      </w:tr>
      <w:tr w:rsidR="007F075A" w:rsidRPr="00D924F4" w14:paraId="1E8EC618" w14:textId="77777777" w:rsidTr="003D7DAB">
        <w:tc>
          <w:tcPr>
            <w:tcW w:w="8990" w:type="dxa"/>
          </w:tcPr>
          <w:p w14:paraId="6E0DB2BC" w14:textId="77777777" w:rsidR="007F075A" w:rsidRPr="00D924F4" w:rsidRDefault="007F075A" w:rsidP="002B1EAD">
            <w:pPr>
              <w:pStyle w:val="ListContinue"/>
              <w:numPr>
                <w:ilvl w:val="0"/>
                <w:numId w:val="0"/>
              </w:numPr>
              <w:rPr>
                <w:b/>
                <w:bCs/>
                <w:sz w:val="22"/>
                <w:szCs w:val="22"/>
                <w:u w:val="single"/>
              </w:rPr>
            </w:pPr>
            <w:r w:rsidRPr="00D924F4">
              <w:rPr>
                <w:b/>
                <w:bCs/>
                <w:sz w:val="22"/>
                <w:szCs w:val="22"/>
                <w:u w:val="single"/>
              </w:rPr>
              <w:t xml:space="preserve">Questions / Comments: </w:t>
            </w:r>
          </w:p>
        </w:tc>
      </w:tr>
      <w:tr w:rsidR="007F075A" w:rsidRPr="00D924F4" w14:paraId="6FA6AF76" w14:textId="77777777" w:rsidTr="003D7DAB">
        <w:tc>
          <w:tcPr>
            <w:tcW w:w="8990" w:type="dxa"/>
          </w:tcPr>
          <w:p w14:paraId="66523A7E" w14:textId="77777777" w:rsidR="007F075A" w:rsidRPr="00D924F4" w:rsidRDefault="007F075A" w:rsidP="002B1EAD">
            <w:pPr>
              <w:pStyle w:val="ListContinue"/>
              <w:numPr>
                <w:ilvl w:val="0"/>
                <w:numId w:val="3"/>
              </w:numPr>
              <w:rPr>
                <w:sz w:val="22"/>
                <w:szCs w:val="22"/>
              </w:rPr>
            </w:pPr>
            <w:r w:rsidRPr="00D924F4">
              <w:rPr>
                <w:sz w:val="22"/>
                <w:szCs w:val="22"/>
              </w:rPr>
              <w:t xml:space="preserve">Is the guidance clear as to what should be considered an equity instrument and excluded from the scope of SSAP No. 43R? </w:t>
            </w:r>
          </w:p>
          <w:p w14:paraId="7B9AE151" w14:textId="77777777" w:rsidR="007F075A" w:rsidRPr="00D924F4" w:rsidRDefault="007F075A" w:rsidP="002B1EAD">
            <w:pPr>
              <w:pStyle w:val="ListContinue"/>
              <w:numPr>
                <w:ilvl w:val="0"/>
                <w:numId w:val="3"/>
              </w:numPr>
              <w:rPr>
                <w:sz w:val="22"/>
                <w:szCs w:val="22"/>
              </w:rPr>
            </w:pPr>
            <w:r w:rsidRPr="00D924F4">
              <w:rPr>
                <w:sz w:val="22"/>
                <w:szCs w:val="22"/>
              </w:rPr>
              <w:t xml:space="preserve">Are there structures that would be captured within this guidance that would reflect an unintended consequence of what is intended? </w:t>
            </w:r>
          </w:p>
          <w:p w14:paraId="7FC2CFB1" w14:textId="77777777" w:rsidR="007F075A" w:rsidRPr="00D924F4" w:rsidRDefault="007F075A" w:rsidP="002B1EAD">
            <w:pPr>
              <w:pStyle w:val="ListContinue"/>
              <w:numPr>
                <w:ilvl w:val="0"/>
                <w:numId w:val="3"/>
              </w:numPr>
              <w:rPr>
                <w:sz w:val="22"/>
                <w:szCs w:val="22"/>
              </w:rPr>
            </w:pPr>
            <w:r w:rsidRPr="00D924F4">
              <w:rPr>
                <w:sz w:val="22"/>
                <w:szCs w:val="22"/>
              </w:rPr>
              <w:t xml:space="preserve">Comments are requested on whether these structures would include differing types of investments (combinations of equity / derivative instruments) and if specific guidance requiring bifurcation should be captured. </w:t>
            </w:r>
          </w:p>
        </w:tc>
      </w:tr>
    </w:tbl>
    <w:p w14:paraId="6E8EE1A3" w14:textId="1819DE10" w:rsidR="00FD0681" w:rsidRPr="00D924F4" w:rsidRDefault="00FD0681" w:rsidP="002B1EAD">
      <w:pPr>
        <w:jc w:val="both"/>
        <w:rPr>
          <w:szCs w:val="22"/>
        </w:rPr>
      </w:pPr>
    </w:p>
    <w:p w14:paraId="312A718D" w14:textId="77777777" w:rsidR="002370CE" w:rsidRPr="00D924F4" w:rsidRDefault="002370CE" w:rsidP="002B1EAD">
      <w:pPr>
        <w:jc w:val="both"/>
        <w:rPr>
          <w:szCs w:val="22"/>
        </w:rPr>
      </w:pPr>
      <w:r w:rsidRPr="00D924F4">
        <w:rPr>
          <w:szCs w:val="22"/>
        </w:rPr>
        <w:t>Regarding the following questions, as they relate to debt backed by equity or other risk assets, that is dependent on risk asset performance to service debt:</w:t>
      </w:r>
    </w:p>
    <w:p w14:paraId="4452F182" w14:textId="77777777" w:rsidR="002370CE" w:rsidRPr="00D924F4" w:rsidRDefault="002370CE" w:rsidP="002B1EAD">
      <w:pPr>
        <w:jc w:val="both"/>
        <w:rPr>
          <w:szCs w:val="22"/>
        </w:rPr>
      </w:pPr>
    </w:p>
    <w:p w14:paraId="3D07E669" w14:textId="77777777" w:rsidR="002370CE" w:rsidRPr="00D924F4" w:rsidRDefault="002370CE" w:rsidP="002B1EAD">
      <w:pPr>
        <w:pStyle w:val="ListContinue"/>
        <w:numPr>
          <w:ilvl w:val="0"/>
          <w:numId w:val="3"/>
        </w:numPr>
        <w:rPr>
          <w:szCs w:val="22"/>
        </w:rPr>
      </w:pPr>
      <w:r w:rsidRPr="00D924F4">
        <w:rPr>
          <w:szCs w:val="22"/>
        </w:rPr>
        <w:t xml:space="preserve">Is the guidance clear as to what should be considered an equity instrument and excluded from the scope of SSAP No. 43R? </w:t>
      </w:r>
    </w:p>
    <w:p w14:paraId="731F3058" w14:textId="316CDAF6" w:rsidR="002370CE" w:rsidRPr="00D924F4" w:rsidRDefault="002370CE" w:rsidP="002B1EAD">
      <w:pPr>
        <w:pStyle w:val="ListContinue"/>
        <w:numPr>
          <w:ilvl w:val="0"/>
          <w:numId w:val="0"/>
        </w:numPr>
        <w:tabs>
          <w:tab w:val="left" w:pos="720"/>
        </w:tabs>
        <w:rPr>
          <w:szCs w:val="22"/>
        </w:rPr>
      </w:pPr>
      <w:r w:rsidRPr="00D924F4">
        <w:rPr>
          <w:szCs w:val="22"/>
        </w:rPr>
        <w:t xml:space="preserve">Interested </w:t>
      </w:r>
      <w:r w:rsidR="009153D1">
        <w:rPr>
          <w:szCs w:val="22"/>
        </w:rPr>
        <w:t>p</w:t>
      </w:r>
      <w:r w:rsidRPr="00D924F4">
        <w:rPr>
          <w:szCs w:val="22"/>
        </w:rPr>
        <w:t xml:space="preserve">arties agree that an instrument that is solely contingent upon derivative equity (a contingent right) or solely contingent upon equity index return has the characteristics of equity.  However, </w:t>
      </w:r>
      <w:r w:rsidR="009153D1">
        <w:rPr>
          <w:szCs w:val="22"/>
        </w:rPr>
        <w:t>i</w:t>
      </w:r>
      <w:r w:rsidRPr="00D924F4">
        <w:rPr>
          <w:szCs w:val="22"/>
        </w:rPr>
        <w:t xml:space="preserve">nterested </w:t>
      </w:r>
      <w:r w:rsidR="009153D1">
        <w:rPr>
          <w:szCs w:val="22"/>
        </w:rPr>
        <w:t>p</w:t>
      </w:r>
      <w:r w:rsidRPr="00D924F4">
        <w:rPr>
          <w:szCs w:val="22"/>
        </w:rPr>
        <w:t xml:space="preserve">arties do not agree that an instrument that is solely backed by equity can never be debt.  Holding companies often own nothing but equity in subsidiaries.  Loans made to holding companies are debt and recognized as such by the SEC, the IRS, commercial contract law, recognized accounting standards, and rating agencies, even though the entity that issues the debt solely owns equity interests.  In addition to holding companies, there are other legal entities that issue debt, including limited liability companies, trusts, partnerships and other legal entities which also indirectly own assets, and whose form is chosen for tax treatment reasons.  The problem with the above characterization in the “Overview of Key Concepts” is that the premise proposed for SSAP No. 43R conflates the form of an instrument to its risk and return characterization narrowly because the proposal appears to exclude considerations for the structural enhancements (e.g. requiring that equity value to exceed the debt, reserve accounts and other features designed to provide downside protection) that exist to make the security a marketable debt instrument.  Debt results when an instrument has sufficient cash flow resources (including assets that can be converted to cash) and structure to reduce the payment risk to the point where the instrument can support a stated coupon and maturity.  Debt is distinct from equity, but the element that makes a debt instrument is not the legal form, per se, of what backs that instrument.  Instead, it is the elements where the debt instrument has sufficient cash flow, and assets that can be converted to cash, or refinanced based on their value, that allow that instrument to have sufficient certainty of payment.  Debt repayment is less volatile than equity, and as </w:t>
      </w:r>
      <w:r w:rsidRPr="00D924F4">
        <w:rPr>
          <w:szCs w:val="22"/>
        </w:rPr>
        <w:lastRenderedPageBreak/>
        <w:t xml:space="preserve">the certainty of debt repayment increases, the credit quality of the debt rises, but equity alone can still underpin a debt instrument. </w:t>
      </w:r>
    </w:p>
    <w:p w14:paraId="0E8E96E2" w14:textId="77777777" w:rsidR="002370CE" w:rsidRPr="00D924F4" w:rsidRDefault="002370CE" w:rsidP="002B1EAD">
      <w:pPr>
        <w:pStyle w:val="ListContinue"/>
        <w:numPr>
          <w:ilvl w:val="0"/>
          <w:numId w:val="3"/>
        </w:numPr>
        <w:rPr>
          <w:szCs w:val="22"/>
        </w:rPr>
      </w:pPr>
      <w:r w:rsidRPr="00D924F4">
        <w:rPr>
          <w:szCs w:val="22"/>
        </w:rPr>
        <w:t xml:space="preserve">Are there structures that would be captured within this guidance that would reflect an unintended consequence of what is intended? </w:t>
      </w:r>
    </w:p>
    <w:p w14:paraId="0F3F19C5" w14:textId="3C86AB0E" w:rsidR="002370CE" w:rsidRPr="00D924F4" w:rsidRDefault="002370CE" w:rsidP="002B1EAD">
      <w:pPr>
        <w:jc w:val="both"/>
        <w:rPr>
          <w:szCs w:val="22"/>
        </w:rPr>
      </w:pPr>
      <w:r w:rsidRPr="00D924F4">
        <w:rPr>
          <w:szCs w:val="22"/>
        </w:rPr>
        <w:t xml:space="preserve">Interested </w:t>
      </w:r>
      <w:r w:rsidR="009153D1">
        <w:rPr>
          <w:szCs w:val="22"/>
        </w:rPr>
        <w:t>p</w:t>
      </w:r>
      <w:r w:rsidRPr="00D924F4">
        <w:rPr>
          <w:szCs w:val="22"/>
        </w:rPr>
        <w:t xml:space="preserve">arties would like to clarify the term “solely,” as there are debt securities that are backed by equity interests that have materially different risk profile than the equity assets backing the debt.  This different risk profile is mainly due to significant overcollateralization and structural enhancements (e.g. covenants and reserve accounts) that work to preserve bond like characteristics under a variety of market conditions.   Hence, while the “sole” assets backing the debt may be equities, the debt does have a materially different risk profile.  The sole assets backing a REIT’s unsecured public bonds is typically equity interests in real estate, but that does not mean that the unsecured REIT debt is itself an equity. The unsecured REIT debt has a very different risk profile versus equity interests.  Further, </w:t>
      </w:r>
      <w:r w:rsidR="009153D1">
        <w:rPr>
          <w:szCs w:val="22"/>
        </w:rPr>
        <w:t>i</w:t>
      </w:r>
      <w:r w:rsidRPr="00D924F4">
        <w:rPr>
          <w:szCs w:val="22"/>
        </w:rPr>
        <w:t xml:space="preserve">nterested </w:t>
      </w:r>
      <w:r w:rsidR="009153D1">
        <w:rPr>
          <w:szCs w:val="22"/>
        </w:rPr>
        <w:t>p</w:t>
      </w:r>
      <w:r w:rsidRPr="00D924F4">
        <w:rPr>
          <w:szCs w:val="22"/>
        </w:rPr>
        <w:t xml:space="preserve">arties would like to state that corporations, partnerships and other entities all can own assets, but the type of entity used to own an asset or assets, and then issue a debt instrument, does not impact whether the borrowed money is debt.  </w:t>
      </w:r>
    </w:p>
    <w:p w14:paraId="02CC60DA" w14:textId="77777777" w:rsidR="002370CE" w:rsidRPr="00D924F4" w:rsidRDefault="002370CE" w:rsidP="002B1EAD">
      <w:pPr>
        <w:jc w:val="both"/>
        <w:rPr>
          <w:szCs w:val="22"/>
        </w:rPr>
      </w:pPr>
    </w:p>
    <w:p w14:paraId="75AC4D34" w14:textId="77777777" w:rsidR="002370CE" w:rsidRPr="00D924F4" w:rsidRDefault="002370CE" w:rsidP="002B1EAD">
      <w:pPr>
        <w:jc w:val="both"/>
        <w:rPr>
          <w:szCs w:val="22"/>
        </w:rPr>
      </w:pPr>
      <w:r w:rsidRPr="00D924F4">
        <w:rPr>
          <w:szCs w:val="22"/>
        </w:rPr>
        <w:t xml:space="preserve">The legal form of the issuer is, in some cases, selected to obtain specific tax treatment of income from the issuer, and in some other cases, to legally isolate the transferred financial assets, to give a few examples. But in of itself, the legal form of an issuer holds no bearing on what constitutes the core of borrowed money or debt. </w:t>
      </w:r>
    </w:p>
    <w:p w14:paraId="6E1AC511" w14:textId="77777777" w:rsidR="002370CE" w:rsidRPr="00D924F4" w:rsidRDefault="002370CE" w:rsidP="002B1EAD">
      <w:pPr>
        <w:pStyle w:val="CommentText"/>
        <w:jc w:val="both"/>
        <w:rPr>
          <w:sz w:val="22"/>
          <w:szCs w:val="22"/>
        </w:rPr>
      </w:pPr>
    </w:p>
    <w:p w14:paraId="140713CA" w14:textId="77777777" w:rsidR="002370CE" w:rsidRPr="00D924F4" w:rsidRDefault="002370CE" w:rsidP="002B1EAD">
      <w:pPr>
        <w:pStyle w:val="ListContinue"/>
        <w:numPr>
          <w:ilvl w:val="0"/>
          <w:numId w:val="3"/>
        </w:numPr>
        <w:rPr>
          <w:szCs w:val="22"/>
        </w:rPr>
      </w:pPr>
      <w:r w:rsidRPr="00D924F4">
        <w:rPr>
          <w:szCs w:val="22"/>
        </w:rPr>
        <w:t>Comments are requested on whether these structures would include differing types of investments (combinations of equity / derivative instruments) and if specific guidance requiring bifurcation should be captured.</w:t>
      </w:r>
    </w:p>
    <w:p w14:paraId="6E8EF489" w14:textId="30966AFA" w:rsidR="002370CE" w:rsidRPr="00D924F4" w:rsidRDefault="002370CE" w:rsidP="002B1EAD">
      <w:pPr>
        <w:pStyle w:val="ListContinue"/>
        <w:numPr>
          <w:ilvl w:val="0"/>
          <w:numId w:val="0"/>
        </w:numPr>
        <w:rPr>
          <w:szCs w:val="22"/>
        </w:rPr>
      </w:pPr>
      <w:r w:rsidRPr="00D924F4">
        <w:rPr>
          <w:szCs w:val="22"/>
        </w:rPr>
        <w:t xml:space="preserve">Look through treatment can be appropriate in narrowly defined circumstances as is the case with combo notes.  In many other contexts, however, look through treatment can lead to philosophical abstractions that, in practical application, end up transforming a REITs debt “backed” by a real estate equity, into equity itself.  Bifurcation may also be appropriate if the underlying assets are a combination of equity and debt securities and all returns are directly passed through to investors.  Interested </w:t>
      </w:r>
      <w:r w:rsidR="009153D1">
        <w:rPr>
          <w:szCs w:val="22"/>
        </w:rPr>
        <w:t>p</w:t>
      </w:r>
      <w:r w:rsidRPr="00D924F4">
        <w:rPr>
          <w:szCs w:val="22"/>
        </w:rPr>
        <w:t xml:space="preserve">arties suggest that the look through concept or bifurcation approach be applied only on a case-by-case basis, as an aid to analysis rather than a binding rule.  </w:t>
      </w:r>
    </w:p>
    <w:p w14:paraId="7D4828E5" w14:textId="59038AA7" w:rsidR="002370CE" w:rsidRPr="00D924F4" w:rsidRDefault="002370CE" w:rsidP="002B1EAD">
      <w:pPr>
        <w:jc w:val="both"/>
        <w:rPr>
          <w:szCs w:val="22"/>
        </w:rPr>
      </w:pPr>
      <w:r w:rsidRPr="00D924F4">
        <w:rPr>
          <w:szCs w:val="22"/>
        </w:rPr>
        <w:t>In conclusion, related to CFO investments, we agree that 1) instruments where the amount of principal or interest payable contractually var</w:t>
      </w:r>
      <w:r w:rsidR="0060657C" w:rsidRPr="00D924F4">
        <w:rPr>
          <w:szCs w:val="22"/>
        </w:rPr>
        <w:t>ies</w:t>
      </w:r>
      <w:r w:rsidRPr="00D924F4">
        <w:rPr>
          <w:szCs w:val="22"/>
        </w:rPr>
        <w:t xml:space="preserve"> based on the appreciation and/or depreciation of underlying equities warrant a different accounting treatment and therefore different reporting treatment than the bond section of Schedule D and 2) instruments that create RBC </w:t>
      </w:r>
      <w:r w:rsidR="0060657C" w:rsidRPr="00D924F4">
        <w:rPr>
          <w:szCs w:val="22"/>
        </w:rPr>
        <w:t>“</w:t>
      </w:r>
      <w:r w:rsidRPr="00D924F4">
        <w:rPr>
          <w:szCs w:val="22"/>
        </w:rPr>
        <w:t>arbitrage</w:t>
      </w:r>
      <w:r w:rsidR="0060657C" w:rsidRPr="00D924F4">
        <w:rPr>
          <w:szCs w:val="22"/>
        </w:rPr>
        <w:t>”</w:t>
      </w:r>
      <w:r w:rsidRPr="00D924F4">
        <w:rPr>
          <w:szCs w:val="22"/>
        </w:rPr>
        <w:t xml:space="preserve"> (i.e., by moving Schedule BA assets to Schedule D without meeting sale criteria in SSAP No. 103R) should be prohibited. </w:t>
      </w:r>
    </w:p>
    <w:p w14:paraId="5455E695" w14:textId="77777777" w:rsidR="002370CE" w:rsidRPr="00D924F4" w:rsidRDefault="002370CE" w:rsidP="002B1EAD">
      <w:pPr>
        <w:pStyle w:val="ListParagraph"/>
        <w:ind w:left="360"/>
        <w:jc w:val="both"/>
        <w:rPr>
          <w:szCs w:val="22"/>
        </w:rPr>
      </w:pPr>
    </w:p>
    <w:p w14:paraId="7E7BB2AC" w14:textId="3830628A" w:rsidR="002370CE" w:rsidRPr="00D924F4" w:rsidRDefault="002370CE" w:rsidP="002B1EAD">
      <w:pPr>
        <w:jc w:val="both"/>
        <w:rPr>
          <w:szCs w:val="22"/>
        </w:rPr>
      </w:pPr>
      <w:r w:rsidRPr="00D924F4">
        <w:rPr>
          <w:szCs w:val="22"/>
        </w:rPr>
        <w:t xml:space="preserve">However, any proposed scope clarifications should only address the </w:t>
      </w:r>
      <w:r w:rsidR="0060657C" w:rsidRPr="00D924F4">
        <w:rPr>
          <w:szCs w:val="22"/>
        </w:rPr>
        <w:t xml:space="preserve">perceived </w:t>
      </w:r>
      <w:r w:rsidRPr="00D924F4">
        <w:rPr>
          <w:szCs w:val="22"/>
        </w:rPr>
        <w:t xml:space="preserve">abuses and not have detrimental consequences to a broader range of CFO investments which are appropriate and beneficial for insurance companies’ investment portfolios.  For example, there are many CFO-type investments with a fixed coupon and fixed principal, that have adequate structural features such as overcollateralization and/or liquidity facilities, such that equity appreciation is not required in order to service debt obligations, and in fact, the value of the underlying equity investments can fall substantially, without jeopardizing debt repayments as scheduled (e.g., CEF Debt and other similar structures).  Interested </w:t>
      </w:r>
      <w:r w:rsidR="009153D1">
        <w:rPr>
          <w:szCs w:val="22"/>
        </w:rPr>
        <w:t>p</w:t>
      </w:r>
      <w:r w:rsidRPr="00D924F4">
        <w:rPr>
          <w:szCs w:val="22"/>
        </w:rPr>
        <w:t xml:space="preserve">arties believe these structures are bonds, appropriate for schedule D reporting, and should be eligible for filing exemption.  </w:t>
      </w:r>
    </w:p>
    <w:p w14:paraId="6A827ACD" w14:textId="77777777" w:rsidR="002370CE" w:rsidRPr="00D924F4" w:rsidRDefault="002370CE" w:rsidP="002B1EAD">
      <w:pPr>
        <w:pStyle w:val="ListParagraph"/>
        <w:ind w:left="360"/>
        <w:jc w:val="both"/>
        <w:rPr>
          <w:szCs w:val="22"/>
        </w:rPr>
      </w:pPr>
    </w:p>
    <w:p w14:paraId="2AADF04D" w14:textId="31DF12B3" w:rsidR="002370CE" w:rsidRPr="00D924F4" w:rsidRDefault="002370CE" w:rsidP="002B1EAD">
      <w:pPr>
        <w:jc w:val="both"/>
        <w:rPr>
          <w:szCs w:val="22"/>
        </w:rPr>
      </w:pPr>
      <w:r w:rsidRPr="00D924F4">
        <w:rPr>
          <w:szCs w:val="22"/>
        </w:rPr>
        <w:t xml:space="preserve">The Exposure states that NAIC staff believes regulators do not believe any equity-backed investments should be reported as bonds on Schedule D.  This is not consistent with our discussion with some regulators, </w:t>
      </w:r>
      <w:r w:rsidRPr="00D924F4">
        <w:rPr>
          <w:szCs w:val="22"/>
        </w:rPr>
        <w:lastRenderedPageBreak/>
        <w:t xml:space="preserve">who view that the aforementioned- types of securities with overcollateralization and fixed coupon rates and maturities are bonds and should be accounted for as bonds and reported on Schedule D.  We would appreciate if regulators that share NAIC staffs’ expressed view or have concerns </w:t>
      </w:r>
      <w:r w:rsidR="0060657C" w:rsidRPr="00D924F4">
        <w:rPr>
          <w:szCs w:val="22"/>
        </w:rPr>
        <w:t xml:space="preserve">would </w:t>
      </w:r>
      <w:r w:rsidRPr="00D924F4">
        <w:rPr>
          <w:szCs w:val="22"/>
        </w:rPr>
        <w:t xml:space="preserve">provide written comments on their specific concerns so we can help address them.  We would welcome the opportunity to provide education on CEF Debt and other CFO structures that </w:t>
      </w:r>
      <w:r w:rsidR="009153D1">
        <w:rPr>
          <w:szCs w:val="22"/>
        </w:rPr>
        <w:t>i</w:t>
      </w:r>
      <w:r w:rsidRPr="00D924F4">
        <w:rPr>
          <w:szCs w:val="22"/>
        </w:rPr>
        <w:t xml:space="preserve">nterested </w:t>
      </w:r>
      <w:r w:rsidR="009153D1">
        <w:rPr>
          <w:szCs w:val="22"/>
        </w:rPr>
        <w:t>p</w:t>
      </w:r>
      <w:r w:rsidRPr="00D924F4">
        <w:rPr>
          <w:szCs w:val="22"/>
        </w:rPr>
        <w:t xml:space="preserve">arties (and the SEC) unequivocally view as debt. </w:t>
      </w:r>
    </w:p>
    <w:p w14:paraId="6DE88E0A" w14:textId="77777777" w:rsidR="002370CE" w:rsidRPr="00D924F4" w:rsidRDefault="002370CE" w:rsidP="002B1EAD">
      <w:pPr>
        <w:jc w:val="both"/>
        <w:rPr>
          <w:szCs w:val="22"/>
        </w:rPr>
      </w:pPr>
    </w:p>
    <w:p w14:paraId="0D9E0E32" w14:textId="512EA3FB" w:rsidR="002370CE" w:rsidRPr="00D924F4" w:rsidRDefault="002370CE" w:rsidP="002B1EAD">
      <w:pPr>
        <w:jc w:val="both"/>
        <w:rPr>
          <w:szCs w:val="22"/>
        </w:rPr>
      </w:pPr>
      <w:r w:rsidRPr="00D924F4">
        <w:rPr>
          <w:szCs w:val="22"/>
        </w:rPr>
        <w:t>For the benefit of NAIC staff and regulators, included in Appendix I</w:t>
      </w:r>
      <w:r w:rsidR="0060657C" w:rsidRPr="00D924F4">
        <w:rPr>
          <w:szCs w:val="22"/>
        </w:rPr>
        <w:t>II</w:t>
      </w:r>
      <w:r w:rsidRPr="00D924F4">
        <w:rPr>
          <w:szCs w:val="22"/>
        </w:rPr>
        <w:t xml:space="preserve"> of this letter, is an overview of typical non-abusive CFO issued debt, which </w:t>
      </w:r>
      <w:r w:rsidR="009153D1">
        <w:rPr>
          <w:szCs w:val="22"/>
        </w:rPr>
        <w:t>i</w:t>
      </w:r>
      <w:r w:rsidRPr="00D924F4">
        <w:rPr>
          <w:szCs w:val="22"/>
        </w:rPr>
        <w:t xml:space="preserve">nterested </w:t>
      </w:r>
      <w:r w:rsidR="009153D1">
        <w:rPr>
          <w:szCs w:val="22"/>
        </w:rPr>
        <w:t>p</w:t>
      </w:r>
      <w:r w:rsidRPr="00D924F4">
        <w:rPr>
          <w:szCs w:val="22"/>
        </w:rPr>
        <w:t>arties believe should be accounted for as bonds and reported on Schedule D.</w:t>
      </w:r>
    </w:p>
    <w:p w14:paraId="7EA475E9" w14:textId="651163DB" w:rsidR="00C24074" w:rsidRPr="00D924F4" w:rsidRDefault="00B242E6" w:rsidP="005D1C23">
      <w:pPr>
        <w:spacing w:after="160" w:line="259" w:lineRule="auto"/>
        <w:rPr>
          <w:szCs w:val="22"/>
        </w:rPr>
      </w:pPr>
      <w:r w:rsidRPr="00D924F4">
        <w:rPr>
          <w:szCs w:val="22"/>
        </w:rPr>
        <w:br w:type="page"/>
      </w:r>
    </w:p>
    <w:p w14:paraId="7A228D57" w14:textId="1D731DF7" w:rsidR="007B752D" w:rsidRPr="00D924F4" w:rsidRDefault="00201288" w:rsidP="002B1EAD">
      <w:pPr>
        <w:jc w:val="both"/>
        <w:rPr>
          <w:b/>
          <w:szCs w:val="22"/>
          <w:u w:val="single"/>
        </w:rPr>
      </w:pPr>
      <w:r w:rsidRPr="00D924F4">
        <w:rPr>
          <w:b/>
          <w:szCs w:val="22"/>
          <w:u w:val="single"/>
        </w:rPr>
        <w:lastRenderedPageBreak/>
        <w:t xml:space="preserve">Section </w:t>
      </w:r>
      <w:r w:rsidR="00B15184" w:rsidRPr="00D924F4">
        <w:rPr>
          <w:b/>
          <w:szCs w:val="22"/>
          <w:u w:val="single"/>
        </w:rPr>
        <w:t>5e</w:t>
      </w:r>
      <w:r w:rsidR="007B752D" w:rsidRPr="00D924F4">
        <w:rPr>
          <w:b/>
          <w:szCs w:val="22"/>
          <w:u w:val="single"/>
        </w:rPr>
        <w:t xml:space="preserve"> – Accounting and Reporting for Non-CFR ABS and Non-Traditional Securitizations – Principal Protected Notes</w:t>
      </w:r>
    </w:p>
    <w:p w14:paraId="07D24730" w14:textId="77777777" w:rsidR="00411FEA" w:rsidRPr="00D924F4" w:rsidRDefault="00411FEA" w:rsidP="002B1EAD">
      <w:pPr>
        <w:jc w:val="bot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201288" w:rsidRPr="00D924F4" w14:paraId="4172EDEC" w14:textId="77777777" w:rsidTr="00985338">
        <w:tc>
          <w:tcPr>
            <w:tcW w:w="8990" w:type="dxa"/>
          </w:tcPr>
          <w:p w14:paraId="2901B469"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Overview of Key Concepts: </w:t>
            </w:r>
          </w:p>
        </w:tc>
      </w:tr>
      <w:tr w:rsidR="00201288" w:rsidRPr="00D924F4" w14:paraId="041F5707" w14:textId="77777777" w:rsidTr="00985338">
        <w:tc>
          <w:tcPr>
            <w:tcW w:w="8990" w:type="dxa"/>
          </w:tcPr>
          <w:p w14:paraId="711E3F0A" w14:textId="77777777" w:rsidR="00201288" w:rsidRPr="00D924F4" w:rsidRDefault="00201288" w:rsidP="002B1EAD">
            <w:pPr>
              <w:pStyle w:val="ListContinue"/>
              <w:numPr>
                <w:ilvl w:val="0"/>
                <w:numId w:val="2"/>
              </w:numPr>
              <w:rPr>
                <w:sz w:val="22"/>
                <w:szCs w:val="22"/>
              </w:rPr>
            </w:pPr>
            <w:r w:rsidRPr="00D924F4">
              <w:rPr>
                <w:sz w:val="22"/>
                <w:szCs w:val="22"/>
              </w:rPr>
              <w:t xml:space="preserve">This section addresses principal-protected notes (or similar structures), in which only a portion of the assets held in trust ensures the repayment of principal at maturity. </w:t>
            </w:r>
          </w:p>
          <w:p w14:paraId="30654756" w14:textId="77777777" w:rsidR="00201288" w:rsidRPr="00D924F4" w:rsidRDefault="00201288" w:rsidP="002B1EAD">
            <w:pPr>
              <w:pStyle w:val="ListContinue"/>
              <w:numPr>
                <w:ilvl w:val="0"/>
                <w:numId w:val="2"/>
              </w:numPr>
              <w:rPr>
                <w:sz w:val="22"/>
                <w:szCs w:val="22"/>
              </w:rPr>
            </w:pPr>
            <w:r w:rsidRPr="00D924F4">
              <w:rPr>
                <w:sz w:val="22"/>
                <w:szCs w:val="22"/>
              </w:rPr>
              <w:t xml:space="preserve">As detailed, the Valuation of Securities (E) Task Force is currently proposing to exclude these instruments from filing exempt, and require submission to the NAIC SVO in determining NAIC designations. </w:t>
            </w:r>
          </w:p>
          <w:p w14:paraId="386E8CE1" w14:textId="77777777" w:rsidR="00201288" w:rsidRPr="00D924F4" w:rsidRDefault="00201288" w:rsidP="002B1EAD">
            <w:pPr>
              <w:pStyle w:val="ListContinue"/>
              <w:numPr>
                <w:ilvl w:val="0"/>
                <w:numId w:val="2"/>
              </w:numPr>
              <w:rPr>
                <w:sz w:val="22"/>
                <w:szCs w:val="22"/>
              </w:rPr>
            </w:pPr>
            <w:r w:rsidRPr="00D924F4">
              <w:rPr>
                <w:sz w:val="22"/>
                <w:szCs w:val="22"/>
              </w:rPr>
              <w:t xml:space="preserve">In addition to the filing exempt exclusion, the issue paper proposes consideration of a lower of amortized cost or fair value measurement method, as well as restrictions in using the “intent and ability to hold guidance” in determining OTTI. </w:t>
            </w:r>
          </w:p>
        </w:tc>
      </w:tr>
      <w:tr w:rsidR="00201288" w:rsidRPr="00D924F4" w14:paraId="430958FD" w14:textId="77777777" w:rsidTr="00985338">
        <w:tc>
          <w:tcPr>
            <w:tcW w:w="8990" w:type="dxa"/>
          </w:tcPr>
          <w:p w14:paraId="415A5F5D"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Questions / Comments: </w:t>
            </w:r>
          </w:p>
        </w:tc>
      </w:tr>
      <w:tr w:rsidR="00201288" w:rsidRPr="00D924F4" w14:paraId="426B0D35" w14:textId="77777777" w:rsidTr="00985338">
        <w:tc>
          <w:tcPr>
            <w:tcW w:w="8990" w:type="dxa"/>
          </w:tcPr>
          <w:p w14:paraId="58A7B275" w14:textId="77777777" w:rsidR="00201288" w:rsidRPr="00D924F4" w:rsidRDefault="00201288" w:rsidP="002B1EAD">
            <w:pPr>
              <w:pStyle w:val="ListContinue"/>
              <w:numPr>
                <w:ilvl w:val="0"/>
                <w:numId w:val="3"/>
              </w:numPr>
              <w:rPr>
                <w:sz w:val="22"/>
                <w:szCs w:val="22"/>
              </w:rPr>
            </w:pPr>
            <w:r w:rsidRPr="00D924F4">
              <w:rPr>
                <w:sz w:val="22"/>
                <w:szCs w:val="22"/>
              </w:rPr>
              <w:t xml:space="preserve">In addition to the PPNs, are there other instances in which SSAP No. 43R securities are issued with stated interest rates that would be substantially lower than if the debt instruments were held individually?  </w:t>
            </w:r>
          </w:p>
          <w:p w14:paraId="34761676" w14:textId="77777777" w:rsidR="00201288" w:rsidRPr="00D924F4" w:rsidRDefault="00201288" w:rsidP="002B1EAD">
            <w:pPr>
              <w:pStyle w:val="ListContinue"/>
              <w:numPr>
                <w:ilvl w:val="0"/>
                <w:numId w:val="3"/>
              </w:numPr>
              <w:rPr>
                <w:sz w:val="22"/>
                <w:szCs w:val="22"/>
              </w:rPr>
            </w:pPr>
            <w:r w:rsidRPr="00D924F4">
              <w:rPr>
                <w:sz w:val="22"/>
                <w:szCs w:val="22"/>
              </w:rPr>
              <w:t xml:space="preserve">Is the proposed lower of amortized cost or fair value measurement method and the OTTI provisions appropriate for PPNs? </w:t>
            </w:r>
          </w:p>
          <w:p w14:paraId="31486C2F" w14:textId="77777777" w:rsidR="00201288" w:rsidRPr="00D924F4" w:rsidRDefault="00201288" w:rsidP="002B1EAD">
            <w:pPr>
              <w:pStyle w:val="ListContinue"/>
              <w:numPr>
                <w:ilvl w:val="0"/>
                <w:numId w:val="3"/>
              </w:numPr>
              <w:rPr>
                <w:sz w:val="22"/>
                <w:szCs w:val="22"/>
              </w:rPr>
            </w:pPr>
            <w:r w:rsidRPr="00D924F4">
              <w:rPr>
                <w:sz w:val="22"/>
                <w:szCs w:val="22"/>
              </w:rPr>
              <w:t xml:space="preserve">Should there be additional disclosures for PPNs in the financial statements? </w:t>
            </w:r>
          </w:p>
        </w:tc>
      </w:tr>
    </w:tbl>
    <w:p w14:paraId="1FE684B2" w14:textId="77777777" w:rsidR="00201288" w:rsidRPr="00D924F4" w:rsidRDefault="00201288" w:rsidP="002B1EAD">
      <w:pPr>
        <w:jc w:val="both"/>
        <w:rPr>
          <w:szCs w:val="22"/>
        </w:rPr>
      </w:pPr>
    </w:p>
    <w:p w14:paraId="697D5D5B" w14:textId="1AF292CF" w:rsidR="009D2BCE" w:rsidRPr="00D924F4" w:rsidRDefault="009D2BCE" w:rsidP="002B1EAD">
      <w:pPr>
        <w:jc w:val="both"/>
        <w:rPr>
          <w:szCs w:val="22"/>
        </w:rPr>
      </w:pPr>
      <w:r w:rsidRPr="00D924F4">
        <w:rPr>
          <w:szCs w:val="22"/>
        </w:rPr>
        <w:t xml:space="preserve">PPNs, as described in the </w:t>
      </w:r>
      <w:r w:rsidR="006249DA" w:rsidRPr="00D924F4">
        <w:rPr>
          <w:szCs w:val="22"/>
        </w:rPr>
        <w:t>I</w:t>
      </w:r>
      <w:r w:rsidRPr="00D924F4">
        <w:rPr>
          <w:szCs w:val="22"/>
        </w:rPr>
        <w:t xml:space="preserve">ssue </w:t>
      </w:r>
      <w:r w:rsidR="006249DA" w:rsidRPr="00D924F4">
        <w:rPr>
          <w:szCs w:val="22"/>
        </w:rPr>
        <w:t>P</w:t>
      </w:r>
      <w:r w:rsidRPr="00D924F4">
        <w:rPr>
          <w:szCs w:val="22"/>
        </w:rPr>
        <w:t xml:space="preserve">aper, present unique considerations due to structuring which creates a difference between the yield implied by the contractually promised fixed-schedule payments and the expected total yield at the time of investment.  Contractually promised payments are satisfied by underlying bonds (which would, on a stand-alone basis, qualify as </w:t>
      </w:r>
      <w:r w:rsidR="00E532F4" w:rsidRPr="00D924F4">
        <w:rPr>
          <w:szCs w:val="22"/>
        </w:rPr>
        <w:t>f</w:t>
      </w:r>
      <w:r w:rsidRPr="00D924F4">
        <w:rPr>
          <w:szCs w:val="22"/>
        </w:rPr>
        <w:t xml:space="preserve">iling </w:t>
      </w:r>
      <w:r w:rsidR="00E532F4" w:rsidRPr="00D924F4">
        <w:rPr>
          <w:szCs w:val="22"/>
        </w:rPr>
        <w:t>e</w:t>
      </w:r>
      <w:r w:rsidRPr="00D924F4">
        <w:rPr>
          <w:szCs w:val="22"/>
        </w:rPr>
        <w:t xml:space="preserve">xempt debt instruments under SSAP </w:t>
      </w:r>
      <w:r w:rsidR="00E532F4" w:rsidRPr="00D924F4">
        <w:rPr>
          <w:szCs w:val="22"/>
        </w:rPr>
        <w:t>No</w:t>
      </w:r>
      <w:r w:rsidR="006249DA" w:rsidRPr="00D924F4">
        <w:rPr>
          <w:szCs w:val="22"/>
        </w:rPr>
        <w:t>s</w:t>
      </w:r>
      <w:r w:rsidR="00E532F4" w:rsidRPr="00D924F4">
        <w:rPr>
          <w:szCs w:val="22"/>
        </w:rPr>
        <w:t xml:space="preserve">. </w:t>
      </w:r>
      <w:r w:rsidRPr="00D924F4">
        <w:rPr>
          <w:szCs w:val="22"/>
        </w:rPr>
        <w:t>26R or 43R), but the structure offers other potential returns via the presence of other assets, a contractually promised yield well below market comparable credits, or a combination thereof.  There is a substantial component to PPN structures that exhibits characteristics consistent with qualifying debt instruments (contractually promised fixed-schedule payments</w:t>
      </w:r>
      <w:r w:rsidR="00E532F4" w:rsidRPr="00D924F4">
        <w:rPr>
          <w:szCs w:val="22"/>
        </w:rPr>
        <w:t>,</w:t>
      </w:r>
      <w:r w:rsidRPr="00D924F4">
        <w:rPr>
          <w:szCs w:val="22"/>
        </w:rPr>
        <w:t xml:space="preserve"> contingent upon the credit risk of the underlying debt issuer(s)), but there is also a component that may either generate additional return on investment or alternatively erode the portion(s) of initial invested basis (acquisition price) associated with its unique expected future cash flow prospects.  </w:t>
      </w:r>
    </w:p>
    <w:p w14:paraId="09734AD9" w14:textId="77777777" w:rsidR="009D2BCE" w:rsidRPr="00D924F4" w:rsidRDefault="009D2BCE" w:rsidP="002B1EAD">
      <w:pPr>
        <w:jc w:val="both"/>
        <w:rPr>
          <w:szCs w:val="22"/>
        </w:rPr>
      </w:pPr>
    </w:p>
    <w:p w14:paraId="685F9270" w14:textId="45355481" w:rsidR="00FD0681" w:rsidRPr="00D924F4" w:rsidRDefault="009D2BCE" w:rsidP="002B1EAD">
      <w:pPr>
        <w:jc w:val="both"/>
        <w:rPr>
          <w:szCs w:val="22"/>
        </w:rPr>
      </w:pPr>
      <w:r w:rsidRPr="00D924F4">
        <w:rPr>
          <w:szCs w:val="22"/>
        </w:rPr>
        <w:t>PPNs are finite term investment vehicles with structured fixed-schedule payments covered by underlying monetary assets (by their terms converting to cash within a finite time period).  Much of the specific performance measurement and valuation guidance already outlined within SSAP</w:t>
      </w:r>
      <w:r w:rsidR="00E532F4" w:rsidRPr="00D924F4">
        <w:rPr>
          <w:szCs w:val="22"/>
        </w:rPr>
        <w:t xml:space="preserve"> No.</w:t>
      </w:r>
      <w:r w:rsidRPr="00D924F4">
        <w:rPr>
          <w:szCs w:val="22"/>
        </w:rPr>
        <w:t xml:space="preserve"> 43R, including the qualification of continuous monitoring of currently expected underlying cash flows, is already well suited to capturing the economic substance of PPN structures</w:t>
      </w:r>
      <w:r w:rsidR="00B943B1" w:rsidRPr="00D924F4">
        <w:rPr>
          <w:szCs w:val="22"/>
        </w:rPr>
        <w:t>, including</w:t>
      </w:r>
      <w:r w:rsidR="002F5885" w:rsidRPr="00D924F4">
        <w:rPr>
          <w:szCs w:val="22"/>
        </w:rPr>
        <w:t xml:space="preserve"> for</w:t>
      </w:r>
      <w:r w:rsidR="00B943B1" w:rsidRPr="00D924F4">
        <w:rPr>
          <w:szCs w:val="22"/>
        </w:rPr>
        <w:t xml:space="preserve"> impairment</w:t>
      </w:r>
      <w:r w:rsidRPr="00D924F4">
        <w:rPr>
          <w:szCs w:val="22"/>
        </w:rPr>
        <w:t xml:space="preserve">.  </w:t>
      </w:r>
      <w:r w:rsidR="002F5885" w:rsidRPr="00D924F4">
        <w:rPr>
          <w:szCs w:val="22"/>
        </w:rPr>
        <w:t xml:space="preserve">Interested </w:t>
      </w:r>
      <w:r w:rsidR="009153D1">
        <w:rPr>
          <w:szCs w:val="22"/>
        </w:rPr>
        <w:t>p</w:t>
      </w:r>
      <w:r w:rsidR="002F5885" w:rsidRPr="00D924F4">
        <w:rPr>
          <w:szCs w:val="22"/>
        </w:rPr>
        <w:t>arties, however, would take no object</w:t>
      </w:r>
      <w:r w:rsidR="00E27C4B" w:rsidRPr="00D924F4">
        <w:rPr>
          <w:szCs w:val="22"/>
        </w:rPr>
        <w:t>ion</w:t>
      </w:r>
      <w:r w:rsidR="002F5885" w:rsidRPr="00D924F4">
        <w:rPr>
          <w:szCs w:val="22"/>
        </w:rPr>
        <w:t xml:space="preserve"> to restrictions in using the “intent and ability to hold guidance”</w:t>
      </w:r>
      <w:r w:rsidR="00E27C4B" w:rsidRPr="00D924F4">
        <w:rPr>
          <w:szCs w:val="22"/>
        </w:rPr>
        <w:t>,</w:t>
      </w:r>
      <w:r w:rsidR="002F5885" w:rsidRPr="00D924F4">
        <w:rPr>
          <w:szCs w:val="22"/>
        </w:rPr>
        <w:t xml:space="preserve"> in determining impairment</w:t>
      </w:r>
      <w:r w:rsidR="00E27C4B" w:rsidRPr="00D924F4">
        <w:rPr>
          <w:szCs w:val="22"/>
        </w:rPr>
        <w:t>,</w:t>
      </w:r>
      <w:r w:rsidR="002F5885" w:rsidRPr="00D924F4">
        <w:rPr>
          <w:szCs w:val="22"/>
        </w:rPr>
        <w:t xml:space="preserve"> </w:t>
      </w:r>
      <w:r w:rsidR="00E27C4B" w:rsidRPr="00D924F4">
        <w:rPr>
          <w:szCs w:val="22"/>
        </w:rPr>
        <w:t>due to the “lower than market” yield often associated with such investments</w:t>
      </w:r>
      <w:r w:rsidR="002F5885" w:rsidRPr="00D924F4">
        <w:rPr>
          <w:szCs w:val="22"/>
        </w:rPr>
        <w:t xml:space="preserve">. </w:t>
      </w:r>
    </w:p>
    <w:p w14:paraId="4BF53B02" w14:textId="77777777" w:rsidR="00FD0681" w:rsidRPr="00D924F4" w:rsidRDefault="00FD0681" w:rsidP="002B1EAD">
      <w:pPr>
        <w:jc w:val="both"/>
        <w:rPr>
          <w:szCs w:val="22"/>
        </w:rPr>
      </w:pPr>
    </w:p>
    <w:p w14:paraId="2FC1432C" w14:textId="5F98D4AD" w:rsidR="009D2BCE" w:rsidRPr="00D924F4" w:rsidRDefault="00B943B1" w:rsidP="002B1EAD">
      <w:pPr>
        <w:jc w:val="both"/>
        <w:rPr>
          <w:szCs w:val="22"/>
        </w:rPr>
      </w:pPr>
      <w:r w:rsidRPr="00D924F4">
        <w:rPr>
          <w:szCs w:val="22"/>
        </w:rPr>
        <w:t xml:space="preserve">Interested </w:t>
      </w:r>
      <w:r w:rsidR="009153D1">
        <w:rPr>
          <w:szCs w:val="22"/>
        </w:rPr>
        <w:t>p</w:t>
      </w:r>
      <w:r w:rsidRPr="00D924F4">
        <w:rPr>
          <w:szCs w:val="22"/>
        </w:rPr>
        <w:t xml:space="preserve">arties </w:t>
      </w:r>
      <w:r w:rsidR="00C81261" w:rsidRPr="00D924F4">
        <w:rPr>
          <w:szCs w:val="22"/>
        </w:rPr>
        <w:t xml:space="preserve">further </w:t>
      </w:r>
      <w:r w:rsidRPr="00D924F4">
        <w:rPr>
          <w:szCs w:val="22"/>
        </w:rPr>
        <w:t xml:space="preserve">note that the VOSTF has now </w:t>
      </w:r>
      <w:r w:rsidR="00C81261" w:rsidRPr="00D924F4">
        <w:rPr>
          <w:szCs w:val="22"/>
        </w:rPr>
        <w:t>adopted</w:t>
      </w:r>
      <w:r w:rsidR="002F5885" w:rsidRPr="00D924F4">
        <w:rPr>
          <w:szCs w:val="22"/>
        </w:rPr>
        <w:t xml:space="preserve"> finalized</w:t>
      </w:r>
      <w:r w:rsidR="00C81261" w:rsidRPr="00D924F4">
        <w:rPr>
          <w:szCs w:val="22"/>
        </w:rPr>
        <w:t xml:space="preserve"> guidance </w:t>
      </w:r>
      <w:r w:rsidRPr="00D924F4">
        <w:rPr>
          <w:szCs w:val="22"/>
        </w:rPr>
        <w:t xml:space="preserve">to exclude these instruments from </w:t>
      </w:r>
      <w:r w:rsidR="002F5885" w:rsidRPr="00D924F4">
        <w:rPr>
          <w:szCs w:val="22"/>
        </w:rPr>
        <w:t>the filing exempt universe thus</w:t>
      </w:r>
      <w:r w:rsidRPr="00D924F4">
        <w:rPr>
          <w:szCs w:val="22"/>
        </w:rPr>
        <w:t xml:space="preserve"> requir</w:t>
      </w:r>
      <w:r w:rsidR="002F5885" w:rsidRPr="00D924F4">
        <w:rPr>
          <w:szCs w:val="22"/>
        </w:rPr>
        <w:t>ing their</w:t>
      </w:r>
      <w:r w:rsidRPr="00D924F4">
        <w:rPr>
          <w:szCs w:val="22"/>
        </w:rPr>
        <w:t xml:space="preserve"> submission to the SVO </w:t>
      </w:r>
      <w:r w:rsidR="002F5885" w:rsidRPr="00D924F4">
        <w:rPr>
          <w:szCs w:val="22"/>
        </w:rPr>
        <w:t>for</w:t>
      </w:r>
      <w:r w:rsidRPr="00D924F4">
        <w:rPr>
          <w:szCs w:val="22"/>
        </w:rPr>
        <w:t xml:space="preserve"> determining </w:t>
      </w:r>
      <w:r w:rsidR="002F5885" w:rsidRPr="00D924F4">
        <w:rPr>
          <w:szCs w:val="22"/>
        </w:rPr>
        <w:t xml:space="preserve">an </w:t>
      </w:r>
      <w:r w:rsidRPr="00D924F4">
        <w:rPr>
          <w:szCs w:val="22"/>
        </w:rPr>
        <w:t>NAIC designation.</w:t>
      </w:r>
      <w:r w:rsidR="00C81261" w:rsidRPr="00D924F4">
        <w:rPr>
          <w:szCs w:val="22"/>
        </w:rPr>
        <w:t xml:space="preserve">  </w:t>
      </w:r>
      <w:r w:rsidRPr="00D924F4">
        <w:rPr>
          <w:szCs w:val="22"/>
        </w:rPr>
        <w:t>The</w:t>
      </w:r>
      <w:r w:rsidR="009D2BCE" w:rsidRPr="00D924F4">
        <w:rPr>
          <w:szCs w:val="22"/>
        </w:rPr>
        <w:t xml:space="preserve"> analysis of cash flows employed by the SVO in executing their Weighted Average </w:t>
      </w:r>
      <w:r w:rsidR="009D2BCE" w:rsidRPr="00D924F4">
        <w:rPr>
          <w:szCs w:val="22"/>
        </w:rPr>
        <w:lastRenderedPageBreak/>
        <w:t>Ratings Factor (“WARF”) methodology for designating credit and other non-payment risk on PPNs</w:t>
      </w:r>
      <w:r w:rsidR="002F5885" w:rsidRPr="00D924F4">
        <w:rPr>
          <w:szCs w:val="22"/>
        </w:rPr>
        <w:t xml:space="preserve"> </w:t>
      </w:r>
      <w:r w:rsidR="00FA2791" w:rsidRPr="00D924F4">
        <w:rPr>
          <w:szCs w:val="22"/>
        </w:rPr>
        <w:t>is</w:t>
      </w:r>
      <w:r w:rsidR="001236B9" w:rsidRPr="00D924F4">
        <w:rPr>
          <w:szCs w:val="22"/>
        </w:rPr>
        <w:t xml:space="preserve"> meant to address </w:t>
      </w:r>
      <w:r w:rsidR="002F5885" w:rsidRPr="00D924F4">
        <w:rPr>
          <w:szCs w:val="22"/>
        </w:rPr>
        <w:t>the real risk associated with these investment (i.e., to obtain the appropriate RBC charge)</w:t>
      </w:r>
      <w:r w:rsidR="00E27C4B" w:rsidRPr="00D924F4">
        <w:rPr>
          <w:szCs w:val="22"/>
        </w:rPr>
        <w:t xml:space="preserve">, and with the more strict impairment requirements noted previously, </w:t>
      </w:r>
      <w:r w:rsidR="002F5885" w:rsidRPr="00D924F4">
        <w:rPr>
          <w:szCs w:val="22"/>
        </w:rPr>
        <w:t xml:space="preserve"> </w:t>
      </w:r>
      <w:r w:rsidR="009153D1">
        <w:rPr>
          <w:szCs w:val="22"/>
        </w:rPr>
        <w:t>i</w:t>
      </w:r>
      <w:r w:rsidR="001236B9" w:rsidRPr="00D924F4">
        <w:rPr>
          <w:szCs w:val="22"/>
        </w:rPr>
        <w:t xml:space="preserve">nterested </w:t>
      </w:r>
      <w:r w:rsidR="009153D1">
        <w:rPr>
          <w:szCs w:val="22"/>
        </w:rPr>
        <w:t>p</w:t>
      </w:r>
      <w:r w:rsidR="001236B9" w:rsidRPr="00D924F4">
        <w:rPr>
          <w:szCs w:val="22"/>
        </w:rPr>
        <w:t xml:space="preserve">arties </w:t>
      </w:r>
      <w:r w:rsidR="00E27C4B" w:rsidRPr="00D924F4">
        <w:rPr>
          <w:szCs w:val="22"/>
        </w:rPr>
        <w:t>do not believe</w:t>
      </w:r>
      <w:r w:rsidR="002F5885" w:rsidRPr="00D924F4">
        <w:rPr>
          <w:szCs w:val="22"/>
        </w:rPr>
        <w:t xml:space="preserve"> lower of cost or market accounting </w:t>
      </w:r>
      <w:r w:rsidR="0016770B" w:rsidRPr="00D924F4">
        <w:rPr>
          <w:szCs w:val="22"/>
        </w:rPr>
        <w:t>is</w:t>
      </w:r>
      <w:r w:rsidR="00E27C4B" w:rsidRPr="00D924F4">
        <w:rPr>
          <w:szCs w:val="22"/>
        </w:rPr>
        <w:t xml:space="preserve"> necessary</w:t>
      </w:r>
      <w:r w:rsidR="002F5885" w:rsidRPr="00D924F4">
        <w:rPr>
          <w:szCs w:val="22"/>
        </w:rPr>
        <w:t>.</w:t>
      </w:r>
      <w:r w:rsidR="00BF29C2" w:rsidRPr="00D924F4">
        <w:rPr>
          <w:szCs w:val="22"/>
        </w:rPr>
        <w:t xml:space="preserve">  </w:t>
      </w:r>
      <w:r w:rsidR="009D2BCE" w:rsidRPr="00D924F4">
        <w:rPr>
          <w:szCs w:val="22"/>
        </w:rPr>
        <w:t xml:space="preserve">We are open to considering whether the inherent diversity of Schedule BA might ultimately serve as the best fit; particularly given that it already has a classification grouping for investments with underlying characteristics of fixed income attended by a data field for NAIC Designations.   </w:t>
      </w:r>
      <w:r w:rsidR="00E27C4B" w:rsidRPr="00D924F4">
        <w:rPr>
          <w:szCs w:val="22"/>
        </w:rPr>
        <w:t xml:space="preserve">Interested </w:t>
      </w:r>
      <w:r w:rsidR="009153D1">
        <w:rPr>
          <w:szCs w:val="22"/>
        </w:rPr>
        <w:t>p</w:t>
      </w:r>
      <w:r w:rsidR="00E27C4B" w:rsidRPr="00D924F4">
        <w:rPr>
          <w:szCs w:val="22"/>
        </w:rPr>
        <w:t>arties further take no objection to further disclosures surrounding such investments</w:t>
      </w:r>
      <w:r w:rsidR="0016770B" w:rsidRPr="00D924F4">
        <w:rPr>
          <w:szCs w:val="22"/>
        </w:rPr>
        <w:t>,</w:t>
      </w:r>
      <w:r w:rsidR="00E27C4B" w:rsidRPr="00D924F4">
        <w:rPr>
          <w:szCs w:val="22"/>
        </w:rPr>
        <w:t xml:space="preserve"> if regulators feel such disclosure would be </w:t>
      </w:r>
      <w:r w:rsidR="001236B9" w:rsidRPr="00D924F4">
        <w:rPr>
          <w:szCs w:val="22"/>
        </w:rPr>
        <w:t>beneficial</w:t>
      </w:r>
      <w:r w:rsidR="00E27C4B" w:rsidRPr="00D924F4">
        <w:rPr>
          <w:szCs w:val="22"/>
        </w:rPr>
        <w:t>.</w:t>
      </w:r>
      <w:r w:rsidR="009D2BCE" w:rsidRPr="00D924F4">
        <w:rPr>
          <w:szCs w:val="22"/>
        </w:rPr>
        <w:t xml:space="preserve"> </w:t>
      </w:r>
    </w:p>
    <w:p w14:paraId="3C36FC90" w14:textId="6730C78F" w:rsidR="009D2BCE" w:rsidRPr="00D924F4" w:rsidRDefault="00B242E6" w:rsidP="005D1C23">
      <w:pPr>
        <w:spacing w:after="160" w:line="259" w:lineRule="auto"/>
        <w:rPr>
          <w:szCs w:val="22"/>
        </w:rPr>
      </w:pPr>
      <w:r w:rsidRPr="00D924F4">
        <w:rPr>
          <w:szCs w:val="22"/>
        </w:rPr>
        <w:br w:type="page"/>
      </w:r>
    </w:p>
    <w:p w14:paraId="6B1B1F2F" w14:textId="446B4A4E" w:rsidR="007B752D" w:rsidRPr="00D924F4" w:rsidRDefault="00201288" w:rsidP="002B1EAD">
      <w:pPr>
        <w:jc w:val="both"/>
        <w:rPr>
          <w:b/>
          <w:szCs w:val="22"/>
          <w:u w:val="single"/>
        </w:rPr>
      </w:pPr>
      <w:r w:rsidRPr="00D924F4">
        <w:rPr>
          <w:b/>
          <w:szCs w:val="22"/>
          <w:u w:val="single"/>
        </w:rPr>
        <w:lastRenderedPageBreak/>
        <w:t xml:space="preserve">Section </w:t>
      </w:r>
      <w:r w:rsidR="00B15184" w:rsidRPr="00D924F4">
        <w:rPr>
          <w:b/>
          <w:szCs w:val="22"/>
          <w:u w:val="single"/>
        </w:rPr>
        <w:t>5f</w:t>
      </w:r>
      <w:r w:rsidR="007B752D" w:rsidRPr="00D924F4">
        <w:rPr>
          <w:b/>
          <w:szCs w:val="22"/>
          <w:u w:val="single"/>
        </w:rPr>
        <w:t xml:space="preserve"> – Accounting and Reporting for Non-CFR ABS and Non-Traditional Securitizations – </w:t>
      </w:r>
    </w:p>
    <w:p w14:paraId="630E68F4" w14:textId="2CCAEE5A" w:rsidR="007B752D" w:rsidRPr="00D924F4" w:rsidRDefault="007B752D" w:rsidP="002B1EAD">
      <w:pPr>
        <w:jc w:val="both"/>
        <w:rPr>
          <w:b/>
          <w:szCs w:val="22"/>
          <w:u w:val="single"/>
        </w:rPr>
      </w:pPr>
      <w:r w:rsidRPr="00D924F4">
        <w:rPr>
          <w:b/>
          <w:szCs w:val="22"/>
          <w:u w:val="single"/>
        </w:rPr>
        <w:t>Collateral is Not Cash Generating and Not Equity (e.g., artwork held in trust)</w:t>
      </w:r>
    </w:p>
    <w:p w14:paraId="4A55C5C8" w14:textId="77777777" w:rsidR="00411FEA" w:rsidRPr="00D924F4" w:rsidRDefault="00411FEA" w:rsidP="002B1EAD">
      <w:pPr>
        <w:jc w:val="both"/>
        <w:rPr>
          <w:szCs w:val="22"/>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990"/>
      </w:tblGrid>
      <w:tr w:rsidR="00201288" w:rsidRPr="00D924F4" w14:paraId="7ECE1A60" w14:textId="77777777" w:rsidTr="00985338">
        <w:tc>
          <w:tcPr>
            <w:tcW w:w="8990" w:type="dxa"/>
          </w:tcPr>
          <w:p w14:paraId="57915DF3"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Overview of Key Concepts: </w:t>
            </w:r>
          </w:p>
        </w:tc>
      </w:tr>
      <w:tr w:rsidR="00201288" w:rsidRPr="00D924F4" w14:paraId="49F340F2" w14:textId="77777777" w:rsidTr="00985338">
        <w:tc>
          <w:tcPr>
            <w:tcW w:w="8990" w:type="dxa"/>
          </w:tcPr>
          <w:p w14:paraId="43D6D2AE" w14:textId="77777777" w:rsidR="00201288" w:rsidRPr="00D924F4" w:rsidRDefault="00201288" w:rsidP="002B1EAD">
            <w:pPr>
              <w:pStyle w:val="ListContinue"/>
              <w:numPr>
                <w:ilvl w:val="0"/>
                <w:numId w:val="2"/>
              </w:numPr>
              <w:rPr>
                <w:sz w:val="22"/>
                <w:szCs w:val="22"/>
              </w:rPr>
            </w:pPr>
            <w:r w:rsidRPr="00D924F4">
              <w:rPr>
                <w:sz w:val="22"/>
                <w:szCs w:val="22"/>
              </w:rPr>
              <w:t xml:space="preserve">This section addresses structures where the collateral held in trust is neither a cash-generating debt instrument nor an equity security. </w:t>
            </w:r>
          </w:p>
          <w:p w14:paraId="235D3627" w14:textId="77777777" w:rsidR="00201288" w:rsidRPr="00D924F4" w:rsidRDefault="00201288" w:rsidP="002B1EAD">
            <w:pPr>
              <w:pStyle w:val="ListContinue"/>
              <w:numPr>
                <w:ilvl w:val="0"/>
                <w:numId w:val="2"/>
              </w:numPr>
              <w:rPr>
                <w:sz w:val="22"/>
                <w:szCs w:val="22"/>
              </w:rPr>
            </w:pPr>
            <w:r w:rsidRPr="00D924F4">
              <w:rPr>
                <w:sz w:val="22"/>
                <w:szCs w:val="22"/>
              </w:rPr>
              <w:t xml:space="preserve">The guidance proposes to exclude these structures completely from SSAP No. 43R. It is identified that such structures may be designed to circumvent reporting if the underlying collateral had been held directly.  </w:t>
            </w:r>
          </w:p>
        </w:tc>
      </w:tr>
      <w:tr w:rsidR="00201288" w:rsidRPr="00D924F4" w14:paraId="2E24B46C" w14:textId="77777777" w:rsidTr="00985338">
        <w:tc>
          <w:tcPr>
            <w:tcW w:w="8990" w:type="dxa"/>
          </w:tcPr>
          <w:p w14:paraId="140F6865" w14:textId="77777777" w:rsidR="00201288" w:rsidRPr="00D924F4" w:rsidRDefault="00201288" w:rsidP="002B1EAD">
            <w:pPr>
              <w:pStyle w:val="ListContinue"/>
              <w:numPr>
                <w:ilvl w:val="0"/>
                <w:numId w:val="0"/>
              </w:numPr>
              <w:rPr>
                <w:b/>
                <w:bCs/>
                <w:sz w:val="22"/>
                <w:szCs w:val="22"/>
                <w:u w:val="single"/>
              </w:rPr>
            </w:pPr>
            <w:r w:rsidRPr="00D924F4">
              <w:rPr>
                <w:b/>
                <w:bCs/>
                <w:sz w:val="22"/>
                <w:szCs w:val="22"/>
                <w:u w:val="single"/>
              </w:rPr>
              <w:t xml:space="preserve">Questions / Comments: </w:t>
            </w:r>
          </w:p>
        </w:tc>
      </w:tr>
      <w:tr w:rsidR="00201288" w:rsidRPr="00D924F4" w14:paraId="1B569966" w14:textId="77777777" w:rsidTr="00985338">
        <w:trPr>
          <w:trHeight w:val="2034"/>
        </w:trPr>
        <w:tc>
          <w:tcPr>
            <w:tcW w:w="8990" w:type="dxa"/>
          </w:tcPr>
          <w:p w14:paraId="512A62E2" w14:textId="77777777" w:rsidR="00201288" w:rsidRPr="00D924F4" w:rsidRDefault="00201288" w:rsidP="002B1EAD">
            <w:pPr>
              <w:pStyle w:val="ListContinue"/>
              <w:numPr>
                <w:ilvl w:val="0"/>
                <w:numId w:val="3"/>
              </w:numPr>
              <w:rPr>
                <w:sz w:val="22"/>
                <w:szCs w:val="22"/>
              </w:rPr>
            </w:pPr>
            <w:r w:rsidRPr="00D924F4">
              <w:rPr>
                <w:sz w:val="22"/>
                <w:szCs w:val="22"/>
              </w:rPr>
              <w:t xml:space="preserve">Is the guidance clear enough to ensure that this only captures non-cash generating assets and non-equity securities? </w:t>
            </w:r>
          </w:p>
          <w:p w14:paraId="62205529" w14:textId="77777777" w:rsidR="00201288" w:rsidRPr="00D924F4" w:rsidRDefault="00201288" w:rsidP="002B1EAD">
            <w:pPr>
              <w:pStyle w:val="ListContinue"/>
              <w:numPr>
                <w:ilvl w:val="0"/>
                <w:numId w:val="3"/>
              </w:numPr>
              <w:rPr>
                <w:sz w:val="22"/>
                <w:szCs w:val="22"/>
              </w:rPr>
            </w:pPr>
            <w:r w:rsidRPr="00D924F4">
              <w:rPr>
                <w:sz w:val="22"/>
                <w:szCs w:val="22"/>
              </w:rPr>
              <w:t xml:space="preserve">Are there structures that would be captured within this guidance that would reflect an unintended consequence of what is intended? </w:t>
            </w:r>
          </w:p>
          <w:p w14:paraId="0D6FF6AA" w14:textId="77777777" w:rsidR="00201288" w:rsidRPr="00D924F4" w:rsidRDefault="00201288" w:rsidP="002B1EAD">
            <w:pPr>
              <w:pStyle w:val="ListContinue"/>
              <w:numPr>
                <w:ilvl w:val="0"/>
                <w:numId w:val="3"/>
              </w:numPr>
              <w:spacing w:after="0"/>
              <w:rPr>
                <w:sz w:val="22"/>
                <w:szCs w:val="22"/>
              </w:rPr>
            </w:pPr>
            <w:r w:rsidRPr="00D924F4">
              <w:rPr>
                <w:sz w:val="22"/>
                <w:szCs w:val="22"/>
              </w:rPr>
              <w:t xml:space="preserve">It is anticipated that these structures are not overly common, but information would be requested on the prevalence of these instances. </w:t>
            </w:r>
          </w:p>
        </w:tc>
      </w:tr>
    </w:tbl>
    <w:p w14:paraId="64479606" w14:textId="5E9710D0" w:rsidR="00201288" w:rsidRPr="00D924F4" w:rsidRDefault="00201288" w:rsidP="002B1EAD">
      <w:pPr>
        <w:jc w:val="both"/>
        <w:rPr>
          <w:szCs w:val="22"/>
        </w:rPr>
      </w:pPr>
    </w:p>
    <w:p w14:paraId="0958742D" w14:textId="4A5A05A4" w:rsidR="00FB1040" w:rsidRPr="00D924F4" w:rsidRDefault="00FB1040" w:rsidP="002B1EAD">
      <w:pPr>
        <w:jc w:val="both"/>
        <w:rPr>
          <w:szCs w:val="22"/>
        </w:rPr>
      </w:pPr>
      <w:r w:rsidRPr="00D924F4">
        <w:rPr>
          <w:szCs w:val="22"/>
        </w:rPr>
        <w:t xml:space="preserve">Interested </w:t>
      </w:r>
      <w:r w:rsidR="009153D1">
        <w:rPr>
          <w:szCs w:val="22"/>
        </w:rPr>
        <w:t>p</w:t>
      </w:r>
      <w:r w:rsidRPr="00D924F4">
        <w:rPr>
          <w:szCs w:val="22"/>
        </w:rPr>
        <w:t>arties offer the following comments and observations regarding structures taking asset risk:</w:t>
      </w:r>
    </w:p>
    <w:p w14:paraId="216D9C92" w14:textId="77777777" w:rsidR="00FB1040" w:rsidRPr="00D924F4" w:rsidRDefault="00FB1040" w:rsidP="002B1EAD">
      <w:pPr>
        <w:jc w:val="both"/>
        <w:rPr>
          <w:szCs w:val="22"/>
        </w:rPr>
      </w:pPr>
    </w:p>
    <w:p w14:paraId="051C45B0" w14:textId="2C908B4D" w:rsidR="00FB1040" w:rsidRPr="00D924F4" w:rsidRDefault="00FB1040" w:rsidP="002B1EAD">
      <w:pPr>
        <w:pStyle w:val="ListParagraph"/>
        <w:numPr>
          <w:ilvl w:val="0"/>
          <w:numId w:val="25"/>
        </w:numPr>
        <w:spacing w:after="160" w:line="259" w:lineRule="auto"/>
        <w:jc w:val="both"/>
        <w:rPr>
          <w:szCs w:val="22"/>
        </w:rPr>
      </w:pPr>
      <w:r w:rsidRPr="00D924F4">
        <w:rPr>
          <w:szCs w:val="22"/>
        </w:rPr>
        <w:t xml:space="preserve">First, it should be noted that the commentary in this section often strays far from most definitions of ABS, including the fairly narrow 1933 Act Definition. The 1933 Act Definition includes ABS backed by many types of underlying financial assets, not just ABS backed by debt instruments.  It requires that the ABS be primarily serviced by the cash flows from the underlying financial assets, while allowing for some level of physical asset releasing/refinancing risk within the structure.  </w:t>
      </w:r>
    </w:p>
    <w:p w14:paraId="403CC2AB" w14:textId="77777777" w:rsidR="0029090A" w:rsidRPr="00D924F4" w:rsidRDefault="0029090A" w:rsidP="002B1EAD">
      <w:pPr>
        <w:pStyle w:val="ListParagraph"/>
        <w:spacing w:after="160" w:line="259" w:lineRule="auto"/>
        <w:jc w:val="both"/>
        <w:rPr>
          <w:szCs w:val="22"/>
        </w:rPr>
      </w:pPr>
    </w:p>
    <w:p w14:paraId="243C3CD6" w14:textId="77777777" w:rsidR="0029090A" w:rsidRPr="00D924F4" w:rsidRDefault="00FB1040" w:rsidP="002B1EAD">
      <w:pPr>
        <w:pStyle w:val="ListParagraph"/>
        <w:numPr>
          <w:ilvl w:val="0"/>
          <w:numId w:val="25"/>
        </w:numPr>
        <w:spacing w:after="160" w:line="259" w:lineRule="auto"/>
        <w:jc w:val="both"/>
        <w:rPr>
          <w:szCs w:val="22"/>
        </w:rPr>
      </w:pPr>
      <w:r w:rsidRPr="00D924F4">
        <w:rPr>
          <w:szCs w:val="22"/>
        </w:rPr>
        <w:t xml:space="preserve">The 1933 Act Definition goes on to provide some definition around the word primarily. For securities backed by leases, the portion of the pool balance attributable to the residual value of the physical property may be as high as 50%; in the case of motor vehicle leases, as high as 65%. In short, the securities are backed partly by a financial asset (a lease) and partly by a physical asset. The physical asset would fall between the bookends of “neither a cash generating debt instrument nor an equity security”. </w:t>
      </w:r>
    </w:p>
    <w:p w14:paraId="35F6A394" w14:textId="77777777" w:rsidR="0029090A" w:rsidRPr="00D924F4" w:rsidRDefault="0029090A" w:rsidP="002B1EAD">
      <w:pPr>
        <w:pStyle w:val="ListParagraph"/>
        <w:jc w:val="both"/>
        <w:rPr>
          <w:szCs w:val="22"/>
        </w:rPr>
      </w:pPr>
    </w:p>
    <w:p w14:paraId="3D97B950" w14:textId="77777777" w:rsidR="0029090A" w:rsidRPr="00D924F4" w:rsidRDefault="00FB1040" w:rsidP="002B1EAD">
      <w:pPr>
        <w:pStyle w:val="ListParagraph"/>
        <w:numPr>
          <w:ilvl w:val="0"/>
          <w:numId w:val="25"/>
        </w:numPr>
        <w:spacing w:after="160" w:line="259" w:lineRule="auto"/>
        <w:jc w:val="both"/>
        <w:rPr>
          <w:szCs w:val="22"/>
        </w:rPr>
      </w:pPr>
      <w:r w:rsidRPr="00D924F4">
        <w:rPr>
          <w:szCs w:val="22"/>
        </w:rPr>
        <w:t xml:space="preserve">SAPWG rules should distinguish between (i) securities backed by non-admitted assets that, by their nature, are not cash generating (e.g., collector’s items or artwork) and (ii) securities backed by non-admitted assets that are capital assets, used and useful in commerce, such as ships, aircraft, railcars and power plants. An entity that owns capital assets can generate cash flow through the operation, lease or sale of the assets; and a lender to that entity can assess whether the cash flows likely to be generated will suffice to repay debt. Lease-backed debt instruments have been held by insurers since the nineteenth century. The most common type, for many decades, was debt instruments secured by locomotives and rail cars. Title to the rolling stock was held by an equipment trustee, and the rolling stock was on lease to a railroad. More recently, lease-backed debt instruments have been secured by ships and aircraft.  From the standpoint of the insurer holding the debt instrument, it has always been of critical importance to have a valid security interest in the leased collateral, </w:t>
      </w:r>
      <w:r w:rsidRPr="00D924F4">
        <w:rPr>
          <w:szCs w:val="22"/>
        </w:rPr>
        <w:lastRenderedPageBreak/>
        <w:t>and the ability to repossess such collateral in the event of a default by the lessee. The security interest also affords protections, should the lessee go directly into bankruptcy.  In the event of an outright liquidation of the lessee, however, or the rejection of a lease in bankruptcy, the debtholder can become the owner of the collateral.  Therefore, it is important to understand that the investor views the collateral as an extra form of protection and a benefit, above and beyond the contractual obligation of the underlying equipment operator to pay for such equipment’s use.</w:t>
      </w:r>
    </w:p>
    <w:p w14:paraId="0624F755" w14:textId="77777777" w:rsidR="0029090A" w:rsidRPr="00D924F4" w:rsidRDefault="0029090A" w:rsidP="002B1EAD">
      <w:pPr>
        <w:pStyle w:val="ListParagraph"/>
        <w:spacing w:after="160" w:line="259" w:lineRule="auto"/>
        <w:jc w:val="both"/>
        <w:rPr>
          <w:szCs w:val="22"/>
        </w:rPr>
      </w:pPr>
    </w:p>
    <w:p w14:paraId="427F3C2B" w14:textId="533124B0" w:rsidR="00FB1040" w:rsidRPr="00D924F4" w:rsidRDefault="00FB1040" w:rsidP="002B1EAD">
      <w:pPr>
        <w:pStyle w:val="ListParagraph"/>
        <w:numPr>
          <w:ilvl w:val="0"/>
          <w:numId w:val="25"/>
        </w:numPr>
        <w:spacing w:after="160" w:line="259" w:lineRule="auto"/>
        <w:jc w:val="both"/>
        <w:rPr>
          <w:szCs w:val="22"/>
        </w:rPr>
      </w:pPr>
      <w:r w:rsidRPr="00D924F4">
        <w:rPr>
          <w:szCs w:val="22"/>
        </w:rPr>
        <w:t xml:space="preserve">This has always been the case with lease-backed debt instruments. Investors need to understand that they might become the owners of the collateral, whether they want to or not. This is true, whether the collateral is motor vehicles, boats, aircraft, rail cars, industrial equipment, or otherwise. The taking of ownership occurs very infrequently, but it has happened in the past and will surely happen again. When lenders take ownership, the assets are almost never held directly. Entities are set up to hold the assets, in part to limit liability, and also to allow the issue of shares or other instruments reflecting percentage ownership where more than one lender is involved. Once a lender has become an owner, the lender’s ownership interest may need to be impaired substantially, or even non-admitted.  In fact, impairment would likely occur well before the lender becomes an actual owner. Notwithstanding these accounting consequences, insurers have been willing to take ownership of leased assets, in cases where the assets are still useful in commerce and capable of generating cash flows from potential unaffiliated users (unlike the examples cited in the Issue Paper).  In contrast to bank regulators, </w:t>
      </w:r>
      <w:r w:rsidRPr="00D924F4">
        <w:rPr>
          <w:bCs/>
          <w:iCs/>
          <w:szCs w:val="22"/>
        </w:rPr>
        <w:t>who assign considerable positive value to collateral held by bank lenders</w:t>
      </w:r>
      <w:r w:rsidRPr="00D924F4">
        <w:rPr>
          <w:szCs w:val="22"/>
        </w:rPr>
        <w:t xml:space="preserve">, commentary in the Exposure seems intent on recognizing no benefit to insurance lenders for the potential to release, refinance or sell collateral in order to service or repay secured debt investments. </w:t>
      </w:r>
    </w:p>
    <w:p w14:paraId="1F594ABD" w14:textId="77777777" w:rsidR="0029090A" w:rsidRPr="00D924F4" w:rsidRDefault="0029090A" w:rsidP="002B1EAD">
      <w:pPr>
        <w:pStyle w:val="ListParagraph"/>
        <w:spacing w:after="160" w:line="259" w:lineRule="auto"/>
        <w:jc w:val="both"/>
        <w:rPr>
          <w:szCs w:val="22"/>
        </w:rPr>
      </w:pPr>
    </w:p>
    <w:p w14:paraId="263422ED" w14:textId="4EDAAB07" w:rsidR="00FB1040" w:rsidRPr="00D924F4" w:rsidRDefault="00FB1040" w:rsidP="002B1EAD">
      <w:pPr>
        <w:pStyle w:val="ListParagraph"/>
        <w:numPr>
          <w:ilvl w:val="0"/>
          <w:numId w:val="25"/>
        </w:numPr>
        <w:spacing w:after="160" w:line="259" w:lineRule="auto"/>
        <w:jc w:val="both"/>
        <w:rPr>
          <w:szCs w:val="22"/>
        </w:rPr>
      </w:pPr>
      <w:r w:rsidRPr="00D924F4">
        <w:rPr>
          <w:szCs w:val="22"/>
        </w:rPr>
        <w:t xml:space="preserve">Industry is very surprised to see the NAIC look to </w:t>
      </w:r>
      <w:r w:rsidR="0013247F" w:rsidRPr="00D924F4">
        <w:rPr>
          <w:szCs w:val="22"/>
        </w:rPr>
        <w:t>promote</w:t>
      </w:r>
      <w:r w:rsidRPr="00D924F4">
        <w:rPr>
          <w:szCs w:val="22"/>
        </w:rPr>
        <w:t xml:space="preserve"> the policy that, if the leased asset would be non-admitted if eventually owned by the insurer (following a lessee event of default, or following an SPV’s inability to refinance a balloon debt maturity at lease expiry), then the debt instrument backed by the leases of such assets must be non-admitted as well. What would the result if this concept were applied to ABS backed by motor vehicle leases where there is releasing risk or relatedly residual asset risk? Would the answer be, if the motor vehicles could not be held as admitted assets, neither can the ABS?  Other examples could be provided of lease backed securities might suddenly become non-admitted just because of releasing risk. Is this best for insurance companies, regulators and ultimately policyholders?  We understand the regulatory concern with debt securities backed by physical assets that are very unlikely ever to generate cash flows (e.g. corporate art). To adopt the concept broadly across all physical assets as suggested above, however, would be to undermine the concept of secured lending altogether. </w:t>
      </w:r>
    </w:p>
    <w:p w14:paraId="52D047E3" w14:textId="77777777" w:rsidR="0029090A" w:rsidRPr="00D924F4" w:rsidRDefault="0029090A" w:rsidP="002B1EAD">
      <w:pPr>
        <w:pStyle w:val="ListParagraph"/>
        <w:spacing w:after="160" w:line="259" w:lineRule="auto"/>
        <w:jc w:val="both"/>
        <w:rPr>
          <w:szCs w:val="22"/>
        </w:rPr>
      </w:pPr>
    </w:p>
    <w:p w14:paraId="392CA7C1" w14:textId="7B3B0FF4" w:rsidR="00FB1040" w:rsidRPr="00D924F4" w:rsidRDefault="00FB1040" w:rsidP="002B1EAD">
      <w:pPr>
        <w:pStyle w:val="ListParagraph"/>
        <w:numPr>
          <w:ilvl w:val="0"/>
          <w:numId w:val="25"/>
        </w:numPr>
        <w:spacing w:after="160" w:line="256" w:lineRule="auto"/>
        <w:jc w:val="both"/>
        <w:rPr>
          <w:szCs w:val="22"/>
        </w:rPr>
      </w:pPr>
      <w:r w:rsidRPr="00D924F4">
        <w:rPr>
          <w:szCs w:val="22"/>
        </w:rPr>
        <w:t xml:space="preserve">In addition, </w:t>
      </w:r>
      <w:r w:rsidR="009153D1">
        <w:rPr>
          <w:szCs w:val="22"/>
        </w:rPr>
        <w:t>i</w:t>
      </w:r>
      <w:r w:rsidRPr="00D924F4">
        <w:rPr>
          <w:szCs w:val="22"/>
        </w:rPr>
        <w:t xml:space="preserve">nterested </w:t>
      </w:r>
      <w:r w:rsidR="009153D1">
        <w:rPr>
          <w:szCs w:val="22"/>
        </w:rPr>
        <w:t>p</w:t>
      </w:r>
      <w:r w:rsidRPr="00D924F4">
        <w:rPr>
          <w:szCs w:val="22"/>
        </w:rPr>
        <w:t xml:space="preserve">arties note that SAPWG’s current concerns around releasing/refinancing risk for SSAP No. 43R structured securities directly conflicts with how debt is treated within SSAP No. 26R.  A great many corporations and municipalities issue debt with bullet maturities.  It is very often the case that such debt maturities are larger than the free cash flow expected to be generated by the underlying business or municipality in any given year.  In such instances, investors in corporate and municipal debt are inherently taking refinancing risk.  Should the corporation or municipality fail to refinance their debt maturities, debt investors pursue remedies. In the case of corporate debt, unsecured debt investors may convert their claims into equity of the insolvent corporation as part of a bankruptcy, and thereby gain control of the corporation’s assets.  </w:t>
      </w:r>
      <w:r w:rsidRPr="00D924F4">
        <w:rPr>
          <w:bCs/>
          <w:iCs/>
          <w:szCs w:val="22"/>
        </w:rPr>
        <w:t xml:space="preserve">A process identical in substance could take place with debt issued by a Trust or SPV that holds a leased asset, </w:t>
      </w:r>
      <w:r w:rsidRPr="00D924F4">
        <w:rPr>
          <w:bCs/>
          <w:iCs/>
          <w:szCs w:val="22"/>
        </w:rPr>
        <w:lastRenderedPageBreak/>
        <w:t>where the debt has a balloon maturity payment obligation.</w:t>
      </w:r>
      <w:r w:rsidRPr="00D924F4">
        <w:rPr>
          <w:i/>
          <w:iCs/>
          <w:szCs w:val="22"/>
        </w:rPr>
        <w:t xml:space="preserve">   </w:t>
      </w:r>
      <w:r w:rsidRPr="00D924F4">
        <w:rPr>
          <w:szCs w:val="22"/>
        </w:rPr>
        <w:t xml:space="preserve">If the borrower is unable to refinance its balloon maturity debt obligation, investors may foreclose on the underlying collateral within the Trust or SPV and sell or re-lease the collateral in order to recoup their investment.  In essence, this is the same outcome that occurs with the corporation unable to refinance its debt obligations. The risks are inherently the same, regardless of whether a security sits within SSAP No. 43R or SSAP No. 26R.  Therefore, </w:t>
      </w:r>
      <w:r w:rsidR="009153D1">
        <w:rPr>
          <w:szCs w:val="22"/>
        </w:rPr>
        <w:t>i</w:t>
      </w:r>
      <w:r w:rsidRPr="00D924F4">
        <w:rPr>
          <w:szCs w:val="22"/>
        </w:rPr>
        <w:t xml:space="preserve">nterested </w:t>
      </w:r>
      <w:r w:rsidR="009153D1">
        <w:rPr>
          <w:szCs w:val="22"/>
        </w:rPr>
        <w:t>p</w:t>
      </w:r>
      <w:r w:rsidRPr="00D924F4">
        <w:rPr>
          <w:szCs w:val="22"/>
        </w:rPr>
        <w:t xml:space="preserve">arties do not understand why the Issue Paper contends that Single-Payor Securitizations with residual value/refinancing risk should not be accounted for as bonds.  </w:t>
      </w:r>
    </w:p>
    <w:p w14:paraId="37139852" w14:textId="77777777" w:rsidR="0029090A" w:rsidRPr="00D924F4" w:rsidRDefault="0029090A" w:rsidP="002B1EAD">
      <w:pPr>
        <w:pStyle w:val="ListParagraph"/>
        <w:spacing w:after="160" w:line="256" w:lineRule="auto"/>
        <w:jc w:val="both"/>
        <w:rPr>
          <w:szCs w:val="22"/>
        </w:rPr>
      </w:pPr>
    </w:p>
    <w:p w14:paraId="646CD1F4" w14:textId="64E63CDE" w:rsidR="00BB6340" w:rsidRPr="00D924F4" w:rsidRDefault="00FB1040" w:rsidP="00FA4BFF">
      <w:pPr>
        <w:pStyle w:val="ListParagraph"/>
        <w:numPr>
          <w:ilvl w:val="0"/>
          <w:numId w:val="25"/>
        </w:numPr>
        <w:spacing w:after="160" w:line="256" w:lineRule="auto"/>
        <w:jc w:val="both"/>
        <w:rPr>
          <w:szCs w:val="22"/>
        </w:rPr>
      </w:pPr>
      <w:r w:rsidRPr="00D924F4">
        <w:rPr>
          <w:szCs w:val="22"/>
        </w:rPr>
        <w:t xml:space="preserve">Refinancing risk is a fundamental part of any credit assessment process.  The existence of refinancing risk should have no bearing on whether a security is classified as a bond.  Instead, refinancing risk is one of many risks inherent in a security and is therefore relevant in determining the appropriate capital requirements for that security.  Interested </w:t>
      </w:r>
      <w:r w:rsidR="009153D1">
        <w:rPr>
          <w:szCs w:val="22"/>
        </w:rPr>
        <w:t>p</w:t>
      </w:r>
      <w:r w:rsidRPr="00D924F4">
        <w:rPr>
          <w:szCs w:val="22"/>
        </w:rPr>
        <w:t>arties believe that SAPWG is better served to focus on the nature of the underlying collateral for SSAP No. 43R securities, rather than focusing on whether there is an element of refinancing risk.  If the underlying collateral is used or useful in commerce and can be operated, re-leased or sold to generate cash flow (in the event that the debt cannot be refinanced at maturity), then the security should be granted bond accounting treatment.  If the underlying collateral is, by its nature, not used or useful in commerce (for example, collectors’ items), then debt backed by such assets is unlikely to merit bond accounting treatment.</w:t>
      </w:r>
    </w:p>
    <w:p w14:paraId="056888AD" w14:textId="6B748C4E" w:rsidR="00FA4BFF" w:rsidRPr="00D924F4" w:rsidRDefault="00FA4BFF" w:rsidP="000A6203">
      <w:pPr>
        <w:jc w:val="center"/>
        <w:rPr>
          <w:szCs w:val="22"/>
        </w:rPr>
      </w:pPr>
    </w:p>
    <w:p w14:paraId="71377874" w14:textId="35EFEF4D" w:rsidR="00FA4BFF" w:rsidRPr="00D924F4" w:rsidRDefault="00FA4BFF" w:rsidP="000A6203">
      <w:pPr>
        <w:jc w:val="center"/>
        <w:rPr>
          <w:szCs w:val="22"/>
        </w:rPr>
      </w:pPr>
      <w:r w:rsidRPr="00D924F4">
        <w:rPr>
          <w:szCs w:val="22"/>
        </w:rPr>
        <w:t>*****</w:t>
      </w:r>
    </w:p>
    <w:p w14:paraId="73071EC6" w14:textId="5B98E45C" w:rsidR="00BB6340" w:rsidRPr="00D924F4" w:rsidRDefault="00BB6340" w:rsidP="00FA4BFF">
      <w:pPr>
        <w:rPr>
          <w:szCs w:val="22"/>
        </w:rPr>
      </w:pPr>
    </w:p>
    <w:p w14:paraId="137D91DD" w14:textId="63C74054" w:rsidR="00FA4BFF" w:rsidRPr="00D924F4" w:rsidRDefault="00FA4BFF" w:rsidP="00FA4BFF">
      <w:pPr>
        <w:pStyle w:val="NoSpacing"/>
        <w:rPr>
          <w:rFonts w:ascii="Times New Roman" w:hAnsi="Times New Roman" w:cs="Times New Roman"/>
        </w:rPr>
      </w:pPr>
      <w:r w:rsidRPr="00D924F4">
        <w:rPr>
          <w:rFonts w:ascii="Times New Roman" w:hAnsi="Times New Roman" w:cs="Times New Roman"/>
        </w:rPr>
        <w:t xml:space="preserve">Thank you for considering </w:t>
      </w:r>
      <w:r w:rsidR="009153D1">
        <w:rPr>
          <w:rFonts w:ascii="Times New Roman" w:hAnsi="Times New Roman" w:cs="Times New Roman"/>
        </w:rPr>
        <w:t>i</w:t>
      </w:r>
      <w:r w:rsidRPr="00D924F4">
        <w:rPr>
          <w:rFonts w:ascii="Times New Roman" w:hAnsi="Times New Roman" w:cs="Times New Roman"/>
        </w:rPr>
        <w:t xml:space="preserve">nterested </w:t>
      </w:r>
      <w:r w:rsidR="009153D1">
        <w:rPr>
          <w:rFonts w:ascii="Times New Roman" w:hAnsi="Times New Roman" w:cs="Times New Roman"/>
        </w:rPr>
        <w:t>p</w:t>
      </w:r>
      <w:r w:rsidRPr="00D924F4">
        <w:rPr>
          <w:rFonts w:ascii="Times New Roman" w:hAnsi="Times New Roman" w:cs="Times New Roman"/>
        </w:rPr>
        <w:t xml:space="preserve">arties’ comments.  Interested </w:t>
      </w:r>
      <w:r w:rsidR="009153D1">
        <w:rPr>
          <w:rFonts w:ascii="Times New Roman" w:hAnsi="Times New Roman" w:cs="Times New Roman"/>
        </w:rPr>
        <w:t>p</w:t>
      </w:r>
      <w:r w:rsidRPr="00D924F4">
        <w:rPr>
          <w:rFonts w:ascii="Times New Roman" w:hAnsi="Times New Roman" w:cs="Times New Roman"/>
        </w:rPr>
        <w:t xml:space="preserve">arties are committed to working with NAIC staff and SAPWG on this very complicated and important topic.  If you have any questions in the interim, please do not hesitate to contact us or Mike Reis at </w:t>
      </w:r>
      <w:hyperlink r:id="rId10" w:history="1">
        <w:r w:rsidRPr="00D924F4">
          <w:rPr>
            <w:rStyle w:val="Hyperlink"/>
            <w:rFonts w:ascii="Times New Roman" w:hAnsi="Times New Roman" w:cs="Times New Roman"/>
          </w:rPr>
          <w:t>michaelreis@northwesternmutual.com</w:t>
        </w:r>
      </w:hyperlink>
      <w:r w:rsidRPr="00D924F4">
        <w:rPr>
          <w:rFonts w:ascii="Times New Roman" w:hAnsi="Times New Roman" w:cs="Times New Roman"/>
        </w:rPr>
        <w:t xml:space="preserve"> or 414-241-8293.</w:t>
      </w:r>
    </w:p>
    <w:p w14:paraId="268F5192" w14:textId="63392434" w:rsidR="00FA4BFF" w:rsidRPr="00D924F4" w:rsidRDefault="00FA4BFF" w:rsidP="00FA4BFF">
      <w:pPr>
        <w:pStyle w:val="NoSpacing"/>
        <w:rPr>
          <w:rFonts w:ascii="Times New Roman" w:hAnsi="Times New Roman" w:cs="Times New Roman"/>
        </w:rPr>
      </w:pPr>
    </w:p>
    <w:p w14:paraId="222EDAC0" w14:textId="2EB2F345" w:rsidR="00FA4BFF" w:rsidRPr="00D924F4" w:rsidRDefault="00FA4BFF" w:rsidP="00FA4BFF">
      <w:pPr>
        <w:pStyle w:val="NoSpacing"/>
        <w:rPr>
          <w:rFonts w:ascii="Times New Roman" w:hAnsi="Times New Roman" w:cs="Times New Roman"/>
        </w:rPr>
      </w:pPr>
      <w:r w:rsidRPr="00D924F4">
        <w:rPr>
          <w:rFonts w:ascii="Times New Roman" w:hAnsi="Times New Roman" w:cs="Times New Roman"/>
        </w:rPr>
        <w:t xml:space="preserve">Sincerely, </w:t>
      </w:r>
    </w:p>
    <w:p w14:paraId="222B6001" w14:textId="750EDA35" w:rsidR="00FA4BFF" w:rsidRPr="00D924F4" w:rsidRDefault="00FA4BFF" w:rsidP="00FA4BFF">
      <w:pPr>
        <w:pStyle w:val="NoSpacing"/>
        <w:rPr>
          <w:rFonts w:ascii="Times New Roman" w:hAnsi="Times New Roman" w:cs="Times New Roman"/>
        </w:rPr>
      </w:pPr>
    </w:p>
    <w:p w14:paraId="26C36D1D" w14:textId="460965C6" w:rsidR="00FA4BFF" w:rsidRPr="00D924F4" w:rsidRDefault="00FA4BFF" w:rsidP="00FA4BFF">
      <w:pPr>
        <w:pStyle w:val="NoSpacing"/>
        <w:rPr>
          <w:rFonts w:ascii="Times New Roman" w:hAnsi="Times New Roman" w:cs="Times New Roman"/>
        </w:rPr>
      </w:pPr>
      <w:r w:rsidRPr="00D924F4">
        <w:rPr>
          <w:rFonts w:ascii="Times New Roman" w:hAnsi="Times New Roman" w:cs="Times New Roman"/>
        </w:rPr>
        <w:t>D. Keith Bell</w:t>
      </w:r>
      <w:r w:rsidRPr="00D924F4">
        <w:rPr>
          <w:rFonts w:ascii="Times New Roman" w:hAnsi="Times New Roman" w:cs="Times New Roman"/>
        </w:rPr>
        <w:tab/>
      </w:r>
      <w:r w:rsidRPr="00D924F4">
        <w:rPr>
          <w:rFonts w:ascii="Times New Roman" w:hAnsi="Times New Roman" w:cs="Times New Roman"/>
        </w:rPr>
        <w:tab/>
      </w:r>
      <w:r w:rsidRPr="00D924F4">
        <w:rPr>
          <w:rFonts w:ascii="Times New Roman" w:hAnsi="Times New Roman" w:cs="Times New Roman"/>
        </w:rPr>
        <w:tab/>
      </w:r>
      <w:r w:rsidRPr="00D924F4">
        <w:rPr>
          <w:rFonts w:ascii="Times New Roman" w:hAnsi="Times New Roman" w:cs="Times New Roman"/>
        </w:rPr>
        <w:tab/>
      </w:r>
      <w:r w:rsidRPr="00D924F4">
        <w:rPr>
          <w:rFonts w:ascii="Times New Roman" w:hAnsi="Times New Roman" w:cs="Times New Roman"/>
        </w:rPr>
        <w:tab/>
        <w:t>Rose Albrizio</w:t>
      </w:r>
    </w:p>
    <w:p w14:paraId="71923E8F" w14:textId="1276E7CB" w:rsidR="00FA4BFF" w:rsidRPr="00D924F4" w:rsidRDefault="00FA4BFF" w:rsidP="00FA4BFF">
      <w:pPr>
        <w:pStyle w:val="NoSpacing"/>
        <w:rPr>
          <w:rFonts w:ascii="Times New Roman" w:hAnsi="Times New Roman" w:cs="Times New Roman"/>
        </w:rPr>
      </w:pPr>
    </w:p>
    <w:p w14:paraId="76A70353" w14:textId="6E89439F" w:rsidR="00FA4BFF" w:rsidRPr="00D924F4" w:rsidRDefault="00FA4BFF" w:rsidP="00FA4BFF">
      <w:pPr>
        <w:pStyle w:val="NoSpacing"/>
        <w:rPr>
          <w:rFonts w:ascii="Times New Roman" w:hAnsi="Times New Roman" w:cs="Times New Roman"/>
        </w:rPr>
      </w:pPr>
      <w:r w:rsidRPr="00D924F4">
        <w:rPr>
          <w:rFonts w:ascii="Times New Roman" w:hAnsi="Times New Roman" w:cs="Times New Roman"/>
        </w:rPr>
        <w:t xml:space="preserve">cc: Interested </w:t>
      </w:r>
      <w:r w:rsidR="009153D1">
        <w:rPr>
          <w:rFonts w:ascii="Times New Roman" w:hAnsi="Times New Roman" w:cs="Times New Roman"/>
        </w:rPr>
        <w:t>p</w:t>
      </w:r>
      <w:r w:rsidRPr="00D924F4">
        <w:rPr>
          <w:rFonts w:ascii="Times New Roman" w:hAnsi="Times New Roman" w:cs="Times New Roman"/>
        </w:rPr>
        <w:t>arties</w:t>
      </w:r>
    </w:p>
    <w:p w14:paraId="6DC09AD6" w14:textId="77777777" w:rsidR="00FA4BFF" w:rsidRPr="00D924F4" w:rsidRDefault="00FA4BFF" w:rsidP="00FA4BFF">
      <w:pPr>
        <w:pStyle w:val="NoSpacing"/>
        <w:rPr>
          <w:rFonts w:ascii="Times New Roman" w:hAnsi="Times New Roman" w:cs="Times New Roman"/>
        </w:rPr>
      </w:pPr>
    </w:p>
    <w:p w14:paraId="6B9965EE" w14:textId="77777777" w:rsidR="003A34E0" w:rsidRDefault="00601948" w:rsidP="003A34E0">
      <w:pPr>
        <w:ind w:left="360"/>
        <w:jc w:val="right"/>
        <w:rPr>
          <w:szCs w:val="24"/>
        </w:rPr>
      </w:pPr>
      <w:r w:rsidRPr="00D924F4">
        <w:rPr>
          <w:szCs w:val="22"/>
        </w:rPr>
        <w:br w:type="page"/>
      </w:r>
      <w:r w:rsidR="003A34E0" w:rsidRPr="003A34E0">
        <w:rPr>
          <w:b/>
        </w:rPr>
        <w:lastRenderedPageBreak/>
        <w:t>Appendix I</w:t>
      </w:r>
      <w:r w:rsidR="003A34E0">
        <w:br/>
      </w:r>
    </w:p>
    <w:p w14:paraId="1EFE7BC3" w14:textId="00056FA9" w:rsidR="002B1EAD" w:rsidRPr="003A34E0" w:rsidRDefault="002B1EAD" w:rsidP="003A34E0">
      <w:pPr>
        <w:jc w:val="center"/>
        <w:rPr>
          <w:b/>
          <w:szCs w:val="24"/>
        </w:rPr>
      </w:pPr>
      <w:r w:rsidRPr="003A34E0">
        <w:rPr>
          <w:b/>
          <w:szCs w:val="24"/>
        </w:rPr>
        <w:t>History of SEC and Congressional Definitions of Asset-Backed Securities</w:t>
      </w:r>
    </w:p>
    <w:p w14:paraId="23DE9C11" w14:textId="77777777" w:rsidR="002B1EAD" w:rsidRPr="002B1EAD" w:rsidRDefault="002B1EAD" w:rsidP="002B1EAD">
      <w:pPr>
        <w:jc w:val="center"/>
        <w:rPr>
          <w:szCs w:val="24"/>
        </w:rPr>
      </w:pPr>
    </w:p>
    <w:p w14:paraId="2E1602CE" w14:textId="76E85CDC" w:rsidR="002B1EAD" w:rsidRDefault="002B1EAD" w:rsidP="00FC7256">
      <w:pPr>
        <w:jc w:val="both"/>
        <w:rPr>
          <w:szCs w:val="24"/>
        </w:rPr>
      </w:pPr>
      <w:r w:rsidRPr="003A34E0">
        <w:rPr>
          <w:szCs w:val="24"/>
        </w:rPr>
        <w:t xml:space="preserve">In the early 1980s, Congress strongly supported enhanced liquidity in the mortgage loan markets to facilitate home ownership, and the government sponsored entities, Fannie Mae and Freddie Mac, along with Ginnie Mae, were key participants in developing residential mortgage-backed securities (RMBS).  In 1984, Congress adopted the Secondary Mortgage Market Enhancement Act (SMMEA), which added a definition of “mortgage-related security” to the 1934 Act and preempted state law to allow insurance companies to purchase mortgage-related securities.  When the SEC modified its procedures to facilitate quicker public securities issuance by large companies with an established reporting history, it added mortgage-related securities to the issuances that could use those procedures.  The SEC—which has dual missions of investor protection and supporting capital formation—had recently adopted Rule 415, allowing securities to be issued on a delayed or continuous basis through shelf registration on Form S-3.  Rule 415 was expanded to permit mortgage-related securities to use shelf registration, even without the reporting history.  </w:t>
      </w:r>
    </w:p>
    <w:p w14:paraId="4B3F6639" w14:textId="77777777" w:rsidR="003A34E0" w:rsidRPr="003A34E0" w:rsidRDefault="003A34E0" w:rsidP="00FC7256">
      <w:pPr>
        <w:jc w:val="both"/>
        <w:rPr>
          <w:szCs w:val="24"/>
        </w:rPr>
      </w:pPr>
    </w:p>
    <w:p w14:paraId="1D766F61" w14:textId="34234F61" w:rsidR="002B1EAD" w:rsidRDefault="002B1EAD" w:rsidP="00FC7256">
      <w:pPr>
        <w:jc w:val="both"/>
        <w:rPr>
          <w:szCs w:val="24"/>
        </w:rPr>
      </w:pPr>
      <w:r w:rsidRPr="003A34E0">
        <w:rPr>
          <w:szCs w:val="24"/>
        </w:rPr>
        <w:t>In 1992, the SEC decided to expand shelf registration under Rule 415 to asset-backed securities, which had developed in the mid-1980s as the techniques used for RMBS created funding opportunities for other assets, like credit card receivables and equipment leases.  In 1992, the SEC also adopted a rule under the Investment Company Act of 1940, Rule 3a-7, to clarify that the issuers of asset-backed were not investment companies required to register under the ’40 Act.  Both rules used the same definition for asset-backed securities, with the key principle being that shelf registration and the ’40 Act exemption would be limited to offerings of securities backed by “a discrete pool of financial assets that by their terms convert into cash within a finite time period.”  There were a few goals here:</w:t>
      </w:r>
    </w:p>
    <w:p w14:paraId="49A9169A" w14:textId="77777777" w:rsidR="003A34E0" w:rsidRPr="003A34E0" w:rsidRDefault="003A34E0" w:rsidP="00FC7256">
      <w:pPr>
        <w:jc w:val="both"/>
        <w:rPr>
          <w:szCs w:val="24"/>
        </w:rPr>
      </w:pPr>
    </w:p>
    <w:p w14:paraId="2F80CF97" w14:textId="77777777" w:rsidR="003A34E0" w:rsidRDefault="002B1EAD" w:rsidP="00FC7256">
      <w:pPr>
        <w:numPr>
          <w:ilvl w:val="0"/>
          <w:numId w:val="37"/>
        </w:numPr>
        <w:jc w:val="both"/>
        <w:rPr>
          <w:szCs w:val="24"/>
        </w:rPr>
      </w:pPr>
      <w:r w:rsidRPr="003A34E0">
        <w:rPr>
          <w:szCs w:val="24"/>
        </w:rPr>
        <w:t>Limit the use of shelf registration for issuers without a reporting history to structures with an asset pool that investors could assess quickly</w:t>
      </w:r>
    </w:p>
    <w:p w14:paraId="7AC94404" w14:textId="0708966A" w:rsidR="003A34E0" w:rsidRDefault="002B1EAD" w:rsidP="00FC7256">
      <w:pPr>
        <w:numPr>
          <w:ilvl w:val="0"/>
          <w:numId w:val="37"/>
        </w:numPr>
        <w:jc w:val="both"/>
        <w:rPr>
          <w:szCs w:val="24"/>
        </w:rPr>
      </w:pPr>
      <w:r w:rsidRPr="003A34E0">
        <w:rPr>
          <w:szCs w:val="24"/>
        </w:rPr>
        <w:t>Maintain clear lines between an “asset-backed security” and an investment company that should be registered (in this case by requiring that the issuing entity not be actively managed, that it have a discrete pool of assets, and that the assets be self-liquidating (i.e., no equity securities)</w:t>
      </w:r>
      <w:r w:rsidR="00B2552F">
        <w:rPr>
          <w:szCs w:val="24"/>
        </w:rPr>
        <w:t>)</w:t>
      </w:r>
    </w:p>
    <w:p w14:paraId="169397E8" w14:textId="77777777" w:rsidR="003A34E0" w:rsidRDefault="002B1EAD" w:rsidP="00FC7256">
      <w:pPr>
        <w:numPr>
          <w:ilvl w:val="0"/>
          <w:numId w:val="37"/>
        </w:numPr>
        <w:jc w:val="both"/>
        <w:rPr>
          <w:szCs w:val="24"/>
        </w:rPr>
      </w:pPr>
      <w:r w:rsidRPr="003A34E0">
        <w:rPr>
          <w:szCs w:val="24"/>
        </w:rPr>
        <w:t>Provide a safe harbor for sponsors of asset-backed securities under the ’40 Act</w:t>
      </w:r>
    </w:p>
    <w:p w14:paraId="16A684B4" w14:textId="74485937" w:rsidR="002B1EAD" w:rsidRPr="003A34E0" w:rsidRDefault="002B1EAD" w:rsidP="00FC7256">
      <w:pPr>
        <w:numPr>
          <w:ilvl w:val="0"/>
          <w:numId w:val="37"/>
        </w:numPr>
        <w:jc w:val="both"/>
        <w:rPr>
          <w:szCs w:val="24"/>
        </w:rPr>
      </w:pPr>
      <w:r w:rsidRPr="003A34E0">
        <w:rPr>
          <w:szCs w:val="24"/>
        </w:rPr>
        <w:t>Ensure that the securities offered were high quality by requiring them to be rated by a nationally recognized statistical rating organization (NRSRO)</w:t>
      </w:r>
    </w:p>
    <w:p w14:paraId="1B1C3ED0" w14:textId="77777777" w:rsidR="003A34E0" w:rsidRDefault="003A34E0" w:rsidP="00FC7256">
      <w:pPr>
        <w:jc w:val="both"/>
        <w:rPr>
          <w:szCs w:val="24"/>
        </w:rPr>
      </w:pPr>
    </w:p>
    <w:p w14:paraId="0D3DAB4A" w14:textId="35E0162B" w:rsidR="002B1EAD" w:rsidRPr="003A34E0" w:rsidRDefault="002B1EAD" w:rsidP="00FC7256">
      <w:pPr>
        <w:jc w:val="both"/>
        <w:rPr>
          <w:szCs w:val="24"/>
        </w:rPr>
      </w:pPr>
      <w:r w:rsidRPr="003A34E0">
        <w:rPr>
          <w:szCs w:val="24"/>
        </w:rPr>
        <w:t>ABS disclosure was a square peg in a round hole.  The SEC issued a variety of no-action letters that explained to issuers which parts of the SEC disclosure requirements applied to ABS and which parts did</w:t>
      </w:r>
      <w:r w:rsidR="00B2552F">
        <w:rPr>
          <w:szCs w:val="24"/>
        </w:rPr>
        <w:t xml:space="preserve"> not</w:t>
      </w:r>
      <w:r w:rsidRPr="003A34E0">
        <w:rPr>
          <w:szCs w:val="24"/>
        </w:rPr>
        <w:t>, and established an alternative reporting regime that relied on knowledge of guidance and lore more than formal rules.  In 2004, the SEC consolidated its guidance into Regulation AB and adopted new, formal disclosure requirements focused on pool characteristics, parties and deal structure, while specifically exempting ABS prospectuses from requirements for audited financial statements, MD&amp;A and other requirements that were relevant to operating companies but not to asset pools.  Regulation AB moved the definition of “asset-backed security” into a rule, but did not change it significantly from that used to determine eligibility for Form S-3.</w:t>
      </w:r>
    </w:p>
    <w:p w14:paraId="6141CB5B" w14:textId="77777777" w:rsidR="003A34E0" w:rsidRDefault="003A34E0" w:rsidP="00FC7256">
      <w:pPr>
        <w:jc w:val="both"/>
        <w:rPr>
          <w:szCs w:val="24"/>
        </w:rPr>
      </w:pPr>
    </w:p>
    <w:p w14:paraId="11E0DB5A" w14:textId="524E1402" w:rsidR="002B1EAD" w:rsidRPr="003A34E0" w:rsidRDefault="002B1EAD" w:rsidP="00FC7256">
      <w:pPr>
        <w:jc w:val="both"/>
        <w:rPr>
          <w:szCs w:val="24"/>
        </w:rPr>
      </w:pPr>
      <w:r w:rsidRPr="003A34E0">
        <w:rPr>
          <w:szCs w:val="24"/>
        </w:rPr>
        <w:t xml:space="preserve">In 2007-08, the financial crisis hit, and Congressional focus turned to mortgage-backed securities—in particular, the assertion was that subprime mortgages were originated without adequate underwriting because the lenders knew they could offload all of the risk of the assets by securitizing them.  The proposed solution was risk retention—requiring sponsors of securitizations (and in some cases loan originators) to retain a portion of the risk of securitized assets so that they would be more careful in their originations.  Because there was concern that similar issues could arise from “originate to distribute” </w:t>
      </w:r>
      <w:r w:rsidRPr="003A34E0">
        <w:rPr>
          <w:szCs w:val="24"/>
        </w:rPr>
        <w:lastRenderedPageBreak/>
        <w:t xml:space="preserve">models in other asset classes, Congress decided to apply risk retention requirements to all securitizations of assets with credit risk—loans, leases, mortgages and receivables—to improve credit underwriting.  The SEC had tried to have a narrow focus with its definition of ABS to restrict the securities that could achieve shelf eligibility and use different disclosure rules.  Congress was much more concerned about capturing the portion of the securitization market that securitized debt, and Article IX of the Dodd-Frank Act imposes risk retention obligations on the sponsors of securities that depend primarily on the cash flows from self-liquidating financial assets—in other words, those that by their terms convert into cash in a finite time period.  It does not try to capture all ABS.  </w:t>
      </w:r>
    </w:p>
    <w:p w14:paraId="7A4BB846" w14:textId="2829BF6F" w:rsidR="002B1EAD" w:rsidRDefault="002B1EAD" w:rsidP="00FC7256">
      <w:pPr>
        <w:jc w:val="both"/>
        <w:rPr>
          <w:szCs w:val="24"/>
          <w:shd w:val="clear" w:color="auto" w:fill="FFFFFF"/>
        </w:rPr>
      </w:pPr>
    </w:p>
    <w:p w14:paraId="64A1C72F" w14:textId="2D634951" w:rsidR="003A34E0" w:rsidRDefault="003A34E0" w:rsidP="00FC7256">
      <w:pPr>
        <w:jc w:val="both"/>
        <w:rPr>
          <w:szCs w:val="24"/>
          <w:shd w:val="clear" w:color="auto" w:fill="FFFFFF"/>
        </w:rPr>
      </w:pPr>
    </w:p>
    <w:p w14:paraId="550069D6" w14:textId="0BE9268A" w:rsidR="003A34E0" w:rsidRDefault="003A34E0" w:rsidP="00FC7256">
      <w:pPr>
        <w:jc w:val="both"/>
        <w:rPr>
          <w:szCs w:val="24"/>
          <w:shd w:val="clear" w:color="auto" w:fill="FFFFFF"/>
        </w:rPr>
      </w:pPr>
    </w:p>
    <w:p w14:paraId="0A782FE9" w14:textId="3FD2C4D4" w:rsidR="003A34E0" w:rsidRDefault="003A34E0" w:rsidP="00FC7256">
      <w:pPr>
        <w:jc w:val="both"/>
        <w:rPr>
          <w:szCs w:val="24"/>
          <w:shd w:val="clear" w:color="auto" w:fill="FFFFFF"/>
        </w:rPr>
      </w:pPr>
    </w:p>
    <w:p w14:paraId="13D5C1ED" w14:textId="0A7D4A76" w:rsidR="003A34E0" w:rsidRDefault="003A34E0" w:rsidP="00FC7256">
      <w:pPr>
        <w:jc w:val="both"/>
        <w:rPr>
          <w:szCs w:val="24"/>
          <w:shd w:val="clear" w:color="auto" w:fill="FFFFFF"/>
        </w:rPr>
      </w:pPr>
    </w:p>
    <w:p w14:paraId="039E4E8A" w14:textId="6B37A40D" w:rsidR="003A34E0" w:rsidRDefault="003A34E0" w:rsidP="00FC7256">
      <w:pPr>
        <w:jc w:val="both"/>
        <w:rPr>
          <w:szCs w:val="24"/>
          <w:shd w:val="clear" w:color="auto" w:fill="FFFFFF"/>
        </w:rPr>
      </w:pPr>
    </w:p>
    <w:p w14:paraId="509D6F19" w14:textId="42BBECF8" w:rsidR="003A34E0" w:rsidRDefault="003A34E0" w:rsidP="00FC7256">
      <w:pPr>
        <w:jc w:val="both"/>
        <w:rPr>
          <w:szCs w:val="24"/>
          <w:shd w:val="clear" w:color="auto" w:fill="FFFFFF"/>
        </w:rPr>
      </w:pPr>
    </w:p>
    <w:p w14:paraId="3E7ECC99" w14:textId="217BCFA4" w:rsidR="003A34E0" w:rsidRDefault="003A34E0" w:rsidP="00FC7256">
      <w:pPr>
        <w:jc w:val="both"/>
        <w:rPr>
          <w:szCs w:val="24"/>
          <w:shd w:val="clear" w:color="auto" w:fill="FFFFFF"/>
        </w:rPr>
      </w:pPr>
    </w:p>
    <w:p w14:paraId="25D99A0D" w14:textId="27F7A58A" w:rsidR="003A34E0" w:rsidRDefault="003A34E0" w:rsidP="00FC7256">
      <w:pPr>
        <w:jc w:val="both"/>
        <w:rPr>
          <w:szCs w:val="24"/>
          <w:shd w:val="clear" w:color="auto" w:fill="FFFFFF"/>
        </w:rPr>
      </w:pPr>
    </w:p>
    <w:p w14:paraId="6296572D" w14:textId="3C9B5475" w:rsidR="003A34E0" w:rsidRDefault="003A34E0" w:rsidP="002B1EAD">
      <w:pPr>
        <w:rPr>
          <w:szCs w:val="24"/>
          <w:shd w:val="clear" w:color="auto" w:fill="FFFFFF"/>
        </w:rPr>
      </w:pPr>
    </w:p>
    <w:p w14:paraId="2E03D0B1" w14:textId="6369D504" w:rsidR="003A34E0" w:rsidRDefault="003A34E0" w:rsidP="002B1EAD">
      <w:pPr>
        <w:rPr>
          <w:szCs w:val="24"/>
          <w:shd w:val="clear" w:color="auto" w:fill="FFFFFF"/>
        </w:rPr>
      </w:pPr>
    </w:p>
    <w:p w14:paraId="6E1DD590" w14:textId="0996F0B9" w:rsidR="003A34E0" w:rsidRDefault="003A34E0" w:rsidP="002B1EAD">
      <w:pPr>
        <w:rPr>
          <w:szCs w:val="24"/>
          <w:shd w:val="clear" w:color="auto" w:fill="FFFFFF"/>
        </w:rPr>
      </w:pPr>
    </w:p>
    <w:p w14:paraId="7E9DA2F9" w14:textId="00822C63" w:rsidR="003A34E0" w:rsidRDefault="003A34E0" w:rsidP="002B1EAD">
      <w:pPr>
        <w:rPr>
          <w:szCs w:val="24"/>
          <w:shd w:val="clear" w:color="auto" w:fill="FFFFFF"/>
        </w:rPr>
      </w:pPr>
    </w:p>
    <w:p w14:paraId="1CED843F" w14:textId="5EF713CB" w:rsidR="003A34E0" w:rsidRDefault="003A34E0" w:rsidP="002B1EAD">
      <w:pPr>
        <w:rPr>
          <w:szCs w:val="24"/>
          <w:shd w:val="clear" w:color="auto" w:fill="FFFFFF"/>
        </w:rPr>
      </w:pPr>
    </w:p>
    <w:p w14:paraId="47BF2CD9" w14:textId="0C2857C1" w:rsidR="003A34E0" w:rsidRDefault="003A34E0" w:rsidP="002B1EAD">
      <w:pPr>
        <w:rPr>
          <w:szCs w:val="24"/>
          <w:shd w:val="clear" w:color="auto" w:fill="FFFFFF"/>
        </w:rPr>
      </w:pPr>
    </w:p>
    <w:p w14:paraId="02BB2F34" w14:textId="620E982F" w:rsidR="003A34E0" w:rsidRDefault="003A34E0" w:rsidP="002B1EAD">
      <w:pPr>
        <w:rPr>
          <w:szCs w:val="24"/>
          <w:shd w:val="clear" w:color="auto" w:fill="FFFFFF"/>
        </w:rPr>
      </w:pPr>
    </w:p>
    <w:p w14:paraId="64F1290D" w14:textId="12C0D0BC" w:rsidR="003A34E0" w:rsidRDefault="003A34E0" w:rsidP="002B1EAD">
      <w:pPr>
        <w:rPr>
          <w:szCs w:val="24"/>
          <w:shd w:val="clear" w:color="auto" w:fill="FFFFFF"/>
        </w:rPr>
      </w:pPr>
    </w:p>
    <w:p w14:paraId="0A147D30" w14:textId="4F135974" w:rsidR="003A34E0" w:rsidRDefault="003A34E0" w:rsidP="002B1EAD">
      <w:pPr>
        <w:rPr>
          <w:szCs w:val="24"/>
          <w:shd w:val="clear" w:color="auto" w:fill="FFFFFF"/>
        </w:rPr>
      </w:pPr>
    </w:p>
    <w:p w14:paraId="345B87C4" w14:textId="36742EC3" w:rsidR="003A34E0" w:rsidRDefault="003A34E0" w:rsidP="002B1EAD">
      <w:pPr>
        <w:rPr>
          <w:szCs w:val="24"/>
          <w:shd w:val="clear" w:color="auto" w:fill="FFFFFF"/>
        </w:rPr>
      </w:pPr>
    </w:p>
    <w:p w14:paraId="2232D066" w14:textId="12719F91" w:rsidR="003A34E0" w:rsidRDefault="003A34E0" w:rsidP="002B1EAD">
      <w:pPr>
        <w:rPr>
          <w:szCs w:val="24"/>
          <w:shd w:val="clear" w:color="auto" w:fill="FFFFFF"/>
        </w:rPr>
      </w:pPr>
    </w:p>
    <w:p w14:paraId="2C032E3B" w14:textId="11115BE3" w:rsidR="003A34E0" w:rsidRDefault="003A34E0" w:rsidP="002B1EAD">
      <w:pPr>
        <w:rPr>
          <w:szCs w:val="24"/>
          <w:shd w:val="clear" w:color="auto" w:fill="FFFFFF"/>
        </w:rPr>
      </w:pPr>
    </w:p>
    <w:p w14:paraId="61FECDC2" w14:textId="07287175" w:rsidR="003A34E0" w:rsidRDefault="003A34E0" w:rsidP="002B1EAD">
      <w:pPr>
        <w:rPr>
          <w:szCs w:val="24"/>
          <w:shd w:val="clear" w:color="auto" w:fill="FFFFFF"/>
        </w:rPr>
      </w:pPr>
    </w:p>
    <w:p w14:paraId="35955126" w14:textId="3C56E8C2" w:rsidR="003A34E0" w:rsidRDefault="003A34E0" w:rsidP="002B1EAD">
      <w:pPr>
        <w:rPr>
          <w:szCs w:val="24"/>
          <w:shd w:val="clear" w:color="auto" w:fill="FFFFFF"/>
        </w:rPr>
      </w:pPr>
    </w:p>
    <w:p w14:paraId="6D2C3F07" w14:textId="557AE69A" w:rsidR="003A34E0" w:rsidRDefault="003A34E0" w:rsidP="002B1EAD">
      <w:pPr>
        <w:rPr>
          <w:szCs w:val="24"/>
          <w:shd w:val="clear" w:color="auto" w:fill="FFFFFF"/>
        </w:rPr>
      </w:pPr>
    </w:p>
    <w:p w14:paraId="66ED93E9" w14:textId="4350360C" w:rsidR="003A34E0" w:rsidRDefault="003A34E0" w:rsidP="002B1EAD">
      <w:pPr>
        <w:rPr>
          <w:szCs w:val="24"/>
          <w:shd w:val="clear" w:color="auto" w:fill="FFFFFF"/>
        </w:rPr>
      </w:pPr>
    </w:p>
    <w:p w14:paraId="7736537B" w14:textId="7A2D8FD0" w:rsidR="003A34E0" w:rsidRDefault="003A34E0" w:rsidP="002B1EAD">
      <w:pPr>
        <w:rPr>
          <w:szCs w:val="24"/>
          <w:shd w:val="clear" w:color="auto" w:fill="FFFFFF"/>
        </w:rPr>
      </w:pPr>
    </w:p>
    <w:p w14:paraId="40F321C3" w14:textId="4A6311C7" w:rsidR="003A34E0" w:rsidRDefault="003A34E0" w:rsidP="002B1EAD">
      <w:pPr>
        <w:rPr>
          <w:szCs w:val="24"/>
          <w:shd w:val="clear" w:color="auto" w:fill="FFFFFF"/>
        </w:rPr>
      </w:pPr>
    </w:p>
    <w:p w14:paraId="55ADD443" w14:textId="08B4E76F" w:rsidR="003A34E0" w:rsidRDefault="003A34E0" w:rsidP="002B1EAD">
      <w:pPr>
        <w:rPr>
          <w:szCs w:val="24"/>
          <w:shd w:val="clear" w:color="auto" w:fill="FFFFFF"/>
        </w:rPr>
      </w:pPr>
    </w:p>
    <w:p w14:paraId="1F1F3FAE" w14:textId="0CDAAC16" w:rsidR="003A34E0" w:rsidRDefault="003A34E0" w:rsidP="002B1EAD">
      <w:pPr>
        <w:rPr>
          <w:szCs w:val="24"/>
          <w:shd w:val="clear" w:color="auto" w:fill="FFFFFF"/>
        </w:rPr>
      </w:pPr>
    </w:p>
    <w:p w14:paraId="3C089279" w14:textId="2FE7F490" w:rsidR="003A34E0" w:rsidRDefault="003A34E0" w:rsidP="002B1EAD">
      <w:pPr>
        <w:rPr>
          <w:szCs w:val="24"/>
          <w:shd w:val="clear" w:color="auto" w:fill="FFFFFF"/>
        </w:rPr>
      </w:pPr>
    </w:p>
    <w:p w14:paraId="709E1286" w14:textId="7B399331" w:rsidR="003A34E0" w:rsidRDefault="003A34E0" w:rsidP="002B1EAD">
      <w:pPr>
        <w:rPr>
          <w:szCs w:val="24"/>
          <w:shd w:val="clear" w:color="auto" w:fill="FFFFFF"/>
        </w:rPr>
      </w:pPr>
    </w:p>
    <w:p w14:paraId="6AD0AA05" w14:textId="62177F52" w:rsidR="003A34E0" w:rsidRDefault="003A34E0" w:rsidP="002B1EAD">
      <w:pPr>
        <w:rPr>
          <w:szCs w:val="24"/>
          <w:shd w:val="clear" w:color="auto" w:fill="FFFFFF"/>
        </w:rPr>
      </w:pPr>
    </w:p>
    <w:p w14:paraId="3A7C5038" w14:textId="4E1E4F9B" w:rsidR="003A34E0" w:rsidRDefault="003A34E0" w:rsidP="002B1EAD">
      <w:pPr>
        <w:rPr>
          <w:szCs w:val="24"/>
          <w:shd w:val="clear" w:color="auto" w:fill="FFFFFF"/>
        </w:rPr>
      </w:pPr>
    </w:p>
    <w:p w14:paraId="7BE0D049" w14:textId="7AA37EB2" w:rsidR="003A34E0" w:rsidRDefault="003A34E0" w:rsidP="002B1EAD">
      <w:pPr>
        <w:rPr>
          <w:szCs w:val="24"/>
          <w:shd w:val="clear" w:color="auto" w:fill="FFFFFF"/>
        </w:rPr>
      </w:pPr>
    </w:p>
    <w:p w14:paraId="6D406E5E" w14:textId="5BD70827" w:rsidR="003A34E0" w:rsidRDefault="003A34E0" w:rsidP="002B1EAD">
      <w:pPr>
        <w:rPr>
          <w:szCs w:val="24"/>
          <w:shd w:val="clear" w:color="auto" w:fill="FFFFFF"/>
        </w:rPr>
      </w:pPr>
    </w:p>
    <w:p w14:paraId="6360B1AF" w14:textId="0F8D6789" w:rsidR="003A34E0" w:rsidRDefault="003A34E0" w:rsidP="002B1EAD">
      <w:pPr>
        <w:rPr>
          <w:szCs w:val="24"/>
          <w:shd w:val="clear" w:color="auto" w:fill="FFFFFF"/>
        </w:rPr>
      </w:pPr>
    </w:p>
    <w:p w14:paraId="3EC9A7E5" w14:textId="593ACDB6" w:rsidR="003A34E0" w:rsidRDefault="003A34E0" w:rsidP="002B1EAD">
      <w:pPr>
        <w:rPr>
          <w:szCs w:val="24"/>
          <w:shd w:val="clear" w:color="auto" w:fill="FFFFFF"/>
        </w:rPr>
      </w:pPr>
    </w:p>
    <w:p w14:paraId="3FF2B0EF" w14:textId="5C7A974A" w:rsidR="003A34E0" w:rsidRDefault="003A34E0" w:rsidP="002B1EAD">
      <w:pPr>
        <w:rPr>
          <w:szCs w:val="24"/>
          <w:shd w:val="clear" w:color="auto" w:fill="FFFFFF"/>
        </w:rPr>
      </w:pPr>
    </w:p>
    <w:p w14:paraId="660AE33F" w14:textId="4ABCE145" w:rsidR="003A34E0" w:rsidRDefault="003A34E0" w:rsidP="002B1EAD">
      <w:pPr>
        <w:rPr>
          <w:szCs w:val="24"/>
          <w:shd w:val="clear" w:color="auto" w:fill="FFFFFF"/>
        </w:rPr>
      </w:pPr>
    </w:p>
    <w:p w14:paraId="4B1AF7CC" w14:textId="64A11DE1" w:rsidR="003A34E0" w:rsidRDefault="003A34E0" w:rsidP="002B1EAD">
      <w:pPr>
        <w:rPr>
          <w:szCs w:val="24"/>
          <w:shd w:val="clear" w:color="auto" w:fill="FFFFFF"/>
        </w:rPr>
      </w:pPr>
    </w:p>
    <w:p w14:paraId="137086BB" w14:textId="77777777" w:rsidR="005D1C23" w:rsidRDefault="005D1C23" w:rsidP="003A34E0">
      <w:pPr>
        <w:ind w:left="720"/>
        <w:jc w:val="right"/>
        <w:rPr>
          <w:b/>
          <w:szCs w:val="24"/>
          <w:shd w:val="clear" w:color="auto" w:fill="FFFFFF"/>
        </w:rPr>
      </w:pPr>
    </w:p>
    <w:p w14:paraId="57C134FE" w14:textId="77777777" w:rsidR="005D1C23" w:rsidRDefault="005D1C23" w:rsidP="003A34E0">
      <w:pPr>
        <w:ind w:left="720"/>
        <w:jc w:val="right"/>
        <w:rPr>
          <w:b/>
          <w:szCs w:val="24"/>
          <w:shd w:val="clear" w:color="auto" w:fill="FFFFFF"/>
        </w:rPr>
      </w:pPr>
    </w:p>
    <w:p w14:paraId="62B810D1" w14:textId="77777777" w:rsidR="005D1C23" w:rsidRDefault="005D1C23" w:rsidP="003A34E0">
      <w:pPr>
        <w:ind w:left="720"/>
        <w:jc w:val="right"/>
        <w:rPr>
          <w:b/>
          <w:szCs w:val="24"/>
          <w:shd w:val="clear" w:color="auto" w:fill="FFFFFF"/>
        </w:rPr>
      </w:pPr>
    </w:p>
    <w:p w14:paraId="1404399A" w14:textId="2A1AD708" w:rsidR="003A34E0" w:rsidRPr="00D924F4" w:rsidRDefault="003A34E0" w:rsidP="003A34E0">
      <w:pPr>
        <w:ind w:left="720"/>
        <w:jc w:val="right"/>
        <w:rPr>
          <w:b/>
          <w:szCs w:val="24"/>
          <w:shd w:val="clear" w:color="auto" w:fill="FFFFFF"/>
        </w:rPr>
      </w:pPr>
      <w:r w:rsidRPr="00D924F4">
        <w:rPr>
          <w:b/>
          <w:szCs w:val="24"/>
          <w:shd w:val="clear" w:color="auto" w:fill="FFFFFF"/>
        </w:rPr>
        <w:lastRenderedPageBreak/>
        <w:t>Appendix II</w:t>
      </w:r>
    </w:p>
    <w:p w14:paraId="22F7EDD0" w14:textId="77777777" w:rsidR="003A34E0" w:rsidRPr="00D924F4" w:rsidRDefault="003A34E0" w:rsidP="002B1EAD">
      <w:pPr>
        <w:rPr>
          <w:szCs w:val="24"/>
          <w:shd w:val="clear" w:color="auto" w:fill="FFFFFF"/>
        </w:rPr>
      </w:pPr>
    </w:p>
    <w:p w14:paraId="23F714A2" w14:textId="77777777" w:rsidR="002B1EAD" w:rsidRPr="00D924F4" w:rsidRDefault="002B1EAD" w:rsidP="002B1EAD">
      <w:pPr>
        <w:rPr>
          <w:szCs w:val="24"/>
          <w:shd w:val="clear" w:color="auto" w:fill="FFFFFF"/>
        </w:rPr>
      </w:pPr>
    </w:p>
    <w:p w14:paraId="7100A0BD" w14:textId="3A3CD2D3" w:rsidR="002B6EEF" w:rsidRPr="00D924F4" w:rsidRDefault="002B6EEF" w:rsidP="00FC7256">
      <w:pPr>
        <w:pStyle w:val="ListContinue"/>
        <w:numPr>
          <w:ilvl w:val="0"/>
          <w:numId w:val="0"/>
        </w:numPr>
        <w:jc w:val="center"/>
        <w:rPr>
          <w:b/>
          <w:szCs w:val="22"/>
        </w:rPr>
      </w:pPr>
      <w:r w:rsidRPr="00D924F4">
        <w:rPr>
          <w:b/>
          <w:szCs w:val="22"/>
        </w:rPr>
        <w:t>Asset-Backed Security Definitional Review</w:t>
      </w:r>
    </w:p>
    <w:p w14:paraId="28E971D4" w14:textId="4A70B3C5" w:rsidR="002B6EEF" w:rsidRPr="00D924F4" w:rsidRDefault="002B6EEF" w:rsidP="00FC7256">
      <w:pPr>
        <w:pStyle w:val="ListContinue"/>
        <w:numPr>
          <w:ilvl w:val="0"/>
          <w:numId w:val="0"/>
        </w:numPr>
        <w:rPr>
          <w:szCs w:val="22"/>
        </w:rPr>
      </w:pPr>
      <w:r w:rsidRPr="00D924F4">
        <w:rPr>
          <w:szCs w:val="22"/>
        </w:rPr>
        <w:t>Both transaction structure and asset pool composition may determine whether an investment is in scope of the definition of “asset backed security” under the 1934 Act or under the 1933 Act (Regulation AB).  Key considerations include whether any securities are issued, whether such securities “depend primarily on the cash flow” from the asset pool, the type of financial assets comprising the pool, and the underlying collateral, if any, supporting the financial assets.  Accordingly, interests in one structure may be in scope of the definitions, but interests in a different structure supported by the same asset type may be out of scope.  Each issuance requires nuanced analysis, and different counsel (and different regulators) may reach different conclusions about a single structure and asset pool.  Moreover, the characterization of any transaction depends on the time at which it is evaluated and the characteristics of the asset pool existing at that time.  This document is intended to provide some general considerations in determining whether a transaction could be considered in scope of the 1934 Act Definition or the 1933 Act (Regulation AB) Definition, but a thorough analysis should be conducted with respect to any particular transaction to determine whether it would be in scope of the 1934 Act Definition or the 1933 Act (Regulation AB) Definition. We note that many of the securities that fall outside of both definitions are considered by the market to be asset-backed securities, especially those that have predictable cash flows and that legally isolate the assets.</w:t>
      </w:r>
    </w:p>
    <w:p w14:paraId="1EC0A962" w14:textId="77777777" w:rsidR="002B6EEF" w:rsidRDefault="002B6EEF" w:rsidP="002B6EEF"/>
    <w:tbl>
      <w:tblPr>
        <w:tblStyle w:val="TableGrid"/>
        <w:tblW w:w="11340" w:type="dxa"/>
        <w:tblInd w:w="-1085" w:type="dxa"/>
        <w:tblLayout w:type="fixed"/>
        <w:tblLook w:val="04A0" w:firstRow="1" w:lastRow="0" w:firstColumn="1" w:lastColumn="0" w:noHBand="0" w:noVBand="1"/>
      </w:tblPr>
      <w:tblGrid>
        <w:gridCol w:w="1710"/>
        <w:gridCol w:w="4590"/>
        <w:gridCol w:w="2430"/>
        <w:gridCol w:w="2610"/>
      </w:tblGrid>
      <w:tr w:rsidR="002B6EEF" w14:paraId="689B59EA" w14:textId="77777777" w:rsidTr="00785487">
        <w:tc>
          <w:tcPr>
            <w:tcW w:w="1710" w:type="dxa"/>
            <w:shd w:val="clear" w:color="auto" w:fill="F7CAAC" w:themeFill="accent2" w:themeFillTint="66"/>
          </w:tcPr>
          <w:p w14:paraId="602EE67F" w14:textId="77777777" w:rsidR="002B6EEF" w:rsidRPr="00D924F4" w:rsidRDefault="002B6EEF" w:rsidP="007B752D">
            <w:pPr>
              <w:pStyle w:val="BodyText1"/>
              <w:ind w:firstLine="0"/>
              <w:jc w:val="center"/>
              <w:rPr>
                <w:rFonts w:cs="Times New Roman"/>
                <w:sz w:val="22"/>
                <w:szCs w:val="22"/>
              </w:rPr>
            </w:pPr>
            <w:r w:rsidRPr="00D924F4">
              <w:rPr>
                <w:rFonts w:cs="Times New Roman"/>
                <w:sz w:val="22"/>
                <w:szCs w:val="22"/>
              </w:rPr>
              <w:t>Asset Class</w:t>
            </w:r>
          </w:p>
        </w:tc>
        <w:tc>
          <w:tcPr>
            <w:tcW w:w="4590" w:type="dxa"/>
            <w:shd w:val="clear" w:color="auto" w:fill="F7CAAC" w:themeFill="accent2" w:themeFillTint="66"/>
          </w:tcPr>
          <w:p w14:paraId="024D846F" w14:textId="77777777" w:rsidR="002B6EEF" w:rsidRPr="00D924F4" w:rsidRDefault="002B6EEF" w:rsidP="007B752D">
            <w:pPr>
              <w:pStyle w:val="BodyText1"/>
              <w:ind w:firstLine="0"/>
              <w:jc w:val="center"/>
              <w:rPr>
                <w:rFonts w:cs="Times New Roman"/>
                <w:sz w:val="22"/>
                <w:szCs w:val="22"/>
              </w:rPr>
            </w:pPr>
            <w:r w:rsidRPr="00D924F4">
              <w:rPr>
                <w:rFonts w:cs="Times New Roman"/>
                <w:sz w:val="22"/>
                <w:szCs w:val="22"/>
              </w:rPr>
              <w:t>Description</w:t>
            </w:r>
          </w:p>
        </w:tc>
        <w:tc>
          <w:tcPr>
            <w:tcW w:w="2430" w:type="dxa"/>
            <w:shd w:val="clear" w:color="auto" w:fill="F7CAAC" w:themeFill="accent2" w:themeFillTint="66"/>
          </w:tcPr>
          <w:p w14:paraId="72DE582F" w14:textId="77777777" w:rsidR="002B6EEF" w:rsidRPr="00D924F4" w:rsidRDefault="002B6EEF" w:rsidP="007B752D">
            <w:pPr>
              <w:pStyle w:val="BodyText1"/>
              <w:ind w:firstLine="0"/>
              <w:jc w:val="center"/>
              <w:rPr>
                <w:rFonts w:cs="Times New Roman"/>
                <w:sz w:val="22"/>
                <w:szCs w:val="22"/>
              </w:rPr>
            </w:pPr>
            <w:r w:rsidRPr="00D924F4">
              <w:rPr>
                <w:rFonts w:cs="Times New Roman"/>
                <w:sz w:val="22"/>
                <w:szCs w:val="22"/>
              </w:rPr>
              <w:t>1933 Act (Regulation AB) analysis</w:t>
            </w:r>
          </w:p>
        </w:tc>
        <w:tc>
          <w:tcPr>
            <w:tcW w:w="2610" w:type="dxa"/>
            <w:shd w:val="clear" w:color="auto" w:fill="F7CAAC" w:themeFill="accent2" w:themeFillTint="66"/>
          </w:tcPr>
          <w:p w14:paraId="56E9F651" w14:textId="77777777" w:rsidR="002B6EEF" w:rsidRPr="00D924F4" w:rsidRDefault="002B6EEF" w:rsidP="007B752D">
            <w:pPr>
              <w:pStyle w:val="BodyText1"/>
              <w:ind w:firstLine="0"/>
              <w:jc w:val="center"/>
              <w:rPr>
                <w:rFonts w:cs="Times New Roman"/>
                <w:sz w:val="22"/>
                <w:szCs w:val="22"/>
              </w:rPr>
            </w:pPr>
            <w:r w:rsidRPr="00D924F4">
              <w:rPr>
                <w:rFonts w:cs="Times New Roman"/>
                <w:sz w:val="22"/>
                <w:szCs w:val="22"/>
              </w:rPr>
              <w:t>1934 Act analysis</w:t>
            </w:r>
          </w:p>
        </w:tc>
      </w:tr>
      <w:tr w:rsidR="002B6EEF" w14:paraId="013CAEB9" w14:textId="77777777" w:rsidTr="00785487">
        <w:tc>
          <w:tcPr>
            <w:tcW w:w="1710" w:type="dxa"/>
          </w:tcPr>
          <w:p w14:paraId="2AD553B4" w14:textId="77777777" w:rsidR="002B6EEF" w:rsidRPr="00D924F4" w:rsidRDefault="002B6EEF" w:rsidP="007B752D">
            <w:pPr>
              <w:jc w:val="center"/>
              <w:rPr>
                <w:b/>
                <w:bCs/>
                <w:color w:val="000000"/>
                <w:sz w:val="22"/>
                <w:szCs w:val="22"/>
              </w:rPr>
            </w:pPr>
            <w:r w:rsidRPr="00D924F4">
              <w:rPr>
                <w:b/>
                <w:bCs/>
                <w:color w:val="000000"/>
                <w:sz w:val="22"/>
                <w:szCs w:val="22"/>
              </w:rPr>
              <w:t>Residential Mortgage Backed Securities</w:t>
            </w:r>
          </w:p>
        </w:tc>
        <w:tc>
          <w:tcPr>
            <w:tcW w:w="4590" w:type="dxa"/>
          </w:tcPr>
          <w:p w14:paraId="54F8F73B" w14:textId="77777777" w:rsidR="002B6EEF" w:rsidRPr="00D924F4" w:rsidRDefault="002B6EEF" w:rsidP="007B752D">
            <w:pPr>
              <w:rPr>
                <w:color w:val="000000"/>
                <w:sz w:val="22"/>
                <w:szCs w:val="22"/>
              </w:rPr>
            </w:pPr>
            <w:r w:rsidRPr="00D924F4">
              <w:rPr>
                <w:color w:val="000000"/>
                <w:sz w:val="22"/>
                <w:szCs w:val="22"/>
              </w:rPr>
              <w:t>Securities issued by a special purpose entity (SPE) that owns a pool of underlying residential mortgages (mortgage pass through security or collateralized mortgage obligation or CMO).  The underlying mortgages can be prime (high credit quality) or subprime, they can be guaranteed by a federal agency or government-sponsored entity (collectively Agency RMBS) or not (non-Agency RMBS).  The mortgage cash flows (and, if applicable, servicer advances and guarantee payments) are the source of repayments of interest and principal on the securities, and the security holders have a security interest and/or fractional undivided interest in the mortgages themselves.  Investors in non-Agency RMBS typically benefit from various forms of credit enhancement such as (i) credit and prepayment tranching; (ii) shifting interest mechanism - whereby payment to junior classes of debt holders can be skipped for a period of time to prevent the level of credit enhancement from deteriorating over time; (iii) over collateralization; and (iv) reserve accounts.</w:t>
            </w:r>
          </w:p>
        </w:tc>
        <w:tc>
          <w:tcPr>
            <w:tcW w:w="2430" w:type="dxa"/>
          </w:tcPr>
          <w:p w14:paraId="6E318047" w14:textId="77777777" w:rsidR="002B6EEF" w:rsidRPr="00D924F4" w:rsidRDefault="002B6EEF" w:rsidP="007B752D">
            <w:pPr>
              <w:pStyle w:val="BodyText1"/>
              <w:ind w:right="-24" w:firstLine="0"/>
              <w:rPr>
                <w:rFonts w:cs="Times New Roman"/>
                <w:sz w:val="22"/>
                <w:szCs w:val="22"/>
              </w:rPr>
            </w:pPr>
            <w:r w:rsidRPr="00D924F4">
              <w:rPr>
                <w:rFonts w:cs="Times New Roman"/>
                <w:sz w:val="22"/>
                <w:szCs w:val="22"/>
              </w:rPr>
              <w:t>Typically, yes, subject to compliance with the restrictions on pool and structure set forth in the Regulation AB definition</w:t>
            </w:r>
          </w:p>
        </w:tc>
        <w:tc>
          <w:tcPr>
            <w:tcW w:w="2610" w:type="dxa"/>
          </w:tcPr>
          <w:p w14:paraId="7C130891"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For non-agency RMBS, typically yes.  For agency RMBS, a question remains as to whether payments on the securities depend primarily on the cash flows from the mortgage-loan pool or whether they depend primarily on the GSE payment obligation under the guarantee.  This has not been tested, because agency RMBS is exempt from risk retention. </w:t>
            </w:r>
          </w:p>
        </w:tc>
      </w:tr>
      <w:tr w:rsidR="002B6EEF" w14:paraId="73732296" w14:textId="77777777" w:rsidTr="00785487">
        <w:tc>
          <w:tcPr>
            <w:tcW w:w="1710" w:type="dxa"/>
          </w:tcPr>
          <w:p w14:paraId="10078F0E" w14:textId="77777777" w:rsidR="002B6EEF" w:rsidRPr="00D924F4" w:rsidRDefault="002B6EEF" w:rsidP="007B752D">
            <w:pPr>
              <w:jc w:val="center"/>
              <w:rPr>
                <w:b/>
                <w:bCs/>
                <w:color w:val="000000"/>
                <w:sz w:val="22"/>
                <w:szCs w:val="22"/>
              </w:rPr>
            </w:pPr>
            <w:r w:rsidRPr="00D924F4">
              <w:rPr>
                <w:b/>
                <w:bCs/>
                <w:color w:val="000000"/>
                <w:sz w:val="22"/>
                <w:szCs w:val="22"/>
              </w:rPr>
              <w:t xml:space="preserve">Commercial Mortgage </w:t>
            </w:r>
            <w:r w:rsidRPr="00D924F4">
              <w:rPr>
                <w:b/>
                <w:bCs/>
                <w:color w:val="000000"/>
                <w:sz w:val="22"/>
                <w:szCs w:val="22"/>
              </w:rPr>
              <w:lastRenderedPageBreak/>
              <w:t>Backed Securities</w:t>
            </w:r>
          </w:p>
        </w:tc>
        <w:tc>
          <w:tcPr>
            <w:tcW w:w="4590" w:type="dxa"/>
          </w:tcPr>
          <w:p w14:paraId="0D07C722" w14:textId="77777777" w:rsidR="002B6EEF" w:rsidRPr="00D924F4" w:rsidRDefault="002B6EEF" w:rsidP="007B752D">
            <w:pPr>
              <w:rPr>
                <w:color w:val="000000"/>
                <w:sz w:val="22"/>
                <w:szCs w:val="22"/>
              </w:rPr>
            </w:pPr>
            <w:r w:rsidRPr="00D924F4">
              <w:rPr>
                <w:color w:val="000000"/>
                <w:sz w:val="22"/>
                <w:szCs w:val="22"/>
              </w:rPr>
              <w:lastRenderedPageBreak/>
              <w:t xml:space="preserve">Securities issued by an SPE that owns one or more commercial mortgages on income </w:t>
            </w:r>
            <w:r w:rsidRPr="00D924F4">
              <w:rPr>
                <w:color w:val="000000"/>
                <w:sz w:val="22"/>
                <w:szCs w:val="22"/>
              </w:rPr>
              <w:lastRenderedPageBreak/>
              <w:t xml:space="preserve">producing properties (e.g., multi-family properties, office buildings, industrial properties, shopping centers, hotels and healthcare facilities).  The cashflows from the income-generating properties service and repay the securities, while security holders have a security interest and/or fractional undivided interest in the mortgages themselves.  The debt is typically tranched into multiple categories of debt, with junior securities and equity supporting the senior class.  Prepayment risk may be eliminated through call protection, but investors are typically exposed to extension risk due to balloon structures in the underlying collateral pool. </w:t>
            </w:r>
          </w:p>
        </w:tc>
        <w:tc>
          <w:tcPr>
            <w:tcW w:w="2430" w:type="dxa"/>
          </w:tcPr>
          <w:p w14:paraId="7E6F276C"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Depends on type of structure.  Typically, </w:t>
            </w:r>
            <w:r w:rsidRPr="00D924F4">
              <w:rPr>
                <w:rFonts w:cs="Times New Roman"/>
                <w:sz w:val="22"/>
                <w:szCs w:val="22"/>
              </w:rPr>
              <w:lastRenderedPageBreak/>
              <w:t>yes, subject to compliance with the restrictions on pool and structure set forth in the Regulation AB definition</w:t>
            </w:r>
          </w:p>
          <w:p w14:paraId="0948480C" w14:textId="77777777" w:rsidR="002B6EEF" w:rsidRPr="00D924F4" w:rsidRDefault="002B6EEF" w:rsidP="007B752D">
            <w:pPr>
              <w:pStyle w:val="BodyText1"/>
              <w:ind w:firstLine="0"/>
              <w:rPr>
                <w:rFonts w:cs="Times New Roman"/>
                <w:sz w:val="22"/>
                <w:szCs w:val="22"/>
              </w:rPr>
            </w:pPr>
          </w:p>
        </w:tc>
        <w:tc>
          <w:tcPr>
            <w:tcW w:w="2610" w:type="dxa"/>
          </w:tcPr>
          <w:p w14:paraId="35009C26"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Depends on type of structure.  Typically, yes </w:t>
            </w:r>
            <w:r w:rsidRPr="00D924F4">
              <w:rPr>
                <w:rFonts w:cs="Times New Roman"/>
                <w:sz w:val="22"/>
                <w:szCs w:val="22"/>
              </w:rPr>
              <w:lastRenderedPageBreak/>
              <w:t>as the mortgages are thought to be self-liquidating financial assets, assuming the underlying assets consist of mortgages rather than leases.</w:t>
            </w:r>
          </w:p>
        </w:tc>
      </w:tr>
      <w:tr w:rsidR="002B6EEF" w14:paraId="60DC7353" w14:textId="77777777" w:rsidTr="00785487">
        <w:tc>
          <w:tcPr>
            <w:tcW w:w="1710" w:type="dxa"/>
          </w:tcPr>
          <w:p w14:paraId="2302CAF5" w14:textId="77777777" w:rsidR="002B6EEF" w:rsidRPr="00D924F4" w:rsidRDefault="002B6EEF" w:rsidP="007B752D">
            <w:pPr>
              <w:jc w:val="center"/>
              <w:rPr>
                <w:b/>
                <w:bCs/>
                <w:color w:val="000000"/>
                <w:sz w:val="22"/>
                <w:szCs w:val="22"/>
              </w:rPr>
            </w:pPr>
            <w:r w:rsidRPr="00D924F4">
              <w:rPr>
                <w:b/>
                <w:bCs/>
                <w:color w:val="000000"/>
                <w:sz w:val="22"/>
                <w:szCs w:val="22"/>
              </w:rPr>
              <w:lastRenderedPageBreak/>
              <w:t>Asset Backed Securities—Credit Card Receivables</w:t>
            </w:r>
          </w:p>
        </w:tc>
        <w:tc>
          <w:tcPr>
            <w:tcW w:w="4590" w:type="dxa"/>
          </w:tcPr>
          <w:p w14:paraId="3D30D339" w14:textId="77777777" w:rsidR="002B6EEF" w:rsidRPr="00D924F4" w:rsidRDefault="002B6EEF" w:rsidP="007B752D">
            <w:pPr>
              <w:rPr>
                <w:color w:val="000000"/>
                <w:sz w:val="22"/>
                <w:szCs w:val="22"/>
              </w:rPr>
            </w:pPr>
            <w:r w:rsidRPr="00D924F4">
              <w:rPr>
                <w:color w:val="000000"/>
                <w:sz w:val="22"/>
                <w:szCs w:val="22"/>
              </w:rPr>
              <w:t xml:space="preserve">Securities issued by an SPE that owns a revolving pool of assets generating contractual cash flows, which can be paid at a required minimum level or in higher amounts, up to repayment in full, on any month, and typically have an open line of credit that permits additional borrowing.   The cash flows from the underlying assets in the pool are used to reinvest in new receivables and to service and repay the securities. Credit card securitizations assume that there will be some level of defaults and are structured to have the ability to cover those defaults—typically through the yield on the assets, which is expected to cover interest, servicing and anticipated defaults with a cushion (excess spread) remaining.  Prepayment risk largely only relates to a decline in the excess spread below zero and does not typically depend on principal repayment rate. Subordinated tranches and cash reserves often provide credit enhancement to more senior tranches.  </w:t>
            </w:r>
          </w:p>
        </w:tc>
        <w:tc>
          <w:tcPr>
            <w:tcW w:w="2430" w:type="dxa"/>
          </w:tcPr>
          <w:p w14:paraId="152410B8"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 subject to compliance with the restrictions on pool and structure set forth in the Regulation AB definition</w:t>
            </w:r>
          </w:p>
          <w:p w14:paraId="23A2229C" w14:textId="77777777" w:rsidR="002B6EEF" w:rsidRPr="00D924F4" w:rsidRDefault="002B6EEF" w:rsidP="007B752D">
            <w:pPr>
              <w:pStyle w:val="BodyText1"/>
              <w:ind w:firstLine="0"/>
              <w:rPr>
                <w:rFonts w:cs="Times New Roman"/>
                <w:sz w:val="22"/>
                <w:szCs w:val="22"/>
              </w:rPr>
            </w:pPr>
          </w:p>
        </w:tc>
        <w:tc>
          <w:tcPr>
            <w:tcW w:w="2610" w:type="dxa"/>
          </w:tcPr>
          <w:p w14:paraId="1E168441"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w:t>
            </w:r>
          </w:p>
        </w:tc>
      </w:tr>
      <w:tr w:rsidR="002B6EEF" w14:paraId="65D534D6" w14:textId="77777777" w:rsidTr="00785487">
        <w:tc>
          <w:tcPr>
            <w:tcW w:w="1710" w:type="dxa"/>
          </w:tcPr>
          <w:p w14:paraId="04411C76" w14:textId="77777777" w:rsidR="002B6EEF" w:rsidRPr="00D924F4" w:rsidRDefault="002B6EEF" w:rsidP="007B752D">
            <w:pPr>
              <w:jc w:val="center"/>
              <w:rPr>
                <w:b/>
                <w:bCs/>
                <w:color w:val="000000"/>
                <w:sz w:val="22"/>
                <w:szCs w:val="22"/>
              </w:rPr>
            </w:pPr>
            <w:r w:rsidRPr="00D924F4">
              <w:rPr>
                <w:b/>
                <w:bCs/>
                <w:color w:val="000000"/>
                <w:sz w:val="22"/>
                <w:szCs w:val="22"/>
              </w:rPr>
              <w:t>Asset Backed Securities—Other (Student Loans, Auto Loans, Home Improvement Loans, RV Loans, Mobile Home Loans)</w:t>
            </w:r>
          </w:p>
        </w:tc>
        <w:tc>
          <w:tcPr>
            <w:tcW w:w="4590" w:type="dxa"/>
          </w:tcPr>
          <w:p w14:paraId="50ED7E28" w14:textId="77777777" w:rsidR="002B6EEF" w:rsidRPr="00D924F4" w:rsidRDefault="002B6EEF" w:rsidP="007B752D">
            <w:pPr>
              <w:rPr>
                <w:color w:val="000000"/>
                <w:sz w:val="22"/>
                <w:szCs w:val="22"/>
              </w:rPr>
            </w:pPr>
            <w:r w:rsidRPr="00D924F4">
              <w:rPr>
                <w:color w:val="000000"/>
                <w:sz w:val="22"/>
                <w:szCs w:val="22"/>
              </w:rPr>
              <w:t>Securities issued by an SPE that typically owns a static pool of assets generating contractual cash flows.   The cash flows from the underlying assets in the pool are used to service and repay the securities.  Through the use of partitioning, the risk of default in the underlying collateral as well as prepayment risk is shared differently across different groups of debt holders (tranches) but uniformly within a tranche.</w:t>
            </w:r>
            <w:r w:rsidRPr="00D924F4" w:rsidDel="006F47A2">
              <w:rPr>
                <w:color w:val="000000"/>
                <w:sz w:val="22"/>
                <w:szCs w:val="22"/>
              </w:rPr>
              <w:t xml:space="preserve"> </w:t>
            </w:r>
            <w:r w:rsidRPr="00D924F4">
              <w:rPr>
                <w:color w:val="000000"/>
                <w:sz w:val="22"/>
                <w:szCs w:val="22"/>
              </w:rPr>
              <w:t xml:space="preserve"> Often early losses are reallocated to a junior tranche, which then serves as a form of credit protection for the senior tranche. Transactions typically have credit enhancement, which may be in the form of overcollateralization, subordinated securities, cash collateral or reserve accounts and/or priorities of payment that suspend payments to </w:t>
            </w:r>
            <w:r w:rsidRPr="00D924F4">
              <w:rPr>
                <w:color w:val="000000"/>
                <w:sz w:val="22"/>
                <w:szCs w:val="22"/>
              </w:rPr>
              <w:lastRenderedPageBreak/>
              <w:t xml:space="preserve">holders of subordinate interests if certain tests are not satisfied.  </w:t>
            </w:r>
          </w:p>
        </w:tc>
        <w:tc>
          <w:tcPr>
            <w:tcW w:w="2430" w:type="dxa"/>
          </w:tcPr>
          <w:p w14:paraId="420DB393"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Typically, yes, subject to compliance with the restrictions on pool and structure set forth in the Regulation AB definition</w:t>
            </w:r>
          </w:p>
          <w:p w14:paraId="22AEEF96" w14:textId="77777777" w:rsidR="002B6EEF" w:rsidRPr="00D924F4" w:rsidRDefault="002B6EEF" w:rsidP="007B752D">
            <w:pPr>
              <w:pStyle w:val="BodyText1"/>
              <w:ind w:firstLine="0"/>
              <w:rPr>
                <w:rFonts w:cs="Times New Roman"/>
                <w:sz w:val="22"/>
                <w:szCs w:val="22"/>
              </w:rPr>
            </w:pPr>
          </w:p>
        </w:tc>
        <w:tc>
          <w:tcPr>
            <w:tcW w:w="2610" w:type="dxa"/>
          </w:tcPr>
          <w:p w14:paraId="2C2A1786"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  If the loan pool is not static (i.e., the deal is more of a future flow transaction), there could be an argument that it is not 1934 Act ABS.</w:t>
            </w:r>
          </w:p>
        </w:tc>
      </w:tr>
      <w:tr w:rsidR="002B6EEF" w14:paraId="74F48EF4" w14:textId="77777777" w:rsidTr="00785487">
        <w:tc>
          <w:tcPr>
            <w:tcW w:w="1710" w:type="dxa"/>
          </w:tcPr>
          <w:p w14:paraId="3F58E8AF" w14:textId="77777777" w:rsidR="002B6EEF" w:rsidRPr="00D924F4" w:rsidRDefault="002B6EEF" w:rsidP="007B752D">
            <w:pPr>
              <w:jc w:val="center"/>
              <w:rPr>
                <w:b/>
                <w:bCs/>
                <w:color w:val="000000"/>
                <w:sz w:val="22"/>
                <w:szCs w:val="22"/>
              </w:rPr>
            </w:pPr>
            <w:r w:rsidRPr="00D924F4">
              <w:rPr>
                <w:b/>
                <w:bCs/>
                <w:color w:val="000000"/>
                <w:sz w:val="22"/>
                <w:szCs w:val="22"/>
              </w:rPr>
              <w:t>Asset Backed Security—Structured Settlement</w:t>
            </w:r>
          </w:p>
        </w:tc>
        <w:tc>
          <w:tcPr>
            <w:tcW w:w="4590" w:type="dxa"/>
          </w:tcPr>
          <w:p w14:paraId="50E34D7A" w14:textId="77777777" w:rsidR="002B6EEF" w:rsidRPr="00D924F4" w:rsidRDefault="002B6EEF" w:rsidP="007B752D">
            <w:pPr>
              <w:rPr>
                <w:color w:val="000000"/>
                <w:sz w:val="22"/>
                <w:szCs w:val="22"/>
              </w:rPr>
            </w:pPr>
            <w:r w:rsidRPr="00D924F4">
              <w:rPr>
                <w:color w:val="000000"/>
                <w:sz w:val="22"/>
                <w:szCs w:val="22"/>
              </w:rPr>
              <w:t> Securities issued by an SPE. The SPE owns a pool of court-approved structured settlements and/or annuities issued by insurance companies and may hold other assets to address early termination of annuities linked to the life of the original holder.  Through the use of partitioning, the risk of defaults in the underlying collateral as well as prepayment risk is shared differently across different groups of debt holders (tranches) but uniformly within a tranche.  Transactions typically have credit enhancement, which may be in the form of overcollateralization, subordinated securities, cash collateral or reserve accounts and/or priorities of payment that suspend payments to holders of subordinate interests if certain tests are not satisfied.</w:t>
            </w:r>
          </w:p>
        </w:tc>
        <w:tc>
          <w:tcPr>
            <w:tcW w:w="2430" w:type="dxa"/>
          </w:tcPr>
          <w:p w14:paraId="3B201B3C"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Depends on assets and structure.  The court-approved structured settlements are likely to convert into cash in a finite time period.  Depending on the terms of the annuities, those assets may or may not convert into cash in a finite time period.  Whether a transaction qualifies as an asset-backed security under Regulation AB will depend on the particular asset pool. </w:t>
            </w:r>
          </w:p>
        </w:tc>
        <w:tc>
          <w:tcPr>
            <w:tcW w:w="2610" w:type="dxa"/>
          </w:tcPr>
          <w:p w14:paraId="59C1A570"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Depends on assets and structure.  The court-approved structured settlements are likely to be considered self-liquidating assets.  Depending on the terms of the annuities, those assets may or may not be considered self-liquidating financial assets.  Whether a transaction qualifies as an asset-backed security under the 1934 Act definition will depend on the particular asset pool. </w:t>
            </w:r>
          </w:p>
        </w:tc>
      </w:tr>
      <w:tr w:rsidR="002B6EEF" w14:paraId="0FD00BE6" w14:textId="77777777" w:rsidTr="00785487">
        <w:tc>
          <w:tcPr>
            <w:tcW w:w="1710" w:type="dxa"/>
          </w:tcPr>
          <w:p w14:paraId="651D1B9A" w14:textId="77777777" w:rsidR="002B6EEF" w:rsidRPr="00D924F4" w:rsidRDefault="002B6EEF" w:rsidP="007B752D">
            <w:pPr>
              <w:jc w:val="center"/>
              <w:rPr>
                <w:b/>
                <w:bCs/>
                <w:color w:val="000000"/>
                <w:sz w:val="22"/>
                <w:szCs w:val="22"/>
              </w:rPr>
            </w:pPr>
            <w:r w:rsidRPr="00D924F4">
              <w:rPr>
                <w:b/>
                <w:bCs/>
                <w:color w:val="000000"/>
                <w:sz w:val="22"/>
                <w:szCs w:val="22"/>
              </w:rPr>
              <w:t>Asset Backed Security—Consumer loans</w:t>
            </w:r>
          </w:p>
        </w:tc>
        <w:tc>
          <w:tcPr>
            <w:tcW w:w="4590" w:type="dxa"/>
          </w:tcPr>
          <w:p w14:paraId="28B8D19E" w14:textId="77777777" w:rsidR="002B6EEF" w:rsidRPr="00D924F4" w:rsidRDefault="002B6EEF" w:rsidP="007B752D">
            <w:pPr>
              <w:rPr>
                <w:color w:val="000000"/>
                <w:sz w:val="22"/>
                <w:szCs w:val="22"/>
              </w:rPr>
            </w:pPr>
            <w:r w:rsidRPr="00D924F4">
              <w:rPr>
                <w:color w:val="000000"/>
                <w:sz w:val="22"/>
                <w:szCs w:val="22"/>
              </w:rPr>
              <w:t>Securities issued by an SPE that owns a pool of consumer loans (other than credit card, auto or student loans), either fixed or revolving, that generate contractual cash flows used to service and repay the securities.</w:t>
            </w:r>
          </w:p>
        </w:tc>
        <w:tc>
          <w:tcPr>
            <w:tcW w:w="2430" w:type="dxa"/>
          </w:tcPr>
          <w:p w14:paraId="554E58BD"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 as the loans by their terms typically convert into cash within a finite time period, and serve as the primary cash flow to the holders of the securities, e.g., a pool of consumer loans, subject to compliance with the restrictions on pool and structure set forth in the Regulation AB definition.</w:t>
            </w:r>
          </w:p>
        </w:tc>
        <w:tc>
          <w:tcPr>
            <w:tcW w:w="2610" w:type="dxa"/>
          </w:tcPr>
          <w:p w14:paraId="39AF294C"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 as the loans are typically self-liquidating financial assets that serve as the primary cash flow to the holders of the securities, e.g., a pool of consumer loans.  If the loan pool is not static (i.e., the deal is more of a future flow transaction), there could be an argument that it is not 1934 Act ABS.  Securitizations that permit new borrowings under existing lines of credit are not considered future flow.</w:t>
            </w:r>
          </w:p>
        </w:tc>
      </w:tr>
      <w:tr w:rsidR="002B6EEF" w14:paraId="5745A2A1" w14:textId="77777777" w:rsidTr="00785487">
        <w:tc>
          <w:tcPr>
            <w:tcW w:w="1710" w:type="dxa"/>
          </w:tcPr>
          <w:p w14:paraId="3B652E60" w14:textId="77777777" w:rsidR="002B6EEF" w:rsidRPr="00D924F4" w:rsidRDefault="002B6EEF" w:rsidP="007B752D">
            <w:pPr>
              <w:jc w:val="center"/>
              <w:rPr>
                <w:b/>
                <w:bCs/>
                <w:color w:val="000000"/>
                <w:sz w:val="22"/>
                <w:szCs w:val="22"/>
              </w:rPr>
            </w:pPr>
            <w:r w:rsidRPr="00D924F4">
              <w:rPr>
                <w:b/>
                <w:bCs/>
                <w:color w:val="000000"/>
                <w:sz w:val="22"/>
                <w:szCs w:val="22"/>
              </w:rPr>
              <w:t>Asset Backed Security—Home equity loans and lines of credit</w:t>
            </w:r>
          </w:p>
        </w:tc>
        <w:tc>
          <w:tcPr>
            <w:tcW w:w="4590" w:type="dxa"/>
          </w:tcPr>
          <w:p w14:paraId="33B0FF14" w14:textId="77777777" w:rsidR="002B6EEF" w:rsidRPr="00D924F4" w:rsidRDefault="002B6EEF" w:rsidP="007B752D">
            <w:pPr>
              <w:rPr>
                <w:color w:val="000000"/>
                <w:sz w:val="22"/>
                <w:szCs w:val="22"/>
              </w:rPr>
            </w:pPr>
            <w:r w:rsidRPr="00D924F4">
              <w:rPr>
                <w:color w:val="000000"/>
                <w:sz w:val="22"/>
                <w:szCs w:val="22"/>
              </w:rPr>
              <w:t>Securities issued by an SPE that owns a pool of home equity loans (static) or a pool of home equity lines of credit (revolving, sometimes using master trust technology) that generate contractual cash flows used to service and repay the securities.</w:t>
            </w:r>
          </w:p>
        </w:tc>
        <w:tc>
          <w:tcPr>
            <w:tcW w:w="2430" w:type="dxa"/>
          </w:tcPr>
          <w:p w14:paraId="283672D1"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Typically, yes, as the loans by their terms typically convert into cash within a finite time period and serve as the primary cash flow to the holders of the securities, e.g., a pool of home equity loans subject to compliance with the restrictions on pool and structure set forth in the </w:t>
            </w:r>
            <w:r w:rsidRPr="00D924F4">
              <w:rPr>
                <w:rFonts w:cs="Times New Roman"/>
                <w:sz w:val="22"/>
                <w:szCs w:val="22"/>
              </w:rPr>
              <w:lastRenderedPageBreak/>
              <w:t xml:space="preserve">Regulation AB definition.  </w:t>
            </w:r>
          </w:p>
        </w:tc>
        <w:tc>
          <w:tcPr>
            <w:tcW w:w="2610" w:type="dxa"/>
          </w:tcPr>
          <w:p w14:paraId="4BDF7984"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Typically, yes, as the loans are typically self-liquidating financial assets that serve as the primary cash flow to the holders of the securities, e.g., a pool of home equity loans.</w:t>
            </w:r>
          </w:p>
        </w:tc>
      </w:tr>
      <w:tr w:rsidR="002B6EEF" w14:paraId="7B9CEE27" w14:textId="77777777" w:rsidTr="00785487">
        <w:tc>
          <w:tcPr>
            <w:tcW w:w="1710" w:type="dxa"/>
          </w:tcPr>
          <w:p w14:paraId="257CE6FD" w14:textId="77777777" w:rsidR="002B6EEF" w:rsidRPr="00D924F4" w:rsidRDefault="002B6EEF" w:rsidP="007B752D">
            <w:pPr>
              <w:jc w:val="center"/>
              <w:rPr>
                <w:b/>
                <w:bCs/>
                <w:color w:val="000000"/>
                <w:sz w:val="22"/>
                <w:szCs w:val="22"/>
              </w:rPr>
            </w:pPr>
            <w:r w:rsidRPr="00D924F4">
              <w:rPr>
                <w:b/>
                <w:bCs/>
                <w:color w:val="000000"/>
                <w:sz w:val="22"/>
                <w:szCs w:val="22"/>
              </w:rPr>
              <w:t>Asset Backed Security—Venture Capital Backed Loans</w:t>
            </w:r>
          </w:p>
        </w:tc>
        <w:tc>
          <w:tcPr>
            <w:tcW w:w="4590" w:type="dxa"/>
          </w:tcPr>
          <w:p w14:paraId="43B62BFC" w14:textId="77777777" w:rsidR="002B6EEF" w:rsidRPr="00D924F4" w:rsidRDefault="002B6EEF" w:rsidP="007B752D">
            <w:pPr>
              <w:rPr>
                <w:color w:val="000000"/>
                <w:sz w:val="22"/>
                <w:szCs w:val="22"/>
              </w:rPr>
            </w:pPr>
            <w:r w:rsidRPr="00D924F4">
              <w:rPr>
                <w:color w:val="000000"/>
                <w:sz w:val="22"/>
                <w:szCs w:val="22"/>
              </w:rPr>
              <w:t>Securities issued by an SPE that owns a pool of venture capital loans.</w:t>
            </w:r>
          </w:p>
        </w:tc>
        <w:tc>
          <w:tcPr>
            <w:tcW w:w="2430" w:type="dxa"/>
          </w:tcPr>
          <w:p w14:paraId="3EC2459A"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 assuming the loans by their terms convert into cash, as opposed to equity interests (e.g., warrants or convertible debt)., subject to compliance with the restrictions on pool and structure set forth in the Regulation AB definition.</w:t>
            </w:r>
          </w:p>
        </w:tc>
        <w:tc>
          <w:tcPr>
            <w:tcW w:w="2610" w:type="dxa"/>
          </w:tcPr>
          <w:p w14:paraId="3DF503BB"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 assuming the loans are self-liquidating financial assets that by their terms convert into cash, as opposed to equity interests (e.g., warrants or convertible debt).</w:t>
            </w:r>
          </w:p>
        </w:tc>
      </w:tr>
      <w:tr w:rsidR="002B6EEF" w14:paraId="10D61446" w14:textId="77777777" w:rsidTr="00785487">
        <w:tc>
          <w:tcPr>
            <w:tcW w:w="1710" w:type="dxa"/>
          </w:tcPr>
          <w:p w14:paraId="4E694A79" w14:textId="77777777" w:rsidR="002B6EEF" w:rsidRPr="00D924F4" w:rsidRDefault="002B6EEF" w:rsidP="007B752D">
            <w:pPr>
              <w:jc w:val="center"/>
              <w:rPr>
                <w:b/>
                <w:bCs/>
                <w:color w:val="000000"/>
                <w:sz w:val="22"/>
                <w:szCs w:val="22"/>
              </w:rPr>
            </w:pPr>
            <w:r w:rsidRPr="00D924F4">
              <w:rPr>
                <w:b/>
                <w:bCs/>
                <w:color w:val="000000"/>
                <w:sz w:val="22"/>
                <w:szCs w:val="22"/>
              </w:rPr>
              <w:t>Asset Backed Security—Timeshare securitizations</w:t>
            </w:r>
          </w:p>
        </w:tc>
        <w:tc>
          <w:tcPr>
            <w:tcW w:w="4590" w:type="dxa"/>
          </w:tcPr>
          <w:p w14:paraId="385AEAFC" w14:textId="77777777" w:rsidR="002B6EEF" w:rsidRPr="00D924F4" w:rsidRDefault="002B6EEF" w:rsidP="007B752D">
            <w:pPr>
              <w:rPr>
                <w:color w:val="000000"/>
                <w:sz w:val="22"/>
                <w:szCs w:val="22"/>
              </w:rPr>
            </w:pPr>
            <w:r w:rsidRPr="00D924F4">
              <w:rPr>
                <w:color w:val="000000"/>
                <w:sz w:val="22"/>
                <w:szCs w:val="22"/>
              </w:rPr>
              <w:t xml:space="preserve">Securities issued by an SPE that holds promissory notes secured by mortgages that generate contractual cash flows used to service and repay the securities. The mortgages represent the purchase price of a timeshare interest in vacation properties. </w:t>
            </w:r>
          </w:p>
        </w:tc>
        <w:tc>
          <w:tcPr>
            <w:tcW w:w="2430" w:type="dxa"/>
          </w:tcPr>
          <w:p w14:paraId="12F59606"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Depends on type of structure, typically yes assuming the underlying assets are promissory notes secured by mortgages, which typically by their terms convert into cash within a finite time period.</w:t>
            </w:r>
          </w:p>
        </w:tc>
        <w:tc>
          <w:tcPr>
            <w:tcW w:w="2610" w:type="dxa"/>
          </w:tcPr>
          <w:p w14:paraId="72891ACD"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Depends on type of structure, typically yes assuming the underlying assets are promissory notes secured by mortgages, which are typically self-liquidating financial assets.</w:t>
            </w:r>
          </w:p>
        </w:tc>
      </w:tr>
      <w:tr w:rsidR="002B6EEF" w14:paraId="76AB31EB" w14:textId="77777777" w:rsidTr="00785487">
        <w:tc>
          <w:tcPr>
            <w:tcW w:w="1710" w:type="dxa"/>
          </w:tcPr>
          <w:p w14:paraId="7FD4872F" w14:textId="77777777" w:rsidR="002B6EEF" w:rsidRPr="00D924F4" w:rsidRDefault="002B6EEF" w:rsidP="007B752D">
            <w:pPr>
              <w:jc w:val="center"/>
              <w:rPr>
                <w:b/>
                <w:bCs/>
                <w:color w:val="000000"/>
                <w:sz w:val="22"/>
                <w:szCs w:val="22"/>
              </w:rPr>
            </w:pPr>
            <w:r w:rsidRPr="00D924F4">
              <w:rPr>
                <w:b/>
                <w:bCs/>
                <w:color w:val="000000"/>
                <w:sz w:val="22"/>
                <w:szCs w:val="22"/>
              </w:rPr>
              <w:t>Collateralized Loan Obligations (CLOs)</w:t>
            </w:r>
          </w:p>
        </w:tc>
        <w:tc>
          <w:tcPr>
            <w:tcW w:w="4590" w:type="dxa"/>
          </w:tcPr>
          <w:p w14:paraId="17531A67" w14:textId="77777777" w:rsidR="002B6EEF" w:rsidRPr="00D924F4" w:rsidRDefault="002B6EEF" w:rsidP="007B752D">
            <w:pPr>
              <w:rPr>
                <w:color w:val="000000"/>
                <w:sz w:val="22"/>
                <w:szCs w:val="22"/>
              </w:rPr>
            </w:pPr>
            <w:r w:rsidRPr="00D924F4">
              <w:rPr>
                <w:color w:val="000000"/>
                <w:sz w:val="22"/>
                <w:szCs w:val="22"/>
              </w:rPr>
              <w:t>Debt securities issued by an SPE that holds a pool of bank loans.  The capital structure of a CLO typically consists of a highly rated senior class, multiple subordinated classes (many of them still with an investment grade rating) and a junior class that receives all residual cash flow on the assets.  The cash flows from the loans, as well as sale proceeds to the extent not reinvested in new assets, are allocated to investors based on tranche seniority.  CLOs are typically actively managed by an investment manager (loans are actively purchased and sold during investment period).</w:t>
            </w:r>
          </w:p>
        </w:tc>
        <w:tc>
          <w:tcPr>
            <w:tcW w:w="2430" w:type="dxa"/>
          </w:tcPr>
          <w:p w14:paraId="6A288C80"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no, unless the securities are backed by a static pool of loans (balance sheet CLOs).  The active management of the asset pool in open market CLOs generally is inconsistent with the “discrete pool” requirement of Regulation AB.</w:t>
            </w:r>
          </w:p>
        </w:tc>
        <w:tc>
          <w:tcPr>
            <w:tcW w:w="2610" w:type="dxa"/>
          </w:tcPr>
          <w:p w14:paraId="30A2F559"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 but depends on structure.  If a CLO structure does not issue securities but instead enters into a credit agreement in which it borrows loans, then the loans may not constitute ABS under the 1934 Act definition.</w:t>
            </w:r>
          </w:p>
        </w:tc>
      </w:tr>
      <w:tr w:rsidR="002B6EEF" w14:paraId="5DDB67CD" w14:textId="77777777" w:rsidTr="00785487">
        <w:tc>
          <w:tcPr>
            <w:tcW w:w="1710" w:type="dxa"/>
          </w:tcPr>
          <w:p w14:paraId="20A6F55D" w14:textId="77777777" w:rsidR="002B6EEF" w:rsidRPr="00D924F4" w:rsidRDefault="002B6EEF" w:rsidP="007B752D">
            <w:pPr>
              <w:jc w:val="center"/>
              <w:rPr>
                <w:b/>
                <w:bCs/>
                <w:color w:val="000000"/>
                <w:sz w:val="22"/>
                <w:szCs w:val="22"/>
              </w:rPr>
            </w:pPr>
            <w:r w:rsidRPr="00D924F4">
              <w:rPr>
                <w:b/>
                <w:bCs/>
                <w:color w:val="000000"/>
                <w:sz w:val="22"/>
                <w:szCs w:val="22"/>
              </w:rPr>
              <w:t>Lease-Backed Securities—Auto Leases, Equipment Leases (health care, industrial/manufacturing, computers/tech),</w:t>
            </w:r>
          </w:p>
        </w:tc>
        <w:tc>
          <w:tcPr>
            <w:tcW w:w="4590" w:type="dxa"/>
          </w:tcPr>
          <w:p w14:paraId="401FC754" w14:textId="77777777" w:rsidR="002B6EEF" w:rsidRPr="00D924F4" w:rsidRDefault="002B6EEF" w:rsidP="007B752D">
            <w:pPr>
              <w:rPr>
                <w:color w:val="000000"/>
                <w:sz w:val="22"/>
                <w:szCs w:val="22"/>
              </w:rPr>
            </w:pPr>
            <w:r w:rsidRPr="00D924F4">
              <w:rPr>
                <w:color w:val="000000"/>
                <w:sz w:val="22"/>
                <w:szCs w:val="22"/>
              </w:rPr>
              <w:t xml:space="preserve">Securities issued by an SPE that owns a pool of leases on multiple assets.  The cash flows from the underlying leases in the pool are used to service and repay the securities.  Through the use of partitioning, the risk of defaults in the underlying collateral as well as prepayment risk is shared differently across different groups of debt holders (tranches) but uniformly within a tranche.  Often early losses are reallocated to a junior tranche, which then serves as a form of credit protection for the senior tranche.  Transactions typically have credit enhancement, which may be in the form of </w:t>
            </w:r>
            <w:r w:rsidRPr="00D924F4">
              <w:rPr>
                <w:color w:val="000000"/>
                <w:sz w:val="22"/>
                <w:szCs w:val="22"/>
              </w:rPr>
              <w:lastRenderedPageBreak/>
              <w:t xml:space="preserve">overcollateralization, subordinated securities, cash collateral or reserve accounts and/or priorities of payment that suspend payments to holders of subordinate interests if certain tests are not satisfied.   </w:t>
            </w:r>
          </w:p>
        </w:tc>
        <w:tc>
          <w:tcPr>
            <w:tcW w:w="2430" w:type="dxa"/>
          </w:tcPr>
          <w:p w14:paraId="1E2EB37D"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Depends on whether the residual value for automobiles exceeds the 65% threshold under the Regulation AB definition, and whether the residual value for other assets exceeds the 50% threshold (as well as satisfying the other pool and structuring </w:t>
            </w:r>
            <w:r w:rsidRPr="00D924F4">
              <w:rPr>
                <w:rFonts w:cs="Times New Roman"/>
                <w:sz w:val="22"/>
                <w:szCs w:val="22"/>
              </w:rPr>
              <w:lastRenderedPageBreak/>
              <w:t>characteristics required under Regulation AB)</w:t>
            </w:r>
          </w:p>
        </w:tc>
        <w:tc>
          <w:tcPr>
            <w:tcW w:w="2610" w:type="dxa"/>
          </w:tcPr>
          <w:p w14:paraId="00A89150"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Depends on whether the leases serve as the primary cash flow to the holders of the securities, rather than the re-leasing, selling or otherwise disposing of the automobiles or other equipment.</w:t>
            </w:r>
          </w:p>
        </w:tc>
      </w:tr>
      <w:tr w:rsidR="002B6EEF" w14:paraId="2F4A62B6" w14:textId="77777777" w:rsidTr="00785487">
        <w:tc>
          <w:tcPr>
            <w:tcW w:w="1710" w:type="dxa"/>
          </w:tcPr>
          <w:p w14:paraId="452A1717" w14:textId="77777777" w:rsidR="002B6EEF" w:rsidRPr="00D924F4" w:rsidRDefault="002B6EEF" w:rsidP="007B752D">
            <w:pPr>
              <w:jc w:val="center"/>
              <w:rPr>
                <w:b/>
                <w:bCs/>
                <w:color w:val="000000"/>
                <w:sz w:val="22"/>
                <w:szCs w:val="22"/>
              </w:rPr>
            </w:pPr>
            <w:r w:rsidRPr="00D924F4">
              <w:rPr>
                <w:b/>
                <w:bCs/>
                <w:color w:val="000000"/>
                <w:sz w:val="22"/>
                <w:szCs w:val="22"/>
              </w:rPr>
              <w:t>Lease-Backed Securities -Residential and commercial solar</w:t>
            </w:r>
          </w:p>
        </w:tc>
        <w:tc>
          <w:tcPr>
            <w:tcW w:w="4590" w:type="dxa"/>
          </w:tcPr>
          <w:p w14:paraId="7AC496B5" w14:textId="77777777" w:rsidR="002B6EEF" w:rsidRPr="00D924F4" w:rsidRDefault="002B6EEF" w:rsidP="007B752D">
            <w:pPr>
              <w:rPr>
                <w:color w:val="000000"/>
                <w:sz w:val="22"/>
                <w:szCs w:val="22"/>
              </w:rPr>
            </w:pPr>
            <w:r w:rsidRPr="00D924F4">
              <w:rPr>
                <w:color w:val="000000"/>
                <w:sz w:val="22"/>
                <w:szCs w:val="22"/>
              </w:rPr>
              <w:t xml:space="preserve">Debt issued by an SPE that owns an equity interest in a number (usually 5-10 in each transaction) of limited liability company subsidiaries (the “LLCs”) which own and lease solar panels on residential properties as well commercial industrial. Although the insurer's investment is directly in the SPE that owns the equity interest, the cash flows are still contractual since the residential property owners/commercial borrower make lease payments on the solar payments based on contractual agreements. The underlying limited liability companies are typically established with shared ownership with a tax equity investor but are managed by an affiliate of the Issuer.  The LLCs each have provisions in their organizational documents setting out application of expenses and sharing of revenue with the tax equity investor such that, effectively, the SPE issues debt directly backed by cash flows (and indirectly backed by solar panels and related customer agreements) that represent the profits of the LLCs.   These transactions are typically tranched with different waterfall priorities.  </w:t>
            </w:r>
          </w:p>
        </w:tc>
        <w:tc>
          <w:tcPr>
            <w:tcW w:w="2430" w:type="dxa"/>
          </w:tcPr>
          <w:p w14:paraId="62D69749"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Depends on structure.  Although the leases convert to cash in a finite time period, the interposition of the LLCs may make Regulation AB unavailable.</w:t>
            </w:r>
          </w:p>
        </w:tc>
        <w:tc>
          <w:tcPr>
            <w:tcW w:w="2610" w:type="dxa"/>
          </w:tcPr>
          <w:p w14:paraId="5D76BD56"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Depends on structure.  The leases are typically self-liquidating financial assets, and for purposes of satisfying the regulatory intention of the 1934 Act definition to require risk retention, regulators may look through intervening LLC structures.  The market treats them as subject to risk retention.</w:t>
            </w:r>
          </w:p>
        </w:tc>
      </w:tr>
      <w:tr w:rsidR="002B6EEF" w14:paraId="30B51ED6" w14:textId="77777777" w:rsidTr="00785487">
        <w:tc>
          <w:tcPr>
            <w:tcW w:w="1710" w:type="dxa"/>
          </w:tcPr>
          <w:p w14:paraId="53B9AB1F" w14:textId="77777777" w:rsidR="002B6EEF" w:rsidRPr="00D924F4" w:rsidRDefault="002B6EEF" w:rsidP="007B752D">
            <w:pPr>
              <w:jc w:val="center"/>
              <w:rPr>
                <w:b/>
                <w:bCs/>
                <w:color w:val="000000"/>
                <w:sz w:val="22"/>
                <w:szCs w:val="22"/>
              </w:rPr>
            </w:pPr>
            <w:r w:rsidRPr="00D924F4">
              <w:rPr>
                <w:b/>
                <w:bCs/>
                <w:color w:val="000000"/>
                <w:sz w:val="22"/>
                <w:szCs w:val="22"/>
              </w:rPr>
              <w:t>Lease-Backed Securities -Aircraft</w:t>
            </w:r>
          </w:p>
        </w:tc>
        <w:tc>
          <w:tcPr>
            <w:tcW w:w="4590" w:type="dxa"/>
          </w:tcPr>
          <w:p w14:paraId="14E69749" w14:textId="77777777" w:rsidR="002B6EEF" w:rsidRPr="00D924F4" w:rsidRDefault="002B6EEF" w:rsidP="007B752D">
            <w:pPr>
              <w:rPr>
                <w:color w:val="000000"/>
                <w:sz w:val="22"/>
                <w:szCs w:val="22"/>
              </w:rPr>
            </w:pPr>
            <w:r w:rsidRPr="00D924F4">
              <w:rPr>
                <w:color w:val="000000"/>
                <w:sz w:val="22"/>
                <w:szCs w:val="22"/>
              </w:rPr>
              <w:t>Securities issued from an SPE which typically owns some combination of aircraft, leases, loans, or equity interests in wholly owned subsidiaries that own such aircraft, leases or loans.  Assets may be held in a variety of non-US entities to satisfy foreign licensing requirements or because retitling them in the US is cost prohibitive.   The equipment is typically leased to multiple entities and is subject to significant re-leasing risk. The cash flows from the underlying leases and assets in the pool are used to service and repay the debt.</w:t>
            </w:r>
          </w:p>
          <w:p w14:paraId="6D4688E2" w14:textId="77777777" w:rsidR="002B6EEF" w:rsidRPr="00D924F4" w:rsidRDefault="002B6EEF" w:rsidP="007B752D">
            <w:pPr>
              <w:rPr>
                <w:color w:val="000000"/>
                <w:sz w:val="22"/>
                <w:szCs w:val="22"/>
              </w:rPr>
            </w:pPr>
          </w:p>
          <w:p w14:paraId="45FE3D3D" w14:textId="77777777" w:rsidR="002B6EEF" w:rsidRPr="00D924F4" w:rsidRDefault="002B6EEF" w:rsidP="007B752D">
            <w:pPr>
              <w:rPr>
                <w:color w:val="000000"/>
                <w:sz w:val="22"/>
                <w:szCs w:val="22"/>
              </w:rPr>
            </w:pPr>
          </w:p>
          <w:p w14:paraId="45801FCE" w14:textId="77777777" w:rsidR="002B6EEF" w:rsidRPr="00D924F4" w:rsidRDefault="002B6EEF" w:rsidP="007B752D">
            <w:pPr>
              <w:rPr>
                <w:color w:val="000000"/>
                <w:sz w:val="22"/>
                <w:szCs w:val="22"/>
              </w:rPr>
            </w:pPr>
            <w:r w:rsidRPr="00D924F4">
              <w:rPr>
                <w:color w:val="000000"/>
                <w:sz w:val="22"/>
                <w:szCs w:val="22"/>
              </w:rPr>
              <w:t xml:space="preserve">Through the use of partitioning, the risk of defaults in the underlying collateral as well as prepayment risk is shared differently across different groups of debt holders (tranches) but uniformly within a tranche.  Often early losses are reallocated to a junior tranche, which then serves as a form of credit protection for the senior tranche. Transactions typically have credit enhancement, which may be in the form of </w:t>
            </w:r>
            <w:r w:rsidRPr="00D924F4">
              <w:rPr>
                <w:color w:val="000000"/>
                <w:sz w:val="22"/>
                <w:szCs w:val="22"/>
              </w:rPr>
              <w:lastRenderedPageBreak/>
              <w:t xml:space="preserve">overcollateralization, subordinated securities, cash collateral or reserve accounts and/or priorities of payment that suspend payments to holders of subordinate interests if certain tests are not satisfied. </w:t>
            </w:r>
          </w:p>
        </w:tc>
        <w:tc>
          <w:tcPr>
            <w:tcW w:w="2430" w:type="dxa"/>
          </w:tcPr>
          <w:p w14:paraId="5F510916" w14:textId="77777777" w:rsidR="002B6EEF" w:rsidRPr="00D924F4" w:rsidRDefault="002B6EEF" w:rsidP="00A44FA7">
            <w:pPr>
              <w:pStyle w:val="ListContinue"/>
              <w:numPr>
                <w:ilvl w:val="0"/>
                <w:numId w:val="0"/>
              </w:numPr>
              <w:rPr>
                <w:sz w:val="22"/>
                <w:szCs w:val="22"/>
              </w:rPr>
            </w:pPr>
            <w:r w:rsidRPr="00D924F4">
              <w:rPr>
                <w:sz w:val="22"/>
                <w:szCs w:val="22"/>
              </w:rPr>
              <w:lastRenderedPageBreak/>
              <w:t>Depends on type of structure.</w:t>
            </w:r>
          </w:p>
          <w:p w14:paraId="42D6765F" w14:textId="77777777" w:rsidR="002B6EEF" w:rsidRPr="00D924F4" w:rsidRDefault="002B6EEF" w:rsidP="00A44FA7">
            <w:pPr>
              <w:pStyle w:val="ListContinue"/>
              <w:numPr>
                <w:ilvl w:val="0"/>
                <w:numId w:val="0"/>
              </w:numPr>
              <w:rPr>
                <w:sz w:val="22"/>
                <w:szCs w:val="22"/>
              </w:rPr>
            </w:pPr>
            <w:r w:rsidRPr="00D924F4">
              <w:rPr>
                <w:sz w:val="22"/>
                <w:szCs w:val="22"/>
              </w:rPr>
              <w:t>Securitization of loans (SPV holds a portfolio of loans): Typically, yes, as the loans by their terms typically convert into cash within a finite time period and serve as the primary cash flow to the holders of the securities, subject to compliance with the restrictions on pool and structure set forth in the Regulation AB definition.</w:t>
            </w:r>
          </w:p>
          <w:p w14:paraId="3887EB23"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Securitization of aircraft and leases (SPV holds a portfolio of aircraft and related leases): it </w:t>
            </w:r>
            <w:r w:rsidRPr="00D924F4">
              <w:rPr>
                <w:rFonts w:cs="Times New Roman"/>
                <w:sz w:val="22"/>
                <w:szCs w:val="22"/>
              </w:rPr>
              <w:lastRenderedPageBreak/>
              <w:t>depends on the structure. If the leases are short-term and do not serve as the primary cash flow to the holders of the securities, but rather the cash flow primarily depends on re-leasing, selling or otherwise disposing of the underlying aircraft, and the residual value of the aircrafts exceeds the 50% threshold under Regulation AB, and other aspects of the structure are inconsistent with Regulation AB, then typically no.</w:t>
            </w:r>
          </w:p>
        </w:tc>
        <w:tc>
          <w:tcPr>
            <w:tcW w:w="2610" w:type="dxa"/>
          </w:tcPr>
          <w:p w14:paraId="51546246" w14:textId="77777777" w:rsidR="002B6EEF" w:rsidRPr="00D924F4" w:rsidRDefault="002B6EEF" w:rsidP="007B752D">
            <w:pPr>
              <w:pStyle w:val="BodyText1"/>
              <w:ind w:hanging="19"/>
              <w:rPr>
                <w:rFonts w:cs="Times New Roman"/>
                <w:sz w:val="22"/>
                <w:szCs w:val="22"/>
              </w:rPr>
            </w:pPr>
            <w:r w:rsidRPr="00D924F4">
              <w:rPr>
                <w:rFonts w:cs="Times New Roman"/>
                <w:sz w:val="22"/>
                <w:szCs w:val="22"/>
              </w:rPr>
              <w:lastRenderedPageBreak/>
              <w:t>Depends on type of structure.</w:t>
            </w:r>
          </w:p>
          <w:p w14:paraId="2D4AF8FD" w14:textId="77777777" w:rsidR="002B6EEF" w:rsidRPr="00D924F4" w:rsidRDefault="002B6EEF" w:rsidP="007B752D">
            <w:pPr>
              <w:pStyle w:val="BodyText1"/>
              <w:ind w:hanging="19"/>
              <w:rPr>
                <w:rFonts w:cs="Times New Roman"/>
                <w:sz w:val="22"/>
                <w:szCs w:val="22"/>
              </w:rPr>
            </w:pPr>
            <w:r w:rsidRPr="00D924F4">
              <w:rPr>
                <w:rFonts w:cs="Times New Roman"/>
                <w:sz w:val="22"/>
                <w:szCs w:val="22"/>
              </w:rPr>
              <w:t>Securitization of loans (SPV holds a portfolio of loans):  Typically, yes, as the loans are typically self-liquidating financial assets that serve as the primary cash flow to the holders of the securities.</w:t>
            </w:r>
          </w:p>
          <w:p w14:paraId="303EC86B"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Securitization of aircraft and leases (SPV holds a portfolio of aircraft and related leases): it depends on the structure. If the leases are short-term and do not serve as the primary cash flow to the holders of the securities, but rather the cash flow primarily </w:t>
            </w:r>
            <w:r w:rsidRPr="00D924F4">
              <w:rPr>
                <w:rFonts w:cs="Times New Roman"/>
                <w:sz w:val="22"/>
                <w:szCs w:val="22"/>
              </w:rPr>
              <w:lastRenderedPageBreak/>
              <w:t>depends on re-leasing, selling or otherwise disposing of the underlying aircraft, typically no.</w:t>
            </w:r>
          </w:p>
          <w:p w14:paraId="739B87C9"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We note that aircraft securitizations backed by the full faith and credit of the United States may be less likely to be 1934 Act asset-backed securities, because they are less likely to depend for payment primarily on the cash flow from self-liquidating financial assets.</w:t>
            </w:r>
          </w:p>
        </w:tc>
      </w:tr>
      <w:tr w:rsidR="002B6EEF" w14:paraId="4A1A8B06" w14:textId="77777777" w:rsidTr="00785487">
        <w:tc>
          <w:tcPr>
            <w:tcW w:w="1710" w:type="dxa"/>
          </w:tcPr>
          <w:p w14:paraId="2F6CB21D" w14:textId="77777777" w:rsidR="002B6EEF" w:rsidRPr="00D924F4" w:rsidRDefault="002B6EEF" w:rsidP="007B752D">
            <w:pPr>
              <w:jc w:val="center"/>
              <w:rPr>
                <w:b/>
                <w:bCs/>
                <w:color w:val="000000"/>
                <w:sz w:val="22"/>
                <w:szCs w:val="22"/>
              </w:rPr>
            </w:pPr>
            <w:r w:rsidRPr="00D924F4">
              <w:rPr>
                <w:b/>
                <w:bCs/>
                <w:color w:val="000000"/>
                <w:sz w:val="22"/>
                <w:szCs w:val="22"/>
              </w:rPr>
              <w:lastRenderedPageBreak/>
              <w:t>Lease-Backed Securities -Railcars</w:t>
            </w:r>
          </w:p>
        </w:tc>
        <w:tc>
          <w:tcPr>
            <w:tcW w:w="4590" w:type="dxa"/>
          </w:tcPr>
          <w:p w14:paraId="77F9C91D" w14:textId="77777777" w:rsidR="002B6EEF" w:rsidRPr="00D924F4" w:rsidRDefault="002B6EEF" w:rsidP="007B752D">
            <w:pPr>
              <w:rPr>
                <w:color w:val="000000"/>
                <w:sz w:val="22"/>
                <w:szCs w:val="22"/>
              </w:rPr>
            </w:pPr>
            <w:r w:rsidRPr="00D924F4">
              <w:rPr>
                <w:color w:val="000000"/>
                <w:sz w:val="22"/>
                <w:szCs w:val="22"/>
              </w:rPr>
              <w:t>Securities issued from a special purpose entity which typically owns some combination of railcars and leases on such railcars.  The equipment is leased to multiple entities and is subject to significant re-leasing risk. The cash flows from the underlying leases and assets in the pool are used to service and repay the debt.</w:t>
            </w:r>
          </w:p>
          <w:p w14:paraId="44A561C9" w14:textId="77777777" w:rsidR="002B6EEF" w:rsidRPr="00D924F4" w:rsidRDefault="002B6EEF" w:rsidP="007B752D">
            <w:pPr>
              <w:rPr>
                <w:color w:val="000000"/>
                <w:sz w:val="22"/>
                <w:szCs w:val="22"/>
              </w:rPr>
            </w:pPr>
          </w:p>
          <w:p w14:paraId="17A5266D" w14:textId="77777777" w:rsidR="002B6EEF" w:rsidRPr="00D924F4" w:rsidRDefault="002B6EEF" w:rsidP="007B752D">
            <w:pPr>
              <w:rPr>
                <w:color w:val="000000"/>
                <w:sz w:val="22"/>
                <w:szCs w:val="22"/>
              </w:rPr>
            </w:pPr>
            <w:r w:rsidRPr="00D924F4">
              <w:rPr>
                <w:color w:val="000000"/>
                <w:sz w:val="22"/>
                <w:szCs w:val="22"/>
              </w:rPr>
              <w:t>Through the use of partitioning,</w:t>
            </w:r>
            <w:r w:rsidRPr="00D924F4">
              <w:rPr>
                <w:sz w:val="22"/>
                <w:szCs w:val="22"/>
              </w:rPr>
              <w:t xml:space="preserve"> t</w:t>
            </w:r>
            <w:r w:rsidRPr="00D924F4">
              <w:rPr>
                <w:color w:val="000000"/>
                <w:sz w:val="22"/>
                <w:szCs w:val="22"/>
              </w:rPr>
              <w:t>he risk of defaults in the underlying collateral as well as prepayment risk is shared differently across different groups of debt holders (tranches) but uniformly within a tranche.  Often early losses are reallocated to a junior tranche, which then serves as a form of credit protection for the senior tranche. Transactions typically have credit enhancement, which may be in the form of overcollateralization, subordinated securities, cash collateral or reserve accounts and/or priorities of payment that suspend payments to holders of subordinate interests if certain tests are not satisfied.  Securities may also be issued as a single tranche on a pass-through basis.</w:t>
            </w:r>
          </w:p>
        </w:tc>
        <w:tc>
          <w:tcPr>
            <w:tcW w:w="2430" w:type="dxa"/>
          </w:tcPr>
          <w:p w14:paraId="35BFE53C"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Depends on the terms of the leases and the maturity of the securities.  Typically, yes, if the payments on the securities are tied to the expected cash flows on the existing lease portfolio at the time of securitization, subject to compliance with the restrictions on pool and structure set forth in the Regulation AB definition.</w:t>
            </w:r>
          </w:p>
          <w:p w14:paraId="1DCA0D22" w14:textId="73786503" w:rsidR="002B6EEF" w:rsidRPr="00D924F4" w:rsidRDefault="002B6EEF" w:rsidP="007B752D">
            <w:pPr>
              <w:pStyle w:val="BodyText1"/>
              <w:ind w:firstLine="0"/>
              <w:rPr>
                <w:rFonts w:cs="Times New Roman"/>
                <w:sz w:val="22"/>
                <w:szCs w:val="22"/>
              </w:rPr>
            </w:pPr>
            <w:r w:rsidRPr="00D924F4">
              <w:rPr>
                <w:rFonts w:cs="Times New Roman"/>
                <w:sz w:val="22"/>
                <w:szCs w:val="22"/>
              </w:rPr>
              <w:t>Typically, no, if the leases are short-term and do not serve as the primary cash flow to the holders of the securities, but rather the cash flow primarily depends on re-leasing, selling or otherwise disposing of the rail cars.</w:t>
            </w:r>
          </w:p>
        </w:tc>
        <w:tc>
          <w:tcPr>
            <w:tcW w:w="2610" w:type="dxa"/>
          </w:tcPr>
          <w:p w14:paraId="6B669F20"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Depends on the terms of the leases and the maturity of the securities.  Typically, yes, if the payments on the securities are tied to the expected cash flows on the existing lease portfolio at the time of securitization.</w:t>
            </w:r>
          </w:p>
          <w:p w14:paraId="5AF37D4B"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 Typically, no, if the leases are short-term and do not serve as the primary cash flow to the holders of the securities, but rather the cash flow primarily depends on re-leasing, selling or otherwise disposing of the rail cars.</w:t>
            </w:r>
          </w:p>
        </w:tc>
      </w:tr>
      <w:tr w:rsidR="002B6EEF" w14:paraId="73C7A971" w14:textId="77777777" w:rsidTr="00785487">
        <w:tc>
          <w:tcPr>
            <w:tcW w:w="1710" w:type="dxa"/>
          </w:tcPr>
          <w:p w14:paraId="77544AC8" w14:textId="77777777" w:rsidR="002B6EEF" w:rsidRPr="00D924F4" w:rsidRDefault="002B6EEF" w:rsidP="007B752D">
            <w:pPr>
              <w:jc w:val="center"/>
              <w:rPr>
                <w:b/>
                <w:bCs/>
                <w:color w:val="000000"/>
                <w:sz w:val="22"/>
                <w:szCs w:val="22"/>
              </w:rPr>
            </w:pPr>
            <w:r w:rsidRPr="00D924F4">
              <w:rPr>
                <w:b/>
                <w:bCs/>
                <w:color w:val="000000"/>
                <w:sz w:val="22"/>
                <w:szCs w:val="22"/>
              </w:rPr>
              <w:t>Lease-Backed Securities- Containers</w:t>
            </w:r>
          </w:p>
        </w:tc>
        <w:tc>
          <w:tcPr>
            <w:tcW w:w="4590" w:type="dxa"/>
          </w:tcPr>
          <w:p w14:paraId="77C5C02E" w14:textId="77777777" w:rsidR="002B6EEF" w:rsidRPr="00D924F4" w:rsidRDefault="002B6EEF" w:rsidP="007B752D">
            <w:pPr>
              <w:rPr>
                <w:color w:val="000000"/>
                <w:sz w:val="22"/>
                <w:szCs w:val="22"/>
              </w:rPr>
            </w:pPr>
            <w:r w:rsidRPr="00D924F4">
              <w:rPr>
                <w:color w:val="000000"/>
                <w:sz w:val="22"/>
                <w:szCs w:val="22"/>
              </w:rPr>
              <w:t xml:space="preserve">Securities issued from a special purpose entity which typically owns some combination of containers, leases on such containers and equity interests in wholly owned subsidiaries that own </w:t>
            </w:r>
            <w:r w:rsidRPr="00D924F4">
              <w:rPr>
                <w:color w:val="000000"/>
                <w:sz w:val="22"/>
                <w:szCs w:val="22"/>
              </w:rPr>
              <w:lastRenderedPageBreak/>
              <w:t>such containers.  The equipment is leased to multiple entities and is subject to significant releasing risk.</w:t>
            </w:r>
            <w:r w:rsidRPr="00D924F4">
              <w:rPr>
                <w:sz w:val="22"/>
                <w:szCs w:val="22"/>
              </w:rPr>
              <w:t xml:space="preserve"> </w:t>
            </w:r>
            <w:r w:rsidRPr="00D924F4">
              <w:rPr>
                <w:color w:val="000000"/>
                <w:sz w:val="22"/>
                <w:szCs w:val="22"/>
              </w:rPr>
              <w:t>The cash flows from the underlying leases and assets in the pool are used to service and repay the debt.</w:t>
            </w:r>
          </w:p>
          <w:p w14:paraId="786AA9B5" w14:textId="77777777" w:rsidR="002B6EEF" w:rsidRPr="00D924F4" w:rsidRDefault="002B6EEF" w:rsidP="007B752D">
            <w:pPr>
              <w:rPr>
                <w:color w:val="000000"/>
                <w:sz w:val="22"/>
                <w:szCs w:val="22"/>
              </w:rPr>
            </w:pPr>
          </w:p>
          <w:p w14:paraId="2EFD6E7B" w14:textId="77777777" w:rsidR="002B6EEF" w:rsidRPr="00D924F4" w:rsidRDefault="002B6EEF" w:rsidP="007B752D">
            <w:pPr>
              <w:rPr>
                <w:color w:val="000000"/>
                <w:sz w:val="22"/>
                <w:szCs w:val="22"/>
              </w:rPr>
            </w:pPr>
            <w:r w:rsidRPr="00D924F4">
              <w:rPr>
                <w:color w:val="000000"/>
                <w:sz w:val="22"/>
                <w:szCs w:val="22"/>
              </w:rPr>
              <w:t xml:space="preserve">Through the use of partitioning, the risk of defaults in the underlying collateral as well as prepayment risk is shared differently across different groups of debt holders (tranches) but uniformly within a tranche.  Often early losses are reallocated to a junior tranche, which then serves as a form of credit protection for the senior tranche. Transactions typically have credit enhancement, which may be in the form of overcollateralization, subordinated securities, cash collateral or reserve accounts and/or priorities of payment that suspend payments to holders of subordinate interests if certain tests are not satisfied.  </w:t>
            </w:r>
          </w:p>
        </w:tc>
        <w:tc>
          <w:tcPr>
            <w:tcW w:w="2430" w:type="dxa"/>
          </w:tcPr>
          <w:p w14:paraId="4B84238C"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It depends. If the leases are short-term and do not serve as the primary cash flow to the holders </w:t>
            </w:r>
            <w:r w:rsidRPr="00D924F4">
              <w:rPr>
                <w:rFonts w:cs="Times New Roman"/>
                <w:sz w:val="22"/>
                <w:szCs w:val="22"/>
              </w:rPr>
              <w:lastRenderedPageBreak/>
              <w:t>of the securities, but rather the cash flow primarily depends on re-leasing, selling or otherwise disposing of the containers, typically no.  If the residual value of the physical assets does not exceed the 50% threshold of the Regulation AB definition, then may be in scope.</w:t>
            </w:r>
          </w:p>
        </w:tc>
        <w:tc>
          <w:tcPr>
            <w:tcW w:w="2610" w:type="dxa"/>
          </w:tcPr>
          <w:p w14:paraId="27549AE9"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It depends. If the leases are short-term and do not serve as the primary cash flow to the holders of the </w:t>
            </w:r>
            <w:r w:rsidRPr="00D924F4">
              <w:rPr>
                <w:rFonts w:cs="Times New Roman"/>
                <w:sz w:val="22"/>
                <w:szCs w:val="22"/>
              </w:rPr>
              <w:lastRenderedPageBreak/>
              <w:t>securities, but rather the cash flow primarily depends on re-leasing, selling or otherwise disposing of the containers, typically no.</w:t>
            </w:r>
          </w:p>
        </w:tc>
      </w:tr>
      <w:tr w:rsidR="002B6EEF" w14:paraId="0FFAE0F6" w14:textId="77777777" w:rsidTr="00785487">
        <w:tc>
          <w:tcPr>
            <w:tcW w:w="1710" w:type="dxa"/>
          </w:tcPr>
          <w:p w14:paraId="4DBC5B39" w14:textId="77777777" w:rsidR="002B6EEF" w:rsidRPr="00D924F4" w:rsidRDefault="002B6EEF" w:rsidP="007B752D">
            <w:pPr>
              <w:jc w:val="center"/>
              <w:rPr>
                <w:b/>
                <w:bCs/>
                <w:color w:val="000000"/>
                <w:sz w:val="22"/>
                <w:szCs w:val="22"/>
              </w:rPr>
            </w:pPr>
            <w:r w:rsidRPr="00D924F4">
              <w:rPr>
                <w:b/>
                <w:bCs/>
                <w:color w:val="000000"/>
                <w:sz w:val="22"/>
                <w:szCs w:val="22"/>
              </w:rPr>
              <w:lastRenderedPageBreak/>
              <w:t>Lease-Backed Securities -Triple net leases</w:t>
            </w:r>
          </w:p>
        </w:tc>
        <w:tc>
          <w:tcPr>
            <w:tcW w:w="4590" w:type="dxa"/>
          </w:tcPr>
          <w:p w14:paraId="4E046742" w14:textId="77777777" w:rsidR="002B6EEF" w:rsidRPr="00D924F4" w:rsidRDefault="002B6EEF" w:rsidP="007B752D">
            <w:pPr>
              <w:rPr>
                <w:color w:val="000000"/>
                <w:sz w:val="22"/>
                <w:szCs w:val="22"/>
              </w:rPr>
            </w:pPr>
            <w:r w:rsidRPr="00D924F4">
              <w:rPr>
                <w:color w:val="000000"/>
                <w:sz w:val="22"/>
                <w:szCs w:val="22"/>
              </w:rPr>
              <w:t>Securities are issued by an SPE that holds property interests and a pool of triple net leases.  Similar to CMBS, but with leases, rather than a mortgage loan, on the property constituting the primary financial asset.</w:t>
            </w:r>
          </w:p>
        </w:tc>
        <w:tc>
          <w:tcPr>
            <w:tcW w:w="2430" w:type="dxa"/>
          </w:tcPr>
          <w:p w14:paraId="19FA28BE" w14:textId="77777777" w:rsidR="002B6EEF" w:rsidRPr="00D924F4" w:rsidRDefault="002B6EEF" w:rsidP="00A44FA7">
            <w:pPr>
              <w:pStyle w:val="ListContinue"/>
              <w:numPr>
                <w:ilvl w:val="0"/>
                <w:numId w:val="0"/>
              </w:numPr>
              <w:rPr>
                <w:sz w:val="22"/>
                <w:szCs w:val="22"/>
              </w:rPr>
            </w:pPr>
            <w:r w:rsidRPr="00D924F4">
              <w:rPr>
                <w:sz w:val="22"/>
                <w:szCs w:val="22"/>
              </w:rPr>
              <w:t>Depends on the transaction. Transactions may have long-term leases that serve as the primary cash flow to the holders of the securities, rather than the cash flow depending primarily on re-leasing, selling or otherwise disposing of the underlying real estate, so may be considered in scope.  If the transaction has short-term leases that do not serve as the primary cash flow, then it may not be considered in scope.   In addition, depends on whether the residual value of the underlying real estate exceeds the 50% threshold under the Regulation AB definition and other collateral and structural conditions are satisfied.</w:t>
            </w:r>
          </w:p>
          <w:p w14:paraId="2CF9CBBA"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Securitization of leases only and not the underlying real estate: </w:t>
            </w:r>
            <w:r w:rsidRPr="00D924F4">
              <w:rPr>
                <w:rFonts w:cs="Times New Roman"/>
                <w:sz w:val="22"/>
                <w:szCs w:val="22"/>
              </w:rPr>
              <w:lastRenderedPageBreak/>
              <w:t>Yes, assuming the leases serve as the primary cash flow to the holders of the securities, subject to compliance with the restrictions on pool and structure set forth in the Regulation AB definition.</w:t>
            </w:r>
          </w:p>
        </w:tc>
        <w:tc>
          <w:tcPr>
            <w:tcW w:w="2610" w:type="dxa"/>
          </w:tcPr>
          <w:p w14:paraId="06097C16" w14:textId="50E973D3" w:rsidR="002B6EEF" w:rsidRPr="00D924F4" w:rsidRDefault="002B6EEF" w:rsidP="00A44FA7">
            <w:pPr>
              <w:pStyle w:val="ListContinue"/>
              <w:numPr>
                <w:ilvl w:val="0"/>
                <w:numId w:val="0"/>
              </w:numPr>
              <w:rPr>
                <w:sz w:val="22"/>
                <w:szCs w:val="22"/>
              </w:rPr>
            </w:pPr>
            <w:r w:rsidRPr="00D924F4">
              <w:rPr>
                <w:sz w:val="22"/>
                <w:szCs w:val="22"/>
              </w:rPr>
              <w:lastRenderedPageBreak/>
              <w:t>Depends on the transaction. Transactions may have long-term leases that serve as the primary cash flow to the holders of the securities, rather than the cash flow depending primarily on re-leasing, selling or otherwise disposing of the underlying real</w:t>
            </w:r>
            <w:r w:rsidR="00A44FA7" w:rsidRPr="00D924F4">
              <w:rPr>
                <w:sz w:val="22"/>
                <w:szCs w:val="22"/>
              </w:rPr>
              <w:t xml:space="preserve"> </w:t>
            </w:r>
            <w:r w:rsidRPr="00D924F4">
              <w:rPr>
                <w:sz w:val="22"/>
                <w:szCs w:val="22"/>
              </w:rPr>
              <w:t xml:space="preserve">estate, so may be considered in scope.  If the transaction has short-term leases that do not serve as the primary cash flow, then it may not be considered in scope. </w:t>
            </w:r>
          </w:p>
          <w:p w14:paraId="34E9FF7B"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Securitization of leases only and not the underlying real estate: Yes, assuming the leases serve as the primary cash flow to the holders of the securities.</w:t>
            </w:r>
          </w:p>
        </w:tc>
      </w:tr>
      <w:tr w:rsidR="002B6EEF" w14:paraId="74E1128D" w14:textId="77777777" w:rsidTr="00785487">
        <w:tc>
          <w:tcPr>
            <w:tcW w:w="1710" w:type="dxa"/>
          </w:tcPr>
          <w:p w14:paraId="2694F797" w14:textId="77777777" w:rsidR="002B6EEF" w:rsidRPr="00D924F4" w:rsidRDefault="002B6EEF" w:rsidP="007B752D">
            <w:pPr>
              <w:jc w:val="center"/>
              <w:rPr>
                <w:b/>
                <w:bCs/>
                <w:color w:val="000000"/>
                <w:sz w:val="22"/>
                <w:szCs w:val="22"/>
              </w:rPr>
            </w:pPr>
            <w:r w:rsidRPr="00D924F4">
              <w:rPr>
                <w:b/>
                <w:bCs/>
                <w:color w:val="000000"/>
                <w:sz w:val="22"/>
                <w:szCs w:val="22"/>
              </w:rPr>
              <w:t>Lease-Backed Securities -Single family rental</w:t>
            </w:r>
          </w:p>
        </w:tc>
        <w:tc>
          <w:tcPr>
            <w:tcW w:w="4590" w:type="dxa"/>
          </w:tcPr>
          <w:p w14:paraId="3BEB1480" w14:textId="77777777" w:rsidR="002B6EEF" w:rsidRPr="00D924F4" w:rsidRDefault="002B6EEF" w:rsidP="007B752D">
            <w:pPr>
              <w:rPr>
                <w:color w:val="000000"/>
                <w:sz w:val="22"/>
                <w:szCs w:val="22"/>
              </w:rPr>
            </w:pPr>
            <w:r w:rsidRPr="00D924F4">
              <w:rPr>
                <w:color w:val="000000"/>
                <w:sz w:val="22"/>
                <w:szCs w:val="22"/>
              </w:rPr>
              <w:t>Securities issued from an SPE that typically owns mortgage loan receivables from owners of single family residential rental properties which are, in turn, secured by an assignment of rents.  This asset class combines certain aspects of RMBS (underlying asset is mortgage loans on residential properties) with certain aspects of CMBS (small number of obligors and income-generating property). The cash flows from the underlying leases in the pool are used to service and repay the debt.</w:t>
            </w:r>
          </w:p>
        </w:tc>
        <w:tc>
          <w:tcPr>
            <w:tcW w:w="2430" w:type="dxa"/>
          </w:tcPr>
          <w:p w14:paraId="447E58A1"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 subject to compliance with the restrictions on pool and structure set forth in the Regulation AB definition</w:t>
            </w:r>
          </w:p>
          <w:p w14:paraId="3E1AE211" w14:textId="77777777" w:rsidR="002B6EEF" w:rsidRPr="00D924F4" w:rsidRDefault="002B6EEF" w:rsidP="007B752D">
            <w:pPr>
              <w:pStyle w:val="BodyText1"/>
              <w:ind w:firstLine="0"/>
              <w:rPr>
                <w:rFonts w:cs="Times New Roman"/>
                <w:sz w:val="22"/>
                <w:szCs w:val="22"/>
              </w:rPr>
            </w:pPr>
          </w:p>
        </w:tc>
        <w:tc>
          <w:tcPr>
            <w:tcW w:w="2610" w:type="dxa"/>
          </w:tcPr>
          <w:p w14:paraId="285F8E41"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w:t>
            </w:r>
          </w:p>
        </w:tc>
      </w:tr>
      <w:tr w:rsidR="002B6EEF" w14:paraId="4EF314B9" w14:textId="77777777" w:rsidTr="00785487">
        <w:tc>
          <w:tcPr>
            <w:tcW w:w="1710" w:type="dxa"/>
          </w:tcPr>
          <w:p w14:paraId="79919B3D" w14:textId="77777777" w:rsidR="002B6EEF" w:rsidRPr="00D924F4" w:rsidRDefault="002B6EEF" w:rsidP="007B752D">
            <w:pPr>
              <w:jc w:val="center"/>
              <w:rPr>
                <w:b/>
                <w:bCs/>
                <w:color w:val="000000"/>
                <w:sz w:val="22"/>
                <w:szCs w:val="22"/>
              </w:rPr>
            </w:pPr>
            <w:r w:rsidRPr="00D924F4">
              <w:rPr>
                <w:b/>
                <w:bCs/>
                <w:color w:val="000000"/>
                <w:sz w:val="22"/>
                <w:szCs w:val="22"/>
              </w:rPr>
              <w:t>Lease-Backed Securities -Cell towers, data centers</w:t>
            </w:r>
          </w:p>
        </w:tc>
        <w:tc>
          <w:tcPr>
            <w:tcW w:w="4590" w:type="dxa"/>
          </w:tcPr>
          <w:p w14:paraId="61FD6247" w14:textId="77777777" w:rsidR="002B6EEF" w:rsidRPr="00D924F4" w:rsidRDefault="002B6EEF" w:rsidP="007B752D">
            <w:pPr>
              <w:rPr>
                <w:color w:val="000000"/>
                <w:sz w:val="22"/>
                <w:szCs w:val="22"/>
              </w:rPr>
            </w:pPr>
            <w:r w:rsidRPr="00D924F4">
              <w:rPr>
                <w:color w:val="000000"/>
                <w:sz w:val="22"/>
                <w:szCs w:val="22"/>
              </w:rPr>
              <w:t>Securities issued by a special purpose entity that holds a portfolio of cell towers or data centers and related leases. The cash flows from the underlying leases and assets in the pool are used to service and repay the debt.</w:t>
            </w:r>
          </w:p>
        </w:tc>
        <w:tc>
          <w:tcPr>
            <w:tcW w:w="2430" w:type="dxa"/>
          </w:tcPr>
          <w:p w14:paraId="50B02604" w14:textId="77777777" w:rsidR="002B6EEF" w:rsidRPr="00D924F4" w:rsidRDefault="002B6EEF" w:rsidP="00A44FA7">
            <w:pPr>
              <w:pStyle w:val="ListContinue"/>
              <w:numPr>
                <w:ilvl w:val="0"/>
                <w:numId w:val="0"/>
              </w:numPr>
              <w:rPr>
                <w:sz w:val="22"/>
                <w:szCs w:val="22"/>
              </w:rPr>
            </w:pPr>
            <w:r w:rsidRPr="00D924F4">
              <w:rPr>
                <w:sz w:val="22"/>
                <w:szCs w:val="22"/>
              </w:rPr>
              <w:t>Depends on type of structure and assets.</w:t>
            </w:r>
          </w:p>
          <w:p w14:paraId="10AF5AB2"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If the leases are short-term and do not serve as the primary cash flow to the holders of the securities, but rather the cash flow primarily depends on re-leasing, selling or otherwise disposing of the cell towers (i.e., the residual value of the property exceeds the 50% threshold), then these are unlikely to be Regulation AB asset-backed securities.  </w:t>
            </w:r>
          </w:p>
          <w:p w14:paraId="32372014"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If the transaction has long-term leases that serve as the primary source of cash flow, then it may be considered in scope, subject to compliance with the restrictions on pool and structure set forth in the </w:t>
            </w:r>
            <w:r w:rsidRPr="00D924F4">
              <w:rPr>
                <w:rFonts w:cs="Times New Roman"/>
                <w:sz w:val="22"/>
                <w:szCs w:val="22"/>
              </w:rPr>
              <w:lastRenderedPageBreak/>
              <w:t>Regulation AB definition</w:t>
            </w:r>
          </w:p>
        </w:tc>
        <w:tc>
          <w:tcPr>
            <w:tcW w:w="2610" w:type="dxa"/>
          </w:tcPr>
          <w:p w14:paraId="07D668B3" w14:textId="77777777" w:rsidR="002B6EEF" w:rsidRPr="00D924F4" w:rsidRDefault="002B6EEF" w:rsidP="00A44FA7">
            <w:pPr>
              <w:pStyle w:val="ListContinue"/>
              <w:numPr>
                <w:ilvl w:val="0"/>
                <w:numId w:val="0"/>
              </w:numPr>
              <w:rPr>
                <w:sz w:val="22"/>
                <w:szCs w:val="22"/>
              </w:rPr>
            </w:pPr>
            <w:r w:rsidRPr="00D924F4">
              <w:rPr>
                <w:sz w:val="22"/>
                <w:szCs w:val="22"/>
              </w:rPr>
              <w:lastRenderedPageBreak/>
              <w:t>Depends on type of structure and assets.</w:t>
            </w:r>
          </w:p>
          <w:p w14:paraId="477B4ECD"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If the leases are short-term and do not serve as the primary cash flow to the holders of the securities, but rather the cash flow primarily depends on re-leasing, selling or otherwise disposing of the cell towers, then these are unlikely to be securities the payments on which depend primarily on the cash flow from self-liquidating financial assets.  </w:t>
            </w:r>
          </w:p>
          <w:p w14:paraId="608AFC04"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If the transaction has long-term leases that serve as the primary source of cash flow, then it may be considered in scope.</w:t>
            </w:r>
          </w:p>
        </w:tc>
      </w:tr>
      <w:tr w:rsidR="002B6EEF" w14:paraId="5A0620AE" w14:textId="77777777" w:rsidTr="00785487">
        <w:tc>
          <w:tcPr>
            <w:tcW w:w="1710" w:type="dxa"/>
          </w:tcPr>
          <w:p w14:paraId="5E6ECCEE" w14:textId="77777777" w:rsidR="002B6EEF" w:rsidRPr="00D924F4" w:rsidRDefault="002B6EEF" w:rsidP="007B752D">
            <w:pPr>
              <w:jc w:val="center"/>
              <w:rPr>
                <w:b/>
                <w:bCs/>
                <w:color w:val="000000"/>
                <w:sz w:val="22"/>
                <w:szCs w:val="22"/>
              </w:rPr>
            </w:pPr>
            <w:r w:rsidRPr="00D924F4">
              <w:rPr>
                <w:b/>
                <w:bCs/>
                <w:color w:val="000000"/>
                <w:sz w:val="22"/>
                <w:szCs w:val="22"/>
              </w:rPr>
              <w:t>Lease-Backed Securities -Rental cars</w:t>
            </w:r>
          </w:p>
        </w:tc>
        <w:tc>
          <w:tcPr>
            <w:tcW w:w="4590" w:type="dxa"/>
          </w:tcPr>
          <w:p w14:paraId="5BB8AA7D" w14:textId="77777777" w:rsidR="002B6EEF" w:rsidRPr="00D924F4" w:rsidRDefault="002B6EEF" w:rsidP="007B752D">
            <w:pPr>
              <w:rPr>
                <w:color w:val="000000"/>
                <w:sz w:val="22"/>
                <w:szCs w:val="22"/>
              </w:rPr>
            </w:pPr>
            <w:r w:rsidRPr="00D924F4">
              <w:rPr>
                <w:color w:val="000000"/>
                <w:sz w:val="22"/>
                <w:szCs w:val="22"/>
              </w:rPr>
              <w:t>Vehicles are transferred to a special purpose subsidiary (the “SPV”) that issues debt in various series, typically on a shared collateral basis, to both capital markets investors in term note transactions and bank lenders in variable funding note transactions.  The SPV leases the entire pool of vehicles to the operating company pursuant to a single operating lease.  The rental payments under the operating lease are sized to meet the debt service obligations of the SPV together with a profit component.  The vehicles are titled in the name of the SPV and pledged to the noteholders through a collateral agency arrangement.  In some transactions, a two-tier structure exists (originally intended to facilitate like-kind exchanges) whereby one SPV owns the vehicles and leases to the operating company and finances the vehicles through and intercompany loan to a second SPV.  The second SPV issues third party debt secured by the intercompany loan and, indirectly, the vehicles.  Rental car structures typically also have credit support in the form of reserve of letters of credit covering interest payment obligations and certain other amounts.</w:t>
            </w:r>
          </w:p>
        </w:tc>
        <w:tc>
          <w:tcPr>
            <w:tcW w:w="2430" w:type="dxa"/>
          </w:tcPr>
          <w:p w14:paraId="56716A0E"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no.  Because of the shared collateral pool, these are unlikely to be viewed as supported by a discrete pool of assets.</w:t>
            </w:r>
          </w:p>
        </w:tc>
        <w:tc>
          <w:tcPr>
            <w:tcW w:w="2610" w:type="dxa"/>
          </w:tcPr>
          <w:p w14:paraId="57FE8376"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w:t>
            </w:r>
          </w:p>
        </w:tc>
      </w:tr>
      <w:tr w:rsidR="002B6EEF" w14:paraId="4D52A027" w14:textId="77777777" w:rsidTr="00785487">
        <w:tc>
          <w:tcPr>
            <w:tcW w:w="1710" w:type="dxa"/>
          </w:tcPr>
          <w:p w14:paraId="382092BF" w14:textId="77777777" w:rsidR="002B6EEF" w:rsidRPr="00D924F4" w:rsidRDefault="002B6EEF" w:rsidP="007B752D">
            <w:pPr>
              <w:jc w:val="center"/>
              <w:rPr>
                <w:b/>
                <w:bCs/>
                <w:color w:val="000000"/>
                <w:sz w:val="22"/>
                <w:szCs w:val="22"/>
              </w:rPr>
            </w:pPr>
            <w:r w:rsidRPr="00D924F4">
              <w:rPr>
                <w:b/>
                <w:bCs/>
                <w:color w:val="000000"/>
                <w:sz w:val="22"/>
                <w:szCs w:val="22"/>
              </w:rPr>
              <w:t>Other Lease Backed Securities—Equipment Based (aircraft, ships, etc.)</w:t>
            </w:r>
          </w:p>
        </w:tc>
        <w:tc>
          <w:tcPr>
            <w:tcW w:w="4590" w:type="dxa"/>
          </w:tcPr>
          <w:p w14:paraId="54AA7391" w14:textId="77777777" w:rsidR="002B6EEF" w:rsidRPr="00D924F4" w:rsidRDefault="002B6EEF" w:rsidP="007B752D">
            <w:pPr>
              <w:rPr>
                <w:color w:val="000000"/>
                <w:sz w:val="22"/>
                <w:szCs w:val="22"/>
              </w:rPr>
            </w:pPr>
            <w:r w:rsidRPr="00D924F4">
              <w:rPr>
                <w:color w:val="000000"/>
                <w:sz w:val="22"/>
                <w:szCs w:val="22"/>
              </w:rPr>
              <w:t xml:space="preserve">Debt issued by a pass-through trust ("Trust") that either owns equipment on long-term lease to a Credit Entity or holds a debt instrument secured by a mortgage against equipment owned by a Credit Entity.  The Trust issues certificates representing an undivided interest in the assets of the Trust. The lease or debt payments from the Credit Entity are passed through to the holders of the certificates and represent the right to obtain interest and principal calculated based on the face amount of the certificates.  The structures, however, are not fully contractually obligated to a Credit Entity; either because the lease expires before the associated debt matures, or because there is a balloon payment due at maturity that is not part of the lease obligation.  This refinancing and residual asset risk is mitigated by low leverage at maturity or point of refinancing.   </w:t>
            </w:r>
          </w:p>
        </w:tc>
        <w:tc>
          <w:tcPr>
            <w:tcW w:w="2430" w:type="dxa"/>
          </w:tcPr>
          <w:p w14:paraId="2A2054C6" w14:textId="77777777" w:rsidR="002B6EEF" w:rsidRPr="00D924F4" w:rsidRDefault="002B6EEF" w:rsidP="00A44FA7">
            <w:pPr>
              <w:pStyle w:val="ListContinue"/>
              <w:numPr>
                <w:ilvl w:val="0"/>
                <w:numId w:val="0"/>
              </w:numPr>
              <w:rPr>
                <w:sz w:val="22"/>
                <w:szCs w:val="22"/>
              </w:rPr>
            </w:pPr>
            <w:r w:rsidRPr="00D924F4">
              <w:rPr>
                <w:sz w:val="22"/>
                <w:szCs w:val="22"/>
              </w:rPr>
              <w:t>Depends on type of structure.</w:t>
            </w:r>
          </w:p>
          <w:p w14:paraId="3560F444" w14:textId="77777777" w:rsidR="002B6EEF" w:rsidRPr="00D924F4" w:rsidRDefault="002B6EEF" w:rsidP="00A44FA7">
            <w:pPr>
              <w:pStyle w:val="ListContinue"/>
              <w:numPr>
                <w:ilvl w:val="0"/>
                <w:numId w:val="0"/>
              </w:numPr>
              <w:rPr>
                <w:sz w:val="22"/>
                <w:szCs w:val="22"/>
              </w:rPr>
            </w:pPr>
            <w:r w:rsidRPr="00D924F4">
              <w:rPr>
                <w:sz w:val="22"/>
                <w:szCs w:val="22"/>
              </w:rPr>
              <w:t>Securitization of loans (SPV holds a portfolio of loans): Typically, yes, as the loans by their terms typically convert into cash within a finite time period and serve as the primary cash flow to the holders of the securities, subject to compliance with the restrictions on pool and structure set forth in the Regulation AB definition.</w:t>
            </w:r>
          </w:p>
          <w:p w14:paraId="6387A15A"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Securitization of equipment and leases (SPV holds a portfolio of equipment and related leases): it depends on the structure. If the leases </w:t>
            </w:r>
            <w:r w:rsidRPr="00D924F4">
              <w:rPr>
                <w:rFonts w:cs="Times New Roman"/>
                <w:sz w:val="22"/>
                <w:szCs w:val="22"/>
              </w:rPr>
              <w:lastRenderedPageBreak/>
              <w:t>are short-term and do not serve as the primary cash flow to the holders of the securities, but rather the cash flow primarily depends on re-leasing, selling or otherwise disposing of the underlying equipment, and the residual value of the equipment exceeds the 50% threshold under Regulation AB, and other aspects of the structure are inconsistent with Regulation AB, then typically no.</w:t>
            </w:r>
          </w:p>
        </w:tc>
        <w:tc>
          <w:tcPr>
            <w:tcW w:w="2610" w:type="dxa"/>
          </w:tcPr>
          <w:p w14:paraId="6545F2ED" w14:textId="77777777" w:rsidR="002B6EEF" w:rsidRPr="00D924F4" w:rsidRDefault="002B6EEF" w:rsidP="007B752D">
            <w:pPr>
              <w:pStyle w:val="BodyText1"/>
              <w:ind w:hanging="19"/>
              <w:rPr>
                <w:rFonts w:cs="Times New Roman"/>
                <w:sz w:val="22"/>
                <w:szCs w:val="22"/>
              </w:rPr>
            </w:pPr>
            <w:r w:rsidRPr="00D924F4">
              <w:rPr>
                <w:rFonts w:cs="Times New Roman"/>
                <w:sz w:val="22"/>
                <w:szCs w:val="22"/>
              </w:rPr>
              <w:lastRenderedPageBreak/>
              <w:t>Depends on type of structure.</w:t>
            </w:r>
          </w:p>
          <w:p w14:paraId="47856A41" w14:textId="77777777" w:rsidR="002B6EEF" w:rsidRPr="00D924F4" w:rsidRDefault="002B6EEF" w:rsidP="007B752D">
            <w:pPr>
              <w:pStyle w:val="BodyText1"/>
              <w:ind w:hanging="19"/>
              <w:rPr>
                <w:rFonts w:cs="Times New Roman"/>
                <w:sz w:val="22"/>
                <w:szCs w:val="22"/>
              </w:rPr>
            </w:pPr>
            <w:r w:rsidRPr="00D924F4">
              <w:rPr>
                <w:rFonts w:cs="Times New Roman"/>
                <w:sz w:val="22"/>
                <w:szCs w:val="22"/>
              </w:rPr>
              <w:t>Securitization of loans (SPV holds a portfolio of loans):  Typically, yes, as the loans are typically self-liquidating financial assets that serve as the primary cash flow to the holders of the securities.</w:t>
            </w:r>
          </w:p>
          <w:p w14:paraId="644A18A0"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Securitization of equipment and leases (SPV holds a portfolio of equipment and related leases): it depends on the structure. If the leases are short-term and do not serve as the primary cash flow to the holders of the securities, but rather the cash flow primarily depends on re-leasing, </w:t>
            </w:r>
            <w:r w:rsidRPr="00D924F4">
              <w:rPr>
                <w:rFonts w:cs="Times New Roman"/>
                <w:sz w:val="22"/>
                <w:szCs w:val="22"/>
              </w:rPr>
              <w:lastRenderedPageBreak/>
              <w:t>selling or otherwise disposing of the underlying equipment, typically no.</w:t>
            </w:r>
          </w:p>
          <w:p w14:paraId="099FAA3D" w14:textId="77777777" w:rsidR="002B6EEF" w:rsidRPr="00D924F4" w:rsidRDefault="002B6EEF" w:rsidP="007B752D">
            <w:pPr>
              <w:pStyle w:val="BodyText1"/>
              <w:ind w:firstLine="0"/>
              <w:rPr>
                <w:rFonts w:cs="Times New Roman"/>
                <w:sz w:val="22"/>
                <w:szCs w:val="22"/>
              </w:rPr>
            </w:pPr>
          </w:p>
        </w:tc>
      </w:tr>
      <w:tr w:rsidR="002B6EEF" w14:paraId="0632A1C5" w14:textId="77777777" w:rsidTr="00785487">
        <w:tc>
          <w:tcPr>
            <w:tcW w:w="1710" w:type="dxa"/>
          </w:tcPr>
          <w:p w14:paraId="75D6E8A2" w14:textId="77777777" w:rsidR="002B6EEF" w:rsidRPr="00D924F4" w:rsidRDefault="002B6EEF" w:rsidP="007B752D">
            <w:pPr>
              <w:jc w:val="center"/>
              <w:rPr>
                <w:b/>
                <w:bCs/>
                <w:color w:val="000000"/>
                <w:sz w:val="22"/>
                <w:szCs w:val="22"/>
              </w:rPr>
            </w:pPr>
            <w:r w:rsidRPr="00D924F4">
              <w:rPr>
                <w:b/>
                <w:bCs/>
                <w:color w:val="000000"/>
                <w:sz w:val="22"/>
                <w:szCs w:val="22"/>
              </w:rPr>
              <w:lastRenderedPageBreak/>
              <w:t>Equipment Trust Certificate ("ETC")—backed by equipment, aircraft, aircraft engines, rail cars, rail locomotives, ships</w:t>
            </w:r>
          </w:p>
        </w:tc>
        <w:tc>
          <w:tcPr>
            <w:tcW w:w="4590" w:type="dxa"/>
          </w:tcPr>
          <w:p w14:paraId="50A78157" w14:textId="77777777" w:rsidR="002B6EEF" w:rsidRPr="00D924F4" w:rsidRDefault="002B6EEF" w:rsidP="007B752D">
            <w:pPr>
              <w:rPr>
                <w:color w:val="000000"/>
                <w:sz w:val="22"/>
                <w:szCs w:val="22"/>
              </w:rPr>
            </w:pPr>
            <w:r w:rsidRPr="00D924F4">
              <w:rPr>
                <w:color w:val="000000"/>
                <w:sz w:val="22"/>
                <w:szCs w:val="22"/>
              </w:rPr>
              <w:t>Debt issued by a pass-through trust ("Trust") that either owns equipment on lease to a Credit Entity or holds a debt instrument secured by a mortgage against equipment owned by a Credit Entity.  The Trust issues certificates representing an undivided interest in the assets of the Trust. The lease or debt payments from the Credit Entity are passed through to the holders of the certificates and represent the right to obtain interest and principal calculated based on the face amount of the certificates.  This differs from the item above under Other Lease-Backed Security - Equipment Based) as this type does not have refinancing/residual risk with the balloon payment at the end of the debt.  The certificate holders (through their interest in the assets held by the Trust) also enjoy the benefits of an unsecured claim to the corporation in a bankruptcy scenario, in addition to hard asset collateral.  Therefore, if the underlying obligor defaults on its lease or debt obligations, investors can foreclose (or direct the Trust to foreclose) on the underlying equipment as an additional protection to the claim on the Credit Entity in the bankruptcy.  Equipment could be a range of collateral types.</w:t>
            </w:r>
          </w:p>
        </w:tc>
        <w:tc>
          <w:tcPr>
            <w:tcW w:w="2430" w:type="dxa"/>
          </w:tcPr>
          <w:p w14:paraId="4519D56D"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An ETC is effectively a security structure to provide financing for a specific piece or pieces of equipment.  These deals are typically not considered asset-backed securities under these regulations, but they are considered debt securities.  </w:t>
            </w:r>
          </w:p>
        </w:tc>
        <w:tc>
          <w:tcPr>
            <w:tcW w:w="2610" w:type="dxa"/>
          </w:tcPr>
          <w:p w14:paraId="0B1D82E1"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An ETC is effectively a security structure to provide financing for a specific piece or pieces of equipment.  These deals are typically not considered asset-backed securities under these regulations, but they are considered debt securities.</w:t>
            </w:r>
          </w:p>
        </w:tc>
      </w:tr>
      <w:tr w:rsidR="002B6EEF" w14:paraId="0B95473B" w14:textId="77777777" w:rsidTr="00785487">
        <w:tc>
          <w:tcPr>
            <w:tcW w:w="1710" w:type="dxa"/>
          </w:tcPr>
          <w:p w14:paraId="5F74C69A" w14:textId="77777777" w:rsidR="002B6EEF" w:rsidRPr="00D924F4" w:rsidRDefault="002B6EEF" w:rsidP="007B752D">
            <w:pPr>
              <w:jc w:val="center"/>
              <w:rPr>
                <w:b/>
                <w:bCs/>
                <w:color w:val="000000"/>
                <w:sz w:val="22"/>
                <w:szCs w:val="22"/>
              </w:rPr>
            </w:pPr>
            <w:r w:rsidRPr="00D924F4">
              <w:rPr>
                <w:b/>
                <w:bCs/>
                <w:color w:val="000000"/>
                <w:sz w:val="22"/>
                <w:szCs w:val="22"/>
              </w:rPr>
              <w:t>Enhanced Equipment Trust Certificate ("EETC")</w:t>
            </w:r>
          </w:p>
        </w:tc>
        <w:tc>
          <w:tcPr>
            <w:tcW w:w="4590" w:type="dxa"/>
          </w:tcPr>
          <w:p w14:paraId="1DF3D917" w14:textId="77777777" w:rsidR="002B6EEF" w:rsidRPr="00D924F4" w:rsidRDefault="002B6EEF" w:rsidP="007B752D">
            <w:pPr>
              <w:rPr>
                <w:color w:val="000000"/>
                <w:sz w:val="22"/>
                <w:szCs w:val="22"/>
              </w:rPr>
            </w:pPr>
            <w:r w:rsidRPr="00D924F4">
              <w:rPr>
                <w:color w:val="000000"/>
                <w:sz w:val="22"/>
                <w:szCs w:val="22"/>
              </w:rPr>
              <w:t xml:space="preserve">An ETC that has been “enhanced” through division into multiple tranches, each representing a different claim in priority within the SPE's capital structure (1st Loss, 2nd Loss, Last Loss, etc.) and also some additional enhanced features.  As with an ETC, investors enjoy an unsecured </w:t>
            </w:r>
            <w:r w:rsidRPr="00D924F4">
              <w:rPr>
                <w:color w:val="000000"/>
                <w:sz w:val="22"/>
                <w:szCs w:val="22"/>
              </w:rPr>
              <w:lastRenderedPageBreak/>
              <w:t>claim to a credit entity plus the benefits of collateral. Since EETC’s relate to aircraft equipment owned by airlines, investors have the benefit of Section 1110 of the bankruptcy code and because EETCs typically are cross-collateralized and cross-defaulted to the lease or mortgage, the related underlying obligor is strongly incentivized to perform under Section 1110 for the entire pool of equipment securing the certificates with respect to a transaction. EETCs also typically contain either a liquidity facility to service interest payments, or a Paid-in-Kind feature to accrue additional principal, in the event of a bankruptcy/payment</w:t>
            </w:r>
          </w:p>
        </w:tc>
        <w:tc>
          <w:tcPr>
            <w:tcW w:w="2430" w:type="dxa"/>
          </w:tcPr>
          <w:p w14:paraId="2EDC0459"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The securities are viewed as direct obligations of the sponsor and not as asset-backed securities under these regulations, but </w:t>
            </w:r>
            <w:r w:rsidRPr="00D924F4">
              <w:rPr>
                <w:rFonts w:cs="Times New Roman"/>
                <w:sz w:val="22"/>
                <w:szCs w:val="22"/>
              </w:rPr>
              <w:lastRenderedPageBreak/>
              <w:t xml:space="preserve">they are considered debt securities.  </w:t>
            </w:r>
          </w:p>
        </w:tc>
        <w:tc>
          <w:tcPr>
            <w:tcW w:w="2610" w:type="dxa"/>
          </w:tcPr>
          <w:p w14:paraId="499F9EA0"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The securities are viewed as direct obligations of the sponsor and not as asset-backed securities under these regulations, but they </w:t>
            </w:r>
            <w:r w:rsidRPr="00D924F4">
              <w:rPr>
                <w:rFonts w:cs="Times New Roman"/>
                <w:sz w:val="22"/>
                <w:szCs w:val="22"/>
              </w:rPr>
              <w:lastRenderedPageBreak/>
              <w:t xml:space="preserve">are considered debt securities.  </w:t>
            </w:r>
          </w:p>
        </w:tc>
      </w:tr>
      <w:tr w:rsidR="002B6EEF" w14:paraId="18B308CC" w14:textId="77777777" w:rsidTr="00785487">
        <w:tc>
          <w:tcPr>
            <w:tcW w:w="1710" w:type="dxa"/>
          </w:tcPr>
          <w:p w14:paraId="78DA5382" w14:textId="77777777" w:rsidR="002B6EEF" w:rsidRPr="00D924F4" w:rsidRDefault="002B6EEF" w:rsidP="007B752D">
            <w:pPr>
              <w:jc w:val="center"/>
              <w:rPr>
                <w:b/>
                <w:bCs/>
                <w:color w:val="000000"/>
                <w:sz w:val="22"/>
                <w:szCs w:val="22"/>
              </w:rPr>
            </w:pPr>
            <w:r w:rsidRPr="00D924F4">
              <w:rPr>
                <w:b/>
                <w:bCs/>
                <w:color w:val="000000"/>
                <w:sz w:val="22"/>
                <w:szCs w:val="22"/>
              </w:rPr>
              <w:lastRenderedPageBreak/>
              <w:t>Credit Tenant Loan ("CTL")</w:t>
            </w:r>
          </w:p>
        </w:tc>
        <w:tc>
          <w:tcPr>
            <w:tcW w:w="4590" w:type="dxa"/>
          </w:tcPr>
          <w:p w14:paraId="6AC2A174" w14:textId="1862744F" w:rsidR="002B6EEF" w:rsidRPr="00D924F4" w:rsidRDefault="002B6EEF" w:rsidP="007B752D">
            <w:pPr>
              <w:rPr>
                <w:color w:val="000000"/>
                <w:sz w:val="22"/>
                <w:szCs w:val="22"/>
              </w:rPr>
            </w:pPr>
            <w:r w:rsidRPr="00D924F4">
              <w:rPr>
                <w:color w:val="000000"/>
                <w:sz w:val="22"/>
                <w:szCs w:val="22"/>
              </w:rPr>
              <w:t xml:space="preserve"> Debt issued from an SPE which owns real property net leased to a single credit tenant (a Credit Entity). Lease payments are used to pay debt service on the transaction, which is an obligation of the SPE that owns the property.  Collateral consists of a first lien priority assignment of the lease, including all rent due thereunder which is paid directly to the CTL debt investors, and a mortgage on the property.  The debt issued by the SPE is either nearly fully amortizing, or amortizing down to a 5% maximum principal balloon due at maturity (as permitted under the CTL guidelines in Statutory accounting) or, amortizes down to an amount which is fully insured with RVI insurance, or amortizes down to a payment obligation of the Credit Entity tenant or other credit enhancement. Therefore, the holders of the debt are not subject to any repayment risk in excess of 5% of the original principal amount and are fully secured. CTLs are not rated by a CRP and are not FE.</w:t>
            </w:r>
          </w:p>
          <w:p w14:paraId="47B8C977" w14:textId="77777777" w:rsidR="002B6EEF" w:rsidRPr="00D924F4" w:rsidRDefault="002B6EEF" w:rsidP="007B752D">
            <w:pPr>
              <w:rPr>
                <w:color w:val="000000"/>
                <w:sz w:val="22"/>
                <w:szCs w:val="22"/>
              </w:rPr>
            </w:pPr>
          </w:p>
        </w:tc>
        <w:tc>
          <w:tcPr>
            <w:tcW w:w="2430" w:type="dxa"/>
          </w:tcPr>
          <w:p w14:paraId="1715AA68"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CTLs do not meet the definition of “ABS” as set forth in the 1933 Act. CTLs are viewed as debt securities that are obligations of a Credit Entity (the tenant).</w:t>
            </w:r>
          </w:p>
          <w:p w14:paraId="353718E5" w14:textId="77777777" w:rsidR="002B6EEF" w:rsidRPr="00D924F4" w:rsidRDefault="002B6EEF" w:rsidP="007B752D">
            <w:pPr>
              <w:pStyle w:val="BodyText1"/>
              <w:ind w:firstLine="0"/>
              <w:rPr>
                <w:rFonts w:cs="Times New Roman"/>
                <w:sz w:val="22"/>
                <w:szCs w:val="22"/>
              </w:rPr>
            </w:pPr>
          </w:p>
        </w:tc>
        <w:tc>
          <w:tcPr>
            <w:tcW w:w="2610" w:type="dxa"/>
          </w:tcPr>
          <w:p w14:paraId="1DC2DD1D"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CTLs do not meet the definition of “ABS” as set forth in the 1933 Act. CTLs are viewed as debt securities that are obligations of a Credit Entity (the tenant).</w:t>
            </w:r>
          </w:p>
          <w:p w14:paraId="57A965CB" w14:textId="77777777" w:rsidR="002B6EEF" w:rsidRPr="00D924F4" w:rsidRDefault="002B6EEF" w:rsidP="007B752D">
            <w:pPr>
              <w:pStyle w:val="BodyText1"/>
              <w:ind w:firstLine="0"/>
              <w:rPr>
                <w:rFonts w:cs="Times New Roman"/>
                <w:sz w:val="22"/>
                <w:szCs w:val="22"/>
              </w:rPr>
            </w:pPr>
          </w:p>
        </w:tc>
      </w:tr>
      <w:tr w:rsidR="002B6EEF" w14:paraId="40E52659" w14:textId="77777777" w:rsidTr="00785487">
        <w:tc>
          <w:tcPr>
            <w:tcW w:w="1710" w:type="dxa"/>
          </w:tcPr>
          <w:p w14:paraId="27652ABD" w14:textId="77777777" w:rsidR="002B6EEF" w:rsidRPr="00D924F4" w:rsidRDefault="002B6EEF" w:rsidP="007B752D">
            <w:pPr>
              <w:jc w:val="center"/>
              <w:rPr>
                <w:b/>
                <w:bCs/>
                <w:color w:val="000000"/>
                <w:sz w:val="22"/>
                <w:szCs w:val="22"/>
              </w:rPr>
            </w:pPr>
            <w:r w:rsidRPr="00D924F4">
              <w:rPr>
                <w:b/>
                <w:bCs/>
                <w:color w:val="000000"/>
                <w:sz w:val="22"/>
                <w:szCs w:val="22"/>
              </w:rPr>
              <w:t xml:space="preserve"> Ground Lease Financing (“GLF”)</w:t>
            </w:r>
          </w:p>
          <w:p w14:paraId="6F256A13" w14:textId="77777777" w:rsidR="002B6EEF" w:rsidRPr="00D924F4" w:rsidRDefault="002B6EEF" w:rsidP="007B752D">
            <w:pPr>
              <w:jc w:val="center"/>
              <w:rPr>
                <w:b/>
                <w:bCs/>
                <w:color w:val="000000"/>
                <w:sz w:val="22"/>
                <w:szCs w:val="22"/>
              </w:rPr>
            </w:pPr>
          </w:p>
        </w:tc>
        <w:tc>
          <w:tcPr>
            <w:tcW w:w="4590" w:type="dxa"/>
          </w:tcPr>
          <w:p w14:paraId="09635DCE" w14:textId="77777777" w:rsidR="002B6EEF" w:rsidRPr="00D924F4" w:rsidRDefault="002B6EEF" w:rsidP="007B752D">
            <w:pPr>
              <w:rPr>
                <w:color w:val="000000"/>
                <w:sz w:val="22"/>
                <w:szCs w:val="22"/>
              </w:rPr>
            </w:pPr>
            <w:r w:rsidRPr="00D924F4">
              <w:rPr>
                <w:color w:val="000000"/>
                <w:sz w:val="22"/>
                <w:szCs w:val="22"/>
              </w:rPr>
              <w:t xml:space="preserve">Debt issued from an SPE that owns and leases (as Ground Lessor) the underlying land of a property where ownership and financing of the land and improvements are bifurcated. The deal is structured exactly like a CTL, except that the owner of the improvement (the Ground Lessee) which leases the land from the Ground Lessor is not an operating company like CVS or IBM, but instead is an SPE that owns and operates the improvements (which can be either single or multi-tenanted)  under a long-term Ground Lease (typically 99 years) entered into with the Ground Lessor. The rent from the Ground Lessee is paid directly to the GLF debt investors as debt service -  like in a CTL - with the same collateral (first </w:t>
            </w:r>
            <w:r w:rsidRPr="00D924F4">
              <w:rPr>
                <w:color w:val="000000"/>
                <w:sz w:val="22"/>
                <w:szCs w:val="22"/>
              </w:rPr>
              <w:lastRenderedPageBreak/>
              <w:t xml:space="preserve">priority assignment of lease and all rent due thereunder, and a mortgage on land and on the Ground Lessor’s reversionary interest in the improvements). The Ground Lease payments are sufficient to service debt over the term of the financing, which is typically 30-35 years, and is fully amortizing or with a 5% balloon due at maturity (as permitted under the CTL guidelines in Statutory accounting). Given the foregoing structure, investors in Ground Leases are in a “last loss” position and have a reversionary interest in the improvements should a default occur. Like a CTL, there is no refinancing or residual risk. Ground lease transactions are typically rated by a CRP but are not FE.   </w:t>
            </w:r>
          </w:p>
        </w:tc>
        <w:tc>
          <w:tcPr>
            <w:tcW w:w="2430" w:type="dxa"/>
          </w:tcPr>
          <w:p w14:paraId="441267E6"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GLFs do not meet the definition of “ABS” as set forth in the 1933 Act. GLFs are viewed as debt securities that are obligations of an SPE owned by a sponsor.</w:t>
            </w:r>
          </w:p>
          <w:p w14:paraId="1128C803" w14:textId="77777777" w:rsidR="002B6EEF" w:rsidRPr="00D924F4" w:rsidRDefault="002B6EEF" w:rsidP="007B752D">
            <w:pPr>
              <w:pStyle w:val="BodyText1"/>
              <w:ind w:firstLine="0"/>
              <w:rPr>
                <w:rFonts w:cs="Times New Roman"/>
                <w:sz w:val="22"/>
                <w:szCs w:val="22"/>
              </w:rPr>
            </w:pPr>
          </w:p>
        </w:tc>
        <w:tc>
          <w:tcPr>
            <w:tcW w:w="2610" w:type="dxa"/>
          </w:tcPr>
          <w:p w14:paraId="648DCC51"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GLFs do not meet the definition of “ABS” as set forth in the 1933 Act. GLFs are viewed as debt securities that are obligations of an SPE owned by a sponsor.</w:t>
            </w:r>
          </w:p>
          <w:p w14:paraId="2EE4263B" w14:textId="77777777" w:rsidR="002B6EEF" w:rsidRPr="00D924F4" w:rsidRDefault="002B6EEF" w:rsidP="007B752D">
            <w:pPr>
              <w:pStyle w:val="BodyText1"/>
              <w:ind w:firstLine="0"/>
              <w:rPr>
                <w:rFonts w:cs="Times New Roman"/>
                <w:sz w:val="22"/>
                <w:szCs w:val="22"/>
              </w:rPr>
            </w:pPr>
          </w:p>
          <w:p w14:paraId="019B6101" w14:textId="77777777" w:rsidR="002B6EEF" w:rsidRPr="00D924F4" w:rsidRDefault="002B6EEF" w:rsidP="007B752D">
            <w:pPr>
              <w:pStyle w:val="BodyText1"/>
              <w:ind w:firstLine="0"/>
              <w:rPr>
                <w:rFonts w:cs="Times New Roman"/>
                <w:sz w:val="22"/>
                <w:szCs w:val="22"/>
              </w:rPr>
            </w:pPr>
          </w:p>
        </w:tc>
      </w:tr>
      <w:tr w:rsidR="002B6EEF" w14:paraId="3017F58E" w14:textId="77777777" w:rsidTr="00785487">
        <w:tc>
          <w:tcPr>
            <w:tcW w:w="1710" w:type="dxa"/>
          </w:tcPr>
          <w:p w14:paraId="31FD0D02" w14:textId="77777777" w:rsidR="002B6EEF" w:rsidRPr="00D924F4" w:rsidRDefault="002B6EEF" w:rsidP="007B752D">
            <w:pPr>
              <w:jc w:val="center"/>
              <w:rPr>
                <w:b/>
                <w:bCs/>
                <w:color w:val="000000"/>
                <w:sz w:val="22"/>
                <w:szCs w:val="22"/>
              </w:rPr>
            </w:pPr>
            <w:r w:rsidRPr="00D924F4">
              <w:rPr>
                <w:b/>
                <w:bCs/>
                <w:color w:val="000000"/>
                <w:sz w:val="22"/>
                <w:szCs w:val="22"/>
              </w:rPr>
              <w:t>Other Rated Lease-Backed Financings (“ORLB”)</w:t>
            </w:r>
          </w:p>
        </w:tc>
        <w:tc>
          <w:tcPr>
            <w:tcW w:w="4590" w:type="dxa"/>
          </w:tcPr>
          <w:p w14:paraId="53E8E183" w14:textId="77777777" w:rsidR="002B6EEF" w:rsidRPr="00D924F4" w:rsidRDefault="002B6EEF" w:rsidP="007B752D">
            <w:pPr>
              <w:rPr>
                <w:color w:val="000000"/>
                <w:sz w:val="22"/>
                <w:szCs w:val="22"/>
              </w:rPr>
            </w:pPr>
            <w:r w:rsidRPr="00D924F4">
              <w:rPr>
                <w:color w:val="000000"/>
                <w:sz w:val="22"/>
                <w:szCs w:val="22"/>
              </w:rPr>
              <w:t xml:space="preserve">Same structure as a CTL, except an ORLB does not fully comply with CTL guidelines in either one or both of the following areas: 1) a balloon payment due at maturity is in excess of 5% (as permitted under CTL guidelines in Statutory accounting) and is not insured with RVI or other credit enhancement; 2) the primary term of the lease expires on or before the maturity date so investors are relying on lease renewal by Credit Entity tenant. Therefore, the structure is subject to an element of refinancing or residual asset value risk, which is mitigated by low leverage at maturity, and a strong likelihood of lease renewal by the Credit Entity tenant.  ORLBs are rated by a CRP but are not expected to be FE.                                                                               </w:t>
            </w:r>
          </w:p>
        </w:tc>
        <w:tc>
          <w:tcPr>
            <w:tcW w:w="2430" w:type="dxa"/>
          </w:tcPr>
          <w:p w14:paraId="28204BFD"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ORLBs do not meet the definition of “ABS” as set forth in the 1933 Act.  Similar to GLFs, ORLBs are viewed as debt securities that are direct obligations of an SPE owned by a sponsor.</w:t>
            </w:r>
          </w:p>
          <w:p w14:paraId="7A0FE3E0" w14:textId="77777777" w:rsidR="002B6EEF" w:rsidRPr="00D924F4" w:rsidRDefault="002B6EEF" w:rsidP="007B752D">
            <w:pPr>
              <w:pStyle w:val="BodyText1"/>
              <w:ind w:firstLine="0"/>
              <w:rPr>
                <w:rFonts w:cs="Times New Roman"/>
                <w:sz w:val="22"/>
                <w:szCs w:val="22"/>
              </w:rPr>
            </w:pPr>
          </w:p>
        </w:tc>
        <w:tc>
          <w:tcPr>
            <w:tcW w:w="2610" w:type="dxa"/>
          </w:tcPr>
          <w:p w14:paraId="4EA606B4"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ORLBs do not meet the definition of “ABS” as set forth in the 1933 Act.  Similar to GLFs, ORLBs are viewed as debt securities that are direct obligations of an SPE owned by a sponsor.</w:t>
            </w:r>
          </w:p>
          <w:p w14:paraId="525C0AD2" w14:textId="77777777" w:rsidR="002B6EEF" w:rsidRPr="00D924F4" w:rsidRDefault="002B6EEF" w:rsidP="007B752D">
            <w:pPr>
              <w:pStyle w:val="BodyText1"/>
              <w:ind w:firstLine="0"/>
              <w:rPr>
                <w:rFonts w:cs="Times New Roman"/>
                <w:sz w:val="22"/>
                <w:szCs w:val="22"/>
              </w:rPr>
            </w:pPr>
          </w:p>
        </w:tc>
      </w:tr>
      <w:tr w:rsidR="002B6EEF" w14:paraId="29D62AEE" w14:textId="77777777" w:rsidTr="00785487">
        <w:tc>
          <w:tcPr>
            <w:tcW w:w="1710" w:type="dxa"/>
          </w:tcPr>
          <w:p w14:paraId="22340534" w14:textId="77777777" w:rsidR="002B6EEF" w:rsidRPr="00D924F4" w:rsidRDefault="002B6EEF" w:rsidP="007B752D">
            <w:pPr>
              <w:jc w:val="center"/>
              <w:rPr>
                <w:b/>
                <w:bCs/>
                <w:color w:val="000000"/>
                <w:sz w:val="22"/>
                <w:szCs w:val="22"/>
              </w:rPr>
            </w:pPr>
            <w:r w:rsidRPr="00D924F4">
              <w:rPr>
                <w:b/>
                <w:bCs/>
                <w:color w:val="000000"/>
                <w:sz w:val="22"/>
                <w:szCs w:val="22"/>
              </w:rPr>
              <w:t>Royalty Payment Streams—intellectual property, movie rights, drug rights</w:t>
            </w:r>
          </w:p>
        </w:tc>
        <w:tc>
          <w:tcPr>
            <w:tcW w:w="4590" w:type="dxa"/>
          </w:tcPr>
          <w:p w14:paraId="40B873B5" w14:textId="77777777" w:rsidR="002B6EEF" w:rsidRPr="00D924F4" w:rsidRDefault="002B6EEF" w:rsidP="007B752D">
            <w:pPr>
              <w:rPr>
                <w:color w:val="000000"/>
                <w:sz w:val="22"/>
                <w:szCs w:val="22"/>
              </w:rPr>
            </w:pPr>
            <w:r w:rsidRPr="00D924F4">
              <w:rPr>
                <w:color w:val="000000"/>
                <w:sz w:val="22"/>
                <w:szCs w:val="22"/>
              </w:rPr>
              <w:t>Occurs when a corporation or individual wishes to monetize future fixed payment streams that are usually already legally set forth in the contract. An SPE is established, and debt issued to buyout the original recipient of future royalty payments.  The right to receive royalty payments is then assigned to the SPE; and cash flows received from the royalty payments are usually sufficient to fully cover debt service.</w:t>
            </w:r>
          </w:p>
        </w:tc>
        <w:tc>
          <w:tcPr>
            <w:tcW w:w="2430" w:type="dxa"/>
          </w:tcPr>
          <w:p w14:paraId="7F3BBC18"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No, these generally do not convert into cash in a finite time period. However, royalty securitizations are viewed as asset backed securities in the financial markets due to use of bankruptcy remote entities and predictable cash flows.</w:t>
            </w:r>
          </w:p>
        </w:tc>
        <w:tc>
          <w:tcPr>
            <w:tcW w:w="2610" w:type="dxa"/>
          </w:tcPr>
          <w:p w14:paraId="31ABE0A7"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No, these generally are not self-liquidating financial assets. However, royalty securitizations are viewed as asset backed securities in the financial markets due to use of bankruptcy remote entities and predictable cash flows.</w:t>
            </w:r>
          </w:p>
        </w:tc>
      </w:tr>
      <w:tr w:rsidR="002B6EEF" w14:paraId="5765E04D" w14:textId="77777777" w:rsidTr="00785487">
        <w:tc>
          <w:tcPr>
            <w:tcW w:w="1710" w:type="dxa"/>
          </w:tcPr>
          <w:p w14:paraId="1839B226" w14:textId="77777777" w:rsidR="002B6EEF" w:rsidRPr="00D924F4" w:rsidRDefault="002B6EEF" w:rsidP="007B752D">
            <w:pPr>
              <w:jc w:val="center"/>
              <w:rPr>
                <w:b/>
                <w:bCs/>
                <w:color w:val="000000"/>
                <w:sz w:val="22"/>
                <w:szCs w:val="22"/>
              </w:rPr>
            </w:pPr>
            <w:r w:rsidRPr="00D924F4">
              <w:rPr>
                <w:b/>
                <w:bCs/>
                <w:color w:val="000000"/>
                <w:sz w:val="22"/>
                <w:szCs w:val="22"/>
              </w:rPr>
              <w:t xml:space="preserve">Future Flow Receivables </w:t>
            </w:r>
          </w:p>
        </w:tc>
        <w:tc>
          <w:tcPr>
            <w:tcW w:w="4590" w:type="dxa"/>
          </w:tcPr>
          <w:p w14:paraId="78740C6E" w14:textId="77777777" w:rsidR="002B6EEF" w:rsidRPr="00D924F4" w:rsidRDefault="002B6EEF" w:rsidP="007B752D">
            <w:pPr>
              <w:rPr>
                <w:color w:val="000000"/>
                <w:sz w:val="22"/>
                <w:szCs w:val="22"/>
              </w:rPr>
            </w:pPr>
            <w:r w:rsidRPr="00D924F4">
              <w:rPr>
                <w:color w:val="000000"/>
                <w:sz w:val="22"/>
                <w:szCs w:val="22"/>
              </w:rPr>
              <w:t xml:space="preserve">Future flow securitizations are those where at the time of the securitization, the pre-set receivables backing the securitization are not of equivalent or higher value than the debt that was issued by the SPV.  For example, the receivables may increase or decrease due to volume or usage (e.g. tollway usage).  Other examples are whole business securitizations of franchises where the franchisor securitizes its right to receive fees from </w:t>
            </w:r>
            <w:r w:rsidRPr="00D924F4">
              <w:rPr>
                <w:color w:val="000000"/>
                <w:sz w:val="22"/>
                <w:szCs w:val="22"/>
              </w:rPr>
              <w:lastRenderedPageBreak/>
              <w:t xml:space="preserve">franchisees for providing contractual services to the franchisee.  </w:t>
            </w:r>
          </w:p>
        </w:tc>
        <w:tc>
          <w:tcPr>
            <w:tcW w:w="2430" w:type="dxa"/>
          </w:tcPr>
          <w:p w14:paraId="170DD3BF"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Typically, no. However, future flow receivable securitizations are viewed as asset backed securities in the financial markets due to use of bankruptcy remote </w:t>
            </w:r>
            <w:r w:rsidRPr="00D924F4">
              <w:rPr>
                <w:rFonts w:cs="Times New Roman"/>
                <w:sz w:val="22"/>
                <w:szCs w:val="22"/>
              </w:rPr>
              <w:lastRenderedPageBreak/>
              <w:t>entities and predictable cash flows.</w:t>
            </w:r>
          </w:p>
        </w:tc>
        <w:tc>
          <w:tcPr>
            <w:tcW w:w="2610" w:type="dxa"/>
          </w:tcPr>
          <w:p w14:paraId="0880FC90"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Typically, no.  Some future flow receivables transactions may be 1934 Act asset-backed securities if (i) the amount of receivables at issuance is high enough that payments on the securities depend primarily on the cash </w:t>
            </w:r>
            <w:r w:rsidRPr="00D924F4">
              <w:rPr>
                <w:rFonts w:cs="Times New Roman"/>
                <w:sz w:val="22"/>
                <w:szCs w:val="22"/>
              </w:rPr>
              <w:lastRenderedPageBreak/>
              <w:t>flows on the existing receivables, rather than on the generation of new receivables, (ii) the contract under which new receivables arise is itself a self-liquidating financial asset, or (iii) the securitization includes additional self-liquidating assets in the pool, such as a sponsor note secured by existing and future receivables. Future flow receivables deals are viewed as asset backed securities in the financial markets due to use of bankruptcy remote entities and predictable cash flows.</w:t>
            </w:r>
          </w:p>
        </w:tc>
      </w:tr>
      <w:tr w:rsidR="002B6EEF" w14:paraId="062B0464" w14:textId="77777777" w:rsidTr="00785487">
        <w:tc>
          <w:tcPr>
            <w:tcW w:w="1710" w:type="dxa"/>
          </w:tcPr>
          <w:p w14:paraId="7A5AC874" w14:textId="77777777" w:rsidR="002B6EEF" w:rsidRPr="00D924F4" w:rsidRDefault="002B6EEF" w:rsidP="007B752D">
            <w:pPr>
              <w:jc w:val="center"/>
              <w:rPr>
                <w:b/>
                <w:bCs/>
                <w:color w:val="000000"/>
                <w:sz w:val="22"/>
                <w:szCs w:val="22"/>
              </w:rPr>
            </w:pPr>
            <w:r w:rsidRPr="00D924F4">
              <w:rPr>
                <w:b/>
                <w:bCs/>
                <w:color w:val="000000"/>
                <w:sz w:val="22"/>
                <w:szCs w:val="22"/>
              </w:rPr>
              <w:lastRenderedPageBreak/>
              <w:t>Collateralized Fund Obligation with Firm Schedule of CF Repayment</w:t>
            </w:r>
          </w:p>
        </w:tc>
        <w:tc>
          <w:tcPr>
            <w:tcW w:w="4590" w:type="dxa"/>
          </w:tcPr>
          <w:p w14:paraId="07C90C38" w14:textId="77777777" w:rsidR="002B6EEF" w:rsidRPr="00D924F4" w:rsidRDefault="002B6EEF" w:rsidP="007B752D">
            <w:pPr>
              <w:rPr>
                <w:color w:val="000000"/>
                <w:sz w:val="22"/>
                <w:szCs w:val="22"/>
              </w:rPr>
            </w:pPr>
            <w:r w:rsidRPr="00D924F4">
              <w:rPr>
                <w:color w:val="000000"/>
                <w:sz w:val="22"/>
                <w:szCs w:val="22"/>
              </w:rPr>
              <w:t xml:space="preserve">Debt is issued from an SPE that owns a seasoned pool of LP interests in PE funds diversified across vintage, strategy and manager.  Cash distributions from the underlying funds over time are used to pay interest and principal of the notes, with the remainder going to the equity.  The debt is tranched into one or more categories, with junior debt and equity supporting the senior class.  Prepayment risk is addressed through call protection, although investors are exposed to extension risk due to the distribution characteristics of the underlying PE funds holdings. Most have liquidity facility to cover cash flow timing differences.  </w:t>
            </w:r>
          </w:p>
        </w:tc>
        <w:tc>
          <w:tcPr>
            <w:tcW w:w="2430" w:type="dxa"/>
          </w:tcPr>
          <w:p w14:paraId="46E68068"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no.  PE funds generally do not convert into cash in a finite time period. Although probably not asset backed securities under these regulations, these are debt securities similar to corporate debt.</w:t>
            </w:r>
          </w:p>
        </w:tc>
        <w:tc>
          <w:tcPr>
            <w:tcW w:w="2610" w:type="dxa"/>
          </w:tcPr>
          <w:p w14:paraId="13D8FB3D"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no.  PE funds generally are not self-liquidating financial assets. Although probably not asset backed securities under these regulations, these are debt securities similar to corporate debt.</w:t>
            </w:r>
          </w:p>
        </w:tc>
      </w:tr>
      <w:tr w:rsidR="002B6EEF" w14:paraId="15DEF6B7" w14:textId="77777777" w:rsidTr="00785487">
        <w:tc>
          <w:tcPr>
            <w:tcW w:w="1710" w:type="dxa"/>
          </w:tcPr>
          <w:p w14:paraId="3B5430C4" w14:textId="77777777" w:rsidR="002B6EEF" w:rsidRPr="00D924F4" w:rsidRDefault="002B6EEF" w:rsidP="007B752D">
            <w:pPr>
              <w:jc w:val="center"/>
              <w:rPr>
                <w:b/>
                <w:bCs/>
                <w:color w:val="000000"/>
                <w:sz w:val="22"/>
                <w:szCs w:val="22"/>
              </w:rPr>
            </w:pPr>
            <w:r w:rsidRPr="00D924F4">
              <w:rPr>
                <w:b/>
                <w:bCs/>
                <w:color w:val="000000"/>
                <w:sz w:val="22"/>
                <w:szCs w:val="22"/>
              </w:rPr>
              <w:t xml:space="preserve">Other examples of debt issued by CFO-like structures but are not viewed as SPVs.  Most are Closed-end Funds (“CEFs”), Holding Companies (e.g. Utilities, Berkshire Hathaway), Business </w:t>
            </w:r>
            <w:r w:rsidRPr="00D924F4">
              <w:rPr>
                <w:b/>
                <w:bCs/>
                <w:color w:val="000000"/>
                <w:sz w:val="22"/>
                <w:szCs w:val="22"/>
              </w:rPr>
              <w:lastRenderedPageBreak/>
              <w:t>Development Corporations</w:t>
            </w:r>
          </w:p>
        </w:tc>
        <w:tc>
          <w:tcPr>
            <w:tcW w:w="4590" w:type="dxa"/>
          </w:tcPr>
          <w:p w14:paraId="27DFB123" w14:textId="77777777" w:rsidR="002B6EEF" w:rsidRPr="00D924F4" w:rsidRDefault="002B6EEF" w:rsidP="007B752D">
            <w:pPr>
              <w:rPr>
                <w:color w:val="000000"/>
                <w:sz w:val="22"/>
                <w:szCs w:val="22"/>
              </w:rPr>
            </w:pPr>
            <w:r w:rsidRPr="00D924F4">
              <w:rPr>
                <w:color w:val="000000"/>
                <w:sz w:val="22"/>
                <w:szCs w:val="22"/>
              </w:rPr>
              <w:lastRenderedPageBreak/>
              <w:t>CEFs are listed 1940 Act vehicles that invest in equity or debt securities, are another example of securities that in many instances are backed by equity holdings. These funds often use borrowed money, or debt to enhance the expected returns for shareholders in the funds.  The debt issued by the CEFs is serviced from dividend and interest income generated by portfolio holdings.  CEFs in effect use debt as margin financing. The 1940 Act reflects this reality with certain built in protections for lenders, and lenders to CEFs often impose additional limits on the use of leverage, such as debt covenants.</w:t>
            </w:r>
            <w:r w:rsidRPr="00D924F4">
              <w:rPr>
                <w:color w:val="000000"/>
                <w:sz w:val="22"/>
                <w:szCs w:val="22"/>
              </w:rPr>
              <w:br/>
            </w:r>
            <w:r w:rsidRPr="00D924F4">
              <w:rPr>
                <w:color w:val="000000"/>
                <w:sz w:val="22"/>
                <w:szCs w:val="22"/>
              </w:rPr>
              <w:br/>
              <w:t xml:space="preserve">The other examples such as Holding companies </w:t>
            </w:r>
            <w:r w:rsidRPr="00D924F4">
              <w:rPr>
                <w:color w:val="000000"/>
                <w:sz w:val="22"/>
                <w:szCs w:val="22"/>
              </w:rPr>
              <w:lastRenderedPageBreak/>
              <w:t xml:space="preserve">and business development corporations, which own equity interest in other entities. </w:t>
            </w:r>
          </w:p>
        </w:tc>
        <w:tc>
          <w:tcPr>
            <w:tcW w:w="2430" w:type="dxa"/>
          </w:tcPr>
          <w:p w14:paraId="4B9B4EB3"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Typically, no. Although probably not asset backed securities, these are debt securities similar to corporate debt.</w:t>
            </w:r>
          </w:p>
        </w:tc>
        <w:tc>
          <w:tcPr>
            <w:tcW w:w="2610" w:type="dxa"/>
          </w:tcPr>
          <w:p w14:paraId="202711B4"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no. Although probably not asset backed securities, these are debt securities similar to corporate debt.</w:t>
            </w:r>
          </w:p>
        </w:tc>
      </w:tr>
      <w:tr w:rsidR="002B6EEF" w14:paraId="19594E83" w14:textId="77777777" w:rsidTr="00785487">
        <w:tc>
          <w:tcPr>
            <w:tcW w:w="1710" w:type="dxa"/>
          </w:tcPr>
          <w:p w14:paraId="25AB9988" w14:textId="77777777" w:rsidR="002B6EEF" w:rsidRPr="00D924F4" w:rsidRDefault="002B6EEF" w:rsidP="007B752D">
            <w:pPr>
              <w:jc w:val="center"/>
              <w:rPr>
                <w:b/>
                <w:bCs/>
                <w:color w:val="000000"/>
                <w:sz w:val="22"/>
                <w:szCs w:val="22"/>
              </w:rPr>
            </w:pPr>
            <w:r w:rsidRPr="00D924F4">
              <w:rPr>
                <w:b/>
                <w:bCs/>
                <w:color w:val="000000"/>
                <w:sz w:val="22"/>
                <w:szCs w:val="22"/>
              </w:rPr>
              <w:t>Project Finance Debt</w:t>
            </w:r>
          </w:p>
        </w:tc>
        <w:tc>
          <w:tcPr>
            <w:tcW w:w="4590" w:type="dxa"/>
          </w:tcPr>
          <w:p w14:paraId="432DC215" w14:textId="77777777" w:rsidR="002B6EEF" w:rsidRPr="00D924F4" w:rsidRDefault="002B6EEF" w:rsidP="007B752D">
            <w:pPr>
              <w:rPr>
                <w:color w:val="000000"/>
                <w:sz w:val="22"/>
                <w:szCs w:val="22"/>
              </w:rPr>
            </w:pPr>
            <w:r w:rsidRPr="00D924F4">
              <w:rPr>
                <w:color w:val="000000"/>
                <w:sz w:val="22"/>
                <w:szCs w:val="22"/>
              </w:rPr>
              <w:t>Long term debt issued by an SPE or limited liability corp. to fund a stand-alone capital investment.  The SPE/LLC will own the project assets, and the cash flows generated from operating the project are the source of debt repayment.  In this sense, the project can be viewed as a small, standalone Credit Entity.  Debtholders have a pledge of collateral in the project cash flows, any contingency reserve accounts and often the project asset itself (often through step-in or cure rights).</w:t>
            </w:r>
          </w:p>
        </w:tc>
        <w:tc>
          <w:tcPr>
            <w:tcW w:w="2430" w:type="dxa"/>
          </w:tcPr>
          <w:p w14:paraId="4D7B8B00"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No, the project assets are not assets that by their terms convert into cash in a finite time period. Although probably not asset backed securities, these are debt securities similar to corporate debt.</w:t>
            </w:r>
          </w:p>
        </w:tc>
        <w:tc>
          <w:tcPr>
            <w:tcW w:w="2610" w:type="dxa"/>
          </w:tcPr>
          <w:p w14:paraId="17906402"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No, the project assets are not self-liquidating financial assets. Although probably not asset backed securities, these are debt securities similar to corporate debt.</w:t>
            </w:r>
          </w:p>
        </w:tc>
      </w:tr>
      <w:tr w:rsidR="002B6EEF" w14:paraId="5FE13C54" w14:textId="77777777" w:rsidTr="00785487">
        <w:tc>
          <w:tcPr>
            <w:tcW w:w="1710" w:type="dxa"/>
          </w:tcPr>
          <w:p w14:paraId="1225AA65" w14:textId="77777777" w:rsidR="002B6EEF" w:rsidRPr="00D924F4" w:rsidRDefault="002B6EEF" w:rsidP="007B752D">
            <w:pPr>
              <w:jc w:val="center"/>
              <w:rPr>
                <w:b/>
                <w:bCs/>
                <w:color w:val="000000"/>
                <w:sz w:val="22"/>
                <w:szCs w:val="22"/>
              </w:rPr>
            </w:pPr>
            <w:r w:rsidRPr="00D924F4">
              <w:rPr>
                <w:b/>
                <w:bCs/>
                <w:color w:val="000000"/>
                <w:sz w:val="22"/>
                <w:szCs w:val="22"/>
              </w:rPr>
              <w:t>Special Revenue Municipal Bonds</w:t>
            </w:r>
          </w:p>
        </w:tc>
        <w:tc>
          <w:tcPr>
            <w:tcW w:w="4590" w:type="dxa"/>
          </w:tcPr>
          <w:p w14:paraId="4A069E03" w14:textId="77777777" w:rsidR="002B6EEF" w:rsidRPr="00D924F4" w:rsidRDefault="002B6EEF" w:rsidP="007B752D">
            <w:pPr>
              <w:rPr>
                <w:color w:val="000000"/>
                <w:sz w:val="22"/>
                <w:szCs w:val="22"/>
              </w:rPr>
            </w:pPr>
            <w:r w:rsidRPr="00D924F4">
              <w:rPr>
                <w:color w:val="000000"/>
                <w:sz w:val="22"/>
                <w:szCs w:val="22"/>
              </w:rPr>
              <w:t>Issuer Obligation - Backed by "special" revenue generating activity of the municipality AND operates as a business - Toll Roads and Bridges, Water and Wastewater, Airports, Seaports, and Transportation Hubs, Power Plants and Electrical Generation Facilities.  The bond is issued by a division of the municipality and may or may not be issued by an SPV.</w:t>
            </w:r>
          </w:p>
        </w:tc>
        <w:tc>
          <w:tcPr>
            <w:tcW w:w="2430" w:type="dxa"/>
          </w:tcPr>
          <w:p w14:paraId="7AE8B134"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Depends on type of structure, typically not considered to convert by their terms into cash within a finite time period if the fee requires some future action, such as performing a service, which typically would not be considered a financial asset that converts by its terms into cash.  If the fees are already earned due to prior service and the fee is simply deferred, then it may be considered a financial asset that converts by its terms into cash.</w:t>
            </w:r>
          </w:p>
        </w:tc>
        <w:tc>
          <w:tcPr>
            <w:tcW w:w="2610" w:type="dxa"/>
          </w:tcPr>
          <w:p w14:paraId="4BE3091B"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Depends on type of structure, typically not considered self-liquidating financial assets if the fee requires some future action, such as performing a service, which typically would not be considered self-liquidating financial assets.  If the fees are already earned due to prior service and the fee is simply deferred, then it may be considered self-liquidating financial assets. </w:t>
            </w:r>
          </w:p>
        </w:tc>
      </w:tr>
      <w:tr w:rsidR="002B6EEF" w14:paraId="5D3C069A" w14:textId="77777777" w:rsidTr="00785487">
        <w:tc>
          <w:tcPr>
            <w:tcW w:w="1710" w:type="dxa"/>
          </w:tcPr>
          <w:p w14:paraId="5ED45574" w14:textId="77777777" w:rsidR="002B6EEF" w:rsidRPr="00D924F4" w:rsidRDefault="002B6EEF" w:rsidP="007B752D">
            <w:pPr>
              <w:jc w:val="center"/>
              <w:rPr>
                <w:b/>
                <w:bCs/>
                <w:color w:val="000000"/>
                <w:sz w:val="22"/>
                <w:szCs w:val="22"/>
              </w:rPr>
            </w:pPr>
            <w:r w:rsidRPr="00D924F4">
              <w:rPr>
                <w:b/>
                <w:bCs/>
                <w:color w:val="000000"/>
                <w:sz w:val="22"/>
                <w:szCs w:val="22"/>
              </w:rPr>
              <w:t>Special Revenue Municipal Bonds</w:t>
            </w:r>
          </w:p>
        </w:tc>
        <w:tc>
          <w:tcPr>
            <w:tcW w:w="4590" w:type="dxa"/>
          </w:tcPr>
          <w:p w14:paraId="12DF3569" w14:textId="77777777" w:rsidR="002B6EEF" w:rsidRPr="00D924F4" w:rsidRDefault="002B6EEF" w:rsidP="007B752D">
            <w:pPr>
              <w:rPr>
                <w:color w:val="000000"/>
                <w:sz w:val="22"/>
                <w:szCs w:val="22"/>
              </w:rPr>
            </w:pPr>
            <w:r w:rsidRPr="00D924F4">
              <w:rPr>
                <w:color w:val="000000"/>
                <w:sz w:val="22"/>
                <w:szCs w:val="22"/>
              </w:rPr>
              <w:t>LBASS - Backed by "special" revenue generating activity of the municipality AND does not operate as a business and assets in blind trust - Student loan bonds, Tobacco Settlement Bonds (based on contractually set cash flows either for legal fees or payments to be received by states), some Housing bonds.</w:t>
            </w:r>
          </w:p>
        </w:tc>
        <w:tc>
          <w:tcPr>
            <w:tcW w:w="2430" w:type="dxa"/>
          </w:tcPr>
          <w:p w14:paraId="1810B0B3"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Depends on the underlying asset and the rights conveyed.  Tobacco settlement bonds are typically comparable to other structured settlement securitizations; other special revenue municipal bonds are unlikely to be supported by self-liquidating financial assets or assets that by their terms convert into cash in a finite time period.</w:t>
            </w:r>
          </w:p>
        </w:tc>
        <w:tc>
          <w:tcPr>
            <w:tcW w:w="2610" w:type="dxa"/>
          </w:tcPr>
          <w:p w14:paraId="5357754E"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Depends on the underlying asset and the rights conveyed.  Tobacco settlement bonds are typically comparable to other structured settlement securitizations; other special revenue municipal bonds are unlikely to be supported by self-liquidating financial assets or assets that by their terms convert into cash in a finite time period.</w:t>
            </w:r>
          </w:p>
        </w:tc>
      </w:tr>
      <w:tr w:rsidR="002B6EEF" w14:paraId="6460C2A0" w14:textId="77777777" w:rsidTr="00785487">
        <w:tc>
          <w:tcPr>
            <w:tcW w:w="1710" w:type="dxa"/>
          </w:tcPr>
          <w:p w14:paraId="62D636E8" w14:textId="77777777" w:rsidR="002B6EEF" w:rsidRPr="00D924F4" w:rsidRDefault="002B6EEF" w:rsidP="007B752D">
            <w:pPr>
              <w:jc w:val="center"/>
              <w:rPr>
                <w:b/>
                <w:bCs/>
                <w:color w:val="000000"/>
                <w:sz w:val="22"/>
                <w:szCs w:val="22"/>
              </w:rPr>
            </w:pPr>
            <w:r w:rsidRPr="00D924F4">
              <w:rPr>
                <w:b/>
                <w:bCs/>
                <w:color w:val="000000"/>
                <w:sz w:val="22"/>
                <w:szCs w:val="22"/>
              </w:rPr>
              <w:lastRenderedPageBreak/>
              <w:t>NFL/NBA/MLB/NHL Bonds</w:t>
            </w:r>
          </w:p>
        </w:tc>
        <w:tc>
          <w:tcPr>
            <w:tcW w:w="4590" w:type="dxa"/>
          </w:tcPr>
          <w:p w14:paraId="4F0550E0" w14:textId="77777777" w:rsidR="002B6EEF" w:rsidRPr="00D924F4" w:rsidRDefault="002B6EEF" w:rsidP="007B752D">
            <w:pPr>
              <w:rPr>
                <w:color w:val="000000"/>
                <w:sz w:val="22"/>
                <w:szCs w:val="22"/>
              </w:rPr>
            </w:pPr>
            <w:r w:rsidRPr="00D924F4">
              <w:rPr>
                <w:color w:val="000000"/>
                <w:sz w:val="22"/>
                <w:szCs w:val="22"/>
              </w:rPr>
              <w:t>An almost infinite variety of deals [League Deals Backed By Media Revenue, League Deals Backed By General Revenue, Team Deals, Stadium Deals] held by a majority of life insurance companies.  There is usually a separate SPV that pledges revenue (from the different sources listed under Collateral Type) to the entity to service the debt issued.</w:t>
            </w:r>
          </w:p>
          <w:p w14:paraId="19FC7F1D" w14:textId="77777777" w:rsidR="002B6EEF" w:rsidRPr="00D924F4" w:rsidRDefault="002B6EEF" w:rsidP="007B752D">
            <w:pPr>
              <w:rPr>
                <w:color w:val="000000"/>
                <w:sz w:val="22"/>
                <w:szCs w:val="22"/>
              </w:rPr>
            </w:pPr>
          </w:p>
          <w:p w14:paraId="06A537EE" w14:textId="77777777" w:rsidR="002B6EEF" w:rsidRPr="00D924F4" w:rsidRDefault="002B6EEF" w:rsidP="007B752D">
            <w:pPr>
              <w:rPr>
                <w:color w:val="000000"/>
                <w:sz w:val="22"/>
                <w:szCs w:val="22"/>
              </w:rPr>
            </w:pPr>
            <w:r w:rsidRPr="00D924F4">
              <w:rPr>
                <w:color w:val="000000"/>
                <w:sz w:val="22"/>
                <w:szCs w:val="22"/>
              </w:rPr>
              <w:t>Debt obligations can be serviced by sources of revenue (often contractual in nature) such as:</w:t>
            </w:r>
          </w:p>
          <w:p w14:paraId="0B5F6860" w14:textId="77777777" w:rsidR="002B6EEF" w:rsidRPr="00D924F4" w:rsidRDefault="002B6EEF" w:rsidP="007B752D">
            <w:pPr>
              <w:rPr>
                <w:color w:val="000000"/>
                <w:sz w:val="22"/>
                <w:szCs w:val="22"/>
              </w:rPr>
            </w:pPr>
            <w:r w:rsidRPr="00D924F4">
              <w:rPr>
                <w:color w:val="000000"/>
                <w:sz w:val="22"/>
                <w:szCs w:val="22"/>
              </w:rPr>
              <w:t xml:space="preserve">-Television revenues, </w:t>
            </w:r>
          </w:p>
          <w:p w14:paraId="6633E637" w14:textId="77777777" w:rsidR="002B6EEF" w:rsidRPr="00D924F4" w:rsidRDefault="002B6EEF" w:rsidP="007B752D">
            <w:pPr>
              <w:rPr>
                <w:color w:val="000000"/>
                <w:sz w:val="22"/>
                <w:szCs w:val="22"/>
              </w:rPr>
            </w:pPr>
            <w:r w:rsidRPr="00D924F4">
              <w:rPr>
                <w:color w:val="000000"/>
                <w:sz w:val="22"/>
                <w:szCs w:val="22"/>
              </w:rPr>
              <w:t>-Team franchise rights,</w:t>
            </w:r>
          </w:p>
          <w:p w14:paraId="7013C6C9" w14:textId="77777777" w:rsidR="002B6EEF" w:rsidRPr="00D924F4" w:rsidRDefault="002B6EEF" w:rsidP="007B752D">
            <w:pPr>
              <w:rPr>
                <w:color w:val="000000"/>
                <w:sz w:val="22"/>
                <w:szCs w:val="22"/>
              </w:rPr>
            </w:pPr>
            <w:r w:rsidRPr="00D924F4">
              <w:rPr>
                <w:color w:val="000000"/>
                <w:sz w:val="22"/>
                <w:szCs w:val="22"/>
              </w:rPr>
              <w:t>- Member Club Assessments,</w:t>
            </w:r>
          </w:p>
          <w:p w14:paraId="41BE020F" w14:textId="77777777" w:rsidR="002B6EEF" w:rsidRPr="00D924F4" w:rsidRDefault="002B6EEF" w:rsidP="007B752D">
            <w:pPr>
              <w:rPr>
                <w:color w:val="000000"/>
                <w:sz w:val="22"/>
                <w:szCs w:val="22"/>
              </w:rPr>
            </w:pPr>
            <w:r w:rsidRPr="00D924F4">
              <w:rPr>
                <w:color w:val="000000"/>
                <w:sz w:val="22"/>
                <w:szCs w:val="22"/>
              </w:rPr>
              <w:t>-Ticket Sales/ticketing fees</w:t>
            </w:r>
          </w:p>
          <w:p w14:paraId="3161C8CD" w14:textId="77777777" w:rsidR="002B6EEF" w:rsidRPr="00D924F4" w:rsidRDefault="002B6EEF" w:rsidP="007B752D">
            <w:pPr>
              <w:rPr>
                <w:color w:val="000000"/>
                <w:sz w:val="22"/>
                <w:szCs w:val="22"/>
              </w:rPr>
            </w:pPr>
            <w:r w:rsidRPr="00D924F4">
              <w:rPr>
                <w:color w:val="000000"/>
                <w:sz w:val="22"/>
                <w:szCs w:val="22"/>
              </w:rPr>
              <w:t>- Participating Club Assets,</w:t>
            </w:r>
          </w:p>
          <w:p w14:paraId="0F6121AA" w14:textId="77777777" w:rsidR="002B6EEF" w:rsidRPr="00D924F4" w:rsidRDefault="002B6EEF" w:rsidP="007B752D">
            <w:pPr>
              <w:rPr>
                <w:color w:val="000000"/>
                <w:sz w:val="22"/>
                <w:szCs w:val="22"/>
              </w:rPr>
            </w:pPr>
            <w:r w:rsidRPr="00D924F4">
              <w:rPr>
                <w:color w:val="000000"/>
                <w:sz w:val="22"/>
                <w:szCs w:val="22"/>
              </w:rPr>
              <w:t>- Naming rights</w:t>
            </w:r>
          </w:p>
          <w:p w14:paraId="1C552B49" w14:textId="77777777" w:rsidR="002B6EEF" w:rsidRPr="00D924F4" w:rsidRDefault="002B6EEF" w:rsidP="007B752D">
            <w:pPr>
              <w:rPr>
                <w:color w:val="000000"/>
                <w:sz w:val="22"/>
                <w:szCs w:val="22"/>
              </w:rPr>
            </w:pPr>
            <w:r w:rsidRPr="00D924F4">
              <w:rPr>
                <w:color w:val="000000"/>
                <w:sz w:val="22"/>
                <w:szCs w:val="22"/>
              </w:rPr>
              <w:t>- Sponsorships/advertising</w:t>
            </w:r>
          </w:p>
          <w:p w14:paraId="0A6A4FA9" w14:textId="77777777" w:rsidR="002B6EEF" w:rsidRPr="00D924F4" w:rsidRDefault="002B6EEF" w:rsidP="007B752D">
            <w:pPr>
              <w:rPr>
                <w:color w:val="000000"/>
                <w:sz w:val="22"/>
                <w:szCs w:val="22"/>
              </w:rPr>
            </w:pPr>
            <w:r w:rsidRPr="00D924F4">
              <w:rPr>
                <w:color w:val="000000"/>
                <w:sz w:val="22"/>
                <w:szCs w:val="22"/>
              </w:rPr>
              <w:t>- Suite fees and premiums</w:t>
            </w:r>
          </w:p>
          <w:p w14:paraId="2B7ECC74" w14:textId="77777777" w:rsidR="002B6EEF" w:rsidRPr="00D924F4" w:rsidRDefault="002B6EEF" w:rsidP="007B752D">
            <w:pPr>
              <w:rPr>
                <w:color w:val="000000"/>
                <w:sz w:val="22"/>
                <w:szCs w:val="22"/>
              </w:rPr>
            </w:pPr>
            <w:r w:rsidRPr="00D924F4">
              <w:rPr>
                <w:color w:val="000000"/>
                <w:sz w:val="22"/>
                <w:szCs w:val="22"/>
              </w:rPr>
              <w:t>- Concessions</w:t>
            </w:r>
          </w:p>
          <w:p w14:paraId="3A76519D" w14:textId="77777777" w:rsidR="002B6EEF" w:rsidRPr="00D924F4" w:rsidRDefault="002B6EEF" w:rsidP="007B752D">
            <w:pPr>
              <w:rPr>
                <w:color w:val="000000"/>
                <w:sz w:val="22"/>
                <w:szCs w:val="22"/>
              </w:rPr>
            </w:pPr>
            <w:r w:rsidRPr="00D924F4">
              <w:rPr>
                <w:color w:val="000000"/>
                <w:sz w:val="22"/>
                <w:szCs w:val="22"/>
              </w:rPr>
              <w:t xml:space="preserve">- Parking </w:t>
            </w:r>
          </w:p>
          <w:p w14:paraId="6825B4D9" w14:textId="77777777" w:rsidR="002B6EEF" w:rsidRPr="00D924F4" w:rsidRDefault="002B6EEF" w:rsidP="007B752D">
            <w:pPr>
              <w:rPr>
                <w:color w:val="000000"/>
                <w:sz w:val="22"/>
                <w:szCs w:val="22"/>
              </w:rPr>
            </w:pPr>
            <w:r w:rsidRPr="00D924F4">
              <w:rPr>
                <w:color w:val="000000"/>
                <w:sz w:val="22"/>
                <w:szCs w:val="22"/>
              </w:rPr>
              <w:t>-Non-TeamCo events</w:t>
            </w:r>
          </w:p>
          <w:p w14:paraId="0997C73F" w14:textId="77777777" w:rsidR="002B6EEF" w:rsidRPr="00D924F4" w:rsidRDefault="002B6EEF" w:rsidP="007B752D">
            <w:pPr>
              <w:rPr>
                <w:color w:val="000000"/>
                <w:sz w:val="22"/>
                <w:szCs w:val="22"/>
              </w:rPr>
            </w:pPr>
            <w:r w:rsidRPr="00D924F4">
              <w:rPr>
                <w:color w:val="000000"/>
                <w:sz w:val="22"/>
                <w:szCs w:val="22"/>
              </w:rPr>
              <w:t>-Team rent payments</w:t>
            </w:r>
          </w:p>
          <w:p w14:paraId="1EC36A45" w14:textId="77777777" w:rsidR="002B6EEF" w:rsidRPr="00D924F4" w:rsidRDefault="002B6EEF" w:rsidP="007B752D">
            <w:pPr>
              <w:rPr>
                <w:color w:val="000000"/>
                <w:sz w:val="22"/>
                <w:szCs w:val="22"/>
              </w:rPr>
            </w:pPr>
            <w:r w:rsidRPr="00D924F4">
              <w:rPr>
                <w:color w:val="000000"/>
                <w:sz w:val="22"/>
                <w:szCs w:val="22"/>
              </w:rPr>
              <w:t>-Premium seat licenses</w:t>
            </w:r>
          </w:p>
        </w:tc>
        <w:tc>
          <w:tcPr>
            <w:tcW w:w="2430" w:type="dxa"/>
          </w:tcPr>
          <w:p w14:paraId="49D09D40"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Depends on the nature of the underlying assets.  If the issuing entity holds secured debt from the club or league, that is likely an asset that converts to cash in a finite time period.  Media rights do not so convert, whereas a committed payment stream under an advertising contract might, depending on the contingencies affecting payments.  The right to ticket sale proceeds likely does not qualify.  Stadium bonds probably do not qualify, in the same way that other project finance does not. For the types of structures that may not fit in the scope of this regulation, they would typically be viewed as debt securities similar to corporate debt.</w:t>
            </w:r>
          </w:p>
        </w:tc>
        <w:tc>
          <w:tcPr>
            <w:tcW w:w="2610" w:type="dxa"/>
          </w:tcPr>
          <w:p w14:paraId="632D8554"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Depends on the nature of the underlying assets.  If the issuing entity holds secured debt from the club or league, that is likely a self-liquidating financial asset.  Media rights are not self-liquidating, whereas a committed payment stream under an advertising contract might be, depending on the contingencies affecting payments.  The right to ticket sale proceeds likely does not qualify.  Stadium bonds probably do not qualify, in the same way that other project finance does not. For the types of structures that may not fit in the scope of this regulation, they would typically be viewed as debt securities similar to corporate debt.</w:t>
            </w:r>
          </w:p>
        </w:tc>
      </w:tr>
      <w:tr w:rsidR="002B6EEF" w14:paraId="19FE4A42" w14:textId="77777777" w:rsidTr="00785487">
        <w:tc>
          <w:tcPr>
            <w:tcW w:w="1710" w:type="dxa"/>
          </w:tcPr>
          <w:p w14:paraId="6F176F88" w14:textId="77777777" w:rsidR="002B6EEF" w:rsidRPr="00D924F4" w:rsidRDefault="002B6EEF" w:rsidP="007B752D">
            <w:pPr>
              <w:jc w:val="center"/>
              <w:rPr>
                <w:b/>
                <w:bCs/>
                <w:color w:val="000000"/>
                <w:sz w:val="22"/>
                <w:szCs w:val="22"/>
              </w:rPr>
            </w:pPr>
            <w:r w:rsidRPr="00D924F4">
              <w:rPr>
                <w:b/>
                <w:bCs/>
                <w:color w:val="000000"/>
                <w:sz w:val="22"/>
                <w:szCs w:val="22"/>
              </w:rPr>
              <w:t>Global Funding Investments</w:t>
            </w:r>
          </w:p>
        </w:tc>
        <w:tc>
          <w:tcPr>
            <w:tcW w:w="4590" w:type="dxa"/>
          </w:tcPr>
          <w:p w14:paraId="711E9476" w14:textId="77777777" w:rsidR="002B6EEF" w:rsidRPr="00D924F4" w:rsidRDefault="002B6EEF" w:rsidP="007B752D">
            <w:pPr>
              <w:rPr>
                <w:color w:val="000000"/>
                <w:sz w:val="22"/>
                <w:szCs w:val="22"/>
              </w:rPr>
            </w:pPr>
          </w:p>
          <w:p w14:paraId="3D326DFA" w14:textId="77777777" w:rsidR="002B6EEF" w:rsidRPr="00D924F4" w:rsidRDefault="002B6EEF" w:rsidP="007B752D">
            <w:pPr>
              <w:rPr>
                <w:color w:val="000000"/>
                <w:sz w:val="22"/>
                <w:szCs w:val="22"/>
              </w:rPr>
            </w:pPr>
            <w:r w:rsidRPr="00D924F4">
              <w:rPr>
                <w:color w:val="000000"/>
                <w:sz w:val="22"/>
                <w:szCs w:val="22"/>
              </w:rPr>
              <w:t>An insurance company creates a special purpose vehicle to issue a single series of notes. The insurance company enters into a funding agreement with the special purpose vehicle. Cash flows from the funding agreement are used to make principal and interest payments on the notes. The transaction has the following characteristics:</w:t>
            </w:r>
          </w:p>
          <w:p w14:paraId="52B1D414" w14:textId="77777777" w:rsidR="002B6EEF" w:rsidRPr="00D924F4" w:rsidRDefault="002B6EEF" w:rsidP="007B752D">
            <w:pPr>
              <w:rPr>
                <w:color w:val="000000"/>
                <w:sz w:val="22"/>
                <w:szCs w:val="22"/>
              </w:rPr>
            </w:pPr>
            <w:r w:rsidRPr="00D924F4">
              <w:rPr>
                <w:color w:val="000000"/>
                <w:sz w:val="22"/>
                <w:szCs w:val="22"/>
              </w:rPr>
              <w:t>The funding agreement is an insurance product and the direct liability of the insurance company. Payments on the funding agreement are backed by the general account of the insurance company.</w:t>
            </w:r>
          </w:p>
          <w:p w14:paraId="0B21EF51" w14:textId="77777777" w:rsidR="002B6EEF" w:rsidRPr="00D924F4" w:rsidRDefault="002B6EEF" w:rsidP="007B752D">
            <w:pPr>
              <w:rPr>
                <w:color w:val="000000"/>
                <w:sz w:val="22"/>
                <w:szCs w:val="22"/>
              </w:rPr>
            </w:pPr>
            <w:r w:rsidRPr="00D924F4">
              <w:rPr>
                <w:color w:val="000000"/>
                <w:sz w:val="22"/>
                <w:szCs w:val="22"/>
              </w:rPr>
              <w:t xml:space="preserve"> </w:t>
            </w:r>
          </w:p>
          <w:p w14:paraId="2FE6A70E" w14:textId="77777777" w:rsidR="002B6EEF" w:rsidRPr="00D924F4" w:rsidRDefault="002B6EEF" w:rsidP="007B752D">
            <w:pPr>
              <w:rPr>
                <w:color w:val="000000"/>
                <w:sz w:val="22"/>
                <w:szCs w:val="22"/>
              </w:rPr>
            </w:pPr>
            <w:r w:rsidRPr="00D924F4">
              <w:rPr>
                <w:color w:val="000000"/>
                <w:sz w:val="22"/>
                <w:szCs w:val="22"/>
              </w:rPr>
              <w:t>The terms of the notes exactly match the terms of the underlying funding agreement. There are no other credit enhancements for the notes, and only a nominal residual interest in the special purpose vehicle is created for purposes of complying with formation requirements of local law.</w:t>
            </w:r>
          </w:p>
          <w:p w14:paraId="3EA39981" w14:textId="77777777" w:rsidR="002B6EEF" w:rsidRPr="00D924F4" w:rsidRDefault="002B6EEF" w:rsidP="007B752D">
            <w:pPr>
              <w:rPr>
                <w:color w:val="000000"/>
                <w:sz w:val="22"/>
                <w:szCs w:val="22"/>
              </w:rPr>
            </w:pPr>
            <w:r w:rsidRPr="00D924F4">
              <w:rPr>
                <w:color w:val="000000"/>
                <w:sz w:val="22"/>
                <w:szCs w:val="22"/>
              </w:rPr>
              <w:t xml:space="preserve"> </w:t>
            </w:r>
          </w:p>
          <w:p w14:paraId="2544C667" w14:textId="77777777" w:rsidR="002B6EEF" w:rsidRPr="00D924F4" w:rsidRDefault="002B6EEF" w:rsidP="007B752D">
            <w:pPr>
              <w:rPr>
                <w:color w:val="000000"/>
                <w:sz w:val="22"/>
                <w:szCs w:val="22"/>
              </w:rPr>
            </w:pPr>
            <w:r w:rsidRPr="00D924F4">
              <w:rPr>
                <w:color w:val="000000"/>
                <w:sz w:val="22"/>
                <w:szCs w:val="22"/>
              </w:rPr>
              <w:lastRenderedPageBreak/>
              <w:t>Only one series of notes is created with the backing of a particular funding agreement. While the special purpose vehicle may issue multiple series of notes, each series will be backed by one distinct funding agreement.</w:t>
            </w:r>
          </w:p>
          <w:p w14:paraId="5A7C1D68" w14:textId="77777777" w:rsidR="002B6EEF" w:rsidRPr="00D924F4" w:rsidRDefault="002B6EEF" w:rsidP="007B752D">
            <w:pPr>
              <w:rPr>
                <w:color w:val="000000"/>
                <w:sz w:val="22"/>
                <w:szCs w:val="22"/>
              </w:rPr>
            </w:pPr>
          </w:p>
        </w:tc>
        <w:tc>
          <w:tcPr>
            <w:tcW w:w="2430" w:type="dxa"/>
          </w:tcPr>
          <w:p w14:paraId="6680FD44"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No.  The SEC says that it would look through the funding agreement to the general account of the insurance company. Therefore, these are usually treated as corporate debt of an insurance company.</w:t>
            </w:r>
          </w:p>
          <w:p w14:paraId="7D80F569" w14:textId="77777777" w:rsidR="002B6EEF" w:rsidRPr="00D924F4" w:rsidRDefault="002B6EEF" w:rsidP="007B752D">
            <w:pPr>
              <w:pStyle w:val="BodyText1"/>
              <w:ind w:firstLine="0"/>
              <w:rPr>
                <w:rFonts w:cs="Times New Roman"/>
                <w:sz w:val="22"/>
                <w:szCs w:val="22"/>
              </w:rPr>
            </w:pPr>
          </w:p>
        </w:tc>
        <w:tc>
          <w:tcPr>
            <w:tcW w:w="2610" w:type="dxa"/>
          </w:tcPr>
          <w:p w14:paraId="5753C9EF"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No.  The SEC says that it would look through the funding agreement to the general account of the insurance company. Therefore, these are usually treated as corporate debt of an insurance company.</w:t>
            </w:r>
          </w:p>
          <w:p w14:paraId="4476BB5A" w14:textId="77777777" w:rsidR="002B6EEF" w:rsidRPr="00D924F4" w:rsidRDefault="002B6EEF" w:rsidP="007B752D">
            <w:pPr>
              <w:pStyle w:val="BodyText1"/>
              <w:ind w:firstLine="0"/>
              <w:rPr>
                <w:rFonts w:cs="Times New Roman"/>
                <w:sz w:val="22"/>
                <w:szCs w:val="22"/>
              </w:rPr>
            </w:pPr>
          </w:p>
        </w:tc>
      </w:tr>
      <w:tr w:rsidR="002B6EEF" w14:paraId="061B67F2" w14:textId="77777777" w:rsidTr="00785487">
        <w:tc>
          <w:tcPr>
            <w:tcW w:w="1710" w:type="dxa"/>
          </w:tcPr>
          <w:p w14:paraId="4B73824B" w14:textId="77777777" w:rsidR="002B6EEF" w:rsidRPr="00D924F4" w:rsidRDefault="002B6EEF" w:rsidP="007B752D">
            <w:pPr>
              <w:jc w:val="center"/>
              <w:rPr>
                <w:b/>
                <w:bCs/>
                <w:color w:val="000000"/>
                <w:sz w:val="22"/>
                <w:szCs w:val="22"/>
              </w:rPr>
            </w:pPr>
            <w:r w:rsidRPr="00D924F4">
              <w:rPr>
                <w:b/>
                <w:bCs/>
                <w:color w:val="000000"/>
                <w:sz w:val="22"/>
                <w:szCs w:val="22"/>
              </w:rPr>
              <w:t>Stranded Cost Utility Securitizations</w:t>
            </w:r>
          </w:p>
        </w:tc>
        <w:tc>
          <w:tcPr>
            <w:tcW w:w="4590" w:type="dxa"/>
          </w:tcPr>
          <w:p w14:paraId="295A598E" w14:textId="77777777" w:rsidR="002B6EEF" w:rsidRPr="00D924F4" w:rsidRDefault="002B6EEF" w:rsidP="007B752D">
            <w:pPr>
              <w:rPr>
                <w:color w:val="000000"/>
                <w:sz w:val="22"/>
                <w:szCs w:val="22"/>
              </w:rPr>
            </w:pPr>
            <w:r w:rsidRPr="00D924F4">
              <w:rPr>
                <w:color w:val="000000"/>
                <w:sz w:val="22"/>
                <w:szCs w:val="22"/>
              </w:rPr>
              <w:t>Stranded costs are the costs of obsolete assets or system restoration by energy companies, and the right to recover such costs through rates charged to specified customers are created by action of state legislatures.  Such rights to charge customers are transferred to an SPE that issue bonds backed by such future charges.</w:t>
            </w:r>
          </w:p>
        </w:tc>
        <w:tc>
          <w:tcPr>
            <w:tcW w:w="2430" w:type="dxa"/>
          </w:tcPr>
          <w:p w14:paraId="0A2A5C0E"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no. Although probably not asset backed securities, these are debt securities similar to corporate debt.</w:t>
            </w:r>
          </w:p>
        </w:tc>
        <w:tc>
          <w:tcPr>
            <w:tcW w:w="2610" w:type="dxa"/>
          </w:tcPr>
          <w:p w14:paraId="161A32CC"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no. Although probably not asset backed securities, these are debt securities similar to corporate debt.</w:t>
            </w:r>
          </w:p>
        </w:tc>
      </w:tr>
      <w:tr w:rsidR="002B6EEF" w14:paraId="3FE9C26A" w14:textId="77777777" w:rsidTr="00785487">
        <w:tc>
          <w:tcPr>
            <w:tcW w:w="1710" w:type="dxa"/>
          </w:tcPr>
          <w:p w14:paraId="646F6C5A" w14:textId="77777777" w:rsidR="002B6EEF" w:rsidRPr="00D924F4" w:rsidRDefault="002B6EEF" w:rsidP="007B752D">
            <w:pPr>
              <w:jc w:val="center"/>
              <w:rPr>
                <w:b/>
                <w:bCs/>
                <w:color w:val="000000"/>
                <w:sz w:val="22"/>
                <w:szCs w:val="22"/>
              </w:rPr>
            </w:pPr>
            <w:r w:rsidRPr="00D924F4">
              <w:rPr>
                <w:b/>
                <w:bCs/>
                <w:color w:val="000000"/>
                <w:sz w:val="22"/>
                <w:szCs w:val="22"/>
              </w:rPr>
              <w:t>Real Estate Investment Trusts ("REITS") and Master Limited Partnerships ("MLPs")</w:t>
            </w:r>
          </w:p>
        </w:tc>
        <w:tc>
          <w:tcPr>
            <w:tcW w:w="4590" w:type="dxa"/>
          </w:tcPr>
          <w:p w14:paraId="219CB6CD" w14:textId="77777777" w:rsidR="002B6EEF" w:rsidRPr="00D924F4" w:rsidRDefault="002B6EEF" w:rsidP="007B752D">
            <w:pPr>
              <w:rPr>
                <w:color w:val="000000"/>
                <w:sz w:val="22"/>
                <w:szCs w:val="22"/>
              </w:rPr>
            </w:pPr>
            <w:r w:rsidRPr="00D924F4">
              <w:rPr>
                <w:color w:val="000000"/>
                <w:sz w:val="22"/>
                <w:szCs w:val="22"/>
              </w:rPr>
              <w:t xml:space="preserve">Under U.S. Federal income tax law, a REIT is “any corporation, trust or association that acts as an investment agent specializing in real estate…”. The early REITs focused on the ownership of mortgages. Today, most REITs focus on owning real estate equities. The 1987 Tax Act delineated that an MLP must earn at least 90% of its gross income from qualifying sources, which were strictly defined as the transportation, processing, storage, and production of natural resources and minerals.  MLPs typically do not own the operating assets directly, but instead like REITs, they focus on owning the equity of entities that own assets that generate qualifying income.  These equities held by REITs and MLPs are not owned directly, but rather in an array of subsidiaries that may be partnerships, limited liability companies or other vehicles.  REITs and MLPs rely upon cash flow paid from equity interests, and often the sale of equities, to service debt issued.  In that sense the practical ability of the holder of REIT/MLP debt to collect does depend on the “performance” of the equities owned by the REIT/MLP. The SEC, capital markets, rating agencies and accounting standards organizations (FASB and IFRS) characterize obligations for borrowed money issued by REITs/MLPs as debt.  These obligations are not recast as equity.  </w:t>
            </w:r>
          </w:p>
        </w:tc>
        <w:tc>
          <w:tcPr>
            <w:tcW w:w="2430" w:type="dxa"/>
          </w:tcPr>
          <w:p w14:paraId="141DA4DA"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Securities issued by REITs and MLPs would not be viewed as asset-backed securities for purposes of the Regulation AB definition.  They do not hold a discrete pool of assets that by their terms convert into cash into a finite time period.  REITs do sponsor securitizations—typically RMBS and CMBS—but the REIT itself is not the issuer of those securities.</w:t>
            </w:r>
          </w:p>
        </w:tc>
        <w:tc>
          <w:tcPr>
            <w:tcW w:w="2610" w:type="dxa"/>
          </w:tcPr>
          <w:p w14:paraId="5049F285"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no.  Securities issued by REITs and MLPs would not be viewed as asset backed securities for purposes of 1934 Act definition.  The securities do not typically depend for payment primarily on the cash flows from self-liquidating financial assets.  REITs do sponsor securitizations—typically RMBS and CMBS—but the REIT itself is not the issuer of those securities.</w:t>
            </w:r>
          </w:p>
        </w:tc>
      </w:tr>
      <w:tr w:rsidR="002B6EEF" w14:paraId="3CFC59B6" w14:textId="77777777" w:rsidTr="00785487">
        <w:tc>
          <w:tcPr>
            <w:tcW w:w="1710" w:type="dxa"/>
          </w:tcPr>
          <w:p w14:paraId="05D43E25" w14:textId="77777777" w:rsidR="002B6EEF" w:rsidRPr="00D924F4" w:rsidRDefault="002B6EEF" w:rsidP="007B752D">
            <w:pPr>
              <w:jc w:val="center"/>
              <w:rPr>
                <w:b/>
                <w:bCs/>
                <w:color w:val="000000"/>
                <w:sz w:val="22"/>
                <w:szCs w:val="22"/>
              </w:rPr>
            </w:pPr>
            <w:r w:rsidRPr="00D924F4">
              <w:rPr>
                <w:b/>
                <w:bCs/>
                <w:color w:val="000000"/>
                <w:sz w:val="22"/>
                <w:szCs w:val="22"/>
              </w:rPr>
              <w:t>STACR</w:t>
            </w:r>
          </w:p>
        </w:tc>
        <w:tc>
          <w:tcPr>
            <w:tcW w:w="4590" w:type="dxa"/>
          </w:tcPr>
          <w:p w14:paraId="3A60B88E" w14:textId="77777777" w:rsidR="002B6EEF" w:rsidRPr="00D924F4" w:rsidRDefault="002B6EEF" w:rsidP="007B752D">
            <w:pPr>
              <w:rPr>
                <w:color w:val="000000"/>
                <w:sz w:val="22"/>
                <w:szCs w:val="22"/>
              </w:rPr>
            </w:pPr>
            <w:r w:rsidRPr="00D924F4">
              <w:rPr>
                <w:color w:val="000000"/>
                <w:sz w:val="22"/>
                <w:szCs w:val="22"/>
              </w:rPr>
              <w:t>STACR REMIC or STACR Debt -Bonds issued directly by Fannie Mae and Freddie Mac or issued from a trust set up by Fannie and Freddie whose principal and interest payments are linked to a referenced set of mortgages</w:t>
            </w:r>
            <w:r w:rsidRPr="00D924F4">
              <w:rPr>
                <w:color w:val="000000"/>
                <w:sz w:val="22"/>
                <w:szCs w:val="22"/>
              </w:rPr>
              <w:br/>
            </w:r>
            <w:r w:rsidRPr="00D924F4">
              <w:rPr>
                <w:color w:val="000000"/>
                <w:sz w:val="22"/>
                <w:szCs w:val="22"/>
              </w:rPr>
              <w:br/>
              <w:t xml:space="preserve">STACR Trust - issues notes out of a third-party trust. Freddie Mac pays a credit premium payment to the trust and benefits from the credit </w:t>
            </w:r>
            <w:r w:rsidRPr="00D924F4">
              <w:rPr>
                <w:color w:val="000000"/>
                <w:sz w:val="22"/>
                <w:szCs w:val="22"/>
              </w:rPr>
              <w:lastRenderedPageBreak/>
              <w:t>risk transfer through a reduction in note balances for defined credit events on the reference pool. The trust makes periodic payments of interest and principal to noteholders. Freddie Mac receives payments from the trust that otherwise would have been made to the noteholders to the extent there are certain defined credit events on the mortgages in the related reference pool.  Note, there are similar structures by FNMA &amp; mortgage insurers</w:t>
            </w:r>
          </w:p>
        </w:tc>
        <w:tc>
          <w:tcPr>
            <w:tcW w:w="2430" w:type="dxa"/>
          </w:tcPr>
          <w:p w14:paraId="2B94F262"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The credit risk transfer securities that were issued directly by Fannie Mae and Freddie Mac would not meet the Regulation AB definition for asset-backed security, since those securities are </w:t>
            </w:r>
            <w:r w:rsidRPr="00D924F4">
              <w:rPr>
                <w:rFonts w:cs="Times New Roman"/>
                <w:sz w:val="22"/>
                <w:szCs w:val="22"/>
              </w:rPr>
              <w:lastRenderedPageBreak/>
              <w:t>unsecured debt of the GSEs—there is a reference pool, but no genuine pool of assets.  Note that credit risk transfer securities issued directly by Fannie and Freddie do not use a trust or SPV.</w:t>
            </w:r>
          </w:p>
          <w:p w14:paraId="4569FABC" w14:textId="1DB5FCDA" w:rsidR="002B6EEF" w:rsidRPr="00D924F4" w:rsidRDefault="002B6EEF" w:rsidP="007B752D">
            <w:pPr>
              <w:pStyle w:val="BodyText1"/>
              <w:ind w:firstLine="0"/>
              <w:rPr>
                <w:rFonts w:cs="Times New Roman"/>
                <w:sz w:val="22"/>
                <w:szCs w:val="22"/>
              </w:rPr>
            </w:pPr>
            <w:r w:rsidRPr="00D924F4">
              <w:rPr>
                <w:rFonts w:cs="Times New Roman"/>
                <w:sz w:val="22"/>
                <w:szCs w:val="22"/>
              </w:rPr>
              <w:t>Similarly, STACR Trusts and STACR REMICs are unlikely to be considered asset-backed securities, even though they hold a pool of assets, because the payments on the securities do not depend on the performance of the assets.  In its Regulation AB adopting release, the SEC stated that “Payments on ABS must be based primarily on the performance of the financial assets in the pool.”  Moreover, the GSEs take the position that the risk retention rules do not apply to the STACR Trusts or STACR REMICs because the securities issued by them are not asset-backed securities under the 1934 Act or under Regulation AB.</w:t>
            </w:r>
          </w:p>
        </w:tc>
        <w:tc>
          <w:tcPr>
            <w:tcW w:w="2610" w:type="dxa"/>
          </w:tcPr>
          <w:p w14:paraId="0DC4CFAC"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The credit risk transfer securities that were issued directly by Fannie Mae and Freddie Mac would not meet the 1934 Act definition for asset-backed security, since those securities are unsecured debt of the GSEs—there is </w:t>
            </w:r>
            <w:r w:rsidRPr="00D924F4">
              <w:rPr>
                <w:rFonts w:cs="Times New Roman"/>
                <w:sz w:val="22"/>
                <w:szCs w:val="22"/>
              </w:rPr>
              <w:lastRenderedPageBreak/>
              <w:t>a reference pool, but no genuine pool of assets.</w:t>
            </w:r>
          </w:p>
          <w:p w14:paraId="525FB700"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The GSEs take the position that the risk retention rules do not apply to the STACR Trusts or STACR REMICs because the securities issued by them are not asset-backed securities under the 1934 Act or under Regulation AB. </w:t>
            </w:r>
          </w:p>
        </w:tc>
      </w:tr>
      <w:tr w:rsidR="002B6EEF" w14:paraId="445D77F7" w14:textId="77777777" w:rsidTr="00785487">
        <w:tc>
          <w:tcPr>
            <w:tcW w:w="1710" w:type="dxa"/>
          </w:tcPr>
          <w:p w14:paraId="380A655F" w14:textId="77777777" w:rsidR="002B6EEF" w:rsidRPr="00D924F4" w:rsidRDefault="002B6EEF" w:rsidP="007B752D">
            <w:pPr>
              <w:jc w:val="center"/>
              <w:rPr>
                <w:b/>
                <w:bCs/>
                <w:color w:val="000000"/>
                <w:sz w:val="22"/>
                <w:szCs w:val="22"/>
              </w:rPr>
            </w:pPr>
            <w:r w:rsidRPr="00D924F4">
              <w:rPr>
                <w:b/>
                <w:bCs/>
                <w:color w:val="000000"/>
                <w:sz w:val="22"/>
                <w:szCs w:val="22"/>
              </w:rPr>
              <w:lastRenderedPageBreak/>
              <w:t>ReRemic</w:t>
            </w:r>
          </w:p>
        </w:tc>
        <w:tc>
          <w:tcPr>
            <w:tcW w:w="4590" w:type="dxa"/>
          </w:tcPr>
          <w:p w14:paraId="01DFC794" w14:textId="77777777" w:rsidR="002B6EEF" w:rsidRPr="00D924F4" w:rsidRDefault="002B6EEF" w:rsidP="007B752D">
            <w:pPr>
              <w:rPr>
                <w:color w:val="000000"/>
                <w:sz w:val="22"/>
                <w:szCs w:val="22"/>
              </w:rPr>
            </w:pPr>
            <w:r w:rsidRPr="00D924F4">
              <w:rPr>
                <w:color w:val="000000"/>
                <w:sz w:val="22"/>
                <w:szCs w:val="22"/>
              </w:rPr>
              <w:t>REMICs (created by the Tax Reform Act of 1986) are essentially the securitization of mortgage pass through securities.  A Re-REMIC takes one or more than one tranche of a REMIC and issues tranches (e.g. BRE issues tranches backed by tranches issued by a REMIC)</w:t>
            </w:r>
          </w:p>
        </w:tc>
        <w:tc>
          <w:tcPr>
            <w:tcW w:w="2430" w:type="dxa"/>
          </w:tcPr>
          <w:p w14:paraId="00F838FC"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w:t>
            </w:r>
          </w:p>
        </w:tc>
        <w:tc>
          <w:tcPr>
            <w:tcW w:w="2610" w:type="dxa"/>
          </w:tcPr>
          <w:p w14:paraId="4DAEC236"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Typically, yes.</w:t>
            </w:r>
          </w:p>
        </w:tc>
      </w:tr>
      <w:tr w:rsidR="002B6EEF" w14:paraId="6018BDC0" w14:textId="77777777" w:rsidTr="00785487">
        <w:tc>
          <w:tcPr>
            <w:tcW w:w="1710" w:type="dxa"/>
          </w:tcPr>
          <w:p w14:paraId="50D00A1C" w14:textId="77777777" w:rsidR="002B6EEF" w:rsidRPr="00D924F4" w:rsidRDefault="002B6EEF" w:rsidP="007B752D">
            <w:pPr>
              <w:jc w:val="center"/>
              <w:rPr>
                <w:b/>
                <w:bCs/>
                <w:color w:val="000000"/>
                <w:sz w:val="22"/>
                <w:szCs w:val="22"/>
              </w:rPr>
            </w:pPr>
            <w:r w:rsidRPr="00D924F4">
              <w:rPr>
                <w:b/>
                <w:bCs/>
                <w:color w:val="000000"/>
                <w:sz w:val="22"/>
                <w:szCs w:val="22"/>
              </w:rPr>
              <w:t>Structured Repos</w:t>
            </w:r>
          </w:p>
        </w:tc>
        <w:tc>
          <w:tcPr>
            <w:tcW w:w="4590" w:type="dxa"/>
          </w:tcPr>
          <w:p w14:paraId="5820A3AB" w14:textId="77777777" w:rsidR="002B6EEF" w:rsidRPr="00D924F4" w:rsidRDefault="002B6EEF" w:rsidP="007B752D">
            <w:pPr>
              <w:rPr>
                <w:color w:val="000000"/>
                <w:sz w:val="22"/>
                <w:szCs w:val="22"/>
              </w:rPr>
            </w:pPr>
            <w:r w:rsidRPr="00D924F4">
              <w:rPr>
                <w:color w:val="000000"/>
                <w:sz w:val="22"/>
                <w:szCs w:val="22"/>
              </w:rPr>
              <w:t>SPV enters into a reverse repo (buys a security under agreement to resell); SPE issues bond backed by reverse repo.</w:t>
            </w:r>
          </w:p>
        </w:tc>
        <w:tc>
          <w:tcPr>
            <w:tcW w:w="2430" w:type="dxa"/>
          </w:tcPr>
          <w:p w14:paraId="7733CC9B"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t xml:space="preserve">This is unlikely to be considered ABS under Regulation AB.  The SPV holds two assets—the reverse repo agreement itself and the </w:t>
            </w:r>
            <w:r w:rsidRPr="00D924F4">
              <w:rPr>
                <w:rFonts w:cs="Times New Roman"/>
                <w:sz w:val="22"/>
                <w:szCs w:val="22"/>
              </w:rPr>
              <w:lastRenderedPageBreak/>
              <w:t>securities sold under it.  The repayment to security holders does not depend on the cash flows on the securities subject to the repo; it depends on payment being made under the repo.  So the repo itself would have to be the financial asset that by its terms converts into cash in a finite time period.  Although possible, it’s unlikely the SEC would view it that way.</w:t>
            </w:r>
          </w:p>
        </w:tc>
        <w:tc>
          <w:tcPr>
            <w:tcW w:w="2610" w:type="dxa"/>
          </w:tcPr>
          <w:p w14:paraId="193D4F52" w14:textId="77777777" w:rsidR="002B6EEF" w:rsidRPr="00D924F4" w:rsidRDefault="002B6EEF" w:rsidP="007B752D">
            <w:pPr>
              <w:pStyle w:val="BodyText1"/>
              <w:ind w:firstLine="0"/>
              <w:rPr>
                <w:rFonts w:cs="Times New Roman"/>
                <w:sz w:val="22"/>
                <w:szCs w:val="22"/>
              </w:rPr>
            </w:pPr>
            <w:r w:rsidRPr="00D924F4">
              <w:rPr>
                <w:rFonts w:cs="Times New Roman"/>
                <w:sz w:val="22"/>
                <w:szCs w:val="22"/>
              </w:rPr>
              <w:lastRenderedPageBreak/>
              <w:t xml:space="preserve">Probably not.  A structured repo is more likely to be viewed as a self-liquidating financial asset under the ’34 Act than under the ’33 Act, but that </w:t>
            </w:r>
            <w:r w:rsidRPr="00D924F4">
              <w:rPr>
                <w:rFonts w:cs="Times New Roman"/>
                <w:sz w:val="22"/>
                <w:szCs w:val="22"/>
              </w:rPr>
              <w:lastRenderedPageBreak/>
              <w:t>requires the repurchase agreement to be treated as a self-liquidating financial asset.  We have not seen a federal regulator give a definitive answer on this point, but industry participants have argued against the view that a repurchase agreement is a self-liquidating financing asset.</w:t>
            </w:r>
          </w:p>
        </w:tc>
      </w:tr>
    </w:tbl>
    <w:p w14:paraId="30345B19" w14:textId="77777777" w:rsidR="002B6EEF" w:rsidRPr="00122671" w:rsidRDefault="002B6EEF" w:rsidP="002B6EEF">
      <w:pPr>
        <w:pStyle w:val="BodyText1"/>
        <w:rPr>
          <w:rFonts w:ascii="Calibri" w:hAnsi="Calibri" w:cs="Calibri"/>
          <w:sz w:val="22"/>
          <w:szCs w:val="22"/>
        </w:rPr>
      </w:pPr>
    </w:p>
    <w:p w14:paraId="63979A95" w14:textId="77777777" w:rsidR="002B6EEF" w:rsidRPr="00122671" w:rsidRDefault="002B6EEF" w:rsidP="002B6EEF">
      <w:pPr>
        <w:spacing w:after="160" w:line="259" w:lineRule="auto"/>
        <w:rPr>
          <w:rFonts w:ascii="Calibri" w:hAnsi="Calibri" w:cs="Calibri"/>
          <w:szCs w:val="22"/>
        </w:rPr>
      </w:pPr>
    </w:p>
    <w:p w14:paraId="58DF448C" w14:textId="21F6B645" w:rsidR="002B1EAD" w:rsidRDefault="002B1EAD" w:rsidP="002B1EAD">
      <w:pPr>
        <w:rPr>
          <w:szCs w:val="24"/>
          <w:shd w:val="clear" w:color="auto" w:fill="FFFFFF"/>
        </w:rPr>
      </w:pPr>
    </w:p>
    <w:p w14:paraId="4CC20CC0" w14:textId="15E25D80" w:rsidR="003A34E0" w:rsidRDefault="003A34E0">
      <w:pPr>
        <w:spacing w:after="160" w:line="259" w:lineRule="auto"/>
      </w:pPr>
    </w:p>
    <w:p w14:paraId="7639F243" w14:textId="77777777" w:rsidR="002B1EAD" w:rsidRDefault="002B1EAD">
      <w:pPr>
        <w:spacing w:after="160" w:line="259" w:lineRule="auto"/>
      </w:pPr>
    </w:p>
    <w:p w14:paraId="17CD22D1" w14:textId="33BD621A" w:rsidR="009E7D3B" w:rsidRPr="00AE5757" w:rsidRDefault="009E7D3B">
      <w:pPr>
        <w:spacing w:after="160" w:line="259" w:lineRule="auto"/>
      </w:pPr>
      <w:r>
        <w:br w:type="page"/>
      </w:r>
    </w:p>
    <w:p w14:paraId="38B1A70D" w14:textId="77777777" w:rsidR="009E7D3B" w:rsidRDefault="00601948" w:rsidP="009E7D3B">
      <w:pPr>
        <w:spacing w:after="80"/>
        <w:ind w:left="720"/>
        <w:jc w:val="right"/>
        <w:rPr>
          <w:b/>
        </w:rPr>
      </w:pPr>
      <w:r w:rsidRPr="00AE5757">
        <w:rPr>
          <w:b/>
        </w:rPr>
        <w:lastRenderedPageBreak/>
        <w:t>Appendix I</w:t>
      </w:r>
      <w:r w:rsidR="009E7D3B">
        <w:rPr>
          <w:b/>
        </w:rPr>
        <w:t>II</w:t>
      </w:r>
    </w:p>
    <w:p w14:paraId="11D11874" w14:textId="77777777" w:rsidR="009E7D3B" w:rsidRPr="00AE5757" w:rsidRDefault="009E7D3B" w:rsidP="009E7D3B">
      <w:pPr>
        <w:spacing w:after="80"/>
        <w:rPr>
          <w:b/>
          <w:u w:val="single"/>
        </w:rPr>
      </w:pPr>
      <w:r w:rsidRPr="00AE5757">
        <w:rPr>
          <w:b/>
          <w:u w:val="single"/>
        </w:rPr>
        <w:t xml:space="preserve">Collateralized Fund Obligations (“CFOs”) Defined: </w:t>
      </w:r>
    </w:p>
    <w:tbl>
      <w:tblPr>
        <w:tblStyle w:val="TableGrid"/>
        <w:tblW w:w="0" w:type="auto"/>
        <w:tblLook w:val="04A0" w:firstRow="1" w:lastRow="0" w:firstColumn="1" w:lastColumn="0" w:noHBand="0" w:noVBand="1"/>
      </w:tblPr>
      <w:tblGrid>
        <w:gridCol w:w="4534"/>
        <w:gridCol w:w="4816"/>
      </w:tblGrid>
      <w:tr w:rsidR="009E7D3B" w:rsidRPr="00AE5757" w14:paraId="1A3EA882" w14:textId="77777777" w:rsidTr="008137D5">
        <w:tc>
          <w:tcPr>
            <w:tcW w:w="6475" w:type="dxa"/>
          </w:tcPr>
          <w:p w14:paraId="1DA3E5E5" w14:textId="77777777" w:rsidR="009E7D3B" w:rsidRPr="00AE5757" w:rsidRDefault="009E7D3B" w:rsidP="008137D5">
            <w:pPr>
              <w:rPr>
                <w:b/>
              </w:rPr>
            </w:pPr>
            <w:r w:rsidRPr="00AE5757">
              <w:rPr>
                <w:b/>
              </w:rPr>
              <w:t xml:space="preserve">Summary Definition </w:t>
            </w:r>
          </w:p>
        </w:tc>
        <w:tc>
          <w:tcPr>
            <w:tcW w:w="6480" w:type="dxa"/>
          </w:tcPr>
          <w:p w14:paraId="33B74E2B" w14:textId="77777777" w:rsidR="009E7D3B" w:rsidRPr="00AE5757" w:rsidRDefault="009E7D3B" w:rsidP="008137D5">
            <w:pPr>
              <w:rPr>
                <w:b/>
              </w:rPr>
            </w:pPr>
            <w:r w:rsidRPr="00AE5757">
              <w:rPr>
                <w:b/>
              </w:rPr>
              <w:t xml:space="preserve">Key Credit Variables/Considerations </w:t>
            </w:r>
          </w:p>
        </w:tc>
      </w:tr>
      <w:tr w:rsidR="009E7D3B" w:rsidRPr="00AE5757" w14:paraId="5343B67F" w14:textId="77777777" w:rsidTr="008137D5">
        <w:trPr>
          <w:trHeight w:val="2582"/>
        </w:trPr>
        <w:tc>
          <w:tcPr>
            <w:tcW w:w="6475" w:type="dxa"/>
          </w:tcPr>
          <w:p w14:paraId="70D33161" w14:textId="77777777" w:rsidR="009E7D3B" w:rsidRPr="00AE5757" w:rsidRDefault="009E7D3B" w:rsidP="008137D5">
            <w:pPr>
              <w:spacing w:after="80"/>
              <w:jc w:val="both"/>
              <w:rPr>
                <w:sz w:val="18"/>
                <w:szCs w:val="18"/>
              </w:rPr>
            </w:pPr>
            <w:r w:rsidRPr="00AE5757">
              <w:rPr>
                <w:sz w:val="18"/>
                <w:szCs w:val="18"/>
              </w:rPr>
              <w:t xml:space="preserve">Typically represents the financing of private equity partnership interests transferred to a Limited Liability Company (“LLC”).  </w:t>
            </w:r>
          </w:p>
          <w:p w14:paraId="711A523E" w14:textId="77777777" w:rsidR="009E7D3B" w:rsidRPr="00AE5757" w:rsidRDefault="009E7D3B" w:rsidP="008137D5">
            <w:pPr>
              <w:spacing w:after="80"/>
              <w:jc w:val="both"/>
              <w:rPr>
                <w:sz w:val="18"/>
                <w:szCs w:val="18"/>
              </w:rPr>
            </w:pPr>
            <w:r w:rsidRPr="00AE5757">
              <w:rPr>
                <w:sz w:val="18"/>
                <w:szCs w:val="18"/>
              </w:rPr>
              <w:t xml:space="preserve">The LLC issues debt and equity securities that are sold to investors.  Most often, the General Partner (“GP”) of the underlying funds retains the equity tranche, but CFOs have been issued by Limited Partners (“LPs”) to monetize or to alter the risk and return of their existing exposure by selling debt or equity/subordinated tranches. </w:t>
            </w:r>
          </w:p>
          <w:p w14:paraId="19D2060B" w14:textId="77777777" w:rsidR="009E7D3B" w:rsidRPr="00AE5757" w:rsidRDefault="009E7D3B" w:rsidP="008137D5">
            <w:pPr>
              <w:spacing w:after="80"/>
              <w:jc w:val="both"/>
              <w:rPr>
                <w:sz w:val="18"/>
                <w:szCs w:val="18"/>
              </w:rPr>
            </w:pPr>
            <w:r w:rsidRPr="00AE5757">
              <w:rPr>
                <w:sz w:val="18"/>
                <w:szCs w:val="18"/>
              </w:rPr>
              <w:t>Creditors do not have direct recourse to the sponsor and are secured by the underlying limited partnership interests.</w:t>
            </w:r>
          </w:p>
          <w:p w14:paraId="293E8EAB" w14:textId="77777777" w:rsidR="009E7D3B" w:rsidRPr="00AE5757" w:rsidRDefault="009E7D3B" w:rsidP="008137D5">
            <w:pPr>
              <w:spacing w:after="80"/>
              <w:jc w:val="both"/>
              <w:rPr>
                <w:sz w:val="18"/>
                <w:szCs w:val="18"/>
              </w:rPr>
            </w:pPr>
            <w:r w:rsidRPr="00AE5757">
              <w:rPr>
                <w:sz w:val="18"/>
                <w:szCs w:val="18"/>
              </w:rPr>
              <w:t>The equity tranche (subordination) is sized to ensure that the LLC’s solvency and contractual cashflows are maintained under a variety of market conditions.  The LLC also establishes reserve accounts to support creditors in extreme market conditions.</w:t>
            </w:r>
          </w:p>
          <w:p w14:paraId="5FF3F236" w14:textId="77777777" w:rsidR="009E7D3B" w:rsidRPr="00AE5757" w:rsidRDefault="009E7D3B" w:rsidP="008137D5">
            <w:pPr>
              <w:spacing w:after="80"/>
              <w:jc w:val="both"/>
              <w:rPr>
                <w:sz w:val="18"/>
                <w:szCs w:val="18"/>
              </w:rPr>
            </w:pPr>
            <w:r w:rsidRPr="00AE5757">
              <w:rPr>
                <w:sz w:val="18"/>
                <w:szCs w:val="18"/>
              </w:rPr>
              <w:t xml:space="preserve">If cashflow coverage and overcollateralization requirements are not maintained, the equity holders of the structure are restricted from extracting economics from the LLC.   </w:t>
            </w:r>
          </w:p>
        </w:tc>
        <w:tc>
          <w:tcPr>
            <w:tcW w:w="6480" w:type="dxa"/>
          </w:tcPr>
          <w:p w14:paraId="2C9FF562"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Initial and ongoing required overcollateralization (or LTV)</w:t>
            </w:r>
          </w:p>
          <w:p w14:paraId="0F957C6F"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Expected volatility of the value and cashflows of the underlying partnership interests </w:t>
            </w:r>
          </w:p>
          <w:p w14:paraId="74D35AE7"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Nature of underlying risk (equity, debt, or combination) </w:t>
            </w:r>
          </w:p>
          <w:p w14:paraId="6B53530A"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Size of reserve accounts </w:t>
            </w:r>
          </w:p>
          <w:p w14:paraId="76A5A209"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Debt service coverage covenants  </w:t>
            </w:r>
          </w:p>
          <w:p w14:paraId="4B4639C4"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Ability for equity investors to receive excess cashflows </w:t>
            </w:r>
          </w:p>
          <w:p w14:paraId="6022EFD7"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Performance track record of sponsor </w:t>
            </w:r>
          </w:p>
          <w:p w14:paraId="3757EA91"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Investment phase of underlying interests </w:t>
            </w:r>
          </w:p>
          <w:p w14:paraId="42CE7FE3"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Static or dynamic pool of underlying assets</w:t>
            </w:r>
          </w:p>
          <w:p w14:paraId="070CFEAF"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Ratings based covenants/”triggers” </w:t>
            </w:r>
          </w:p>
          <w:p w14:paraId="18934389"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Integrity of asset valuations </w:t>
            </w:r>
          </w:p>
          <w:p w14:paraId="6492AEF1"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Ability to add incremental debt </w:t>
            </w:r>
          </w:p>
          <w:p w14:paraId="6A4E3B06"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Sponsor obligations (e.g. keep well provisions) </w:t>
            </w:r>
          </w:p>
          <w:p w14:paraId="563B4F76"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Source of payment for future capital calls </w:t>
            </w:r>
          </w:p>
          <w:p w14:paraId="3C644C7E"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Fee structure on partnership interests </w:t>
            </w:r>
          </w:p>
          <w:p w14:paraId="6ED74374" w14:textId="77777777" w:rsidR="009E7D3B" w:rsidRPr="00AE5757" w:rsidRDefault="009E7D3B" w:rsidP="008137D5">
            <w:pPr>
              <w:pStyle w:val="ListParagraph"/>
              <w:numPr>
                <w:ilvl w:val="0"/>
                <w:numId w:val="33"/>
              </w:numPr>
              <w:ind w:left="214" w:hanging="214"/>
              <w:rPr>
                <w:sz w:val="18"/>
                <w:szCs w:val="18"/>
              </w:rPr>
            </w:pPr>
            <w:r w:rsidRPr="00AE5757">
              <w:rPr>
                <w:sz w:val="18"/>
                <w:szCs w:val="18"/>
              </w:rPr>
              <w:t xml:space="preserve">Operational and other counterparty related risks </w:t>
            </w:r>
          </w:p>
        </w:tc>
      </w:tr>
    </w:tbl>
    <w:p w14:paraId="67BCFBA1" w14:textId="77777777" w:rsidR="009E7D3B" w:rsidRPr="00AE5757" w:rsidRDefault="009E7D3B" w:rsidP="009E7D3B">
      <w:pPr>
        <w:rPr>
          <w:b/>
          <w:sz w:val="4"/>
          <w:szCs w:val="4"/>
        </w:rPr>
      </w:pPr>
    </w:p>
    <w:p w14:paraId="580E32FE" w14:textId="77777777" w:rsidR="009E7D3B" w:rsidRPr="006F1E1C" w:rsidRDefault="009E7D3B" w:rsidP="009E7D3B">
      <w:r w:rsidRPr="00AE5757">
        <w:rPr>
          <w:noProof/>
        </w:rPr>
        <mc:AlternateContent>
          <mc:Choice Requires="wpg">
            <w:drawing>
              <wp:anchor distT="0" distB="0" distL="114300" distR="114300" simplePos="0" relativeHeight="251666432" behindDoc="1" locked="0" layoutInCell="1" allowOverlap="1" wp14:anchorId="5668C2C4" wp14:editId="0C04C122">
                <wp:simplePos x="0" y="0"/>
                <wp:positionH relativeFrom="column">
                  <wp:posOffset>401320</wp:posOffset>
                </wp:positionH>
                <wp:positionV relativeFrom="paragraph">
                  <wp:posOffset>287020</wp:posOffset>
                </wp:positionV>
                <wp:extent cx="5517515" cy="2571750"/>
                <wp:effectExtent l="0" t="0" r="0" b="0"/>
                <wp:wrapTight wrapText="bothSides">
                  <wp:wrapPolygon edited="0">
                    <wp:start x="0" y="0"/>
                    <wp:lineTo x="0" y="13920"/>
                    <wp:lineTo x="5817" y="15360"/>
                    <wp:lineTo x="4997" y="16480"/>
                    <wp:lineTo x="4325" y="17600"/>
                    <wp:lineTo x="4325" y="20640"/>
                    <wp:lineTo x="17004" y="21440"/>
                    <wp:lineTo x="18197" y="21440"/>
                    <wp:lineTo x="21329" y="21440"/>
                    <wp:lineTo x="21478" y="13760"/>
                    <wp:lineTo x="20882" y="13600"/>
                    <wp:lineTo x="10665" y="12800"/>
                    <wp:lineTo x="10665" y="10240"/>
                    <wp:lineTo x="19241" y="10240"/>
                    <wp:lineTo x="20360" y="9920"/>
                    <wp:lineTo x="20434" y="5120"/>
                    <wp:lineTo x="21105" y="3040"/>
                    <wp:lineTo x="21254" y="1760"/>
                    <wp:lineTo x="5444"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517515" cy="2571750"/>
                          <a:chOff x="0" y="0"/>
                          <a:chExt cx="3514028" cy="1053487"/>
                        </a:xfrm>
                      </wpg:grpSpPr>
                      <wps:wsp>
                        <wps:cNvPr id="10" name="Right Brace 10"/>
                        <wps:cNvSpPr/>
                        <wps:spPr>
                          <a:xfrm rot="10800000">
                            <a:off x="2212730" y="169984"/>
                            <a:ext cx="102871" cy="321310"/>
                          </a:xfrm>
                          <a:prstGeom prst="rightBrace">
                            <a:avLst>
                              <a:gd name="adj1" fmla="val 49384"/>
                              <a:gd name="adj2" fmla="val 4646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0"/>
                            <a:ext cx="3514028" cy="1053487"/>
                            <a:chOff x="0" y="0"/>
                            <a:chExt cx="3514028" cy="1053487"/>
                          </a:xfrm>
                        </wpg:grpSpPr>
                        <wps:wsp>
                          <wps:cNvPr id="12" name="Text Box 2"/>
                          <wps:cNvSpPr txBox="1">
                            <a:spLocks noChangeArrowheads="1"/>
                          </wps:cNvSpPr>
                          <wps:spPr bwMode="auto">
                            <a:xfrm>
                              <a:off x="0" y="0"/>
                              <a:ext cx="864870" cy="190500"/>
                            </a:xfrm>
                            <a:prstGeom prst="rect">
                              <a:avLst/>
                            </a:prstGeom>
                            <a:noFill/>
                            <a:ln w="9525">
                              <a:solidFill>
                                <a:srgbClr val="000000"/>
                              </a:solidFill>
                              <a:miter lim="800000"/>
                              <a:headEnd/>
                              <a:tailEnd/>
                            </a:ln>
                          </wps:spPr>
                          <wps:txbx>
                            <w:txbxContent>
                              <w:p w14:paraId="6E4B4646" w14:textId="77777777" w:rsidR="00A7432E" w:rsidRPr="00272CBB" w:rsidRDefault="00A7432E" w:rsidP="009E7D3B">
                                <w:pPr>
                                  <w:jc w:val="center"/>
                                  <w:rPr>
                                    <w:b/>
                                    <w:sz w:val="16"/>
                                    <w:szCs w:val="16"/>
                                  </w:rPr>
                                </w:pPr>
                                <w:r w:rsidRPr="00272CBB">
                                  <w:rPr>
                                    <w:b/>
                                    <w:sz w:val="16"/>
                                    <w:szCs w:val="16"/>
                                  </w:rPr>
                                  <w:t>Investment Manager</w:t>
                                </w:r>
                              </w:p>
                            </w:txbxContent>
                          </wps:txbx>
                          <wps:bodyPr rot="0" vert="horz" wrap="square" lIns="91440" tIns="45720" rIns="91440" bIns="45720" anchor="ctr" anchorCtr="0">
                            <a:noAutofit/>
                          </wps:bodyPr>
                        </wps:wsp>
                        <wps:wsp>
                          <wps:cNvPr id="13" name="Text Box 13"/>
                          <wps:cNvSpPr txBox="1">
                            <a:spLocks noChangeArrowheads="1"/>
                          </wps:cNvSpPr>
                          <wps:spPr bwMode="auto">
                            <a:xfrm>
                              <a:off x="0" y="241738"/>
                              <a:ext cx="864870" cy="190500"/>
                            </a:xfrm>
                            <a:prstGeom prst="rect">
                              <a:avLst/>
                            </a:prstGeom>
                            <a:noFill/>
                            <a:ln w="9525">
                              <a:solidFill>
                                <a:srgbClr val="000000"/>
                              </a:solidFill>
                              <a:miter lim="800000"/>
                              <a:headEnd/>
                              <a:tailEnd/>
                            </a:ln>
                          </wps:spPr>
                          <wps:txbx>
                            <w:txbxContent>
                              <w:p w14:paraId="58D3D8AD" w14:textId="77777777" w:rsidR="00A7432E" w:rsidRPr="00272CBB" w:rsidRDefault="00A7432E" w:rsidP="009E7D3B">
                                <w:pPr>
                                  <w:jc w:val="center"/>
                                  <w:rPr>
                                    <w:b/>
                                    <w:sz w:val="16"/>
                                    <w:szCs w:val="16"/>
                                  </w:rPr>
                                </w:pPr>
                                <w:r w:rsidRPr="00272CBB">
                                  <w:rPr>
                                    <w:b/>
                                    <w:sz w:val="16"/>
                                    <w:szCs w:val="16"/>
                                  </w:rPr>
                                  <w:t>Trustee</w:t>
                                </w:r>
                              </w:p>
                            </w:txbxContent>
                          </wps:txbx>
                          <wps:bodyPr rot="0" vert="horz" wrap="square" lIns="91440" tIns="45720" rIns="91440" bIns="45720" anchor="ctr" anchorCtr="0">
                            <a:noAutofit/>
                          </wps:bodyPr>
                        </wps:wsp>
                        <wps:wsp>
                          <wps:cNvPr id="14" name="Text Box 2"/>
                          <wps:cNvSpPr txBox="1">
                            <a:spLocks noChangeArrowheads="1"/>
                          </wps:cNvSpPr>
                          <wps:spPr bwMode="auto">
                            <a:xfrm>
                              <a:off x="1313793" y="168166"/>
                              <a:ext cx="864870" cy="321310"/>
                            </a:xfrm>
                            <a:prstGeom prst="rect">
                              <a:avLst/>
                            </a:prstGeom>
                            <a:noFill/>
                            <a:ln w="9525">
                              <a:solidFill>
                                <a:srgbClr val="000000"/>
                              </a:solidFill>
                              <a:miter lim="800000"/>
                              <a:headEnd/>
                              <a:tailEnd/>
                            </a:ln>
                          </wps:spPr>
                          <wps:txbx>
                            <w:txbxContent>
                              <w:p w14:paraId="522C3864" w14:textId="77777777" w:rsidR="00A7432E" w:rsidRPr="00272CBB" w:rsidRDefault="00A7432E" w:rsidP="009E7D3B">
                                <w:pPr>
                                  <w:jc w:val="center"/>
                                  <w:rPr>
                                    <w:b/>
                                    <w:sz w:val="24"/>
                                    <w:szCs w:val="24"/>
                                  </w:rPr>
                                </w:pPr>
                                <w:r w:rsidRPr="00272CBB">
                                  <w:rPr>
                                    <w:b/>
                                    <w:sz w:val="24"/>
                                    <w:szCs w:val="24"/>
                                  </w:rPr>
                                  <w:t>Issuer (LLC)</w:t>
                                </w:r>
                              </w:p>
                            </w:txbxContent>
                          </wps:txbx>
                          <wps:bodyPr rot="0" vert="horz" wrap="square" lIns="91440" tIns="45720" rIns="91440" bIns="45720" anchor="ctr" anchorCtr="0">
                            <a:noAutofit/>
                          </wps:bodyPr>
                        </wps:wsp>
                        <wps:wsp>
                          <wps:cNvPr id="15" name="Text Box 2"/>
                          <wps:cNvSpPr txBox="1">
                            <a:spLocks noChangeArrowheads="1"/>
                          </wps:cNvSpPr>
                          <wps:spPr bwMode="auto">
                            <a:xfrm>
                              <a:off x="2346434" y="170793"/>
                              <a:ext cx="922655" cy="88900"/>
                            </a:xfrm>
                            <a:prstGeom prst="rect">
                              <a:avLst/>
                            </a:prstGeom>
                            <a:noFill/>
                            <a:ln w="9525">
                              <a:solidFill>
                                <a:srgbClr val="000000"/>
                              </a:solidFill>
                              <a:prstDash val="sysDot"/>
                              <a:miter lim="800000"/>
                              <a:headEnd/>
                              <a:tailEnd/>
                            </a:ln>
                          </wps:spPr>
                          <wps:txbx>
                            <w:txbxContent>
                              <w:p w14:paraId="057C427A" w14:textId="77777777" w:rsidR="00A7432E" w:rsidRPr="00272CBB" w:rsidRDefault="00A7432E" w:rsidP="009E7D3B">
                                <w:pPr>
                                  <w:jc w:val="center"/>
                                  <w:rPr>
                                    <w:sz w:val="16"/>
                                    <w:szCs w:val="16"/>
                                  </w:rPr>
                                </w:pPr>
                                <w:r w:rsidRPr="00272CBB">
                                  <w:rPr>
                                    <w:sz w:val="16"/>
                                    <w:szCs w:val="16"/>
                                  </w:rPr>
                                  <w:t>Senior Debt (50%) rated A</w:t>
                                </w:r>
                              </w:p>
                            </w:txbxContent>
                          </wps:txbx>
                          <wps:bodyPr rot="0" vert="horz" wrap="square" lIns="91440" tIns="0" rIns="91440" bIns="0" anchor="ctr" anchorCtr="0">
                            <a:noAutofit/>
                          </wps:bodyPr>
                        </wps:wsp>
                        <wps:wsp>
                          <wps:cNvPr id="16" name="Text Box 2"/>
                          <wps:cNvSpPr txBox="1">
                            <a:spLocks noChangeArrowheads="1"/>
                          </wps:cNvSpPr>
                          <wps:spPr bwMode="auto">
                            <a:xfrm>
                              <a:off x="2346434" y="286407"/>
                              <a:ext cx="922655" cy="84455"/>
                            </a:xfrm>
                            <a:prstGeom prst="rect">
                              <a:avLst/>
                            </a:prstGeom>
                            <a:noFill/>
                            <a:ln w="9525">
                              <a:solidFill>
                                <a:srgbClr val="000000"/>
                              </a:solidFill>
                              <a:prstDash val="sysDot"/>
                              <a:miter lim="800000"/>
                              <a:headEnd/>
                              <a:tailEnd/>
                            </a:ln>
                          </wps:spPr>
                          <wps:txbx>
                            <w:txbxContent>
                              <w:p w14:paraId="0B0EF640" w14:textId="77777777" w:rsidR="00A7432E" w:rsidRPr="00272CBB" w:rsidRDefault="00A7432E" w:rsidP="009E7D3B">
                                <w:pPr>
                                  <w:jc w:val="center"/>
                                  <w:rPr>
                                    <w:sz w:val="16"/>
                                    <w:szCs w:val="16"/>
                                  </w:rPr>
                                </w:pPr>
                                <w:r w:rsidRPr="00272CBB">
                                  <w:rPr>
                                    <w:sz w:val="16"/>
                                    <w:szCs w:val="16"/>
                                  </w:rPr>
                                  <w:t>Sub Debt (20%) rated BB</w:t>
                                </w:r>
                              </w:p>
                            </w:txbxContent>
                          </wps:txbx>
                          <wps:bodyPr rot="0" vert="horz" wrap="square" lIns="91440" tIns="0" rIns="91440" bIns="0" anchor="ctr" anchorCtr="0">
                            <a:noAutofit/>
                          </wps:bodyPr>
                        </wps:wsp>
                        <wps:wsp>
                          <wps:cNvPr id="17" name="Text Box 2"/>
                          <wps:cNvSpPr txBox="1">
                            <a:spLocks noChangeArrowheads="1"/>
                          </wps:cNvSpPr>
                          <wps:spPr bwMode="auto">
                            <a:xfrm>
                              <a:off x="2346434" y="396766"/>
                              <a:ext cx="922655" cy="89535"/>
                            </a:xfrm>
                            <a:prstGeom prst="rect">
                              <a:avLst/>
                            </a:prstGeom>
                            <a:noFill/>
                            <a:ln w="9525">
                              <a:solidFill>
                                <a:srgbClr val="000000"/>
                              </a:solidFill>
                              <a:prstDash val="sysDot"/>
                              <a:miter lim="800000"/>
                              <a:headEnd/>
                              <a:tailEnd/>
                            </a:ln>
                          </wps:spPr>
                          <wps:txbx>
                            <w:txbxContent>
                              <w:p w14:paraId="5809A401" w14:textId="77777777" w:rsidR="00A7432E" w:rsidRPr="00272CBB" w:rsidRDefault="00A7432E" w:rsidP="009E7D3B">
                                <w:pPr>
                                  <w:jc w:val="center"/>
                                  <w:rPr>
                                    <w:sz w:val="16"/>
                                    <w:szCs w:val="16"/>
                                  </w:rPr>
                                </w:pPr>
                                <w:r w:rsidRPr="00272CBB">
                                  <w:rPr>
                                    <w:sz w:val="16"/>
                                    <w:szCs w:val="16"/>
                                  </w:rPr>
                                  <w:t>Equity (30%) not rated</w:t>
                                </w:r>
                              </w:p>
                            </w:txbxContent>
                          </wps:txbx>
                          <wps:bodyPr rot="0" vert="horz" wrap="square" lIns="91440" tIns="0" rIns="91440" bIns="0" anchor="ctr" anchorCtr="0">
                            <a:noAutofit/>
                          </wps:bodyPr>
                        </wps:wsp>
                        <wps:wsp>
                          <wps:cNvPr id="18" name="Text Box 2"/>
                          <wps:cNvSpPr txBox="1">
                            <a:spLocks noChangeArrowheads="1"/>
                          </wps:cNvSpPr>
                          <wps:spPr bwMode="auto">
                            <a:xfrm>
                              <a:off x="2178663" y="93405"/>
                              <a:ext cx="1297254" cy="77388"/>
                            </a:xfrm>
                            <a:prstGeom prst="rect">
                              <a:avLst/>
                            </a:prstGeom>
                            <a:noFill/>
                            <a:ln w="9525">
                              <a:noFill/>
                              <a:prstDash val="sysDot"/>
                              <a:miter lim="800000"/>
                              <a:headEnd/>
                              <a:tailEnd/>
                            </a:ln>
                          </wps:spPr>
                          <wps:txbx>
                            <w:txbxContent>
                              <w:p w14:paraId="04E5A165" w14:textId="77777777" w:rsidR="00A7432E" w:rsidRPr="00305CD2" w:rsidRDefault="00A7432E" w:rsidP="009E7D3B">
                                <w:pPr>
                                  <w:jc w:val="center"/>
                                  <w:rPr>
                                    <w:b/>
                                    <w:sz w:val="18"/>
                                    <w:szCs w:val="18"/>
                                  </w:rPr>
                                </w:pPr>
                                <w:r w:rsidRPr="00305CD2">
                                  <w:rPr>
                                    <w:b/>
                                    <w:sz w:val="18"/>
                                    <w:szCs w:val="18"/>
                                  </w:rPr>
                                  <w:t>Hypothetical LLC Capital Structure</w:t>
                                </w:r>
                              </w:p>
                            </w:txbxContent>
                          </wps:txbx>
                          <wps:bodyPr rot="0" vert="horz" wrap="square" lIns="91440" tIns="0" rIns="91440" bIns="0" anchor="ctr" anchorCtr="0">
                            <a:noAutofit/>
                          </wps:bodyPr>
                        </wps:wsp>
                        <wps:wsp>
                          <wps:cNvPr id="19" name="Connector: Elbow 19"/>
                          <wps:cNvCnPr/>
                          <wps:spPr>
                            <a:xfrm>
                              <a:off x="864475" y="94593"/>
                              <a:ext cx="446314" cy="149678"/>
                            </a:xfrm>
                            <a:prstGeom prst="bentConnector3">
                              <a:avLst>
                                <a:gd name="adj1" fmla="val 44641"/>
                              </a:avLst>
                            </a:prstGeom>
                            <a:noFill/>
                            <a:ln w="6350" cap="flat" cmpd="sng" algn="ctr">
                              <a:solidFill>
                                <a:sysClr val="windowText" lastClr="000000"/>
                              </a:solidFill>
                              <a:prstDash val="sysDash"/>
                              <a:miter lim="800000"/>
                            </a:ln>
                            <a:effectLst/>
                          </wps:spPr>
                          <wps:bodyPr/>
                        </wps:wsp>
                        <wps:wsp>
                          <wps:cNvPr id="20" name="Straight Connector 20"/>
                          <wps:cNvCnPr/>
                          <wps:spPr>
                            <a:xfrm>
                              <a:off x="864475" y="333704"/>
                              <a:ext cx="446314" cy="0"/>
                            </a:xfrm>
                            <a:prstGeom prst="line">
                              <a:avLst/>
                            </a:prstGeom>
                            <a:noFill/>
                            <a:ln w="6350" cap="flat" cmpd="sng" algn="ctr">
                              <a:solidFill>
                                <a:sysClr val="windowText" lastClr="000000"/>
                              </a:solidFill>
                              <a:prstDash val="sysDash"/>
                              <a:miter lim="800000"/>
                            </a:ln>
                            <a:effectLst/>
                          </wps:spPr>
                          <wps:bodyPr/>
                        </wps:wsp>
                        <wpg:grpSp>
                          <wpg:cNvPr id="21" name="Group 21"/>
                          <wpg:cNvGrpSpPr/>
                          <wpg:grpSpPr>
                            <a:xfrm>
                              <a:off x="0" y="412531"/>
                              <a:ext cx="1311728" cy="255815"/>
                              <a:chOff x="0" y="4"/>
                              <a:chExt cx="1311728" cy="255815"/>
                            </a:xfrm>
                          </wpg:grpSpPr>
                          <wps:wsp>
                            <wps:cNvPr id="22" name="Text Box 22"/>
                            <wps:cNvSpPr txBox="1">
                              <a:spLocks noChangeArrowheads="1"/>
                            </wps:cNvSpPr>
                            <wps:spPr bwMode="auto">
                              <a:xfrm>
                                <a:off x="0" y="65319"/>
                                <a:ext cx="864870" cy="190500"/>
                              </a:xfrm>
                              <a:prstGeom prst="rect">
                                <a:avLst/>
                              </a:prstGeom>
                              <a:noFill/>
                              <a:ln w="9525">
                                <a:solidFill>
                                  <a:srgbClr val="000000"/>
                                </a:solidFill>
                                <a:miter lim="800000"/>
                                <a:headEnd/>
                                <a:tailEnd/>
                              </a:ln>
                            </wps:spPr>
                            <wps:txbx>
                              <w:txbxContent>
                                <w:p w14:paraId="786D49CC" w14:textId="77777777" w:rsidR="00A7432E" w:rsidRPr="00272CBB" w:rsidRDefault="00A7432E" w:rsidP="009E7D3B">
                                  <w:pPr>
                                    <w:jc w:val="center"/>
                                    <w:rPr>
                                      <w:b/>
                                      <w:sz w:val="16"/>
                                      <w:szCs w:val="16"/>
                                    </w:rPr>
                                  </w:pPr>
                                  <w:r w:rsidRPr="00272CBB">
                                    <w:rPr>
                                      <w:b/>
                                      <w:sz w:val="16"/>
                                      <w:szCs w:val="16"/>
                                    </w:rPr>
                                    <w:t xml:space="preserve">Reserve </w:t>
                                  </w:r>
                                  <w:r>
                                    <w:rPr>
                                      <w:b/>
                                      <w:sz w:val="16"/>
                                      <w:szCs w:val="16"/>
                                    </w:rPr>
                                    <w:t>Accounts</w:t>
                                  </w:r>
                                  <w:r w:rsidRPr="00272CBB">
                                    <w:rPr>
                                      <w:b/>
                                      <w:sz w:val="16"/>
                                      <w:szCs w:val="16"/>
                                    </w:rPr>
                                    <w:t xml:space="preserve"> </w:t>
                                  </w:r>
                                </w:p>
                              </w:txbxContent>
                            </wps:txbx>
                            <wps:bodyPr rot="0" vert="horz" wrap="square" lIns="91440" tIns="45720" rIns="91440" bIns="45720" anchor="ctr" anchorCtr="0">
                              <a:noAutofit/>
                            </wps:bodyPr>
                          </wps:wsp>
                          <wps:wsp>
                            <wps:cNvPr id="23" name="Connector: Elbow 23"/>
                            <wps:cNvCnPr/>
                            <wps:spPr>
                              <a:xfrm flipV="1">
                                <a:off x="864870" y="4"/>
                                <a:ext cx="446858" cy="160209"/>
                              </a:xfrm>
                              <a:prstGeom prst="bentConnector3">
                                <a:avLst>
                                  <a:gd name="adj1" fmla="val 50000"/>
                                </a:avLst>
                              </a:prstGeom>
                              <a:noFill/>
                              <a:ln w="6350" cap="flat" cmpd="sng" algn="ctr">
                                <a:solidFill>
                                  <a:sysClr val="windowText" lastClr="000000"/>
                                </a:solidFill>
                                <a:prstDash val="sysDash"/>
                                <a:miter lim="800000"/>
                              </a:ln>
                              <a:effectLst/>
                            </wps:spPr>
                            <wps:bodyPr/>
                          </wps:wsp>
                        </wpg:grpSp>
                        <wps:wsp>
                          <wps:cNvPr id="24" name="Text Box 2"/>
                          <wps:cNvSpPr txBox="1">
                            <a:spLocks noChangeArrowheads="1"/>
                          </wps:cNvSpPr>
                          <wps:spPr bwMode="auto">
                            <a:xfrm>
                              <a:off x="726424" y="850994"/>
                              <a:ext cx="480060" cy="148590"/>
                            </a:xfrm>
                            <a:prstGeom prst="rect">
                              <a:avLst/>
                            </a:prstGeom>
                            <a:noFill/>
                            <a:ln w="9525">
                              <a:solidFill>
                                <a:srgbClr val="000000"/>
                              </a:solidFill>
                              <a:miter lim="800000"/>
                              <a:headEnd/>
                              <a:tailEnd/>
                            </a:ln>
                          </wps:spPr>
                          <wps:txbx>
                            <w:txbxContent>
                              <w:p w14:paraId="13B51A76" w14:textId="77777777" w:rsidR="00A7432E" w:rsidRPr="00272CBB" w:rsidRDefault="00A7432E" w:rsidP="009E7D3B">
                                <w:pPr>
                                  <w:jc w:val="center"/>
                                  <w:rPr>
                                    <w:sz w:val="16"/>
                                    <w:szCs w:val="16"/>
                                  </w:rPr>
                                </w:pPr>
                                <w:r w:rsidRPr="00272CBB">
                                  <w:rPr>
                                    <w:sz w:val="16"/>
                                    <w:szCs w:val="16"/>
                                  </w:rPr>
                                  <w:t>PE Fund A</w:t>
                                </w:r>
                              </w:p>
                            </w:txbxContent>
                          </wps:txbx>
                          <wps:bodyPr rot="0" vert="horz" wrap="square" lIns="91440" tIns="0" rIns="91440" bIns="0" anchor="ctr" anchorCtr="0">
                            <a:noAutofit/>
                          </wps:bodyPr>
                        </wps:wsp>
                        <wps:wsp>
                          <wps:cNvPr id="25" name="Text Box 2"/>
                          <wps:cNvSpPr txBox="1">
                            <a:spLocks noChangeArrowheads="1"/>
                          </wps:cNvSpPr>
                          <wps:spPr bwMode="auto">
                            <a:xfrm>
                              <a:off x="1256618" y="851338"/>
                              <a:ext cx="480060" cy="148590"/>
                            </a:xfrm>
                            <a:prstGeom prst="rect">
                              <a:avLst/>
                            </a:prstGeom>
                            <a:noFill/>
                            <a:ln w="9525">
                              <a:solidFill>
                                <a:srgbClr val="000000"/>
                              </a:solidFill>
                              <a:miter lim="800000"/>
                              <a:headEnd/>
                              <a:tailEnd/>
                            </a:ln>
                          </wps:spPr>
                          <wps:txbx>
                            <w:txbxContent>
                              <w:p w14:paraId="25C4E461" w14:textId="77777777" w:rsidR="00A7432E" w:rsidRPr="0054096C" w:rsidRDefault="00A7432E" w:rsidP="009E7D3B">
                                <w:pPr>
                                  <w:jc w:val="center"/>
                                  <w:rPr>
                                    <w:sz w:val="16"/>
                                    <w:szCs w:val="16"/>
                                  </w:rPr>
                                </w:pPr>
                                <w:r w:rsidRPr="0054096C">
                                  <w:rPr>
                                    <w:sz w:val="16"/>
                                    <w:szCs w:val="16"/>
                                  </w:rPr>
                                  <w:t>PE Fund B</w:t>
                                </w:r>
                              </w:p>
                            </w:txbxContent>
                          </wps:txbx>
                          <wps:bodyPr rot="0" vert="horz" wrap="square" lIns="91440" tIns="0" rIns="91440" bIns="0" anchor="ctr" anchorCtr="0">
                            <a:noAutofit/>
                          </wps:bodyPr>
                        </wps:wsp>
                        <wps:wsp>
                          <wps:cNvPr id="26" name="Text Box 2"/>
                          <wps:cNvSpPr txBox="1">
                            <a:spLocks noChangeArrowheads="1"/>
                          </wps:cNvSpPr>
                          <wps:spPr bwMode="auto">
                            <a:xfrm>
                              <a:off x="1792646" y="851338"/>
                              <a:ext cx="480060" cy="148590"/>
                            </a:xfrm>
                            <a:prstGeom prst="rect">
                              <a:avLst/>
                            </a:prstGeom>
                            <a:noFill/>
                            <a:ln w="9525">
                              <a:solidFill>
                                <a:srgbClr val="000000"/>
                              </a:solidFill>
                              <a:miter lim="800000"/>
                              <a:headEnd/>
                              <a:tailEnd/>
                            </a:ln>
                          </wps:spPr>
                          <wps:txbx>
                            <w:txbxContent>
                              <w:p w14:paraId="0D7A29F8" w14:textId="77777777" w:rsidR="00A7432E" w:rsidRPr="0054096C" w:rsidRDefault="00A7432E" w:rsidP="009E7D3B">
                                <w:pPr>
                                  <w:jc w:val="center"/>
                                  <w:rPr>
                                    <w:sz w:val="16"/>
                                    <w:szCs w:val="16"/>
                                  </w:rPr>
                                </w:pPr>
                                <w:r w:rsidRPr="0054096C">
                                  <w:rPr>
                                    <w:sz w:val="16"/>
                                    <w:szCs w:val="16"/>
                                  </w:rPr>
                                  <w:t>PE Fund C</w:t>
                                </w:r>
                              </w:p>
                            </w:txbxContent>
                          </wps:txbx>
                          <wps:bodyPr rot="0" vert="horz" wrap="square" lIns="91440" tIns="0" rIns="91440" bIns="0" anchor="ctr" anchorCtr="0">
                            <a:noAutofit/>
                          </wps:bodyPr>
                        </wps:wsp>
                        <wps:wsp>
                          <wps:cNvPr id="27" name="Text Box 2"/>
                          <wps:cNvSpPr txBox="1">
                            <a:spLocks noChangeArrowheads="1"/>
                          </wps:cNvSpPr>
                          <wps:spPr bwMode="auto">
                            <a:xfrm>
                              <a:off x="2320790" y="851338"/>
                              <a:ext cx="480060" cy="148590"/>
                            </a:xfrm>
                            <a:prstGeom prst="rect">
                              <a:avLst/>
                            </a:prstGeom>
                            <a:noFill/>
                            <a:ln w="9525">
                              <a:solidFill>
                                <a:srgbClr val="000000"/>
                              </a:solidFill>
                              <a:miter lim="800000"/>
                              <a:headEnd/>
                              <a:tailEnd/>
                            </a:ln>
                          </wps:spPr>
                          <wps:txbx>
                            <w:txbxContent>
                              <w:p w14:paraId="22A8C292" w14:textId="77777777" w:rsidR="00A7432E" w:rsidRPr="0054096C" w:rsidRDefault="00A7432E" w:rsidP="009E7D3B">
                                <w:pPr>
                                  <w:jc w:val="center"/>
                                  <w:rPr>
                                    <w:sz w:val="16"/>
                                    <w:szCs w:val="16"/>
                                  </w:rPr>
                                </w:pPr>
                                <w:r w:rsidRPr="0054096C">
                                  <w:rPr>
                                    <w:sz w:val="16"/>
                                    <w:szCs w:val="16"/>
                                  </w:rPr>
                                  <w:t>PE Fund D</w:t>
                                </w:r>
                              </w:p>
                            </w:txbxContent>
                          </wps:txbx>
                          <wps:bodyPr rot="0" vert="horz" wrap="square" lIns="91440" tIns="0" rIns="91440" bIns="0" anchor="ctr" anchorCtr="0">
                            <a:noAutofit/>
                          </wps:bodyPr>
                        </wps:wsp>
                        <wpg:grpSp>
                          <wpg:cNvPr id="28" name="Group 28"/>
                          <wpg:cNvGrpSpPr/>
                          <wpg:grpSpPr>
                            <a:xfrm>
                              <a:off x="967584" y="488731"/>
                              <a:ext cx="1589689" cy="362607"/>
                              <a:chOff x="-23016" y="0"/>
                              <a:chExt cx="1589689" cy="362607"/>
                            </a:xfrm>
                          </wpg:grpSpPr>
                          <wps:wsp>
                            <wps:cNvPr id="29" name="Straight Connector 29"/>
                            <wps:cNvCnPr/>
                            <wps:spPr>
                              <a:xfrm flipV="1">
                                <a:off x="-23016" y="207580"/>
                                <a:ext cx="1589689" cy="2627"/>
                              </a:xfrm>
                              <a:prstGeom prst="line">
                                <a:avLst/>
                              </a:prstGeom>
                              <a:noFill/>
                              <a:ln w="6350" cap="flat" cmpd="sng" algn="ctr">
                                <a:solidFill>
                                  <a:sysClr val="windowText" lastClr="000000"/>
                                </a:solidFill>
                                <a:prstDash val="sysDash"/>
                                <a:miter lim="800000"/>
                              </a:ln>
                              <a:effectLst/>
                            </wps:spPr>
                            <wps:bodyPr/>
                          </wps:wsp>
                          <wps:wsp>
                            <wps:cNvPr id="30" name="Straight Connector 30"/>
                            <wps:cNvCnPr/>
                            <wps:spPr>
                              <a:xfrm>
                                <a:off x="-22058" y="210207"/>
                                <a:ext cx="0" cy="152400"/>
                              </a:xfrm>
                              <a:prstGeom prst="line">
                                <a:avLst/>
                              </a:prstGeom>
                              <a:noFill/>
                              <a:ln w="6350" cap="flat" cmpd="sng" algn="ctr">
                                <a:solidFill>
                                  <a:sysClr val="windowText" lastClr="000000"/>
                                </a:solidFill>
                                <a:prstDash val="sysDash"/>
                                <a:miter lim="800000"/>
                              </a:ln>
                              <a:effectLst/>
                            </wps:spPr>
                            <wps:bodyPr/>
                          </wps:wsp>
                          <wps:wsp>
                            <wps:cNvPr id="31" name="Straight Connector 31"/>
                            <wps:cNvCnPr/>
                            <wps:spPr>
                              <a:xfrm>
                                <a:off x="515639" y="209863"/>
                                <a:ext cx="0" cy="152400"/>
                              </a:xfrm>
                              <a:prstGeom prst="line">
                                <a:avLst/>
                              </a:prstGeom>
                              <a:noFill/>
                              <a:ln w="6350" cap="flat" cmpd="sng" algn="ctr">
                                <a:solidFill>
                                  <a:sysClr val="windowText" lastClr="000000"/>
                                </a:solidFill>
                                <a:prstDash val="sysDash"/>
                                <a:miter lim="800000"/>
                              </a:ln>
                              <a:effectLst/>
                            </wps:spPr>
                            <wps:bodyPr/>
                          </wps:wsp>
                          <wps:wsp>
                            <wps:cNvPr id="192" name="Straight Connector 192"/>
                            <wps:cNvCnPr/>
                            <wps:spPr>
                              <a:xfrm>
                                <a:off x="1067432" y="207580"/>
                                <a:ext cx="0" cy="152400"/>
                              </a:xfrm>
                              <a:prstGeom prst="line">
                                <a:avLst/>
                              </a:prstGeom>
                              <a:noFill/>
                              <a:ln w="6350" cap="flat" cmpd="sng" algn="ctr">
                                <a:solidFill>
                                  <a:sysClr val="windowText" lastClr="000000"/>
                                </a:solidFill>
                                <a:prstDash val="sysDash"/>
                                <a:miter lim="800000"/>
                              </a:ln>
                              <a:effectLst/>
                            </wps:spPr>
                            <wps:bodyPr/>
                          </wps:wsp>
                          <wps:wsp>
                            <wps:cNvPr id="193" name="Straight Connector 193"/>
                            <wps:cNvCnPr/>
                            <wps:spPr>
                              <a:xfrm>
                                <a:off x="1566673" y="207580"/>
                                <a:ext cx="0" cy="152400"/>
                              </a:xfrm>
                              <a:prstGeom prst="line">
                                <a:avLst/>
                              </a:prstGeom>
                              <a:noFill/>
                              <a:ln w="6350" cap="flat" cmpd="sng" algn="ctr">
                                <a:solidFill>
                                  <a:sysClr val="windowText" lastClr="000000"/>
                                </a:solidFill>
                                <a:prstDash val="sysDash"/>
                                <a:miter lim="800000"/>
                              </a:ln>
                              <a:effectLst/>
                            </wps:spPr>
                            <wps:bodyPr/>
                          </wps:wsp>
                          <wps:wsp>
                            <wps:cNvPr id="194" name="Straight Connector 194"/>
                            <wps:cNvCnPr/>
                            <wps:spPr>
                              <a:xfrm>
                                <a:off x="725846" y="0"/>
                                <a:ext cx="0" cy="207580"/>
                              </a:xfrm>
                              <a:prstGeom prst="line">
                                <a:avLst/>
                              </a:prstGeom>
                              <a:noFill/>
                              <a:ln w="6350" cap="flat" cmpd="sng" algn="ctr">
                                <a:solidFill>
                                  <a:sysClr val="windowText" lastClr="000000"/>
                                </a:solidFill>
                                <a:prstDash val="sysDash"/>
                                <a:miter lim="800000"/>
                              </a:ln>
                              <a:effectLst/>
                            </wps:spPr>
                            <wps:bodyPr/>
                          </wps:wsp>
                        </wpg:grpSp>
                        <wps:wsp>
                          <wps:cNvPr id="195" name="Right Brace 195"/>
                          <wps:cNvSpPr/>
                          <wps:spPr>
                            <a:xfrm>
                              <a:off x="2845675" y="698938"/>
                              <a:ext cx="97155" cy="303530"/>
                            </a:xfrm>
                            <a:prstGeom prst="rightBrace">
                              <a:avLst>
                                <a:gd name="adj1" fmla="val 51606"/>
                                <a:gd name="adj2" fmla="val 5086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2933638" y="667407"/>
                              <a:ext cx="580390" cy="386080"/>
                            </a:xfrm>
                            <a:prstGeom prst="rect">
                              <a:avLst/>
                            </a:prstGeom>
                            <a:noFill/>
                            <a:ln w="9525">
                              <a:noFill/>
                              <a:prstDash val="sysDot"/>
                              <a:miter lim="800000"/>
                              <a:headEnd/>
                              <a:tailEnd/>
                            </a:ln>
                          </wps:spPr>
                          <wps:txbx>
                            <w:txbxContent>
                              <w:p w14:paraId="3F3D2CB6" w14:textId="77777777" w:rsidR="00A7432E" w:rsidRPr="00E53C2A" w:rsidRDefault="00A7432E" w:rsidP="009E7D3B">
                                <w:pPr>
                                  <w:widowControl w:val="0"/>
                                  <w:contextualSpacing/>
                                  <w:rPr>
                                    <w:sz w:val="14"/>
                                    <w:szCs w:val="14"/>
                                  </w:rPr>
                                </w:pPr>
                                <w:r w:rsidRPr="00E53C2A">
                                  <w:rPr>
                                    <w:sz w:val="14"/>
                                    <w:szCs w:val="14"/>
                                  </w:rPr>
                                  <w:t>LP or GP Interests in Funds; may or may not be managed by the same General Partner</w:t>
                                </w:r>
                              </w:p>
                            </w:txbxContent>
                          </wps:txbx>
                          <wps:bodyPr rot="0" vert="horz" wrap="square" lIns="91440" tIns="0" rIns="91440" bIns="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668C2C4" id="Group 3" o:spid="_x0000_s1035" style="position:absolute;margin-left:31.6pt;margin-top:22.6pt;width:434.45pt;height:202.5pt;z-index:-251650048;mso-width-relative:margin;mso-height-relative:margin" coordsize="35140,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36" type="#_x0000_t88" style="position:absolute;left:22127;top:1699;width:1029;height:321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" adj="3415,10036" strokecolor="windowText" strokeweight=".5pt">
                  <v:stroke joinstyle="miter"/>
                </v:shape>
                <v:group id="Group 11" o:spid="_x0000_s1037" style="position:absolute;width:35140;height:10534" coordsize="35140,1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_x0000_s1038" type="#_x0000_t202" style="position:absolute;width:86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" filled="f">
                    <v:textbox>
                      <w:txbxContent>
                        <w:p w14:paraId="6E4B4646" w14:textId="77777777" w:rsidR="00A7432E" w:rsidRPr="00272CBB" w:rsidRDefault="00A7432E" w:rsidP="009E7D3B">
                          <w:pPr>
                            <w:jc w:val="center"/>
                            <w:rPr>
                              <w:b/>
                              <w:sz w:val="16"/>
                              <w:szCs w:val="16"/>
                            </w:rPr>
                          </w:pPr>
                          <w:r w:rsidRPr="00272CBB">
                            <w:rPr>
                              <w:b/>
                              <w:sz w:val="16"/>
                              <w:szCs w:val="16"/>
                            </w:rPr>
                            <w:t>Investment Manager</w:t>
                          </w:r>
                        </w:p>
                      </w:txbxContent>
                    </v:textbox>
                  </v:shape>
                  <v:shape id="Text Box 13" o:spid="_x0000_s1039" type="#_x0000_t202" style="position:absolute;top:2417;width:86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" filled="f">
                    <v:textbox>
                      <w:txbxContent>
                        <w:p w14:paraId="58D3D8AD" w14:textId="77777777" w:rsidR="00A7432E" w:rsidRPr="00272CBB" w:rsidRDefault="00A7432E" w:rsidP="009E7D3B">
                          <w:pPr>
                            <w:jc w:val="center"/>
                            <w:rPr>
                              <w:b/>
                              <w:sz w:val="16"/>
                              <w:szCs w:val="16"/>
                            </w:rPr>
                          </w:pPr>
                          <w:r w:rsidRPr="00272CBB">
                            <w:rPr>
                              <w:b/>
                              <w:sz w:val="16"/>
                              <w:szCs w:val="16"/>
                            </w:rPr>
                            <w:t>Trustee</w:t>
                          </w:r>
                        </w:p>
                      </w:txbxContent>
                    </v:textbox>
                  </v:shape>
                  <v:shape id="_x0000_s1040" type="#_x0000_t202" style="position:absolute;left:13137;top:1681;width:8649;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" filled="f">
                    <v:textbox>
                      <w:txbxContent>
                        <w:p w14:paraId="522C3864" w14:textId="77777777" w:rsidR="00A7432E" w:rsidRPr="00272CBB" w:rsidRDefault="00A7432E" w:rsidP="009E7D3B">
                          <w:pPr>
                            <w:jc w:val="center"/>
                            <w:rPr>
                              <w:b/>
                              <w:sz w:val="24"/>
                              <w:szCs w:val="24"/>
                            </w:rPr>
                          </w:pPr>
                          <w:r w:rsidRPr="00272CBB">
                            <w:rPr>
                              <w:b/>
                              <w:sz w:val="24"/>
                              <w:szCs w:val="24"/>
                            </w:rPr>
                            <w:t>Issuer (LLC)</w:t>
                          </w:r>
                        </w:p>
                      </w:txbxContent>
                    </v:textbox>
                  </v:shape>
                  <v:shape id="_x0000_s1041" type="#_x0000_t202" style="position:absolute;left:23464;top:1707;width:9226;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" filled="f">
                    <v:stroke dashstyle="1 1"/>
                    <v:textbox inset=",0,,0">
                      <w:txbxContent>
                        <w:p w14:paraId="057C427A" w14:textId="77777777" w:rsidR="00A7432E" w:rsidRPr="00272CBB" w:rsidRDefault="00A7432E" w:rsidP="009E7D3B">
                          <w:pPr>
                            <w:jc w:val="center"/>
                            <w:rPr>
                              <w:sz w:val="16"/>
                              <w:szCs w:val="16"/>
                            </w:rPr>
                          </w:pPr>
                          <w:r w:rsidRPr="00272CBB">
                            <w:rPr>
                              <w:sz w:val="16"/>
                              <w:szCs w:val="16"/>
                            </w:rPr>
                            <w:t>Senior Debt (50%) rated A</w:t>
                          </w:r>
                        </w:p>
                      </w:txbxContent>
                    </v:textbox>
                  </v:shape>
                  <v:shape id="_x0000_s1042" type="#_x0000_t202" style="position:absolute;left:23464;top:2864;width:9226;height: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" filled="f">
                    <v:stroke dashstyle="1 1"/>
                    <v:textbox inset=",0,,0">
                      <w:txbxContent>
                        <w:p w14:paraId="0B0EF640" w14:textId="77777777" w:rsidR="00A7432E" w:rsidRPr="00272CBB" w:rsidRDefault="00A7432E" w:rsidP="009E7D3B">
                          <w:pPr>
                            <w:jc w:val="center"/>
                            <w:rPr>
                              <w:sz w:val="16"/>
                              <w:szCs w:val="16"/>
                            </w:rPr>
                          </w:pPr>
                          <w:r w:rsidRPr="00272CBB">
                            <w:rPr>
                              <w:sz w:val="16"/>
                              <w:szCs w:val="16"/>
                            </w:rPr>
                            <w:t>Sub Debt (20%) rated BB</w:t>
                          </w:r>
                        </w:p>
                      </w:txbxContent>
                    </v:textbox>
                  </v:shape>
                  <v:shape id="_x0000_s1043" type="#_x0000_t202" style="position:absolute;left:23464;top:3967;width:9226;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" filled="f">
                    <v:stroke dashstyle="1 1"/>
                    <v:textbox inset=",0,,0">
                      <w:txbxContent>
                        <w:p w14:paraId="5809A401" w14:textId="77777777" w:rsidR="00A7432E" w:rsidRPr="00272CBB" w:rsidRDefault="00A7432E" w:rsidP="009E7D3B">
                          <w:pPr>
                            <w:jc w:val="center"/>
                            <w:rPr>
                              <w:sz w:val="16"/>
                              <w:szCs w:val="16"/>
                            </w:rPr>
                          </w:pPr>
                          <w:r w:rsidRPr="00272CBB">
                            <w:rPr>
                              <w:sz w:val="16"/>
                              <w:szCs w:val="16"/>
                            </w:rPr>
                            <w:t>Equity (30%) not rated</w:t>
                          </w:r>
                        </w:p>
                      </w:txbxContent>
                    </v:textbox>
                  </v:shape>
                  <v:shape id="_x0000_s1044" type="#_x0000_t202" style="position:absolute;left:21786;top:934;width:12973;height: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" filled="f" stroked="f">
                    <v:stroke dashstyle="1 1"/>
                    <v:textbox inset=",0,,0">
                      <w:txbxContent>
                        <w:p w14:paraId="04E5A165" w14:textId="77777777" w:rsidR="00A7432E" w:rsidRPr="00305CD2" w:rsidRDefault="00A7432E" w:rsidP="009E7D3B">
                          <w:pPr>
                            <w:jc w:val="center"/>
                            <w:rPr>
                              <w:b/>
                              <w:sz w:val="18"/>
                              <w:szCs w:val="18"/>
                            </w:rPr>
                          </w:pPr>
                          <w:r w:rsidRPr="00305CD2">
                            <w:rPr>
                              <w:b/>
                              <w:sz w:val="18"/>
                              <w:szCs w:val="18"/>
                            </w:rPr>
                            <w:t>Hypothetical LLC Capital Structure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 o:spid="_x0000_s1045" type="#_x0000_t34" style="position:absolute;left:8644;top:945;width:4463;height:149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" adj="9642" strokecolor="windowText" strokeweight=".5pt">
                    <v:stroke dashstyle="3 1"/>
                  </v:shape>
                  <v:line id="Straight Connector 20" o:spid="_x0000_s1046" style="position:absolute;visibility:visible;mso-wrap-style:square" from="8644,3337" to="13107,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" strokecolor="windowText" strokeweight=".5pt">
                    <v:stroke dashstyle="3 1" joinstyle="miter"/>
                  </v:line>
                  <v:group id="Group 21" o:spid="_x0000_s1047" style="position:absolute;top:4125;width:13117;height:2558" coordorigin="" coordsize="13117,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2" o:spid="_x0000_s1048" type="#_x0000_t202" style="position:absolute;top:653;width:864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" filled="f">
                      <v:textbox>
                        <w:txbxContent>
                          <w:p w14:paraId="786D49CC" w14:textId="77777777" w:rsidR="00A7432E" w:rsidRPr="00272CBB" w:rsidRDefault="00A7432E" w:rsidP="009E7D3B">
                            <w:pPr>
                              <w:jc w:val="center"/>
                              <w:rPr>
                                <w:b/>
                                <w:sz w:val="16"/>
                                <w:szCs w:val="16"/>
                              </w:rPr>
                            </w:pPr>
                            <w:r w:rsidRPr="00272CBB">
                              <w:rPr>
                                <w:b/>
                                <w:sz w:val="16"/>
                                <w:szCs w:val="16"/>
                              </w:rPr>
                              <w:t xml:space="preserve">Reserve </w:t>
                            </w:r>
                            <w:r>
                              <w:rPr>
                                <w:b/>
                                <w:sz w:val="16"/>
                                <w:szCs w:val="16"/>
                              </w:rPr>
                              <w:t>Accounts</w:t>
                            </w:r>
                            <w:r w:rsidRPr="00272CBB">
                              <w:rPr>
                                <w:b/>
                                <w:sz w:val="16"/>
                                <w:szCs w:val="16"/>
                              </w:rPr>
                              <w:t xml:space="preserve"> </w:t>
                            </w:r>
                          </w:p>
                        </w:txbxContent>
                      </v:textbox>
                    </v:shape>
                    <v:shape id="Connector: Elbow 23" o:spid="_x0000_s1049" type="#_x0000_t34" style="position:absolute;left:8648;width:4469;height:160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" strokecolor="windowText" strokeweight=".5pt">
                      <v:stroke dashstyle="3 1"/>
                    </v:shape>
                  </v:group>
                  <v:shape id="_x0000_s1050" type="#_x0000_t202" style="position:absolute;left:7264;top:8509;width:4800;height:1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" filled="f">
                    <v:textbox inset=",0,,0">
                      <w:txbxContent>
                        <w:p w14:paraId="13B51A76" w14:textId="77777777" w:rsidR="00A7432E" w:rsidRPr="00272CBB" w:rsidRDefault="00A7432E" w:rsidP="009E7D3B">
                          <w:pPr>
                            <w:jc w:val="center"/>
                            <w:rPr>
                              <w:sz w:val="16"/>
                              <w:szCs w:val="16"/>
                            </w:rPr>
                          </w:pPr>
                          <w:r w:rsidRPr="00272CBB">
                            <w:rPr>
                              <w:sz w:val="16"/>
                              <w:szCs w:val="16"/>
                            </w:rPr>
                            <w:t>PE Fund A</w:t>
                          </w:r>
                        </w:p>
                      </w:txbxContent>
                    </v:textbox>
                  </v:shape>
                  <v:shape id="_x0000_s1051" type="#_x0000_t202" style="position:absolute;left:12566;top:8513;width:4800;height:1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" filled="f">
                    <v:textbox inset=",0,,0">
                      <w:txbxContent>
                        <w:p w14:paraId="25C4E461" w14:textId="77777777" w:rsidR="00A7432E" w:rsidRPr="0054096C" w:rsidRDefault="00A7432E" w:rsidP="009E7D3B">
                          <w:pPr>
                            <w:jc w:val="center"/>
                            <w:rPr>
                              <w:sz w:val="16"/>
                              <w:szCs w:val="16"/>
                            </w:rPr>
                          </w:pPr>
                          <w:r w:rsidRPr="0054096C">
                            <w:rPr>
                              <w:sz w:val="16"/>
                              <w:szCs w:val="16"/>
                            </w:rPr>
                            <w:t>PE Fund B</w:t>
                          </w:r>
                        </w:p>
                      </w:txbxContent>
                    </v:textbox>
                  </v:shape>
                  <v:shape id="_x0000_s1052" type="#_x0000_t202" style="position:absolute;left:17926;top:8513;width:4801;height:1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" filled="f">
                    <v:textbox inset=",0,,0">
                      <w:txbxContent>
                        <w:p w14:paraId="0D7A29F8" w14:textId="77777777" w:rsidR="00A7432E" w:rsidRPr="0054096C" w:rsidRDefault="00A7432E" w:rsidP="009E7D3B">
                          <w:pPr>
                            <w:jc w:val="center"/>
                            <w:rPr>
                              <w:sz w:val="16"/>
                              <w:szCs w:val="16"/>
                            </w:rPr>
                          </w:pPr>
                          <w:r w:rsidRPr="0054096C">
                            <w:rPr>
                              <w:sz w:val="16"/>
                              <w:szCs w:val="16"/>
                            </w:rPr>
                            <w:t>PE Fund C</w:t>
                          </w:r>
                        </w:p>
                      </w:txbxContent>
                    </v:textbox>
                  </v:shape>
                  <v:shape id="_x0000_s1053" type="#_x0000_t202" style="position:absolute;left:23207;top:8513;width:4801;height:1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" filled="f">
                    <v:textbox inset=",0,,0">
                      <w:txbxContent>
                        <w:p w14:paraId="22A8C292" w14:textId="77777777" w:rsidR="00A7432E" w:rsidRPr="0054096C" w:rsidRDefault="00A7432E" w:rsidP="009E7D3B">
                          <w:pPr>
                            <w:jc w:val="center"/>
                            <w:rPr>
                              <w:sz w:val="16"/>
                              <w:szCs w:val="16"/>
                            </w:rPr>
                          </w:pPr>
                          <w:r w:rsidRPr="0054096C">
                            <w:rPr>
                              <w:sz w:val="16"/>
                              <w:szCs w:val="16"/>
                            </w:rPr>
                            <w:t>PE Fund D</w:t>
                          </w:r>
                        </w:p>
                      </w:txbxContent>
                    </v:textbox>
                  </v:shape>
                  <v:group id="Group 28" o:spid="_x0000_s1054" style="position:absolute;left:9675;top:4887;width:15897;height:3626" coordorigin="-230" coordsize="15896,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29" o:spid="_x0000_s1055" style="position:absolute;flip:y;visibility:visible;mso-wrap-style:square" from="-230,2075" to="15666,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" strokecolor="windowText" strokeweight=".5pt">
                      <v:stroke dashstyle="3 1" joinstyle="miter"/>
                    </v:line>
                    <v:line id="Straight Connector 30" o:spid="_x0000_s1056" style="position:absolute;visibility:visible;mso-wrap-style:square" from="-220,2102" to="-220,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" strokecolor="windowText" strokeweight=".5pt">
                      <v:stroke dashstyle="3 1" joinstyle="miter"/>
                    </v:line>
                    <v:line id="Straight Connector 31" o:spid="_x0000_s1057" style="position:absolute;visibility:visible;mso-wrap-style:square" from="5156,2098" to="5156,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" strokecolor="windowText" strokeweight=".5pt">
                      <v:stroke dashstyle="3 1" joinstyle="miter"/>
                    </v:line>
                    <v:line id="Straight Connector 192" o:spid="_x0000_s1058" style="position:absolute;visibility:visible;mso-wrap-style:square" from="10674,2075" to="10674,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" strokecolor="windowText" strokeweight=".5pt">
                      <v:stroke dashstyle="3 1" joinstyle="miter"/>
                    </v:line>
                    <v:line id="Straight Connector 193" o:spid="_x0000_s1059" style="position:absolute;visibility:visible;mso-wrap-style:square" from="15666,2075" to="15666,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" strokecolor="windowText" strokeweight=".5pt">
                      <v:stroke dashstyle="3 1" joinstyle="miter"/>
                    </v:line>
                    <v:line id="Straight Connector 194" o:spid="_x0000_s1060" style="position:absolute;visibility:visible;mso-wrap-style:square" from="7258,0" to="7258,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" strokecolor="windowText" strokeweight=".5pt">
                      <v:stroke dashstyle="3 1" joinstyle="miter"/>
                    </v:line>
                  </v:group>
                  <v:shape id="Right Brace 195" o:spid="_x0000_s1061" type="#_x0000_t88" style="position:absolute;left:28456;top:6989;width:972;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" adj="3568,10987" strokecolor="windowText" strokeweight=".5pt">
                    <v:stroke joinstyle="miter"/>
                  </v:shape>
                  <v:shape id="_x0000_s1062" type="#_x0000_t202" style="position:absolute;left:29336;top:6674;width:5804;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" filled="f" stroked="f">
                    <v:stroke dashstyle="1 1"/>
                    <v:textbox inset=",0,,0">
                      <w:txbxContent>
                        <w:p w14:paraId="3F3D2CB6" w14:textId="77777777" w:rsidR="00A7432E" w:rsidRPr="00E53C2A" w:rsidRDefault="00A7432E" w:rsidP="009E7D3B">
                          <w:pPr>
                            <w:widowControl w:val="0"/>
                            <w:contextualSpacing/>
                            <w:rPr>
                              <w:sz w:val="14"/>
                              <w:szCs w:val="14"/>
                            </w:rPr>
                          </w:pPr>
                          <w:r w:rsidRPr="00E53C2A">
                            <w:rPr>
                              <w:sz w:val="14"/>
                              <w:szCs w:val="14"/>
                            </w:rPr>
                            <w:t>LP or GP Interests in Funds; may or may not be managed by the same General Partner</w:t>
                          </w:r>
                        </w:p>
                      </w:txbxContent>
                    </v:textbox>
                  </v:shape>
                </v:group>
                <w10:wrap type="tight"/>
              </v:group>
            </w:pict>
          </mc:Fallback>
        </mc:AlternateContent>
      </w:r>
      <w:r w:rsidRPr="00AE5757">
        <w:rPr>
          <w:b/>
          <w:noProof/>
          <w:u w:val="single"/>
        </w:rPr>
        <w:t>Basic</w:t>
      </w:r>
      <w:r w:rsidRPr="00AE5757">
        <w:rPr>
          <w:b/>
          <w:u w:val="single"/>
        </w:rPr>
        <w:t xml:space="preserve"> Example</w:t>
      </w:r>
      <w:r w:rsidRPr="00C37D63">
        <w:rPr>
          <w:b/>
        </w:rPr>
        <w:t>:</w:t>
      </w:r>
      <w:r w:rsidRPr="006F1E1C">
        <w:t xml:space="preserve"> </w:t>
      </w:r>
    </w:p>
    <w:p w14:paraId="33C71C81" w14:textId="77777777" w:rsidR="009E7D3B" w:rsidRDefault="009E7D3B" w:rsidP="009E7D3B">
      <w:pPr>
        <w:spacing w:after="80"/>
        <w:rPr>
          <w:b/>
          <w:sz w:val="24"/>
          <w:szCs w:val="24"/>
          <w:u w:val="single"/>
        </w:rPr>
      </w:pPr>
    </w:p>
    <w:p w14:paraId="789D5FB8" w14:textId="77777777" w:rsidR="009E7D3B" w:rsidRDefault="009E7D3B" w:rsidP="009E7D3B">
      <w:pPr>
        <w:spacing w:after="80"/>
        <w:rPr>
          <w:b/>
          <w:sz w:val="24"/>
          <w:szCs w:val="24"/>
          <w:u w:val="single"/>
        </w:rPr>
      </w:pPr>
    </w:p>
    <w:p w14:paraId="486E1466" w14:textId="77777777" w:rsidR="009E7D3B" w:rsidRDefault="009E7D3B" w:rsidP="009E7D3B">
      <w:pPr>
        <w:spacing w:after="80"/>
        <w:rPr>
          <w:b/>
          <w:sz w:val="24"/>
          <w:szCs w:val="24"/>
          <w:u w:val="single"/>
        </w:rPr>
      </w:pPr>
    </w:p>
    <w:p w14:paraId="42115EF4" w14:textId="77777777" w:rsidR="009E7D3B" w:rsidRDefault="009E7D3B" w:rsidP="009E7D3B">
      <w:pPr>
        <w:spacing w:after="80"/>
        <w:rPr>
          <w:b/>
          <w:sz w:val="24"/>
          <w:szCs w:val="24"/>
          <w:u w:val="single"/>
        </w:rPr>
      </w:pPr>
    </w:p>
    <w:p w14:paraId="2F747E93" w14:textId="77777777" w:rsidR="009E7D3B" w:rsidRDefault="009E7D3B" w:rsidP="009E7D3B">
      <w:pPr>
        <w:spacing w:after="80"/>
        <w:rPr>
          <w:b/>
          <w:sz w:val="24"/>
          <w:szCs w:val="24"/>
          <w:u w:val="single"/>
        </w:rPr>
      </w:pPr>
    </w:p>
    <w:p w14:paraId="23288F44" w14:textId="77777777" w:rsidR="009E7D3B" w:rsidRDefault="009E7D3B" w:rsidP="009E7D3B">
      <w:pPr>
        <w:spacing w:after="80"/>
        <w:rPr>
          <w:b/>
          <w:sz w:val="24"/>
          <w:szCs w:val="24"/>
          <w:u w:val="single"/>
        </w:rPr>
      </w:pPr>
    </w:p>
    <w:p w14:paraId="660CF094" w14:textId="77777777" w:rsidR="009E7D3B" w:rsidRDefault="009E7D3B" w:rsidP="009E7D3B">
      <w:pPr>
        <w:spacing w:after="80"/>
        <w:rPr>
          <w:b/>
          <w:sz w:val="24"/>
          <w:szCs w:val="24"/>
          <w:u w:val="single"/>
        </w:rPr>
      </w:pPr>
    </w:p>
    <w:p w14:paraId="1976458B" w14:textId="77777777" w:rsidR="009E7D3B" w:rsidRDefault="009E7D3B" w:rsidP="009E7D3B">
      <w:pPr>
        <w:spacing w:after="80"/>
        <w:rPr>
          <w:b/>
          <w:sz w:val="24"/>
          <w:szCs w:val="24"/>
          <w:u w:val="single"/>
        </w:rPr>
      </w:pPr>
    </w:p>
    <w:p w14:paraId="6956AEEC" w14:textId="77777777" w:rsidR="009E7D3B" w:rsidRDefault="009E7D3B" w:rsidP="009E7D3B">
      <w:pPr>
        <w:spacing w:after="80"/>
        <w:rPr>
          <w:b/>
          <w:sz w:val="24"/>
          <w:szCs w:val="24"/>
          <w:u w:val="single"/>
        </w:rPr>
      </w:pPr>
    </w:p>
    <w:p w14:paraId="3D81943D" w14:textId="77777777" w:rsidR="009E7D3B" w:rsidRPr="00E53C2A" w:rsidRDefault="009E7D3B" w:rsidP="009E7D3B">
      <w:pPr>
        <w:spacing w:after="80"/>
        <w:rPr>
          <w:b/>
          <w:sz w:val="12"/>
          <w:szCs w:val="12"/>
          <w:u w:val="single"/>
        </w:rPr>
      </w:pPr>
      <w:r>
        <w:rPr>
          <w:noProof/>
        </w:rPr>
        <mc:AlternateContent>
          <mc:Choice Requires="wps">
            <w:drawing>
              <wp:anchor distT="45720" distB="45720" distL="114300" distR="114300" simplePos="0" relativeHeight="251667456" behindDoc="0" locked="0" layoutInCell="1" allowOverlap="1" wp14:anchorId="2D71FD5C" wp14:editId="09117B41">
                <wp:simplePos x="0" y="0"/>
                <wp:positionH relativeFrom="column">
                  <wp:posOffset>5638042</wp:posOffset>
                </wp:positionH>
                <wp:positionV relativeFrom="paragraph">
                  <wp:posOffset>30622</wp:posOffset>
                </wp:positionV>
                <wp:extent cx="762000" cy="222250"/>
                <wp:effectExtent l="0" t="0" r="0" b="635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2250"/>
                        </a:xfrm>
                        <a:prstGeom prst="rect">
                          <a:avLst/>
                        </a:prstGeom>
                        <a:noFill/>
                        <a:ln w="9525">
                          <a:noFill/>
                          <a:miter lim="800000"/>
                          <a:headEnd/>
                          <a:tailEnd/>
                        </a:ln>
                      </wps:spPr>
                      <wps:txbx>
                        <w:txbxContent>
                          <w:p w14:paraId="28E91B82" w14:textId="77777777" w:rsidR="00A7432E" w:rsidRPr="00E53C2A" w:rsidRDefault="00A7432E" w:rsidP="009E7D3B">
                            <w:pPr>
                              <w:rPr>
                                <w:i/>
                                <w:sz w:val="16"/>
                                <w:szCs w:val="16"/>
                              </w:rPr>
                            </w:pPr>
                            <w:r w:rsidRPr="00E53C2A">
                              <w:rPr>
                                <w:i/>
                                <w:sz w:val="16"/>
                                <w:szCs w:val="16"/>
                              </w:rPr>
                              <w:t xml:space="preserve">Source: Fitch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1FD5C" id="Text Box 2" o:spid="_x0000_s1063" type="#_x0000_t202" style="position:absolute;margin-left:443.95pt;margin-top:2.4pt;width:60pt;height: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" filled="f" stroked="f">
                <v:textbox>
                  <w:txbxContent>
                    <w:p w14:paraId="28E91B82" w14:textId="77777777" w:rsidR="00A7432E" w:rsidRPr="00E53C2A" w:rsidRDefault="00A7432E" w:rsidP="009E7D3B">
                      <w:pPr>
                        <w:rPr>
                          <w:i/>
                          <w:sz w:val="16"/>
                          <w:szCs w:val="16"/>
                        </w:rPr>
                      </w:pPr>
                      <w:r w:rsidRPr="00E53C2A">
                        <w:rPr>
                          <w:i/>
                          <w:sz w:val="16"/>
                          <w:szCs w:val="16"/>
                        </w:rPr>
                        <w:t xml:space="preserve">Source: Fitch </w:t>
                      </w:r>
                    </w:p>
                  </w:txbxContent>
                </v:textbox>
              </v:shape>
            </w:pict>
          </mc:Fallback>
        </mc:AlternateContent>
      </w:r>
    </w:p>
    <w:p w14:paraId="2F20AF58" w14:textId="77777777" w:rsidR="009E7D3B" w:rsidRPr="00A20335" w:rsidRDefault="009E7D3B" w:rsidP="009E7D3B">
      <w:pPr>
        <w:rPr>
          <w:b/>
          <w:sz w:val="6"/>
          <w:szCs w:val="6"/>
          <w:u w:val="single"/>
        </w:rPr>
      </w:pPr>
    </w:p>
    <w:p w14:paraId="13F38BE1" w14:textId="77777777" w:rsidR="009E7D3B" w:rsidRDefault="009E7D3B" w:rsidP="009E7D3B">
      <w:pPr>
        <w:rPr>
          <w:b/>
          <w:u w:val="single"/>
        </w:rPr>
      </w:pPr>
    </w:p>
    <w:p w14:paraId="0149E01A" w14:textId="77777777" w:rsidR="009E7D3B" w:rsidRDefault="009E7D3B" w:rsidP="009E7D3B">
      <w:pPr>
        <w:rPr>
          <w:b/>
          <w:u w:val="single"/>
        </w:rPr>
      </w:pPr>
    </w:p>
    <w:p w14:paraId="0A27031D" w14:textId="77777777" w:rsidR="009E7D3B" w:rsidRDefault="009E7D3B" w:rsidP="009E7D3B">
      <w:pPr>
        <w:rPr>
          <w:b/>
          <w:u w:val="single"/>
        </w:rPr>
      </w:pPr>
    </w:p>
    <w:p w14:paraId="15AF35D2" w14:textId="77777777" w:rsidR="009E7D3B" w:rsidRPr="006F1E1C" w:rsidRDefault="009E7D3B" w:rsidP="009E7D3B">
      <w:pPr>
        <w:rPr>
          <w:b/>
        </w:rPr>
      </w:pPr>
      <w:r w:rsidRPr="006F1E1C">
        <w:rPr>
          <w:b/>
          <w:u w:val="single"/>
        </w:rPr>
        <w:t>Ratings Framework</w:t>
      </w:r>
      <w:r w:rsidRPr="006F1E1C">
        <w:rPr>
          <w:b/>
        </w:rPr>
        <w:t xml:space="preserve">:  </w:t>
      </w:r>
    </w:p>
    <w:p w14:paraId="7DB086CD" w14:textId="77777777" w:rsidR="009E7D3B" w:rsidRPr="00A20335" w:rsidRDefault="009E7D3B" w:rsidP="009E7D3B">
      <w:pPr>
        <w:spacing w:after="40"/>
        <w:jc w:val="both"/>
        <w:rPr>
          <w:b/>
          <w:sz w:val="24"/>
          <w:szCs w:val="24"/>
        </w:rPr>
      </w:pPr>
      <w:r>
        <w:t xml:space="preserve">The primary focus for evaluating the credit risk of CFO issued debt securities is the level of equity (or subordination) and the expected volatility of the underlying assets.  The level of subordination to achieve an investment grade rating is typically </w:t>
      </w:r>
      <w:r w:rsidRPr="00F86059">
        <w:rPr>
          <w:u w:val="single"/>
        </w:rPr>
        <w:t>at least</w:t>
      </w:r>
      <w:r>
        <w:t xml:space="preserve"> the size of the gross expected losses of the underlying assets (i.e. 15% expected gross losses require a 15% level of equity support).  The size also varies based on expected volatility of the expected gross losses – a guiding principle used in almost all debt markets (i.e. more equity support is needed to support debt issued by entities with more volatility or underlying risk).  </w:t>
      </w:r>
    </w:p>
    <w:p w14:paraId="78304FEE" w14:textId="77777777" w:rsidR="009E7D3B" w:rsidRDefault="009E7D3B" w:rsidP="009E7D3B">
      <w:pPr>
        <w:spacing w:after="40"/>
        <w:jc w:val="both"/>
      </w:pPr>
      <w:r>
        <w:t>The expected cashflows generated by the underlying assets are also evaluated to: 1) assess risk, 2) ensure timely payment of interest and principal, and 3) establish the size of the reserve accounts.</w:t>
      </w:r>
    </w:p>
    <w:p w14:paraId="707763CE" w14:textId="77777777" w:rsidR="009E7D3B" w:rsidRPr="006F1E1C" w:rsidRDefault="009E7D3B" w:rsidP="009E7D3B">
      <w:r w:rsidRPr="006F1E1C">
        <w:rPr>
          <w:b/>
          <w:u w:val="single"/>
        </w:rPr>
        <w:t>Valuation, Covenants and Ongoing Ratings Assessment:</w:t>
      </w:r>
    </w:p>
    <w:p w14:paraId="2F3CC9E7" w14:textId="0E3B005D" w:rsidR="009E7D3B" w:rsidRPr="0077156C" w:rsidRDefault="009E7D3B" w:rsidP="009E7D3B">
      <w:pPr>
        <w:spacing w:after="40"/>
        <w:jc w:val="both"/>
      </w:pPr>
      <w:r>
        <w:t xml:space="preserve">The values of the underlying partnership interests are established by the General Partner’s pricing policies, which are agreed to in advance by the Limited Partners.  They typically use </w:t>
      </w:r>
      <w:r w:rsidRPr="0077156C">
        <w:t xml:space="preserve">an independent internal </w:t>
      </w:r>
      <w:r w:rsidRPr="0077156C">
        <w:lastRenderedPageBreak/>
        <w:t xml:space="preserve">valuation committee and/or external advisers to review methodologies, inputs, and fair value estimates for reasonableness.  These valuations and valuation procedures are also reviewed by the fund’s auditors. </w:t>
      </w:r>
    </w:p>
    <w:p w14:paraId="4A1A6455" w14:textId="77777777" w:rsidR="009E7D3B" w:rsidRPr="0077156C" w:rsidRDefault="009E7D3B" w:rsidP="009E7D3B">
      <w:pPr>
        <w:spacing w:after="40"/>
        <w:jc w:val="both"/>
      </w:pPr>
      <w:r w:rsidRPr="0077156C">
        <w:t xml:space="preserve">These valuations form the basis for the Loan to Value (“LTV”) covenants and ongoing assessment of risk.  The initial and ongoing expectation for a well-structured debt security issued by a CFO is that, at </w:t>
      </w:r>
      <w:r>
        <w:t xml:space="preserve">all times, </w:t>
      </w:r>
      <w:r w:rsidRPr="0077156C">
        <w:t>the val</w:t>
      </w:r>
      <w:r>
        <w:t>ue</w:t>
      </w:r>
      <w:r w:rsidRPr="0077156C">
        <w:t xml:space="preserve"> of the underlying assets </w:t>
      </w:r>
      <w:r>
        <w:t>will</w:t>
      </w:r>
      <w:r w:rsidRPr="0077156C">
        <w:t xml:space="preserve"> exceed the value of the debt issued by the structure.  In fact, most debt securities issued by CFOs benefit from covenants th</w:t>
      </w:r>
      <w:r>
        <w:t>at</w:t>
      </w:r>
      <w:r w:rsidRPr="0077156C">
        <w:t xml:space="preserve"> require substantial excess cushion in the LTV, such that risk of principal loss is low.  For an example, if the initial LTV of a CFO is 65%, the covenants will typically restrict the ability for the equity tranche to receive economics from the structure if the LTV exceeds 80% - this may also trigger rapid </w:t>
      </w:r>
      <w:r>
        <w:t xml:space="preserve">debt </w:t>
      </w:r>
      <w:r w:rsidRPr="0077156C">
        <w:t xml:space="preserve">amortization or </w:t>
      </w:r>
      <w:r>
        <w:t xml:space="preserve">require </w:t>
      </w:r>
      <w:r w:rsidRPr="0077156C">
        <w:t xml:space="preserve">additional reserves to be established.  </w:t>
      </w:r>
    </w:p>
    <w:p w14:paraId="7187DA4E" w14:textId="77777777" w:rsidR="009E7D3B" w:rsidRPr="0077156C" w:rsidRDefault="009E7D3B" w:rsidP="009E7D3B">
      <w:pPr>
        <w:spacing w:after="40"/>
        <w:jc w:val="both"/>
      </w:pPr>
      <w:r w:rsidRPr="0077156C">
        <w:t xml:space="preserve">The credit rating on debt issued by CFOs allows for </w:t>
      </w:r>
      <w:r>
        <w:t xml:space="preserve">some </w:t>
      </w:r>
      <w:r w:rsidRPr="0077156C">
        <w:t>variation in the LTV; however, if persistently above the initial LTV (i.e. if initially set at 65% and it is persistently is above 70%), the credit rating</w:t>
      </w:r>
      <w:r>
        <w:t xml:space="preserve"> on the CFO issued debt</w:t>
      </w:r>
      <w:r w:rsidRPr="0077156C">
        <w:t xml:space="preserve"> will likely be lowered.   In addition, if the amount of subordination is smaller than the gross expected loss rate of the underlying assets, the credit rating will likely be lowered </w:t>
      </w:r>
      <w:r>
        <w:t>materially.</w:t>
      </w:r>
    </w:p>
    <w:p w14:paraId="03CEE2D8" w14:textId="77777777" w:rsidR="009E7D3B" w:rsidRPr="006F1E1C" w:rsidRDefault="009E7D3B" w:rsidP="009E7D3B">
      <w:pPr>
        <w:jc w:val="both"/>
      </w:pPr>
      <w:r w:rsidRPr="006F1E1C">
        <w:rPr>
          <w:b/>
          <w:u w:val="single"/>
        </w:rPr>
        <w:t>Sponsor Obligations:</w:t>
      </w:r>
    </w:p>
    <w:p w14:paraId="32E1195D" w14:textId="77777777" w:rsidR="009E7D3B" w:rsidRDefault="009E7D3B" w:rsidP="009E7D3B">
      <w:pPr>
        <w:spacing w:after="40"/>
        <w:jc w:val="both"/>
      </w:pPr>
      <w:r>
        <w:t>While debt investors do not have direct recourse to the sponsor, in some GP sponsored CFOs, the GP is required to fund and contribute related capital calls into the LLC.  If the LTV exceeds the initial LTV at the time of the capital call, the GP may be required to contribute the additional partnership interests into the LLC without incurring additional debt at the LLC level.   Some CFOs also require the GP’s stake in successor funds to be contributed as well.  This requirement effectively provides a “keepwell” from the GP to ensure that the LTV does not increase above the LTV when the structure was established.</w:t>
      </w:r>
    </w:p>
    <w:p w14:paraId="0096D4AA" w14:textId="77777777" w:rsidR="009E7D3B" w:rsidRPr="006F1E1C" w:rsidRDefault="009E7D3B" w:rsidP="009E7D3B">
      <w:pPr>
        <w:jc w:val="both"/>
      </w:pPr>
      <w:bookmarkStart w:id="13" w:name="_Hlk45108307"/>
      <w:r w:rsidRPr="006F1E1C">
        <w:rPr>
          <w:b/>
          <w:u w:val="single"/>
        </w:rPr>
        <w:t xml:space="preserve">Key </w:t>
      </w:r>
      <w:r>
        <w:rPr>
          <w:b/>
          <w:u w:val="single"/>
        </w:rPr>
        <w:t xml:space="preserve">Risk Differential </w:t>
      </w:r>
      <w:r w:rsidRPr="006F1E1C">
        <w:rPr>
          <w:b/>
          <w:u w:val="single"/>
        </w:rPr>
        <w:t>Between Debt Issued by CFOs and Principal Protected Notes (“PPNs”):</w:t>
      </w:r>
    </w:p>
    <w:p w14:paraId="35692300" w14:textId="77777777" w:rsidR="009E7D3B" w:rsidRDefault="009E7D3B" w:rsidP="009E7D3B">
      <w:pPr>
        <w:spacing w:after="40"/>
        <w:jc w:val="both"/>
      </w:pPr>
      <w:r>
        <w:t xml:space="preserve">A PPN typically involves an issuance by an LLC that holds a combination of risk assets (e.g. private equity limited partnership interests) and assets with no credit risk (e.g. long dated zero-coupon Treasury bonds).  The LLC will issue one security:  a single PPN with no subordination.   The amount of riskless assets in the structure is sized so that if an investor holds the PPN to maturity, the value accretion of the zero-coupon bond will ensure that the PPN’s principal will be repaid with no dependence on the performance of the risk assets. </w:t>
      </w:r>
    </w:p>
    <w:p w14:paraId="1D70750B" w14:textId="77777777" w:rsidR="009E7D3B" w:rsidRDefault="009E7D3B" w:rsidP="009E7D3B">
      <w:pPr>
        <w:spacing w:after="40"/>
        <w:jc w:val="both"/>
      </w:pPr>
      <w:r>
        <w:t xml:space="preserve">For the PPN, returns vary with asset performance, but if held to maturity, there is no risk of loss.  However, the structure still holds a sizable amount of risk assets and assets with duration, such that at any given point in time, the value of the assets in the LLC may not exceed the value of the PPN.  </w:t>
      </w:r>
    </w:p>
    <w:p w14:paraId="7E46F538" w14:textId="77777777" w:rsidR="009E7D3B" w:rsidRDefault="009E7D3B" w:rsidP="009E7D3B">
      <w:pPr>
        <w:spacing w:after="40"/>
        <w:jc w:val="both"/>
      </w:pPr>
      <w:r>
        <w:t xml:space="preserve">While CFOs and PPNs both expose investors to risk assets, the CFO issued </w:t>
      </w:r>
      <w:r w:rsidRPr="00D96BFA">
        <w:rPr>
          <w:u w:val="single"/>
        </w:rPr>
        <w:t>debt</w:t>
      </w:r>
      <w:r>
        <w:t xml:space="preserve"> benefits from a sizable amount of subordination with contractual returns not expected to vary with asset performance.  This subordination ensures that if the assets in the LLC were to be liquidated, </w:t>
      </w:r>
      <w:r w:rsidRPr="00CE42A0">
        <w:rPr>
          <w:u w:val="single"/>
        </w:rPr>
        <w:t>at any time</w:t>
      </w:r>
      <w:r>
        <w:t xml:space="preserve">, the debt could be repaid with no risk of principal loss.   This concept of continuous asset coverage only exists at issuance and at the stated maturity for a PPN.  </w:t>
      </w:r>
    </w:p>
    <w:bookmarkEnd w:id="13"/>
    <w:p w14:paraId="033A5777" w14:textId="77777777" w:rsidR="009E7D3B" w:rsidRPr="006F1E1C" w:rsidRDefault="009E7D3B" w:rsidP="009E7D3B">
      <w:pPr>
        <w:jc w:val="both"/>
      </w:pPr>
      <w:r>
        <w:rPr>
          <w:b/>
          <w:u w:val="single"/>
        </w:rPr>
        <w:t>CFO Issued Debt Within Scope of SSAP 26R</w:t>
      </w:r>
      <w:r w:rsidRPr="006F1E1C">
        <w:rPr>
          <w:b/>
          <w:u w:val="single"/>
        </w:rPr>
        <w:t>:</w:t>
      </w:r>
    </w:p>
    <w:p w14:paraId="703A15EB" w14:textId="77777777" w:rsidR="009E7D3B" w:rsidRDefault="009E7D3B" w:rsidP="009E7D3B">
      <w:pPr>
        <w:spacing w:after="40" w:line="252" w:lineRule="auto"/>
        <w:jc w:val="both"/>
      </w:pPr>
      <w:r>
        <w:t xml:space="preserve">Debt backed by equity instruments is common in the capital markets </w:t>
      </w:r>
      <w:r w:rsidRPr="00053EEA">
        <w:t>and universally viewed as having bond-like characteristics.  Other examples of debt issued by CFO-like structures (or equity-reliant) include debt issued by Holding Companies (e.g. Utilities, Berkshire Hathaway), Business Development Corporations, Closed-end Funds, Master Limited Partnerships and Real Estate Investment Trusts.</w:t>
      </w:r>
      <w:r>
        <w:t xml:space="preserve"> </w:t>
      </w:r>
    </w:p>
    <w:p w14:paraId="7F67C038" w14:textId="77777777" w:rsidR="009E7D3B" w:rsidRDefault="009E7D3B" w:rsidP="009E7D3B">
      <w:pPr>
        <w:spacing w:after="40"/>
        <w:jc w:val="both"/>
      </w:pPr>
      <w:r>
        <w:t xml:space="preserve">For CFO issued debt to be within scope of SSAP 26r (or to get similar accounting and RBC treatment), there must be a fixed maturity, fixed coupon rate (not varying with asset performance), and a minimum level of asset overcollateralization of 133% (or inversely, an LTV of not more than 75%).   The structure should also include covenants that work to maintain continuous asset coverage and have established reserve accounts to support the timely payment of interest and principal. </w:t>
      </w:r>
    </w:p>
    <w:p w14:paraId="4A46322F" w14:textId="77777777" w:rsidR="009E7D3B" w:rsidRPr="006F1E1C" w:rsidRDefault="009E7D3B" w:rsidP="009E7D3B">
      <w:pPr>
        <w:jc w:val="both"/>
        <w:rPr>
          <w:b/>
          <w:u w:val="single"/>
        </w:rPr>
      </w:pPr>
      <w:r>
        <w:rPr>
          <w:b/>
          <w:u w:val="single"/>
        </w:rPr>
        <w:t>Reference</w:t>
      </w:r>
      <w:r w:rsidRPr="006F1E1C">
        <w:rPr>
          <w:b/>
          <w:u w:val="single"/>
        </w:rPr>
        <w:t xml:space="preserve"> Materials:</w:t>
      </w:r>
    </w:p>
    <w:p w14:paraId="52B7416B" w14:textId="7AB80B81" w:rsidR="00601948" w:rsidRDefault="009E7D3B" w:rsidP="008F3E7B">
      <w:pPr>
        <w:spacing w:after="160" w:line="259" w:lineRule="auto"/>
      </w:pPr>
      <w:r w:rsidRPr="00053EEA">
        <w:rPr>
          <w:rFonts w:asciiTheme="minorHAnsi" w:hAnsiTheme="minorHAnsi" w:cstheme="minorBidi"/>
          <w:szCs w:val="22"/>
        </w:rPr>
        <w:t xml:space="preserve">SSAP 43R IP Comment Letter </w:t>
      </w:r>
      <w:r>
        <w:rPr>
          <w:rFonts w:asciiTheme="minorHAnsi" w:hAnsiTheme="minorHAnsi" w:cstheme="minorBidi"/>
          <w:szCs w:val="22"/>
        </w:rPr>
        <w:t>10/11/19;</w:t>
      </w:r>
      <w:r w:rsidRPr="00053EEA">
        <w:rPr>
          <w:rFonts w:asciiTheme="minorHAnsi" w:hAnsiTheme="minorHAnsi" w:cstheme="minorBidi"/>
          <w:szCs w:val="22"/>
        </w:rPr>
        <w:t xml:space="preserve"> Fitch Special Report: </w:t>
      </w:r>
      <w:r w:rsidRPr="00053EEA">
        <w:rPr>
          <w:rFonts w:asciiTheme="minorHAnsi" w:hAnsiTheme="minorHAnsi" w:cstheme="minorBidi"/>
          <w:i/>
          <w:iCs/>
          <w:szCs w:val="22"/>
        </w:rPr>
        <w:t>PE CFOs: Securitizing Private Equity Fund Interests</w:t>
      </w:r>
      <w:r>
        <w:rPr>
          <w:rFonts w:asciiTheme="minorHAnsi" w:hAnsiTheme="minorHAnsi" w:cstheme="minorBidi"/>
          <w:i/>
          <w:iCs/>
          <w:szCs w:val="22"/>
        </w:rPr>
        <w:t xml:space="preserve"> </w:t>
      </w:r>
      <w:r w:rsidRPr="00053EEA">
        <w:rPr>
          <w:rFonts w:asciiTheme="minorHAnsi" w:hAnsiTheme="minorHAnsi" w:cstheme="minorBidi"/>
          <w:szCs w:val="22"/>
        </w:rPr>
        <w:t>10/10/1</w:t>
      </w:r>
      <w:r>
        <w:rPr>
          <w:rFonts w:asciiTheme="minorHAnsi" w:hAnsiTheme="minorHAnsi" w:cstheme="minorBidi"/>
          <w:szCs w:val="22"/>
        </w:rPr>
        <w:t>9</w:t>
      </w:r>
    </w:p>
    <w:sectPr w:rsidR="006019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61F52" w14:textId="77777777" w:rsidR="00A7432E" w:rsidRDefault="00A7432E" w:rsidP="00F64877">
      <w:r>
        <w:separator/>
      </w:r>
    </w:p>
  </w:endnote>
  <w:endnote w:type="continuationSeparator" w:id="0">
    <w:p w14:paraId="7360D9C4" w14:textId="77777777" w:rsidR="00A7432E" w:rsidRDefault="00A7432E" w:rsidP="00F6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B521" w14:textId="77777777" w:rsidR="00FB5031" w:rsidRDefault="00FB5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349567"/>
      <w:docPartObj>
        <w:docPartGallery w:val="Page Numbers (Bottom of Page)"/>
        <w:docPartUnique/>
      </w:docPartObj>
    </w:sdtPr>
    <w:sdtEndPr>
      <w:rPr>
        <w:noProof/>
      </w:rPr>
    </w:sdtEndPr>
    <w:sdtContent>
      <w:p w14:paraId="5120EEFE" w14:textId="77777777" w:rsidR="00A7432E" w:rsidRDefault="00A743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D59D1" w14:textId="77777777" w:rsidR="00A7432E" w:rsidRDefault="00A74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A227" w14:textId="77777777" w:rsidR="00FB5031" w:rsidRDefault="00FB5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2DBE" w14:textId="77777777" w:rsidR="00A7432E" w:rsidRDefault="00A7432E" w:rsidP="00F64877">
      <w:r>
        <w:separator/>
      </w:r>
    </w:p>
  </w:footnote>
  <w:footnote w:type="continuationSeparator" w:id="0">
    <w:p w14:paraId="5256FF8F" w14:textId="77777777" w:rsidR="00A7432E" w:rsidRDefault="00A7432E" w:rsidP="00F64877">
      <w:r>
        <w:continuationSeparator/>
      </w:r>
    </w:p>
  </w:footnote>
  <w:footnote w:id="1">
    <w:p w14:paraId="05852CC3" w14:textId="3ABBBF5F" w:rsidR="00A7432E" w:rsidRDefault="00A7432E">
      <w:pPr>
        <w:pStyle w:val="FootnoteText"/>
      </w:pPr>
      <w:r w:rsidRPr="00793A5F">
        <w:rPr>
          <w:rStyle w:val="FootnoteReference"/>
        </w:rPr>
        <w:footnoteRef/>
      </w:r>
      <w:r w:rsidRPr="00793A5F">
        <w:t xml:space="preserve"> The </w:t>
      </w:r>
      <w:r>
        <w:t>E</w:t>
      </w:r>
      <w:r w:rsidRPr="00793A5F">
        <w:t xml:space="preserve">xposure </w:t>
      </w:r>
      <w:r>
        <w:t>D</w:t>
      </w:r>
      <w:r w:rsidRPr="00793A5F">
        <w:t>raft’s focus on NRSRO ratings in relation to the definitions is somewhat unclear.  The SEC eliminated the requirement that securities registered on Form SF-3 have an investment grade rating from an NRSRO a number of years ago. Most other federal regulations also have eliminated NRSRO rating requirements and references, as required under the Dodd-Frank, although we do see them used, for instance, in TALF 2.0.   NRSROs do register with respect to certain asset classes, but that does not mean that they are not allowed to rate non-registered transactions.  The questions about ratings in general seem tied to the SVO process rather than the classification of the securities for purposes of the SSAPs.</w:t>
      </w:r>
      <w:r w:rsidRPr="00295D5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44DB" w14:textId="77777777" w:rsidR="00FB5031" w:rsidRDefault="00FB5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AA24" w14:textId="77777777" w:rsidR="00FB5031" w:rsidRDefault="00FB5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176B" w14:textId="77777777" w:rsidR="00FB5031" w:rsidRDefault="00FB5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90E"/>
    <w:multiLevelType w:val="hybridMultilevel"/>
    <w:tmpl w:val="C660CA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3939FC"/>
    <w:multiLevelType w:val="hybridMultilevel"/>
    <w:tmpl w:val="622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5AE2"/>
    <w:multiLevelType w:val="hybridMultilevel"/>
    <w:tmpl w:val="F42269A2"/>
    <w:lvl w:ilvl="0" w:tplc="37809B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0C7C9B"/>
    <w:multiLevelType w:val="hybridMultilevel"/>
    <w:tmpl w:val="A0240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65D71"/>
    <w:multiLevelType w:val="hybridMultilevel"/>
    <w:tmpl w:val="AA38D97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B4C37"/>
    <w:multiLevelType w:val="hybridMultilevel"/>
    <w:tmpl w:val="CD1C358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4F5CDC"/>
    <w:multiLevelType w:val="hybridMultilevel"/>
    <w:tmpl w:val="A5A096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F3D55"/>
    <w:multiLevelType w:val="hybridMultilevel"/>
    <w:tmpl w:val="2E5AB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61B4F"/>
    <w:multiLevelType w:val="hybridMultilevel"/>
    <w:tmpl w:val="937C60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82EAE"/>
    <w:multiLevelType w:val="hybridMultilevel"/>
    <w:tmpl w:val="BF92E812"/>
    <w:lvl w:ilvl="0" w:tplc="45CE5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6B0726"/>
    <w:multiLevelType w:val="hybridMultilevel"/>
    <w:tmpl w:val="BAAE24D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36CF5"/>
    <w:multiLevelType w:val="hybridMultilevel"/>
    <w:tmpl w:val="29CAADE0"/>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B75A1"/>
    <w:multiLevelType w:val="hybridMultilevel"/>
    <w:tmpl w:val="A44A148A"/>
    <w:lvl w:ilvl="0" w:tplc="ACC20E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2E4D82"/>
    <w:multiLevelType w:val="hybridMultilevel"/>
    <w:tmpl w:val="67FA6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641DBB"/>
    <w:multiLevelType w:val="hybridMultilevel"/>
    <w:tmpl w:val="F89C4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516BA"/>
    <w:multiLevelType w:val="hybridMultilevel"/>
    <w:tmpl w:val="4042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31FD7"/>
    <w:multiLevelType w:val="hybridMultilevel"/>
    <w:tmpl w:val="09E86598"/>
    <w:lvl w:ilvl="0" w:tplc="F5B84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6058F6"/>
    <w:multiLevelType w:val="hybridMultilevel"/>
    <w:tmpl w:val="F84061A8"/>
    <w:lvl w:ilvl="0" w:tplc="547474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EA696F"/>
    <w:multiLevelType w:val="hybridMultilevel"/>
    <w:tmpl w:val="4C70DCA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BD404F"/>
    <w:multiLevelType w:val="hybridMultilevel"/>
    <w:tmpl w:val="A3FA4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C60F22"/>
    <w:multiLevelType w:val="hybridMultilevel"/>
    <w:tmpl w:val="9A66B9E2"/>
    <w:lvl w:ilvl="0" w:tplc="6BB6900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447F"/>
    <w:multiLevelType w:val="hybridMultilevel"/>
    <w:tmpl w:val="7A8E0C04"/>
    <w:lvl w:ilvl="0" w:tplc="966C55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61D3"/>
    <w:multiLevelType w:val="hybridMultilevel"/>
    <w:tmpl w:val="827EA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F49E2"/>
    <w:multiLevelType w:val="hybridMultilevel"/>
    <w:tmpl w:val="96B4E3A6"/>
    <w:lvl w:ilvl="0" w:tplc="123A8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BE5F68"/>
    <w:multiLevelType w:val="hybridMultilevel"/>
    <w:tmpl w:val="BE6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CE81F26"/>
    <w:multiLevelType w:val="hybridMultilevel"/>
    <w:tmpl w:val="A8FEC8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08681A"/>
    <w:multiLevelType w:val="hybridMultilevel"/>
    <w:tmpl w:val="FE4A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709C4"/>
    <w:multiLevelType w:val="multilevel"/>
    <w:tmpl w:val="76FE7556"/>
    <w:lvl w:ilvl="0">
      <w:start w:val="2"/>
      <w:numFmt w:val="decimal"/>
      <w:pStyle w:val="ListContinue"/>
      <w:lvlText w:val="%1."/>
      <w:lvlJc w:val="left"/>
      <w:pPr>
        <w:tabs>
          <w:tab w:val="num" w:pos="720"/>
        </w:tabs>
        <w:ind w:left="0" w:firstLine="0"/>
      </w:pPr>
      <w:rPr>
        <w:rFonts w:hint="default"/>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15:restartNumberingAfterBreak="0">
    <w:nsid w:val="54DE1074"/>
    <w:multiLevelType w:val="hybridMultilevel"/>
    <w:tmpl w:val="0CA8D53C"/>
    <w:lvl w:ilvl="0" w:tplc="925EA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28133E"/>
    <w:multiLevelType w:val="hybridMultilevel"/>
    <w:tmpl w:val="FC90D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E2A05"/>
    <w:multiLevelType w:val="hybridMultilevel"/>
    <w:tmpl w:val="6464D6D4"/>
    <w:lvl w:ilvl="0" w:tplc="FF90DF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B051C2"/>
    <w:multiLevelType w:val="hybridMultilevel"/>
    <w:tmpl w:val="A8704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E4F81"/>
    <w:multiLevelType w:val="hybridMultilevel"/>
    <w:tmpl w:val="7C3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4067B"/>
    <w:multiLevelType w:val="hybridMultilevel"/>
    <w:tmpl w:val="40C2D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904AC"/>
    <w:multiLevelType w:val="hybridMultilevel"/>
    <w:tmpl w:val="320A1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20163"/>
    <w:multiLevelType w:val="hybridMultilevel"/>
    <w:tmpl w:val="DEAC12F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442E5"/>
    <w:multiLevelType w:val="hybridMultilevel"/>
    <w:tmpl w:val="12D6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6"/>
  </w:num>
  <w:num w:numId="4">
    <w:abstractNumId w:val="26"/>
  </w:num>
  <w:num w:numId="5">
    <w:abstractNumId w:val="32"/>
  </w:num>
  <w:num w:numId="6">
    <w:abstractNumId w:val="22"/>
  </w:num>
  <w:num w:numId="7">
    <w:abstractNumId w:val="6"/>
  </w:num>
  <w:num w:numId="8">
    <w:abstractNumId w:val="7"/>
  </w:num>
  <w:num w:numId="9">
    <w:abstractNumId w:val="33"/>
  </w:num>
  <w:num w:numId="10">
    <w:abstractNumId w:val="21"/>
  </w:num>
  <w:num w:numId="11">
    <w:abstractNumId w:val="29"/>
  </w:num>
  <w:num w:numId="12">
    <w:abstractNumId w:val="25"/>
  </w:num>
  <w:num w:numId="13">
    <w:abstractNumId w:val="8"/>
  </w:num>
  <w:num w:numId="14">
    <w:abstractNumId w:val="2"/>
  </w:num>
  <w:num w:numId="15">
    <w:abstractNumId w:val="17"/>
  </w:num>
  <w:num w:numId="16">
    <w:abstractNumId w:val="5"/>
  </w:num>
  <w:num w:numId="17">
    <w:abstractNumId w:val="10"/>
  </w:num>
  <w:num w:numId="18">
    <w:abstractNumId w:val="11"/>
  </w:num>
  <w:num w:numId="19">
    <w:abstractNumId w:val="18"/>
  </w:num>
  <w:num w:numId="20">
    <w:abstractNumId w:val="31"/>
  </w:num>
  <w:num w:numId="21">
    <w:abstractNumId w:val="14"/>
  </w:num>
  <w:num w:numId="22">
    <w:abstractNumId w:val="12"/>
  </w:num>
  <w:num w:numId="23">
    <w:abstractNumId w:val="9"/>
  </w:num>
  <w:num w:numId="24">
    <w:abstractNumId w:val="34"/>
  </w:num>
  <w:num w:numId="25">
    <w:abstractNumId w:val="3"/>
  </w:num>
  <w:num w:numId="26">
    <w:abstractNumId w:val="13"/>
  </w:num>
  <w:num w:numId="27">
    <w:abstractNumId w:val="23"/>
  </w:num>
  <w:num w:numId="28">
    <w:abstractNumId w:val="20"/>
  </w:num>
  <w:num w:numId="29">
    <w:abstractNumId w:val="19"/>
  </w:num>
  <w:num w:numId="30">
    <w:abstractNumId w:val="24"/>
  </w:num>
  <w:num w:numId="31">
    <w:abstractNumId w:val="4"/>
  </w:num>
  <w:num w:numId="32">
    <w:abstractNumId w:val="35"/>
  </w:num>
  <w:num w:numId="33">
    <w:abstractNumId w:val="1"/>
  </w:num>
  <w:num w:numId="34">
    <w:abstractNumId w:val="28"/>
  </w:num>
  <w:num w:numId="35">
    <w:abstractNumId w:val="0"/>
    <w:lvlOverride w:ilvl="0">
      <w:startOverride w:val="1"/>
      <w:lvl w:ilvl="0" w:tplc="FFFFFFFF">
        <w:start w:val="1"/>
        <w:numFmt w:val="decimal"/>
        <w:lvlText w:val="%1."/>
        <w:lvlJc w:val="left"/>
        <w:pPr>
          <w:ind w:left="720" w:hanging="360"/>
        </w:pPr>
        <w:rPr>
          <w:b/>
          <w:color w:val="0000FF"/>
          <w:u w:val="double"/>
        </w:rPr>
      </w:lvl>
    </w:lvlOverride>
    <w:lvlOverride w:ilvl="1">
      <w:startOverride w:val="1"/>
      <w:lvl w:ilvl="1" w:tplc="FFFFFFFF">
        <w:start w:val="1"/>
        <w:numFmt w:val="lowerLetter"/>
        <w:lvlText w:val="%2."/>
        <w:lvlJc w:val="left"/>
        <w:pPr>
          <w:ind w:left="1440" w:hanging="360"/>
        </w:pPr>
      </w:lvl>
    </w:lvlOverride>
    <w:lvlOverride w:ilvl="2">
      <w:startOverride w:val="1"/>
      <w:lvl w:ilvl="2" w:tplc="FFFFFFFF">
        <w:start w:val="1"/>
        <w:numFmt w:val="lowerRoman"/>
        <w:lvlText w:val="%3."/>
        <w:lvlJc w:val="right"/>
        <w:pPr>
          <w:ind w:left="2160" w:hanging="180"/>
        </w:pPr>
      </w:lvl>
    </w:lvlOverride>
    <w:lvlOverride w:ilvl="3">
      <w:startOverride w:val="1"/>
      <w:lvl w:ilvl="3" w:tplc="FFFFFFFF">
        <w:start w:val="1"/>
        <w:numFmt w:val="decimal"/>
        <w:lvlText w:val="%4."/>
        <w:lvlJc w:val="left"/>
        <w:pPr>
          <w:ind w:left="2880" w:hanging="360"/>
        </w:pPr>
      </w:lvl>
    </w:lvlOverride>
    <w:lvlOverride w:ilvl="4">
      <w:startOverride w:val="1"/>
      <w:lvl w:ilvl="4" w:tplc="FFFFFFFF">
        <w:start w:val="1"/>
        <w:numFmt w:val="lowerLetter"/>
        <w:lvlText w:val="%5."/>
        <w:lvlJc w:val="left"/>
        <w:pPr>
          <w:ind w:left="3600" w:hanging="360"/>
        </w:pPr>
      </w:lvl>
    </w:lvlOverride>
    <w:lvlOverride w:ilvl="5">
      <w:startOverride w:val="1"/>
      <w:lvl w:ilvl="5" w:tplc="FFFFFFFF">
        <w:start w:val="1"/>
        <w:numFmt w:val="lowerRoman"/>
        <w:lvlText w:val="%6."/>
        <w:lvlJc w:val="right"/>
        <w:pPr>
          <w:ind w:left="4320" w:hanging="180"/>
        </w:pPr>
      </w:lvl>
    </w:lvlOverride>
    <w:lvlOverride w:ilvl="6">
      <w:startOverride w:val="1"/>
      <w:lvl w:ilvl="6" w:tplc="FFFFFFFF">
        <w:start w:val="1"/>
        <w:numFmt w:val="decimal"/>
        <w:lvlText w:val="%7."/>
        <w:lvlJc w:val="left"/>
        <w:pPr>
          <w:ind w:left="5040" w:hanging="360"/>
        </w:pPr>
      </w:lvl>
    </w:lvlOverride>
    <w:lvlOverride w:ilvl="7">
      <w:startOverride w:val="1"/>
      <w:lvl w:ilvl="7" w:tplc="FFFFFFFF">
        <w:start w:val="1"/>
        <w:numFmt w:val="lowerLetter"/>
        <w:lvlText w:val="%8."/>
        <w:lvlJc w:val="left"/>
        <w:pPr>
          <w:ind w:left="5760" w:hanging="360"/>
        </w:pPr>
      </w:lvl>
    </w:lvlOverride>
    <w:lvlOverride w:ilvl="8">
      <w:startOverride w:val="1"/>
      <w:lvl w:ilvl="8" w:tplc="FFFFFFFF">
        <w:start w:val="1"/>
        <w:numFmt w:val="lowerRoman"/>
        <w:lvlText w:val="%9."/>
        <w:lvlJc w:val="right"/>
        <w:pPr>
          <w:ind w:left="6480" w:hanging="180"/>
        </w:pPr>
      </w:lvl>
    </w:lvlOverride>
  </w:num>
  <w:num w:numId="36">
    <w:abstractNumId w:val="0"/>
    <w:lvlOverride w:ilvl="0">
      <w:lvl w:ilvl="0" w:tplc="FFFFFFFF">
        <w:start w:val="1"/>
        <w:numFmt w:val="decimal"/>
        <w:lvlText w:val="%1."/>
        <w:lvlJc w:val="left"/>
        <w:pPr>
          <w:ind w:left="720" w:hanging="360"/>
        </w:pPr>
        <w:rPr>
          <w:b/>
          <w:color w:val="0000FF"/>
          <w:u w:val="double"/>
        </w:rPr>
      </w:lvl>
    </w:lvlOverride>
    <w:lvlOverride w:ilvl="1">
      <w:lvl w:ilvl="1" w:tplc="FFFFFFFF">
        <w:start w:val="1"/>
        <w:numFmt w:val="lowerLetter"/>
        <w:lvlText w:val="%2."/>
        <w:lvlJc w:val="left"/>
        <w:pPr>
          <w:ind w:left="1440" w:hanging="360"/>
        </w:pPr>
      </w:lvl>
    </w:lvlOverride>
    <w:lvlOverride w:ilvl="2">
      <w:lvl w:ilvl="2" w:tplc="FFFFFFFF">
        <w:start w:val="1"/>
        <w:numFmt w:val="lowerRoman"/>
        <w:lvlText w:val="%3."/>
        <w:lvlJc w:val="right"/>
        <w:pPr>
          <w:ind w:left="2160" w:hanging="180"/>
        </w:pPr>
      </w:lvl>
    </w:lvlOverride>
    <w:lvlOverride w:ilvl="3">
      <w:lvl w:ilvl="3" w:tplc="FFFFFFFF">
        <w:start w:val="1"/>
        <w:numFmt w:val="decimal"/>
        <w:lvlText w:val="%4."/>
        <w:lvlJc w:val="left"/>
        <w:pPr>
          <w:ind w:left="2880" w:hanging="360"/>
        </w:pPr>
      </w:lvl>
    </w:lvlOverride>
    <w:lvlOverride w:ilvl="4">
      <w:lvl w:ilvl="4" w:tplc="FFFFFFFF">
        <w:start w:val="1"/>
        <w:numFmt w:val="lowerLetter"/>
        <w:lvlText w:val="%5."/>
        <w:lvlJc w:val="left"/>
        <w:pPr>
          <w:ind w:left="3600" w:hanging="360"/>
        </w:pPr>
      </w:lvl>
    </w:lvlOverride>
    <w:lvlOverride w:ilvl="5">
      <w:lvl w:ilvl="5" w:tplc="FFFFFFFF">
        <w:start w:val="1"/>
        <w:numFmt w:val="lowerRoman"/>
        <w:lvlText w:val="%6."/>
        <w:lvlJc w:val="right"/>
        <w:pPr>
          <w:ind w:left="4320" w:hanging="180"/>
        </w:pPr>
      </w:lvl>
    </w:lvlOverride>
    <w:lvlOverride w:ilvl="6">
      <w:lvl w:ilvl="6" w:tplc="FFFFFFFF">
        <w:start w:val="1"/>
        <w:numFmt w:val="decimal"/>
        <w:lvlText w:val="%7."/>
        <w:lvlJc w:val="left"/>
        <w:pPr>
          <w:ind w:left="5040" w:hanging="360"/>
        </w:pPr>
      </w:lvl>
    </w:lvlOverride>
    <w:lvlOverride w:ilvl="7">
      <w:lvl w:ilvl="7" w:tplc="FFFFFFFF">
        <w:start w:val="1"/>
        <w:numFmt w:val="lowerLetter"/>
        <w:lvlText w:val="%8."/>
        <w:lvlJc w:val="left"/>
        <w:pPr>
          <w:ind w:left="5760" w:hanging="360"/>
        </w:pPr>
      </w:lvl>
    </w:lvlOverride>
    <w:lvlOverride w:ilvl="8">
      <w:lvl w:ilvl="8" w:tplc="FFFFFFFF">
        <w:start w:val="1"/>
        <w:numFmt w:val="lowerRoman"/>
        <w:lvlText w:val="%9."/>
        <w:lvlJc w:val="right"/>
        <w:pPr>
          <w:ind w:left="6480" w:hanging="180"/>
        </w:pPr>
      </w:lvl>
    </w:lvlOverride>
  </w:num>
  <w:num w:numId="37">
    <w:abstractNumId w:val="0"/>
    <w:lvlOverride w:ilvl="0">
      <w:startOverride w:val="1"/>
      <w:lvl w:ilvl="0" w:tplc="FFFFFFFF">
        <w:start w:val="1"/>
        <w:numFmt w:val="decimal"/>
        <w:lvlText w:val="%1."/>
        <w:lvlJc w:val="left"/>
        <w:pPr>
          <w:ind w:left="720" w:hanging="360"/>
        </w:pPr>
      </w:lvl>
    </w:lvlOverride>
    <w:lvlOverride w:ilvl="1">
      <w:startOverride w:val="1"/>
      <w:lvl w:ilvl="1" w:tplc="FFFFFFFF">
        <w:start w:val="1"/>
        <w:numFmt w:val="lowerLetter"/>
        <w:lvlText w:val="%2."/>
        <w:lvlJc w:val="left"/>
        <w:pPr>
          <w:ind w:left="1440" w:hanging="360"/>
        </w:pPr>
        <w:rPr>
          <w:b/>
          <w:color w:val="0000FF"/>
          <w:u w:val="double"/>
        </w:rPr>
      </w:lvl>
    </w:lvlOverride>
    <w:lvlOverride w:ilvl="2">
      <w:startOverride w:val="1"/>
      <w:lvl w:ilvl="2" w:tplc="FFFFFFFF">
        <w:start w:val="1"/>
        <w:numFmt w:val="lowerRoman"/>
        <w:lvlText w:val="%3."/>
        <w:lvlJc w:val="right"/>
        <w:pPr>
          <w:ind w:left="2160" w:hanging="180"/>
        </w:pPr>
      </w:lvl>
    </w:lvlOverride>
    <w:lvlOverride w:ilvl="3">
      <w:startOverride w:val="1"/>
      <w:lvl w:ilvl="3" w:tplc="FFFFFFFF">
        <w:start w:val="1"/>
        <w:numFmt w:val="decimal"/>
        <w:lvlText w:val="%4."/>
        <w:lvlJc w:val="left"/>
        <w:pPr>
          <w:ind w:left="2880" w:hanging="360"/>
        </w:pPr>
      </w:lvl>
    </w:lvlOverride>
    <w:lvlOverride w:ilvl="4">
      <w:startOverride w:val="1"/>
      <w:lvl w:ilvl="4" w:tplc="FFFFFFFF">
        <w:start w:val="1"/>
        <w:numFmt w:val="lowerLetter"/>
        <w:lvlText w:val="%5."/>
        <w:lvlJc w:val="left"/>
        <w:pPr>
          <w:ind w:left="3600" w:hanging="360"/>
        </w:pPr>
      </w:lvl>
    </w:lvlOverride>
    <w:lvlOverride w:ilvl="5">
      <w:startOverride w:val="1"/>
      <w:lvl w:ilvl="5" w:tplc="FFFFFFFF">
        <w:start w:val="1"/>
        <w:numFmt w:val="lowerRoman"/>
        <w:lvlText w:val="%6."/>
        <w:lvlJc w:val="right"/>
        <w:pPr>
          <w:ind w:left="4320" w:hanging="180"/>
        </w:pPr>
      </w:lvl>
    </w:lvlOverride>
    <w:lvlOverride w:ilvl="6">
      <w:startOverride w:val="1"/>
      <w:lvl w:ilvl="6" w:tplc="FFFFFFFF">
        <w:start w:val="1"/>
        <w:numFmt w:val="decimal"/>
        <w:lvlText w:val="%7."/>
        <w:lvlJc w:val="left"/>
        <w:pPr>
          <w:ind w:left="5040" w:hanging="360"/>
        </w:pPr>
      </w:lvl>
    </w:lvlOverride>
    <w:lvlOverride w:ilvl="7">
      <w:startOverride w:val="1"/>
      <w:lvl w:ilvl="7" w:tplc="FFFFFFFF">
        <w:start w:val="1"/>
        <w:numFmt w:val="lowerLetter"/>
        <w:lvlText w:val="%8."/>
        <w:lvlJc w:val="left"/>
        <w:pPr>
          <w:ind w:left="5760" w:hanging="360"/>
        </w:pPr>
      </w:lvl>
    </w:lvlOverride>
    <w:lvlOverride w:ilvl="8">
      <w:startOverride w:val="1"/>
      <w:lvl w:ilvl="8" w:tplc="FFFFFFFF">
        <w:start w:val="1"/>
        <w:numFmt w:val="lowerRoman"/>
        <w:lvlText w:val="%9."/>
        <w:lvlJc w:val="right"/>
        <w:pPr>
          <w:ind w:left="6480" w:hanging="180"/>
        </w:pPr>
      </w:lvl>
    </w:lvlOverride>
  </w:num>
  <w:num w:numId="38">
    <w:abstractNumId w:val="0"/>
    <w:lvlOverride w:ilvl="0">
      <w:lvl w:ilvl="0" w:tplc="FFFFFFFF">
        <w:start w:val="1"/>
        <w:numFmt w:val="decimal"/>
        <w:lvlText w:val="%1."/>
        <w:lvlJc w:val="left"/>
        <w:pPr>
          <w:ind w:left="720" w:hanging="360"/>
        </w:pPr>
      </w:lvl>
    </w:lvlOverride>
    <w:lvlOverride w:ilvl="1">
      <w:lvl w:ilvl="1" w:tplc="FFFFFFFF">
        <w:start w:val="1"/>
        <w:numFmt w:val="lowerLetter"/>
        <w:lvlText w:val="%2."/>
        <w:lvlJc w:val="left"/>
        <w:pPr>
          <w:ind w:left="1440" w:hanging="360"/>
        </w:pPr>
        <w:rPr>
          <w:b/>
          <w:color w:val="0000FF"/>
          <w:u w:val="double"/>
        </w:rPr>
      </w:lvl>
    </w:lvlOverride>
    <w:lvlOverride w:ilvl="2">
      <w:lvl w:ilvl="2" w:tplc="FFFFFFFF">
        <w:start w:val="1"/>
        <w:numFmt w:val="lowerRoman"/>
        <w:lvlText w:val="%3."/>
        <w:lvlJc w:val="right"/>
        <w:pPr>
          <w:ind w:left="2160" w:hanging="180"/>
        </w:pPr>
      </w:lvl>
    </w:lvlOverride>
    <w:lvlOverride w:ilvl="3">
      <w:lvl w:ilvl="3" w:tplc="FFFFFFFF">
        <w:start w:val="1"/>
        <w:numFmt w:val="decimal"/>
        <w:lvlText w:val="%4."/>
        <w:lvlJc w:val="left"/>
        <w:pPr>
          <w:ind w:left="2880" w:hanging="360"/>
        </w:pPr>
      </w:lvl>
    </w:lvlOverride>
    <w:lvlOverride w:ilvl="4">
      <w:lvl w:ilvl="4" w:tplc="FFFFFFFF">
        <w:start w:val="1"/>
        <w:numFmt w:val="lowerLetter"/>
        <w:lvlText w:val="%5."/>
        <w:lvlJc w:val="left"/>
        <w:pPr>
          <w:ind w:left="3600" w:hanging="360"/>
        </w:pPr>
      </w:lvl>
    </w:lvlOverride>
    <w:lvlOverride w:ilvl="5">
      <w:lvl w:ilvl="5" w:tplc="FFFFFFFF">
        <w:start w:val="1"/>
        <w:numFmt w:val="lowerRoman"/>
        <w:lvlText w:val="%6."/>
        <w:lvlJc w:val="right"/>
        <w:pPr>
          <w:ind w:left="4320" w:hanging="180"/>
        </w:pPr>
      </w:lvl>
    </w:lvlOverride>
    <w:lvlOverride w:ilvl="6">
      <w:lvl w:ilvl="6" w:tplc="FFFFFFFF">
        <w:start w:val="1"/>
        <w:numFmt w:val="decimal"/>
        <w:lvlText w:val="%7."/>
        <w:lvlJc w:val="left"/>
        <w:pPr>
          <w:ind w:left="5040" w:hanging="360"/>
        </w:pPr>
      </w:lvl>
    </w:lvlOverride>
    <w:lvlOverride w:ilvl="7">
      <w:lvl w:ilvl="7" w:tplc="FFFFFFFF">
        <w:start w:val="1"/>
        <w:numFmt w:val="lowerLetter"/>
        <w:lvlText w:val="%8."/>
        <w:lvlJc w:val="left"/>
        <w:pPr>
          <w:ind w:left="5760" w:hanging="360"/>
        </w:pPr>
      </w:lvl>
    </w:lvlOverride>
    <w:lvlOverride w:ilvl="8">
      <w:lvl w:ilvl="8" w:tplc="FFFFFFFF">
        <w:start w:val="1"/>
        <w:numFmt w:val="lowerRoman"/>
        <w:lvlText w:val="%9."/>
        <w:lvlJc w:val="right"/>
        <w:pPr>
          <w:ind w:left="6480" w:hanging="180"/>
        </w:pPr>
      </w:lvl>
    </w:lvlOverride>
  </w:num>
  <w:num w:numId="39">
    <w:abstractNumId w:val="3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88"/>
    <w:rsid w:val="000041D6"/>
    <w:rsid w:val="00013D38"/>
    <w:rsid w:val="00013D44"/>
    <w:rsid w:val="00014754"/>
    <w:rsid w:val="0002029F"/>
    <w:rsid w:val="0002504A"/>
    <w:rsid w:val="00034FDC"/>
    <w:rsid w:val="000518CD"/>
    <w:rsid w:val="00052C07"/>
    <w:rsid w:val="0005460E"/>
    <w:rsid w:val="000623AB"/>
    <w:rsid w:val="00065B31"/>
    <w:rsid w:val="0007634F"/>
    <w:rsid w:val="000818AC"/>
    <w:rsid w:val="00087883"/>
    <w:rsid w:val="00095490"/>
    <w:rsid w:val="000A2188"/>
    <w:rsid w:val="000A6203"/>
    <w:rsid w:val="000C2E3F"/>
    <w:rsid w:val="000C4B87"/>
    <w:rsid w:val="000C5E87"/>
    <w:rsid w:val="000D2F67"/>
    <w:rsid w:val="000D32A7"/>
    <w:rsid w:val="000E40B0"/>
    <w:rsid w:val="000E5064"/>
    <w:rsid w:val="000F7478"/>
    <w:rsid w:val="00106678"/>
    <w:rsid w:val="0011199A"/>
    <w:rsid w:val="0012107B"/>
    <w:rsid w:val="001236B9"/>
    <w:rsid w:val="00123DF6"/>
    <w:rsid w:val="00132339"/>
    <w:rsid w:val="0013247F"/>
    <w:rsid w:val="00137CE1"/>
    <w:rsid w:val="001401E4"/>
    <w:rsid w:val="00146859"/>
    <w:rsid w:val="0015005B"/>
    <w:rsid w:val="00150CE0"/>
    <w:rsid w:val="00152EAF"/>
    <w:rsid w:val="001554DE"/>
    <w:rsid w:val="0016770B"/>
    <w:rsid w:val="001734F5"/>
    <w:rsid w:val="00177DDA"/>
    <w:rsid w:val="00184A3C"/>
    <w:rsid w:val="00184F1F"/>
    <w:rsid w:val="00185DA0"/>
    <w:rsid w:val="00191345"/>
    <w:rsid w:val="001919A0"/>
    <w:rsid w:val="00196F0D"/>
    <w:rsid w:val="001A0919"/>
    <w:rsid w:val="001A5E65"/>
    <w:rsid w:val="001C0D90"/>
    <w:rsid w:val="001C1083"/>
    <w:rsid w:val="001C12D0"/>
    <w:rsid w:val="001C1C29"/>
    <w:rsid w:val="001C5513"/>
    <w:rsid w:val="001D0CA8"/>
    <w:rsid w:val="001D6B98"/>
    <w:rsid w:val="001E6FFA"/>
    <w:rsid w:val="001E72D9"/>
    <w:rsid w:val="001F3680"/>
    <w:rsid w:val="001F4E89"/>
    <w:rsid w:val="00201288"/>
    <w:rsid w:val="002018A5"/>
    <w:rsid w:val="00216EA2"/>
    <w:rsid w:val="0022289F"/>
    <w:rsid w:val="0023263A"/>
    <w:rsid w:val="00236246"/>
    <w:rsid w:val="002370CE"/>
    <w:rsid w:val="0024400B"/>
    <w:rsid w:val="0024629F"/>
    <w:rsid w:val="00252610"/>
    <w:rsid w:val="00255872"/>
    <w:rsid w:val="00264317"/>
    <w:rsid w:val="00266DCE"/>
    <w:rsid w:val="002671B2"/>
    <w:rsid w:val="00272547"/>
    <w:rsid w:val="0029090A"/>
    <w:rsid w:val="002937E7"/>
    <w:rsid w:val="00294898"/>
    <w:rsid w:val="00295D55"/>
    <w:rsid w:val="00297B8E"/>
    <w:rsid w:val="002A31A3"/>
    <w:rsid w:val="002A3232"/>
    <w:rsid w:val="002B1EAD"/>
    <w:rsid w:val="002B43FF"/>
    <w:rsid w:val="002B68BE"/>
    <w:rsid w:val="002B6DDC"/>
    <w:rsid w:val="002B6EEF"/>
    <w:rsid w:val="002C0A4B"/>
    <w:rsid w:val="002C24AE"/>
    <w:rsid w:val="002D01CE"/>
    <w:rsid w:val="002D1825"/>
    <w:rsid w:val="002D7C6A"/>
    <w:rsid w:val="002E1A11"/>
    <w:rsid w:val="002E4FF8"/>
    <w:rsid w:val="002E67EB"/>
    <w:rsid w:val="002E6EB6"/>
    <w:rsid w:val="002E7AF4"/>
    <w:rsid w:val="002F300F"/>
    <w:rsid w:val="002F5885"/>
    <w:rsid w:val="003246B4"/>
    <w:rsid w:val="00331F0F"/>
    <w:rsid w:val="0033371A"/>
    <w:rsid w:val="00343F55"/>
    <w:rsid w:val="00351BD7"/>
    <w:rsid w:val="003636AB"/>
    <w:rsid w:val="0037419E"/>
    <w:rsid w:val="00376531"/>
    <w:rsid w:val="00394467"/>
    <w:rsid w:val="003A34E0"/>
    <w:rsid w:val="003A5772"/>
    <w:rsid w:val="003A74B0"/>
    <w:rsid w:val="003B5A8D"/>
    <w:rsid w:val="003C6B81"/>
    <w:rsid w:val="003C7CD1"/>
    <w:rsid w:val="003D7DAB"/>
    <w:rsid w:val="003E1ACB"/>
    <w:rsid w:val="003E1F82"/>
    <w:rsid w:val="003E3A02"/>
    <w:rsid w:val="003E7E1F"/>
    <w:rsid w:val="003F4A26"/>
    <w:rsid w:val="004059DF"/>
    <w:rsid w:val="00411FEA"/>
    <w:rsid w:val="00413F6A"/>
    <w:rsid w:val="00444305"/>
    <w:rsid w:val="00453544"/>
    <w:rsid w:val="00456361"/>
    <w:rsid w:val="00466D5A"/>
    <w:rsid w:val="004731A4"/>
    <w:rsid w:val="00474FE0"/>
    <w:rsid w:val="00482ACA"/>
    <w:rsid w:val="00487D4D"/>
    <w:rsid w:val="004A62A9"/>
    <w:rsid w:val="004B2090"/>
    <w:rsid w:val="004B37A8"/>
    <w:rsid w:val="004B6EF7"/>
    <w:rsid w:val="004C3717"/>
    <w:rsid w:val="004C3CB1"/>
    <w:rsid w:val="004C4CC6"/>
    <w:rsid w:val="004C6453"/>
    <w:rsid w:val="004C6B93"/>
    <w:rsid w:val="004C7B7E"/>
    <w:rsid w:val="004D1C78"/>
    <w:rsid w:val="004D3F4A"/>
    <w:rsid w:val="004F764E"/>
    <w:rsid w:val="0050260A"/>
    <w:rsid w:val="00504CEF"/>
    <w:rsid w:val="00505CE9"/>
    <w:rsid w:val="00537BB7"/>
    <w:rsid w:val="00542073"/>
    <w:rsid w:val="00546097"/>
    <w:rsid w:val="005532C4"/>
    <w:rsid w:val="00555489"/>
    <w:rsid w:val="00564112"/>
    <w:rsid w:val="00565587"/>
    <w:rsid w:val="0056607B"/>
    <w:rsid w:val="00567D05"/>
    <w:rsid w:val="005723ED"/>
    <w:rsid w:val="0058730E"/>
    <w:rsid w:val="005A2508"/>
    <w:rsid w:val="005B00DF"/>
    <w:rsid w:val="005B105F"/>
    <w:rsid w:val="005C2A6C"/>
    <w:rsid w:val="005C4EFB"/>
    <w:rsid w:val="005D1C23"/>
    <w:rsid w:val="005D2C68"/>
    <w:rsid w:val="005D40A2"/>
    <w:rsid w:val="005D532F"/>
    <w:rsid w:val="005E1CDC"/>
    <w:rsid w:val="005F6920"/>
    <w:rsid w:val="005F7DD9"/>
    <w:rsid w:val="00601948"/>
    <w:rsid w:val="00603F91"/>
    <w:rsid w:val="0060657C"/>
    <w:rsid w:val="006078BA"/>
    <w:rsid w:val="006249DA"/>
    <w:rsid w:val="00632E6B"/>
    <w:rsid w:val="00635BCF"/>
    <w:rsid w:val="00641E04"/>
    <w:rsid w:val="00643409"/>
    <w:rsid w:val="00644AE1"/>
    <w:rsid w:val="00644F86"/>
    <w:rsid w:val="00656FAD"/>
    <w:rsid w:val="006600A5"/>
    <w:rsid w:val="0066150A"/>
    <w:rsid w:val="00671E5F"/>
    <w:rsid w:val="00672053"/>
    <w:rsid w:val="006800D5"/>
    <w:rsid w:val="00683A2B"/>
    <w:rsid w:val="006901CA"/>
    <w:rsid w:val="00695A37"/>
    <w:rsid w:val="006965A8"/>
    <w:rsid w:val="006A0A7A"/>
    <w:rsid w:val="006B01CA"/>
    <w:rsid w:val="006C3F26"/>
    <w:rsid w:val="006D4A40"/>
    <w:rsid w:val="006D5D2E"/>
    <w:rsid w:val="006E21B0"/>
    <w:rsid w:val="006F1634"/>
    <w:rsid w:val="006F1DF1"/>
    <w:rsid w:val="006F5B44"/>
    <w:rsid w:val="00702C4C"/>
    <w:rsid w:val="00715AB5"/>
    <w:rsid w:val="00717D9C"/>
    <w:rsid w:val="00723887"/>
    <w:rsid w:val="00724B2C"/>
    <w:rsid w:val="0072566F"/>
    <w:rsid w:val="0072792C"/>
    <w:rsid w:val="00730724"/>
    <w:rsid w:val="00740238"/>
    <w:rsid w:val="0074033C"/>
    <w:rsid w:val="00757201"/>
    <w:rsid w:val="00762592"/>
    <w:rsid w:val="007642E8"/>
    <w:rsid w:val="0076471B"/>
    <w:rsid w:val="0076589C"/>
    <w:rsid w:val="007745AC"/>
    <w:rsid w:val="00785487"/>
    <w:rsid w:val="00787724"/>
    <w:rsid w:val="00787A0C"/>
    <w:rsid w:val="007915C4"/>
    <w:rsid w:val="007933D7"/>
    <w:rsid w:val="00793A5F"/>
    <w:rsid w:val="00793E35"/>
    <w:rsid w:val="0079769B"/>
    <w:rsid w:val="007A2F48"/>
    <w:rsid w:val="007B68A7"/>
    <w:rsid w:val="007B752D"/>
    <w:rsid w:val="007C5E72"/>
    <w:rsid w:val="007E210B"/>
    <w:rsid w:val="007F075A"/>
    <w:rsid w:val="007F462A"/>
    <w:rsid w:val="008034D8"/>
    <w:rsid w:val="00804332"/>
    <w:rsid w:val="00807EF9"/>
    <w:rsid w:val="008137D5"/>
    <w:rsid w:val="0082245B"/>
    <w:rsid w:val="00824421"/>
    <w:rsid w:val="00824878"/>
    <w:rsid w:val="008368A1"/>
    <w:rsid w:val="00837BC0"/>
    <w:rsid w:val="00846E69"/>
    <w:rsid w:val="008507BF"/>
    <w:rsid w:val="00853C91"/>
    <w:rsid w:val="00856DA9"/>
    <w:rsid w:val="0085751E"/>
    <w:rsid w:val="008615F1"/>
    <w:rsid w:val="008620D9"/>
    <w:rsid w:val="008678B9"/>
    <w:rsid w:val="0087422A"/>
    <w:rsid w:val="00883D41"/>
    <w:rsid w:val="00885CD2"/>
    <w:rsid w:val="0089164F"/>
    <w:rsid w:val="00891650"/>
    <w:rsid w:val="00891B35"/>
    <w:rsid w:val="008A5D39"/>
    <w:rsid w:val="008B04C7"/>
    <w:rsid w:val="008B3229"/>
    <w:rsid w:val="008B3A9F"/>
    <w:rsid w:val="008B6224"/>
    <w:rsid w:val="008C04A7"/>
    <w:rsid w:val="008C496A"/>
    <w:rsid w:val="008D3947"/>
    <w:rsid w:val="008E0AD6"/>
    <w:rsid w:val="008F3E56"/>
    <w:rsid w:val="008F3E7B"/>
    <w:rsid w:val="008F5D61"/>
    <w:rsid w:val="0090378A"/>
    <w:rsid w:val="00911F4C"/>
    <w:rsid w:val="009153D1"/>
    <w:rsid w:val="00916E0A"/>
    <w:rsid w:val="009175A4"/>
    <w:rsid w:val="00933548"/>
    <w:rsid w:val="00936594"/>
    <w:rsid w:val="00951CD0"/>
    <w:rsid w:val="0095275D"/>
    <w:rsid w:val="00972939"/>
    <w:rsid w:val="00985338"/>
    <w:rsid w:val="009A46DE"/>
    <w:rsid w:val="009B010B"/>
    <w:rsid w:val="009B3825"/>
    <w:rsid w:val="009B6022"/>
    <w:rsid w:val="009B78BC"/>
    <w:rsid w:val="009C168C"/>
    <w:rsid w:val="009C636D"/>
    <w:rsid w:val="009D2BCE"/>
    <w:rsid w:val="009D3AB7"/>
    <w:rsid w:val="009E39C6"/>
    <w:rsid w:val="009E7D3B"/>
    <w:rsid w:val="009F2BEC"/>
    <w:rsid w:val="009F72C3"/>
    <w:rsid w:val="00A041E2"/>
    <w:rsid w:val="00A05BD2"/>
    <w:rsid w:val="00A12723"/>
    <w:rsid w:val="00A13DC6"/>
    <w:rsid w:val="00A16E54"/>
    <w:rsid w:val="00A21E99"/>
    <w:rsid w:val="00A24F14"/>
    <w:rsid w:val="00A35FB2"/>
    <w:rsid w:val="00A44561"/>
    <w:rsid w:val="00A44FA7"/>
    <w:rsid w:val="00A469F7"/>
    <w:rsid w:val="00A618AC"/>
    <w:rsid w:val="00A66477"/>
    <w:rsid w:val="00A72937"/>
    <w:rsid w:val="00A741B6"/>
    <w:rsid w:val="00A7432E"/>
    <w:rsid w:val="00AA4738"/>
    <w:rsid w:val="00AA526B"/>
    <w:rsid w:val="00AA793B"/>
    <w:rsid w:val="00AC003A"/>
    <w:rsid w:val="00AD4ADE"/>
    <w:rsid w:val="00AE120C"/>
    <w:rsid w:val="00AE3D91"/>
    <w:rsid w:val="00AE5757"/>
    <w:rsid w:val="00B01A51"/>
    <w:rsid w:val="00B03726"/>
    <w:rsid w:val="00B05863"/>
    <w:rsid w:val="00B05B6D"/>
    <w:rsid w:val="00B06893"/>
    <w:rsid w:val="00B07150"/>
    <w:rsid w:val="00B138C9"/>
    <w:rsid w:val="00B15184"/>
    <w:rsid w:val="00B17020"/>
    <w:rsid w:val="00B20002"/>
    <w:rsid w:val="00B242E6"/>
    <w:rsid w:val="00B24551"/>
    <w:rsid w:val="00B2552F"/>
    <w:rsid w:val="00B33A6F"/>
    <w:rsid w:val="00B4281B"/>
    <w:rsid w:val="00B43408"/>
    <w:rsid w:val="00B45860"/>
    <w:rsid w:val="00B4630C"/>
    <w:rsid w:val="00B504D3"/>
    <w:rsid w:val="00B52289"/>
    <w:rsid w:val="00B62C64"/>
    <w:rsid w:val="00B63B94"/>
    <w:rsid w:val="00B64368"/>
    <w:rsid w:val="00B71266"/>
    <w:rsid w:val="00B73ED6"/>
    <w:rsid w:val="00B76763"/>
    <w:rsid w:val="00B85188"/>
    <w:rsid w:val="00B85F1C"/>
    <w:rsid w:val="00B86123"/>
    <w:rsid w:val="00B867BE"/>
    <w:rsid w:val="00B90C6E"/>
    <w:rsid w:val="00B934D6"/>
    <w:rsid w:val="00B943B1"/>
    <w:rsid w:val="00B965B3"/>
    <w:rsid w:val="00BB203E"/>
    <w:rsid w:val="00BB515A"/>
    <w:rsid w:val="00BB6340"/>
    <w:rsid w:val="00BC01D0"/>
    <w:rsid w:val="00BD1C9F"/>
    <w:rsid w:val="00BE6E82"/>
    <w:rsid w:val="00BF29C2"/>
    <w:rsid w:val="00BF34B1"/>
    <w:rsid w:val="00BF6AA4"/>
    <w:rsid w:val="00C02776"/>
    <w:rsid w:val="00C11DD7"/>
    <w:rsid w:val="00C14D64"/>
    <w:rsid w:val="00C17C8E"/>
    <w:rsid w:val="00C23046"/>
    <w:rsid w:val="00C24074"/>
    <w:rsid w:val="00C30D70"/>
    <w:rsid w:val="00C369FA"/>
    <w:rsid w:val="00C37D63"/>
    <w:rsid w:val="00C40A46"/>
    <w:rsid w:val="00C410EB"/>
    <w:rsid w:val="00C45293"/>
    <w:rsid w:val="00C45DF1"/>
    <w:rsid w:val="00C479D6"/>
    <w:rsid w:val="00C52B3D"/>
    <w:rsid w:val="00C6350A"/>
    <w:rsid w:val="00C6576E"/>
    <w:rsid w:val="00C773F0"/>
    <w:rsid w:val="00C81261"/>
    <w:rsid w:val="00C84888"/>
    <w:rsid w:val="00C94CDC"/>
    <w:rsid w:val="00CB6BAB"/>
    <w:rsid w:val="00CB7DC6"/>
    <w:rsid w:val="00CC0885"/>
    <w:rsid w:val="00CC0C37"/>
    <w:rsid w:val="00CD16BC"/>
    <w:rsid w:val="00CD74DD"/>
    <w:rsid w:val="00CE0C05"/>
    <w:rsid w:val="00CF210C"/>
    <w:rsid w:val="00CF3823"/>
    <w:rsid w:val="00CF49CB"/>
    <w:rsid w:val="00D042AA"/>
    <w:rsid w:val="00D14116"/>
    <w:rsid w:val="00D20A3C"/>
    <w:rsid w:val="00D262A4"/>
    <w:rsid w:val="00D432A0"/>
    <w:rsid w:val="00D52F10"/>
    <w:rsid w:val="00D53D66"/>
    <w:rsid w:val="00D63DA8"/>
    <w:rsid w:val="00D66BD9"/>
    <w:rsid w:val="00D66D1F"/>
    <w:rsid w:val="00D8728C"/>
    <w:rsid w:val="00D905B6"/>
    <w:rsid w:val="00D90FAD"/>
    <w:rsid w:val="00D924F4"/>
    <w:rsid w:val="00D9573F"/>
    <w:rsid w:val="00D96290"/>
    <w:rsid w:val="00D97990"/>
    <w:rsid w:val="00DA1CC1"/>
    <w:rsid w:val="00DA66E4"/>
    <w:rsid w:val="00DA6DE1"/>
    <w:rsid w:val="00DA76D6"/>
    <w:rsid w:val="00DB1300"/>
    <w:rsid w:val="00DE2841"/>
    <w:rsid w:val="00DF27D3"/>
    <w:rsid w:val="00E120C0"/>
    <w:rsid w:val="00E128B3"/>
    <w:rsid w:val="00E224FB"/>
    <w:rsid w:val="00E27C4B"/>
    <w:rsid w:val="00E30C4E"/>
    <w:rsid w:val="00E34A1C"/>
    <w:rsid w:val="00E401ED"/>
    <w:rsid w:val="00E43091"/>
    <w:rsid w:val="00E532F4"/>
    <w:rsid w:val="00E53C03"/>
    <w:rsid w:val="00E57642"/>
    <w:rsid w:val="00E64C48"/>
    <w:rsid w:val="00E715C9"/>
    <w:rsid w:val="00E904C3"/>
    <w:rsid w:val="00E90EA5"/>
    <w:rsid w:val="00E91CBD"/>
    <w:rsid w:val="00EA795A"/>
    <w:rsid w:val="00EB298A"/>
    <w:rsid w:val="00EB2C8B"/>
    <w:rsid w:val="00EC4743"/>
    <w:rsid w:val="00ED0855"/>
    <w:rsid w:val="00ED4F4E"/>
    <w:rsid w:val="00ED7D72"/>
    <w:rsid w:val="00EE4114"/>
    <w:rsid w:val="00EE4C1E"/>
    <w:rsid w:val="00EF2452"/>
    <w:rsid w:val="00F07F2E"/>
    <w:rsid w:val="00F17CB9"/>
    <w:rsid w:val="00F30D2B"/>
    <w:rsid w:val="00F35F03"/>
    <w:rsid w:val="00F55002"/>
    <w:rsid w:val="00F607FE"/>
    <w:rsid w:val="00F64877"/>
    <w:rsid w:val="00F65CAE"/>
    <w:rsid w:val="00F74F38"/>
    <w:rsid w:val="00F81E10"/>
    <w:rsid w:val="00F94746"/>
    <w:rsid w:val="00FA2791"/>
    <w:rsid w:val="00FA4A49"/>
    <w:rsid w:val="00FA4BCA"/>
    <w:rsid w:val="00FA4BFF"/>
    <w:rsid w:val="00FA5087"/>
    <w:rsid w:val="00FB1040"/>
    <w:rsid w:val="00FB5031"/>
    <w:rsid w:val="00FB5626"/>
    <w:rsid w:val="00FB5A62"/>
    <w:rsid w:val="00FC4FCB"/>
    <w:rsid w:val="00FC6F0C"/>
    <w:rsid w:val="00FC7256"/>
    <w:rsid w:val="00FD0681"/>
    <w:rsid w:val="00FD2BE1"/>
    <w:rsid w:val="00FD5542"/>
    <w:rsid w:val="00FD6181"/>
    <w:rsid w:val="00FE2729"/>
    <w:rsid w:val="00FE4313"/>
    <w:rsid w:val="00FF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45CFD"/>
  <w15:chartTrackingRefBased/>
  <w15:docId w15:val="{502C4E68-85F0-46A9-BCF0-B38C0763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1288"/>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B75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rsid w:val="00201288"/>
    <w:pPr>
      <w:numPr>
        <w:numId w:val="1"/>
      </w:numPr>
      <w:spacing w:after="220"/>
      <w:jc w:val="both"/>
    </w:pPr>
  </w:style>
  <w:style w:type="table" w:styleId="TableGrid">
    <w:name w:val="Table Grid"/>
    <w:basedOn w:val="TableNormal"/>
    <w:uiPriority w:val="59"/>
    <w:rsid w:val="002012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DF6"/>
    <w:pPr>
      <w:ind w:left="720"/>
      <w:contextualSpacing/>
    </w:pPr>
  </w:style>
  <w:style w:type="character" w:styleId="Hyperlink">
    <w:name w:val="Hyperlink"/>
    <w:basedOn w:val="DefaultParagraphFont"/>
    <w:uiPriority w:val="99"/>
    <w:unhideWhenUsed/>
    <w:rsid w:val="00762592"/>
    <w:rPr>
      <w:color w:val="0563C1" w:themeColor="hyperlink"/>
      <w:u w:val="single"/>
    </w:rPr>
  </w:style>
  <w:style w:type="character" w:styleId="UnresolvedMention">
    <w:name w:val="Unresolved Mention"/>
    <w:basedOn w:val="DefaultParagraphFont"/>
    <w:uiPriority w:val="99"/>
    <w:semiHidden/>
    <w:unhideWhenUsed/>
    <w:rsid w:val="00762592"/>
    <w:rPr>
      <w:color w:val="605E5C"/>
      <w:shd w:val="clear" w:color="auto" w:fill="E1DFDD"/>
    </w:rPr>
  </w:style>
  <w:style w:type="paragraph" w:customStyle="1" w:styleId="Default">
    <w:name w:val="Default"/>
    <w:rsid w:val="003636A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CD16BC"/>
    <w:rPr>
      <w:rFonts w:eastAsiaTheme="minorHAnsi"/>
      <w:sz w:val="20"/>
    </w:rPr>
  </w:style>
  <w:style w:type="character" w:customStyle="1" w:styleId="HeaderChar">
    <w:name w:val="Header Char"/>
    <w:basedOn w:val="DefaultParagraphFont"/>
    <w:link w:val="Header"/>
    <w:rsid w:val="00CD16BC"/>
    <w:rPr>
      <w:rFonts w:ascii="Times New Roman" w:hAnsi="Times New Roman" w:cs="Times New Roman"/>
      <w:sz w:val="20"/>
      <w:szCs w:val="20"/>
    </w:rPr>
  </w:style>
  <w:style w:type="paragraph" w:styleId="Footer">
    <w:name w:val="footer"/>
    <w:basedOn w:val="Normal"/>
    <w:link w:val="FooterChar"/>
    <w:uiPriority w:val="99"/>
    <w:unhideWhenUsed/>
    <w:rsid w:val="00F64877"/>
    <w:pPr>
      <w:tabs>
        <w:tab w:val="center" w:pos="4680"/>
        <w:tab w:val="right" w:pos="9360"/>
      </w:tabs>
    </w:pPr>
  </w:style>
  <w:style w:type="character" w:customStyle="1" w:styleId="FooterChar">
    <w:name w:val="Footer Char"/>
    <w:basedOn w:val="DefaultParagraphFont"/>
    <w:link w:val="Footer"/>
    <w:uiPriority w:val="99"/>
    <w:rsid w:val="00F64877"/>
    <w:rPr>
      <w:rFonts w:ascii="Times New Roman" w:eastAsia="Times New Roman" w:hAnsi="Times New Roman" w:cs="Times New Roman"/>
      <w:szCs w:val="20"/>
    </w:rPr>
  </w:style>
  <w:style w:type="paragraph" w:styleId="CommentText">
    <w:name w:val="annotation text"/>
    <w:basedOn w:val="Normal"/>
    <w:link w:val="CommentTextChar"/>
    <w:uiPriority w:val="99"/>
    <w:semiHidden/>
    <w:unhideWhenUsed/>
    <w:rsid w:val="009D2BCE"/>
    <w:rPr>
      <w:sz w:val="20"/>
    </w:rPr>
  </w:style>
  <w:style w:type="character" w:customStyle="1" w:styleId="CommentTextChar">
    <w:name w:val="Comment Text Char"/>
    <w:basedOn w:val="DefaultParagraphFont"/>
    <w:link w:val="CommentText"/>
    <w:uiPriority w:val="99"/>
    <w:semiHidden/>
    <w:rsid w:val="009D2BC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2BCE"/>
    <w:rPr>
      <w:sz w:val="16"/>
      <w:szCs w:val="16"/>
    </w:rPr>
  </w:style>
  <w:style w:type="paragraph" w:styleId="BalloonText">
    <w:name w:val="Balloon Text"/>
    <w:basedOn w:val="Normal"/>
    <w:link w:val="BalloonTextChar"/>
    <w:uiPriority w:val="99"/>
    <w:semiHidden/>
    <w:unhideWhenUsed/>
    <w:rsid w:val="009D2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CE"/>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295D55"/>
    <w:rPr>
      <w:sz w:val="20"/>
    </w:rPr>
  </w:style>
  <w:style w:type="character" w:customStyle="1" w:styleId="EndnoteTextChar">
    <w:name w:val="Endnote Text Char"/>
    <w:basedOn w:val="DefaultParagraphFont"/>
    <w:link w:val="EndnoteText"/>
    <w:uiPriority w:val="99"/>
    <w:semiHidden/>
    <w:rsid w:val="00295D5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5D55"/>
    <w:rPr>
      <w:vertAlign w:val="superscript"/>
    </w:rPr>
  </w:style>
  <w:style w:type="paragraph" w:styleId="FootnoteText">
    <w:name w:val="footnote text"/>
    <w:basedOn w:val="Normal"/>
    <w:link w:val="FootnoteTextChar"/>
    <w:uiPriority w:val="99"/>
    <w:semiHidden/>
    <w:unhideWhenUsed/>
    <w:rsid w:val="00295D55"/>
    <w:rPr>
      <w:sz w:val="20"/>
    </w:rPr>
  </w:style>
  <w:style w:type="character" w:customStyle="1" w:styleId="FootnoteTextChar">
    <w:name w:val="Footnote Text Char"/>
    <w:basedOn w:val="DefaultParagraphFont"/>
    <w:link w:val="FootnoteText"/>
    <w:uiPriority w:val="99"/>
    <w:semiHidden/>
    <w:rsid w:val="00295D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5D55"/>
    <w:rPr>
      <w:vertAlign w:val="superscript"/>
    </w:rPr>
  </w:style>
  <w:style w:type="paragraph" w:styleId="NoSpacing">
    <w:name w:val="No Spacing"/>
    <w:uiPriority w:val="1"/>
    <w:qFormat/>
    <w:rsid w:val="00FA4BFF"/>
    <w:pPr>
      <w:spacing w:after="0" w:line="240" w:lineRule="auto"/>
    </w:pPr>
  </w:style>
  <w:style w:type="paragraph" w:customStyle="1" w:styleId="BodyText1">
    <w:name w:val="BodyText 1"/>
    <w:basedOn w:val="Normal"/>
    <w:uiPriority w:val="1"/>
    <w:qFormat/>
    <w:rsid w:val="002B6EEF"/>
    <w:pPr>
      <w:spacing w:after="240"/>
      <w:ind w:firstLine="720"/>
    </w:pPr>
    <w:rPr>
      <w:rFonts w:cs="Arial"/>
      <w:sz w:val="24"/>
      <w:szCs w:val="24"/>
    </w:rPr>
  </w:style>
  <w:style w:type="character" w:customStyle="1" w:styleId="Heading1Char">
    <w:name w:val="Heading 1 Char"/>
    <w:basedOn w:val="DefaultParagraphFont"/>
    <w:link w:val="Heading1"/>
    <w:uiPriority w:val="9"/>
    <w:rsid w:val="007B75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752D"/>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53662">
      <w:bodyDiv w:val="1"/>
      <w:marLeft w:val="0"/>
      <w:marRight w:val="0"/>
      <w:marTop w:val="0"/>
      <w:marBottom w:val="0"/>
      <w:divBdr>
        <w:top w:val="none" w:sz="0" w:space="0" w:color="auto"/>
        <w:left w:val="none" w:sz="0" w:space="0" w:color="auto"/>
        <w:bottom w:val="none" w:sz="0" w:space="0" w:color="auto"/>
        <w:right w:val="none" w:sz="0" w:space="0" w:color="auto"/>
      </w:divBdr>
    </w:div>
    <w:div w:id="878786830">
      <w:bodyDiv w:val="1"/>
      <w:marLeft w:val="0"/>
      <w:marRight w:val="0"/>
      <w:marTop w:val="0"/>
      <w:marBottom w:val="0"/>
      <w:divBdr>
        <w:top w:val="none" w:sz="0" w:space="0" w:color="auto"/>
        <w:left w:val="none" w:sz="0" w:space="0" w:color="auto"/>
        <w:bottom w:val="none" w:sz="0" w:space="0" w:color="auto"/>
        <w:right w:val="none" w:sz="0" w:space="0" w:color="auto"/>
      </w:divBdr>
    </w:div>
    <w:div w:id="1129863951">
      <w:bodyDiv w:val="1"/>
      <w:marLeft w:val="0"/>
      <w:marRight w:val="0"/>
      <w:marTop w:val="0"/>
      <w:marBottom w:val="0"/>
      <w:divBdr>
        <w:top w:val="none" w:sz="0" w:space="0" w:color="auto"/>
        <w:left w:val="none" w:sz="0" w:space="0" w:color="auto"/>
        <w:bottom w:val="none" w:sz="0" w:space="0" w:color="auto"/>
        <w:right w:val="none" w:sz="0" w:space="0" w:color="auto"/>
      </w:divBdr>
    </w:div>
    <w:div w:id="16066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eith.bell@traveler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chaelreis@northwesternmutual.com" TargetMode="External"/><Relationship Id="rId4" Type="http://schemas.openxmlformats.org/officeDocument/2006/relationships/settings" Target="settings.xml"/><Relationship Id="rId9" Type="http://schemas.openxmlformats.org/officeDocument/2006/relationships/hyperlink" Target="mailto:rosemarie.albrizio@equitabl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20801-09E9-4B1E-9EB1-08E93307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31409</Words>
  <Characters>179036</Characters>
  <Application>Microsoft Office Word</Application>
  <DocSecurity>4</DocSecurity>
  <Lines>1491</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Ref $2019-21; SSAP No. 43R</dc:subject>
  <dc:creator>interested parties</dc:creator>
  <cp:keywords/>
  <dc:description/>
  <cp:lastModifiedBy>Bell, Keith</cp:lastModifiedBy>
  <cp:revision>2</cp:revision>
  <dcterms:created xsi:type="dcterms:W3CDTF">2020-07-31T11:46:00Z</dcterms:created>
  <dcterms:modified xsi:type="dcterms:W3CDTF">2020-07-31T11:46:00Z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6dcfc6-510b-4cfc-871e-138e79a708eb_Enabled">
    <vt:lpwstr>true</vt:lpwstr>
  </property>
  <property fmtid="{D5CDD505-2E9C-101B-9397-08002B2CF9AE}" pid="3" name="MSIP_Label_706dcfc6-510b-4cfc-871e-138e79a708eb_SetDate">
    <vt:lpwstr>2020-07-31T11:45:45Z</vt:lpwstr>
  </property>
  <property fmtid="{D5CDD505-2E9C-101B-9397-08002B2CF9AE}" pid="4" name="MSIP_Label_706dcfc6-510b-4cfc-871e-138e79a708eb_Method">
    <vt:lpwstr>Standard</vt:lpwstr>
  </property>
  <property fmtid="{D5CDD505-2E9C-101B-9397-08002B2CF9AE}" pid="5" name="MSIP_Label_706dcfc6-510b-4cfc-871e-138e79a708eb_Name">
    <vt:lpwstr>Internal</vt:lpwstr>
  </property>
  <property fmtid="{D5CDD505-2E9C-101B-9397-08002B2CF9AE}" pid="6" name="MSIP_Label_706dcfc6-510b-4cfc-871e-138e79a708eb_SiteId">
    <vt:lpwstr>399ead0d-c7c4-4583-88a4-d98814f80b0e</vt:lpwstr>
  </property>
  <property fmtid="{D5CDD505-2E9C-101B-9397-08002B2CF9AE}" pid="7" name="MSIP_Label_706dcfc6-510b-4cfc-871e-138e79a708eb_ActionId">
    <vt:lpwstr>efe89386-8fed-4c72-82fa-dec26aa01095</vt:lpwstr>
  </property>
  <property fmtid="{D5CDD505-2E9C-101B-9397-08002B2CF9AE}" pid="8" name="MSIP_Label_706dcfc6-510b-4cfc-871e-138e79a708eb_ContentBits">
    <vt:lpwstr>0</vt:lpwstr>
  </property>
</Properties>
</file>