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8822" w14:textId="74A72F2A" w:rsidR="00FA6F51" w:rsidRPr="00FA6F51" w:rsidRDefault="00FA6F51" w:rsidP="00FA6F51">
      <w:pPr>
        <w:jc w:val="center"/>
        <w:rPr>
          <w:b/>
          <w:bCs/>
          <w:sz w:val="32"/>
          <w:szCs w:val="32"/>
        </w:rPr>
      </w:pPr>
      <w:r w:rsidRPr="00FA6F51">
        <w:rPr>
          <w:b/>
          <w:bCs/>
          <w:sz w:val="32"/>
          <w:szCs w:val="32"/>
        </w:rPr>
        <w:t>VM-22 Subgroup Chair Exposure</w:t>
      </w:r>
    </w:p>
    <w:p w14:paraId="43801811" w14:textId="1F4A2DD2" w:rsidR="00652571" w:rsidRPr="00FA6F51" w:rsidRDefault="00652571" w:rsidP="00FA6F51">
      <w:pPr>
        <w:rPr>
          <w:b/>
          <w:bCs/>
          <w:u w:val="single"/>
        </w:rPr>
      </w:pPr>
      <w:r w:rsidRPr="00FA6F51">
        <w:rPr>
          <w:b/>
          <w:bCs/>
          <w:u w:val="single"/>
        </w:rPr>
        <w:t>VM-22 Inforce Exposure from Summer 2026 National Meeting</w:t>
      </w:r>
    </w:p>
    <w:p w14:paraId="741DA16F" w14:textId="388E612A" w:rsidR="002E7B17" w:rsidRPr="002E7B17" w:rsidRDefault="002E7B17" w:rsidP="002E7B17">
      <w:r w:rsidRPr="002E7B17">
        <w:t>The following documentation will be required for regulatory non-objection of transition from pre-PBR to PBR for existing non-variable annuity blocks by 2031 or 2032:</w:t>
      </w:r>
    </w:p>
    <w:p w14:paraId="2FC71CAF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Reserve comparison (pre-PBR vs. PBR)</w:t>
      </w:r>
    </w:p>
    <w:p w14:paraId="04A42BA3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Attribution analysis and commentary</w:t>
      </w:r>
    </w:p>
    <w:p w14:paraId="292AB953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Key metrics (duration, asset yield, sensitivity to interest rates/key assumptions, margins, drivers of reserve change, negative IMR allocation)</w:t>
      </w:r>
    </w:p>
    <w:p w14:paraId="671465F7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Sensitivity testing (to determine changes due to underlying economics vs. insurance assumptions)</w:t>
      </w:r>
    </w:p>
    <w:p w14:paraId="14989325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Narrative on anticipated company cash flow testing impacts</w:t>
      </w:r>
    </w:p>
    <w:p w14:paraId="3C51A0D3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 xml:space="preserve">List of existing reinsurance arrangements for which collateral levels would be impacted by moving to PBR requirements, particularly highlighting </w:t>
      </w:r>
      <w:proofErr w:type="gramStart"/>
      <w:r w:rsidRPr="002E7B17">
        <w:t>arrangement</w:t>
      </w:r>
      <w:proofErr w:type="gramEnd"/>
      <w:r w:rsidRPr="002E7B17">
        <w:t xml:space="preserve"> that are in scope of AG 55 requirements</w:t>
      </w:r>
    </w:p>
    <w:p w14:paraId="229382D7" w14:textId="77777777" w:rsidR="002E7B17" w:rsidRPr="002E7B17" w:rsidRDefault="002E7B17" w:rsidP="002E7B17">
      <w:pPr>
        <w:numPr>
          <w:ilvl w:val="0"/>
          <w:numId w:val="1"/>
        </w:numPr>
        <w:tabs>
          <w:tab w:val="clear" w:pos="360"/>
        </w:tabs>
      </w:pPr>
      <w:r w:rsidRPr="002E7B17">
        <w:t>Requirement for explanation of key drivers of PBR changes for the inforce PBR block on a stand-alone basis in VM-31 for [four] years following initial implementation (note VM-31 currently requires this in aggregate)</w:t>
      </w:r>
    </w:p>
    <w:p w14:paraId="100F30D3" w14:textId="77777777" w:rsidR="002E7B17" w:rsidRPr="002E7B17" w:rsidRDefault="002E7B17" w:rsidP="002E7B17"/>
    <w:p w14:paraId="31D0C367" w14:textId="77777777" w:rsidR="002E7B17" w:rsidRPr="002E7B17" w:rsidRDefault="002E7B17" w:rsidP="002E7B17">
      <w:pPr>
        <w:rPr>
          <w:b/>
          <w:bCs/>
        </w:rPr>
      </w:pPr>
      <w:r w:rsidRPr="002E7B17">
        <w:rPr>
          <w:b/>
          <w:bCs/>
          <w:u w:val="single"/>
        </w:rPr>
        <w:t>Exposure Questions</w:t>
      </w:r>
    </w:p>
    <w:p w14:paraId="30E51B76" w14:textId="77777777" w:rsidR="002E7B17" w:rsidRPr="002E7B17" w:rsidRDefault="002E7B17" w:rsidP="002E7B17">
      <w:pPr>
        <w:numPr>
          <w:ilvl w:val="0"/>
          <w:numId w:val="3"/>
        </w:numPr>
        <w:tabs>
          <w:tab w:val="clear" w:pos="360"/>
        </w:tabs>
        <w:rPr>
          <w:b/>
          <w:bCs/>
        </w:rPr>
      </w:pPr>
      <w:r w:rsidRPr="002E7B17">
        <w:rPr>
          <w:b/>
          <w:bCs/>
        </w:rPr>
        <w:t>Please provide a redline of changes to the NAIC Valuation Manual for VM-22 PBR to accommodate inforce contracts</w:t>
      </w:r>
    </w:p>
    <w:p w14:paraId="605B5DEC" w14:textId="77777777" w:rsidR="002E7B17" w:rsidRPr="002E7B17" w:rsidRDefault="002E7B17" w:rsidP="002E7B17">
      <w:pPr>
        <w:numPr>
          <w:ilvl w:val="0"/>
          <w:numId w:val="3"/>
        </w:numPr>
        <w:tabs>
          <w:tab w:val="clear" w:pos="360"/>
        </w:tabs>
        <w:rPr>
          <w:b/>
          <w:bCs/>
        </w:rPr>
      </w:pPr>
      <w:r w:rsidRPr="002E7B17">
        <w:rPr>
          <w:b/>
          <w:bCs/>
        </w:rPr>
        <w:t>Please provide a list of specific attribution categories and types of sensitivity testing to consider in the required documentation</w:t>
      </w:r>
    </w:p>
    <w:p w14:paraId="60A2EC4A" w14:textId="77777777" w:rsidR="00B702AC" w:rsidRDefault="00B702AC"/>
    <w:sectPr w:rsidR="00B70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329"/>
    <w:multiLevelType w:val="multilevel"/>
    <w:tmpl w:val="57FE272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BF1476"/>
    <w:multiLevelType w:val="multilevel"/>
    <w:tmpl w:val="6D5E1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9239B6"/>
    <w:multiLevelType w:val="multilevel"/>
    <w:tmpl w:val="8578D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066681603">
    <w:abstractNumId w:val="2"/>
  </w:num>
  <w:num w:numId="2" w16cid:durableId="196780983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46184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F7"/>
    <w:rsid w:val="00291711"/>
    <w:rsid w:val="002E7B17"/>
    <w:rsid w:val="004E3CF7"/>
    <w:rsid w:val="005A6EE8"/>
    <w:rsid w:val="00652571"/>
    <w:rsid w:val="00B702AC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FDCD"/>
  <w15:chartTrackingRefBased/>
  <w15:docId w15:val="{A6A9B886-5CD8-4F99-8AD3-F25D6F0F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http://schemas.microsoft.com/sharepoint/v3">2026-08-11T10:20:37Z</StartDate>
    <_EndDate xmlns="http://schemas.microsoft.com/sharepoint/v3/fields">2026-08-11T10:20:37Z</_EndDate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2922FD-AE9B-4324-A255-03C811D61F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3c9e15a3-223f-4584-afb1-1dbe0b3878fa"/>
    <ds:schemaRef ds:uri="55eb7663-75cc-4f64-9609-52561375e7a6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CC2E8E4C-2541-46CD-ADBE-F58884773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3DA44-7F75-4BA8-A1C7-9EC6289C7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1121</Characters>
  <Application>Microsoft Office Word</Application>
  <DocSecurity>0</DocSecurity>
  <Lines>22</Lines>
  <Paragraphs>14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Fitzpatrick, Amy</dc:creator>
  <cp:keywords/>
  <dc:description/>
  <cp:lastModifiedBy>Fitzpatrick, Amy</cp:lastModifiedBy>
  <cp:revision>4</cp:revision>
  <dcterms:created xsi:type="dcterms:W3CDTF">2026-08-11T15:20:00Z</dcterms:created>
  <dcterms:modified xsi:type="dcterms:W3CDTF">2026-08-11T15:30:00Z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</Properties>
</file>